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pptm" ContentType="application/vnd.ms-powerpoint.presentation.macroEnabled.12"/>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0371" w:rsidRDefault="00BA0371" w:rsidP="000A1C9B">
      <w:pPr>
        <w:jc w:val="center"/>
      </w:pPr>
    </w:p>
    <w:p w:rsidR="00BA0371" w:rsidRDefault="00BA0371" w:rsidP="000A1C9B">
      <w:pPr>
        <w:jc w:val="center"/>
      </w:pPr>
    </w:p>
    <w:p w:rsidR="00FB0D34" w:rsidRDefault="00FB0D34" w:rsidP="000A1C9B">
      <w:pPr>
        <w:jc w:val="center"/>
      </w:pPr>
    </w:p>
    <w:p w:rsidR="00FB0D34" w:rsidRDefault="00FB0D34" w:rsidP="000A1C9B">
      <w:pPr>
        <w:jc w:val="center"/>
      </w:pPr>
    </w:p>
    <w:p w:rsidR="00FB0D34" w:rsidRDefault="00FB0D34" w:rsidP="000A1C9B">
      <w:pPr>
        <w:jc w:val="center"/>
      </w:pPr>
    </w:p>
    <w:p w:rsidR="00FB0D34" w:rsidRDefault="00FB0D34" w:rsidP="000A1C9B">
      <w:pPr>
        <w:jc w:val="center"/>
      </w:pPr>
    </w:p>
    <w:p w:rsidR="00FB0D34" w:rsidRDefault="00FB0D34" w:rsidP="000A1C9B">
      <w:pPr>
        <w:jc w:val="center"/>
      </w:pPr>
    </w:p>
    <w:p w:rsidR="00FB0D34" w:rsidRDefault="00FB0D34" w:rsidP="000A1C9B">
      <w:pPr>
        <w:jc w:val="center"/>
      </w:pPr>
    </w:p>
    <w:p w:rsidR="00FB0D34" w:rsidRDefault="00FB0D34" w:rsidP="000A1C9B">
      <w:pPr>
        <w:jc w:val="center"/>
      </w:pPr>
    </w:p>
    <w:p w:rsidR="00FB0D34" w:rsidRDefault="00FB0D34" w:rsidP="000A1C9B">
      <w:pPr>
        <w:jc w:val="center"/>
      </w:pPr>
    </w:p>
    <w:p w:rsidR="00FB0D34" w:rsidRDefault="00FB0D34" w:rsidP="000A1C9B">
      <w:pPr>
        <w:jc w:val="center"/>
      </w:pPr>
    </w:p>
    <w:p w:rsidR="007642B0" w:rsidRDefault="00E74777" w:rsidP="000A1C9B">
      <w:pPr>
        <w:jc w:val="center"/>
      </w:pPr>
      <w:r>
        <w:t>Diabetic Foot Exams</w:t>
      </w:r>
      <w:r w:rsidR="004573AD">
        <w:t xml:space="preserve">: </w:t>
      </w:r>
      <w:r w:rsidR="00291917">
        <w:t xml:space="preserve">A National Study of </w:t>
      </w:r>
      <w:r w:rsidR="000C777F">
        <w:t>Social</w:t>
      </w:r>
      <w:r w:rsidR="003B306C">
        <w:t xml:space="preserve"> Equity </w:t>
      </w:r>
      <w:r w:rsidR="004573AD" w:rsidRPr="007A35A6">
        <w:t>Disparities</w:t>
      </w:r>
      <w:r w:rsidR="007642B0">
        <w:t xml:space="preserve"> in</w:t>
      </w:r>
    </w:p>
    <w:p w:rsidR="0073143E" w:rsidRDefault="00E67DE0" w:rsidP="000A1C9B">
      <w:pPr>
        <w:jc w:val="center"/>
      </w:pPr>
      <w:r>
        <w:t>Quality</w:t>
      </w:r>
      <w:r w:rsidR="00C87D26">
        <w:t xml:space="preserve"> </w:t>
      </w:r>
      <w:r w:rsidR="00CB5C9A">
        <w:t>B</w:t>
      </w:r>
      <w:r w:rsidR="00FE494E">
        <w:t xml:space="preserve">ased on </w:t>
      </w:r>
      <w:r w:rsidR="007A35A6" w:rsidRPr="007A35A6">
        <w:t>Patient,</w:t>
      </w:r>
      <w:r w:rsidR="007642B0">
        <w:t xml:space="preserve"> </w:t>
      </w:r>
      <w:r w:rsidR="007A35A6" w:rsidRPr="007A35A6">
        <w:t>Provider and Practice Characteristics</w:t>
      </w:r>
    </w:p>
    <w:p w:rsidR="007A35A6" w:rsidRPr="007A35A6" w:rsidRDefault="003B306C" w:rsidP="000A1C9B">
      <w:pPr>
        <w:jc w:val="center"/>
      </w:pPr>
      <w:proofErr w:type="gramStart"/>
      <w:r>
        <w:t>and</w:t>
      </w:r>
      <w:proofErr w:type="gramEnd"/>
      <w:r>
        <w:t xml:space="preserve"> Policy Implications</w:t>
      </w:r>
    </w:p>
    <w:p w:rsidR="007A35A6" w:rsidRPr="002A7197" w:rsidRDefault="007A35A6" w:rsidP="000A1C9B">
      <w:pPr>
        <w:jc w:val="center"/>
      </w:pPr>
    </w:p>
    <w:p w:rsidR="00AA2A2B" w:rsidRDefault="00AA2A2B" w:rsidP="000A1C9B">
      <w:pPr>
        <w:jc w:val="center"/>
      </w:pPr>
    </w:p>
    <w:p w:rsidR="00BA0371" w:rsidRPr="002A7197" w:rsidRDefault="00BA0371" w:rsidP="000A1C9B">
      <w:pPr>
        <w:jc w:val="center"/>
      </w:pPr>
    </w:p>
    <w:p w:rsidR="00AA2A2B" w:rsidRPr="002A7197" w:rsidRDefault="00AA2A2B" w:rsidP="000A1C9B">
      <w:pPr>
        <w:jc w:val="center"/>
      </w:pPr>
    </w:p>
    <w:p w:rsidR="00361BA8" w:rsidRDefault="00BA0371" w:rsidP="000A1C9B">
      <w:pPr>
        <w:jc w:val="center"/>
      </w:pPr>
      <w:r>
        <w:t>S</w:t>
      </w:r>
      <w:r w:rsidR="00AA2A2B" w:rsidRPr="002A7197">
        <w:t>ubmitted in partial fulfillment</w:t>
      </w:r>
      <w:r w:rsidR="00361BA8">
        <w:t xml:space="preserve"> </w:t>
      </w:r>
      <w:r w:rsidR="00AA2A2B" w:rsidRPr="002A7197">
        <w:t>of</w:t>
      </w:r>
    </w:p>
    <w:p w:rsidR="00AA2A2B" w:rsidRPr="002A7197" w:rsidRDefault="00AA2A2B" w:rsidP="000A1C9B">
      <w:pPr>
        <w:jc w:val="center"/>
      </w:pPr>
      <w:proofErr w:type="gramStart"/>
      <w:r w:rsidRPr="002A7197">
        <w:t>the</w:t>
      </w:r>
      <w:proofErr w:type="gramEnd"/>
      <w:r w:rsidRPr="002A7197">
        <w:t xml:space="preserve"> requirements for the degree of a</w:t>
      </w:r>
    </w:p>
    <w:p w:rsidR="00AA2A2B" w:rsidRPr="002A7197" w:rsidRDefault="00AA2A2B" w:rsidP="000A1C9B">
      <w:pPr>
        <w:jc w:val="center"/>
      </w:pPr>
      <w:r w:rsidRPr="002A7197">
        <w:t>Doctor of Public Administration</w:t>
      </w:r>
    </w:p>
    <w:p w:rsidR="00AA2A2B" w:rsidRPr="002A7197" w:rsidRDefault="00AA2A2B" w:rsidP="000A1C9B">
      <w:pPr>
        <w:jc w:val="center"/>
      </w:pPr>
    </w:p>
    <w:p w:rsidR="00AA2A2B" w:rsidRPr="002A7197" w:rsidRDefault="00BA0371" w:rsidP="000A1C9B">
      <w:pPr>
        <w:jc w:val="center"/>
      </w:pPr>
      <w:r>
        <w:t>University of Baltimore</w:t>
      </w:r>
    </w:p>
    <w:p w:rsidR="00AA2A2B" w:rsidRPr="002A7197" w:rsidRDefault="00AA2A2B" w:rsidP="000A1C9B">
      <w:pPr>
        <w:jc w:val="center"/>
      </w:pPr>
      <w:r w:rsidRPr="002A7197">
        <w:t>School of Public Administration</w:t>
      </w:r>
    </w:p>
    <w:p w:rsidR="00AA2A2B" w:rsidRPr="002A7197" w:rsidRDefault="00AA2A2B" w:rsidP="000A1C9B">
      <w:pPr>
        <w:jc w:val="center"/>
      </w:pPr>
    </w:p>
    <w:p w:rsidR="00AA2A2B" w:rsidRPr="002A7197" w:rsidRDefault="00AA2A2B" w:rsidP="000A1C9B">
      <w:pPr>
        <w:jc w:val="center"/>
      </w:pPr>
      <w:r w:rsidRPr="002A7197">
        <w:t>By</w:t>
      </w:r>
    </w:p>
    <w:p w:rsidR="00AA2A2B" w:rsidRPr="002A7197" w:rsidRDefault="00AA2A2B" w:rsidP="000A1C9B">
      <w:pPr>
        <w:jc w:val="center"/>
      </w:pPr>
    </w:p>
    <w:p w:rsidR="00AA2A2B" w:rsidRDefault="00AA2A2B" w:rsidP="000A1C9B">
      <w:pPr>
        <w:jc w:val="center"/>
      </w:pPr>
      <w:r w:rsidRPr="002A7197">
        <w:t>Lorena de Leon</w:t>
      </w:r>
      <w:r w:rsidR="00E37EC3">
        <w:t xml:space="preserve">, </w:t>
      </w:r>
      <w:r w:rsidR="004573AD">
        <w:t>MBA</w:t>
      </w:r>
    </w:p>
    <w:p w:rsidR="00C65D17" w:rsidRDefault="00C65D17" w:rsidP="00185F16">
      <w:pPr>
        <w:jc w:val="both"/>
      </w:pPr>
    </w:p>
    <w:p w:rsidR="004573AD" w:rsidRDefault="004573AD" w:rsidP="00185F16">
      <w:pPr>
        <w:jc w:val="both"/>
      </w:pPr>
    </w:p>
    <w:p w:rsidR="004573AD" w:rsidRDefault="004573AD" w:rsidP="00185F16">
      <w:pPr>
        <w:jc w:val="both"/>
      </w:pPr>
    </w:p>
    <w:p w:rsidR="00FB0D34" w:rsidRDefault="005D6802" w:rsidP="005D6802">
      <w:pPr>
        <w:jc w:val="center"/>
      </w:pPr>
      <w:r>
        <w:t>October 22, 2020</w:t>
      </w: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7B33C7" w:rsidRDefault="007B33C7" w:rsidP="00185F16">
      <w:pPr>
        <w:jc w:val="both"/>
        <w:rPr>
          <w:b/>
        </w:rPr>
      </w:pPr>
    </w:p>
    <w:p w:rsidR="005D6802" w:rsidRDefault="005D6802" w:rsidP="00185F16">
      <w:pPr>
        <w:jc w:val="both"/>
        <w:rPr>
          <w:b/>
        </w:rPr>
      </w:pPr>
    </w:p>
    <w:p w:rsidR="00F675BF" w:rsidRDefault="00F675BF" w:rsidP="000A1C9B">
      <w:pPr>
        <w:jc w:val="center"/>
        <w:rPr>
          <w:b/>
        </w:rPr>
      </w:pPr>
    </w:p>
    <w:p w:rsidR="00343EC7" w:rsidRPr="0073412D" w:rsidRDefault="00343EC7" w:rsidP="00B11B34">
      <w:pPr>
        <w:spacing w:line="360" w:lineRule="auto"/>
        <w:jc w:val="center"/>
        <w:rPr>
          <w:b/>
        </w:rPr>
      </w:pPr>
      <w:r>
        <w:rPr>
          <w:b/>
        </w:rPr>
        <w:lastRenderedPageBreak/>
        <w:t>ACKNO</w:t>
      </w:r>
      <w:r w:rsidR="0092743A">
        <w:rPr>
          <w:b/>
        </w:rPr>
        <w:t>W</w:t>
      </w:r>
      <w:r>
        <w:rPr>
          <w:b/>
        </w:rPr>
        <w:t>LEDGEMENTS</w:t>
      </w:r>
    </w:p>
    <w:p w:rsidR="00343EC7" w:rsidRDefault="00343EC7" w:rsidP="00B11B34">
      <w:pPr>
        <w:spacing w:line="360" w:lineRule="auto"/>
        <w:jc w:val="both"/>
      </w:pPr>
    </w:p>
    <w:p w:rsidR="005D6EBF" w:rsidRDefault="00F51CBC" w:rsidP="00B11B34">
      <w:pPr>
        <w:spacing w:line="360" w:lineRule="auto"/>
        <w:jc w:val="both"/>
      </w:pPr>
      <w:r>
        <w:tab/>
      </w:r>
      <w:r w:rsidR="00343EC7">
        <w:t>The completion of this d</w:t>
      </w:r>
      <w:r w:rsidR="006E327A">
        <w:t xml:space="preserve">octoral degree marks </w:t>
      </w:r>
      <w:r w:rsidR="00921943">
        <w:t xml:space="preserve">a </w:t>
      </w:r>
      <w:r w:rsidR="006E327A">
        <w:t>significant</w:t>
      </w:r>
      <w:r w:rsidR="00921943">
        <w:t xml:space="preserve"> personal</w:t>
      </w:r>
      <w:r w:rsidR="006E327A">
        <w:t xml:space="preserve"> milestone in</w:t>
      </w:r>
      <w:r w:rsidR="00FF0D7C">
        <w:t xml:space="preserve"> my mission</w:t>
      </w:r>
      <w:r w:rsidR="00D701C9">
        <w:t xml:space="preserve"> to </w:t>
      </w:r>
      <w:r w:rsidR="00FF0D7C">
        <w:t>be well</w:t>
      </w:r>
      <w:r w:rsidR="00CA7DA6">
        <w:t xml:space="preserve"> equipped </w:t>
      </w:r>
      <w:r w:rsidR="00921943">
        <w:t xml:space="preserve">to </w:t>
      </w:r>
      <w:r w:rsidR="00392A1D">
        <w:t>tackle</w:t>
      </w:r>
      <w:r w:rsidR="00CA7DA6">
        <w:t xml:space="preserve"> challenges and improve </w:t>
      </w:r>
      <w:r w:rsidR="004A21B8">
        <w:t>hea</w:t>
      </w:r>
      <w:r w:rsidR="00392A1D">
        <w:t>lth care</w:t>
      </w:r>
      <w:r w:rsidR="00CA7DA6">
        <w:t>.  Over the last twelve</w:t>
      </w:r>
      <w:r w:rsidR="004A21B8">
        <w:t xml:space="preserve"> years, I have been blessed with the support of my family, friends, and many educational leaders in my pursuit of a Bachelor of Science in Business, a </w:t>
      </w:r>
      <w:proofErr w:type="spellStart"/>
      <w:r w:rsidR="004A21B8">
        <w:t>Master</w:t>
      </w:r>
      <w:r w:rsidR="005B4025">
        <w:t>s</w:t>
      </w:r>
      <w:proofErr w:type="spellEnd"/>
      <w:r w:rsidR="004A21B8">
        <w:t xml:space="preserve"> in Business Administration with a specialty in Healthcare Management, and lastly a Doctorate in Public Administration. The commitment to se</w:t>
      </w:r>
      <w:r w:rsidR="00392A1D">
        <w:t xml:space="preserve">ek a higher level of education </w:t>
      </w:r>
      <w:r w:rsidR="004A21B8">
        <w:t xml:space="preserve">did not come without sacrifice </w:t>
      </w:r>
      <w:r w:rsidR="0092743A">
        <w:t>and I would like to ac</w:t>
      </w:r>
      <w:r w:rsidR="006E327A">
        <w:t xml:space="preserve">knowledge those who </w:t>
      </w:r>
      <w:r w:rsidR="0092743A">
        <w:t>personally</w:t>
      </w:r>
      <w:r w:rsidR="006E327A">
        <w:t xml:space="preserve"> contributed in this achievement</w:t>
      </w:r>
      <w:r w:rsidR="0092743A">
        <w:t xml:space="preserve">. </w:t>
      </w:r>
    </w:p>
    <w:p w:rsidR="004A21B8" w:rsidRDefault="00F51CBC" w:rsidP="00B11B34">
      <w:pPr>
        <w:spacing w:line="360" w:lineRule="auto"/>
        <w:jc w:val="both"/>
      </w:pPr>
      <w:r>
        <w:tab/>
      </w:r>
      <w:r w:rsidR="0092743A">
        <w:t>To Dr. L</w:t>
      </w:r>
      <w:r w:rsidR="00026F13">
        <w:t>yles, for your</w:t>
      </w:r>
      <w:r w:rsidR="0092743A">
        <w:t xml:space="preserve"> tremendous insight</w:t>
      </w:r>
      <w:r w:rsidR="00026F13">
        <w:t xml:space="preserve"> and flexibility in</w:t>
      </w:r>
      <w:r w:rsidR="0092743A">
        <w:t xml:space="preserve"> the many evening</w:t>
      </w:r>
      <w:r w:rsidR="0091564C">
        <w:t>s</w:t>
      </w:r>
      <w:r w:rsidR="0092743A">
        <w:t xml:space="preserve"> you sacrifice to accommodate my crazy work schedule.  </w:t>
      </w:r>
      <w:r w:rsidR="00026F13">
        <w:t>For your patience and persistence to ensure that I gained a firm comma</w:t>
      </w:r>
      <w:r w:rsidR="00B4689F">
        <w:t xml:space="preserve">nd of </w:t>
      </w:r>
      <w:r w:rsidR="00026F13">
        <w:t xml:space="preserve">research concepts and </w:t>
      </w:r>
      <w:r w:rsidR="00B4689F">
        <w:t xml:space="preserve">analytical </w:t>
      </w:r>
      <w:r w:rsidR="00026F13">
        <w:t>skills</w:t>
      </w:r>
      <w:r w:rsidR="00392A1D">
        <w:t xml:space="preserve"> nee</w:t>
      </w:r>
      <w:r w:rsidR="0091564C">
        <w:t>ded</w:t>
      </w:r>
      <w:r w:rsidR="00392A1D">
        <w:t xml:space="preserve"> for my future endeavors</w:t>
      </w:r>
      <w:r w:rsidR="00026F13">
        <w:t xml:space="preserve">. </w:t>
      </w:r>
      <w:r w:rsidR="0092743A">
        <w:t>I</w:t>
      </w:r>
      <w:r w:rsidR="00392A1D">
        <w:t xml:space="preserve"> not only had</w:t>
      </w:r>
      <w:r w:rsidR="0092743A">
        <w:t xml:space="preserve"> the pri</w:t>
      </w:r>
      <w:r w:rsidR="006E327A">
        <w:t xml:space="preserve">vilege of </w:t>
      </w:r>
      <w:r w:rsidR="00392A1D">
        <w:t>you serving</w:t>
      </w:r>
      <w:r w:rsidR="006E327A">
        <w:t xml:space="preserve"> as my </w:t>
      </w:r>
      <w:r w:rsidR="0092743A">
        <w:t>doctor chair</w:t>
      </w:r>
      <w:r w:rsidR="00B4689F">
        <w:t xml:space="preserve"> but the honor of being your last doctoral ca</w:t>
      </w:r>
      <w:r w:rsidR="006E327A">
        <w:t>ndidate. You have been a constant</w:t>
      </w:r>
      <w:r w:rsidR="00B4689F">
        <w:t xml:space="preserve"> figure of importance </w:t>
      </w:r>
      <w:r w:rsidR="00026F13">
        <w:t>along my journey including fostering my education as I completed my bachelor</w:t>
      </w:r>
      <w:r w:rsidR="00AB0C62">
        <w:t>s</w:t>
      </w:r>
      <w:r w:rsidR="00026F13">
        <w:t xml:space="preserve"> and mas</w:t>
      </w:r>
      <w:r w:rsidR="004751F8">
        <w:t>ters, honoring me by placing my</w:t>
      </w:r>
      <w:r w:rsidR="00026F13">
        <w:t xml:space="preserve"> hood at my master’s graduation, and allowing me the opportunity to serve as a guest lecturer in your class</w:t>
      </w:r>
      <w:r w:rsidR="00B4689F">
        <w:t>.</w:t>
      </w:r>
      <w:r w:rsidR="00026F13">
        <w:t xml:space="preserve"> </w:t>
      </w:r>
      <w:r w:rsidR="00B4689F">
        <w:t xml:space="preserve"> Not only have you served as a great mentor</w:t>
      </w:r>
      <w:r w:rsidR="00026F13" w:rsidRPr="00026F13">
        <w:t xml:space="preserve"> to m</w:t>
      </w:r>
      <w:r w:rsidR="00B4689F">
        <w:t>e, but you generously extended your kindness to</w:t>
      </w:r>
      <w:r w:rsidR="00026F13" w:rsidRPr="00026F13">
        <w:t xml:space="preserve"> my daughter as well.</w:t>
      </w:r>
      <w:r w:rsidR="00B4689F" w:rsidRPr="00B4689F">
        <w:t xml:space="preserve">  I am eternally grateful</w:t>
      </w:r>
      <w:r w:rsidR="00B4689F">
        <w:t xml:space="preserve"> and will do my best to make sure your investment </w:t>
      </w:r>
      <w:r>
        <w:t xml:space="preserve">in me </w:t>
      </w:r>
      <w:r w:rsidR="00B4689F">
        <w:t xml:space="preserve">is well served. </w:t>
      </w:r>
    </w:p>
    <w:p w:rsidR="00663AAE" w:rsidRDefault="00BC2F6A" w:rsidP="00B11B34">
      <w:pPr>
        <w:spacing w:line="360" w:lineRule="auto"/>
        <w:jc w:val="both"/>
      </w:pPr>
      <w:r>
        <w:tab/>
        <w:t>Dr. Naylor, I would like to thank you for your</w:t>
      </w:r>
      <w:r w:rsidR="006E327A">
        <w:t xml:space="preserve"> guidance in the</w:t>
      </w:r>
      <w:r>
        <w:t xml:space="preserve"> selection of the proper theoretica</w:t>
      </w:r>
      <w:r w:rsidR="004751F8">
        <w:t xml:space="preserve">l framework for </w:t>
      </w:r>
      <w:r w:rsidR="006E327A">
        <w:t>this</w:t>
      </w:r>
      <w:r>
        <w:t xml:space="preserve"> research and for also serving as </w:t>
      </w:r>
      <w:r w:rsidR="006E327A">
        <w:t xml:space="preserve">one of my </w:t>
      </w:r>
      <w:r>
        <w:t>educator</w:t>
      </w:r>
      <w:r w:rsidR="0091564C">
        <w:t>s</w:t>
      </w:r>
      <w:r>
        <w:t xml:space="preserve"> during the pursuit</w:t>
      </w:r>
      <w:r w:rsidR="006E327A">
        <w:t xml:space="preserve"> of my master</w:t>
      </w:r>
      <w:r w:rsidR="004751F8">
        <w:t>s and doctorate</w:t>
      </w:r>
      <w:r w:rsidR="0026710F">
        <w:t xml:space="preserve">.  </w:t>
      </w:r>
      <w:r w:rsidR="005260F6">
        <w:t>I am also grateful for your willingness to oversee my progress and ser</w:t>
      </w:r>
      <w:r w:rsidR="004751F8">
        <w:t>ve as an</w:t>
      </w:r>
      <w:r w:rsidR="005260F6">
        <w:t xml:space="preserve"> advisor duri</w:t>
      </w:r>
      <w:r w:rsidR="00AB0C62">
        <w:t>ng the time Dr. Lyles was abroad</w:t>
      </w:r>
      <w:r w:rsidR="005260F6">
        <w:t xml:space="preserve">. </w:t>
      </w:r>
      <w:r w:rsidR="00663AAE">
        <w:t xml:space="preserve"> Your support allowed me to continue to forge ahead and keep on task with my timeline. </w:t>
      </w:r>
    </w:p>
    <w:p w:rsidR="00FD3ED2" w:rsidRDefault="00663AAE" w:rsidP="00B11B34">
      <w:pPr>
        <w:spacing w:line="360" w:lineRule="auto"/>
        <w:jc w:val="both"/>
      </w:pPr>
      <w:r>
        <w:tab/>
      </w:r>
      <w:r w:rsidR="00AB0C62">
        <w:t xml:space="preserve">Dr. </w:t>
      </w:r>
      <w:r w:rsidR="00BC2F6A">
        <w:t>Wilson</w:t>
      </w:r>
      <w:r w:rsidR="00AB0C62">
        <w:t>-Gentry</w:t>
      </w:r>
      <w:r w:rsidR="00BC2F6A">
        <w:t>,</w:t>
      </w:r>
      <w:r w:rsidR="00AB0C62">
        <w:t xml:space="preserve"> </w:t>
      </w:r>
      <w:r w:rsidR="00286BDC">
        <w:t xml:space="preserve">I would like to thank you for your methodology expertise and the </w:t>
      </w:r>
      <w:r w:rsidR="00DD4069">
        <w:t xml:space="preserve">time you spent with me during the </w:t>
      </w:r>
      <w:r w:rsidR="00286BDC">
        <w:t>summer</w:t>
      </w:r>
      <w:r w:rsidR="00DD4069">
        <w:t xml:space="preserve"> months</w:t>
      </w:r>
      <w:r w:rsidR="00286BDC">
        <w:t xml:space="preserve"> making sure I got my “levels of me</w:t>
      </w:r>
      <w:r w:rsidR="0005528D">
        <w:t>asurements” straight and that the</w:t>
      </w:r>
      <w:r w:rsidR="00286BDC">
        <w:t xml:space="preserve"> data set was in good form</w:t>
      </w:r>
      <w:r w:rsidR="0005528D">
        <w:t xml:space="preserve"> for my research</w:t>
      </w:r>
      <w:r w:rsidR="00286BDC">
        <w:t xml:space="preserve">. </w:t>
      </w:r>
      <w:r w:rsidR="00506693">
        <w:t xml:space="preserve"> </w:t>
      </w:r>
      <w:r w:rsidR="00286BDC">
        <w:t xml:space="preserve">I also </w:t>
      </w:r>
      <w:r w:rsidR="00286BDC">
        <w:lastRenderedPageBreak/>
        <w:t>want to thank you for all you</w:t>
      </w:r>
      <w:r w:rsidR="00DD4069">
        <w:t>r support as I muddle through</w:t>
      </w:r>
      <w:r w:rsidR="00286BDC">
        <w:t xml:space="preserve"> figuring out all the nuances of SPSS</w:t>
      </w:r>
      <w:r w:rsidR="001870A0">
        <w:t xml:space="preserve"> like creating new variables</w:t>
      </w:r>
      <w:r w:rsidR="00506693">
        <w:t xml:space="preserve"> and running all the different types of analysis. </w:t>
      </w:r>
    </w:p>
    <w:p w:rsidR="00BC2F6A" w:rsidRDefault="004A4D84" w:rsidP="00B11B34">
      <w:pPr>
        <w:spacing w:line="360" w:lineRule="auto"/>
        <w:jc w:val="both"/>
      </w:pPr>
      <w:r>
        <w:tab/>
      </w:r>
      <w:r w:rsidR="00AB0C62">
        <w:t xml:space="preserve">Lastly, </w:t>
      </w:r>
      <w:r>
        <w:t>I would like to thank my friends and family for</w:t>
      </w:r>
      <w:r w:rsidRPr="004A4D84">
        <w:t xml:space="preserve"> the many, many times I was ready to throw</w:t>
      </w:r>
      <w:r w:rsidR="0091564C">
        <w:t xml:space="preserve"> in</w:t>
      </w:r>
      <w:r w:rsidRPr="004A4D84">
        <w:t xml:space="preserve"> the towel and you kept me going</w:t>
      </w:r>
      <w:r>
        <w:t>. M</w:t>
      </w:r>
      <w:r w:rsidR="00BC2F6A">
        <w:t xml:space="preserve">ost importantly, I want to thank </w:t>
      </w:r>
      <w:r w:rsidR="00FD3ED2" w:rsidRPr="00FD3ED2">
        <w:t>those who sacrificed the most over the past twelve years</w:t>
      </w:r>
      <w:r w:rsidR="00FD3ED2">
        <w:t xml:space="preserve">, </w:t>
      </w:r>
      <w:r w:rsidR="00BC2F6A">
        <w:t>my daughters</w:t>
      </w:r>
      <w:r w:rsidR="00FD3ED2">
        <w:t xml:space="preserve"> and wife</w:t>
      </w:r>
      <w:r w:rsidR="00BC2F6A">
        <w:t xml:space="preserve">. </w:t>
      </w:r>
      <w:r w:rsidR="00AE4C76">
        <w:t xml:space="preserve"> For the countless weekends and nigh</w:t>
      </w:r>
      <w:r w:rsidR="00B77561">
        <w:t>ts</w:t>
      </w:r>
      <w:r w:rsidR="00AE4C76">
        <w:t xml:space="preserve"> you allowed me the time to s</w:t>
      </w:r>
      <w:r w:rsidR="00AB0C62">
        <w:t>tudy and work on my research and for your</w:t>
      </w:r>
      <w:r w:rsidR="00AE4C76">
        <w:t xml:space="preserve"> understanding when I could not make every game or family event.</w:t>
      </w:r>
      <w:r w:rsidR="0076673A">
        <w:t xml:space="preserve"> My deepest gratitude goes to you and</w:t>
      </w:r>
      <w:r w:rsidR="00AE4C76">
        <w:t xml:space="preserve"> </w:t>
      </w:r>
      <w:r w:rsidR="00D65785">
        <w:t xml:space="preserve">I am glad </w:t>
      </w:r>
      <w:r w:rsidR="00AE4C76">
        <w:t>to share that you will never have</w:t>
      </w:r>
      <w:r w:rsidR="00D65785">
        <w:t xml:space="preserve"> to hear the dreaded words</w:t>
      </w:r>
      <w:r w:rsidR="002E1C2D">
        <w:t xml:space="preserve">, </w:t>
      </w:r>
      <w:r w:rsidR="00D65785">
        <w:t>“I have t</w:t>
      </w:r>
      <w:r w:rsidR="006E327A">
        <w:t>o work on my dissertation</w:t>
      </w:r>
      <w:r w:rsidR="002E1C2D">
        <w:t>,</w:t>
      </w:r>
      <w:r w:rsidR="006E327A">
        <w:t>”</w:t>
      </w:r>
      <w:r w:rsidR="002E1C2D">
        <w:t xml:space="preserve"> again.</w:t>
      </w:r>
      <w:r w:rsidR="00D65785">
        <w:t xml:space="preserve"> </w:t>
      </w:r>
    </w:p>
    <w:p w:rsidR="00343EC7" w:rsidRDefault="00343EC7" w:rsidP="00B11B34">
      <w:pPr>
        <w:spacing w:line="360" w:lineRule="auto"/>
        <w:jc w:val="both"/>
      </w:pPr>
    </w:p>
    <w:p w:rsidR="00343EC7" w:rsidRDefault="00343EC7" w:rsidP="00B11B34">
      <w:pPr>
        <w:spacing w:line="360" w:lineRule="auto"/>
        <w:jc w:val="both"/>
      </w:pPr>
    </w:p>
    <w:p w:rsidR="00343EC7" w:rsidRDefault="00343EC7" w:rsidP="00B11B34">
      <w:pPr>
        <w:spacing w:line="360" w:lineRule="auto"/>
        <w:jc w:val="both"/>
      </w:pPr>
    </w:p>
    <w:p w:rsidR="00343EC7" w:rsidRDefault="00343EC7" w:rsidP="00B11B34">
      <w:pPr>
        <w:spacing w:line="360" w:lineRule="auto"/>
        <w:jc w:val="both"/>
      </w:pPr>
    </w:p>
    <w:p w:rsidR="00343EC7" w:rsidRDefault="00343EC7" w:rsidP="00B11B34">
      <w:pPr>
        <w:spacing w:line="360" w:lineRule="auto"/>
        <w:jc w:val="both"/>
      </w:pPr>
    </w:p>
    <w:p w:rsidR="00343EC7" w:rsidRDefault="00343EC7" w:rsidP="00185F16">
      <w:pPr>
        <w:jc w:val="both"/>
      </w:pPr>
    </w:p>
    <w:p w:rsidR="00343EC7" w:rsidRDefault="00343EC7" w:rsidP="00185F16">
      <w:pPr>
        <w:jc w:val="both"/>
      </w:pPr>
    </w:p>
    <w:p w:rsidR="00343EC7" w:rsidRDefault="00343EC7" w:rsidP="00185F16">
      <w:pPr>
        <w:jc w:val="both"/>
      </w:pPr>
    </w:p>
    <w:p w:rsidR="00343EC7" w:rsidRDefault="00343EC7" w:rsidP="00185F16">
      <w:pPr>
        <w:jc w:val="both"/>
      </w:pPr>
    </w:p>
    <w:p w:rsidR="00343EC7" w:rsidRDefault="00343EC7" w:rsidP="00185F16">
      <w:pPr>
        <w:jc w:val="both"/>
      </w:pPr>
    </w:p>
    <w:p w:rsidR="00343EC7" w:rsidRDefault="00343EC7" w:rsidP="00185F16">
      <w:pPr>
        <w:jc w:val="both"/>
      </w:pPr>
    </w:p>
    <w:p w:rsidR="00FB0D34" w:rsidRDefault="00FB0D34" w:rsidP="00185F16">
      <w:pPr>
        <w:jc w:val="both"/>
      </w:pPr>
    </w:p>
    <w:p w:rsidR="00FB0D34" w:rsidRDefault="00FB0D34" w:rsidP="00185F16">
      <w:pPr>
        <w:jc w:val="both"/>
      </w:pPr>
    </w:p>
    <w:p w:rsidR="00D65785" w:rsidRDefault="00D65785" w:rsidP="00185F16">
      <w:pPr>
        <w:jc w:val="both"/>
      </w:pPr>
    </w:p>
    <w:p w:rsidR="00B11B34" w:rsidRDefault="00B11B34" w:rsidP="00185F16">
      <w:pPr>
        <w:tabs>
          <w:tab w:val="left" w:pos="7868"/>
        </w:tabs>
        <w:jc w:val="both"/>
        <w:sectPr w:rsidR="00B11B34" w:rsidSect="00425428">
          <w:headerReference w:type="even" r:id="rId9"/>
          <w:footerReference w:type="default" r:id="rId10"/>
          <w:pgSz w:w="12240" w:h="15840"/>
          <w:pgMar w:top="1440" w:right="1440" w:bottom="1440" w:left="2160" w:header="720" w:footer="720" w:gutter="0"/>
          <w:cols w:space="720"/>
          <w:docGrid w:linePitch="360"/>
        </w:sectPr>
      </w:pPr>
    </w:p>
    <w:p w:rsidR="006C0014" w:rsidRDefault="00E57AD6" w:rsidP="00185F16">
      <w:pPr>
        <w:tabs>
          <w:tab w:val="left" w:pos="7868"/>
        </w:tabs>
        <w:jc w:val="both"/>
      </w:pPr>
      <w:r>
        <w:lastRenderedPageBreak/>
        <w:tab/>
      </w:r>
    </w:p>
    <w:p w:rsidR="0047082F" w:rsidRPr="000C5643" w:rsidRDefault="0047082F" w:rsidP="0047082F">
      <w:pPr>
        <w:pStyle w:val="TOCHeading"/>
        <w:spacing w:before="0" w:after="120" w:line="240" w:lineRule="auto"/>
        <w:jc w:val="center"/>
        <w:rPr>
          <w:rFonts w:ascii="Times New Roman" w:hAnsi="Times New Roman"/>
          <w:color w:val="auto"/>
          <w:szCs w:val="24"/>
        </w:rPr>
      </w:pPr>
      <w:r w:rsidRPr="000C5643">
        <w:rPr>
          <w:rFonts w:ascii="Times New Roman" w:hAnsi="Times New Roman"/>
          <w:color w:val="auto"/>
          <w:szCs w:val="24"/>
        </w:rPr>
        <w:t>TABLE OF CONTENTS</w:t>
      </w:r>
    </w:p>
    <w:p w:rsidR="0047082F" w:rsidRPr="002A5208" w:rsidRDefault="0047082F" w:rsidP="000763AE">
      <w:pPr>
        <w:pStyle w:val="TOCHeading"/>
        <w:tabs>
          <w:tab w:val="right" w:leader="dot" w:pos="8640"/>
        </w:tabs>
        <w:spacing w:before="0" w:after="120" w:line="240" w:lineRule="auto"/>
        <w:jc w:val="both"/>
        <w:rPr>
          <w:rFonts w:ascii="Times New Roman" w:hAnsi="Times New Roman"/>
          <w:b w:val="0"/>
          <w:color w:val="auto"/>
          <w:sz w:val="24"/>
          <w:szCs w:val="24"/>
        </w:rPr>
      </w:pPr>
      <w:r w:rsidRPr="002A5208">
        <w:rPr>
          <w:rFonts w:ascii="Times New Roman" w:hAnsi="Times New Roman"/>
          <w:color w:val="auto"/>
          <w:sz w:val="24"/>
          <w:szCs w:val="24"/>
        </w:rPr>
        <w:t>Acknowledgement</w:t>
      </w:r>
      <w:r w:rsidR="000763AE" w:rsidRPr="002A5208">
        <w:rPr>
          <w:rFonts w:ascii="Times New Roman" w:hAnsi="Times New Roman"/>
          <w:b w:val="0"/>
          <w:color w:val="auto"/>
          <w:sz w:val="24"/>
          <w:szCs w:val="24"/>
        </w:rPr>
        <w:tab/>
      </w:r>
      <w:r w:rsidRPr="002A5208">
        <w:rPr>
          <w:rFonts w:ascii="Times New Roman" w:hAnsi="Times New Roman"/>
          <w:b w:val="0"/>
          <w:color w:val="auto"/>
          <w:sz w:val="24"/>
          <w:szCs w:val="24"/>
        </w:rPr>
        <w:t>2-3</w:t>
      </w:r>
    </w:p>
    <w:p w:rsidR="0047082F" w:rsidRPr="002A5208" w:rsidRDefault="0047082F" w:rsidP="000763AE">
      <w:pPr>
        <w:pStyle w:val="TOCHeading"/>
        <w:tabs>
          <w:tab w:val="right" w:leader="dot" w:pos="8640"/>
        </w:tabs>
        <w:spacing w:before="0" w:after="120" w:line="240" w:lineRule="auto"/>
        <w:jc w:val="both"/>
        <w:rPr>
          <w:rFonts w:ascii="Times New Roman" w:hAnsi="Times New Roman"/>
          <w:b w:val="0"/>
          <w:color w:val="auto"/>
          <w:szCs w:val="24"/>
        </w:rPr>
      </w:pPr>
      <w:r w:rsidRPr="002A5208">
        <w:rPr>
          <w:rFonts w:ascii="Times New Roman" w:hAnsi="Times New Roman"/>
          <w:color w:val="auto"/>
          <w:sz w:val="24"/>
        </w:rPr>
        <w:t>Table of Contents</w:t>
      </w:r>
      <w:r w:rsidR="000763AE" w:rsidRPr="001F662C">
        <w:rPr>
          <w:rFonts w:ascii="Times New Roman" w:hAnsi="Times New Roman"/>
          <w:b w:val="0"/>
          <w:color w:val="auto"/>
          <w:sz w:val="24"/>
          <w:szCs w:val="24"/>
        </w:rPr>
        <w:tab/>
      </w:r>
      <w:r w:rsidRPr="001F662C">
        <w:rPr>
          <w:rFonts w:ascii="Times New Roman" w:hAnsi="Times New Roman"/>
          <w:b w:val="0"/>
          <w:color w:val="auto"/>
          <w:sz w:val="24"/>
          <w:szCs w:val="24"/>
        </w:rPr>
        <w:t>4</w:t>
      </w:r>
    </w:p>
    <w:p w:rsidR="0047082F" w:rsidRPr="003F4706" w:rsidRDefault="0047082F" w:rsidP="000763AE">
      <w:pPr>
        <w:pStyle w:val="TOCHeading"/>
        <w:tabs>
          <w:tab w:val="right" w:leader="dot" w:pos="8640"/>
        </w:tabs>
        <w:spacing w:before="0" w:after="120" w:line="240" w:lineRule="auto"/>
        <w:jc w:val="both"/>
        <w:rPr>
          <w:rFonts w:ascii="Times New Roman" w:hAnsi="Times New Roman"/>
          <w:b w:val="0"/>
          <w:color w:val="auto"/>
          <w:sz w:val="22"/>
          <w:szCs w:val="24"/>
        </w:rPr>
      </w:pPr>
      <w:r w:rsidRPr="003F4706">
        <w:rPr>
          <w:rFonts w:ascii="Times New Roman" w:hAnsi="Times New Roman"/>
          <w:color w:val="auto"/>
          <w:sz w:val="22"/>
          <w:szCs w:val="24"/>
        </w:rPr>
        <w:t>List of Tables and Figures</w:t>
      </w:r>
      <w:r w:rsidRPr="003F4706">
        <w:rPr>
          <w:rFonts w:ascii="Times New Roman" w:hAnsi="Times New Roman"/>
          <w:b w:val="0"/>
          <w:color w:val="auto"/>
          <w:sz w:val="22"/>
          <w:szCs w:val="24"/>
        </w:rPr>
        <w:t xml:space="preserve"> </w:t>
      </w:r>
      <w:r w:rsidR="000763AE" w:rsidRPr="003F4706">
        <w:rPr>
          <w:rFonts w:ascii="Times New Roman" w:hAnsi="Times New Roman"/>
          <w:b w:val="0"/>
          <w:color w:val="auto"/>
          <w:sz w:val="22"/>
          <w:szCs w:val="24"/>
        </w:rPr>
        <w:tab/>
      </w:r>
      <w:r w:rsidRPr="003F4706">
        <w:rPr>
          <w:rFonts w:ascii="Times New Roman" w:hAnsi="Times New Roman"/>
          <w:b w:val="0"/>
          <w:color w:val="auto"/>
          <w:sz w:val="22"/>
          <w:szCs w:val="24"/>
        </w:rPr>
        <w:t>5-7</w:t>
      </w:r>
    </w:p>
    <w:p w:rsidR="0047082F" w:rsidRPr="003F4706" w:rsidRDefault="0047082F" w:rsidP="000763AE">
      <w:pPr>
        <w:pStyle w:val="TOCHeading"/>
        <w:tabs>
          <w:tab w:val="right" w:leader="dot" w:pos="8640"/>
        </w:tabs>
        <w:spacing w:before="0" w:after="120" w:line="240" w:lineRule="auto"/>
        <w:jc w:val="both"/>
        <w:rPr>
          <w:rFonts w:ascii="Times New Roman" w:hAnsi="Times New Roman"/>
          <w:b w:val="0"/>
          <w:color w:val="auto"/>
          <w:sz w:val="22"/>
          <w:szCs w:val="24"/>
        </w:rPr>
      </w:pPr>
      <w:r w:rsidRPr="003F4706">
        <w:rPr>
          <w:rFonts w:ascii="Times New Roman" w:hAnsi="Times New Roman"/>
          <w:color w:val="auto"/>
          <w:sz w:val="22"/>
          <w:szCs w:val="24"/>
        </w:rPr>
        <w:t>List of Acronyms</w:t>
      </w:r>
      <w:r w:rsidR="000763AE" w:rsidRPr="003F4706">
        <w:rPr>
          <w:rFonts w:ascii="Times New Roman" w:hAnsi="Times New Roman"/>
          <w:b w:val="0"/>
          <w:color w:val="auto"/>
          <w:sz w:val="22"/>
          <w:szCs w:val="24"/>
        </w:rPr>
        <w:tab/>
      </w:r>
      <w:r w:rsidRPr="003F4706">
        <w:rPr>
          <w:rFonts w:ascii="Times New Roman" w:hAnsi="Times New Roman"/>
          <w:b w:val="0"/>
          <w:color w:val="auto"/>
          <w:sz w:val="22"/>
          <w:szCs w:val="24"/>
        </w:rPr>
        <w:t>8</w:t>
      </w:r>
    </w:p>
    <w:p w:rsidR="0047082F" w:rsidRPr="003F4706" w:rsidRDefault="0047082F" w:rsidP="000763AE">
      <w:pPr>
        <w:pStyle w:val="TOC1"/>
        <w:tabs>
          <w:tab w:val="right" w:leader="dot" w:pos="8640"/>
        </w:tabs>
        <w:spacing w:after="120" w:line="240" w:lineRule="auto"/>
        <w:jc w:val="both"/>
        <w:rPr>
          <w:rFonts w:ascii="Times New Roman" w:hAnsi="Times New Roman" w:cs="Times New Roman"/>
          <w:color w:val="auto"/>
          <w:sz w:val="22"/>
          <w:szCs w:val="24"/>
        </w:rPr>
      </w:pPr>
      <w:r w:rsidRPr="003F4706">
        <w:rPr>
          <w:rFonts w:ascii="Times New Roman" w:hAnsi="Times New Roman" w:cs="Times New Roman"/>
          <w:b/>
          <w:color w:val="auto"/>
          <w:sz w:val="22"/>
          <w:szCs w:val="24"/>
        </w:rPr>
        <w:t>Abstract</w:t>
      </w:r>
      <w:r w:rsidRPr="003F4706">
        <w:rPr>
          <w:rFonts w:ascii="Times New Roman" w:hAnsi="Times New Roman" w:cs="Times New Roman"/>
          <w:color w:val="auto"/>
          <w:sz w:val="22"/>
          <w:szCs w:val="24"/>
        </w:rPr>
        <w:t xml:space="preserve"> </w:t>
      </w:r>
      <w:r w:rsidR="000763AE" w:rsidRPr="003F4706">
        <w:rPr>
          <w:rFonts w:ascii="Times New Roman" w:hAnsi="Times New Roman" w:cs="Times New Roman"/>
          <w:color w:val="auto"/>
          <w:sz w:val="22"/>
          <w:szCs w:val="24"/>
        </w:rPr>
        <w:tab/>
      </w:r>
      <w:r w:rsidRPr="003F4706">
        <w:rPr>
          <w:rFonts w:ascii="Times New Roman" w:hAnsi="Times New Roman" w:cs="Times New Roman"/>
          <w:color w:val="auto"/>
          <w:sz w:val="22"/>
          <w:szCs w:val="24"/>
        </w:rPr>
        <w:t>9-11</w:t>
      </w:r>
    </w:p>
    <w:p w:rsidR="0047082F" w:rsidRPr="003F4706" w:rsidRDefault="0047082F" w:rsidP="000763AE">
      <w:pPr>
        <w:pStyle w:val="TOC1"/>
        <w:tabs>
          <w:tab w:val="right" w:leader="dot" w:pos="8640"/>
        </w:tabs>
        <w:spacing w:after="120" w:line="240" w:lineRule="auto"/>
        <w:jc w:val="both"/>
        <w:rPr>
          <w:rFonts w:ascii="Times New Roman" w:hAnsi="Times New Roman" w:cs="Times New Roman"/>
          <w:b/>
          <w:bCs/>
          <w:color w:val="auto"/>
          <w:sz w:val="22"/>
          <w:szCs w:val="24"/>
        </w:rPr>
      </w:pPr>
      <w:r w:rsidRPr="003F4706">
        <w:rPr>
          <w:rFonts w:ascii="Times New Roman" w:hAnsi="Times New Roman" w:cs="Times New Roman"/>
          <w:b/>
          <w:color w:val="auto"/>
          <w:sz w:val="22"/>
          <w:szCs w:val="24"/>
        </w:rPr>
        <w:t>Chapter 1. Introduction</w:t>
      </w:r>
      <w:r w:rsidR="000763AE" w:rsidRPr="003F4706">
        <w:rPr>
          <w:rFonts w:ascii="Times New Roman" w:hAnsi="Times New Roman" w:cs="Times New Roman"/>
          <w:color w:val="auto"/>
          <w:sz w:val="22"/>
          <w:szCs w:val="24"/>
        </w:rPr>
        <w:tab/>
      </w:r>
      <w:r w:rsidRPr="003F4706">
        <w:rPr>
          <w:rFonts w:ascii="Times New Roman" w:hAnsi="Times New Roman" w:cs="Times New Roman"/>
          <w:color w:val="auto"/>
          <w:sz w:val="22"/>
          <w:szCs w:val="24"/>
        </w:rPr>
        <w:t>12-1</w:t>
      </w:r>
      <w:r>
        <w:rPr>
          <w:rFonts w:ascii="Times New Roman" w:hAnsi="Times New Roman" w:cs="Times New Roman"/>
          <w:color w:val="auto"/>
          <w:sz w:val="22"/>
          <w:szCs w:val="24"/>
        </w:rPr>
        <w:t>8</w:t>
      </w:r>
    </w:p>
    <w:p w:rsidR="0047082F" w:rsidRPr="003F4706" w:rsidRDefault="0047082F" w:rsidP="000763AE">
      <w:pPr>
        <w:pStyle w:val="TOC1"/>
        <w:tabs>
          <w:tab w:val="right" w:leader="dot" w:pos="8640"/>
        </w:tabs>
        <w:spacing w:after="120" w:line="240" w:lineRule="auto"/>
        <w:jc w:val="both"/>
        <w:rPr>
          <w:rFonts w:ascii="Times New Roman" w:hAnsi="Times New Roman" w:cs="Times New Roman"/>
          <w:color w:val="auto"/>
          <w:sz w:val="22"/>
          <w:szCs w:val="24"/>
        </w:rPr>
      </w:pPr>
      <w:r w:rsidRPr="003F4706">
        <w:rPr>
          <w:rFonts w:ascii="Times New Roman" w:hAnsi="Times New Roman" w:cs="Times New Roman"/>
          <w:b/>
          <w:color w:val="auto"/>
          <w:sz w:val="22"/>
          <w:szCs w:val="24"/>
        </w:rPr>
        <w:t>Chapter 2. Literature Review</w:t>
      </w:r>
      <w:r w:rsidRPr="003F4706">
        <w:rPr>
          <w:rFonts w:ascii="Times New Roman" w:hAnsi="Times New Roman" w:cs="Times New Roman"/>
          <w:color w:val="auto"/>
          <w:sz w:val="22"/>
          <w:szCs w:val="24"/>
        </w:rPr>
        <w:t xml:space="preserve"> </w:t>
      </w:r>
      <w:r w:rsidR="000763AE">
        <w:rPr>
          <w:rFonts w:ascii="Times New Roman" w:hAnsi="Times New Roman" w:cs="Times New Roman"/>
          <w:color w:val="auto"/>
          <w:sz w:val="22"/>
          <w:szCs w:val="24"/>
        </w:rPr>
        <w:tab/>
      </w:r>
      <w:r>
        <w:rPr>
          <w:rFonts w:ascii="Times New Roman" w:hAnsi="Times New Roman" w:cs="Times New Roman"/>
          <w:color w:val="auto"/>
          <w:sz w:val="22"/>
          <w:szCs w:val="24"/>
        </w:rPr>
        <w:t>19</w:t>
      </w:r>
      <w:r w:rsidRPr="003F4706">
        <w:rPr>
          <w:rFonts w:ascii="Times New Roman" w:hAnsi="Times New Roman" w:cs="Times New Roman"/>
          <w:color w:val="auto"/>
          <w:sz w:val="22"/>
          <w:szCs w:val="24"/>
        </w:rPr>
        <w:t>-</w:t>
      </w:r>
      <w:r>
        <w:rPr>
          <w:rFonts w:ascii="Times New Roman" w:hAnsi="Times New Roman" w:cs="Times New Roman"/>
          <w:color w:val="auto"/>
          <w:sz w:val="22"/>
          <w:szCs w:val="24"/>
        </w:rPr>
        <w:t>27</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US Healthcare System</w:t>
      </w:r>
      <w:r w:rsidR="000763AE">
        <w:rPr>
          <w:rFonts w:ascii="Times New Roman" w:hAnsi="Times New Roman"/>
          <w:szCs w:val="24"/>
        </w:rPr>
        <w:tab/>
      </w:r>
      <w:r>
        <w:rPr>
          <w:rFonts w:ascii="Times New Roman" w:hAnsi="Times New Roman"/>
          <w:szCs w:val="24"/>
        </w:rPr>
        <w:t>19</w:t>
      </w:r>
      <w:r w:rsidRPr="003F4706">
        <w:rPr>
          <w:rFonts w:ascii="Times New Roman" w:hAnsi="Times New Roman"/>
          <w:szCs w:val="24"/>
        </w:rPr>
        <w:t>-2</w:t>
      </w:r>
      <w:r>
        <w:rPr>
          <w:rFonts w:ascii="Times New Roman" w:hAnsi="Times New Roman"/>
          <w:szCs w:val="24"/>
        </w:rPr>
        <w:t>1</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Disparities in Diabetic Foot Care</w:t>
      </w:r>
      <w:r w:rsidR="000763AE" w:rsidRPr="003F4706">
        <w:rPr>
          <w:rFonts w:ascii="Times New Roman" w:hAnsi="Times New Roman"/>
          <w:szCs w:val="24"/>
        </w:rPr>
        <w:tab/>
      </w:r>
      <w:r w:rsidRPr="003F4706">
        <w:rPr>
          <w:rFonts w:ascii="Times New Roman" w:hAnsi="Times New Roman"/>
          <w:szCs w:val="24"/>
        </w:rPr>
        <w:t>2</w:t>
      </w:r>
      <w:r>
        <w:rPr>
          <w:rFonts w:ascii="Times New Roman" w:hAnsi="Times New Roman"/>
          <w:szCs w:val="24"/>
        </w:rPr>
        <w:t>1</w:t>
      </w:r>
      <w:r w:rsidRPr="003F4706">
        <w:rPr>
          <w:rFonts w:ascii="Times New Roman" w:hAnsi="Times New Roman"/>
          <w:szCs w:val="24"/>
        </w:rPr>
        <w:t>-2</w:t>
      </w:r>
      <w:r>
        <w:rPr>
          <w:rFonts w:ascii="Times New Roman" w:hAnsi="Times New Roman"/>
          <w:szCs w:val="24"/>
        </w:rPr>
        <w:t>2</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Patient Characteristics</w:t>
      </w:r>
      <w:r w:rsidR="000763AE" w:rsidRPr="003F4706">
        <w:rPr>
          <w:rFonts w:ascii="Times New Roman" w:hAnsi="Times New Roman"/>
          <w:szCs w:val="24"/>
        </w:rPr>
        <w:tab/>
      </w:r>
      <w:r w:rsidRPr="003F4706">
        <w:rPr>
          <w:rFonts w:ascii="Times New Roman" w:hAnsi="Times New Roman"/>
          <w:szCs w:val="24"/>
        </w:rPr>
        <w:t>2</w:t>
      </w:r>
      <w:r>
        <w:rPr>
          <w:rFonts w:ascii="Times New Roman" w:hAnsi="Times New Roman"/>
          <w:szCs w:val="24"/>
        </w:rPr>
        <w:t>2</w:t>
      </w:r>
      <w:r w:rsidRPr="003F4706">
        <w:rPr>
          <w:rFonts w:ascii="Times New Roman" w:hAnsi="Times New Roman"/>
          <w:szCs w:val="24"/>
        </w:rPr>
        <w:t>-2</w:t>
      </w:r>
      <w:r>
        <w:rPr>
          <w:rFonts w:ascii="Times New Roman" w:hAnsi="Times New Roman"/>
          <w:szCs w:val="24"/>
        </w:rPr>
        <w:t>4</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Provider Characteristics</w:t>
      </w:r>
      <w:r w:rsidR="000763AE" w:rsidRPr="003F4706">
        <w:rPr>
          <w:rFonts w:ascii="Times New Roman" w:hAnsi="Times New Roman"/>
          <w:szCs w:val="24"/>
        </w:rPr>
        <w:tab/>
      </w:r>
      <w:r w:rsidRPr="003F4706">
        <w:rPr>
          <w:rFonts w:ascii="Times New Roman" w:hAnsi="Times New Roman"/>
          <w:szCs w:val="24"/>
        </w:rPr>
        <w:t>2</w:t>
      </w:r>
      <w:r>
        <w:rPr>
          <w:rFonts w:ascii="Times New Roman" w:hAnsi="Times New Roman"/>
          <w:szCs w:val="24"/>
        </w:rPr>
        <w:t>4</w:t>
      </w:r>
      <w:r w:rsidRPr="003F4706">
        <w:rPr>
          <w:rFonts w:ascii="Times New Roman" w:hAnsi="Times New Roman"/>
          <w:szCs w:val="24"/>
        </w:rPr>
        <w:t>-2</w:t>
      </w:r>
      <w:r>
        <w:rPr>
          <w:rFonts w:ascii="Times New Roman" w:hAnsi="Times New Roman"/>
          <w:szCs w:val="24"/>
        </w:rPr>
        <w:t>5</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Practice Characteristics</w:t>
      </w:r>
      <w:r w:rsidR="000763AE" w:rsidRPr="003F4706">
        <w:rPr>
          <w:rFonts w:ascii="Times New Roman" w:hAnsi="Times New Roman"/>
          <w:szCs w:val="24"/>
        </w:rPr>
        <w:tab/>
      </w:r>
      <w:r w:rsidRPr="003F4706">
        <w:rPr>
          <w:rFonts w:ascii="Times New Roman" w:hAnsi="Times New Roman"/>
          <w:szCs w:val="24"/>
        </w:rPr>
        <w:t>2</w:t>
      </w:r>
      <w:r>
        <w:rPr>
          <w:rFonts w:ascii="Times New Roman" w:hAnsi="Times New Roman"/>
          <w:szCs w:val="24"/>
        </w:rPr>
        <w:t>6</w:t>
      </w:r>
      <w:r w:rsidRPr="003F4706">
        <w:rPr>
          <w:rFonts w:ascii="Times New Roman" w:hAnsi="Times New Roman"/>
          <w:szCs w:val="24"/>
        </w:rPr>
        <w:t>-2</w:t>
      </w:r>
      <w:r>
        <w:rPr>
          <w:rFonts w:ascii="Times New Roman" w:hAnsi="Times New Roman"/>
          <w:szCs w:val="24"/>
        </w:rPr>
        <w:t>7</w:t>
      </w:r>
    </w:p>
    <w:p w:rsidR="0047082F" w:rsidRPr="003F4706" w:rsidRDefault="0047082F" w:rsidP="000763AE">
      <w:pPr>
        <w:pStyle w:val="TOC1"/>
        <w:tabs>
          <w:tab w:val="right" w:leader="dot" w:pos="8640"/>
        </w:tabs>
        <w:spacing w:after="120" w:line="240" w:lineRule="auto"/>
        <w:jc w:val="both"/>
        <w:rPr>
          <w:rFonts w:ascii="Times New Roman" w:hAnsi="Times New Roman" w:cs="Times New Roman"/>
          <w:color w:val="auto"/>
          <w:sz w:val="22"/>
          <w:szCs w:val="24"/>
        </w:rPr>
      </w:pPr>
      <w:r w:rsidRPr="003F4706">
        <w:rPr>
          <w:rFonts w:ascii="Times New Roman" w:hAnsi="Times New Roman" w:cs="Times New Roman"/>
          <w:b/>
          <w:color w:val="auto"/>
          <w:sz w:val="22"/>
          <w:szCs w:val="24"/>
        </w:rPr>
        <w:t>Chapter 3 Theoretical Model</w:t>
      </w:r>
      <w:r w:rsidRPr="003F4706">
        <w:rPr>
          <w:rFonts w:ascii="Times New Roman" w:hAnsi="Times New Roman" w:cs="Times New Roman"/>
          <w:color w:val="auto"/>
          <w:sz w:val="22"/>
          <w:szCs w:val="24"/>
        </w:rPr>
        <w:t xml:space="preserve"> </w:t>
      </w:r>
      <w:r w:rsidR="000763AE">
        <w:rPr>
          <w:rFonts w:ascii="Times New Roman" w:hAnsi="Times New Roman" w:cs="Times New Roman"/>
          <w:color w:val="auto"/>
          <w:sz w:val="22"/>
          <w:szCs w:val="24"/>
        </w:rPr>
        <w:tab/>
      </w:r>
      <w:r>
        <w:rPr>
          <w:rFonts w:ascii="Times New Roman" w:hAnsi="Times New Roman" w:cs="Times New Roman"/>
          <w:color w:val="auto"/>
          <w:sz w:val="22"/>
          <w:szCs w:val="24"/>
        </w:rPr>
        <w:t>28</w:t>
      </w:r>
      <w:r w:rsidRPr="003F4706">
        <w:rPr>
          <w:rFonts w:ascii="Times New Roman" w:hAnsi="Times New Roman" w:cs="Times New Roman"/>
          <w:color w:val="auto"/>
          <w:sz w:val="22"/>
          <w:szCs w:val="24"/>
        </w:rPr>
        <w:t>-3</w:t>
      </w:r>
      <w:r>
        <w:rPr>
          <w:rFonts w:ascii="Times New Roman" w:hAnsi="Times New Roman" w:cs="Times New Roman"/>
          <w:color w:val="auto"/>
          <w:sz w:val="22"/>
          <w:szCs w:val="24"/>
        </w:rPr>
        <w:t>4</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Evolution of Social Equity Theory</w:t>
      </w:r>
      <w:r w:rsidR="000763AE">
        <w:rPr>
          <w:rFonts w:ascii="Times New Roman" w:hAnsi="Times New Roman"/>
          <w:szCs w:val="24"/>
        </w:rPr>
        <w:tab/>
      </w:r>
      <w:r>
        <w:rPr>
          <w:rFonts w:ascii="Times New Roman" w:hAnsi="Times New Roman"/>
          <w:szCs w:val="24"/>
        </w:rPr>
        <w:t>28</w:t>
      </w:r>
      <w:r w:rsidRPr="003F4706">
        <w:rPr>
          <w:rFonts w:ascii="Times New Roman" w:hAnsi="Times New Roman"/>
          <w:szCs w:val="24"/>
        </w:rPr>
        <w:t>-</w:t>
      </w:r>
      <w:r>
        <w:rPr>
          <w:rFonts w:ascii="Times New Roman" w:hAnsi="Times New Roman"/>
          <w:szCs w:val="24"/>
        </w:rPr>
        <w:t>29</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proofErr w:type="spellStart"/>
      <w:r w:rsidRPr="003F4706">
        <w:rPr>
          <w:rFonts w:ascii="Times New Roman" w:hAnsi="Times New Roman"/>
          <w:szCs w:val="24"/>
        </w:rPr>
        <w:t>Minnowbrook</w:t>
      </w:r>
      <w:proofErr w:type="spellEnd"/>
      <w:r w:rsidRPr="003F4706">
        <w:rPr>
          <w:rFonts w:ascii="Times New Roman" w:hAnsi="Times New Roman"/>
          <w:szCs w:val="24"/>
        </w:rPr>
        <w:t xml:space="preserve"> Conference and Public Administration</w:t>
      </w:r>
      <w:r w:rsidR="000763AE" w:rsidRPr="003F4706">
        <w:rPr>
          <w:rFonts w:ascii="Times New Roman" w:hAnsi="Times New Roman"/>
          <w:szCs w:val="24"/>
        </w:rPr>
        <w:tab/>
      </w:r>
      <w:r w:rsidRPr="003F4706">
        <w:rPr>
          <w:rFonts w:ascii="Times New Roman" w:hAnsi="Times New Roman"/>
          <w:szCs w:val="24"/>
        </w:rPr>
        <w:t>3</w:t>
      </w:r>
      <w:r>
        <w:rPr>
          <w:rFonts w:ascii="Times New Roman" w:hAnsi="Times New Roman"/>
          <w:szCs w:val="24"/>
        </w:rPr>
        <w:t>0</w:t>
      </w:r>
      <w:r w:rsidRPr="003F4706">
        <w:rPr>
          <w:rFonts w:ascii="Times New Roman" w:hAnsi="Times New Roman"/>
          <w:szCs w:val="24"/>
        </w:rPr>
        <w:t>-3</w:t>
      </w:r>
      <w:r>
        <w:rPr>
          <w:rFonts w:ascii="Times New Roman" w:hAnsi="Times New Roman"/>
          <w:szCs w:val="24"/>
        </w:rPr>
        <w:t>1</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 xml:space="preserve">Principles of Social Equity </w:t>
      </w:r>
      <w:r w:rsidR="000763AE" w:rsidRPr="003F4706">
        <w:rPr>
          <w:rFonts w:ascii="Times New Roman" w:hAnsi="Times New Roman"/>
          <w:szCs w:val="24"/>
        </w:rPr>
        <w:tab/>
      </w:r>
      <w:r w:rsidRPr="003F4706">
        <w:rPr>
          <w:rFonts w:ascii="Times New Roman" w:hAnsi="Times New Roman"/>
          <w:szCs w:val="24"/>
        </w:rPr>
        <w:t>3</w:t>
      </w:r>
      <w:r>
        <w:rPr>
          <w:rFonts w:ascii="Times New Roman" w:hAnsi="Times New Roman"/>
          <w:szCs w:val="24"/>
        </w:rPr>
        <w:t>1</w:t>
      </w:r>
      <w:r w:rsidRPr="003F4706">
        <w:rPr>
          <w:rFonts w:ascii="Times New Roman" w:hAnsi="Times New Roman"/>
          <w:szCs w:val="24"/>
        </w:rPr>
        <w:t>-</w:t>
      </w:r>
      <w:r>
        <w:rPr>
          <w:rFonts w:ascii="Times New Roman" w:hAnsi="Times New Roman"/>
          <w:szCs w:val="24"/>
        </w:rPr>
        <w:t>32</w:t>
      </w:r>
    </w:p>
    <w:p w:rsidR="0047082F" w:rsidRPr="003F4706" w:rsidRDefault="0047082F" w:rsidP="000763AE">
      <w:pPr>
        <w:tabs>
          <w:tab w:val="right" w:leader="dot" w:pos="8640"/>
        </w:tabs>
        <w:spacing w:after="120"/>
        <w:rPr>
          <w:sz w:val="22"/>
        </w:rPr>
      </w:pPr>
      <w:r w:rsidRPr="003F4706">
        <w:rPr>
          <w:sz w:val="22"/>
          <w:lang w:eastAsia="ja-JP"/>
        </w:rPr>
        <w:t xml:space="preserve">   Equity versus Equality</w:t>
      </w:r>
      <w:r w:rsidR="000763AE" w:rsidRPr="003F4706">
        <w:rPr>
          <w:sz w:val="22"/>
        </w:rPr>
        <w:tab/>
      </w:r>
      <w:r w:rsidRPr="003F4706">
        <w:rPr>
          <w:sz w:val="22"/>
        </w:rPr>
        <w:t>3</w:t>
      </w:r>
      <w:r>
        <w:rPr>
          <w:sz w:val="22"/>
        </w:rPr>
        <w:t>3</w:t>
      </w:r>
    </w:p>
    <w:p w:rsidR="0047082F" w:rsidRPr="003F4706" w:rsidRDefault="0047082F" w:rsidP="000763AE">
      <w:pPr>
        <w:tabs>
          <w:tab w:val="right" w:leader="dot" w:pos="8640"/>
        </w:tabs>
        <w:rPr>
          <w:sz w:val="22"/>
          <w:lang w:eastAsia="ja-JP"/>
        </w:rPr>
      </w:pPr>
      <w:r w:rsidRPr="003F4706">
        <w:rPr>
          <w:sz w:val="22"/>
        </w:rPr>
        <w:t xml:space="preserve">   Social Equity and Diabetes Care</w:t>
      </w:r>
      <w:r w:rsidR="000763AE" w:rsidRPr="003F4706">
        <w:rPr>
          <w:sz w:val="22"/>
        </w:rPr>
        <w:tab/>
      </w:r>
      <w:r w:rsidRPr="003F4706">
        <w:rPr>
          <w:sz w:val="22"/>
        </w:rPr>
        <w:t>3</w:t>
      </w:r>
      <w:r>
        <w:rPr>
          <w:sz w:val="22"/>
        </w:rPr>
        <w:t>4</w:t>
      </w:r>
    </w:p>
    <w:p w:rsidR="0047082F" w:rsidRPr="003F4706" w:rsidRDefault="0047082F" w:rsidP="000763AE">
      <w:pPr>
        <w:pStyle w:val="TOC1"/>
        <w:tabs>
          <w:tab w:val="right" w:leader="dot" w:pos="8640"/>
        </w:tabs>
        <w:spacing w:before="60" w:after="120" w:line="240" w:lineRule="auto"/>
        <w:jc w:val="both"/>
        <w:rPr>
          <w:rFonts w:ascii="Times New Roman" w:hAnsi="Times New Roman" w:cs="Times New Roman"/>
          <w:color w:val="auto"/>
          <w:sz w:val="22"/>
          <w:szCs w:val="24"/>
        </w:rPr>
      </w:pPr>
      <w:r w:rsidRPr="003F4706">
        <w:rPr>
          <w:rFonts w:ascii="Times New Roman" w:hAnsi="Times New Roman" w:cs="Times New Roman"/>
          <w:b/>
          <w:color w:val="auto"/>
          <w:sz w:val="22"/>
          <w:szCs w:val="24"/>
        </w:rPr>
        <w:t>Chapter 4 Research Design</w:t>
      </w:r>
      <w:r w:rsidRPr="003F4706">
        <w:rPr>
          <w:rFonts w:ascii="Times New Roman" w:hAnsi="Times New Roman" w:cs="Times New Roman"/>
          <w:color w:val="auto"/>
          <w:sz w:val="22"/>
          <w:szCs w:val="24"/>
        </w:rPr>
        <w:t xml:space="preserve"> </w:t>
      </w:r>
      <w:r w:rsidR="000763AE">
        <w:rPr>
          <w:rFonts w:ascii="Times New Roman" w:hAnsi="Times New Roman" w:cs="Times New Roman"/>
          <w:color w:val="auto"/>
          <w:sz w:val="22"/>
          <w:szCs w:val="24"/>
        </w:rPr>
        <w:tab/>
      </w:r>
      <w:r>
        <w:rPr>
          <w:rFonts w:ascii="Times New Roman" w:hAnsi="Times New Roman" w:cs="Times New Roman"/>
          <w:color w:val="auto"/>
          <w:sz w:val="22"/>
          <w:szCs w:val="24"/>
        </w:rPr>
        <w:t>35-75</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Research Questions</w:t>
      </w:r>
      <w:r w:rsidR="000763AE">
        <w:rPr>
          <w:rFonts w:ascii="Times New Roman" w:hAnsi="Times New Roman"/>
          <w:szCs w:val="24"/>
        </w:rPr>
        <w:tab/>
      </w:r>
      <w:r>
        <w:rPr>
          <w:rFonts w:ascii="Times New Roman" w:hAnsi="Times New Roman"/>
          <w:szCs w:val="24"/>
        </w:rPr>
        <w:t>35-37</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Data Set information</w:t>
      </w:r>
      <w:r w:rsidR="000763AE">
        <w:rPr>
          <w:rFonts w:ascii="Times New Roman" w:hAnsi="Times New Roman"/>
          <w:szCs w:val="24"/>
        </w:rPr>
        <w:tab/>
      </w:r>
      <w:r>
        <w:rPr>
          <w:rFonts w:ascii="Times New Roman" w:hAnsi="Times New Roman"/>
          <w:szCs w:val="24"/>
        </w:rPr>
        <w:t>37-43</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Univariate Analysis</w:t>
      </w:r>
      <w:r w:rsidR="000763AE">
        <w:rPr>
          <w:rFonts w:ascii="Times New Roman" w:hAnsi="Times New Roman"/>
          <w:szCs w:val="24"/>
        </w:rPr>
        <w:tab/>
      </w:r>
      <w:r>
        <w:rPr>
          <w:rFonts w:ascii="Times New Roman" w:hAnsi="Times New Roman"/>
          <w:szCs w:val="24"/>
        </w:rPr>
        <w:t>44-54</w:t>
      </w:r>
    </w:p>
    <w:p w:rsidR="0047082F" w:rsidRPr="003F4706" w:rsidRDefault="0047082F" w:rsidP="000763AE">
      <w:pPr>
        <w:pStyle w:val="TOC2"/>
        <w:tabs>
          <w:tab w:val="right" w:leader="dot" w:pos="8640"/>
        </w:tabs>
        <w:spacing w:after="120" w:line="240" w:lineRule="auto"/>
        <w:ind w:left="216"/>
        <w:jc w:val="both"/>
        <w:rPr>
          <w:rFonts w:ascii="Times New Roman" w:hAnsi="Times New Roman"/>
          <w:b/>
          <w:bCs/>
          <w:szCs w:val="24"/>
        </w:rPr>
      </w:pPr>
      <w:r w:rsidRPr="003F4706">
        <w:rPr>
          <w:rFonts w:ascii="Times New Roman" w:hAnsi="Times New Roman"/>
          <w:szCs w:val="24"/>
        </w:rPr>
        <w:t>Bivariate Analysis</w:t>
      </w:r>
      <w:r w:rsidR="000763AE">
        <w:rPr>
          <w:rFonts w:ascii="Times New Roman" w:hAnsi="Times New Roman"/>
          <w:szCs w:val="24"/>
        </w:rPr>
        <w:tab/>
      </w:r>
      <w:r>
        <w:rPr>
          <w:rFonts w:ascii="Times New Roman" w:hAnsi="Times New Roman"/>
          <w:szCs w:val="24"/>
        </w:rPr>
        <w:t>55-65</w:t>
      </w:r>
    </w:p>
    <w:p w:rsidR="0047082F" w:rsidRPr="003F4706" w:rsidRDefault="0047082F" w:rsidP="000763AE">
      <w:pPr>
        <w:tabs>
          <w:tab w:val="right" w:leader="dot" w:pos="8640"/>
        </w:tabs>
        <w:spacing w:before="120" w:after="120"/>
        <w:jc w:val="both"/>
        <w:rPr>
          <w:sz w:val="22"/>
          <w:lang w:eastAsia="ja-JP"/>
        </w:rPr>
      </w:pPr>
      <w:r w:rsidRPr="003F4706">
        <w:rPr>
          <w:sz w:val="22"/>
        </w:rPr>
        <w:t xml:space="preserve">   Multivariate Analysis</w:t>
      </w:r>
      <w:r w:rsidR="000763AE">
        <w:rPr>
          <w:sz w:val="22"/>
        </w:rPr>
        <w:tab/>
      </w:r>
      <w:r>
        <w:rPr>
          <w:sz w:val="22"/>
        </w:rPr>
        <w:t>66-75</w:t>
      </w:r>
    </w:p>
    <w:p w:rsidR="0047082F" w:rsidRPr="003F4706" w:rsidRDefault="0047082F" w:rsidP="000763AE">
      <w:pPr>
        <w:pStyle w:val="TOC1"/>
        <w:tabs>
          <w:tab w:val="right" w:leader="dot" w:pos="8640"/>
        </w:tabs>
        <w:spacing w:after="120" w:line="240" w:lineRule="auto"/>
        <w:jc w:val="both"/>
        <w:rPr>
          <w:rFonts w:ascii="Times New Roman" w:hAnsi="Times New Roman" w:cs="Times New Roman"/>
          <w:color w:val="auto"/>
          <w:sz w:val="22"/>
          <w:szCs w:val="24"/>
        </w:rPr>
      </w:pPr>
      <w:r w:rsidRPr="003F4706">
        <w:rPr>
          <w:rFonts w:ascii="Times New Roman" w:hAnsi="Times New Roman" w:cs="Times New Roman"/>
          <w:b/>
          <w:color w:val="auto"/>
          <w:sz w:val="22"/>
          <w:szCs w:val="24"/>
        </w:rPr>
        <w:t>Chapter 5 Discussion</w:t>
      </w:r>
      <w:r w:rsidRPr="003F4706">
        <w:rPr>
          <w:rFonts w:ascii="Times New Roman" w:hAnsi="Times New Roman" w:cs="Times New Roman"/>
          <w:color w:val="auto"/>
          <w:sz w:val="22"/>
          <w:szCs w:val="24"/>
        </w:rPr>
        <w:t xml:space="preserve"> </w:t>
      </w:r>
      <w:r w:rsidR="000763AE">
        <w:rPr>
          <w:rFonts w:ascii="Times New Roman" w:hAnsi="Times New Roman" w:cs="Times New Roman"/>
          <w:color w:val="auto"/>
          <w:sz w:val="22"/>
          <w:szCs w:val="24"/>
        </w:rPr>
        <w:tab/>
      </w:r>
      <w:r>
        <w:rPr>
          <w:rFonts w:ascii="Times New Roman" w:hAnsi="Times New Roman" w:cs="Times New Roman"/>
          <w:color w:val="auto"/>
          <w:sz w:val="22"/>
          <w:szCs w:val="24"/>
        </w:rPr>
        <w:t>76-91</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 xml:space="preserve">Public Administration Significance </w:t>
      </w:r>
      <w:r w:rsidR="000763AE">
        <w:rPr>
          <w:rFonts w:ascii="Times New Roman" w:hAnsi="Times New Roman"/>
          <w:szCs w:val="24"/>
        </w:rPr>
        <w:tab/>
      </w:r>
      <w:r>
        <w:rPr>
          <w:rFonts w:ascii="Times New Roman" w:hAnsi="Times New Roman"/>
          <w:szCs w:val="24"/>
        </w:rPr>
        <w:t>84-85</w:t>
      </w:r>
    </w:p>
    <w:p w:rsidR="0047082F" w:rsidRPr="003F4706" w:rsidRDefault="0047082F" w:rsidP="000763AE">
      <w:pPr>
        <w:pStyle w:val="TOC2"/>
        <w:tabs>
          <w:tab w:val="right" w:leader="dot" w:pos="8640"/>
        </w:tabs>
        <w:spacing w:after="120" w:line="240" w:lineRule="auto"/>
        <w:ind w:left="0"/>
        <w:jc w:val="both"/>
        <w:rPr>
          <w:rFonts w:ascii="Times New Roman" w:hAnsi="Times New Roman"/>
          <w:szCs w:val="24"/>
        </w:rPr>
      </w:pPr>
      <w:r w:rsidRPr="003F4706">
        <w:rPr>
          <w:rFonts w:ascii="Times New Roman" w:hAnsi="Times New Roman"/>
          <w:b/>
          <w:bCs/>
          <w:szCs w:val="24"/>
        </w:rPr>
        <w:t xml:space="preserve">    </w:t>
      </w:r>
      <w:r>
        <w:rPr>
          <w:rFonts w:ascii="Times New Roman" w:hAnsi="Times New Roman"/>
          <w:szCs w:val="24"/>
        </w:rPr>
        <w:t>Strengths</w:t>
      </w:r>
      <w:r w:rsidRPr="003F4706">
        <w:rPr>
          <w:rFonts w:ascii="Times New Roman" w:hAnsi="Times New Roman"/>
          <w:szCs w:val="24"/>
        </w:rPr>
        <w:t xml:space="preserve"> and </w:t>
      </w:r>
      <w:r>
        <w:rPr>
          <w:rFonts w:ascii="Times New Roman" w:hAnsi="Times New Roman"/>
          <w:szCs w:val="24"/>
        </w:rPr>
        <w:t>Limitations</w:t>
      </w:r>
      <w:r w:rsidRPr="003F4706">
        <w:rPr>
          <w:rFonts w:ascii="Times New Roman" w:hAnsi="Times New Roman"/>
          <w:szCs w:val="24"/>
        </w:rPr>
        <w:t xml:space="preserve"> of Study</w:t>
      </w:r>
      <w:r w:rsidR="000763AE">
        <w:rPr>
          <w:rFonts w:ascii="Times New Roman" w:hAnsi="Times New Roman"/>
          <w:szCs w:val="24"/>
        </w:rPr>
        <w:tab/>
      </w:r>
      <w:r>
        <w:rPr>
          <w:rFonts w:ascii="Times New Roman" w:hAnsi="Times New Roman"/>
          <w:szCs w:val="24"/>
        </w:rPr>
        <w:t>86-87</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Future Areas of Study</w:t>
      </w:r>
      <w:r w:rsidR="000763AE">
        <w:rPr>
          <w:rFonts w:ascii="Times New Roman" w:hAnsi="Times New Roman"/>
          <w:szCs w:val="24"/>
        </w:rPr>
        <w:tab/>
      </w:r>
      <w:r>
        <w:rPr>
          <w:rFonts w:ascii="Times New Roman" w:hAnsi="Times New Roman"/>
          <w:szCs w:val="24"/>
        </w:rPr>
        <w:t>88-89</w:t>
      </w:r>
    </w:p>
    <w:p w:rsidR="0047082F" w:rsidRPr="003F4706" w:rsidRDefault="0047082F" w:rsidP="000763AE">
      <w:pPr>
        <w:pStyle w:val="TOC2"/>
        <w:tabs>
          <w:tab w:val="right" w:leader="dot" w:pos="8640"/>
        </w:tabs>
        <w:spacing w:after="120" w:line="240" w:lineRule="auto"/>
        <w:ind w:left="216"/>
        <w:jc w:val="both"/>
        <w:rPr>
          <w:rFonts w:ascii="Times New Roman" w:hAnsi="Times New Roman"/>
          <w:szCs w:val="24"/>
        </w:rPr>
      </w:pPr>
      <w:r w:rsidRPr="003F4706">
        <w:rPr>
          <w:rFonts w:ascii="Times New Roman" w:hAnsi="Times New Roman"/>
          <w:szCs w:val="24"/>
        </w:rPr>
        <w:t xml:space="preserve">Conclusion </w:t>
      </w:r>
      <w:r w:rsidR="000763AE">
        <w:rPr>
          <w:rFonts w:ascii="Times New Roman" w:hAnsi="Times New Roman"/>
          <w:szCs w:val="24"/>
        </w:rPr>
        <w:tab/>
      </w:r>
      <w:r>
        <w:rPr>
          <w:rFonts w:ascii="Times New Roman" w:hAnsi="Times New Roman"/>
          <w:szCs w:val="24"/>
        </w:rPr>
        <w:t>90-91</w:t>
      </w:r>
    </w:p>
    <w:p w:rsidR="0047082F" w:rsidRPr="003F4706" w:rsidRDefault="0047082F" w:rsidP="000763AE">
      <w:pPr>
        <w:pStyle w:val="TOC1"/>
        <w:tabs>
          <w:tab w:val="right" w:leader="dot" w:pos="8640"/>
        </w:tabs>
        <w:spacing w:after="120" w:line="240" w:lineRule="auto"/>
        <w:jc w:val="both"/>
        <w:rPr>
          <w:rFonts w:ascii="Times New Roman" w:hAnsi="Times New Roman" w:cs="Times New Roman"/>
          <w:color w:val="auto"/>
          <w:sz w:val="22"/>
          <w:szCs w:val="24"/>
        </w:rPr>
      </w:pPr>
      <w:r w:rsidRPr="003F4706">
        <w:rPr>
          <w:rFonts w:ascii="Times New Roman" w:hAnsi="Times New Roman" w:cs="Times New Roman"/>
          <w:b/>
          <w:color w:val="auto"/>
          <w:sz w:val="22"/>
          <w:szCs w:val="24"/>
        </w:rPr>
        <w:t>References</w:t>
      </w:r>
      <w:r w:rsidRPr="003F4706">
        <w:rPr>
          <w:rFonts w:ascii="Times New Roman" w:hAnsi="Times New Roman" w:cs="Times New Roman"/>
          <w:color w:val="auto"/>
          <w:sz w:val="22"/>
          <w:szCs w:val="24"/>
        </w:rPr>
        <w:t xml:space="preserve"> </w:t>
      </w:r>
      <w:r w:rsidR="000763AE">
        <w:rPr>
          <w:rFonts w:ascii="Times New Roman" w:hAnsi="Times New Roman" w:cs="Times New Roman"/>
          <w:color w:val="auto"/>
          <w:sz w:val="22"/>
          <w:szCs w:val="24"/>
        </w:rPr>
        <w:tab/>
      </w:r>
      <w:r>
        <w:rPr>
          <w:rFonts w:ascii="Times New Roman" w:hAnsi="Times New Roman" w:cs="Times New Roman"/>
          <w:color w:val="auto"/>
          <w:sz w:val="22"/>
          <w:szCs w:val="24"/>
        </w:rPr>
        <w:t>92-100</w:t>
      </w:r>
    </w:p>
    <w:p w:rsidR="0047082F" w:rsidRDefault="0047082F" w:rsidP="000763AE">
      <w:pPr>
        <w:tabs>
          <w:tab w:val="right" w:leader="dot" w:pos="8640"/>
        </w:tabs>
      </w:pPr>
      <w:r w:rsidRPr="003F4706">
        <w:rPr>
          <w:b/>
          <w:sz w:val="22"/>
        </w:rPr>
        <w:t xml:space="preserve">Appendix </w:t>
      </w:r>
      <w:proofErr w:type="gramStart"/>
      <w:r w:rsidRPr="003F4706">
        <w:rPr>
          <w:b/>
          <w:sz w:val="22"/>
        </w:rPr>
        <w:t>A</w:t>
      </w:r>
      <w:proofErr w:type="gramEnd"/>
      <w:r w:rsidR="000763AE">
        <w:rPr>
          <w:sz w:val="22"/>
        </w:rPr>
        <w:tab/>
      </w:r>
      <w:r>
        <w:rPr>
          <w:sz w:val="22"/>
        </w:rPr>
        <w:t>101-108</w:t>
      </w:r>
    </w:p>
    <w:p w:rsidR="0047082F" w:rsidRDefault="0047082F" w:rsidP="0047082F">
      <w:pPr>
        <w:spacing w:after="200" w:line="276" w:lineRule="auto"/>
        <w:rPr>
          <w:lang w:eastAsia="ja-JP"/>
        </w:rPr>
      </w:pPr>
      <w:r>
        <w:rPr>
          <w:lang w:eastAsia="ja-JP"/>
        </w:rPr>
        <w:br w:type="page"/>
      </w:r>
    </w:p>
    <w:p w:rsidR="0047082F" w:rsidRPr="000C5643" w:rsidRDefault="0047082F" w:rsidP="0047082F">
      <w:pPr>
        <w:jc w:val="center"/>
        <w:rPr>
          <w:b/>
          <w:sz w:val="28"/>
          <w:lang w:eastAsia="ja-JP"/>
        </w:rPr>
      </w:pPr>
      <w:r w:rsidRPr="000C5643">
        <w:rPr>
          <w:b/>
          <w:sz w:val="28"/>
          <w:lang w:eastAsia="ja-JP"/>
        </w:rPr>
        <w:lastRenderedPageBreak/>
        <w:t>LIST OF TABLES AND FIGURES</w:t>
      </w:r>
    </w:p>
    <w:p w:rsidR="0047082F" w:rsidRPr="00003415" w:rsidRDefault="0047082F" w:rsidP="0047082F">
      <w:pPr>
        <w:jc w:val="both"/>
        <w:rPr>
          <w:b/>
          <w:color w:val="FF0000"/>
          <w:sz w:val="28"/>
          <w:lang w:eastAsia="ja-JP"/>
        </w:rPr>
      </w:pP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553F0F">
        <w:rPr>
          <w:rFonts w:ascii="Times New Roman" w:hAnsi="Times New Roman"/>
          <w:sz w:val="24"/>
          <w:szCs w:val="24"/>
          <w:lang w:eastAsia="ja-JP"/>
        </w:rPr>
        <w:t>Figure</w:t>
      </w:r>
      <w:r>
        <w:rPr>
          <w:rFonts w:ascii="Times New Roman" w:hAnsi="Times New Roman"/>
          <w:sz w:val="24"/>
          <w:szCs w:val="24"/>
          <w:lang w:eastAsia="ja-JP"/>
        </w:rPr>
        <w:t xml:space="preserve"> </w:t>
      </w:r>
      <w:r w:rsidRPr="00553F0F">
        <w:rPr>
          <w:rFonts w:ascii="Times New Roman" w:hAnsi="Times New Roman"/>
          <w:sz w:val="24"/>
          <w:szCs w:val="24"/>
          <w:lang w:eastAsia="ja-JP"/>
        </w:rPr>
        <w:t>1a.</w:t>
      </w:r>
      <w:r w:rsidRPr="003613EA">
        <w:rPr>
          <w:rFonts w:ascii="Times New Roman" w:hAnsi="Times New Roman"/>
          <w:sz w:val="24"/>
          <w:szCs w:val="24"/>
          <w:lang w:eastAsia="ja-JP"/>
        </w:rPr>
        <w:t xml:space="preserve"> Pathways to diabetic foot ulceration</w:t>
      </w:r>
      <w:r w:rsidRPr="00DD33B6">
        <w:rPr>
          <w:rFonts w:ascii="Times New Roman" w:hAnsi="Times New Roman"/>
          <w:b/>
          <w:sz w:val="24"/>
          <w:szCs w:val="24"/>
          <w:lang w:eastAsia="ja-JP"/>
        </w:rPr>
        <w:t xml:space="preserve">. </w:t>
      </w:r>
      <w:r w:rsidRPr="005A110C">
        <w:rPr>
          <w:rFonts w:ascii="Times New Roman" w:hAnsi="Times New Roman"/>
          <w:sz w:val="24"/>
          <w:szCs w:val="24"/>
          <w:lang w:eastAsia="ja-JP"/>
        </w:rPr>
        <w:t>p.</w:t>
      </w:r>
      <w:r>
        <w:rPr>
          <w:rFonts w:ascii="Times New Roman" w:hAnsi="Times New Roman"/>
          <w:sz w:val="24"/>
          <w:szCs w:val="24"/>
          <w:lang w:eastAsia="ja-JP"/>
        </w:rPr>
        <w:t>14</w:t>
      </w: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Pr>
          <w:rFonts w:ascii="Times New Roman" w:hAnsi="Times New Roman"/>
          <w:sz w:val="24"/>
          <w:szCs w:val="24"/>
          <w:lang w:eastAsia="ja-JP"/>
        </w:rPr>
        <w:t xml:space="preserve">Table 1. </w:t>
      </w:r>
      <w:r w:rsidRPr="0045774C">
        <w:rPr>
          <w:rFonts w:ascii="Times New Roman" w:hAnsi="Times New Roman"/>
          <w:sz w:val="24"/>
          <w:szCs w:val="24"/>
          <w:lang w:eastAsia="ja-JP"/>
        </w:rPr>
        <w:t>Current Procedural Terminology (CPT) codes and descriptions for foot</w:t>
      </w:r>
      <w:r>
        <w:rPr>
          <w:rFonts w:ascii="Times New Roman" w:hAnsi="Times New Roman"/>
          <w:sz w:val="24"/>
          <w:szCs w:val="24"/>
          <w:lang w:eastAsia="ja-JP"/>
        </w:rPr>
        <w:t xml:space="preserve"> </w:t>
      </w:r>
      <w:r w:rsidRPr="0045774C">
        <w:rPr>
          <w:rFonts w:ascii="Times New Roman" w:hAnsi="Times New Roman"/>
          <w:sz w:val="24"/>
          <w:szCs w:val="24"/>
          <w:lang w:eastAsia="ja-JP"/>
        </w:rPr>
        <w:t>exams reimbursement</w:t>
      </w:r>
      <w:r>
        <w:rPr>
          <w:rFonts w:ascii="Times New Roman" w:hAnsi="Times New Roman"/>
          <w:sz w:val="24"/>
          <w:szCs w:val="24"/>
          <w:lang w:eastAsia="ja-JP"/>
        </w:rPr>
        <w:t>. P.15</w:t>
      </w: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FB0A09">
        <w:rPr>
          <w:rFonts w:ascii="Times New Roman" w:hAnsi="Times New Roman"/>
          <w:sz w:val="24"/>
          <w:szCs w:val="24"/>
          <w:lang w:eastAsia="ja-JP"/>
        </w:rPr>
        <w:t>Figure</w:t>
      </w:r>
      <w:r>
        <w:rPr>
          <w:rFonts w:ascii="Times New Roman" w:hAnsi="Times New Roman"/>
          <w:sz w:val="24"/>
          <w:szCs w:val="24"/>
          <w:lang w:eastAsia="ja-JP"/>
        </w:rPr>
        <w:t xml:space="preserve"> </w:t>
      </w:r>
      <w:r w:rsidRPr="00FB0A09">
        <w:rPr>
          <w:rFonts w:ascii="Times New Roman" w:hAnsi="Times New Roman"/>
          <w:sz w:val="24"/>
          <w:szCs w:val="24"/>
          <w:lang w:eastAsia="ja-JP"/>
        </w:rPr>
        <w:t xml:space="preserve">2. </w:t>
      </w:r>
      <w:r w:rsidRPr="00FD6E27">
        <w:rPr>
          <w:rFonts w:ascii="Times New Roman" w:hAnsi="Times New Roman"/>
          <w:sz w:val="24"/>
          <w:szCs w:val="24"/>
          <w:lang w:eastAsia="ja-JP"/>
        </w:rPr>
        <w:t>Literature review waterfall of disparities in quality, diabetic foot and exams, provider characteristics, and practice size disparities.</w:t>
      </w:r>
      <w:r w:rsidRPr="00DC73F1">
        <w:rPr>
          <w:rFonts w:ascii="Times New Roman" w:hAnsi="Times New Roman"/>
          <w:sz w:val="24"/>
          <w:szCs w:val="24"/>
          <w:lang w:eastAsia="ja-JP"/>
        </w:rPr>
        <w:t xml:space="preserve"> p.</w:t>
      </w:r>
      <w:r>
        <w:rPr>
          <w:rFonts w:ascii="Times New Roman" w:hAnsi="Times New Roman"/>
          <w:sz w:val="24"/>
          <w:szCs w:val="24"/>
          <w:lang w:eastAsia="ja-JP"/>
        </w:rPr>
        <w:t>20</w:t>
      </w: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BE42B3">
        <w:rPr>
          <w:rFonts w:ascii="Times New Roman" w:hAnsi="Times New Roman"/>
          <w:sz w:val="24"/>
          <w:szCs w:val="24"/>
          <w:lang w:eastAsia="ja-JP"/>
        </w:rPr>
        <w:t xml:space="preserve">Figure 3.  Timeline of significant events in the 1960s prior to 1968 </w:t>
      </w:r>
      <w:proofErr w:type="spellStart"/>
      <w:r w:rsidRPr="00BE42B3">
        <w:rPr>
          <w:rFonts w:ascii="Times New Roman" w:hAnsi="Times New Roman"/>
          <w:sz w:val="24"/>
          <w:szCs w:val="24"/>
          <w:lang w:eastAsia="ja-JP"/>
        </w:rPr>
        <w:t>Minnowbrook</w:t>
      </w:r>
      <w:proofErr w:type="spellEnd"/>
      <w:r w:rsidRPr="00BE42B3">
        <w:rPr>
          <w:rFonts w:ascii="Times New Roman" w:hAnsi="Times New Roman"/>
          <w:sz w:val="24"/>
          <w:szCs w:val="24"/>
          <w:lang w:eastAsia="ja-JP"/>
        </w:rPr>
        <w:t xml:space="preserve"> Conference.</w:t>
      </w:r>
      <w:r>
        <w:rPr>
          <w:rFonts w:ascii="Times New Roman" w:hAnsi="Times New Roman"/>
          <w:sz w:val="24"/>
          <w:szCs w:val="24"/>
          <w:lang w:eastAsia="ja-JP"/>
        </w:rPr>
        <w:t xml:space="preserve"> p. 30</w:t>
      </w:r>
    </w:p>
    <w:p w:rsidR="0047082F" w:rsidRPr="00A341DB"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6761CA">
        <w:rPr>
          <w:rFonts w:ascii="Times New Roman" w:hAnsi="Times New Roman"/>
          <w:sz w:val="24"/>
          <w:szCs w:val="24"/>
          <w:lang w:eastAsia="ja-JP"/>
        </w:rPr>
        <w:t>Figure 4. Illustration of equality versus equity.</w:t>
      </w:r>
      <w:r>
        <w:rPr>
          <w:rFonts w:ascii="Times New Roman" w:hAnsi="Times New Roman"/>
          <w:sz w:val="24"/>
          <w:szCs w:val="24"/>
          <w:lang w:eastAsia="ja-JP"/>
        </w:rPr>
        <w:t xml:space="preserve"> p.33</w:t>
      </w: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D217EF">
        <w:rPr>
          <w:rFonts w:ascii="Times New Roman" w:hAnsi="Times New Roman"/>
          <w:sz w:val="24"/>
          <w:szCs w:val="24"/>
          <w:lang w:eastAsia="ja-JP"/>
        </w:rPr>
        <w:t>Table</w:t>
      </w:r>
      <w:r>
        <w:rPr>
          <w:rFonts w:ascii="Times New Roman" w:hAnsi="Times New Roman"/>
          <w:sz w:val="24"/>
          <w:szCs w:val="24"/>
          <w:lang w:eastAsia="ja-JP"/>
        </w:rPr>
        <w:t xml:space="preserve"> 2. </w:t>
      </w:r>
      <w:r w:rsidRPr="00554040">
        <w:rPr>
          <w:rFonts w:ascii="Times New Roman" w:hAnsi="Times New Roman"/>
          <w:sz w:val="24"/>
          <w:szCs w:val="24"/>
          <w:lang w:eastAsia="ja-JP"/>
        </w:rPr>
        <w:t>Inclusion criteria for diabetes-related variables selected from the 2015 NAMCS Survey data sample.</w:t>
      </w:r>
      <w:r w:rsidRPr="00872F4F">
        <w:rPr>
          <w:rFonts w:ascii="Times New Roman" w:hAnsi="Times New Roman"/>
          <w:sz w:val="24"/>
          <w:szCs w:val="24"/>
          <w:lang w:eastAsia="ja-JP"/>
        </w:rPr>
        <w:t xml:space="preserve"> p.</w:t>
      </w:r>
      <w:r>
        <w:rPr>
          <w:rFonts w:ascii="Times New Roman" w:hAnsi="Times New Roman"/>
          <w:sz w:val="24"/>
          <w:szCs w:val="24"/>
          <w:lang w:eastAsia="ja-JP"/>
        </w:rPr>
        <w:t>39</w:t>
      </w: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Pr>
          <w:rFonts w:ascii="Times New Roman" w:hAnsi="Times New Roman"/>
          <w:sz w:val="24"/>
          <w:szCs w:val="24"/>
          <w:lang w:eastAsia="ja-JP"/>
        </w:rPr>
        <w:t>Table 3</w:t>
      </w:r>
      <w:r w:rsidRPr="00D217EF">
        <w:rPr>
          <w:rFonts w:ascii="Times New Roman" w:hAnsi="Times New Roman"/>
          <w:sz w:val="24"/>
          <w:szCs w:val="24"/>
          <w:lang w:eastAsia="ja-JP"/>
        </w:rPr>
        <w:t>. List of variables and their definitions selected the NAMCS 2015 survey for the research analysis</w:t>
      </w:r>
      <w:r>
        <w:rPr>
          <w:rFonts w:ascii="Times New Roman" w:hAnsi="Times New Roman"/>
          <w:sz w:val="24"/>
          <w:szCs w:val="24"/>
          <w:lang w:eastAsia="ja-JP"/>
        </w:rPr>
        <w:t>. p.40</w:t>
      </w:r>
    </w:p>
    <w:p w:rsidR="0047082F" w:rsidRPr="00832A2E"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872F4F">
        <w:rPr>
          <w:rFonts w:ascii="Times New Roman" w:hAnsi="Times New Roman"/>
          <w:sz w:val="24"/>
          <w:szCs w:val="24"/>
          <w:lang w:eastAsia="ja-JP"/>
        </w:rPr>
        <w:t>Figure</w:t>
      </w:r>
      <w:r>
        <w:rPr>
          <w:rFonts w:ascii="Times New Roman" w:hAnsi="Times New Roman"/>
          <w:sz w:val="24"/>
          <w:szCs w:val="24"/>
          <w:lang w:eastAsia="ja-JP"/>
        </w:rPr>
        <w:t xml:space="preserve"> 5</w:t>
      </w:r>
      <w:r w:rsidRPr="00872F4F">
        <w:rPr>
          <w:rFonts w:ascii="Times New Roman" w:hAnsi="Times New Roman"/>
          <w:sz w:val="24"/>
          <w:szCs w:val="24"/>
          <w:lang w:eastAsia="ja-JP"/>
        </w:rPr>
        <w:t xml:space="preserve">. </w:t>
      </w:r>
      <w:r w:rsidRPr="004B6D2C">
        <w:rPr>
          <w:rFonts w:ascii="Times New Roman" w:hAnsi="Times New Roman"/>
          <w:sz w:val="24"/>
          <w:szCs w:val="24"/>
          <w:lang w:eastAsia="ja-JP"/>
        </w:rPr>
        <w:t xml:space="preserve">Professional Services Billing Codes: Current Procedural Terminology (CPT) codes and </w:t>
      </w:r>
      <w:r w:rsidRPr="00EA7F0F">
        <w:rPr>
          <w:rFonts w:ascii="Times New Roman" w:hAnsi="Times New Roman"/>
          <w:sz w:val="24"/>
          <w:szCs w:val="24"/>
          <w:lang w:eastAsia="ja-JP"/>
        </w:rPr>
        <w:t>breakdown for office-based evaluation and management codes.</w:t>
      </w:r>
      <w:r w:rsidRPr="00832A2E">
        <w:rPr>
          <w:rFonts w:ascii="Times New Roman" w:hAnsi="Times New Roman"/>
          <w:sz w:val="24"/>
          <w:szCs w:val="24"/>
          <w:lang w:eastAsia="ja-JP"/>
        </w:rPr>
        <w:t xml:space="preserve"> p.</w:t>
      </w:r>
      <w:r>
        <w:rPr>
          <w:rFonts w:ascii="Times New Roman" w:hAnsi="Times New Roman"/>
          <w:sz w:val="24"/>
          <w:szCs w:val="24"/>
          <w:lang w:eastAsia="ja-JP"/>
        </w:rPr>
        <w:t>41</w:t>
      </w:r>
    </w:p>
    <w:p w:rsidR="0047082F" w:rsidRPr="00554040"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EC39C5">
        <w:rPr>
          <w:rFonts w:ascii="Times New Roman" w:hAnsi="Times New Roman"/>
          <w:sz w:val="24"/>
          <w:szCs w:val="24"/>
          <w:lang w:eastAsia="ja-JP"/>
        </w:rPr>
        <w:t>Table</w:t>
      </w:r>
      <w:r>
        <w:rPr>
          <w:rFonts w:ascii="Times New Roman" w:hAnsi="Times New Roman"/>
          <w:sz w:val="24"/>
          <w:szCs w:val="24"/>
          <w:lang w:eastAsia="ja-JP"/>
        </w:rPr>
        <w:t xml:space="preserve"> 4</w:t>
      </w:r>
      <w:r w:rsidRPr="00A341DB">
        <w:rPr>
          <w:rFonts w:ascii="Times New Roman" w:hAnsi="Times New Roman"/>
          <w:sz w:val="24"/>
          <w:szCs w:val="24"/>
          <w:lang w:eastAsia="ja-JP"/>
        </w:rPr>
        <w:t>a. Descriptive data for NAMCS 2015 office visits for patients with Type1, Type2, diabetes unspecified, and those without diabete</w:t>
      </w:r>
      <w:r w:rsidRPr="00D217EF">
        <w:rPr>
          <w:rFonts w:ascii="Times New Roman" w:hAnsi="Times New Roman"/>
          <w:sz w:val="24"/>
          <w:szCs w:val="24"/>
          <w:lang w:eastAsia="ja-JP"/>
        </w:rPr>
        <w:t xml:space="preserve">s by patient characteristics.  </w:t>
      </w:r>
      <w:r>
        <w:rPr>
          <w:rFonts w:ascii="Times New Roman" w:hAnsi="Times New Roman"/>
          <w:sz w:val="24"/>
          <w:szCs w:val="24"/>
          <w:lang w:eastAsia="ja-JP"/>
        </w:rPr>
        <w:t>p. 47</w:t>
      </w:r>
    </w:p>
    <w:p w:rsidR="0047082F" w:rsidRPr="004B6D2C"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872F4F">
        <w:rPr>
          <w:rFonts w:ascii="Times New Roman" w:hAnsi="Times New Roman"/>
          <w:sz w:val="24"/>
          <w:szCs w:val="24"/>
          <w:lang w:eastAsia="ja-JP"/>
        </w:rPr>
        <w:t>Table</w:t>
      </w:r>
      <w:r>
        <w:rPr>
          <w:rFonts w:ascii="Times New Roman" w:hAnsi="Times New Roman"/>
          <w:sz w:val="24"/>
          <w:szCs w:val="24"/>
          <w:lang w:eastAsia="ja-JP"/>
        </w:rPr>
        <w:t xml:space="preserve"> 4</w:t>
      </w:r>
      <w:r w:rsidRPr="00A341DB">
        <w:rPr>
          <w:rFonts w:ascii="Times New Roman" w:hAnsi="Times New Roman"/>
          <w:sz w:val="24"/>
          <w:szCs w:val="24"/>
          <w:lang w:eastAsia="ja-JP"/>
        </w:rPr>
        <w:t>b. Descriptive data for NAMCS 2015 office visits for patients with Type1, Type2, diabetes unspecified diabetes</w:t>
      </w:r>
      <w:r w:rsidRPr="00D217EF">
        <w:rPr>
          <w:rFonts w:ascii="Times New Roman" w:hAnsi="Times New Roman"/>
          <w:sz w:val="24"/>
          <w:szCs w:val="24"/>
          <w:lang w:eastAsia="ja-JP"/>
        </w:rPr>
        <w:t>, and those without diabetes by patient characteristics</w:t>
      </w:r>
      <w:r w:rsidRPr="00554040">
        <w:rPr>
          <w:rFonts w:ascii="Times New Roman" w:hAnsi="Times New Roman"/>
          <w:sz w:val="24"/>
          <w:szCs w:val="24"/>
          <w:lang w:eastAsia="ja-JP"/>
        </w:rPr>
        <w:t>.</w:t>
      </w:r>
      <w:r>
        <w:rPr>
          <w:rFonts w:ascii="Times New Roman" w:hAnsi="Times New Roman"/>
          <w:sz w:val="24"/>
          <w:szCs w:val="24"/>
          <w:lang w:eastAsia="ja-JP"/>
        </w:rPr>
        <w:t xml:space="preserve"> p. 48</w:t>
      </w:r>
    </w:p>
    <w:p w:rsidR="0047082F" w:rsidRPr="00554040"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EA7F0F">
        <w:rPr>
          <w:rFonts w:ascii="Times New Roman" w:hAnsi="Times New Roman"/>
          <w:sz w:val="24"/>
          <w:szCs w:val="24"/>
          <w:lang w:eastAsia="ja-JP"/>
        </w:rPr>
        <w:t>Table</w:t>
      </w:r>
      <w:r>
        <w:rPr>
          <w:rFonts w:ascii="Times New Roman" w:hAnsi="Times New Roman"/>
          <w:sz w:val="24"/>
          <w:szCs w:val="24"/>
          <w:lang w:eastAsia="ja-JP"/>
        </w:rPr>
        <w:t xml:space="preserve"> 5</w:t>
      </w:r>
      <w:r w:rsidRPr="00A341DB">
        <w:rPr>
          <w:rFonts w:ascii="Times New Roman" w:hAnsi="Times New Roman"/>
          <w:sz w:val="24"/>
          <w:szCs w:val="24"/>
          <w:lang w:eastAsia="ja-JP"/>
        </w:rPr>
        <w:t>a. Descriptive data for provider types for NAMCS 2015 office visits for patients with Type1, Type 2, and diabetes unspecified</w:t>
      </w:r>
      <w:r w:rsidRPr="00D217EF">
        <w:rPr>
          <w:rFonts w:ascii="Times New Roman" w:hAnsi="Times New Roman"/>
          <w:sz w:val="24"/>
          <w:szCs w:val="24"/>
          <w:lang w:eastAsia="ja-JP"/>
        </w:rPr>
        <w:t xml:space="preserve">. p. </w:t>
      </w:r>
      <w:r>
        <w:rPr>
          <w:rFonts w:ascii="Times New Roman" w:hAnsi="Times New Roman"/>
          <w:sz w:val="24"/>
          <w:szCs w:val="24"/>
          <w:lang w:eastAsia="ja-JP"/>
        </w:rPr>
        <w:t>48</w:t>
      </w:r>
    </w:p>
    <w:p w:rsidR="0047082F" w:rsidRPr="00445925"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872F4F">
        <w:rPr>
          <w:rFonts w:ascii="Times New Roman" w:hAnsi="Times New Roman"/>
          <w:sz w:val="24"/>
          <w:szCs w:val="24"/>
        </w:rPr>
        <w:t>Table</w:t>
      </w:r>
      <w:r>
        <w:rPr>
          <w:rFonts w:ascii="Times New Roman" w:hAnsi="Times New Roman"/>
          <w:sz w:val="24"/>
          <w:szCs w:val="24"/>
        </w:rPr>
        <w:t xml:space="preserve"> 5</w:t>
      </w:r>
      <w:r w:rsidRPr="00A341DB">
        <w:rPr>
          <w:rFonts w:ascii="Times New Roman" w:hAnsi="Times New Roman"/>
          <w:sz w:val="24"/>
          <w:szCs w:val="24"/>
        </w:rPr>
        <w:t>b Descriptive data for provider types for NAMCS 2015 office visits for patients with any diagnosis of diabetes based on total provider visit count. p</w:t>
      </w:r>
      <w:r>
        <w:rPr>
          <w:rFonts w:ascii="Times New Roman" w:hAnsi="Times New Roman"/>
          <w:sz w:val="24"/>
          <w:szCs w:val="24"/>
        </w:rPr>
        <w:t>. 49</w:t>
      </w:r>
    </w:p>
    <w:p w:rsidR="0047082F" w:rsidRPr="00445925"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554040">
        <w:rPr>
          <w:rFonts w:ascii="Times New Roman" w:hAnsi="Times New Roman"/>
          <w:sz w:val="24"/>
          <w:szCs w:val="24"/>
          <w:lang w:eastAsia="ja-JP"/>
        </w:rPr>
        <w:t>Table</w:t>
      </w:r>
      <w:r>
        <w:rPr>
          <w:rFonts w:ascii="Times New Roman" w:hAnsi="Times New Roman"/>
          <w:sz w:val="24"/>
          <w:szCs w:val="24"/>
          <w:lang w:eastAsia="ja-JP"/>
        </w:rPr>
        <w:t xml:space="preserve"> 6a</w:t>
      </w:r>
      <w:r w:rsidRPr="00A341DB">
        <w:rPr>
          <w:rFonts w:ascii="Times New Roman" w:hAnsi="Times New Roman"/>
          <w:sz w:val="24"/>
          <w:szCs w:val="24"/>
          <w:lang w:eastAsia="ja-JP"/>
        </w:rPr>
        <w:t>. Descriptive data for practice setting and time spent with physician for NAMCS 2015 office visits for patients with Type1 Type2, diabetes unspecified, and without diabetes</w:t>
      </w:r>
      <w:r>
        <w:rPr>
          <w:rFonts w:ascii="Times New Roman" w:hAnsi="Times New Roman"/>
          <w:sz w:val="24"/>
          <w:szCs w:val="24"/>
          <w:lang w:eastAsia="ja-JP"/>
        </w:rPr>
        <w:t xml:space="preserve"> p. 49</w:t>
      </w:r>
    </w:p>
    <w:p w:rsidR="0047082F" w:rsidRPr="00445925"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554040">
        <w:rPr>
          <w:rFonts w:ascii="Times New Roman" w:hAnsi="Times New Roman"/>
          <w:sz w:val="24"/>
          <w:szCs w:val="24"/>
          <w:lang w:eastAsia="ja-JP"/>
        </w:rPr>
        <w:t>Table</w:t>
      </w:r>
      <w:r>
        <w:rPr>
          <w:rFonts w:ascii="Times New Roman" w:hAnsi="Times New Roman"/>
          <w:sz w:val="24"/>
          <w:szCs w:val="24"/>
          <w:lang w:eastAsia="ja-JP"/>
        </w:rPr>
        <w:t xml:space="preserve"> 6</w:t>
      </w:r>
      <w:r w:rsidRPr="00A341DB">
        <w:rPr>
          <w:rFonts w:ascii="Times New Roman" w:hAnsi="Times New Roman"/>
          <w:sz w:val="24"/>
          <w:szCs w:val="24"/>
          <w:lang w:eastAsia="ja-JP"/>
        </w:rPr>
        <w:t>b. Descriptive data for practice characteristics and time spent with physician for NAMCS 2015 office visits for patients with Type1</w:t>
      </w:r>
      <w:r w:rsidRPr="00D217EF">
        <w:rPr>
          <w:rFonts w:ascii="Times New Roman" w:hAnsi="Times New Roman"/>
          <w:sz w:val="24"/>
          <w:szCs w:val="24"/>
          <w:lang w:eastAsia="ja-JP"/>
        </w:rPr>
        <w:t>,</w:t>
      </w:r>
      <w:r w:rsidRPr="00445925">
        <w:rPr>
          <w:rFonts w:ascii="Times New Roman" w:hAnsi="Times New Roman"/>
          <w:sz w:val="24"/>
          <w:szCs w:val="24"/>
          <w:lang w:eastAsia="ja-JP"/>
        </w:rPr>
        <w:t xml:space="preserve"> Ty</w:t>
      </w:r>
      <w:r>
        <w:rPr>
          <w:rFonts w:ascii="Times New Roman" w:hAnsi="Times New Roman"/>
          <w:sz w:val="24"/>
          <w:szCs w:val="24"/>
          <w:lang w:eastAsia="ja-JP"/>
        </w:rPr>
        <w:t>pe2, diabetes unspecified. p. 50</w:t>
      </w:r>
    </w:p>
    <w:p w:rsidR="0047082F" w:rsidRPr="00A341DB"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554040">
        <w:rPr>
          <w:rFonts w:ascii="Times New Roman" w:hAnsi="Times New Roman"/>
          <w:sz w:val="24"/>
          <w:szCs w:val="24"/>
          <w:lang w:eastAsia="ja-JP"/>
        </w:rPr>
        <w:t>Table</w:t>
      </w:r>
      <w:r>
        <w:rPr>
          <w:rFonts w:ascii="Times New Roman" w:hAnsi="Times New Roman"/>
          <w:sz w:val="24"/>
          <w:szCs w:val="24"/>
          <w:lang w:eastAsia="ja-JP"/>
        </w:rPr>
        <w:t xml:space="preserve"> 6</w:t>
      </w:r>
      <w:r w:rsidRPr="00A341DB">
        <w:rPr>
          <w:rFonts w:ascii="Times New Roman" w:hAnsi="Times New Roman"/>
          <w:sz w:val="24"/>
          <w:szCs w:val="24"/>
          <w:lang w:eastAsia="ja-JP"/>
        </w:rPr>
        <w:t>c. Descriptive data for practice characteristics and diabetes education for NAMCS 2015 office visits for patients with Type1</w:t>
      </w:r>
      <w:r w:rsidRPr="00D217EF">
        <w:rPr>
          <w:rFonts w:ascii="Times New Roman" w:hAnsi="Times New Roman"/>
          <w:sz w:val="24"/>
          <w:szCs w:val="24"/>
          <w:lang w:eastAsia="ja-JP"/>
        </w:rPr>
        <w:t>,</w:t>
      </w:r>
      <w:r w:rsidRPr="00445925">
        <w:rPr>
          <w:rFonts w:ascii="Times New Roman" w:hAnsi="Times New Roman"/>
          <w:sz w:val="24"/>
          <w:szCs w:val="24"/>
          <w:lang w:eastAsia="ja-JP"/>
        </w:rPr>
        <w:t xml:space="preserve"> Type2, diab</w:t>
      </w:r>
      <w:r w:rsidRPr="008F2D62">
        <w:rPr>
          <w:rFonts w:ascii="Times New Roman" w:hAnsi="Times New Roman"/>
          <w:sz w:val="24"/>
          <w:szCs w:val="24"/>
          <w:lang w:eastAsia="ja-JP"/>
        </w:rPr>
        <w:t>etes unspecified, and without diabetes.</w:t>
      </w:r>
      <w:r w:rsidRPr="00872F4F">
        <w:rPr>
          <w:rFonts w:ascii="Times New Roman" w:hAnsi="Times New Roman"/>
          <w:sz w:val="24"/>
          <w:szCs w:val="24"/>
          <w:lang w:eastAsia="ja-JP"/>
        </w:rPr>
        <w:t xml:space="preserve"> </w:t>
      </w:r>
      <w:r>
        <w:rPr>
          <w:rFonts w:ascii="Times New Roman" w:hAnsi="Times New Roman"/>
          <w:sz w:val="24"/>
          <w:szCs w:val="24"/>
          <w:lang w:eastAsia="ja-JP"/>
        </w:rPr>
        <w:t>p. 50</w:t>
      </w:r>
    </w:p>
    <w:p w:rsidR="0047082F" w:rsidRPr="00A341DB"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553F0F">
        <w:rPr>
          <w:rFonts w:ascii="Times New Roman" w:hAnsi="Times New Roman"/>
          <w:sz w:val="24"/>
          <w:szCs w:val="24"/>
          <w:lang w:eastAsia="ja-JP"/>
        </w:rPr>
        <w:t>Table</w:t>
      </w:r>
      <w:r>
        <w:rPr>
          <w:rFonts w:ascii="Times New Roman" w:hAnsi="Times New Roman"/>
          <w:sz w:val="24"/>
          <w:szCs w:val="24"/>
          <w:lang w:eastAsia="ja-JP"/>
        </w:rPr>
        <w:t xml:space="preserve"> 7</w:t>
      </w:r>
      <w:r w:rsidRPr="00A341DB">
        <w:rPr>
          <w:rFonts w:ascii="Times New Roman" w:hAnsi="Times New Roman"/>
          <w:sz w:val="24"/>
          <w:szCs w:val="24"/>
          <w:lang w:eastAsia="ja-JP"/>
        </w:rPr>
        <w:t xml:space="preserve">. Correlation methodologies used in this research and descriptions. </w:t>
      </w:r>
      <w:r>
        <w:rPr>
          <w:rFonts w:ascii="Times New Roman" w:hAnsi="Times New Roman"/>
          <w:sz w:val="24"/>
          <w:szCs w:val="24"/>
          <w:lang w:eastAsia="ja-JP"/>
        </w:rPr>
        <w:t xml:space="preserve">p.50 </w:t>
      </w:r>
    </w:p>
    <w:p w:rsidR="0047082F" w:rsidRPr="00445925"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A341DB">
        <w:rPr>
          <w:rFonts w:ascii="Times New Roman" w:hAnsi="Times New Roman"/>
          <w:sz w:val="24"/>
          <w:szCs w:val="24"/>
          <w:lang w:eastAsia="ja-JP"/>
        </w:rPr>
        <w:t>Table</w:t>
      </w:r>
      <w:r>
        <w:rPr>
          <w:rFonts w:ascii="Times New Roman" w:hAnsi="Times New Roman"/>
          <w:sz w:val="24"/>
          <w:szCs w:val="24"/>
          <w:lang w:eastAsia="ja-JP"/>
        </w:rPr>
        <w:t xml:space="preserve"> 8</w:t>
      </w:r>
      <w:r w:rsidRPr="00A341DB">
        <w:rPr>
          <w:rFonts w:ascii="Times New Roman" w:hAnsi="Times New Roman"/>
          <w:sz w:val="24"/>
          <w:szCs w:val="24"/>
          <w:lang w:eastAsia="ja-JP"/>
        </w:rPr>
        <w:t>. Phi correlation results for selected independent nominal, dichotomous variables fr</w:t>
      </w:r>
      <w:r>
        <w:rPr>
          <w:rFonts w:ascii="Times New Roman" w:hAnsi="Times New Roman"/>
          <w:sz w:val="24"/>
          <w:szCs w:val="24"/>
          <w:lang w:eastAsia="ja-JP"/>
        </w:rPr>
        <w:t>om the 2015 NAMCS data set. p.52</w:t>
      </w:r>
    </w:p>
    <w:p w:rsidR="0047082F" w:rsidRPr="00D217E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554040">
        <w:rPr>
          <w:rFonts w:ascii="Times New Roman" w:hAnsi="Times New Roman"/>
          <w:sz w:val="24"/>
          <w:szCs w:val="24"/>
          <w:lang w:eastAsia="ja-JP"/>
        </w:rPr>
        <w:t>Table</w:t>
      </w:r>
      <w:r>
        <w:rPr>
          <w:rFonts w:ascii="Times New Roman" w:hAnsi="Times New Roman"/>
          <w:sz w:val="24"/>
          <w:szCs w:val="24"/>
          <w:lang w:eastAsia="ja-JP"/>
        </w:rPr>
        <w:t xml:space="preserve"> 9</w:t>
      </w:r>
      <w:r w:rsidRPr="00A341DB">
        <w:rPr>
          <w:rFonts w:ascii="Times New Roman" w:hAnsi="Times New Roman"/>
          <w:sz w:val="24"/>
          <w:szCs w:val="24"/>
          <w:lang w:eastAsia="ja-JP"/>
        </w:rPr>
        <w:t>. Cramer’s correlation results for selected independent variables fro</w:t>
      </w:r>
      <w:r>
        <w:rPr>
          <w:rFonts w:ascii="Times New Roman" w:hAnsi="Times New Roman"/>
          <w:sz w:val="24"/>
          <w:szCs w:val="24"/>
          <w:lang w:eastAsia="ja-JP"/>
        </w:rPr>
        <w:t>m the 2015 NAMCS data set. p. 53</w:t>
      </w:r>
    </w:p>
    <w:p w:rsidR="0047082F" w:rsidRPr="00445925"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554040">
        <w:rPr>
          <w:rFonts w:ascii="Times New Roman" w:hAnsi="Times New Roman"/>
          <w:sz w:val="24"/>
          <w:szCs w:val="24"/>
          <w:lang w:eastAsia="ja-JP"/>
        </w:rPr>
        <w:lastRenderedPageBreak/>
        <w:t>T</w:t>
      </w:r>
      <w:r w:rsidRPr="00872F4F">
        <w:rPr>
          <w:rFonts w:ascii="Times New Roman" w:hAnsi="Times New Roman"/>
          <w:sz w:val="24"/>
          <w:szCs w:val="24"/>
          <w:lang w:eastAsia="ja-JP"/>
        </w:rPr>
        <w:t>able</w:t>
      </w:r>
      <w:r>
        <w:rPr>
          <w:rFonts w:ascii="Times New Roman" w:hAnsi="Times New Roman"/>
          <w:sz w:val="24"/>
          <w:szCs w:val="24"/>
          <w:lang w:eastAsia="ja-JP"/>
        </w:rPr>
        <w:t xml:space="preserve"> 10</w:t>
      </w:r>
      <w:r w:rsidRPr="00A341DB">
        <w:rPr>
          <w:rFonts w:ascii="Times New Roman" w:hAnsi="Times New Roman"/>
          <w:sz w:val="24"/>
          <w:szCs w:val="24"/>
          <w:lang w:eastAsia="ja-JP"/>
        </w:rPr>
        <w:t>. Rank-</w:t>
      </w:r>
      <w:proofErr w:type="spellStart"/>
      <w:r w:rsidRPr="00A341DB">
        <w:rPr>
          <w:rFonts w:ascii="Times New Roman" w:hAnsi="Times New Roman"/>
          <w:sz w:val="24"/>
          <w:szCs w:val="24"/>
          <w:lang w:eastAsia="ja-JP"/>
        </w:rPr>
        <w:t>biserial</w:t>
      </w:r>
      <w:proofErr w:type="spellEnd"/>
      <w:r w:rsidRPr="00A341DB">
        <w:rPr>
          <w:rFonts w:ascii="Times New Roman" w:hAnsi="Times New Roman"/>
          <w:sz w:val="24"/>
          <w:szCs w:val="24"/>
          <w:lang w:eastAsia="ja-JP"/>
        </w:rPr>
        <w:t xml:space="preserve"> correlation results for selected independent nominal, dichotomous variables fro</w:t>
      </w:r>
      <w:r>
        <w:rPr>
          <w:rFonts w:ascii="Times New Roman" w:hAnsi="Times New Roman"/>
          <w:sz w:val="24"/>
          <w:szCs w:val="24"/>
          <w:lang w:eastAsia="ja-JP"/>
        </w:rPr>
        <w:t>m the 2015 NAMCS data set. p. 54</w:t>
      </w:r>
    </w:p>
    <w:p w:rsidR="0047082F" w:rsidRPr="00A341DB"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554040">
        <w:rPr>
          <w:rFonts w:ascii="Times New Roman" w:hAnsi="Times New Roman"/>
          <w:sz w:val="24"/>
          <w:szCs w:val="24"/>
          <w:lang w:eastAsia="ja-JP"/>
        </w:rPr>
        <w:t>Table</w:t>
      </w:r>
      <w:r>
        <w:rPr>
          <w:rFonts w:ascii="Times New Roman" w:hAnsi="Times New Roman"/>
          <w:sz w:val="24"/>
          <w:szCs w:val="24"/>
          <w:lang w:eastAsia="ja-JP"/>
        </w:rPr>
        <w:t xml:space="preserve"> 11</w:t>
      </w:r>
      <w:r w:rsidRPr="00A341DB">
        <w:rPr>
          <w:rFonts w:ascii="Times New Roman" w:hAnsi="Times New Roman"/>
          <w:sz w:val="24"/>
          <w:szCs w:val="24"/>
          <w:lang w:eastAsia="ja-JP"/>
        </w:rPr>
        <w:t>. Number of patients from the NAMCS 2015 survey who received did and did not receive a foot exam and with and without the presence of diabetes from</w:t>
      </w:r>
      <w:r>
        <w:rPr>
          <w:rFonts w:ascii="Times New Roman" w:hAnsi="Times New Roman"/>
          <w:sz w:val="24"/>
          <w:szCs w:val="24"/>
          <w:lang w:eastAsia="ja-JP"/>
        </w:rPr>
        <w:t xml:space="preserve"> the full sample of visits. p.56</w:t>
      </w:r>
    </w:p>
    <w:p w:rsidR="0047082F" w:rsidRPr="00D217E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A341DB">
        <w:rPr>
          <w:rFonts w:ascii="Times New Roman" w:hAnsi="Times New Roman"/>
          <w:sz w:val="24"/>
          <w:szCs w:val="24"/>
          <w:lang w:eastAsia="ja-JP"/>
        </w:rPr>
        <w:t>Table</w:t>
      </w:r>
      <w:r>
        <w:rPr>
          <w:rFonts w:ascii="Times New Roman" w:hAnsi="Times New Roman"/>
          <w:sz w:val="24"/>
          <w:szCs w:val="24"/>
          <w:lang w:eastAsia="ja-JP"/>
        </w:rPr>
        <w:t xml:space="preserve"> </w:t>
      </w:r>
      <w:r w:rsidRPr="00A341DB">
        <w:rPr>
          <w:rFonts w:ascii="Times New Roman" w:hAnsi="Times New Roman"/>
          <w:sz w:val="24"/>
          <w:szCs w:val="24"/>
          <w:lang w:eastAsia="ja-JP"/>
        </w:rPr>
        <w:t>1</w:t>
      </w:r>
      <w:r>
        <w:rPr>
          <w:rFonts w:ascii="Times New Roman" w:hAnsi="Times New Roman"/>
          <w:sz w:val="24"/>
          <w:szCs w:val="24"/>
          <w:lang w:eastAsia="ja-JP"/>
        </w:rPr>
        <w:t>2</w:t>
      </w:r>
      <w:r w:rsidRPr="00A341DB">
        <w:rPr>
          <w:rFonts w:ascii="Times New Roman" w:hAnsi="Times New Roman"/>
          <w:sz w:val="24"/>
          <w:szCs w:val="24"/>
          <w:lang w:eastAsia="ja-JP"/>
        </w:rPr>
        <w:t xml:space="preserve">. Bivariate analysis for visits with diabetes from the NAMCS 2015 survey who </w:t>
      </w:r>
      <w:r>
        <w:rPr>
          <w:rFonts w:ascii="Times New Roman" w:hAnsi="Times New Roman"/>
          <w:sz w:val="24"/>
          <w:szCs w:val="24"/>
          <w:lang w:eastAsia="ja-JP"/>
        </w:rPr>
        <w:t>received a foot exam.  p. 57</w:t>
      </w: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554040">
        <w:rPr>
          <w:rFonts w:ascii="Times New Roman" w:hAnsi="Times New Roman"/>
          <w:sz w:val="24"/>
          <w:szCs w:val="24"/>
          <w:lang w:eastAsia="ja-JP"/>
        </w:rPr>
        <w:t>Table</w:t>
      </w:r>
      <w:r>
        <w:rPr>
          <w:rFonts w:ascii="Times New Roman" w:hAnsi="Times New Roman"/>
          <w:sz w:val="24"/>
          <w:szCs w:val="24"/>
          <w:lang w:eastAsia="ja-JP"/>
        </w:rPr>
        <w:t xml:space="preserve"> </w:t>
      </w:r>
      <w:r w:rsidRPr="00554040">
        <w:rPr>
          <w:rFonts w:ascii="Times New Roman" w:hAnsi="Times New Roman"/>
          <w:sz w:val="24"/>
          <w:szCs w:val="24"/>
          <w:lang w:eastAsia="ja-JP"/>
        </w:rPr>
        <w:t>1</w:t>
      </w:r>
      <w:r>
        <w:rPr>
          <w:rFonts w:ascii="Times New Roman" w:hAnsi="Times New Roman"/>
          <w:sz w:val="24"/>
          <w:szCs w:val="24"/>
          <w:lang w:eastAsia="ja-JP"/>
        </w:rPr>
        <w:t>3.</w:t>
      </w:r>
      <w:r w:rsidRPr="00A341DB">
        <w:rPr>
          <w:rFonts w:ascii="Times New Roman" w:hAnsi="Times New Roman"/>
          <w:sz w:val="24"/>
          <w:szCs w:val="24"/>
          <w:lang w:eastAsia="ja-JP"/>
        </w:rPr>
        <w:t xml:space="preserve"> Phi coefficient for visits with diabetes based on type of diabetes from the NAMCS 2015 survey </w:t>
      </w:r>
      <w:r>
        <w:rPr>
          <w:rFonts w:ascii="Times New Roman" w:hAnsi="Times New Roman"/>
          <w:sz w:val="24"/>
          <w:szCs w:val="24"/>
          <w:lang w:eastAsia="ja-JP"/>
        </w:rPr>
        <w:t>who received a foot exam. p. 57</w:t>
      </w:r>
    </w:p>
    <w:p w:rsidR="0047082F" w:rsidRPr="00554040"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A341DB">
        <w:rPr>
          <w:rFonts w:ascii="Times New Roman" w:hAnsi="Times New Roman"/>
          <w:sz w:val="24"/>
          <w:szCs w:val="24"/>
          <w:lang w:eastAsia="ja-JP"/>
        </w:rPr>
        <w:t>Table</w:t>
      </w:r>
      <w:r>
        <w:rPr>
          <w:rFonts w:ascii="Times New Roman" w:hAnsi="Times New Roman"/>
          <w:sz w:val="24"/>
          <w:szCs w:val="24"/>
          <w:lang w:eastAsia="ja-JP"/>
        </w:rPr>
        <w:t xml:space="preserve"> </w:t>
      </w:r>
      <w:r w:rsidRPr="00A341DB">
        <w:rPr>
          <w:rFonts w:ascii="Times New Roman" w:hAnsi="Times New Roman"/>
          <w:sz w:val="24"/>
          <w:szCs w:val="24"/>
          <w:lang w:eastAsia="ja-JP"/>
        </w:rPr>
        <w:t>1</w:t>
      </w:r>
      <w:r>
        <w:rPr>
          <w:rFonts w:ascii="Times New Roman" w:hAnsi="Times New Roman"/>
          <w:sz w:val="24"/>
          <w:szCs w:val="24"/>
          <w:lang w:eastAsia="ja-JP"/>
        </w:rPr>
        <w:t>4</w:t>
      </w:r>
      <w:r w:rsidRPr="00A341DB">
        <w:rPr>
          <w:rFonts w:ascii="Times New Roman" w:hAnsi="Times New Roman"/>
          <w:sz w:val="24"/>
          <w:szCs w:val="24"/>
          <w:lang w:eastAsia="ja-JP"/>
        </w:rPr>
        <w:t>. Bivariate analysis results of 2015 NAMCS data for foots exams performed during a</w:t>
      </w:r>
      <w:r w:rsidRPr="00D217EF">
        <w:rPr>
          <w:rFonts w:ascii="Times New Roman" w:hAnsi="Times New Roman"/>
          <w:sz w:val="24"/>
          <w:szCs w:val="24"/>
          <w:lang w:eastAsia="ja-JP"/>
        </w:rPr>
        <w:t>n ambulatory visit for patients with diabetes based o</w:t>
      </w:r>
      <w:r w:rsidRPr="00445925">
        <w:rPr>
          <w:rFonts w:ascii="Times New Roman" w:hAnsi="Times New Roman"/>
          <w:sz w:val="24"/>
          <w:szCs w:val="24"/>
          <w:lang w:eastAsia="ja-JP"/>
        </w:rPr>
        <w:t>n patient characteristics.</w:t>
      </w:r>
      <w:r>
        <w:rPr>
          <w:rFonts w:ascii="Times New Roman" w:hAnsi="Times New Roman"/>
          <w:sz w:val="24"/>
          <w:szCs w:val="24"/>
          <w:lang w:eastAsia="ja-JP"/>
        </w:rPr>
        <w:t xml:space="preserve"> p. 62</w:t>
      </w:r>
    </w:p>
    <w:p w:rsidR="0047082F" w:rsidRPr="00553F0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665505">
        <w:rPr>
          <w:rFonts w:ascii="Times New Roman" w:hAnsi="Times New Roman"/>
          <w:sz w:val="24"/>
          <w:szCs w:val="24"/>
          <w:lang w:eastAsia="ja-JP"/>
        </w:rPr>
        <w:t>Table</w:t>
      </w:r>
      <w:r>
        <w:rPr>
          <w:rFonts w:ascii="Times New Roman" w:hAnsi="Times New Roman"/>
          <w:sz w:val="24"/>
          <w:szCs w:val="24"/>
          <w:lang w:eastAsia="ja-JP"/>
        </w:rPr>
        <w:t xml:space="preserve"> </w:t>
      </w:r>
      <w:r w:rsidRPr="00665505">
        <w:rPr>
          <w:rFonts w:ascii="Times New Roman" w:hAnsi="Times New Roman"/>
          <w:sz w:val="24"/>
          <w:szCs w:val="24"/>
          <w:lang w:eastAsia="ja-JP"/>
        </w:rPr>
        <w:t>1</w:t>
      </w:r>
      <w:r>
        <w:rPr>
          <w:rFonts w:ascii="Times New Roman" w:hAnsi="Times New Roman"/>
          <w:sz w:val="24"/>
          <w:szCs w:val="24"/>
          <w:lang w:eastAsia="ja-JP"/>
        </w:rPr>
        <w:t>5</w:t>
      </w:r>
      <w:r w:rsidRPr="00665505">
        <w:rPr>
          <w:rFonts w:ascii="Times New Roman" w:hAnsi="Times New Roman"/>
          <w:sz w:val="24"/>
          <w:szCs w:val="24"/>
          <w:lang w:eastAsia="ja-JP"/>
        </w:rPr>
        <w:t xml:space="preserve">. Bivariate analysis results of 2015 NAMCS data for foots exams performed during an ambulatory visit for patients with diabetes based on provider characteristics. </w:t>
      </w:r>
      <w:r>
        <w:rPr>
          <w:rFonts w:ascii="Times New Roman" w:hAnsi="Times New Roman"/>
          <w:sz w:val="24"/>
          <w:szCs w:val="24"/>
          <w:lang w:eastAsia="ja-JP"/>
        </w:rPr>
        <w:t>p. 62</w:t>
      </w: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665505">
        <w:rPr>
          <w:rFonts w:ascii="Times New Roman" w:hAnsi="Times New Roman"/>
          <w:sz w:val="24"/>
          <w:szCs w:val="24"/>
        </w:rPr>
        <w:t>Table</w:t>
      </w:r>
      <w:r>
        <w:rPr>
          <w:rFonts w:ascii="Times New Roman" w:hAnsi="Times New Roman"/>
          <w:sz w:val="24"/>
          <w:szCs w:val="24"/>
        </w:rPr>
        <w:t xml:space="preserve"> </w:t>
      </w:r>
      <w:r w:rsidRPr="00665505">
        <w:rPr>
          <w:rFonts w:ascii="Times New Roman" w:hAnsi="Times New Roman"/>
          <w:sz w:val="24"/>
          <w:szCs w:val="24"/>
        </w:rPr>
        <w:t>1</w:t>
      </w:r>
      <w:r>
        <w:rPr>
          <w:rFonts w:ascii="Times New Roman" w:hAnsi="Times New Roman"/>
          <w:sz w:val="24"/>
          <w:szCs w:val="24"/>
        </w:rPr>
        <w:t>6</w:t>
      </w:r>
      <w:r w:rsidRPr="00665505">
        <w:rPr>
          <w:rFonts w:ascii="Times New Roman" w:hAnsi="Times New Roman"/>
          <w:sz w:val="24"/>
          <w:szCs w:val="24"/>
        </w:rPr>
        <w:t>. Bivariate analysis results of 2015 NAMCS data for foots exams performed during an ambulatory visit for patients with diabetes b</w:t>
      </w:r>
      <w:r>
        <w:rPr>
          <w:rFonts w:ascii="Times New Roman" w:hAnsi="Times New Roman"/>
          <w:sz w:val="24"/>
          <w:szCs w:val="24"/>
        </w:rPr>
        <w:t>ased on practice settings. p.63</w:t>
      </w:r>
    </w:p>
    <w:p w:rsidR="0047082F" w:rsidRPr="007071DA"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DD67DF">
        <w:rPr>
          <w:rFonts w:ascii="Times New Roman" w:hAnsi="Times New Roman"/>
          <w:sz w:val="24"/>
          <w:szCs w:val="24"/>
          <w:lang w:eastAsia="ja-JP"/>
        </w:rPr>
        <w:t>Table 17- Bivariate analysis results of 2015 NAMCS data based on regions during an ambulatory visit for patients with diabetes based on patient, provider, and practice characteristics.</w:t>
      </w:r>
      <w:r>
        <w:rPr>
          <w:rFonts w:ascii="Times New Roman" w:hAnsi="Times New Roman"/>
          <w:sz w:val="24"/>
          <w:szCs w:val="24"/>
          <w:lang w:eastAsia="ja-JP"/>
        </w:rPr>
        <w:t xml:space="preserve"> p.65</w:t>
      </w:r>
    </w:p>
    <w:p w:rsidR="0047082F" w:rsidRPr="00553F0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665505">
        <w:rPr>
          <w:rFonts w:ascii="Times New Roman" w:hAnsi="Times New Roman"/>
          <w:sz w:val="24"/>
          <w:szCs w:val="24"/>
          <w:lang w:eastAsia="ja-JP"/>
        </w:rPr>
        <w:t>Table</w:t>
      </w:r>
      <w:r>
        <w:rPr>
          <w:rFonts w:ascii="Times New Roman" w:hAnsi="Times New Roman"/>
          <w:sz w:val="24"/>
          <w:szCs w:val="24"/>
          <w:lang w:eastAsia="ja-JP"/>
        </w:rPr>
        <w:t xml:space="preserve"> </w:t>
      </w:r>
      <w:r w:rsidRPr="00665505">
        <w:rPr>
          <w:rFonts w:ascii="Times New Roman" w:hAnsi="Times New Roman"/>
          <w:sz w:val="24"/>
          <w:szCs w:val="24"/>
          <w:lang w:eastAsia="ja-JP"/>
        </w:rPr>
        <w:t>1</w:t>
      </w:r>
      <w:r>
        <w:rPr>
          <w:rFonts w:ascii="Times New Roman" w:hAnsi="Times New Roman"/>
          <w:sz w:val="24"/>
          <w:szCs w:val="24"/>
          <w:lang w:eastAsia="ja-JP"/>
        </w:rPr>
        <w:t>8</w:t>
      </w:r>
      <w:r w:rsidRPr="00665505">
        <w:rPr>
          <w:rFonts w:ascii="Times New Roman" w:hAnsi="Times New Roman"/>
          <w:sz w:val="24"/>
          <w:szCs w:val="24"/>
          <w:lang w:eastAsia="ja-JP"/>
        </w:rPr>
        <w:t>. Categorical Variables with definitions and reference variables for full model and likelihood ratio analysis.</w:t>
      </w:r>
      <w:r>
        <w:rPr>
          <w:rFonts w:ascii="Times New Roman" w:hAnsi="Times New Roman"/>
          <w:sz w:val="24"/>
          <w:szCs w:val="24"/>
          <w:lang w:eastAsia="ja-JP"/>
        </w:rPr>
        <w:t xml:space="preserve"> p.68</w:t>
      </w:r>
    </w:p>
    <w:p w:rsidR="0047082F" w:rsidRPr="00665505"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sidRPr="00665505">
        <w:rPr>
          <w:rFonts w:ascii="Times New Roman" w:hAnsi="Times New Roman"/>
          <w:sz w:val="24"/>
          <w:szCs w:val="24"/>
        </w:rPr>
        <w:t>Table</w:t>
      </w:r>
      <w:r>
        <w:rPr>
          <w:rFonts w:ascii="Times New Roman" w:hAnsi="Times New Roman"/>
          <w:sz w:val="24"/>
          <w:szCs w:val="24"/>
        </w:rPr>
        <w:t xml:space="preserve"> 19</w:t>
      </w:r>
      <w:r w:rsidRPr="00665505">
        <w:rPr>
          <w:rFonts w:ascii="Times New Roman" w:hAnsi="Times New Roman"/>
          <w:sz w:val="24"/>
          <w:szCs w:val="24"/>
        </w:rPr>
        <w:t xml:space="preserve">. Classification table for the SPSS output of binary regression analysis for prediction of foot exam on a 2015 NAMCS visits with diabetes diagnosis for the null model. </w:t>
      </w:r>
      <w:r>
        <w:rPr>
          <w:rFonts w:ascii="Times New Roman" w:hAnsi="Times New Roman"/>
          <w:sz w:val="24"/>
          <w:szCs w:val="24"/>
        </w:rPr>
        <w:t>p.69</w:t>
      </w:r>
    </w:p>
    <w:p w:rsidR="0047082F" w:rsidRPr="00553F0F" w:rsidRDefault="0047082F" w:rsidP="0047082F">
      <w:pPr>
        <w:pStyle w:val="ListParagraph"/>
        <w:numPr>
          <w:ilvl w:val="0"/>
          <w:numId w:val="11"/>
        </w:numPr>
        <w:spacing w:after="60" w:line="240" w:lineRule="auto"/>
        <w:contextualSpacing w:val="0"/>
        <w:jc w:val="both"/>
        <w:rPr>
          <w:rFonts w:ascii="Times New Roman" w:hAnsi="Times New Roman"/>
          <w:sz w:val="24"/>
          <w:szCs w:val="24"/>
          <w:lang w:eastAsia="ja-JP"/>
        </w:rPr>
      </w:pPr>
      <w:r w:rsidRPr="00665505">
        <w:rPr>
          <w:rFonts w:ascii="Times New Roman" w:hAnsi="Times New Roman"/>
          <w:sz w:val="24"/>
          <w:szCs w:val="24"/>
          <w:lang w:eastAsia="ja-JP"/>
        </w:rPr>
        <w:t>Table</w:t>
      </w:r>
      <w:r>
        <w:rPr>
          <w:rFonts w:ascii="Times New Roman" w:hAnsi="Times New Roman"/>
          <w:sz w:val="24"/>
          <w:szCs w:val="24"/>
          <w:lang w:eastAsia="ja-JP"/>
        </w:rPr>
        <w:t xml:space="preserve"> 20</w:t>
      </w:r>
      <w:r w:rsidRPr="00665505">
        <w:rPr>
          <w:rFonts w:ascii="Times New Roman" w:hAnsi="Times New Roman"/>
          <w:sz w:val="24"/>
          <w:szCs w:val="24"/>
          <w:lang w:eastAsia="ja-JP"/>
        </w:rPr>
        <w:t>. SPSS Output for Binary Logistic Regression To Predict Foot Exam on a 2015 NAMCS Visit with Diabetes Diagnosis for the Null Model.</w:t>
      </w:r>
      <w:r>
        <w:rPr>
          <w:rFonts w:ascii="Times New Roman" w:hAnsi="Times New Roman"/>
          <w:sz w:val="24"/>
          <w:szCs w:val="24"/>
          <w:lang w:eastAsia="ja-JP"/>
        </w:rPr>
        <w:t xml:space="preserve"> p.69</w:t>
      </w:r>
    </w:p>
    <w:p w:rsidR="0047082F" w:rsidRPr="003613EA"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sidRPr="00665505">
        <w:rPr>
          <w:rFonts w:ascii="Times New Roman" w:hAnsi="Times New Roman"/>
          <w:sz w:val="24"/>
          <w:szCs w:val="24"/>
        </w:rPr>
        <w:t>Table</w:t>
      </w:r>
      <w:r>
        <w:rPr>
          <w:rFonts w:ascii="Times New Roman" w:hAnsi="Times New Roman"/>
          <w:sz w:val="24"/>
          <w:szCs w:val="24"/>
        </w:rPr>
        <w:t xml:space="preserve"> 21</w:t>
      </w:r>
      <w:r w:rsidRPr="00665505">
        <w:rPr>
          <w:rFonts w:ascii="Times New Roman" w:hAnsi="Times New Roman"/>
          <w:sz w:val="24"/>
          <w:szCs w:val="24"/>
        </w:rPr>
        <w:t>. SPSS Output of the Omnibus tests of model coefficients for the full model of the binary logistic regression for predicting a foot exam bring performed on a 2015 NAMCS visit with diabetes diagnosis.</w:t>
      </w:r>
      <w:r>
        <w:rPr>
          <w:rFonts w:ascii="Times New Roman" w:hAnsi="Times New Roman"/>
          <w:sz w:val="24"/>
          <w:szCs w:val="24"/>
        </w:rPr>
        <w:t xml:space="preserve"> p.71</w:t>
      </w:r>
    </w:p>
    <w:p w:rsidR="0047082F" w:rsidRPr="003613EA"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sidRPr="00665505">
        <w:rPr>
          <w:rFonts w:ascii="Times New Roman" w:hAnsi="Times New Roman"/>
          <w:sz w:val="24"/>
          <w:szCs w:val="24"/>
        </w:rPr>
        <w:t>Table</w:t>
      </w:r>
      <w:r>
        <w:rPr>
          <w:rFonts w:ascii="Times New Roman" w:hAnsi="Times New Roman"/>
          <w:sz w:val="24"/>
          <w:szCs w:val="24"/>
        </w:rPr>
        <w:t xml:space="preserve"> 22</w:t>
      </w:r>
      <w:r w:rsidRPr="00665505">
        <w:rPr>
          <w:rFonts w:ascii="Times New Roman" w:hAnsi="Times New Roman"/>
          <w:sz w:val="24"/>
          <w:szCs w:val="24"/>
        </w:rPr>
        <w:t>. SPSS Output of the Model Summary for Binary Logistic Regression to Predict Foot Exam on a 2015 NAMCS Visit with Diabetes Diagnosis Full Model.</w:t>
      </w:r>
      <w:r>
        <w:rPr>
          <w:rFonts w:ascii="Times New Roman" w:hAnsi="Times New Roman"/>
          <w:sz w:val="24"/>
          <w:szCs w:val="24"/>
        </w:rPr>
        <w:t xml:space="preserve"> p.71</w:t>
      </w:r>
    </w:p>
    <w:p w:rsidR="0047082F" w:rsidRPr="003613EA"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sidRPr="00665505">
        <w:rPr>
          <w:rFonts w:ascii="Times New Roman" w:hAnsi="Times New Roman"/>
          <w:sz w:val="24"/>
          <w:szCs w:val="24"/>
        </w:rPr>
        <w:t>Table</w:t>
      </w:r>
      <w:r>
        <w:rPr>
          <w:rFonts w:ascii="Times New Roman" w:hAnsi="Times New Roman"/>
          <w:sz w:val="24"/>
          <w:szCs w:val="24"/>
        </w:rPr>
        <w:t xml:space="preserve"> 23</w:t>
      </w:r>
      <w:r w:rsidRPr="00665505">
        <w:rPr>
          <w:rFonts w:ascii="Times New Roman" w:hAnsi="Times New Roman"/>
          <w:sz w:val="24"/>
          <w:szCs w:val="24"/>
        </w:rPr>
        <w:t xml:space="preserve">. SPSS Output for Hosmer and </w:t>
      </w:r>
      <w:proofErr w:type="spellStart"/>
      <w:r w:rsidRPr="00665505">
        <w:rPr>
          <w:rFonts w:ascii="Times New Roman" w:hAnsi="Times New Roman"/>
          <w:sz w:val="24"/>
          <w:szCs w:val="24"/>
        </w:rPr>
        <w:t>Lemeshow</w:t>
      </w:r>
      <w:proofErr w:type="spellEnd"/>
      <w:r w:rsidRPr="00665505">
        <w:rPr>
          <w:rFonts w:ascii="Times New Roman" w:hAnsi="Times New Roman"/>
          <w:sz w:val="24"/>
          <w:szCs w:val="24"/>
        </w:rPr>
        <w:t xml:space="preserve"> test of the Full model of the binary logistic regression analysis for predicting a foot exam on a 2015 NAMCS visit with a diabetes diagnosis.</w:t>
      </w:r>
      <w:r>
        <w:rPr>
          <w:rFonts w:ascii="Times New Roman" w:hAnsi="Times New Roman"/>
          <w:sz w:val="24"/>
          <w:szCs w:val="24"/>
        </w:rPr>
        <w:t xml:space="preserve"> p.71</w:t>
      </w:r>
    </w:p>
    <w:p w:rsidR="0047082F" w:rsidRPr="003613EA"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sidRPr="00665505">
        <w:rPr>
          <w:rFonts w:ascii="Times New Roman" w:hAnsi="Times New Roman"/>
          <w:sz w:val="24"/>
          <w:szCs w:val="24"/>
        </w:rPr>
        <w:t>Table</w:t>
      </w:r>
      <w:r>
        <w:rPr>
          <w:rFonts w:ascii="Times New Roman" w:hAnsi="Times New Roman"/>
          <w:sz w:val="24"/>
          <w:szCs w:val="24"/>
        </w:rPr>
        <w:t xml:space="preserve"> </w:t>
      </w:r>
      <w:r w:rsidRPr="00665505">
        <w:rPr>
          <w:rFonts w:ascii="Times New Roman" w:hAnsi="Times New Roman"/>
          <w:sz w:val="24"/>
          <w:szCs w:val="24"/>
        </w:rPr>
        <w:t>2</w:t>
      </w:r>
      <w:r>
        <w:rPr>
          <w:rFonts w:ascii="Times New Roman" w:hAnsi="Times New Roman"/>
          <w:sz w:val="24"/>
          <w:szCs w:val="24"/>
        </w:rPr>
        <w:t>4</w:t>
      </w:r>
      <w:r w:rsidRPr="00665505">
        <w:rPr>
          <w:rFonts w:ascii="Times New Roman" w:hAnsi="Times New Roman"/>
          <w:sz w:val="24"/>
          <w:szCs w:val="24"/>
        </w:rPr>
        <w:t>. SPSS Output for classification table of the Full model of the binary logistic regression analysis for predicting a foot exam on a 2015 NAMCS visit with a diabetes diagnosis.</w:t>
      </w:r>
      <w:r>
        <w:rPr>
          <w:rFonts w:ascii="Times New Roman" w:hAnsi="Times New Roman"/>
          <w:sz w:val="24"/>
          <w:szCs w:val="24"/>
        </w:rPr>
        <w:t xml:space="preserve"> p.71</w:t>
      </w:r>
    </w:p>
    <w:p w:rsidR="0047082F" w:rsidRPr="00DD33B6"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sidRPr="00665505">
        <w:rPr>
          <w:rFonts w:ascii="Times New Roman" w:hAnsi="Times New Roman"/>
          <w:sz w:val="24"/>
          <w:szCs w:val="24"/>
        </w:rPr>
        <w:t>Table</w:t>
      </w:r>
      <w:r>
        <w:rPr>
          <w:rFonts w:ascii="Times New Roman" w:hAnsi="Times New Roman"/>
          <w:sz w:val="24"/>
          <w:szCs w:val="24"/>
        </w:rPr>
        <w:t xml:space="preserve"> 25</w:t>
      </w:r>
      <w:r w:rsidRPr="00665505">
        <w:rPr>
          <w:rFonts w:ascii="Times New Roman" w:hAnsi="Times New Roman"/>
          <w:sz w:val="24"/>
          <w:szCs w:val="24"/>
        </w:rPr>
        <w:t>. Full regression model for odds of having a foot exam performed during the 2015 NAMCS survey period with statistically significant variables highlights in orange.</w:t>
      </w:r>
      <w:r w:rsidRPr="003613EA">
        <w:rPr>
          <w:rFonts w:ascii="Times New Roman" w:hAnsi="Times New Roman"/>
          <w:sz w:val="24"/>
          <w:szCs w:val="24"/>
        </w:rPr>
        <w:t xml:space="preserve"> p.</w:t>
      </w:r>
      <w:r>
        <w:rPr>
          <w:rFonts w:ascii="Times New Roman" w:hAnsi="Times New Roman"/>
          <w:sz w:val="24"/>
          <w:szCs w:val="24"/>
        </w:rPr>
        <w:t>74</w:t>
      </w: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Pr>
          <w:rFonts w:ascii="Times New Roman" w:hAnsi="Times New Roman"/>
          <w:sz w:val="24"/>
          <w:szCs w:val="24"/>
        </w:rPr>
        <w:lastRenderedPageBreak/>
        <w:t>Figure 6</w:t>
      </w:r>
      <w:r w:rsidRPr="00A65B00">
        <w:rPr>
          <w:rFonts w:ascii="Times New Roman" w:hAnsi="Times New Roman"/>
          <w:sz w:val="24"/>
          <w:szCs w:val="24"/>
        </w:rPr>
        <w:t>. Descriptive percentages for Insurance Coverage Sources using the NAMCS 2015 office visits for patients with diabetes based on race.</w:t>
      </w:r>
      <w:r>
        <w:rPr>
          <w:rFonts w:ascii="Times New Roman" w:hAnsi="Times New Roman"/>
          <w:sz w:val="24"/>
          <w:szCs w:val="24"/>
        </w:rPr>
        <w:t xml:space="preserve"> p. 79</w:t>
      </w:r>
    </w:p>
    <w:p w:rsidR="0047082F" w:rsidRPr="003613EA"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Pr>
          <w:rFonts w:ascii="Times New Roman" w:hAnsi="Times New Roman"/>
          <w:sz w:val="24"/>
          <w:szCs w:val="24"/>
        </w:rPr>
        <w:t>Figure 7</w:t>
      </w:r>
      <w:r w:rsidRPr="00A65B00">
        <w:rPr>
          <w:rFonts w:ascii="Times New Roman" w:hAnsi="Times New Roman"/>
          <w:sz w:val="24"/>
          <w:szCs w:val="24"/>
        </w:rPr>
        <w:t>. Descriptive percentages for Insurance Coverage Sources using the NAMCS 2015 office visits for patients with diabetes based on ethnicity.</w:t>
      </w:r>
      <w:r>
        <w:rPr>
          <w:rFonts w:ascii="Times New Roman" w:hAnsi="Times New Roman"/>
          <w:sz w:val="24"/>
          <w:szCs w:val="24"/>
        </w:rPr>
        <w:t xml:space="preserve"> p. 79</w:t>
      </w:r>
    </w:p>
    <w:p w:rsidR="0047082F" w:rsidRPr="003613EA"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Pr>
          <w:rFonts w:ascii="Times New Roman" w:hAnsi="Times New Roman"/>
          <w:sz w:val="24"/>
          <w:szCs w:val="24"/>
        </w:rPr>
        <w:t>Figure 8</w:t>
      </w:r>
      <w:r w:rsidRPr="00665505">
        <w:rPr>
          <w:rFonts w:ascii="Times New Roman" w:hAnsi="Times New Roman"/>
          <w:sz w:val="24"/>
          <w:szCs w:val="24"/>
        </w:rPr>
        <w:t>. Status of state acti</w:t>
      </w:r>
      <w:r>
        <w:rPr>
          <w:rFonts w:ascii="Times New Roman" w:hAnsi="Times New Roman"/>
          <w:sz w:val="24"/>
          <w:szCs w:val="24"/>
        </w:rPr>
        <w:t>on for Medicaid expansion. p.81</w:t>
      </w:r>
    </w:p>
    <w:p w:rsidR="0047082F" w:rsidRPr="007071DA"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sidRPr="00665505">
        <w:rPr>
          <w:rFonts w:ascii="Times New Roman" w:hAnsi="Times New Roman"/>
          <w:sz w:val="24"/>
          <w:szCs w:val="24"/>
        </w:rPr>
        <w:t>Figure</w:t>
      </w:r>
      <w:r>
        <w:rPr>
          <w:rFonts w:ascii="Times New Roman" w:hAnsi="Times New Roman"/>
          <w:sz w:val="24"/>
          <w:szCs w:val="24"/>
        </w:rPr>
        <w:t xml:space="preserve"> </w:t>
      </w:r>
      <w:r w:rsidRPr="00665505">
        <w:rPr>
          <w:rFonts w:ascii="Times New Roman" w:hAnsi="Times New Roman"/>
          <w:sz w:val="24"/>
          <w:szCs w:val="24"/>
        </w:rPr>
        <w:t>1b. American Diabetes Association (ADA) comprehensive guidelines for</w:t>
      </w:r>
      <w:r>
        <w:rPr>
          <w:rFonts w:ascii="Times New Roman" w:hAnsi="Times New Roman"/>
          <w:sz w:val="24"/>
          <w:szCs w:val="24"/>
        </w:rPr>
        <w:t xml:space="preserve"> diabetes care management. p.101</w:t>
      </w:r>
    </w:p>
    <w:p w:rsidR="0047082F" w:rsidRPr="00553F0F"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sidRPr="00665505">
        <w:rPr>
          <w:rFonts w:ascii="Times New Roman" w:hAnsi="Times New Roman"/>
          <w:sz w:val="24"/>
          <w:szCs w:val="24"/>
        </w:rPr>
        <w:t>Figure</w:t>
      </w:r>
      <w:r>
        <w:rPr>
          <w:rFonts w:ascii="Times New Roman" w:hAnsi="Times New Roman"/>
          <w:sz w:val="24"/>
          <w:szCs w:val="24"/>
        </w:rPr>
        <w:t xml:space="preserve"> 9</w:t>
      </w:r>
      <w:r w:rsidRPr="00665505">
        <w:rPr>
          <w:rFonts w:ascii="Times New Roman" w:hAnsi="Times New Roman"/>
          <w:sz w:val="24"/>
          <w:szCs w:val="24"/>
        </w:rPr>
        <w:t>. Sample of a patient record used for data col</w:t>
      </w:r>
      <w:r>
        <w:rPr>
          <w:rFonts w:ascii="Times New Roman" w:hAnsi="Times New Roman"/>
          <w:sz w:val="24"/>
          <w:szCs w:val="24"/>
        </w:rPr>
        <w:t>lection in the 2015 NAMCS. p.103</w:t>
      </w:r>
    </w:p>
    <w:p w:rsidR="0047082F"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sidRPr="00553F0F">
        <w:rPr>
          <w:rFonts w:ascii="Times New Roman" w:hAnsi="Times New Roman"/>
          <w:sz w:val="24"/>
          <w:szCs w:val="24"/>
        </w:rPr>
        <w:t>Table</w:t>
      </w:r>
      <w:r>
        <w:rPr>
          <w:rFonts w:ascii="Times New Roman" w:hAnsi="Times New Roman"/>
          <w:sz w:val="24"/>
          <w:szCs w:val="24"/>
        </w:rPr>
        <w:t xml:space="preserve"> </w:t>
      </w:r>
      <w:r w:rsidRPr="00553F0F">
        <w:rPr>
          <w:rFonts w:ascii="Times New Roman" w:hAnsi="Times New Roman"/>
          <w:sz w:val="24"/>
          <w:szCs w:val="24"/>
        </w:rPr>
        <w:t xml:space="preserve">A. </w:t>
      </w:r>
      <w:r>
        <w:rPr>
          <w:rFonts w:ascii="Times New Roman" w:hAnsi="Times New Roman"/>
          <w:sz w:val="24"/>
          <w:szCs w:val="24"/>
        </w:rPr>
        <w:t>List of variables and their definitions selected the NAMCS 2015 survey for the research analysis. p. 104</w:t>
      </w:r>
    </w:p>
    <w:p w:rsidR="0017255C" w:rsidRPr="0047082F" w:rsidRDefault="0047082F" w:rsidP="0047082F">
      <w:pPr>
        <w:pStyle w:val="ListParagraph"/>
        <w:numPr>
          <w:ilvl w:val="0"/>
          <w:numId w:val="11"/>
        </w:numPr>
        <w:spacing w:after="60" w:line="240" w:lineRule="auto"/>
        <w:contextualSpacing w:val="0"/>
        <w:jc w:val="both"/>
        <w:rPr>
          <w:rFonts w:ascii="Times New Roman" w:hAnsi="Times New Roman"/>
          <w:sz w:val="24"/>
          <w:szCs w:val="24"/>
        </w:rPr>
      </w:pPr>
      <w:r>
        <w:rPr>
          <w:rFonts w:ascii="Times New Roman" w:hAnsi="Times New Roman"/>
          <w:sz w:val="24"/>
          <w:szCs w:val="24"/>
        </w:rPr>
        <w:t xml:space="preserve">Table 13. </w:t>
      </w:r>
      <w:r w:rsidRPr="003613EA">
        <w:rPr>
          <w:rFonts w:ascii="Times New Roman" w:hAnsi="Times New Roman"/>
          <w:sz w:val="24"/>
          <w:szCs w:val="24"/>
        </w:rPr>
        <w:t>Full regression mode</w:t>
      </w:r>
      <w:r>
        <w:rPr>
          <w:rFonts w:ascii="Times New Roman" w:hAnsi="Times New Roman"/>
          <w:sz w:val="24"/>
          <w:szCs w:val="24"/>
        </w:rPr>
        <w:t>l including all variables selected from the 2015 NAMCS survey. p.107</w:t>
      </w:r>
    </w:p>
    <w:p w:rsidR="00637D21" w:rsidRDefault="004405CE" w:rsidP="00521359">
      <w:pPr>
        <w:jc w:val="center"/>
        <w:rPr>
          <w:b/>
          <w:sz w:val="28"/>
          <w:lang w:eastAsia="ja-JP"/>
        </w:rPr>
      </w:pPr>
      <w:r>
        <w:rPr>
          <w:b/>
          <w:sz w:val="28"/>
          <w:lang w:eastAsia="ja-JP"/>
        </w:rPr>
        <w:br w:type="page"/>
      </w:r>
      <w:r w:rsidR="00A80FBF">
        <w:rPr>
          <w:b/>
          <w:sz w:val="28"/>
          <w:lang w:eastAsia="ja-JP"/>
        </w:rPr>
        <w:lastRenderedPageBreak/>
        <w:t>ACRONYMS</w:t>
      </w:r>
    </w:p>
    <w:p w:rsidR="00637D21" w:rsidRDefault="00637D21" w:rsidP="00185F16">
      <w:pPr>
        <w:jc w:val="both"/>
        <w:rPr>
          <w:b/>
          <w:sz w:val="28"/>
          <w:lang w:eastAsia="ja-JP"/>
        </w:rPr>
      </w:pPr>
    </w:p>
    <w:p w:rsidR="007E6952" w:rsidRDefault="007E6952" w:rsidP="00185F16">
      <w:pPr>
        <w:spacing w:after="120"/>
        <w:jc w:val="both"/>
        <w:rPr>
          <w:lang w:eastAsia="ja-JP"/>
        </w:rPr>
      </w:pPr>
      <w:r>
        <w:rPr>
          <w:lang w:eastAsia="ja-JP"/>
        </w:rPr>
        <w:t xml:space="preserve">AAFP- </w:t>
      </w:r>
      <w:r w:rsidRPr="007E6952">
        <w:rPr>
          <w:lang w:eastAsia="ja-JP"/>
        </w:rPr>
        <w:t>American Aca</w:t>
      </w:r>
      <w:r>
        <w:rPr>
          <w:lang w:eastAsia="ja-JP"/>
        </w:rPr>
        <w:t xml:space="preserve">demy of Family Physicians </w:t>
      </w:r>
    </w:p>
    <w:p w:rsidR="007E6952" w:rsidRDefault="007E6952" w:rsidP="00185F16">
      <w:pPr>
        <w:spacing w:after="120"/>
        <w:jc w:val="both"/>
        <w:rPr>
          <w:lang w:eastAsia="ja-JP"/>
        </w:rPr>
      </w:pPr>
      <w:r>
        <w:rPr>
          <w:lang w:eastAsia="ja-JP"/>
        </w:rPr>
        <w:t xml:space="preserve">AAMC- </w:t>
      </w:r>
      <w:r w:rsidRPr="007E6952">
        <w:rPr>
          <w:lang w:eastAsia="ja-JP"/>
        </w:rPr>
        <w:t xml:space="preserve">Association of American Medical Colleges </w:t>
      </w:r>
    </w:p>
    <w:p w:rsidR="007878B5" w:rsidRDefault="007878B5" w:rsidP="00185F16">
      <w:pPr>
        <w:spacing w:after="120"/>
        <w:jc w:val="both"/>
        <w:rPr>
          <w:lang w:eastAsia="ja-JP"/>
        </w:rPr>
      </w:pPr>
      <w:r>
        <w:rPr>
          <w:lang w:eastAsia="ja-JP"/>
        </w:rPr>
        <w:t>ACA</w:t>
      </w:r>
      <w:r w:rsidR="00CF4AE5">
        <w:rPr>
          <w:lang w:eastAsia="ja-JP"/>
        </w:rPr>
        <w:t xml:space="preserve"> </w:t>
      </w:r>
      <w:r>
        <w:rPr>
          <w:lang w:eastAsia="ja-JP"/>
        </w:rPr>
        <w:t>-</w:t>
      </w:r>
      <w:r w:rsidR="00CF4AE5">
        <w:rPr>
          <w:lang w:eastAsia="ja-JP"/>
        </w:rPr>
        <w:t xml:space="preserve"> </w:t>
      </w:r>
      <w:r>
        <w:rPr>
          <w:lang w:eastAsia="ja-JP"/>
        </w:rPr>
        <w:t>Affordable Care Act</w:t>
      </w:r>
    </w:p>
    <w:p w:rsidR="00637D21" w:rsidRPr="00CB5CB3" w:rsidRDefault="00637D21" w:rsidP="00185F16">
      <w:pPr>
        <w:spacing w:after="120"/>
        <w:jc w:val="both"/>
        <w:rPr>
          <w:lang w:eastAsia="ja-JP"/>
        </w:rPr>
      </w:pPr>
      <w:r w:rsidRPr="00CB5CB3">
        <w:rPr>
          <w:lang w:eastAsia="ja-JP"/>
        </w:rPr>
        <w:t>ADA</w:t>
      </w:r>
      <w:r w:rsidR="00CF4AE5">
        <w:rPr>
          <w:lang w:eastAsia="ja-JP"/>
        </w:rPr>
        <w:t xml:space="preserve"> </w:t>
      </w:r>
      <w:r w:rsidRPr="00CB5CB3">
        <w:rPr>
          <w:lang w:eastAsia="ja-JP"/>
        </w:rPr>
        <w:t xml:space="preserve">- American Diabetes Association </w:t>
      </w:r>
    </w:p>
    <w:p w:rsidR="00637D21" w:rsidRPr="00CB5CB3" w:rsidRDefault="00637D21" w:rsidP="00185F16">
      <w:pPr>
        <w:spacing w:after="120"/>
        <w:jc w:val="both"/>
        <w:rPr>
          <w:lang w:eastAsia="ja-JP"/>
        </w:rPr>
      </w:pPr>
      <w:r w:rsidRPr="00CB5CB3">
        <w:rPr>
          <w:lang w:eastAsia="ja-JP"/>
        </w:rPr>
        <w:t>CDC</w:t>
      </w:r>
      <w:r w:rsidR="00CF4AE5">
        <w:rPr>
          <w:lang w:eastAsia="ja-JP"/>
        </w:rPr>
        <w:t xml:space="preserve"> </w:t>
      </w:r>
      <w:r w:rsidRPr="00CB5CB3">
        <w:rPr>
          <w:lang w:eastAsia="ja-JP"/>
        </w:rPr>
        <w:t xml:space="preserve">- Center for Disease Control and Prevention </w:t>
      </w:r>
    </w:p>
    <w:p w:rsidR="00637D21" w:rsidRDefault="00637D21" w:rsidP="00185F16">
      <w:pPr>
        <w:spacing w:after="120"/>
        <w:jc w:val="both"/>
        <w:rPr>
          <w:lang w:eastAsia="ja-JP"/>
        </w:rPr>
      </w:pPr>
      <w:r w:rsidRPr="00CB5CB3">
        <w:rPr>
          <w:lang w:eastAsia="ja-JP"/>
        </w:rPr>
        <w:t>CMS</w:t>
      </w:r>
      <w:r w:rsidR="00CF4AE5">
        <w:rPr>
          <w:lang w:eastAsia="ja-JP"/>
        </w:rPr>
        <w:t xml:space="preserve"> </w:t>
      </w:r>
      <w:r w:rsidRPr="00CB5CB3">
        <w:rPr>
          <w:lang w:eastAsia="ja-JP"/>
        </w:rPr>
        <w:t>- Centers for Medicare and Medicaid Services</w:t>
      </w:r>
    </w:p>
    <w:p w:rsidR="002D5B51" w:rsidRDefault="002D5B51" w:rsidP="00185F16">
      <w:pPr>
        <w:spacing w:after="120"/>
        <w:jc w:val="both"/>
        <w:rPr>
          <w:lang w:eastAsia="ja-JP"/>
        </w:rPr>
      </w:pPr>
      <w:r>
        <w:rPr>
          <w:lang w:eastAsia="ja-JP"/>
        </w:rPr>
        <w:t>CPT</w:t>
      </w:r>
      <w:r w:rsidR="00CF4AE5">
        <w:rPr>
          <w:lang w:eastAsia="ja-JP"/>
        </w:rPr>
        <w:t xml:space="preserve"> </w:t>
      </w:r>
      <w:r w:rsidR="007E15E4">
        <w:rPr>
          <w:lang w:eastAsia="ja-JP"/>
        </w:rPr>
        <w:t>-</w:t>
      </w:r>
      <w:r w:rsidR="00B24D57">
        <w:rPr>
          <w:lang w:eastAsia="ja-JP"/>
        </w:rPr>
        <w:t xml:space="preserve"> </w:t>
      </w:r>
      <w:r w:rsidR="00B24D57" w:rsidRPr="00B24D57">
        <w:rPr>
          <w:lang w:eastAsia="ja-JP"/>
        </w:rPr>
        <w:t>Current Procedural Terminology</w:t>
      </w:r>
    </w:p>
    <w:p w:rsidR="002D5B51" w:rsidRDefault="002D5B51" w:rsidP="00185F16">
      <w:pPr>
        <w:spacing w:after="120"/>
        <w:jc w:val="both"/>
        <w:rPr>
          <w:lang w:eastAsia="ja-JP"/>
        </w:rPr>
      </w:pPr>
      <w:r>
        <w:rPr>
          <w:lang w:eastAsia="ja-JP"/>
        </w:rPr>
        <w:t>DFU</w:t>
      </w:r>
      <w:r w:rsidR="00CF4AE5">
        <w:rPr>
          <w:lang w:eastAsia="ja-JP"/>
        </w:rPr>
        <w:t xml:space="preserve"> </w:t>
      </w:r>
      <w:r w:rsidR="007E15E4">
        <w:rPr>
          <w:lang w:eastAsia="ja-JP"/>
        </w:rPr>
        <w:t>-</w:t>
      </w:r>
      <w:r w:rsidR="00B24D57">
        <w:rPr>
          <w:lang w:eastAsia="ja-JP"/>
        </w:rPr>
        <w:t xml:space="preserve"> Diabetic foot ulcer</w:t>
      </w:r>
    </w:p>
    <w:p w:rsidR="000C6BB3" w:rsidRDefault="000C6BB3" w:rsidP="00185F16">
      <w:pPr>
        <w:spacing w:after="120"/>
        <w:jc w:val="both"/>
        <w:rPr>
          <w:lang w:eastAsia="ja-JP"/>
        </w:rPr>
      </w:pPr>
      <w:r>
        <w:rPr>
          <w:lang w:eastAsia="ja-JP"/>
        </w:rPr>
        <w:t>DM</w:t>
      </w:r>
      <w:r w:rsidR="00CF4AE5">
        <w:rPr>
          <w:lang w:eastAsia="ja-JP"/>
        </w:rPr>
        <w:t xml:space="preserve"> </w:t>
      </w:r>
      <w:r>
        <w:rPr>
          <w:lang w:eastAsia="ja-JP"/>
        </w:rPr>
        <w:t xml:space="preserve">- Diabetes mellitus </w:t>
      </w:r>
    </w:p>
    <w:p w:rsidR="00457564" w:rsidRDefault="00457564" w:rsidP="00185F16">
      <w:pPr>
        <w:spacing w:after="120"/>
        <w:jc w:val="both"/>
        <w:rPr>
          <w:lang w:eastAsia="ja-JP"/>
        </w:rPr>
      </w:pPr>
      <w:r>
        <w:rPr>
          <w:lang w:eastAsia="ja-JP"/>
        </w:rPr>
        <w:t>DO</w:t>
      </w:r>
      <w:r w:rsidR="00CF4AE5">
        <w:rPr>
          <w:lang w:eastAsia="ja-JP"/>
        </w:rPr>
        <w:t xml:space="preserve"> </w:t>
      </w:r>
      <w:r>
        <w:rPr>
          <w:lang w:eastAsia="ja-JP"/>
        </w:rPr>
        <w:t xml:space="preserve">- Doctor of Osteopathic medicine  </w:t>
      </w:r>
    </w:p>
    <w:p w:rsidR="008829FD" w:rsidRDefault="008829FD" w:rsidP="00185F16">
      <w:pPr>
        <w:spacing w:after="120"/>
        <w:jc w:val="both"/>
        <w:rPr>
          <w:lang w:eastAsia="ja-JP"/>
        </w:rPr>
      </w:pPr>
      <w:r>
        <w:rPr>
          <w:lang w:eastAsia="ja-JP"/>
        </w:rPr>
        <w:t>LPN</w:t>
      </w:r>
      <w:r w:rsidR="00CF4AE5">
        <w:rPr>
          <w:lang w:eastAsia="ja-JP"/>
        </w:rPr>
        <w:t xml:space="preserve"> </w:t>
      </w:r>
      <w:r>
        <w:rPr>
          <w:lang w:eastAsia="ja-JP"/>
        </w:rPr>
        <w:t xml:space="preserve">- Licensed </w:t>
      </w:r>
      <w:r w:rsidR="0091564C">
        <w:rPr>
          <w:lang w:eastAsia="ja-JP"/>
        </w:rPr>
        <w:t>practical</w:t>
      </w:r>
      <w:r>
        <w:rPr>
          <w:lang w:eastAsia="ja-JP"/>
        </w:rPr>
        <w:t xml:space="preserve"> nurse</w:t>
      </w:r>
    </w:p>
    <w:p w:rsidR="00457564" w:rsidRDefault="00457564" w:rsidP="00185F16">
      <w:pPr>
        <w:spacing w:after="120"/>
        <w:jc w:val="both"/>
        <w:rPr>
          <w:lang w:eastAsia="ja-JP"/>
        </w:rPr>
      </w:pPr>
      <w:r>
        <w:rPr>
          <w:lang w:eastAsia="ja-JP"/>
        </w:rPr>
        <w:t>MD</w:t>
      </w:r>
      <w:r w:rsidR="00CF4AE5">
        <w:rPr>
          <w:lang w:eastAsia="ja-JP"/>
        </w:rPr>
        <w:t xml:space="preserve"> </w:t>
      </w:r>
      <w:r>
        <w:rPr>
          <w:lang w:eastAsia="ja-JP"/>
        </w:rPr>
        <w:t>- Medical doctor</w:t>
      </w:r>
    </w:p>
    <w:p w:rsidR="002D5B51" w:rsidRPr="00CB5CB3" w:rsidRDefault="002D5B51" w:rsidP="00185F16">
      <w:pPr>
        <w:spacing w:after="120"/>
        <w:jc w:val="both"/>
        <w:rPr>
          <w:lang w:eastAsia="ja-JP"/>
        </w:rPr>
      </w:pPr>
      <w:r>
        <w:rPr>
          <w:lang w:eastAsia="ja-JP"/>
        </w:rPr>
        <w:t>NAMCS</w:t>
      </w:r>
      <w:r w:rsidR="00CF4AE5">
        <w:rPr>
          <w:lang w:eastAsia="ja-JP"/>
        </w:rPr>
        <w:t xml:space="preserve"> </w:t>
      </w:r>
      <w:r>
        <w:rPr>
          <w:lang w:eastAsia="ja-JP"/>
        </w:rPr>
        <w:t>-</w:t>
      </w:r>
      <w:r w:rsidR="00B24D57" w:rsidRPr="00B24D57">
        <w:rPr>
          <w:lang w:eastAsia="ja-JP"/>
        </w:rPr>
        <w:t xml:space="preserve"> National Ambulatory Medical Care Survey</w:t>
      </w:r>
    </w:p>
    <w:p w:rsidR="001433AE" w:rsidRDefault="001433AE" w:rsidP="00185F16">
      <w:pPr>
        <w:spacing w:after="120"/>
        <w:jc w:val="both"/>
        <w:rPr>
          <w:lang w:eastAsia="ja-JP"/>
        </w:rPr>
      </w:pPr>
      <w:r>
        <w:rPr>
          <w:lang w:eastAsia="ja-JP"/>
        </w:rPr>
        <w:t>NAPA</w:t>
      </w:r>
      <w:r w:rsidR="00CF4AE5">
        <w:rPr>
          <w:lang w:eastAsia="ja-JP"/>
        </w:rPr>
        <w:t xml:space="preserve"> </w:t>
      </w:r>
      <w:r>
        <w:rPr>
          <w:lang w:eastAsia="ja-JP"/>
        </w:rPr>
        <w:t>-</w:t>
      </w:r>
      <w:r w:rsidRPr="001433AE">
        <w:rPr>
          <w:lang w:eastAsia="ja-JP"/>
        </w:rPr>
        <w:t>National Academy</w:t>
      </w:r>
      <w:r>
        <w:rPr>
          <w:lang w:eastAsia="ja-JP"/>
        </w:rPr>
        <w:t xml:space="preserve"> of Public Administrators </w:t>
      </w:r>
    </w:p>
    <w:p w:rsidR="008829FD" w:rsidRDefault="008829FD" w:rsidP="00185F16">
      <w:pPr>
        <w:spacing w:after="120"/>
        <w:jc w:val="both"/>
        <w:rPr>
          <w:lang w:eastAsia="ja-JP"/>
        </w:rPr>
      </w:pPr>
      <w:r>
        <w:rPr>
          <w:lang w:eastAsia="ja-JP"/>
        </w:rPr>
        <w:t>NP</w:t>
      </w:r>
      <w:r w:rsidR="00CF4AE5">
        <w:rPr>
          <w:lang w:eastAsia="ja-JP"/>
        </w:rPr>
        <w:t xml:space="preserve"> </w:t>
      </w:r>
      <w:r>
        <w:rPr>
          <w:lang w:eastAsia="ja-JP"/>
        </w:rPr>
        <w:t xml:space="preserve">- Nurse </w:t>
      </w:r>
      <w:r w:rsidR="00414972">
        <w:rPr>
          <w:lang w:eastAsia="ja-JP"/>
        </w:rPr>
        <w:t>Practitioner</w:t>
      </w:r>
      <w:r>
        <w:rPr>
          <w:lang w:eastAsia="ja-JP"/>
        </w:rPr>
        <w:t xml:space="preserve"> </w:t>
      </w:r>
    </w:p>
    <w:p w:rsidR="00D547F0" w:rsidRPr="000627F2" w:rsidRDefault="00D547F0" w:rsidP="00185F16">
      <w:pPr>
        <w:spacing w:after="120"/>
        <w:jc w:val="both"/>
        <w:rPr>
          <w:lang w:eastAsia="ja-JP"/>
        </w:rPr>
      </w:pPr>
      <w:r w:rsidRPr="00CB5CB3">
        <w:rPr>
          <w:lang w:eastAsia="ja-JP"/>
        </w:rPr>
        <w:t>ODPHP</w:t>
      </w:r>
      <w:r w:rsidR="00CF4AE5">
        <w:rPr>
          <w:lang w:eastAsia="ja-JP"/>
        </w:rPr>
        <w:t xml:space="preserve"> </w:t>
      </w:r>
      <w:r w:rsidRPr="00CB5CB3">
        <w:rPr>
          <w:lang w:eastAsia="ja-JP"/>
        </w:rPr>
        <w:t>-</w:t>
      </w:r>
      <w:r w:rsidR="00B24D57" w:rsidRPr="00B24D57">
        <w:t xml:space="preserve"> </w:t>
      </w:r>
      <w:r w:rsidR="00B24D57" w:rsidRPr="00B24D57">
        <w:rPr>
          <w:lang w:eastAsia="ja-JP"/>
        </w:rPr>
        <w:t>Office of Disease Prevention and Health Promotion</w:t>
      </w:r>
    </w:p>
    <w:p w:rsidR="008829FD" w:rsidRDefault="008829FD" w:rsidP="00185F16">
      <w:pPr>
        <w:spacing w:after="120"/>
        <w:jc w:val="both"/>
      </w:pPr>
      <w:r>
        <w:t>PA</w:t>
      </w:r>
      <w:r w:rsidR="00CF4AE5">
        <w:t xml:space="preserve"> </w:t>
      </w:r>
      <w:r>
        <w:t>- Physician assistant</w:t>
      </w:r>
    </w:p>
    <w:p w:rsidR="007878B5" w:rsidRDefault="007878B5" w:rsidP="00185F16">
      <w:pPr>
        <w:spacing w:after="120"/>
        <w:jc w:val="both"/>
      </w:pPr>
      <w:r>
        <w:t>PAD</w:t>
      </w:r>
      <w:r w:rsidR="00CF4AE5">
        <w:t xml:space="preserve"> </w:t>
      </w:r>
      <w:r>
        <w:t>-</w:t>
      </w:r>
      <w:r w:rsidR="00CF4AE5">
        <w:t xml:space="preserve"> </w:t>
      </w:r>
      <w:r>
        <w:t xml:space="preserve">peripheral arterial disease </w:t>
      </w:r>
    </w:p>
    <w:p w:rsidR="00637D21" w:rsidRDefault="00637D21" w:rsidP="00185F16">
      <w:pPr>
        <w:spacing w:after="120"/>
        <w:jc w:val="both"/>
      </w:pPr>
      <w:r w:rsidRPr="000627F2">
        <w:t>PPACA</w:t>
      </w:r>
      <w:r w:rsidR="00CF4AE5">
        <w:t xml:space="preserve"> </w:t>
      </w:r>
      <w:r w:rsidRPr="000627F2">
        <w:t>- Patient Protection and Affordable Care Act</w:t>
      </w:r>
    </w:p>
    <w:p w:rsidR="00637D21" w:rsidRDefault="008829FD" w:rsidP="00185F16">
      <w:pPr>
        <w:spacing w:after="120"/>
        <w:jc w:val="both"/>
      </w:pPr>
      <w:r>
        <w:t>RN</w:t>
      </w:r>
      <w:r w:rsidR="00CF4AE5">
        <w:t xml:space="preserve"> </w:t>
      </w:r>
      <w:r>
        <w:t>- Registered nurse</w:t>
      </w:r>
    </w:p>
    <w:p w:rsidR="008829FD" w:rsidRDefault="008829FD" w:rsidP="00185F16">
      <w:pPr>
        <w:jc w:val="both"/>
      </w:pPr>
    </w:p>
    <w:p w:rsidR="00637D21" w:rsidRDefault="00637D21" w:rsidP="00185F16">
      <w:pPr>
        <w:jc w:val="both"/>
      </w:pPr>
    </w:p>
    <w:p w:rsidR="00637D21" w:rsidRDefault="00637D21" w:rsidP="00185F16">
      <w:pPr>
        <w:jc w:val="both"/>
      </w:pPr>
    </w:p>
    <w:p w:rsidR="00637D21" w:rsidRDefault="00637D21" w:rsidP="00185F16">
      <w:pPr>
        <w:jc w:val="both"/>
      </w:pPr>
    </w:p>
    <w:p w:rsidR="00637D21" w:rsidRDefault="00637D21" w:rsidP="00185F16">
      <w:pPr>
        <w:jc w:val="both"/>
      </w:pPr>
    </w:p>
    <w:p w:rsidR="00637D21" w:rsidRDefault="00637D21" w:rsidP="00185F16">
      <w:pPr>
        <w:jc w:val="both"/>
      </w:pPr>
    </w:p>
    <w:p w:rsidR="00637D21" w:rsidRDefault="00637D21" w:rsidP="00185F16">
      <w:pPr>
        <w:jc w:val="both"/>
      </w:pPr>
    </w:p>
    <w:p w:rsidR="00637D21" w:rsidRDefault="00637D21" w:rsidP="00185F16">
      <w:pPr>
        <w:jc w:val="both"/>
      </w:pPr>
    </w:p>
    <w:p w:rsidR="00E635DD" w:rsidRDefault="00E635DD" w:rsidP="00185F16">
      <w:pPr>
        <w:jc w:val="both"/>
      </w:pPr>
    </w:p>
    <w:p w:rsidR="0073143E" w:rsidRDefault="0073143E" w:rsidP="00185F16">
      <w:pPr>
        <w:jc w:val="both"/>
      </w:pPr>
    </w:p>
    <w:p w:rsidR="0073143E" w:rsidRDefault="0073143E" w:rsidP="00185F16">
      <w:pPr>
        <w:jc w:val="both"/>
      </w:pPr>
    </w:p>
    <w:p w:rsidR="0073143E" w:rsidRDefault="0073143E" w:rsidP="00185F16">
      <w:pPr>
        <w:jc w:val="both"/>
      </w:pPr>
    </w:p>
    <w:p w:rsidR="0073143E" w:rsidRDefault="0073143E" w:rsidP="00185F16">
      <w:pPr>
        <w:jc w:val="both"/>
      </w:pPr>
    </w:p>
    <w:p w:rsidR="0073143E" w:rsidRDefault="0073143E" w:rsidP="00185F16">
      <w:pPr>
        <w:jc w:val="both"/>
      </w:pPr>
    </w:p>
    <w:p w:rsidR="004405CE" w:rsidRDefault="004405CE" w:rsidP="00521359">
      <w:pPr>
        <w:spacing w:line="480" w:lineRule="auto"/>
        <w:jc w:val="center"/>
      </w:pPr>
    </w:p>
    <w:p w:rsidR="00B34517" w:rsidRDefault="00A80FBF" w:rsidP="00B11B34">
      <w:pPr>
        <w:spacing w:line="360" w:lineRule="auto"/>
        <w:jc w:val="center"/>
        <w:rPr>
          <w:b/>
          <w:sz w:val="28"/>
        </w:rPr>
      </w:pPr>
      <w:r>
        <w:rPr>
          <w:b/>
          <w:sz w:val="28"/>
        </w:rPr>
        <w:lastRenderedPageBreak/>
        <w:t>ABSTRACT</w:t>
      </w:r>
    </w:p>
    <w:p w:rsidR="004107B0" w:rsidRPr="00003415" w:rsidRDefault="004107B0" w:rsidP="00B11B34">
      <w:pPr>
        <w:spacing w:line="360" w:lineRule="auto"/>
        <w:jc w:val="center"/>
        <w:rPr>
          <w:b/>
          <w:sz w:val="28"/>
        </w:rPr>
      </w:pPr>
    </w:p>
    <w:p w:rsidR="00F94610" w:rsidRDefault="00F94610" w:rsidP="00B11B34">
      <w:pPr>
        <w:spacing w:line="360" w:lineRule="auto"/>
        <w:jc w:val="both"/>
      </w:pPr>
      <w:r w:rsidRPr="00003415">
        <w:rPr>
          <w:b/>
        </w:rPr>
        <w:t>Objective:</w:t>
      </w:r>
      <w:r w:rsidR="00B25493">
        <w:rPr>
          <w:b/>
        </w:rPr>
        <w:t xml:space="preserve"> </w:t>
      </w:r>
      <w:r w:rsidR="00B25493" w:rsidRPr="00003415">
        <w:t xml:space="preserve">Diabetes related care is estimated </w:t>
      </w:r>
      <w:r w:rsidR="007B1C55">
        <w:t>to cost approximately</w:t>
      </w:r>
      <w:r w:rsidR="00B25493" w:rsidRPr="00003415">
        <w:t xml:space="preserve"> $</w:t>
      </w:r>
      <w:r w:rsidR="007B1C55">
        <w:t xml:space="preserve">327 billion per year (ADA, NA).  </w:t>
      </w:r>
      <w:r w:rsidR="00B25493" w:rsidRPr="00003415">
        <w:t>Given the budget constraints and rising costs in the healthcare industry, it is critical to implement cost containment and prevention measures at all levels. The research in this document explores health services disparities in diabetes care and makes recomme</w:t>
      </w:r>
      <w:r w:rsidR="00AC312B" w:rsidRPr="006A1414">
        <w:t>ndations to improve the</w:t>
      </w:r>
      <w:r w:rsidR="00B25493" w:rsidRPr="00003415">
        <w:t xml:space="preserve"> quality</w:t>
      </w:r>
      <w:r w:rsidR="00AC312B">
        <w:t xml:space="preserve"> of services</w:t>
      </w:r>
      <w:r w:rsidR="00B25493" w:rsidRPr="00003415">
        <w:t xml:space="preserve"> for diabetes foot care.</w:t>
      </w:r>
    </w:p>
    <w:p w:rsidR="00B34517" w:rsidRDefault="006C6604" w:rsidP="00B11B34">
      <w:pPr>
        <w:spacing w:line="360" w:lineRule="auto"/>
        <w:jc w:val="both"/>
      </w:pPr>
      <w:r>
        <w:rPr>
          <w:b/>
        </w:rPr>
        <w:tab/>
      </w:r>
      <w:r w:rsidR="00AC312B">
        <w:t>Chapter O</w:t>
      </w:r>
      <w:r w:rsidR="00B34517">
        <w:t>ne provides an overview of the current challenges in diabetes care management including increase</w:t>
      </w:r>
      <w:r w:rsidR="00AC312B">
        <w:t>d</w:t>
      </w:r>
      <w:r w:rsidR="00B34517" w:rsidRPr="0051300B">
        <w:t xml:space="preserve"> </w:t>
      </w:r>
      <w:r w:rsidR="00B34517">
        <w:t xml:space="preserve">quality variations, disparities as a result of breaks in care coordination, failure to follow evidence-based guidelines for diabetes care, and scarcity </w:t>
      </w:r>
      <w:r w:rsidR="00B34517" w:rsidRPr="006C0C9D">
        <w:t>of resources</w:t>
      </w:r>
      <w:r w:rsidR="00AC312B">
        <w:t>,</w:t>
      </w:r>
      <w:r w:rsidR="00B34517" w:rsidRPr="006C0C9D">
        <w:t xml:space="preserve"> such</w:t>
      </w:r>
      <w:r w:rsidR="00AC312B">
        <w:t xml:space="preserve"> as</w:t>
      </w:r>
      <w:r w:rsidR="00B34517" w:rsidRPr="006C0C9D">
        <w:t xml:space="preserve"> healthy nutrition and transportation due to income barriers (Amin, 2014)</w:t>
      </w:r>
      <w:r w:rsidR="00AC312B">
        <w:t>. Chapter T</w:t>
      </w:r>
      <w:r w:rsidR="00B34517">
        <w:t>wo con</w:t>
      </w:r>
      <w:r w:rsidR="00AC312B">
        <w:t>tains the literature review results from</w:t>
      </w:r>
      <w:r w:rsidR="00B34517">
        <w:t xml:space="preserve"> a systematic search of publications from 2012 to 2017 on diabetes care, variations, and disparities. By applying </w:t>
      </w:r>
      <w:r w:rsidR="00385203">
        <w:t>a consistent search criterion</w:t>
      </w:r>
      <w:r w:rsidR="00895BB0">
        <w:t>, sixty-three (63</w:t>
      </w:r>
      <w:r w:rsidR="00B34517">
        <w:t>) articles related to disparities in quality, diabetes care, diabetic foot disparities, provider characteristics and disparities diabetes, practice size and disparities, and diabetic foot exams</w:t>
      </w:r>
      <w:r w:rsidR="00B34517" w:rsidRPr="00B16156">
        <w:t xml:space="preserve"> </w:t>
      </w:r>
      <w:r w:rsidR="00B34517">
        <w:t xml:space="preserve">were retained for assessment. </w:t>
      </w:r>
    </w:p>
    <w:p w:rsidR="006B19F4" w:rsidRDefault="00B34517" w:rsidP="00B11B34">
      <w:pPr>
        <w:spacing w:line="360" w:lineRule="auto"/>
        <w:jc w:val="both"/>
      </w:pPr>
      <w:r>
        <w:tab/>
        <w:t>The social equi</w:t>
      </w:r>
      <w:r w:rsidR="00AC312B">
        <w:t>ty theory presented in Chapter Three</w:t>
      </w:r>
      <w:r>
        <w:t xml:space="preserve"> is the theoretical model by which the research findings were analyzed. </w:t>
      </w:r>
      <w:r w:rsidR="00B65F7C">
        <w:t>It provides an overview of the social equity theory’s origins and its different principles</w:t>
      </w:r>
      <w:r>
        <w:t xml:space="preserve"> </w:t>
      </w:r>
      <w:r w:rsidR="00B65F7C">
        <w:t xml:space="preserve">which include </w:t>
      </w:r>
      <w:r>
        <w:t>procedural fairness, distributional equity, process equity, and outcome disparities, serves as the framework for evaluating the res</w:t>
      </w:r>
      <w:r w:rsidR="00AC312B">
        <w:t xml:space="preserve">ults of the analysis. Chapter Four </w:t>
      </w:r>
      <w:r>
        <w:t>consists of the research design and provides an overview of the data sample, inclusion and exclusion criteria for identifying the real</w:t>
      </w:r>
      <w:r w:rsidR="0061542E">
        <w:t xml:space="preserve">ized data subset, and the univariate, bivariate, and multivariate analysis findings. </w:t>
      </w:r>
      <w:r w:rsidR="00AC312B">
        <w:t>Chapter Five</w:t>
      </w:r>
      <w:r w:rsidR="0061542E">
        <w:t xml:space="preserve"> includes</w:t>
      </w:r>
      <w:r>
        <w:t xml:space="preserve"> the findings</w:t>
      </w:r>
      <w:r w:rsidR="003613EA">
        <w:t xml:space="preserve"> as they relate to social equity theory</w:t>
      </w:r>
      <w:r>
        <w:t>, their significance to public administration, the study li</w:t>
      </w:r>
      <w:r w:rsidR="00B16E82">
        <w:t>mitations</w:t>
      </w:r>
      <w:r w:rsidR="00E94FEF">
        <w:t xml:space="preserve"> and </w:t>
      </w:r>
      <w:r w:rsidR="00942138">
        <w:t>strengths</w:t>
      </w:r>
      <w:r w:rsidR="00B16E82">
        <w:t xml:space="preserve">, and potential </w:t>
      </w:r>
      <w:r>
        <w:t>opportun</w:t>
      </w:r>
      <w:r w:rsidR="00B16E82">
        <w:t>ities for future research</w:t>
      </w:r>
      <w:r>
        <w:t>.</w:t>
      </w:r>
      <w:r w:rsidR="00553F0F">
        <w:t xml:space="preserve"> </w:t>
      </w:r>
      <w:r w:rsidR="00755163" w:rsidRPr="008C2E9B">
        <w:t>The overall low rate of foot exams documented during the 2015 NAMCS time frame raises the question of whether or not patients in the US with diabetes are receiving the appropriate recommended preventative care.</w:t>
      </w:r>
      <w:r w:rsidR="00C607E8">
        <w:t xml:space="preserve">  Over 60 % of non-traumatic amputations are diabetes related, highlighting the importance of a foot exam for early identification of potential foot problems particularly for high risk populations </w:t>
      </w:r>
      <w:r w:rsidR="00C607E8">
        <w:lastRenderedPageBreak/>
        <w:t>(</w:t>
      </w:r>
      <w:proofErr w:type="spellStart"/>
      <w:r w:rsidR="00C607E8">
        <w:t>Almekinder</w:t>
      </w:r>
      <w:proofErr w:type="spellEnd"/>
      <w:r w:rsidR="00C607E8">
        <w:t xml:space="preserve">, 2020). </w:t>
      </w:r>
      <w:r w:rsidR="003613EA">
        <w:t xml:space="preserve">Some </w:t>
      </w:r>
      <w:r w:rsidR="00553F0F">
        <w:t xml:space="preserve">of the </w:t>
      </w:r>
      <w:r w:rsidR="00755163">
        <w:t xml:space="preserve">key </w:t>
      </w:r>
      <w:r w:rsidR="00553F0F">
        <w:t xml:space="preserve">findings in this research </w:t>
      </w:r>
      <w:r w:rsidR="003613EA">
        <w:t xml:space="preserve">were disparities in receipt of foot exams based on an individual’s ethnicity, region of residence, type of provider seen, and form of payment. </w:t>
      </w:r>
      <w:r w:rsidR="00DF0536">
        <w:t>With respect to an individual’s ethnicity, t</w:t>
      </w:r>
      <w:r w:rsidR="00DF0536" w:rsidRPr="00DF0536">
        <w:t xml:space="preserve">he </w:t>
      </w:r>
      <w:r w:rsidR="00DF0536">
        <w:t xml:space="preserve">literature and </w:t>
      </w:r>
      <w:r w:rsidR="00DF0536" w:rsidRPr="00DF0536">
        <w:t>analytical findi</w:t>
      </w:r>
      <w:r w:rsidR="00DF0536">
        <w:t xml:space="preserve">ngs demonstrated that </w:t>
      </w:r>
      <w:r w:rsidR="00DF0536" w:rsidRPr="00DF0536">
        <w:t>non-Hispanic</w:t>
      </w:r>
      <w:r w:rsidR="00DF0536">
        <w:t xml:space="preserve">s relative to Hispanics had much lower odds </w:t>
      </w:r>
      <w:r w:rsidR="00DF0536" w:rsidRPr="00DF0536">
        <w:t>of receiving a foot exam during a 2015 NAMCS visit.</w:t>
      </w:r>
      <w:r w:rsidR="00DF0536">
        <w:t xml:space="preserve"> </w:t>
      </w:r>
      <w:r w:rsidR="00DD33B6" w:rsidRPr="00B77561">
        <w:t>The study’s finding</w:t>
      </w:r>
      <w:r w:rsidR="007B1C55" w:rsidRPr="00B77561">
        <w:t>s</w:t>
      </w:r>
      <w:r w:rsidR="00DD33B6" w:rsidRPr="00B77561">
        <w:t xml:space="preserve"> also highlight that although evidence-b</w:t>
      </w:r>
      <w:r w:rsidR="007B1C55" w:rsidRPr="00B77561">
        <w:t>ased guidelines stress</w:t>
      </w:r>
      <w:r w:rsidR="00DD33B6" w:rsidRPr="00B77561">
        <w:t xml:space="preserve"> the importance of performing a foot exam at every visit, adoption at the practice level remains a challenge. This presents an opportunity for public administrators to consider developing incentives tied to public funding to engage providers in delivering more comprehensive care when it comes to diabetes.</w:t>
      </w:r>
      <w:r w:rsidR="00DD33B6" w:rsidRPr="00926DFC">
        <w:t xml:space="preserve">  </w:t>
      </w:r>
      <w:r w:rsidR="006B19F4" w:rsidRPr="00926DFC">
        <w:t>Lastly, the low nu</w:t>
      </w:r>
      <w:r w:rsidR="006B19F4" w:rsidRPr="00450AD8">
        <w:t>mber of foot exams for Medicaid</w:t>
      </w:r>
      <w:r w:rsidR="006B19F4">
        <w:t xml:space="preserve"> patients was found to be</w:t>
      </w:r>
      <w:r w:rsidR="006B19F4" w:rsidRPr="006B19F4">
        <w:t xml:space="preserve"> consistent with the liter</w:t>
      </w:r>
      <w:r w:rsidR="006B19F4">
        <w:t xml:space="preserve">ature review findings around </w:t>
      </w:r>
      <w:r w:rsidR="006B19F4" w:rsidRPr="006B19F4">
        <w:t>equity issue</w:t>
      </w:r>
      <w:r w:rsidR="006B19F4">
        <w:t>s</w:t>
      </w:r>
      <w:r w:rsidR="006B19F4" w:rsidRPr="006B19F4">
        <w:t xml:space="preserve"> faced by individuals with low income</w:t>
      </w:r>
      <w:r w:rsidR="002E1C2D">
        <w:t>,</w:t>
      </w:r>
      <w:r w:rsidR="006B19F4" w:rsidRPr="006B19F4">
        <w:t xml:space="preserve"> including increased rates for lower ex</w:t>
      </w:r>
      <w:r w:rsidR="006B19F4">
        <w:t>tremity amputations. T</w:t>
      </w:r>
      <w:r w:rsidR="006B19F4" w:rsidRPr="006B19F4">
        <w:t>he analytical findings in the multivariate analysis</w:t>
      </w:r>
      <w:r w:rsidR="002E1C2D">
        <w:t xml:space="preserve"> showed that</w:t>
      </w:r>
      <w:r w:rsidR="006B19F4" w:rsidRPr="006B19F4">
        <w:t xml:space="preserve"> diabetes visits that had Medicaid as a form of payment had </w:t>
      </w:r>
      <w:r w:rsidR="006B19F4">
        <w:t>lower odds</w:t>
      </w:r>
      <w:r w:rsidR="006B19F4" w:rsidRPr="006B19F4">
        <w:t xml:space="preserve"> of receiving a foot exam relative to those visits with private insurance as a source of payment. These challenges create social inequities and place low income minorities under</w:t>
      </w:r>
      <w:r w:rsidR="002E1C2D">
        <w:t xml:space="preserve"> age</w:t>
      </w:r>
      <w:r w:rsidR="006B19F4" w:rsidRPr="006B19F4">
        <w:t xml:space="preserve"> 65 at </w:t>
      </w:r>
      <w:r w:rsidR="002E1C2D">
        <w:t xml:space="preserve">a </w:t>
      </w:r>
      <w:r w:rsidR="006B19F4" w:rsidRPr="006B19F4">
        <w:t xml:space="preserve">greater risk for poor quality </w:t>
      </w:r>
      <w:r w:rsidR="002E1C2D">
        <w:t xml:space="preserve">of </w:t>
      </w:r>
      <w:r w:rsidR="006B19F4" w:rsidRPr="006B19F4">
        <w:t>care and</w:t>
      </w:r>
      <w:r w:rsidR="002E1C2D">
        <w:t>,</w:t>
      </w:r>
      <w:r w:rsidR="006B19F4" w:rsidRPr="006B19F4">
        <w:t xml:space="preserve"> ultimately</w:t>
      </w:r>
      <w:r w:rsidR="002E1C2D">
        <w:t>,</w:t>
      </w:r>
      <w:r w:rsidR="006B19F4" w:rsidRPr="006B19F4">
        <w:t xml:space="preserve"> at higher risk of amputation.  </w:t>
      </w:r>
    </w:p>
    <w:p w:rsidR="00B34517" w:rsidRDefault="006B19F4" w:rsidP="00B11B34">
      <w:pPr>
        <w:spacing w:line="360" w:lineRule="auto"/>
        <w:jc w:val="both"/>
      </w:pPr>
      <w:r>
        <w:tab/>
      </w:r>
      <w:r w:rsidR="005A110C">
        <w:t>S</w:t>
      </w:r>
      <w:r w:rsidR="00DD33B6">
        <w:t>ome of the study</w:t>
      </w:r>
      <w:r w:rsidR="002E1C2D">
        <w:t>’s</w:t>
      </w:r>
      <w:r w:rsidR="00DD33B6">
        <w:t xml:space="preserve"> limitations include that the 2015 NAMCS data only </w:t>
      </w:r>
      <w:r w:rsidR="002E1C2D">
        <w:t xml:space="preserve">includes </w:t>
      </w:r>
      <w:r w:rsidR="00DD33B6">
        <w:t xml:space="preserve">ambulatory </w:t>
      </w:r>
      <w:r w:rsidR="005A110C">
        <w:t>provider visits which does not account for foot exams performed in other setting</w:t>
      </w:r>
      <w:r w:rsidR="00613EF7">
        <w:t>s</w:t>
      </w:r>
      <w:r w:rsidR="002E1C2D">
        <w:t xml:space="preserve"> </w:t>
      </w:r>
      <w:r w:rsidR="002E1C2D" w:rsidRPr="00EE28FE">
        <w:t>and the possibility that</w:t>
      </w:r>
      <w:r w:rsidR="005A110C" w:rsidRPr="00EE28FE">
        <w:t xml:space="preserve"> some cohort of </w:t>
      </w:r>
      <w:r w:rsidR="00613EF7" w:rsidRPr="00EE28FE">
        <w:t xml:space="preserve">the </w:t>
      </w:r>
      <w:r w:rsidR="005A110C" w:rsidRPr="00EE28FE">
        <w:t xml:space="preserve">population </w:t>
      </w:r>
      <w:r w:rsidR="002E1C2D" w:rsidRPr="00EE28FE">
        <w:t>may be</w:t>
      </w:r>
      <w:r w:rsidR="005A110C" w:rsidRPr="00EE28FE">
        <w:t xml:space="preserve"> underrepresented in the data set. The</w:t>
      </w:r>
      <w:r w:rsidR="001C756A" w:rsidRPr="00EE28FE">
        <w:t xml:space="preserve"> major strengths of the study are</w:t>
      </w:r>
      <w:r w:rsidR="00A75C4C" w:rsidRPr="00EE28FE">
        <w:t xml:space="preserve"> the generalizability of findings</w:t>
      </w:r>
      <w:r w:rsidR="005A110C" w:rsidRPr="00EE28FE">
        <w:t xml:space="preserve"> since the data set used is based on </w:t>
      </w:r>
      <w:r w:rsidR="002E1C2D" w:rsidRPr="00EE28FE">
        <w:t xml:space="preserve">a </w:t>
      </w:r>
      <w:r w:rsidR="005A110C" w:rsidRPr="00EE28FE">
        <w:t>sample o</w:t>
      </w:r>
      <w:r w:rsidR="00A75C4C" w:rsidRPr="00EE28FE">
        <w:t>f the general population</w:t>
      </w:r>
      <w:r w:rsidR="002E1C2D" w:rsidRPr="00EE28FE">
        <w:t>,</w:t>
      </w:r>
      <w:r w:rsidR="001C756A" w:rsidRPr="00EE28FE">
        <w:t xml:space="preserve"> as well as that disparities in foot care as a result of characteristics has not been a heavily studie</w:t>
      </w:r>
      <w:r w:rsidR="002E1C2D" w:rsidRPr="00EE28FE">
        <w:t>d</w:t>
      </w:r>
      <w:r w:rsidR="001C756A" w:rsidRPr="00EE28FE">
        <w:t xml:space="preserve"> area based on the literature review.</w:t>
      </w:r>
      <w:r w:rsidR="001C756A">
        <w:t xml:space="preserve"> Lastly, potential fut</w:t>
      </w:r>
      <w:r w:rsidR="00A75C4C">
        <w:t xml:space="preserve">ure areas of research </w:t>
      </w:r>
      <w:r w:rsidR="001C756A">
        <w:t>highlighted are the impact of hav</w:t>
      </w:r>
      <w:r w:rsidR="00613EF7">
        <w:t>ing</w:t>
      </w:r>
      <w:r w:rsidR="001C756A">
        <w:t xml:space="preserve"> an unspecified diagnosis of diabetes on care received, provider adherence to guidelines, and the impact of diabetes education o</w:t>
      </w:r>
      <w:r w:rsidR="007B56AE">
        <w:t>n improved foot care.</w:t>
      </w:r>
      <w:r>
        <w:t xml:space="preserve"> </w:t>
      </w:r>
      <w:r w:rsidR="002E1C2D">
        <w:t xml:space="preserve">One suggestion is </w:t>
      </w:r>
      <w:r w:rsidR="009B24B0">
        <w:t>for</w:t>
      </w:r>
      <w:r w:rsidR="002E1C2D">
        <w:t xml:space="preserve"> the f</w:t>
      </w:r>
      <w:r>
        <w:t>uture</w:t>
      </w:r>
      <w:r w:rsidR="007B56AE">
        <w:t xml:space="preserve"> </w:t>
      </w:r>
      <w:r w:rsidRPr="006B19F4">
        <w:t xml:space="preserve">exploration of the potential impact that an unspecified categorization of diabetes may </w:t>
      </w:r>
      <w:r w:rsidR="00533779">
        <w:t>have on an individual’s car</w:t>
      </w:r>
      <w:r w:rsidR="009B24B0">
        <w:t>e, which</w:t>
      </w:r>
      <w:r w:rsidR="00533779">
        <w:t xml:space="preserve"> could</w:t>
      </w:r>
      <w:r w:rsidRPr="006B19F4">
        <w:t xml:space="preserve"> provide insight</w:t>
      </w:r>
      <w:r w:rsidR="00533779">
        <w:t>s</w:t>
      </w:r>
      <w:r w:rsidRPr="006B19F4">
        <w:t xml:space="preserve"> on areas of focus for policy enhancements to help reduce disparities</w:t>
      </w:r>
      <w:r>
        <w:t>. Additionally,</w:t>
      </w:r>
      <w:r w:rsidR="00533779">
        <w:t xml:space="preserve"> </w:t>
      </w:r>
      <w:r w:rsidR="008D22EE">
        <w:t xml:space="preserve">future </w:t>
      </w:r>
      <w:r w:rsidR="00533779">
        <w:t xml:space="preserve">analysis of </w:t>
      </w:r>
      <w:r w:rsidRPr="006B19F4">
        <w:t xml:space="preserve">time </w:t>
      </w:r>
      <w:r w:rsidR="00A1311D">
        <w:t>allotment</w:t>
      </w:r>
      <w:r w:rsidR="008D22EE">
        <w:t>s</w:t>
      </w:r>
      <w:r w:rsidR="00A1311D">
        <w:t xml:space="preserve"> </w:t>
      </w:r>
      <w:r w:rsidR="00533779">
        <w:t>by</w:t>
      </w:r>
      <w:r w:rsidRPr="006B19F4">
        <w:t xml:space="preserve"> providers </w:t>
      </w:r>
      <w:r w:rsidR="00533779">
        <w:t>and practices</w:t>
      </w:r>
      <w:r w:rsidR="008D22EE" w:rsidRPr="008D22EE">
        <w:t xml:space="preserve"> for preventative practices</w:t>
      </w:r>
      <w:r w:rsidR="009B24B0">
        <w:t>,</w:t>
      </w:r>
      <w:r w:rsidR="008D22EE" w:rsidRPr="008D22EE">
        <w:t xml:space="preserve"> such as foot exams and diabetes education</w:t>
      </w:r>
      <w:r w:rsidR="008D22EE">
        <w:t xml:space="preserve"> during a patient’s visit</w:t>
      </w:r>
      <w:r w:rsidR="009B24B0">
        <w:t>,</w:t>
      </w:r>
      <w:r w:rsidR="00533779">
        <w:t xml:space="preserve"> </w:t>
      </w:r>
      <w:r w:rsidR="008D22EE">
        <w:t xml:space="preserve">may provide insights on opportunities for </w:t>
      </w:r>
      <w:r w:rsidR="008D22EE">
        <w:lastRenderedPageBreak/>
        <w:t xml:space="preserve">policy and reimbursement changes that could encourage </w:t>
      </w:r>
      <w:r w:rsidR="00852A2B">
        <w:t xml:space="preserve">prioritization of these preventative measures. </w:t>
      </w:r>
    </w:p>
    <w:p w:rsidR="00C77709" w:rsidRDefault="00C77709" w:rsidP="00B11B34">
      <w:pPr>
        <w:tabs>
          <w:tab w:val="left" w:pos="5534"/>
        </w:tabs>
        <w:spacing w:line="360" w:lineRule="auto"/>
        <w:jc w:val="both"/>
        <w:rPr>
          <w:b/>
          <w:sz w:val="28"/>
        </w:rPr>
      </w:pPr>
    </w:p>
    <w:p w:rsidR="00C77709" w:rsidRDefault="00C77709" w:rsidP="00B11B34">
      <w:pPr>
        <w:tabs>
          <w:tab w:val="left" w:pos="5534"/>
        </w:tabs>
        <w:spacing w:line="360" w:lineRule="auto"/>
        <w:jc w:val="both"/>
        <w:rPr>
          <w:b/>
          <w:sz w:val="28"/>
        </w:rPr>
      </w:pPr>
    </w:p>
    <w:p w:rsidR="004746CB" w:rsidRDefault="004746CB" w:rsidP="00B11B34">
      <w:pPr>
        <w:tabs>
          <w:tab w:val="left" w:pos="5534"/>
        </w:tabs>
        <w:spacing w:line="360" w:lineRule="auto"/>
        <w:jc w:val="both"/>
        <w:rPr>
          <w:b/>
          <w:sz w:val="28"/>
        </w:rPr>
      </w:pPr>
    </w:p>
    <w:p w:rsidR="004746CB" w:rsidRDefault="004746CB" w:rsidP="00B11B34">
      <w:pPr>
        <w:tabs>
          <w:tab w:val="left" w:pos="5534"/>
        </w:tabs>
        <w:spacing w:line="360" w:lineRule="auto"/>
        <w:jc w:val="both"/>
        <w:rPr>
          <w:b/>
          <w:sz w:val="28"/>
        </w:rPr>
      </w:pPr>
    </w:p>
    <w:p w:rsidR="004746CB" w:rsidRDefault="004746CB" w:rsidP="00B11B34">
      <w:pPr>
        <w:tabs>
          <w:tab w:val="left" w:pos="5534"/>
        </w:tabs>
        <w:spacing w:line="360" w:lineRule="auto"/>
        <w:jc w:val="both"/>
        <w:rPr>
          <w:b/>
          <w:sz w:val="28"/>
        </w:rPr>
      </w:pPr>
    </w:p>
    <w:p w:rsidR="00106CBD" w:rsidRDefault="00106CBD" w:rsidP="00B11B34">
      <w:pPr>
        <w:tabs>
          <w:tab w:val="left" w:pos="5534"/>
        </w:tabs>
        <w:spacing w:line="360" w:lineRule="auto"/>
        <w:jc w:val="both"/>
        <w:rPr>
          <w:b/>
          <w:sz w:val="28"/>
        </w:rPr>
      </w:pPr>
    </w:p>
    <w:p w:rsidR="004330C1" w:rsidRDefault="004330C1" w:rsidP="00B11B34">
      <w:pPr>
        <w:tabs>
          <w:tab w:val="left" w:pos="5534"/>
        </w:tabs>
        <w:spacing w:line="360" w:lineRule="auto"/>
        <w:jc w:val="both"/>
        <w:rPr>
          <w:b/>
          <w:sz w:val="28"/>
          <w:szCs w:val="28"/>
        </w:rPr>
      </w:pPr>
    </w:p>
    <w:p w:rsidR="005D6802" w:rsidRDefault="005D6802" w:rsidP="00B11B34">
      <w:pPr>
        <w:spacing w:after="200" w:line="360" w:lineRule="auto"/>
        <w:jc w:val="both"/>
        <w:rPr>
          <w:b/>
          <w:sz w:val="28"/>
          <w:szCs w:val="28"/>
        </w:rPr>
      </w:pPr>
    </w:p>
    <w:p w:rsidR="00B11B34" w:rsidRDefault="00B11B34" w:rsidP="00B11B34">
      <w:pPr>
        <w:tabs>
          <w:tab w:val="left" w:pos="5534"/>
        </w:tabs>
        <w:spacing w:line="360" w:lineRule="auto"/>
        <w:jc w:val="both"/>
        <w:rPr>
          <w:b/>
          <w:sz w:val="28"/>
          <w:szCs w:val="28"/>
        </w:rPr>
      </w:pPr>
    </w:p>
    <w:p w:rsidR="00B11B34" w:rsidRDefault="00B11B34" w:rsidP="00B11B34">
      <w:pPr>
        <w:tabs>
          <w:tab w:val="left" w:pos="5534"/>
        </w:tabs>
        <w:spacing w:line="360" w:lineRule="auto"/>
        <w:jc w:val="both"/>
        <w:rPr>
          <w:b/>
          <w:sz w:val="28"/>
          <w:szCs w:val="28"/>
        </w:rPr>
      </w:pPr>
    </w:p>
    <w:p w:rsidR="00B11B34" w:rsidRDefault="00B11B34" w:rsidP="00B11B34">
      <w:pPr>
        <w:tabs>
          <w:tab w:val="left" w:pos="5534"/>
        </w:tabs>
        <w:spacing w:line="360" w:lineRule="auto"/>
        <w:jc w:val="both"/>
        <w:rPr>
          <w:b/>
          <w:sz w:val="28"/>
          <w:szCs w:val="28"/>
        </w:rPr>
      </w:pPr>
    </w:p>
    <w:p w:rsidR="00B11B34" w:rsidRDefault="00B11B34" w:rsidP="00B11B34">
      <w:pPr>
        <w:tabs>
          <w:tab w:val="left" w:pos="5534"/>
        </w:tabs>
        <w:spacing w:line="360" w:lineRule="auto"/>
        <w:jc w:val="both"/>
        <w:rPr>
          <w:b/>
          <w:sz w:val="28"/>
          <w:szCs w:val="28"/>
        </w:rPr>
      </w:pPr>
    </w:p>
    <w:p w:rsidR="00B11B34" w:rsidRDefault="00B11B34" w:rsidP="00B11B34">
      <w:pPr>
        <w:tabs>
          <w:tab w:val="left" w:pos="5534"/>
        </w:tabs>
        <w:spacing w:line="360" w:lineRule="auto"/>
        <w:jc w:val="both"/>
        <w:rPr>
          <w:b/>
          <w:sz w:val="28"/>
          <w:szCs w:val="28"/>
        </w:rPr>
      </w:pPr>
    </w:p>
    <w:p w:rsidR="00B11B34" w:rsidRDefault="00B11B34" w:rsidP="00B11B34">
      <w:pPr>
        <w:tabs>
          <w:tab w:val="left" w:pos="5534"/>
        </w:tabs>
        <w:spacing w:line="360" w:lineRule="auto"/>
        <w:jc w:val="both"/>
        <w:rPr>
          <w:b/>
          <w:sz w:val="28"/>
          <w:szCs w:val="28"/>
        </w:rPr>
      </w:pPr>
    </w:p>
    <w:p w:rsidR="00B11B34" w:rsidRDefault="00B11B34" w:rsidP="00B11B34">
      <w:pPr>
        <w:tabs>
          <w:tab w:val="left" w:pos="5534"/>
        </w:tabs>
        <w:spacing w:line="360" w:lineRule="auto"/>
        <w:jc w:val="both"/>
        <w:rPr>
          <w:b/>
          <w:sz w:val="28"/>
          <w:szCs w:val="28"/>
        </w:rPr>
      </w:pPr>
    </w:p>
    <w:p w:rsidR="00B11B34" w:rsidRDefault="00B11B34" w:rsidP="00B11B34">
      <w:pPr>
        <w:tabs>
          <w:tab w:val="left" w:pos="5534"/>
        </w:tabs>
        <w:spacing w:line="360" w:lineRule="auto"/>
        <w:jc w:val="both"/>
        <w:rPr>
          <w:b/>
          <w:sz w:val="28"/>
          <w:szCs w:val="28"/>
        </w:rPr>
        <w:sectPr w:rsidR="00B11B34" w:rsidSect="00425428">
          <w:pgSz w:w="12240" w:h="15840"/>
          <w:pgMar w:top="1440" w:right="1440" w:bottom="1440" w:left="2160" w:header="720" w:footer="720" w:gutter="0"/>
          <w:cols w:space="720"/>
          <w:docGrid w:linePitch="360"/>
        </w:sectPr>
      </w:pPr>
    </w:p>
    <w:p w:rsidR="001959B3" w:rsidRPr="00DE114C" w:rsidRDefault="004330C1" w:rsidP="00B11B34">
      <w:pPr>
        <w:tabs>
          <w:tab w:val="left" w:pos="5534"/>
        </w:tabs>
        <w:spacing w:line="360" w:lineRule="auto"/>
        <w:jc w:val="center"/>
        <w:rPr>
          <w:b/>
          <w:sz w:val="28"/>
          <w:szCs w:val="28"/>
        </w:rPr>
      </w:pPr>
      <w:r>
        <w:rPr>
          <w:b/>
          <w:sz w:val="28"/>
          <w:szCs w:val="28"/>
        </w:rPr>
        <w:lastRenderedPageBreak/>
        <w:t>CHAPTER ONE - INTRODUCTION</w:t>
      </w:r>
    </w:p>
    <w:p w:rsidR="00867F9C" w:rsidRDefault="00867F9C" w:rsidP="00B11B34">
      <w:pPr>
        <w:tabs>
          <w:tab w:val="left" w:pos="5534"/>
        </w:tabs>
        <w:spacing w:line="360" w:lineRule="auto"/>
        <w:jc w:val="both"/>
      </w:pPr>
    </w:p>
    <w:p w:rsidR="007A0CFE" w:rsidRDefault="007A0CFE" w:rsidP="00B11B34">
      <w:pPr>
        <w:spacing w:line="360" w:lineRule="auto"/>
        <w:jc w:val="both"/>
      </w:pPr>
      <w:r>
        <w:tab/>
      </w:r>
      <w:r w:rsidR="00867F9C">
        <w:t>According to the American Diabetes Association</w:t>
      </w:r>
      <w:r w:rsidR="00E94FEF">
        <w:t xml:space="preserve"> (ADA)</w:t>
      </w:r>
      <w:r w:rsidR="00867F9C">
        <w:t xml:space="preserve">, a comprehensive foot examination is a key element of diabetes care management and can </w:t>
      </w:r>
      <w:r w:rsidR="00DE1319">
        <w:t>greatly</w:t>
      </w:r>
      <w:r w:rsidR="00867F9C">
        <w:t xml:space="preserve"> reduce secondary complications</w:t>
      </w:r>
      <w:r w:rsidR="002F0B7C">
        <w:t>,</w:t>
      </w:r>
      <w:r w:rsidR="00867F9C">
        <w:t xml:space="preserve"> such as diab</w:t>
      </w:r>
      <w:r w:rsidR="00086068">
        <w:t>etes related amputations</w:t>
      </w:r>
      <w:r w:rsidR="002F0B7C">
        <w:t>,</w:t>
      </w:r>
      <w:r w:rsidR="00086068">
        <w:t xml:space="preserve"> by</w:t>
      </w:r>
      <w:r w:rsidR="00867F9C">
        <w:t xml:space="preserve"> 45 to 85% (CDC, 2011).  </w:t>
      </w:r>
      <w:r w:rsidR="009D6035">
        <w:t>However, the frequency and quality of a foot exam</w:t>
      </w:r>
      <w:r w:rsidR="002F0B7C">
        <w:t xml:space="preserve">, which should be performed at least once a year, </w:t>
      </w:r>
      <w:r w:rsidR="009D6035">
        <w:t>can significantly reduce its effectiveness if not performed appropriately (Miller, 2014).</w:t>
      </w:r>
      <w:r w:rsidR="00FD3B2F">
        <w:t xml:space="preserve"> </w:t>
      </w:r>
      <w:r w:rsidR="00BE5FFF" w:rsidRPr="000627F2">
        <w:t>The purpose of th</w:t>
      </w:r>
      <w:r w:rsidR="00BE5FFF">
        <w:t>is</w:t>
      </w:r>
      <w:r w:rsidR="009638FA" w:rsidRPr="00CB5CB3">
        <w:t xml:space="preserve"> research is to provide </w:t>
      </w:r>
      <w:r w:rsidR="00755163">
        <w:t xml:space="preserve">evidence </w:t>
      </w:r>
      <w:r w:rsidR="00755163" w:rsidRPr="00CB5CB3">
        <w:t>on</w:t>
      </w:r>
      <w:r w:rsidR="009638FA" w:rsidRPr="00CB5CB3">
        <w:t xml:space="preserve"> areas of disparities that may need to be addressed </w:t>
      </w:r>
      <w:r w:rsidR="00BE5FFF">
        <w:t xml:space="preserve">1) </w:t>
      </w:r>
      <w:r w:rsidR="00086068">
        <w:t>T</w:t>
      </w:r>
      <w:r w:rsidR="009638FA" w:rsidRPr="00CB5CB3">
        <w:t>o promote better</w:t>
      </w:r>
      <w:r w:rsidR="00B22EE2">
        <w:t xml:space="preserve"> diabetes</w:t>
      </w:r>
      <w:r w:rsidR="009638FA" w:rsidRPr="00CB5CB3">
        <w:t xml:space="preserve"> care</w:t>
      </w:r>
      <w:r w:rsidR="00BE5FFF">
        <w:t>,</w:t>
      </w:r>
      <w:r w:rsidR="009638FA" w:rsidRPr="00CB5CB3">
        <w:t xml:space="preserve"> and</w:t>
      </w:r>
      <w:r w:rsidR="00BE5FFF">
        <w:t xml:space="preserve"> 2)</w:t>
      </w:r>
      <w:r w:rsidR="009638FA" w:rsidRPr="00CB5CB3">
        <w:t xml:space="preserve"> </w:t>
      </w:r>
      <w:r w:rsidR="00086068">
        <w:t xml:space="preserve">To </w:t>
      </w:r>
      <w:r w:rsidR="009638FA" w:rsidRPr="00CB5CB3">
        <w:t>potentially reduce complications that</w:t>
      </w:r>
      <w:r w:rsidR="00DE1319">
        <w:t xml:space="preserve"> could</w:t>
      </w:r>
      <w:r w:rsidR="009638FA" w:rsidRPr="00CB5CB3">
        <w:t xml:space="preserve"> contribute to higher healthcare care costs.</w:t>
      </w:r>
      <w:r w:rsidR="009638FA">
        <w:t xml:space="preserve"> </w:t>
      </w:r>
      <w:r w:rsidR="009638FA" w:rsidRPr="009638FA">
        <w:t xml:space="preserve"> It e</w:t>
      </w:r>
      <w:r w:rsidR="00BE5FFF">
        <w:t>xamines data</w:t>
      </w:r>
      <w:r w:rsidR="009638FA" w:rsidRPr="009638FA">
        <w:t xml:space="preserve"> from the 2015 National Ambulatory Medical Care Survey (NAMCS) of patient visits to participating provider offices.</w:t>
      </w:r>
      <w:r w:rsidR="009638FA">
        <w:t xml:space="preserve"> </w:t>
      </w:r>
      <w:r w:rsidR="00B74B32" w:rsidRPr="00CB5CB3">
        <w:t xml:space="preserve">The </w:t>
      </w:r>
      <w:r w:rsidR="00E94FEF">
        <w:t>specific</w:t>
      </w:r>
      <w:r w:rsidR="00861D53" w:rsidRPr="00861D53">
        <w:t xml:space="preserve"> focus of this research</w:t>
      </w:r>
      <w:r w:rsidR="00A75C4C">
        <w:t xml:space="preserve"> is to</w:t>
      </w:r>
      <w:r w:rsidR="00E94FEF">
        <w:t xml:space="preserve"> </w:t>
      </w:r>
      <w:r w:rsidR="00B74B32" w:rsidRPr="00CB5CB3">
        <w:t>explor</w:t>
      </w:r>
      <w:r w:rsidR="00A75C4C">
        <w:t>e</w:t>
      </w:r>
      <w:r w:rsidR="00B74B32" w:rsidRPr="00CB5CB3">
        <w:t xml:space="preserve"> </w:t>
      </w:r>
      <w:r>
        <w:t>potential relationships between</w:t>
      </w:r>
      <w:r w:rsidR="00B74B32" w:rsidRPr="00CB5CB3">
        <w:t xml:space="preserve"> patient, p</w:t>
      </w:r>
      <w:r w:rsidR="00861D53" w:rsidRPr="00861D53">
        <w:t>rovider, or practice character</w:t>
      </w:r>
      <w:r w:rsidR="00B74B32">
        <w:t xml:space="preserve">istics </w:t>
      </w:r>
      <w:r>
        <w:t>and whether</w:t>
      </w:r>
      <w:r w:rsidR="00B74B32">
        <w:t xml:space="preserve"> a patient with diabetes receiv</w:t>
      </w:r>
      <w:r>
        <w:t>es</w:t>
      </w:r>
      <w:r w:rsidR="00B74B32">
        <w:t xml:space="preserve"> a foot exam during an office visit</w:t>
      </w:r>
      <w:r w:rsidR="009638FA">
        <w:t>.</w:t>
      </w:r>
      <w:r w:rsidR="008508E3">
        <w:t xml:space="preserve"> </w:t>
      </w:r>
    </w:p>
    <w:p w:rsidR="00CC7BDC" w:rsidRPr="00003415" w:rsidRDefault="007A0CFE" w:rsidP="00B11B34">
      <w:pPr>
        <w:spacing w:line="360" w:lineRule="auto"/>
        <w:jc w:val="both"/>
      </w:pPr>
      <w:r>
        <w:tab/>
      </w:r>
      <w:r w:rsidR="002D042B">
        <w:t xml:space="preserve">With US healthcare costs </w:t>
      </w:r>
      <w:r w:rsidR="00706310">
        <w:t xml:space="preserve">outpacing all other nations, public administrators are faced with ensuring that </w:t>
      </w:r>
      <w:r w:rsidR="00086068">
        <w:t xml:space="preserve">all </w:t>
      </w:r>
      <w:r w:rsidR="00706310">
        <w:t>patie</w:t>
      </w:r>
      <w:r w:rsidR="000477C2">
        <w:t>nts in need of</w:t>
      </w:r>
      <w:r>
        <w:t xml:space="preserve"> medical</w:t>
      </w:r>
      <w:r w:rsidR="00086068">
        <w:t xml:space="preserve"> services receive</w:t>
      </w:r>
      <w:r w:rsidR="00706310">
        <w:t xml:space="preserve"> </w:t>
      </w:r>
      <w:r w:rsidR="00014F59">
        <w:t xml:space="preserve">access to quality </w:t>
      </w:r>
      <w:r w:rsidR="00414972">
        <w:t>and</w:t>
      </w:r>
      <w:r w:rsidR="00014F59">
        <w:t xml:space="preserve"> </w:t>
      </w:r>
      <w:r w:rsidR="00706310">
        <w:t>equitable care</w:t>
      </w:r>
      <w:r w:rsidR="00414972">
        <w:t xml:space="preserve"> </w:t>
      </w:r>
      <w:r w:rsidR="00014F59">
        <w:t xml:space="preserve">irrespective of </w:t>
      </w:r>
      <w:r w:rsidR="00414972">
        <w:t xml:space="preserve">characteristics </w:t>
      </w:r>
      <w:r w:rsidR="002F0B7C">
        <w:t>such as</w:t>
      </w:r>
      <w:r w:rsidR="00414972">
        <w:t xml:space="preserve"> ethnicity, </w:t>
      </w:r>
      <w:r w:rsidR="00014F59">
        <w:t>payment source</w:t>
      </w:r>
      <w:r w:rsidR="00414972">
        <w:t xml:space="preserve">, age, or </w:t>
      </w:r>
      <w:r w:rsidR="007031DE">
        <w:t>sex</w:t>
      </w:r>
      <w:r w:rsidR="00014F59">
        <w:t xml:space="preserve">. </w:t>
      </w:r>
      <w:r w:rsidR="008B6DB1">
        <w:t>If</w:t>
      </w:r>
      <w:r w:rsidR="00014F59">
        <w:t xml:space="preserve"> disparities arise, </w:t>
      </w:r>
      <w:r w:rsidR="008B6DB1">
        <w:t>public administrator</w:t>
      </w:r>
      <w:r w:rsidR="00BF1488">
        <w:t>s</w:t>
      </w:r>
      <w:r w:rsidR="00E94FEF">
        <w:t>,</w:t>
      </w:r>
      <w:r w:rsidR="008D643A">
        <w:t xml:space="preserve"> </w:t>
      </w:r>
      <w:r w:rsidR="00743796">
        <w:t>in collaboration with other stakeholders</w:t>
      </w:r>
      <w:r w:rsidR="00BF1488">
        <w:t>,</w:t>
      </w:r>
      <w:r>
        <w:t xml:space="preserve"> can</w:t>
      </w:r>
      <w:r w:rsidR="00743796">
        <w:t xml:space="preserve"> </w:t>
      </w:r>
      <w:r w:rsidR="008B6DB1">
        <w:t xml:space="preserve">work towards addressing these gaps and restoring equitable </w:t>
      </w:r>
      <w:r w:rsidR="00014F59">
        <w:t>balance</w:t>
      </w:r>
      <w:r w:rsidR="008B6DB1">
        <w:t xml:space="preserve"> to the system</w:t>
      </w:r>
      <w:r w:rsidR="00014F59">
        <w:t>.</w:t>
      </w:r>
      <w:r>
        <w:t xml:space="preserve">  </w:t>
      </w:r>
      <w:r w:rsidR="002F71E8">
        <w:t>With healthcare at the forefront of national debates</w:t>
      </w:r>
      <w:r w:rsidR="007E58F8">
        <w:t xml:space="preserve">, </w:t>
      </w:r>
      <w:r w:rsidR="002F71E8">
        <w:t>t</w:t>
      </w:r>
      <w:r w:rsidR="002F71E8" w:rsidRPr="002F71E8">
        <w:t>he U.S. is facing budget constraints at the federal, state</w:t>
      </w:r>
      <w:r w:rsidR="00BF1488">
        <w:t>,</w:t>
      </w:r>
      <w:r w:rsidR="002F71E8" w:rsidRPr="002F71E8">
        <w:t xml:space="preserve"> and local level</w:t>
      </w:r>
      <w:r w:rsidR="00E94FEF">
        <w:t>.</w:t>
      </w:r>
      <w:r w:rsidR="007E58F8">
        <w:t xml:space="preserve"> </w:t>
      </w:r>
      <w:r w:rsidR="00E94FEF">
        <w:t>T</w:t>
      </w:r>
      <w:r w:rsidR="000477C2">
        <w:t>he</w:t>
      </w:r>
      <w:r w:rsidR="00F4222C" w:rsidRPr="00F4222C">
        <w:t xml:space="preserve"> government</w:t>
      </w:r>
      <w:r w:rsidR="000477C2">
        <w:t>’s budget for</w:t>
      </w:r>
      <w:r w:rsidR="00F4222C" w:rsidRPr="00F4222C">
        <w:t xml:space="preserve"> </w:t>
      </w:r>
      <w:r w:rsidR="007E58F8">
        <w:t xml:space="preserve">healthcare </w:t>
      </w:r>
      <w:r w:rsidR="00F4222C" w:rsidRPr="00F4222C">
        <w:t>expenditures</w:t>
      </w:r>
      <w:r w:rsidR="007E58F8">
        <w:t xml:space="preserve"> are being outpaced</w:t>
      </w:r>
      <w:r w:rsidR="00A75C4C">
        <w:t xml:space="preserve"> </w:t>
      </w:r>
      <w:r w:rsidR="002F0B7C">
        <w:t>due to the</w:t>
      </w:r>
      <w:r w:rsidR="002F0B7C" w:rsidRPr="007E58F8">
        <w:t xml:space="preserve"> </w:t>
      </w:r>
      <w:r w:rsidR="002F0B7C">
        <w:t>increasing American life expectancy</w:t>
      </w:r>
      <w:r w:rsidR="007E58F8">
        <w:t xml:space="preserve"> and </w:t>
      </w:r>
      <w:r w:rsidR="002F0B7C">
        <w:t xml:space="preserve">continued expansion of </w:t>
      </w:r>
      <w:r w:rsidR="007E58F8">
        <w:t xml:space="preserve">the </w:t>
      </w:r>
      <w:r w:rsidR="00E94FEF">
        <w:t>population care needs</w:t>
      </w:r>
      <w:r w:rsidR="007E58F8">
        <w:t xml:space="preserve">. </w:t>
      </w:r>
      <w:bookmarkStart w:id="0" w:name="_Hlk54252405"/>
      <w:r w:rsidR="00BE4AB9">
        <w:t>The U.S. Congressional Budget office</w:t>
      </w:r>
      <w:r w:rsidR="007A353F">
        <w:t xml:space="preserve"> estimated</w:t>
      </w:r>
      <w:r w:rsidR="00BE4AB9">
        <w:t xml:space="preserve"> the 2019 federal budget</w:t>
      </w:r>
      <w:r w:rsidR="007A353F">
        <w:t xml:space="preserve"> at</w:t>
      </w:r>
      <w:r w:rsidR="006A3D68">
        <w:t xml:space="preserve"> </w:t>
      </w:r>
      <w:r w:rsidR="00BE4AB9" w:rsidRPr="005C79E0">
        <w:t>$4.4</w:t>
      </w:r>
      <w:r w:rsidR="007A353F" w:rsidRPr="005C79E0">
        <w:t xml:space="preserve"> trillion</w:t>
      </w:r>
      <w:r w:rsidR="00BE4AB9" w:rsidRPr="005C79E0">
        <w:t xml:space="preserve"> (Congressional Budget Office, 2020). </w:t>
      </w:r>
      <w:r w:rsidR="005C79E0" w:rsidRPr="005C79E0">
        <w:t xml:space="preserve"> </w:t>
      </w:r>
      <w:r w:rsidR="00BE4AB9" w:rsidRPr="005C79E0">
        <w:t>The federal budget</w:t>
      </w:r>
      <w:r w:rsidR="00946D02" w:rsidRPr="005C79E0">
        <w:t xml:space="preserve"> include</w:t>
      </w:r>
      <w:r w:rsidR="00BE4AB9" w:rsidRPr="005C79E0">
        <w:t>s</w:t>
      </w:r>
      <w:r w:rsidR="00946D02" w:rsidRPr="005C79E0">
        <w:t xml:space="preserve"> </w:t>
      </w:r>
      <w:r w:rsidR="007A353F" w:rsidRPr="005C79E0">
        <w:t>mandatory</w:t>
      </w:r>
      <w:r w:rsidR="0037477E" w:rsidRPr="005C79E0">
        <w:t xml:space="preserve"> spending</w:t>
      </w:r>
      <w:r w:rsidR="004C14A9">
        <w:t xml:space="preserve"> for</w:t>
      </w:r>
      <w:r w:rsidR="0093125C">
        <w:t xml:space="preserve"> </w:t>
      </w:r>
      <w:r w:rsidR="00946D02">
        <w:t>items such as</w:t>
      </w:r>
      <w:r w:rsidR="007A353F">
        <w:t xml:space="preserve"> </w:t>
      </w:r>
      <w:r w:rsidR="00071222">
        <w:t>S</w:t>
      </w:r>
      <w:r w:rsidR="0093125C">
        <w:t xml:space="preserve">ocial </w:t>
      </w:r>
      <w:r w:rsidR="00071222">
        <w:t>S</w:t>
      </w:r>
      <w:r w:rsidR="0093125C">
        <w:t>ecurity and health expenses</w:t>
      </w:r>
      <w:r w:rsidR="00946D02">
        <w:t xml:space="preserve"> as well as</w:t>
      </w:r>
      <w:r w:rsidR="007A353F">
        <w:t xml:space="preserve"> discretionary</w:t>
      </w:r>
      <w:r w:rsidR="0093125C">
        <w:t xml:space="preserve"> spending</w:t>
      </w:r>
      <w:r w:rsidR="000477C2">
        <w:t xml:space="preserve"> items</w:t>
      </w:r>
      <w:r w:rsidR="0093125C">
        <w:t xml:space="preserve"> including defe</w:t>
      </w:r>
      <w:r w:rsidR="002456FB">
        <w:t>nse, education, and housing</w:t>
      </w:r>
      <w:r w:rsidR="0093125C">
        <w:t xml:space="preserve"> </w:t>
      </w:r>
      <w:r w:rsidR="003A53D0">
        <w:t>(</w:t>
      </w:r>
      <w:proofErr w:type="spellStart"/>
      <w:r w:rsidR="00946D02">
        <w:t>Amadeo</w:t>
      </w:r>
      <w:proofErr w:type="spellEnd"/>
      <w:r w:rsidR="00946D02">
        <w:t xml:space="preserve">, 2018). </w:t>
      </w:r>
      <w:r w:rsidR="004C14A9">
        <w:t xml:space="preserve"> </w:t>
      </w:r>
      <w:bookmarkEnd w:id="0"/>
      <w:r w:rsidR="00946D02">
        <w:t xml:space="preserve">Of the mandatory expenses, healthcare </w:t>
      </w:r>
      <w:r w:rsidR="004C14A9">
        <w:t>was</w:t>
      </w:r>
      <w:r w:rsidR="00946D02">
        <w:t xml:space="preserve"> and will </w:t>
      </w:r>
      <w:r w:rsidR="002456FB">
        <w:t>continue</w:t>
      </w:r>
      <w:r w:rsidR="00946D02">
        <w:t xml:space="preserve"> to be a major driver of costs for the US.</w:t>
      </w:r>
      <w:r w:rsidR="008508E3">
        <w:t xml:space="preserve"> </w:t>
      </w:r>
      <w:r w:rsidR="004C14A9">
        <w:t xml:space="preserve"> </w:t>
      </w:r>
      <w:bookmarkStart w:id="1" w:name="_Hlk54252451"/>
      <w:r w:rsidR="009E1114">
        <w:t xml:space="preserve">According to </w:t>
      </w:r>
      <w:r w:rsidR="00D50C7E">
        <w:t xml:space="preserve">the </w:t>
      </w:r>
      <w:r w:rsidR="009E1114">
        <w:t>Center for Medicare and Medicaid Service (CMS), US healthcare spending reached</w:t>
      </w:r>
      <w:r w:rsidR="009E1114" w:rsidRPr="008F530A">
        <w:t xml:space="preserve"> $3.</w:t>
      </w:r>
      <w:r w:rsidR="009E1114">
        <w:t>3 trillion and consumed 17.9</w:t>
      </w:r>
      <w:r w:rsidR="002F0B7C">
        <w:t xml:space="preserve">% </w:t>
      </w:r>
      <w:r w:rsidR="009E1114">
        <w:t xml:space="preserve">of </w:t>
      </w:r>
      <w:r w:rsidR="009E1114" w:rsidRPr="008F530A">
        <w:t>the nation's Gr</w:t>
      </w:r>
      <w:r w:rsidR="009E1114">
        <w:t xml:space="preserve">oss Domestic </w:t>
      </w:r>
      <w:r w:rsidR="00BF1488">
        <w:t xml:space="preserve">Product </w:t>
      </w:r>
      <w:r w:rsidR="009E1114">
        <w:t>in 2016 and is projected to reach over $5 trillion by 2026 (CMS,</w:t>
      </w:r>
      <w:r w:rsidR="00830098">
        <w:t xml:space="preserve"> </w:t>
      </w:r>
      <w:r w:rsidR="00EB41CA">
        <w:t>2018</w:t>
      </w:r>
      <w:r w:rsidR="002F0B7C">
        <w:t>)</w:t>
      </w:r>
      <w:r w:rsidR="009E1114" w:rsidRPr="008F530A">
        <w:t>.</w:t>
      </w:r>
      <w:r w:rsidR="008508E3">
        <w:t xml:space="preserve"> </w:t>
      </w:r>
      <w:r w:rsidR="00704F57">
        <w:t>Diabetes</w:t>
      </w:r>
      <w:r w:rsidR="00BF1488">
        <w:t>-</w:t>
      </w:r>
      <w:r w:rsidR="00704F57">
        <w:t xml:space="preserve">related care is estimated </w:t>
      </w:r>
      <w:r w:rsidR="00C83F1A">
        <w:t xml:space="preserve">at $327 billion per year </w:t>
      </w:r>
      <w:r w:rsidR="00C83F1A">
        <w:lastRenderedPageBreak/>
        <w:t xml:space="preserve">(ADA, </w:t>
      </w:r>
      <w:r w:rsidR="00EB41CA">
        <w:t>2018</w:t>
      </w:r>
      <w:r w:rsidR="00830098">
        <w:t>)</w:t>
      </w:r>
      <w:r w:rsidR="00704F57" w:rsidRPr="00C83F1A">
        <w:rPr>
          <w:b/>
        </w:rPr>
        <w:t xml:space="preserve">. </w:t>
      </w:r>
      <w:r w:rsidR="00E94FEF">
        <w:rPr>
          <w:b/>
        </w:rPr>
        <w:t xml:space="preserve"> </w:t>
      </w:r>
      <w:bookmarkEnd w:id="1"/>
      <w:r w:rsidR="00DE5CD7" w:rsidRPr="002456FB">
        <w:t xml:space="preserve">Given </w:t>
      </w:r>
      <w:r w:rsidR="006A3D68">
        <w:t xml:space="preserve">the </w:t>
      </w:r>
      <w:r w:rsidR="00DE5CD7" w:rsidRPr="002456FB">
        <w:t>budget co</w:t>
      </w:r>
      <w:r w:rsidR="006A3D68">
        <w:t>nstraints and rising</w:t>
      </w:r>
      <w:r w:rsidR="00DE5CD7" w:rsidRPr="002456FB">
        <w:t xml:space="preserve"> costs</w:t>
      </w:r>
      <w:r w:rsidR="006A3D68">
        <w:t xml:space="preserve"> in the healthcare industry,</w:t>
      </w:r>
      <w:r w:rsidR="00DE5CD7" w:rsidRPr="002456FB">
        <w:t xml:space="preserve"> it is critical to implement cost containment and prevention measures</w:t>
      </w:r>
      <w:r w:rsidR="00BF204F">
        <w:t xml:space="preserve"> </w:t>
      </w:r>
      <w:r w:rsidR="00DE5CD7" w:rsidRPr="002456FB">
        <w:t>at all</w:t>
      </w:r>
      <w:r w:rsidR="006A3D68">
        <w:t xml:space="preserve"> levels. </w:t>
      </w:r>
      <w:r w:rsidR="00DE5CD7" w:rsidRPr="002456FB">
        <w:t>Th</w:t>
      </w:r>
      <w:r w:rsidR="00863443">
        <w:t>e</w:t>
      </w:r>
      <w:r w:rsidR="00DE5CD7" w:rsidRPr="002456FB">
        <w:t xml:space="preserve"> research </w:t>
      </w:r>
      <w:r w:rsidR="00863443">
        <w:t xml:space="preserve">in this document </w:t>
      </w:r>
      <w:r w:rsidR="00F24761">
        <w:t>explores</w:t>
      </w:r>
      <w:r w:rsidR="00DE5CD7" w:rsidRPr="002456FB">
        <w:t xml:space="preserve"> health </w:t>
      </w:r>
      <w:r w:rsidR="00ED1C90">
        <w:t xml:space="preserve">services </w:t>
      </w:r>
      <w:r w:rsidR="00DE5CD7" w:rsidRPr="002456FB">
        <w:t xml:space="preserve">disparities </w:t>
      </w:r>
      <w:r w:rsidR="00ED1C90">
        <w:t xml:space="preserve">in diabetes care </w:t>
      </w:r>
      <w:r w:rsidR="00DE5CD7" w:rsidRPr="002456FB">
        <w:t xml:space="preserve">and </w:t>
      </w:r>
      <w:r w:rsidR="00ED1C90">
        <w:t>makes</w:t>
      </w:r>
      <w:r w:rsidR="00DE5CD7" w:rsidRPr="002456FB">
        <w:t xml:space="preserve"> recommendation</w:t>
      </w:r>
      <w:r w:rsidR="00ED1C90">
        <w:t>s</w:t>
      </w:r>
      <w:r w:rsidR="00DE5CD7" w:rsidRPr="002456FB">
        <w:t xml:space="preserve"> </w:t>
      </w:r>
      <w:r w:rsidR="00863443">
        <w:t>to improve</w:t>
      </w:r>
      <w:r w:rsidR="00ED1C90">
        <w:t xml:space="preserve"> the services</w:t>
      </w:r>
      <w:r w:rsidR="00863443">
        <w:t xml:space="preserve"> quality</w:t>
      </w:r>
      <w:r w:rsidR="000630A9">
        <w:t xml:space="preserve"> for diabetes foot care. </w:t>
      </w:r>
    </w:p>
    <w:p w:rsidR="00F02989" w:rsidRDefault="00F02989" w:rsidP="00B11B34">
      <w:pPr>
        <w:spacing w:line="360" w:lineRule="auto"/>
        <w:jc w:val="both"/>
        <w:rPr>
          <w:b/>
        </w:rPr>
      </w:pPr>
    </w:p>
    <w:p w:rsidR="00C77709" w:rsidRDefault="00F94610" w:rsidP="00B11B34">
      <w:pPr>
        <w:spacing w:line="360" w:lineRule="auto"/>
        <w:jc w:val="both"/>
      </w:pPr>
      <w:r w:rsidRPr="00003415">
        <w:rPr>
          <w:b/>
        </w:rPr>
        <w:t xml:space="preserve">Current </w:t>
      </w:r>
      <w:r>
        <w:rPr>
          <w:b/>
        </w:rPr>
        <w:t>D</w:t>
      </w:r>
      <w:r w:rsidRPr="00003415">
        <w:rPr>
          <w:b/>
        </w:rPr>
        <w:t xml:space="preserve">iabetes </w:t>
      </w:r>
      <w:r>
        <w:rPr>
          <w:b/>
        </w:rPr>
        <w:t>L</w:t>
      </w:r>
      <w:r w:rsidRPr="00003415">
        <w:rPr>
          <w:b/>
        </w:rPr>
        <w:t>andscape</w:t>
      </w:r>
    </w:p>
    <w:p w:rsidR="00422BEC" w:rsidRDefault="00385203" w:rsidP="00B11B34">
      <w:pPr>
        <w:spacing w:line="360" w:lineRule="auto"/>
        <w:jc w:val="both"/>
      </w:pPr>
      <w:r>
        <w:rPr>
          <w:b/>
          <w:sz w:val="28"/>
        </w:rPr>
        <w:tab/>
      </w:r>
      <w:r w:rsidR="00A35799" w:rsidRPr="00A35799">
        <w:t>Like all chronic disease, diabetes is a lifetime condition and the quality of care a patient receives will not only impact their overall health outcomes but greatl</w:t>
      </w:r>
      <w:r w:rsidR="005B4765">
        <w:t>y alter their quality of lif</w:t>
      </w:r>
      <w:r w:rsidR="000A68BF">
        <w:t xml:space="preserve">e. </w:t>
      </w:r>
      <w:r w:rsidR="00E94FEF">
        <w:t xml:space="preserve"> </w:t>
      </w:r>
      <w:r w:rsidR="000A68BF">
        <w:t>C</w:t>
      </w:r>
      <w:r w:rsidR="005B4765">
        <w:t xml:space="preserve">onsistently adhering to </w:t>
      </w:r>
      <w:r w:rsidR="0083679E">
        <w:t>effective practices</w:t>
      </w:r>
      <w:r w:rsidR="0083679E" w:rsidRPr="0083679E">
        <w:t xml:space="preserve"> for screening, prevention, and coordinated care </w:t>
      </w:r>
      <w:r w:rsidR="000A68BF">
        <w:t>is a requirement for</w:t>
      </w:r>
      <w:r w:rsidR="007E4DFB">
        <w:t xml:space="preserve"> </w:t>
      </w:r>
      <w:r w:rsidR="009A3745">
        <w:t>improv</w:t>
      </w:r>
      <w:r w:rsidR="000A68BF">
        <w:t>ing</w:t>
      </w:r>
      <w:r w:rsidR="009A3745">
        <w:t xml:space="preserve"> </w:t>
      </w:r>
      <w:r w:rsidR="00A35799" w:rsidRPr="00A35799">
        <w:t>outcome</w:t>
      </w:r>
      <w:r w:rsidR="0083679E">
        <w:t>s for patients with diabet</w:t>
      </w:r>
      <w:r w:rsidR="000A68BF">
        <w:t>ic</w:t>
      </w:r>
      <w:r w:rsidR="0083679E">
        <w:t xml:space="preserve"> complications</w:t>
      </w:r>
      <w:r w:rsidR="0044354E">
        <w:t xml:space="preserve"> </w:t>
      </w:r>
      <w:r w:rsidR="00A35799" w:rsidRPr="00A35799">
        <w:t>(</w:t>
      </w:r>
      <w:proofErr w:type="spellStart"/>
      <w:r w:rsidR="00A35799" w:rsidRPr="00A35799">
        <w:t>Skrepnek</w:t>
      </w:r>
      <w:proofErr w:type="spellEnd"/>
      <w:r w:rsidR="00A35799" w:rsidRPr="00A35799">
        <w:t>, 2015).</w:t>
      </w:r>
      <w:r w:rsidR="002A2648">
        <w:t xml:space="preserve"> </w:t>
      </w:r>
      <w:r w:rsidR="00557323">
        <w:t xml:space="preserve"> </w:t>
      </w:r>
      <w:r w:rsidR="008B0E58">
        <w:t>M</w:t>
      </w:r>
      <w:r w:rsidR="00A35799" w:rsidRPr="00A35799">
        <w:t xml:space="preserve">anagement of diabetic foot </w:t>
      </w:r>
      <w:r w:rsidR="002D40C3">
        <w:t>complications</w:t>
      </w:r>
      <w:r w:rsidR="00100B34">
        <w:t xml:space="preserve"> is a critical opportunity to apply these practices for failure to do so</w:t>
      </w:r>
      <w:r w:rsidR="00A35799" w:rsidRPr="00A35799">
        <w:t xml:space="preserve"> </w:t>
      </w:r>
      <w:r w:rsidR="00100B34">
        <w:t>may have</w:t>
      </w:r>
      <w:r w:rsidR="00A35799" w:rsidRPr="00A35799">
        <w:t xml:space="preserve"> a substantial</w:t>
      </w:r>
      <w:r w:rsidR="00100B34">
        <w:t xml:space="preserve"> economic impact on acute care</w:t>
      </w:r>
      <w:r w:rsidR="009A3745">
        <w:t xml:space="preserve"> and potential</w:t>
      </w:r>
      <w:r w:rsidR="00BF1488">
        <w:t>ly</w:t>
      </w:r>
      <w:r w:rsidR="009A3745">
        <w:t xml:space="preserve"> life altering implications for patients with diabetes</w:t>
      </w:r>
      <w:r w:rsidR="00100B34">
        <w:t>.</w:t>
      </w:r>
      <w:r w:rsidR="00FF2E7A">
        <w:t xml:space="preserve"> </w:t>
      </w:r>
      <w:r w:rsidR="00BF1488">
        <w:t>For example, i</w:t>
      </w:r>
      <w:r w:rsidR="00A35799" w:rsidRPr="00A35799">
        <w:t>mproper diabetes management can lead to a diabetic foot ulcer</w:t>
      </w:r>
      <w:r w:rsidR="00830098">
        <w:t xml:space="preserve">, </w:t>
      </w:r>
      <w:r w:rsidR="002F0B7C">
        <w:t xml:space="preserve">following </w:t>
      </w:r>
      <w:r w:rsidR="00830098">
        <w:t>the pathway</w:t>
      </w:r>
      <w:r w:rsidR="008148E8">
        <w:t xml:space="preserve"> shown in Figure-1</w:t>
      </w:r>
      <w:r w:rsidR="00A75C4C">
        <w:t>a</w:t>
      </w:r>
      <w:r w:rsidR="007E4DFB">
        <w:t>,</w:t>
      </w:r>
      <w:r w:rsidR="00A35799" w:rsidRPr="00A35799">
        <w:t xml:space="preserve"> which in many cases is a precursor to amputation if not </w:t>
      </w:r>
      <w:r w:rsidR="007E4DFB">
        <w:t xml:space="preserve">properly </w:t>
      </w:r>
      <w:r w:rsidR="00A35799" w:rsidRPr="00A35799">
        <w:t xml:space="preserve">managed. </w:t>
      </w:r>
    </w:p>
    <w:p w:rsidR="00FC3558" w:rsidRDefault="00FC3558" w:rsidP="00B11B34">
      <w:pPr>
        <w:spacing w:line="360" w:lineRule="auto"/>
        <w:jc w:val="both"/>
        <w:rPr>
          <w:b/>
        </w:rPr>
      </w:pPr>
      <w:r>
        <w:rPr>
          <w:b/>
        </w:rPr>
        <w:tab/>
      </w:r>
      <w:r w:rsidR="00A75C4C">
        <w:t>F</w:t>
      </w:r>
      <w:r w:rsidRPr="00665505">
        <w:t>ortunately, a large majority of diabetes-related amputations are preventable, and the risk of amputation could drastically be reduced by following evidence-based clinical practices and consistent adoptions of self-management practices by individuals with diabetes</w:t>
      </w:r>
      <w:r w:rsidR="00254BDC">
        <w:t xml:space="preserve"> </w:t>
      </w:r>
      <w:r w:rsidR="00254BDC" w:rsidRPr="00254BDC">
        <w:t>(ADA, 2008).</w:t>
      </w:r>
      <w:r w:rsidRPr="00254BDC">
        <w:t xml:space="preserve">  </w:t>
      </w:r>
      <w:r w:rsidRPr="00FC3558">
        <w:t>Adequate access to care, improved care coordination, preventative screening, and patient education can significantly mitigate the risks of amputations.</w:t>
      </w:r>
    </w:p>
    <w:p w:rsidR="00B11B34" w:rsidRDefault="00B11B34" w:rsidP="00B11B34">
      <w:pPr>
        <w:spacing w:line="360" w:lineRule="auto"/>
        <w:jc w:val="both"/>
        <w:rPr>
          <w:b/>
        </w:rPr>
      </w:pPr>
    </w:p>
    <w:p w:rsidR="00B11B34" w:rsidRDefault="00B11B34" w:rsidP="00B11B34">
      <w:pPr>
        <w:spacing w:line="360" w:lineRule="auto"/>
        <w:jc w:val="both"/>
        <w:rPr>
          <w:b/>
        </w:rPr>
      </w:pPr>
    </w:p>
    <w:p w:rsidR="00B11B34" w:rsidRDefault="00B11B34" w:rsidP="00B11B34">
      <w:pPr>
        <w:spacing w:line="360" w:lineRule="auto"/>
        <w:jc w:val="both"/>
        <w:rPr>
          <w:b/>
        </w:rPr>
      </w:pPr>
    </w:p>
    <w:p w:rsidR="00B11B34" w:rsidRDefault="00B11B34" w:rsidP="00B11B34">
      <w:pPr>
        <w:spacing w:line="360" w:lineRule="auto"/>
        <w:jc w:val="both"/>
        <w:rPr>
          <w:b/>
        </w:rPr>
      </w:pPr>
    </w:p>
    <w:p w:rsidR="00B11B34" w:rsidRDefault="00B11B34" w:rsidP="00B11B34">
      <w:pPr>
        <w:spacing w:line="360" w:lineRule="auto"/>
        <w:jc w:val="both"/>
        <w:rPr>
          <w:b/>
        </w:rPr>
      </w:pPr>
    </w:p>
    <w:p w:rsidR="00B11B34" w:rsidRDefault="00B11B34" w:rsidP="00B11B34">
      <w:pPr>
        <w:spacing w:line="360" w:lineRule="auto"/>
        <w:jc w:val="both"/>
        <w:rPr>
          <w:b/>
        </w:rPr>
      </w:pPr>
    </w:p>
    <w:p w:rsidR="00B11B34" w:rsidRDefault="00B11B34" w:rsidP="00B11B34">
      <w:pPr>
        <w:spacing w:line="360" w:lineRule="auto"/>
        <w:jc w:val="both"/>
        <w:rPr>
          <w:b/>
        </w:rPr>
      </w:pPr>
    </w:p>
    <w:p w:rsidR="00B11B34" w:rsidRDefault="00B11B34" w:rsidP="00B11B34">
      <w:pPr>
        <w:spacing w:line="360" w:lineRule="auto"/>
        <w:jc w:val="both"/>
        <w:rPr>
          <w:b/>
        </w:rPr>
      </w:pPr>
    </w:p>
    <w:p w:rsidR="00B11B34" w:rsidRDefault="00B11B34" w:rsidP="00B11B34">
      <w:pPr>
        <w:spacing w:line="360" w:lineRule="auto"/>
        <w:jc w:val="both"/>
        <w:rPr>
          <w:b/>
        </w:rPr>
      </w:pPr>
    </w:p>
    <w:p w:rsidR="004F2237" w:rsidRDefault="00A62D54" w:rsidP="00B11B34">
      <w:pPr>
        <w:spacing w:line="360" w:lineRule="auto"/>
        <w:jc w:val="both"/>
      </w:pPr>
      <w:proofErr w:type="gramStart"/>
      <w:r>
        <w:rPr>
          <w:b/>
        </w:rPr>
        <w:lastRenderedPageBreak/>
        <w:t>Figure 1</w:t>
      </w:r>
      <w:r w:rsidR="00FB0204">
        <w:rPr>
          <w:b/>
        </w:rPr>
        <w:t>a</w:t>
      </w:r>
      <w:r w:rsidR="001D4A35">
        <w:rPr>
          <w:b/>
        </w:rPr>
        <w:t>.</w:t>
      </w:r>
      <w:proofErr w:type="gramEnd"/>
      <w:r w:rsidR="001D4A35">
        <w:rPr>
          <w:b/>
        </w:rPr>
        <w:t xml:space="preserve"> </w:t>
      </w:r>
      <w:r w:rsidR="008E2022" w:rsidRPr="00FF2E7A">
        <w:t xml:space="preserve"> </w:t>
      </w:r>
      <w:proofErr w:type="gramStart"/>
      <w:r w:rsidR="00F13860" w:rsidRPr="00F13860">
        <w:t>Pathways to diabetic foot ulceration.</w:t>
      </w:r>
      <w:proofErr w:type="gramEnd"/>
    </w:p>
    <w:p w:rsidR="008B7C8D" w:rsidRDefault="00190435" w:rsidP="00B11B34">
      <w:pPr>
        <w:spacing w:line="360" w:lineRule="auto"/>
        <w:ind w:left="-720" w:firstLine="720"/>
        <w:jc w:val="both"/>
        <w:rPr>
          <w:b/>
          <w:sz w:val="18"/>
        </w:rPr>
      </w:pPr>
      <w:r>
        <w:rPr>
          <w:noProof/>
        </w:rPr>
        <w:t xml:space="preserve"> </w:t>
      </w:r>
      <w:r w:rsidR="008252AC">
        <w:rPr>
          <w:noProof/>
        </w:rPr>
        <w:drawing>
          <wp:inline distT="0" distB="0" distL="0" distR="0">
            <wp:extent cx="4945380" cy="3411855"/>
            <wp:effectExtent l="0" t="0" r="7620" b="0"/>
            <wp:docPr id="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45380" cy="3411855"/>
                    </a:xfrm>
                    <a:prstGeom prst="rect">
                      <a:avLst/>
                    </a:prstGeom>
                    <a:noFill/>
                    <a:ln>
                      <a:noFill/>
                    </a:ln>
                  </pic:spPr>
                </pic:pic>
              </a:graphicData>
            </a:graphic>
          </wp:inline>
        </w:drawing>
      </w:r>
      <w:r w:rsidR="008350D2">
        <w:rPr>
          <w:b/>
          <w:sz w:val="18"/>
        </w:rPr>
        <w:t xml:space="preserve">  </w:t>
      </w:r>
      <w:r w:rsidR="008350D2">
        <w:rPr>
          <w:b/>
          <w:sz w:val="18"/>
        </w:rPr>
        <w:tab/>
      </w:r>
      <w:r w:rsidR="008350D2">
        <w:rPr>
          <w:b/>
          <w:sz w:val="18"/>
        </w:rPr>
        <w:tab/>
      </w:r>
      <w:r w:rsidR="008350D2">
        <w:rPr>
          <w:b/>
          <w:sz w:val="18"/>
        </w:rPr>
        <w:tab/>
      </w:r>
      <w:r w:rsidR="008350D2">
        <w:rPr>
          <w:b/>
          <w:sz w:val="18"/>
        </w:rPr>
        <w:tab/>
      </w:r>
      <w:r w:rsidR="008350D2">
        <w:rPr>
          <w:b/>
          <w:sz w:val="18"/>
        </w:rPr>
        <w:tab/>
      </w:r>
      <w:r w:rsidR="008350D2">
        <w:rPr>
          <w:b/>
          <w:sz w:val="18"/>
        </w:rPr>
        <w:tab/>
      </w:r>
      <w:r w:rsidR="008350D2">
        <w:rPr>
          <w:b/>
          <w:sz w:val="18"/>
        </w:rPr>
        <w:tab/>
      </w:r>
      <w:r w:rsidR="008350D2">
        <w:rPr>
          <w:b/>
          <w:sz w:val="18"/>
        </w:rPr>
        <w:tab/>
      </w:r>
      <w:r w:rsidR="008350D2">
        <w:rPr>
          <w:b/>
          <w:sz w:val="18"/>
        </w:rPr>
        <w:tab/>
      </w:r>
      <w:r w:rsidR="008350D2">
        <w:rPr>
          <w:b/>
          <w:sz w:val="18"/>
        </w:rPr>
        <w:tab/>
      </w:r>
      <w:r w:rsidR="008350D2">
        <w:rPr>
          <w:b/>
          <w:sz w:val="18"/>
        </w:rPr>
        <w:tab/>
      </w:r>
      <w:r w:rsidR="00A52155" w:rsidRPr="008350D2">
        <w:rPr>
          <w:sz w:val="18"/>
        </w:rPr>
        <w:t>Source: (</w:t>
      </w:r>
      <w:proofErr w:type="spellStart"/>
      <w:r w:rsidR="00A52155" w:rsidRPr="008350D2">
        <w:rPr>
          <w:sz w:val="18"/>
        </w:rPr>
        <w:t>Boulton</w:t>
      </w:r>
      <w:proofErr w:type="spellEnd"/>
      <w:r w:rsidR="00A52155" w:rsidRPr="008350D2">
        <w:rPr>
          <w:sz w:val="18"/>
        </w:rPr>
        <w:t>, 2018)</w:t>
      </w:r>
      <w:r w:rsidR="00A52155" w:rsidRPr="008350D2" w:rsidDel="002E0762">
        <w:rPr>
          <w:b/>
          <w:sz w:val="18"/>
          <w:highlight w:val="yellow"/>
        </w:rPr>
        <w:t xml:space="preserve"> </w:t>
      </w:r>
    </w:p>
    <w:p w:rsidR="00DE114C" w:rsidRPr="008350D2" w:rsidRDefault="00DE114C" w:rsidP="00B11B34">
      <w:pPr>
        <w:spacing w:line="360" w:lineRule="auto"/>
        <w:ind w:left="-720" w:firstLine="720"/>
        <w:jc w:val="both"/>
        <w:rPr>
          <w:sz w:val="18"/>
        </w:rPr>
      </w:pPr>
    </w:p>
    <w:p w:rsidR="00115ACA" w:rsidRPr="00115ACA" w:rsidRDefault="00DE114C" w:rsidP="00B11B34">
      <w:pPr>
        <w:spacing w:before="120" w:line="360" w:lineRule="auto"/>
        <w:jc w:val="both"/>
      </w:pPr>
      <w:r>
        <w:tab/>
      </w:r>
      <w:r w:rsidR="003476B5">
        <w:t>T</w:t>
      </w:r>
      <w:r w:rsidR="00A35799" w:rsidRPr="00A35799">
        <w:t xml:space="preserve">he ADA </w:t>
      </w:r>
      <w:r w:rsidR="003476B5" w:rsidRPr="003476B5">
        <w:t xml:space="preserve">developed </w:t>
      </w:r>
      <w:r w:rsidR="00714AB6">
        <w:t>guidelines</w:t>
      </w:r>
      <w:r w:rsidR="00A176AA">
        <w:t xml:space="preserve"> </w:t>
      </w:r>
      <w:r w:rsidR="009A3745">
        <w:t xml:space="preserve">that </w:t>
      </w:r>
      <w:r w:rsidR="00A176AA">
        <w:t>outline</w:t>
      </w:r>
      <w:r w:rsidR="003476B5" w:rsidRPr="003476B5">
        <w:t xml:space="preserve"> the </w:t>
      </w:r>
      <w:r w:rsidR="00714AB6">
        <w:t xml:space="preserve">recommended </w:t>
      </w:r>
      <w:r w:rsidR="00A176AA">
        <w:t xml:space="preserve">basic </w:t>
      </w:r>
      <w:r w:rsidR="00714AB6">
        <w:t xml:space="preserve">care for patients </w:t>
      </w:r>
      <w:r w:rsidR="003476B5" w:rsidRPr="003476B5">
        <w:t>with diabetes</w:t>
      </w:r>
      <w:r w:rsidR="00B87D30">
        <w:t xml:space="preserve">. They include </w:t>
      </w:r>
      <w:r w:rsidR="0063212F">
        <w:t xml:space="preserve">regularly scheduled </w:t>
      </w:r>
      <w:r w:rsidR="003C663F">
        <w:t>doctor’s visits</w:t>
      </w:r>
      <w:r w:rsidR="0063212F">
        <w:t xml:space="preserve"> with a minimum of one visit every six months for those with a controlled hemoglobin A1c (HbA1c)</w:t>
      </w:r>
      <w:r w:rsidR="0032330E">
        <w:t>, which is</w:t>
      </w:r>
      <w:r w:rsidR="0063212F">
        <w:t xml:space="preserve"> a test</w:t>
      </w:r>
      <w:r w:rsidR="00006922">
        <w:t xml:space="preserve"> done to</w:t>
      </w:r>
      <w:r w:rsidR="0032330E">
        <w:t xml:space="preserve"> evaluate glucose levels in an individual’s bloodstream</w:t>
      </w:r>
      <w:r w:rsidR="00830098">
        <w:t>.</w:t>
      </w:r>
      <w:r w:rsidR="0063212F">
        <w:t xml:space="preserve"> </w:t>
      </w:r>
      <w:r w:rsidR="00830098">
        <w:t>M</w:t>
      </w:r>
      <w:r w:rsidR="0063212F">
        <w:t xml:space="preserve">ore frequent </w:t>
      </w:r>
      <w:r w:rsidR="0032330E">
        <w:t>HbA1c testing</w:t>
      </w:r>
      <w:r w:rsidR="0063212F">
        <w:t xml:space="preserve"> </w:t>
      </w:r>
      <w:r w:rsidR="00830098">
        <w:t xml:space="preserve">is recommended </w:t>
      </w:r>
      <w:r w:rsidR="0063212F">
        <w:t>for those</w:t>
      </w:r>
      <w:r w:rsidR="0032330E">
        <w:t xml:space="preserve"> </w:t>
      </w:r>
      <w:r w:rsidR="00830098">
        <w:t xml:space="preserve">with </w:t>
      </w:r>
      <w:r w:rsidR="0063212F">
        <w:t>uncontrolled</w:t>
      </w:r>
      <w:r w:rsidR="00830098">
        <w:t xml:space="preserve"> diabetes</w:t>
      </w:r>
      <w:r w:rsidR="003C663F">
        <w:t xml:space="preserve">, </w:t>
      </w:r>
      <w:r w:rsidR="002F0B7C">
        <w:t xml:space="preserve">with </w:t>
      </w:r>
      <w:r w:rsidR="00F5001E">
        <w:t xml:space="preserve">an </w:t>
      </w:r>
      <w:r w:rsidR="00C62C6D">
        <w:t xml:space="preserve">annual comprehensive </w:t>
      </w:r>
      <w:r w:rsidR="003C663F">
        <w:t xml:space="preserve">foot </w:t>
      </w:r>
      <w:r w:rsidR="00006922">
        <w:t xml:space="preserve">exam </w:t>
      </w:r>
      <w:r w:rsidR="00F5001E">
        <w:t xml:space="preserve">at minimum </w:t>
      </w:r>
      <w:r w:rsidR="002F0B7C">
        <w:t xml:space="preserve">and </w:t>
      </w:r>
      <w:r w:rsidR="00F5001E">
        <w:t xml:space="preserve">a recommendation of </w:t>
      </w:r>
      <w:r w:rsidR="00C62C6D">
        <w:t>additional foot inspection</w:t>
      </w:r>
      <w:r w:rsidR="00F5001E">
        <w:t>s</w:t>
      </w:r>
      <w:r w:rsidR="00C62C6D">
        <w:t xml:space="preserve"> at every office visit</w:t>
      </w:r>
      <w:r w:rsidR="002F0B7C">
        <w:t>, as well as</w:t>
      </w:r>
      <w:r w:rsidR="00C62C6D">
        <w:t xml:space="preserve"> annual </w:t>
      </w:r>
      <w:r w:rsidR="003C663F">
        <w:t xml:space="preserve">retinal examinations </w:t>
      </w:r>
      <w:r w:rsidR="00A35799" w:rsidRPr="00A35799">
        <w:t>(Hale,</w:t>
      </w:r>
      <w:r w:rsidR="00FC3558">
        <w:t xml:space="preserve"> </w:t>
      </w:r>
      <w:r w:rsidR="00A35799" w:rsidRPr="00A35799">
        <w:t xml:space="preserve">2010). </w:t>
      </w:r>
      <w:r w:rsidR="00C62C6D">
        <w:t xml:space="preserve"> Figu</w:t>
      </w:r>
      <w:r w:rsidR="007F175D">
        <w:t>re-</w:t>
      </w:r>
      <w:r w:rsidR="00C62C6D">
        <w:t>1</w:t>
      </w:r>
      <w:r w:rsidR="00B87D30">
        <w:t>.b</w:t>
      </w:r>
      <w:r w:rsidR="00101F4F">
        <w:t xml:space="preserve"> </w:t>
      </w:r>
      <w:r w:rsidR="002C0532">
        <w:t xml:space="preserve">in the </w:t>
      </w:r>
      <w:r w:rsidR="00F35ED6">
        <w:t>A</w:t>
      </w:r>
      <w:r w:rsidR="002C0532">
        <w:t xml:space="preserve">ppendix </w:t>
      </w:r>
      <w:r w:rsidR="00C62C6D">
        <w:t>provide</w:t>
      </w:r>
      <w:r w:rsidR="00C64A7E">
        <w:t>s</w:t>
      </w:r>
      <w:r w:rsidR="00C62C6D">
        <w:t xml:space="preserve"> </w:t>
      </w:r>
      <w:r w:rsidR="00C64A7E">
        <w:t>a</w:t>
      </w:r>
      <w:r w:rsidR="00C62C6D">
        <w:t xml:space="preserve"> full list of recommend</w:t>
      </w:r>
      <w:r w:rsidR="002C0532">
        <w:t xml:space="preserve">ations </w:t>
      </w:r>
      <w:r w:rsidR="00D80488">
        <w:t xml:space="preserve">by the ADA </w:t>
      </w:r>
      <w:r w:rsidR="002C0532">
        <w:t>for diabetes management.</w:t>
      </w:r>
      <w:r w:rsidR="002C5F0A">
        <w:t xml:space="preserve"> </w:t>
      </w:r>
      <w:r w:rsidR="00ED0121">
        <w:t xml:space="preserve"> </w:t>
      </w:r>
      <w:r w:rsidR="00ED0121" w:rsidRPr="00ED0121">
        <w:t xml:space="preserve">However, </w:t>
      </w:r>
      <w:r w:rsidR="00820BD1">
        <w:t>with</w:t>
      </w:r>
      <w:r w:rsidR="00ED0121">
        <w:t xml:space="preserve"> the typical primary care visit lasting 15 min</w:t>
      </w:r>
      <w:r w:rsidR="00633E48">
        <w:t>utes</w:t>
      </w:r>
      <w:r w:rsidR="00ED0121">
        <w:t>, performing a comprehensive foot examination can be</w:t>
      </w:r>
      <w:r w:rsidR="00ED0121" w:rsidRPr="00ED0121">
        <w:t xml:space="preserve"> difficult to inc</w:t>
      </w:r>
      <w:r w:rsidR="00ED0121">
        <w:t>orporate during a visit</w:t>
      </w:r>
      <w:r w:rsidR="00830098">
        <w:t>,</w:t>
      </w:r>
      <w:r w:rsidR="00ED0121">
        <w:t xml:space="preserve"> especially if diabetes is only one of ma</w:t>
      </w:r>
      <w:r w:rsidR="00820BD1">
        <w:t>ny other chronic ailments needing</w:t>
      </w:r>
      <w:r w:rsidR="00ED0121">
        <w:t xml:space="preserve"> to be addressed</w:t>
      </w:r>
      <w:r w:rsidR="005C6613">
        <w:t>; h</w:t>
      </w:r>
      <w:r w:rsidR="00ED0121">
        <w:t>ence why a</w:t>
      </w:r>
      <w:r w:rsidR="00ED0121" w:rsidRPr="00ED0121">
        <w:t xml:space="preserve"> diabetic foot</w:t>
      </w:r>
      <w:r w:rsidR="00ED0121">
        <w:t xml:space="preserve"> exam is</w:t>
      </w:r>
      <w:r w:rsidR="00ED0121" w:rsidRPr="00ED0121">
        <w:t xml:space="preserve"> only</w:t>
      </w:r>
      <w:r w:rsidR="00ED0121">
        <w:t xml:space="preserve"> completed</w:t>
      </w:r>
      <w:r w:rsidR="00ED0121" w:rsidRPr="00ED0121">
        <w:t xml:space="preserve"> 12% to 20% of the time</w:t>
      </w:r>
      <w:r w:rsidR="00ED0121">
        <w:t xml:space="preserve"> during a primary care visit</w:t>
      </w:r>
      <w:r w:rsidR="005C6613">
        <w:t xml:space="preserve"> (</w:t>
      </w:r>
      <w:r w:rsidR="00A900D3">
        <w:t>Miller, 2014).</w:t>
      </w:r>
      <w:r w:rsidR="00820BD1">
        <w:t xml:space="preserve">  Below is the list of requirements for provider reimbursement for the different types of foot exams performed during an office visit. </w:t>
      </w:r>
    </w:p>
    <w:p w:rsidR="00C452D8" w:rsidRDefault="00820BD1" w:rsidP="00F02989">
      <w:pPr>
        <w:spacing w:before="60"/>
        <w:jc w:val="both"/>
      </w:pPr>
      <w:proofErr w:type="gramStart"/>
      <w:r>
        <w:rPr>
          <w:b/>
        </w:rPr>
        <w:lastRenderedPageBreak/>
        <w:t>Table</w:t>
      </w:r>
      <w:r w:rsidR="002B5B56">
        <w:rPr>
          <w:b/>
        </w:rPr>
        <w:t xml:space="preserve"> </w:t>
      </w:r>
      <w:r>
        <w:rPr>
          <w:b/>
        </w:rPr>
        <w:t>1.</w:t>
      </w:r>
      <w:proofErr w:type="gramEnd"/>
      <w:r>
        <w:rPr>
          <w:b/>
        </w:rPr>
        <w:t xml:space="preserve"> </w:t>
      </w:r>
      <w:proofErr w:type="gramStart"/>
      <w:r w:rsidR="00C452D8" w:rsidRPr="00C452D8">
        <w:t xml:space="preserve">Current Procedural Terminology (CPT) </w:t>
      </w:r>
      <w:r w:rsidR="00C452D8">
        <w:t>codes and descriptions for foot</w:t>
      </w:r>
      <w:r w:rsidR="00C452D8" w:rsidRPr="00C452D8">
        <w:t xml:space="preserve"> exams reimbursement.</w:t>
      </w:r>
      <w:proofErr w:type="gramEnd"/>
      <w:r w:rsidR="007B33C7">
        <w:rPr>
          <w:b/>
        </w:rPr>
        <w:t xml:space="preserve"> </w:t>
      </w:r>
      <w:r w:rsidR="007B33C7" w:rsidRPr="007B33C7">
        <w:t>(Dooley, 2016)</w:t>
      </w:r>
    </w:p>
    <w:p w:rsidR="007B33C7" w:rsidRPr="00C452D8" w:rsidRDefault="007B33C7" w:rsidP="00F02989">
      <w:pPr>
        <w:spacing w:before="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7758"/>
      </w:tblGrid>
      <w:tr w:rsidR="00FD6E27" w:rsidTr="000763AE">
        <w:trPr>
          <w:trHeight w:val="107"/>
        </w:trPr>
        <w:tc>
          <w:tcPr>
            <w:tcW w:w="1098" w:type="dxa"/>
            <w:shd w:val="clear" w:color="auto" w:fill="auto"/>
            <w:vAlign w:val="center"/>
          </w:tcPr>
          <w:p w:rsidR="00FD6E27" w:rsidRPr="000763AE" w:rsidRDefault="00FD6E27" w:rsidP="00F02989">
            <w:pPr>
              <w:rPr>
                <w:b/>
                <w:sz w:val="18"/>
                <w:szCs w:val="18"/>
              </w:rPr>
            </w:pPr>
            <w:r w:rsidRPr="000763AE">
              <w:rPr>
                <w:b/>
                <w:sz w:val="18"/>
                <w:szCs w:val="18"/>
              </w:rPr>
              <w:t>CPT Code</w:t>
            </w:r>
          </w:p>
        </w:tc>
        <w:tc>
          <w:tcPr>
            <w:tcW w:w="7758" w:type="dxa"/>
            <w:shd w:val="clear" w:color="auto" w:fill="auto"/>
            <w:vAlign w:val="center"/>
          </w:tcPr>
          <w:p w:rsidR="00FD6E27" w:rsidRPr="000763AE" w:rsidRDefault="00FD6E27" w:rsidP="00F02989">
            <w:pPr>
              <w:rPr>
                <w:b/>
                <w:sz w:val="18"/>
                <w:szCs w:val="18"/>
              </w:rPr>
            </w:pPr>
            <w:r w:rsidRPr="000763AE">
              <w:rPr>
                <w:b/>
                <w:sz w:val="18"/>
                <w:szCs w:val="18"/>
              </w:rPr>
              <w:t>Description</w:t>
            </w:r>
          </w:p>
        </w:tc>
      </w:tr>
      <w:tr w:rsidR="00FD6E27" w:rsidTr="000763AE">
        <w:trPr>
          <w:trHeight w:val="3095"/>
        </w:trPr>
        <w:tc>
          <w:tcPr>
            <w:tcW w:w="1098" w:type="dxa"/>
            <w:shd w:val="clear" w:color="auto" w:fill="auto"/>
            <w:vAlign w:val="center"/>
          </w:tcPr>
          <w:p w:rsidR="00FD6E27" w:rsidRPr="000763AE" w:rsidRDefault="00FD6E27" w:rsidP="00F02989">
            <w:pPr>
              <w:rPr>
                <w:b/>
                <w:sz w:val="18"/>
                <w:szCs w:val="18"/>
              </w:rPr>
            </w:pPr>
            <w:r w:rsidRPr="000763AE">
              <w:rPr>
                <w:rStyle w:val="apple-style-span"/>
                <w:rFonts w:ascii="&amp;quot" w:hAnsi="&amp;quot"/>
                <w:b/>
                <w:bCs/>
                <w:color w:val="000000"/>
                <w:sz w:val="18"/>
                <w:szCs w:val="18"/>
              </w:rPr>
              <w:t>G0245</w:t>
            </w:r>
          </w:p>
        </w:tc>
        <w:tc>
          <w:tcPr>
            <w:tcW w:w="7758" w:type="dxa"/>
            <w:shd w:val="clear" w:color="auto" w:fill="auto"/>
            <w:vAlign w:val="center"/>
          </w:tcPr>
          <w:p w:rsidR="00FD6E27" w:rsidRPr="000763AE" w:rsidRDefault="00FD6E27" w:rsidP="00F02989">
            <w:pPr>
              <w:rPr>
                <w:rFonts w:ascii="Verdana" w:hAnsi="Verdana"/>
                <w:color w:val="000000"/>
                <w:sz w:val="18"/>
                <w:szCs w:val="18"/>
              </w:rPr>
            </w:pPr>
            <w:r w:rsidRPr="000763AE">
              <w:rPr>
                <w:rStyle w:val="apple-style-span"/>
                <w:rFonts w:ascii="&amp;quot" w:hAnsi="&amp;quot"/>
                <w:color w:val="000000"/>
                <w:sz w:val="18"/>
                <w:szCs w:val="18"/>
              </w:rPr>
              <w:t>Initial physician evaluation of a diabetic patient with diabetic sensory neuropathy resulting in LOPS, which must include:</w:t>
            </w:r>
          </w:p>
          <w:p w:rsidR="00FD6E27" w:rsidRPr="000763AE" w:rsidRDefault="00FD6E27" w:rsidP="000763AE">
            <w:pPr>
              <w:pStyle w:val="ListParagraph"/>
              <w:numPr>
                <w:ilvl w:val="1"/>
                <w:numId w:val="8"/>
              </w:numPr>
              <w:spacing w:after="0" w:line="240" w:lineRule="auto"/>
              <w:contextualSpacing w:val="0"/>
              <w:rPr>
                <w:rFonts w:ascii="Verdana" w:hAnsi="Verdana"/>
                <w:color w:val="000000"/>
                <w:sz w:val="18"/>
                <w:szCs w:val="18"/>
              </w:rPr>
            </w:pPr>
            <w:r w:rsidRPr="000763AE">
              <w:rPr>
                <w:rStyle w:val="apple-style-span"/>
                <w:rFonts w:ascii="&amp;quot" w:hAnsi="&amp;quot"/>
                <w:color w:val="000000"/>
                <w:sz w:val="18"/>
                <w:szCs w:val="18"/>
              </w:rPr>
              <w:t>The diagnosis of LOPS.</w:t>
            </w:r>
          </w:p>
          <w:p w:rsidR="00FD6E27" w:rsidRPr="000763AE" w:rsidRDefault="00FD6E27" w:rsidP="000763AE">
            <w:pPr>
              <w:pStyle w:val="ListParagraph"/>
              <w:numPr>
                <w:ilvl w:val="1"/>
                <w:numId w:val="8"/>
              </w:numPr>
              <w:spacing w:after="0" w:line="240" w:lineRule="auto"/>
              <w:contextualSpacing w:val="0"/>
              <w:rPr>
                <w:rFonts w:ascii="&amp;quot" w:hAnsi="&amp;quot"/>
                <w:color w:val="000000"/>
                <w:sz w:val="18"/>
                <w:szCs w:val="18"/>
              </w:rPr>
            </w:pPr>
            <w:r w:rsidRPr="000763AE">
              <w:rPr>
                <w:rFonts w:ascii="&amp;quot" w:hAnsi="&amp;quot"/>
                <w:color w:val="000000"/>
                <w:sz w:val="18"/>
                <w:szCs w:val="18"/>
              </w:rPr>
              <w:t>A patient history.</w:t>
            </w:r>
          </w:p>
          <w:p w:rsidR="00254BDC" w:rsidRPr="000763AE" w:rsidRDefault="00FD6E27" w:rsidP="000763AE">
            <w:pPr>
              <w:pStyle w:val="ListParagraph"/>
              <w:numPr>
                <w:ilvl w:val="1"/>
                <w:numId w:val="8"/>
              </w:numPr>
              <w:spacing w:after="0" w:line="240" w:lineRule="auto"/>
              <w:contextualSpacing w:val="0"/>
              <w:rPr>
                <w:rFonts w:ascii="&amp;quot" w:hAnsi="&amp;quot"/>
                <w:color w:val="000000"/>
                <w:sz w:val="18"/>
                <w:szCs w:val="18"/>
              </w:rPr>
            </w:pPr>
            <w:r w:rsidRPr="000763AE">
              <w:rPr>
                <w:rFonts w:ascii="&amp;quot" w:hAnsi="&amp;quot"/>
                <w:color w:val="000000"/>
                <w:sz w:val="18"/>
                <w:szCs w:val="18"/>
              </w:rPr>
              <w:t>A physical examination consisting of findings regarding at least the following elements:</w:t>
            </w:r>
          </w:p>
          <w:p w:rsidR="00254BDC" w:rsidRPr="000763AE" w:rsidRDefault="00FD6E27" w:rsidP="000763AE">
            <w:pPr>
              <w:pStyle w:val="ListParagraph"/>
              <w:numPr>
                <w:ilvl w:val="2"/>
                <w:numId w:val="8"/>
              </w:numPr>
              <w:spacing w:after="0" w:line="240" w:lineRule="auto"/>
              <w:contextualSpacing w:val="0"/>
              <w:rPr>
                <w:rStyle w:val="apple-style-span"/>
                <w:rFonts w:ascii="&amp;quot" w:hAnsi="&amp;quot"/>
                <w:color w:val="000000"/>
                <w:sz w:val="18"/>
                <w:szCs w:val="18"/>
              </w:rPr>
            </w:pPr>
            <w:r w:rsidRPr="000763AE">
              <w:rPr>
                <w:rStyle w:val="apple-style-span"/>
                <w:rFonts w:ascii="&amp;quot" w:hAnsi="&amp;quot"/>
                <w:color w:val="000000"/>
                <w:sz w:val="18"/>
                <w:szCs w:val="18"/>
              </w:rPr>
              <w:t xml:space="preserve">Visual inspection of the forefoot, </w:t>
            </w:r>
            <w:proofErr w:type="spellStart"/>
            <w:r w:rsidRPr="000763AE">
              <w:rPr>
                <w:rStyle w:val="apple-style-span"/>
                <w:rFonts w:ascii="&amp;quot" w:hAnsi="&amp;quot"/>
                <w:color w:val="000000"/>
                <w:sz w:val="18"/>
                <w:szCs w:val="18"/>
              </w:rPr>
              <w:t>hindfoot</w:t>
            </w:r>
            <w:proofErr w:type="spellEnd"/>
            <w:r w:rsidRPr="000763AE">
              <w:rPr>
                <w:rStyle w:val="apple-style-span"/>
                <w:rFonts w:ascii="&amp;quot" w:hAnsi="&amp;quot"/>
                <w:color w:val="000000"/>
                <w:sz w:val="18"/>
                <w:szCs w:val="18"/>
              </w:rPr>
              <w:t xml:space="preserve"> and toe web spaces.</w:t>
            </w:r>
          </w:p>
          <w:p w:rsidR="00254BDC" w:rsidRPr="000763AE" w:rsidRDefault="00FD6E27" w:rsidP="000763AE">
            <w:pPr>
              <w:pStyle w:val="ListParagraph"/>
              <w:numPr>
                <w:ilvl w:val="2"/>
                <w:numId w:val="8"/>
              </w:numPr>
              <w:spacing w:after="0" w:line="240" w:lineRule="auto"/>
              <w:contextualSpacing w:val="0"/>
              <w:rPr>
                <w:rFonts w:ascii="&amp;quot" w:hAnsi="&amp;quot"/>
                <w:color w:val="000000"/>
                <w:sz w:val="18"/>
                <w:szCs w:val="18"/>
              </w:rPr>
            </w:pPr>
            <w:r w:rsidRPr="000763AE">
              <w:rPr>
                <w:rFonts w:ascii="&amp;quot" w:hAnsi="&amp;quot"/>
                <w:color w:val="000000"/>
                <w:sz w:val="18"/>
                <w:szCs w:val="18"/>
              </w:rPr>
              <w:t>Evaluation of protective sensation.</w:t>
            </w:r>
          </w:p>
          <w:p w:rsidR="00254BDC" w:rsidRPr="000763AE" w:rsidRDefault="00FD6E27" w:rsidP="000763AE">
            <w:pPr>
              <w:pStyle w:val="ListParagraph"/>
              <w:numPr>
                <w:ilvl w:val="2"/>
                <w:numId w:val="8"/>
              </w:numPr>
              <w:spacing w:after="0" w:line="240" w:lineRule="auto"/>
              <w:contextualSpacing w:val="0"/>
              <w:rPr>
                <w:rFonts w:ascii="&amp;quot" w:hAnsi="&amp;quot"/>
                <w:color w:val="000000"/>
                <w:sz w:val="18"/>
                <w:szCs w:val="18"/>
              </w:rPr>
            </w:pPr>
            <w:r w:rsidRPr="000763AE">
              <w:rPr>
                <w:rFonts w:ascii="&amp;quot" w:hAnsi="&amp;quot"/>
                <w:color w:val="000000"/>
                <w:sz w:val="18"/>
                <w:szCs w:val="18"/>
              </w:rPr>
              <w:t>Evaluation of foot structure and biomechanics.</w:t>
            </w:r>
          </w:p>
          <w:p w:rsidR="00254BDC" w:rsidRPr="000763AE" w:rsidRDefault="00FD6E27" w:rsidP="000763AE">
            <w:pPr>
              <w:pStyle w:val="ListParagraph"/>
              <w:numPr>
                <w:ilvl w:val="2"/>
                <w:numId w:val="8"/>
              </w:numPr>
              <w:spacing w:after="0" w:line="240" w:lineRule="auto"/>
              <w:contextualSpacing w:val="0"/>
              <w:rPr>
                <w:rFonts w:ascii="&amp;quot" w:hAnsi="&amp;quot"/>
                <w:color w:val="000000"/>
                <w:sz w:val="18"/>
                <w:szCs w:val="18"/>
              </w:rPr>
            </w:pPr>
            <w:r w:rsidRPr="000763AE">
              <w:rPr>
                <w:rFonts w:ascii="&amp;quot" w:hAnsi="&amp;quot"/>
                <w:color w:val="000000"/>
                <w:sz w:val="18"/>
                <w:szCs w:val="18"/>
              </w:rPr>
              <w:t>Evaluation of vascular status and skin integrity.</w:t>
            </w:r>
          </w:p>
          <w:p w:rsidR="00254BDC" w:rsidRPr="000763AE" w:rsidRDefault="00FD6E27" w:rsidP="000763AE">
            <w:pPr>
              <w:pStyle w:val="ListParagraph"/>
              <w:numPr>
                <w:ilvl w:val="2"/>
                <w:numId w:val="8"/>
              </w:numPr>
              <w:spacing w:after="0" w:line="240" w:lineRule="auto"/>
              <w:contextualSpacing w:val="0"/>
              <w:rPr>
                <w:rFonts w:ascii="&amp;quot" w:hAnsi="&amp;quot"/>
                <w:color w:val="000000"/>
                <w:sz w:val="18"/>
                <w:szCs w:val="18"/>
              </w:rPr>
            </w:pPr>
            <w:r w:rsidRPr="000763AE">
              <w:rPr>
                <w:rFonts w:ascii="&amp;quot" w:hAnsi="&amp;quot"/>
                <w:color w:val="000000"/>
                <w:sz w:val="18"/>
                <w:szCs w:val="18"/>
              </w:rPr>
              <w:t>Evaluation and recommendation of footwear.</w:t>
            </w:r>
          </w:p>
          <w:p w:rsidR="00FD6E27" w:rsidRPr="000763AE" w:rsidRDefault="00FD6E27" w:rsidP="000763AE">
            <w:pPr>
              <w:pStyle w:val="ListParagraph"/>
              <w:numPr>
                <w:ilvl w:val="2"/>
                <w:numId w:val="8"/>
              </w:numPr>
              <w:spacing w:after="0" w:line="240" w:lineRule="auto"/>
              <w:contextualSpacing w:val="0"/>
              <w:rPr>
                <w:rFonts w:ascii="&amp;quot" w:hAnsi="&amp;quot"/>
                <w:color w:val="000000"/>
                <w:sz w:val="18"/>
                <w:szCs w:val="18"/>
              </w:rPr>
            </w:pPr>
            <w:r w:rsidRPr="000763AE">
              <w:rPr>
                <w:rFonts w:ascii="&amp;quot" w:hAnsi="&amp;quot"/>
                <w:color w:val="000000"/>
                <w:sz w:val="18"/>
                <w:szCs w:val="18"/>
              </w:rPr>
              <w:t>Patient education.</w:t>
            </w:r>
          </w:p>
        </w:tc>
      </w:tr>
      <w:tr w:rsidR="00FD6E27" w:rsidTr="000763AE">
        <w:trPr>
          <w:trHeight w:val="2447"/>
        </w:trPr>
        <w:tc>
          <w:tcPr>
            <w:tcW w:w="1098" w:type="dxa"/>
            <w:shd w:val="clear" w:color="auto" w:fill="auto"/>
            <w:vAlign w:val="center"/>
          </w:tcPr>
          <w:p w:rsidR="00FD6E27" w:rsidRPr="000763AE" w:rsidRDefault="00FD6E27" w:rsidP="00F02989">
            <w:pPr>
              <w:rPr>
                <w:b/>
                <w:sz w:val="18"/>
                <w:szCs w:val="18"/>
              </w:rPr>
            </w:pPr>
            <w:r w:rsidRPr="000763AE">
              <w:rPr>
                <w:rStyle w:val="apple-style-span"/>
                <w:rFonts w:ascii="&amp;quot" w:hAnsi="&amp;quot"/>
                <w:b/>
                <w:bCs/>
                <w:color w:val="000000"/>
                <w:sz w:val="18"/>
                <w:szCs w:val="18"/>
              </w:rPr>
              <w:t>G0246</w:t>
            </w:r>
          </w:p>
        </w:tc>
        <w:tc>
          <w:tcPr>
            <w:tcW w:w="7758" w:type="dxa"/>
            <w:shd w:val="clear" w:color="auto" w:fill="auto"/>
            <w:vAlign w:val="center"/>
          </w:tcPr>
          <w:p w:rsidR="00FD6E27" w:rsidRPr="000763AE" w:rsidRDefault="00FD6E27" w:rsidP="00F02989">
            <w:pPr>
              <w:rPr>
                <w:rFonts w:ascii="Verdana" w:hAnsi="Verdana"/>
                <w:color w:val="000000"/>
                <w:sz w:val="18"/>
                <w:szCs w:val="18"/>
              </w:rPr>
            </w:pPr>
            <w:r w:rsidRPr="000763AE">
              <w:rPr>
                <w:rStyle w:val="apple-style-span"/>
                <w:rFonts w:ascii="&amp;quot" w:hAnsi="&amp;quot"/>
                <w:color w:val="000000"/>
                <w:sz w:val="18"/>
                <w:szCs w:val="18"/>
              </w:rPr>
              <w:t>Follow-up physician evaluation and management of a diabetic patient with diabetic sensory neuropathy resulting in LOPS to include at least the following:</w:t>
            </w:r>
          </w:p>
          <w:p w:rsidR="00FD6E27" w:rsidRPr="000763AE" w:rsidRDefault="00FD6E27" w:rsidP="000763AE">
            <w:pPr>
              <w:pStyle w:val="ListParagraph"/>
              <w:numPr>
                <w:ilvl w:val="1"/>
                <w:numId w:val="9"/>
              </w:numPr>
              <w:spacing w:after="0" w:line="240" w:lineRule="auto"/>
              <w:contextualSpacing w:val="0"/>
              <w:rPr>
                <w:rFonts w:ascii="Verdana" w:hAnsi="Verdana"/>
                <w:color w:val="000000"/>
                <w:sz w:val="18"/>
                <w:szCs w:val="18"/>
              </w:rPr>
            </w:pPr>
            <w:r w:rsidRPr="000763AE">
              <w:rPr>
                <w:rStyle w:val="apple-style-span"/>
                <w:rFonts w:ascii="&amp;quot" w:hAnsi="&amp;quot"/>
                <w:color w:val="000000"/>
                <w:sz w:val="18"/>
                <w:szCs w:val="18"/>
              </w:rPr>
              <w:t>A patient history.</w:t>
            </w:r>
          </w:p>
          <w:p w:rsidR="00FD6E27" w:rsidRPr="000763AE" w:rsidRDefault="00FD6E27" w:rsidP="000763AE">
            <w:pPr>
              <w:pStyle w:val="ListParagraph"/>
              <w:numPr>
                <w:ilvl w:val="1"/>
                <w:numId w:val="9"/>
              </w:numPr>
              <w:spacing w:after="0" w:line="240" w:lineRule="auto"/>
              <w:contextualSpacing w:val="0"/>
              <w:rPr>
                <w:rFonts w:ascii="&amp;quot" w:hAnsi="&amp;quot"/>
                <w:color w:val="000000"/>
                <w:sz w:val="18"/>
                <w:szCs w:val="18"/>
              </w:rPr>
            </w:pPr>
            <w:r w:rsidRPr="000763AE">
              <w:rPr>
                <w:rFonts w:ascii="&amp;quot" w:hAnsi="&amp;quot"/>
                <w:color w:val="000000"/>
                <w:sz w:val="18"/>
                <w:szCs w:val="18"/>
              </w:rPr>
              <w:t>A physical examination consisting of findings that includes:</w:t>
            </w:r>
          </w:p>
          <w:p w:rsidR="00FD6E27" w:rsidRPr="000763AE" w:rsidRDefault="00FD6E27" w:rsidP="000763AE">
            <w:pPr>
              <w:pStyle w:val="ListParagraph"/>
              <w:numPr>
                <w:ilvl w:val="2"/>
                <w:numId w:val="9"/>
              </w:numPr>
              <w:spacing w:after="0" w:line="240" w:lineRule="auto"/>
              <w:contextualSpacing w:val="0"/>
              <w:rPr>
                <w:rFonts w:ascii="Verdana" w:hAnsi="Verdana"/>
                <w:color w:val="000000"/>
                <w:sz w:val="18"/>
                <w:szCs w:val="18"/>
              </w:rPr>
            </w:pPr>
            <w:r w:rsidRPr="000763AE">
              <w:rPr>
                <w:rStyle w:val="apple-style-span"/>
                <w:rFonts w:ascii="&amp;quot" w:hAnsi="&amp;quot"/>
                <w:color w:val="000000"/>
                <w:sz w:val="18"/>
                <w:szCs w:val="18"/>
              </w:rPr>
              <w:t xml:space="preserve">Visual inspection of the forefoot, </w:t>
            </w:r>
            <w:proofErr w:type="spellStart"/>
            <w:r w:rsidRPr="000763AE">
              <w:rPr>
                <w:rStyle w:val="apple-style-span"/>
                <w:rFonts w:ascii="&amp;quot" w:hAnsi="&amp;quot"/>
                <w:color w:val="000000"/>
                <w:sz w:val="18"/>
                <w:szCs w:val="18"/>
              </w:rPr>
              <w:t>hindfoot</w:t>
            </w:r>
            <w:proofErr w:type="spellEnd"/>
            <w:r w:rsidRPr="000763AE">
              <w:rPr>
                <w:rStyle w:val="apple-style-span"/>
                <w:rFonts w:ascii="&amp;quot" w:hAnsi="&amp;quot"/>
                <w:color w:val="000000"/>
                <w:sz w:val="18"/>
                <w:szCs w:val="18"/>
              </w:rPr>
              <w:t xml:space="preserve"> and toe web spaces.</w:t>
            </w:r>
          </w:p>
          <w:p w:rsidR="00FD6E27" w:rsidRPr="000763AE" w:rsidRDefault="00FD6E27" w:rsidP="000763AE">
            <w:pPr>
              <w:pStyle w:val="ListParagraph"/>
              <w:numPr>
                <w:ilvl w:val="2"/>
                <w:numId w:val="9"/>
              </w:numPr>
              <w:spacing w:after="0" w:line="240" w:lineRule="auto"/>
              <w:contextualSpacing w:val="0"/>
              <w:rPr>
                <w:rFonts w:ascii="&amp;quot" w:hAnsi="&amp;quot"/>
                <w:color w:val="000000"/>
                <w:sz w:val="18"/>
                <w:szCs w:val="18"/>
              </w:rPr>
            </w:pPr>
            <w:r w:rsidRPr="000763AE">
              <w:rPr>
                <w:rFonts w:ascii="&amp;quot" w:hAnsi="&amp;quot"/>
                <w:color w:val="000000"/>
                <w:sz w:val="18"/>
                <w:szCs w:val="18"/>
              </w:rPr>
              <w:t>Evaluation of protective sensation.</w:t>
            </w:r>
          </w:p>
          <w:p w:rsidR="00FD6E27" w:rsidRPr="000763AE" w:rsidRDefault="00FD6E27" w:rsidP="000763AE">
            <w:pPr>
              <w:pStyle w:val="ListParagraph"/>
              <w:numPr>
                <w:ilvl w:val="2"/>
                <w:numId w:val="9"/>
              </w:numPr>
              <w:spacing w:after="0" w:line="240" w:lineRule="auto"/>
              <w:contextualSpacing w:val="0"/>
              <w:rPr>
                <w:rFonts w:ascii="&amp;quot" w:hAnsi="&amp;quot"/>
                <w:color w:val="000000"/>
                <w:sz w:val="18"/>
                <w:szCs w:val="18"/>
              </w:rPr>
            </w:pPr>
            <w:r w:rsidRPr="000763AE">
              <w:rPr>
                <w:rFonts w:ascii="&amp;quot" w:hAnsi="&amp;quot"/>
                <w:color w:val="000000"/>
                <w:sz w:val="18"/>
                <w:szCs w:val="18"/>
              </w:rPr>
              <w:t>Evaluation of foot structure and biomechanics.</w:t>
            </w:r>
          </w:p>
          <w:p w:rsidR="00FD6E27" w:rsidRPr="000763AE" w:rsidRDefault="00FD6E27" w:rsidP="000763AE">
            <w:pPr>
              <w:pStyle w:val="ListParagraph"/>
              <w:numPr>
                <w:ilvl w:val="2"/>
                <w:numId w:val="9"/>
              </w:numPr>
              <w:spacing w:after="0" w:line="240" w:lineRule="auto"/>
              <w:contextualSpacing w:val="0"/>
              <w:rPr>
                <w:rFonts w:ascii="&amp;quot" w:hAnsi="&amp;quot"/>
                <w:color w:val="000000"/>
                <w:sz w:val="18"/>
                <w:szCs w:val="18"/>
              </w:rPr>
            </w:pPr>
            <w:r w:rsidRPr="000763AE">
              <w:rPr>
                <w:rFonts w:ascii="&amp;quot" w:hAnsi="&amp;quot"/>
                <w:color w:val="000000"/>
                <w:sz w:val="18"/>
                <w:szCs w:val="18"/>
              </w:rPr>
              <w:t>Evaluation of vascular status and skin integrity.</w:t>
            </w:r>
          </w:p>
          <w:p w:rsidR="00912AC3" w:rsidRPr="000763AE" w:rsidRDefault="00FD6E27" w:rsidP="000763AE">
            <w:pPr>
              <w:pStyle w:val="ListParagraph"/>
              <w:numPr>
                <w:ilvl w:val="2"/>
                <w:numId w:val="9"/>
              </w:numPr>
              <w:spacing w:after="0" w:line="240" w:lineRule="auto"/>
              <w:contextualSpacing w:val="0"/>
              <w:rPr>
                <w:rFonts w:ascii="&amp;quot" w:hAnsi="&amp;quot"/>
                <w:color w:val="000000"/>
                <w:sz w:val="18"/>
                <w:szCs w:val="18"/>
              </w:rPr>
            </w:pPr>
            <w:r w:rsidRPr="000763AE">
              <w:rPr>
                <w:rFonts w:ascii="&amp;quot" w:hAnsi="&amp;quot"/>
                <w:color w:val="000000"/>
                <w:sz w:val="18"/>
                <w:szCs w:val="18"/>
              </w:rPr>
              <w:t>Evaluation and recommendation of footwear.</w:t>
            </w:r>
          </w:p>
          <w:p w:rsidR="00FD6E27" w:rsidRPr="000763AE" w:rsidRDefault="00FD6E27" w:rsidP="000763AE">
            <w:pPr>
              <w:pStyle w:val="ListParagraph"/>
              <w:numPr>
                <w:ilvl w:val="2"/>
                <w:numId w:val="9"/>
              </w:numPr>
              <w:spacing w:after="0" w:line="240" w:lineRule="auto"/>
              <w:contextualSpacing w:val="0"/>
              <w:rPr>
                <w:rFonts w:ascii="&amp;quot" w:hAnsi="&amp;quot"/>
                <w:color w:val="000000"/>
                <w:sz w:val="18"/>
                <w:szCs w:val="18"/>
              </w:rPr>
            </w:pPr>
            <w:r w:rsidRPr="000763AE">
              <w:rPr>
                <w:rFonts w:ascii="&amp;quot" w:hAnsi="&amp;quot"/>
                <w:color w:val="000000"/>
                <w:sz w:val="18"/>
                <w:szCs w:val="18"/>
              </w:rPr>
              <w:t>Patient education.</w:t>
            </w:r>
          </w:p>
        </w:tc>
      </w:tr>
      <w:tr w:rsidR="00FD6E27" w:rsidTr="000763AE">
        <w:trPr>
          <w:trHeight w:val="170"/>
        </w:trPr>
        <w:tc>
          <w:tcPr>
            <w:tcW w:w="1098" w:type="dxa"/>
            <w:shd w:val="clear" w:color="auto" w:fill="auto"/>
            <w:vAlign w:val="center"/>
          </w:tcPr>
          <w:p w:rsidR="00FD6E27" w:rsidRPr="000763AE" w:rsidRDefault="00FD6E27" w:rsidP="00F02989">
            <w:pPr>
              <w:rPr>
                <w:b/>
                <w:sz w:val="18"/>
                <w:szCs w:val="18"/>
              </w:rPr>
            </w:pPr>
            <w:r w:rsidRPr="000763AE">
              <w:rPr>
                <w:b/>
                <w:sz w:val="18"/>
                <w:szCs w:val="18"/>
              </w:rPr>
              <w:t>G0247</w:t>
            </w:r>
          </w:p>
        </w:tc>
        <w:tc>
          <w:tcPr>
            <w:tcW w:w="7758" w:type="dxa"/>
            <w:shd w:val="clear" w:color="auto" w:fill="auto"/>
            <w:vAlign w:val="center"/>
          </w:tcPr>
          <w:p w:rsidR="00FD6E27" w:rsidRPr="000763AE" w:rsidRDefault="00FD6E27" w:rsidP="00F02989">
            <w:pPr>
              <w:rPr>
                <w:rFonts w:ascii="Verdana" w:hAnsi="Verdana"/>
                <w:color w:val="000000"/>
                <w:sz w:val="18"/>
                <w:szCs w:val="18"/>
              </w:rPr>
            </w:pPr>
            <w:r w:rsidRPr="000763AE">
              <w:rPr>
                <w:rStyle w:val="apple-style-span"/>
                <w:rFonts w:ascii="&amp;quot" w:hAnsi="&amp;quot"/>
                <w:color w:val="000000"/>
                <w:sz w:val="18"/>
                <w:szCs w:val="18"/>
              </w:rPr>
              <w:t>Routine foot care by a physician of a diabetic patient with diabetic sensory neuropathy resulting in LOPS to include if present, at least the following:</w:t>
            </w:r>
          </w:p>
          <w:p w:rsidR="00FD6E27" w:rsidRPr="000763AE" w:rsidRDefault="00FD6E27" w:rsidP="000763AE">
            <w:pPr>
              <w:pStyle w:val="ListParagraph"/>
              <w:numPr>
                <w:ilvl w:val="1"/>
                <w:numId w:val="10"/>
              </w:numPr>
              <w:spacing w:after="0" w:line="240" w:lineRule="auto"/>
              <w:contextualSpacing w:val="0"/>
              <w:rPr>
                <w:rFonts w:ascii="Verdana" w:hAnsi="Verdana"/>
                <w:color w:val="000000"/>
                <w:sz w:val="18"/>
                <w:szCs w:val="18"/>
              </w:rPr>
            </w:pPr>
            <w:r w:rsidRPr="000763AE">
              <w:rPr>
                <w:rStyle w:val="apple-style-span"/>
                <w:rFonts w:ascii="&amp;quot" w:hAnsi="&amp;quot"/>
                <w:color w:val="000000"/>
                <w:sz w:val="18"/>
                <w:szCs w:val="18"/>
              </w:rPr>
              <w:t>Local care of superficial wounds.</w:t>
            </w:r>
          </w:p>
          <w:p w:rsidR="00FD6E27" w:rsidRPr="000763AE" w:rsidRDefault="00FD6E27" w:rsidP="000763AE">
            <w:pPr>
              <w:pStyle w:val="ListParagraph"/>
              <w:numPr>
                <w:ilvl w:val="1"/>
                <w:numId w:val="10"/>
              </w:numPr>
              <w:spacing w:after="0" w:line="240" w:lineRule="auto"/>
              <w:contextualSpacing w:val="0"/>
              <w:rPr>
                <w:rFonts w:ascii="&amp;quot" w:hAnsi="&amp;quot"/>
                <w:color w:val="000000"/>
                <w:sz w:val="18"/>
                <w:szCs w:val="18"/>
              </w:rPr>
            </w:pPr>
            <w:r w:rsidRPr="000763AE">
              <w:rPr>
                <w:rFonts w:ascii="&amp;quot" w:hAnsi="&amp;quot"/>
                <w:color w:val="000000"/>
                <w:sz w:val="18"/>
                <w:szCs w:val="18"/>
              </w:rPr>
              <w:t>Debridement of corns and calluses.</w:t>
            </w:r>
          </w:p>
          <w:p w:rsidR="00FD6E27" w:rsidRPr="000763AE" w:rsidRDefault="00FD6E27" w:rsidP="000763AE">
            <w:pPr>
              <w:pStyle w:val="ListParagraph"/>
              <w:numPr>
                <w:ilvl w:val="1"/>
                <w:numId w:val="10"/>
              </w:numPr>
              <w:spacing w:after="0" w:line="240" w:lineRule="auto"/>
              <w:contextualSpacing w:val="0"/>
              <w:rPr>
                <w:rFonts w:ascii="&amp;quot" w:hAnsi="&amp;quot"/>
                <w:color w:val="000000"/>
                <w:sz w:val="18"/>
                <w:szCs w:val="18"/>
              </w:rPr>
            </w:pPr>
            <w:r w:rsidRPr="000763AE">
              <w:rPr>
                <w:rFonts w:ascii="&amp;quot" w:hAnsi="&amp;quot"/>
                <w:color w:val="000000"/>
                <w:sz w:val="18"/>
                <w:szCs w:val="18"/>
              </w:rPr>
              <w:t>Trimming and debridement of nails.</w:t>
            </w:r>
          </w:p>
        </w:tc>
      </w:tr>
    </w:tbl>
    <w:p w:rsidR="00F02989" w:rsidRDefault="00F02989" w:rsidP="00F02989">
      <w:pPr>
        <w:spacing w:after="200" w:line="360" w:lineRule="auto"/>
        <w:jc w:val="both"/>
        <w:rPr>
          <w:b/>
        </w:rPr>
      </w:pPr>
    </w:p>
    <w:p w:rsidR="00770490" w:rsidRPr="00003415" w:rsidRDefault="00770490" w:rsidP="00F02989">
      <w:pPr>
        <w:spacing w:after="200" w:line="360" w:lineRule="auto"/>
        <w:jc w:val="both"/>
        <w:rPr>
          <w:b/>
        </w:rPr>
      </w:pPr>
      <w:r w:rsidRPr="00003415">
        <w:rPr>
          <w:b/>
        </w:rPr>
        <w:t>Health disparities</w:t>
      </w:r>
    </w:p>
    <w:p w:rsidR="00E52CD0" w:rsidRDefault="00CB11A0" w:rsidP="00B11B34">
      <w:pPr>
        <w:spacing w:line="360" w:lineRule="auto"/>
        <w:jc w:val="both"/>
      </w:pPr>
      <w:r>
        <w:tab/>
      </w:r>
      <w:bookmarkStart w:id="2" w:name="_Hlk54252593"/>
      <w:r w:rsidR="00711DD9" w:rsidRPr="000627F2">
        <w:t>H</w:t>
      </w:r>
      <w:r w:rsidR="00886C5F" w:rsidRPr="000627F2">
        <w:t>ealth</w:t>
      </w:r>
      <w:r w:rsidR="00886C5F">
        <w:t xml:space="preserve"> disparities</w:t>
      </w:r>
      <w:r w:rsidR="009A3745">
        <w:t xml:space="preserve">, as defined by </w:t>
      </w:r>
      <w:r w:rsidR="00190435">
        <w:t>Healthy</w:t>
      </w:r>
      <w:r w:rsidR="00D80488">
        <w:t xml:space="preserve"> </w:t>
      </w:r>
      <w:r w:rsidR="00832A2E">
        <w:t xml:space="preserve">People </w:t>
      </w:r>
      <w:r w:rsidR="00190435">
        <w:t>2020</w:t>
      </w:r>
      <w:r w:rsidR="009A3745">
        <w:t>,</w:t>
      </w:r>
      <w:r w:rsidR="00886C5F">
        <w:t xml:space="preserve"> </w:t>
      </w:r>
      <w:r w:rsidR="00886C5F" w:rsidRPr="00AE5ECE">
        <w:t>are</w:t>
      </w:r>
      <w:r w:rsidR="008350D2">
        <w:t xml:space="preserve"> </w:t>
      </w:r>
      <w:r w:rsidR="00832A2E">
        <w:t>“</w:t>
      </w:r>
      <w:r w:rsidR="00190435" w:rsidRPr="00190435">
        <w:t>a particular type of health difference that is closely linked with economic, social, or environmental disadvantage. Health disparities adversely affect groups of people who have systematically experienced greater social or economic obstacles to health based on their racial or ethnic</w:t>
      </w:r>
      <w:r w:rsidR="008350D2">
        <w:t xml:space="preserve"> group, religion, socioeconomic</w:t>
      </w:r>
      <w:r w:rsidR="00190435" w:rsidRPr="00190435">
        <w:t>-status, gender, age, or mental health</w:t>
      </w:r>
      <w:r w:rsidR="00D20EDE">
        <w:t>,</w:t>
      </w:r>
      <w:r w:rsidR="00190435" w:rsidRPr="00190435">
        <w:t xml:space="preserve"> cognitive, sensory, or physical disability</w:t>
      </w:r>
      <w:r w:rsidR="00D20EDE">
        <w:t>,</w:t>
      </w:r>
      <w:r w:rsidR="00190435" w:rsidRPr="00190435">
        <w:t xml:space="preserve"> sexual orientation or gender identity</w:t>
      </w:r>
      <w:r w:rsidR="00D20EDE">
        <w:t>,</w:t>
      </w:r>
      <w:r w:rsidR="00190435" w:rsidRPr="00190435">
        <w:t xml:space="preserve"> geographic location</w:t>
      </w:r>
      <w:r w:rsidR="00D20EDE">
        <w:t>,</w:t>
      </w:r>
      <w:r w:rsidR="00190435" w:rsidRPr="00190435">
        <w:t xml:space="preserve"> or other characteristics historically linked</w:t>
      </w:r>
      <w:r w:rsidR="002F29A4">
        <w:t xml:space="preserve"> to discrimination or </w:t>
      </w:r>
      <w:r w:rsidR="007847AC">
        <w:t xml:space="preserve"> </w:t>
      </w:r>
      <w:r w:rsidR="002F29A4">
        <w:t>exclusion</w:t>
      </w:r>
      <w:r w:rsidR="00190435" w:rsidRPr="00190435">
        <w:t>”</w:t>
      </w:r>
      <w:r w:rsidR="002F29A4">
        <w:t xml:space="preserve"> (</w:t>
      </w:r>
      <w:proofErr w:type="spellStart"/>
      <w:r w:rsidR="002F29A4">
        <w:t>Braveman</w:t>
      </w:r>
      <w:proofErr w:type="spellEnd"/>
      <w:r w:rsidR="002F29A4">
        <w:t>,</w:t>
      </w:r>
      <w:r w:rsidR="00DE114C">
        <w:t xml:space="preserve"> </w:t>
      </w:r>
      <w:r w:rsidR="002F29A4">
        <w:t>2014)</w:t>
      </w:r>
      <w:r w:rsidR="00886C5F">
        <w:t>.</w:t>
      </w:r>
      <w:r w:rsidR="00F3396B">
        <w:t xml:space="preserve"> </w:t>
      </w:r>
      <w:bookmarkEnd w:id="2"/>
      <w:r w:rsidR="00F678B8">
        <w:t>Disparities are not</w:t>
      </w:r>
      <w:r w:rsidR="001943A7">
        <w:t xml:space="preserve">, however, </w:t>
      </w:r>
      <w:r w:rsidR="00F678B8">
        <w:t>limited to race</w:t>
      </w:r>
      <w:r w:rsidR="001943A7">
        <w:t>,</w:t>
      </w:r>
      <w:r w:rsidR="00F678B8">
        <w:t xml:space="preserve"> socioeconomic </w:t>
      </w:r>
      <w:r w:rsidR="002D5053">
        <w:t>status</w:t>
      </w:r>
      <w:r w:rsidR="001943A7">
        <w:t xml:space="preserve">, or even clinical outcomes. </w:t>
      </w:r>
      <w:r w:rsidR="007C673E">
        <w:t xml:space="preserve">They </w:t>
      </w:r>
      <w:r w:rsidR="00C7135A">
        <w:t>may</w:t>
      </w:r>
      <w:r w:rsidR="007C673E">
        <w:t xml:space="preserve"> also </w:t>
      </w:r>
      <w:r w:rsidR="00FC29A3">
        <w:t>arise secondary to both physical and</w:t>
      </w:r>
      <w:r w:rsidR="004F1EB4">
        <w:t>/or</w:t>
      </w:r>
      <w:r w:rsidR="00FC29A3">
        <w:t xml:space="preserve"> mental</w:t>
      </w:r>
      <w:r w:rsidR="00122808">
        <w:t xml:space="preserve"> </w:t>
      </w:r>
      <w:r w:rsidR="004F1EB4">
        <w:t xml:space="preserve">disabilities </w:t>
      </w:r>
      <w:r w:rsidR="00122808">
        <w:t xml:space="preserve">or from the presence of a rare disease </w:t>
      </w:r>
      <w:r w:rsidR="00E52CD0">
        <w:t>that</w:t>
      </w:r>
      <w:r w:rsidR="00122808">
        <w:t xml:space="preserve"> only </w:t>
      </w:r>
      <w:r w:rsidR="00122808">
        <w:lastRenderedPageBreak/>
        <w:t>impact</w:t>
      </w:r>
      <w:r w:rsidR="00D20EDE">
        <w:t>s</w:t>
      </w:r>
      <w:r w:rsidR="00122808">
        <w:t xml:space="preserve"> a small subset of the</w:t>
      </w:r>
      <w:r w:rsidR="00122808" w:rsidRPr="000627F2">
        <w:t xml:space="preserve"> population</w:t>
      </w:r>
      <w:r w:rsidR="0063212F" w:rsidRPr="000627F2">
        <w:t xml:space="preserve"> </w:t>
      </w:r>
      <w:r w:rsidR="0063212F">
        <w:t>(</w:t>
      </w:r>
      <w:proofErr w:type="spellStart"/>
      <w:r w:rsidR="0063212F" w:rsidRPr="0063212F">
        <w:t>Holtzclaw</w:t>
      </w:r>
      <w:proofErr w:type="spellEnd"/>
      <w:r w:rsidR="0063212F">
        <w:t>,</w:t>
      </w:r>
      <w:r w:rsidR="00DE114C">
        <w:t xml:space="preserve"> </w:t>
      </w:r>
      <w:r w:rsidR="0063212F">
        <w:t>2011)</w:t>
      </w:r>
      <w:r w:rsidR="00122808">
        <w:t>. Disparities may</w:t>
      </w:r>
      <w:r w:rsidR="00F678B8">
        <w:t xml:space="preserve"> </w:t>
      </w:r>
      <w:r w:rsidR="00D20EDE">
        <w:t>include</w:t>
      </w:r>
      <w:r w:rsidR="00F678B8">
        <w:t xml:space="preserve"> </w:t>
      </w:r>
      <w:r w:rsidR="00FC29A3">
        <w:t xml:space="preserve">differences in </w:t>
      </w:r>
      <w:r w:rsidR="00F678B8">
        <w:t>quality of care</w:t>
      </w:r>
      <w:r w:rsidR="00C7135A">
        <w:t xml:space="preserve"> due to</w:t>
      </w:r>
      <w:r w:rsidR="00F678B8">
        <w:t xml:space="preserve"> geographical locations, </w:t>
      </w:r>
      <w:r w:rsidR="004F1EB4">
        <w:t xml:space="preserve">insurance </w:t>
      </w:r>
      <w:r w:rsidR="00F678B8">
        <w:t>coverage</w:t>
      </w:r>
      <w:r w:rsidR="004F1EB4">
        <w:t>,</w:t>
      </w:r>
      <w:r w:rsidR="006A3D68">
        <w:t xml:space="preserve"> and</w:t>
      </w:r>
      <w:r w:rsidR="00010E59">
        <w:t>/or</w:t>
      </w:r>
      <w:r w:rsidR="006A3D68">
        <w:t xml:space="preserve"> access to health care services</w:t>
      </w:r>
      <w:r w:rsidR="008350D2">
        <w:t xml:space="preserve">.  </w:t>
      </w:r>
      <w:r w:rsidR="00C1588A">
        <w:t>Disparities</w:t>
      </w:r>
      <w:r w:rsidR="00404ED0">
        <w:t xml:space="preserve"> may even surface </w:t>
      </w:r>
      <w:r w:rsidR="00C1588A">
        <w:t>from</w:t>
      </w:r>
      <w:r w:rsidR="00F678B8">
        <w:t xml:space="preserve"> u</w:t>
      </w:r>
      <w:r w:rsidR="00711DD9">
        <w:t>nanticipated</w:t>
      </w:r>
      <w:r w:rsidR="00404ED0">
        <w:t xml:space="preserve"> </w:t>
      </w:r>
      <w:r w:rsidR="00EC5B4C">
        <w:t xml:space="preserve">factors </w:t>
      </w:r>
      <w:r w:rsidR="00EB67A4">
        <w:t xml:space="preserve">including </w:t>
      </w:r>
      <w:r w:rsidR="00EB67A4" w:rsidRPr="00EB67A4">
        <w:t>structural</w:t>
      </w:r>
      <w:r w:rsidR="00EB67A4">
        <w:t>,</w:t>
      </w:r>
      <w:r w:rsidR="001826CF">
        <w:t xml:space="preserve"> social, physical, and economic</w:t>
      </w:r>
      <w:r w:rsidR="00EB67A4">
        <w:t xml:space="preserve"> inequities </w:t>
      </w:r>
      <w:r w:rsidR="00C7135A" w:rsidRPr="00C7135A">
        <w:t xml:space="preserve">that create a landscape for inequalities </w:t>
      </w:r>
      <w:r w:rsidR="00EB67A4">
        <w:t xml:space="preserve">based on an individual’s </w:t>
      </w:r>
      <w:r w:rsidR="002329FB">
        <w:t>specific</w:t>
      </w:r>
      <w:r w:rsidR="00EB67A4">
        <w:t xml:space="preserve"> conditions (</w:t>
      </w:r>
      <w:proofErr w:type="spellStart"/>
      <w:r w:rsidR="00EB67A4">
        <w:t>DeMeester</w:t>
      </w:r>
      <w:proofErr w:type="spellEnd"/>
      <w:r w:rsidR="00EB67A4">
        <w:t>, 2017).</w:t>
      </w:r>
      <w:r w:rsidR="00EB67A4" w:rsidRPr="00EB67A4">
        <w:t xml:space="preserve"> </w:t>
      </w:r>
    </w:p>
    <w:p w:rsidR="00762251" w:rsidRDefault="00E52CD0" w:rsidP="00B11B34">
      <w:pPr>
        <w:spacing w:line="360" w:lineRule="auto"/>
        <w:jc w:val="both"/>
      </w:pPr>
      <w:r>
        <w:tab/>
      </w:r>
      <w:r w:rsidR="00EB67A4">
        <w:t>C</w:t>
      </w:r>
      <w:r w:rsidR="00EB67A4" w:rsidRPr="00EB67A4">
        <w:t>linicia</w:t>
      </w:r>
      <w:r w:rsidR="00EB67A4">
        <w:t xml:space="preserve">ns and health care </w:t>
      </w:r>
      <w:r w:rsidR="009C3227">
        <w:t>organizations</w:t>
      </w:r>
      <w:r w:rsidR="00EB67A4">
        <w:t xml:space="preserve"> contribute to</w:t>
      </w:r>
      <w:r w:rsidR="00B502DA" w:rsidRPr="00AE5ECE">
        <w:t xml:space="preserve"> health outcomes</w:t>
      </w:r>
      <w:r w:rsidR="00EB67A4">
        <w:t xml:space="preserve"> disparities as a result of </w:t>
      </w:r>
      <w:r w:rsidR="00B502DA" w:rsidRPr="00AE5ECE">
        <w:t>unconscious bias</w:t>
      </w:r>
      <w:r w:rsidR="00EB67A4">
        <w:t xml:space="preserve">, </w:t>
      </w:r>
      <w:r w:rsidR="00B502DA" w:rsidRPr="00AE5ECE">
        <w:t>cultural insensitivity</w:t>
      </w:r>
      <w:r w:rsidR="00EB67A4">
        <w:t xml:space="preserve">, and </w:t>
      </w:r>
      <w:r w:rsidR="00B502DA" w:rsidRPr="00AE5ECE">
        <w:t>differential</w:t>
      </w:r>
      <w:r w:rsidR="00EB67A4">
        <w:t xml:space="preserve"> delivery of health services</w:t>
      </w:r>
      <w:r w:rsidR="00B502DA" w:rsidRPr="00AE5ECE">
        <w:t xml:space="preserve"> (</w:t>
      </w:r>
      <w:proofErr w:type="spellStart"/>
      <w:r w:rsidR="00B502DA" w:rsidRPr="00AE5ECE">
        <w:t>DeMeester</w:t>
      </w:r>
      <w:proofErr w:type="spellEnd"/>
      <w:r w:rsidR="00B502DA" w:rsidRPr="00AE5ECE">
        <w:t xml:space="preserve">, 2017). </w:t>
      </w:r>
      <w:r w:rsidR="009C3227">
        <w:t>Unfortunately</w:t>
      </w:r>
      <w:r w:rsidR="005F05AE" w:rsidRPr="005F05AE">
        <w:t>,</w:t>
      </w:r>
      <w:r w:rsidR="005F05AE">
        <w:t xml:space="preserve"> r</w:t>
      </w:r>
      <w:r w:rsidR="005F05AE" w:rsidRPr="005F05AE">
        <w:t xml:space="preserve">estructuring government </w:t>
      </w:r>
      <w:r w:rsidR="009C3227">
        <w:t>or</w:t>
      </w:r>
      <w:r w:rsidR="005F05AE" w:rsidRPr="005F05AE">
        <w:t xml:space="preserve"> individual programs may not be enough to improve</w:t>
      </w:r>
      <w:r w:rsidR="005F05AE">
        <w:t xml:space="preserve"> the quality and effectiveness of public healthcare programs (</w:t>
      </w:r>
      <w:proofErr w:type="spellStart"/>
      <w:r w:rsidR="005F05AE">
        <w:t>Khademian</w:t>
      </w:r>
      <w:proofErr w:type="spellEnd"/>
      <w:r w:rsidR="005F05AE">
        <w:t>, 2002).</w:t>
      </w:r>
      <w:r w:rsidR="005F05AE" w:rsidRPr="005F05AE">
        <w:t xml:space="preserve"> </w:t>
      </w:r>
      <w:r w:rsidR="00DB6F2E" w:rsidRPr="00AE5ECE">
        <w:t>Since t</w:t>
      </w:r>
      <w:r w:rsidR="00711DD9" w:rsidRPr="00AE5ECE">
        <w:t>hese indirect</w:t>
      </w:r>
      <w:r w:rsidR="00DB6F2E" w:rsidRPr="00AE5ECE">
        <w:t xml:space="preserve"> </w:t>
      </w:r>
      <w:r w:rsidR="00F57E2C">
        <w:t>contributors to</w:t>
      </w:r>
      <w:r w:rsidR="00DB6F2E" w:rsidRPr="00AE5ECE">
        <w:t xml:space="preserve"> </w:t>
      </w:r>
      <w:r w:rsidR="00A14426" w:rsidRPr="00AE5ECE">
        <w:t>disparities</w:t>
      </w:r>
      <w:r w:rsidR="009C3227">
        <w:t xml:space="preserve"> often g</w:t>
      </w:r>
      <w:r w:rsidR="006B740E">
        <w:t>o</w:t>
      </w:r>
      <w:r w:rsidR="00B07885">
        <w:t xml:space="preserve"> </w:t>
      </w:r>
      <w:r w:rsidR="006B740E">
        <w:t>unrecognized</w:t>
      </w:r>
      <w:r w:rsidR="009C3227">
        <w:t>, they could</w:t>
      </w:r>
      <w:r w:rsidR="00B07885">
        <w:t xml:space="preserve"> </w:t>
      </w:r>
      <w:r w:rsidR="006B740E">
        <w:t xml:space="preserve">be </w:t>
      </w:r>
      <w:r w:rsidR="00A96DAE">
        <w:t>difficult</w:t>
      </w:r>
      <w:r w:rsidR="00DB6F2E" w:rsidRPr="00AE5ECE">
        <w:t xml:space="preserve"> to quantify</w:t>
      </w:r>
      <w:r w:rsidR="009C3227">
        <w:t xml:space="preserve"> and </w:t>
      </w:r>
      <w:r w:rsidR="00522057">
        <w:t>may be</w:t>
      </w:r>
      <w:r w:rsidR="00DB6F2E" w:rsidRPr="00AE5ECE">
        <w:t xml:space="preserve"> </w:t>
      </w:r>
      <w:r w:rsidR="00404ED0" w:rsidRPr="00AE5ECE">
        <w:t xml:space="preserve">overlooked by </w:t>
      </w:r>
      <w:r w:rsidR="001826CF">
        <w:t>t</w:t>
      </w:r>
      <w:r w:rsidR="003E7B35">
        <w:rPr>
          <w:rStyle w:val="CommentReference"/>
          <w:sz w:val="24"/>
          <w:szCs w:val="24"/>
        </w:rPr>
        <w:t>ho</w:t>
      </w:r>
      <w:r w:rsidR="001826CF">
        <w:rPr>
          <w:rStyle w:val="CommentReference"/>
          <w:sz w:val="24"/>
          <w:szCs w:val="24"/>
        </w:rPr>
        <w:t>se</w:t>
      </w:r>
      <w:r w:rsidR="003E7B35">
        <w:rPr>
          <w:rStyle w:val="CommentReference"/>
          <w:sz w:val="24"/>
          <w:szCs w:val="24"/>
        </w:rPr>
        <w:t xml:space="preserve"> </w:t>
      </w:r>
      <w:r w:rsidR="004F1EB4">
        <w:rPr>
          <w:rStyle w:val="CommentReference"/>
          <w:sz w:val="24"/>
          <w:szCs w:val="24"/>
        </w:rPr>
        <w:t xml:space="preserve">who </w:t>
      </w:r>
      <w:r w:rsidR="003E7B35">
        <w:rPr>
          <w:rStyle w:val="CommentReference"/>
          <w:sz w:val="24"/>
          <w:szCs w:val="24"/>
        </w:rPr>
        <w:t xml:space="preserve">oversee </w:t>
      </w:r>
      <w:r w:rsidR="00467DB0" w:rsidRPr="00AE5ECE">
        <w:t>health</w:t>
      </w:r>
      <w:r w:rsidR="00404ED0" w:rsidRPr="00AE5ECE">
        <w:t>care</w:t>
      </w:r>
      <w:r w:rsidR="008F530A" w:rsidRPr="00AE5ECE">
        <w:t xml:space="preserve"> service</w:t>
      </w:r>
      <w:r w:rsidR="007C049A">
        <w:t xml:space="preserve"> delivery</w:t>
      </w:r>
      <w:r w:rsidR="008F530A" w:rsidRPr="00AE5ECE">
        <w:t>.</w:t>
      </w:r>
      <w:r w:rsidR="00557323">
        <w:t xml:space="preserve"> </w:t>
      </w:r>
      <w:r w:rsidR="001826CF">
        <w:t>As curators of best practices and evidence-base</w:t>
      </w:r>
      <w:r w:rsidR="00275645">
        <w:t xml:space="preserve">d </w:t>
      </w:r>
      <w:r w:rsidR="001826CF">
        <w:t xml:space="preserve">guidelines, public administrators </w:t>
      </w:r>
      <w:r w:rsidR="0084617A">
        <w:t xml:space="preserve">can assist in improving </w:t>
      </w:r>
      <w:r w:rsidR="00EA1B54">
        <w:t>diabetes care by</w:t>
      </w:r>
      <w:r w:rsidR="0084617A">
        <w:t xml:space="preserve"> </w:t>
      </w:r>
      <w:r w:rsidR="00EA1B54">
        <w:t xml:space="preserve">increasing </w:t>
      </w:r>
      <w:r w:rsidR="0084617A">
        <w:t xml:space="preserve">access </w:t>
      </w:r>
      <w:r w:rsidR="00D20EDE">
        <w:t xml:space="preserve">to tools and educations via public websites </w:t>
      </w:r>
      <w:r w:rsidR="004F1EB4">
        <w:t>for</w:t>
      </w:r>
      <w:r w:rsidR="002329FB">
        <w:t xml:space="preserve"> health system</w:t>
      </w:r>
      <w:r w:rsidR="00D20EDE">
        <w:t>s</w:t>
      </w:r>
      <w:r w:rsidR="002329FB">
        <w:t>, practices,</w:t>
      </w:r>
      <w:r w:rsidR="00EA1B54">
        <w:t xml:space="preserve"> </w:t>
      </w:r>
      <w:r w:rsidR="0084617A">
        <w:t>provider</w:t>
      </w:r>
      <w:r w:rsidR="00EA1B54">
        <w:t>s</w:t>
      </w:r>
      <w:r w:rsidR="002329FB">
        <w:t>,</w:t>
      </w:r>
      <w:r w:rsidR="0084617A">
        <w:t xml:space="preserve"> and patient</w:t>
      </w:r>
      <w:r w:rsidR="00EA1B54">
        <w:t>s</w:t>
      </w:r>
      <w:r w:rsidR="00D20EDE">
        <w:t>,</w:t>
      </w:r>
      <w:r w:rsidR="007D3C47">
        <w:t xml:space="preserve"> </w:t>
      </w:r>
      <w:r w:rsidR="007B5260">
        <w:t>set</w:t>
      </w:r>
      <w:r w:rsidR="004F1EB4">
        <w:t>ting</w:t>
      </w:r>
      <w:r w:rsidR="007B5260">
        <w:t xml:space="preserve"> national </w:t>
      </w:r>
      <w:r w:rsidR="00C5696A">
        <w:t>performance measures</w:t>
      </w:r>
      <w:r w:rsidR="007B5260">
        <w:t xml:space="preserve"> </w:t>
      </w:r>
      <w:r w:rsidR="00EA1B54">
        <w:t xml:space="preserve">with payment incentives </w:t>
      </w:r>
      <w:r w:rsidR="007B5260">
        <w:t>for providers who meet</w:t>
      </w:r>
      <w:r w:rsidR="00EA1B54">
        <w:t xml:space="preserve"> </w:t>
      </w:r>
      <w:r w:rsidR="00C5696A">
        <w:t>them</w:t>
      </w:r>
      <w:r w:rsidR="00EA1B54">
        <w:t>,</w:t>
      </w:r>
      <w:r w:rsidR="007B5260">
        <w:t xml:space="preserve"> and </w:t>
      </w:r>
      <w:r w:rsidR="004F1EB4">
        <w:t xml:space="preserve">providing </w:t>
      </w:r>
      <w:r w:rsidR="007B5260">
        <w:t xml:space="preserve">access to data </w:t>
      </w:r>
      <w:r w:rsidR="00C5696A">
        <w:t>regarding</w:t>
      </w:r>
      <w:r w:rsidR="007B5260">
        <w:t xml:space="preserve"> </w:t>
      </w:r>
      <w:r w:rsidR="00EA1B54">
        <w:t>patient outcomes</w:t>
      </w:r>
      <w:r w:rsidR="00C5696A">
        <w:t xml:space="preserve">, </w:t>
      </w:r>
      <w:r w:rsidR="007B5260">
        <w:t>high risk populations</w:t>
      </w:r>
      <w:r w:rsidR="004F1EB4">
        <w:t>, and</w:t>
      </w:r>
      <w:r w:rsidR="007B5260">
        <w:t xml:space="preserve"> geographi</w:t>
      </w:r>
      <w:r w:rsidR="002F6DF3">
        <w:t>cal</w:t>
      </w:r>
      <w:r w:rsidR="004F1EB4">
        <w:t xml:space="preserve"> locations</w:t>
      </w:r>
      <w:r w:rsidR="002F6DF3">
        <w:t xml:space="preserve"> </w:t>
      </w:r>
      <w:r w:rsidR="004F1EB4">
        <w:t>at risk</w:t>
      </w:r>
      <w:r w:rsidR="007B5260">
        <w:t xml:space="preserve"> of potential disparities</w:t>
      </w:r>
      <w:r w:rsidR="00124995">
        <w:t xml:space="preserve"> (ODPHP, N/A</w:t>
      </w:r>
      <w:r w:rsidR="00EA1B54">
        <w:t xml:space="preserve">).  </w:t>
      </w:r>
    </w:p>
    <w:p w:rsidR="00970FB3" w:rsidRPr="00003415" w:rsidRDefault="004E0977" w:rsidP="00B11B34">
      <w:pPr>
        <w:spacing w:line="360" w:lineRule="auto"/>
        <w:jc w:val="both"/>
        <w:rPr>
          <w:color w:val="FF0000"/>
        </w:rPr>
      </w:pPr>
      <w:r>
        <w:tab/>
      </w:r>
      <w:r w:rsidR="00EB085E" w:rsidRPr="004E0977">
        <w:t>As part of it</w:t>
      </w:r>
      <w:r w:rsidR="004257FE">
        <w:t>s</w:t>
      </w:r>
      <w:r w:rsidR="00E2522F" w:rsidRPr="00003415">
        <w:t xml:space="preserve"> agenda </w:t>
      </w:r>
      <w:r w:rsidR="00EB085E" w:rsidRPr="00003415">
        <w:t xml:space="preserve">to improve the health of Americans, </w:t>
      </w:r>
      <w:r w:rsidR="00E2522F" w:rsidRPr="00003415">
        <w:t xml:space="preserve">every decade </w:t>
      </w:r>
      <w:r w:rsidR="00EB085E" w:rsidRPr="00003415">
        <w:t xml:space="preserve">the </w:t>
      </w:r>
      <w:r w:rsidR="00C76044" w:rsidRPr="006A1414">
        <w:t>f</w:t>
      </w:r>
      <w:r w:rsidR="00EB085E" w:rsidRPr="00003415">
        <w:t xml:space="preserve">ederal </w:t>
      </w:r>
      <w:r w:rsidR="00E2522F" w:rsidRPr="00003415">
        <w:t xml:space="preserve">government </w:t>
      </w:r>
      <w:r w:rsidR="00830098">
        <w:t xml:space="preserve">convenes broadly representative stakeholders to develop and </w:t>
      </w:r>
      <w:r w:rsidR="00E2522F" w:rsidRPr="00003415">
        <w:t>publish</w:t>
      </w:r>
      <w:r w:rsidR="00EB085E" w:rsidRPr="00003415">
        <w:t xml:space="preserve"> national </w:t>
      </w:r>
      <w:r w:rsidR="00DD1DD3">
        <w:t xml:space="preserve">consensus </w:t>
      </w:r>
      <w:r w:rsidR="00EB085E" w:rsidRPr="00003415">
        <w:t>objectives</w:t>
      </w:r>
      <w:r w:rsidRPr="00003415">
        <w:t xml:space="preserve"> </w:t>
      </w:r>
      <w:r w:rsidR="00A32CF6">
        <w:t>that</w:t>
      </w:r>
      <w:r w:rsidR="00A32CF6" w:rsidRPr="00003415">
        <w:t xml:space="preserve"> </w:t>
      </w:r>
      <w:r w:rsidRPr="00003415">
        <w:t xml:space="preserve">raise awareness on </w:t>
      </w:r>
      <w:r w:rsidR="00EB085E" w:rsidRPr="00003415">
        <w:t>potential health threats</w:t>
      </w:r>
      <w:r w:rsidR="00797176" w:rsidRPr="00003415">
        <w:t xml:space="preserve"> identified by </w:t>
      </w:r>
      <w:r w:rsidRPr="00003415">
        <w:t>organizations</w:t>
      </w:r>
      <w:r w:rsidR="005E539F">
        <w:t xml:space="preserve"> like</w:t>
      </w:r>
      <w:r w:rsidR="00797176" w:rsidRPr="00003415">
        <w:t xml:space="preserve"> the </w:t>
      </w:r>
      <w:r w:rsidR="00E2522F" w:rsidRPr="00003415">
        <w:t>Center for Disease Control and Prevention (</w:t>
      </w:r>
      <w:r w:rsidR="00797176" w:rsidRPr="00003415">
        <w:t>CDC</w:t>
      </w:r>
      <w:r w:rsidR="00E2522F" w:rsidRPr="00003415">
        <w:t>)</w:t>
      </w:r>
      <w:r w:rsidR="00797176" w:rsidRPr="00003415">
        <w:t xml:space="preserve"> and </w:t>
      </w:r>
      <w:r w:rsidR="005E539F">
        <w:t xml:space="preserve">the </w:t>
      </w:r>
      <w:r w:rsidR="00E2522F" w:rsidRPr="00003415">
        <w:t>Office of Disease Prevention and Health Promotion (</w:t>
      </w:r>
      <w:r w:rsidR="00797176" w:rsidRPr="00003415">
        <w:t>ODPHP</w:t>
      </w:r>
      <w:r w:rsidR="00E2522F" w:rsidRPr="00003415">
        <w:t>)</w:t>
      </w:r>
      <w:r w:rsidR="00762251" w:rsidRPr="00003415">
        <w:t>. T</w:t>
      </w:r>
      <w:r w:rsidR="00797176" w:rsidRPr="00003415">
        <w:t>h</w:t>
      </w:r>
      <w:r w:rsidR="00E2522F" w:rsidRPr="00003415">
        <w:t xml:space="preserve">e </w:t>
      </w:r>
      <w:r w:rsidRPr="00003415">
        <w:t>objectives are aimed at promoting</w:t>
      </w:r>
      <w:r w:rsidR="00762251" w:rsidRPr="00003415">
        <w:t xml:space="preserve"> higher </w:t>
      </w:r>
      <w:r w:rsidR="00EB085E" w:rsidRPr="00003415">
        <w:t>quality</w:t>
      </w:r>
      <w:r w:rsidR="00762251" w:rsidRPr="00003415">
        <w:t xml:space="preserve"> of care and health equity </w:t>
      </w:r>
      <w:r w:rsidRPr="00003415">
        <w:t xml:space="preserve">for all </w:t>
      </w:r>
      <w:r w:rsidR="00762251" w:rsidRPr="00003415">
        <w:t>segments of the population by eliminating disparities</w:t>
      </w:r>
      <w:r w:rsidRPr="00003415">
        <w:t xml:space="preserve"> and</w:t>
      </w:r>
      <w:r w:rsidR="00762251" w:rsidRPr="00003415">
        <w:t xml:space="preserve"> </w:t>
      </w:r>
      <w:r w:rsidRPr="00003415">
        <w:t>reduc</w:t>
      </w:r>
      <w:r w:rsidR="00762251" w:rsidRPr="00003415">
        <w:t>ing</w:t>
      </w:r>
      <w:r w:rsidR="005E539F">
        <w:t xml:space="preserve"> </w:t>
      </w:r>
      <w:r w:rsidR="00EB085E" w:rsidRPr="00003415">
        <w:t>premature death</w:t>
      </w:r>
      <w:r w:rsidR="00762251" w:rsidRPr="00003415">
        <w:t xml:space="preserve"> and/or disabilities</w:t>
      </w:r>
      <w:r w:rsidR="00EB085E" w:rsidRPr="00003415">
        <w:t>.</w:t>
      </w:r>
      <w:r w:rsidR="00797176" w:rsidRPr="004E0977">
        <w:t xml:space="preserve"> </w:t>
      </w:r>
      <w:r>
        <w:t xml:space="preserve"> The Healthy</w:t>
      </w:r>
      <w:r w:rsidR="00D80488">
        <w:t xml:space="preserve"> </w:t>
      </w:r>
      <w:r>
        <w:t xml:space="preserve">People </w:t>
      </w:r>
      <w:r w:rsidR="00AC53EF">
        <w:t xml:space="preserve">website and </w:t>
      </w:r>
      <w:r w:rsidR="00C76044">
        <w:t xml:space="preserve">the </w:t>
      </w:r>
      <w:r w:rsidR="00AC53EF">
        <w:t>Health</w:t>
      </w:r>
      <w:r w:rsidR="008350D2">
        <w:t>y</w:t>
      </w:r>
      <w:r w:rsidR="00AC53EF">
        <w:t xml:space="preserve"> People 2020</w:t>
      </w:r>
      <w:r>
        <w:t xml:space="preserve"> campai</w:t>
      </w:r>
      <w:r w:rsidR="005E539F">
        <w:t>gn</w:t>
      </w:r>
      <w:r>
        <w:t xml:space="preserve"> are</w:t>
      </w:r>
      <w:r w:rsidR="0050552C" w:rsidRPr="0050552C">
        <w:t xml:space="preserve"> example</w:t>
      </w:r>
      <w:r>
        <w:t>s</w:t>
      </w:r>
      <w:r w:rsidR="0050552C" w:rsidRPr="0050552C">
        <w:t xml:space="preserve"> of how public administrators can foster improvements in the health of Americans by establishing benchmarks, encouraging collabo</w:t>
      </w:r>
      <w:r>
        <w:t>ration across stakeholders,</w:t>
      </w:r>
      <w:r w:rsidR="00C76044">
        <w:t xml:space="preserve"> and monitoring</w:t>
      </w:r>
      <w:r w:rsidR="0050552C" w:rsidRPr="0050552C">
        <w:t xml:space="preserve"> </w:t>
      </w:r>
      <w:r w:rsidR="00C321F7">
        <w:t xml:space="preserve">progress </w:t>
      </w:r>
      <w:r w:rsidR="00DD1DD3">
        <w:t xml:space="preserve">throughout </w:t>
      </w:r>
      <w:r w:rsidR="00C321F7">
        <w:t>a 10</w:t>
      </w:r>
      <w:r w:rsidR="00452944">
        <w:t>-</w:t>
      </w:r>
      <w:r w:rsidR="00C321F7">
        <w:t xml:space="preserve">year period. </w:t>
      </w:r>
      <w:r w:rsidR="00B107C4" w:rsidRPr="00B107C4">
        <w:t>The ODPHP develop</w:t>
      </w:r>
      <w:r w:rsidR="002329FB">
        <w:t>s</w:t>
      </w:r>
      <w:r w:rsidR="00B107C4" w:rsidRPr="00B107C4">
        <w:t xml:space="preserve"> new goals every decade that can be used by </w:t>
      </w:r>
      <w:r w:rsidR="008350D2">
        <w:t>local community</w:t>
      </w:r>
      <w:r w:rsidR="00B107C4" w:rsidRPr="00B107C4">
        <w:t xml:space="preserve"> </w:t>
      </w:r>
      <w:r w:rsidR="008350D2">
        <w:t xml:space="preserve">leaders </w:t>
      </w:r>
      <w:r w:rsidR="00B107C4" w:rsidRPr="00B107C4">
        <w:t xml:space="preserve">across </w:t>
      </w:r>
      <w:r w:rsidR="008350D2">
        <w:t>the U.S. to assist</w:t>
      </w:r>
      <w:r w:rsidR="00B107C4" w:rsidRPr="00B107C4">
        <w:t xml:space="preserve"> in setting priorities for thei</w:t>
      </w:r>
      <w:r w:rsidR="00C76044">
        <w:t>r population groups,</w:t>
      </w:r>
      <w:r w:rsidR="002329FB">
        <w:t xml:space="preserve"> to</w:t>
      </w:r>
      <w:r w:rsidR="00C76044">
        <w:t xml:space="preserve"> </w:t>
      </w:r>
      <w:r w:rsidR="002329FB">
        <w:t>strive</w:t>
      </w:r>
      <w:r w:rsidR="00C76044">
        <w:t xml:space="preserve"> for equitable care, and reduc</w:t>
      </w:r>
      <w:r w:rsidR="002329FB">
        <w:t>e</w:t>
      </w:r>
      <w:r w:rsidR="00B107C4" w:rsidRPr="00B107C4">
        <w:t xml:space="preserve"> disparities (ODPHP, 2018). </w:t>
      </w:r>
    </w:p>
    <w:p w:rsidR="00124995" w:rsidRPr="004F1EB4" w:rsidRDefault="004F1EB4" w:rsidP="00B11B34">
      <w:pPr>
        <w:spacing w:line="360" w:lineRule="auto"/>
        <w:jc w:val="both"/>
      </w:pPr>
      <w:r>
        <w:lastRenderedPageBreak/>
        <w:tab/>
      </w:r>
      <w:r w:rsidR="006A3D68">
        <w:t xml:space="preserve">Diabetes mellitus </w:t>
      </w:r>
      <w:r w:rsidR="00776598" w:rsidRPr="00AE5ECE">
        <w:t xml:space="preserve">presents </w:t>
      </w:r>
      <w:r w:rsidR="005D0B66">
        <w:t>an exemplar</w:t>
      </w:r>
      <w:r w:rsidR="00776598" w:rsidRPr="00AE5ECE">
        <w:t xml:space="preserve"> </w:t>
      </w:r>
      <w:r w:rsidR="00010E59">
        <w:t xml:space="preserve">landscape </w:t>
      </w:r>
      <w:r w:rsidR="00776598" w:rsidRPr="00AE5ECE">
        <w:t>for disparities to occur due to its lifetime trajectory for management</w:t>
      </w:r>
      <w:r w:rsidR="005D0B66">
        <w:t xml:space="preserve">, clinical </w:t>
      </w:r>
      <w:r w:rsidR="003E7B35" w:rsidRPr="003E7B35">
        <w:t>sequelae</w:t>
      </w:r>
      <w:r w:rsidR="00A32CF6">
        <w:t>,</w:t>
      </w:r>
      <w:r w:rsidR="00776598" w:rsidRPr="00AE5ECE">
        <w:t xml:space="preserve"> and associated costs. </w:t>
      </w:r>
      <w:r w:rsidR="006568FB">
        <w:t xml:space="preserve"> </w:t>
      </w:r>
      <w:r w:rsidR="00296330" w:rsidRPr="00AE5ECE">
        <w:t>Diabetes mellitus</w:t>
      </w:r>
      <w:r w:rsidR="00B57A83">
        <w:t>, as defined by the World Health Organization,</w:t>
      </w:r>
      <w:r w:rsidR="00296330" w:rsidRPr="00AE5ECE">
        <w:t xml:space="preserve"> is a</w:t>
      </w:r>
      <w:r w:rsidR="00B57A83">
        <w:t>n inherited or acquired</w:t>
      </w:r>
      <w:r w:rsidR="00296330" w:rsidRPr="00AE5ECE">
        <w:t xml:space="preserve"> chronic disease caused by</w:t>
      </w:r>
      <w:r w:rsidR="00B57A83">
        <w:t xml:space="preserve"> </w:t>
      </w:r>
      <w:r w:rsidR="000A5AE4">
        <w:t>an insulin</w:t>
      </w:r>
      <w:r w:rsidR="00B57A83">
        <w:t xml:space="preserve"> deficiency</w:t>
      </w:r>
      <w:r w:rsidR="006D233A">
        <w:t xml:space="preserve"> in</w:t>
      </w:r>
      <w:r w:rsidR="000A5AE4">
        <w:t xml:space="preserve"> the pancreas</w:t>
      </w:r>
      <w:r w:rsidR="00B57A83">
        <w:t xml:space="preserve"> </w:t>
      </w:r>
      <w:r w:rsidR="00296330" w:rsidRPr="00AE5ECE">
        <w:t xml:space="preserve">(WHO, N/A). </w:t>
      </w:r>
      <w:r w:rsidR="00142232" w:rsidRPr="000627F2">
        <w:t xml:space="preserve">There are </w:t>
      </w:r>
      <w:r w:rsidR="00142232" w:rsidRPr="00AE5ECE">
        <w:t xml:space="preserve">two types of diabetes, Type I and II. </w:t>
      </w:r>
      <w:r w:rsidR="00F3396B">
        <w:t xml:space="preserve"> </w:t>
      </w:r>
      <w:r w:rsidR="00DE114C">
        <w:t xml:space="preserve">Type I diabetes is an autoimmune condition where the body attacks the pancreas and prevents </w:t>
      </w:r>
      <w:r w:rsidR="00A32CF6">
        <w:t xml:space="preserve">its </w:t>
      </w:r>
      <w:r w:rsidR="00DE114C">
        <w:t>production of insulin</w:t>
      </w:r>
      <w:r w:rsidR="00372EDA">
        <w:t>.  Type I accounts for about 5-10% of the overall diabetes cases in the US (CDC, N/A).  Type II</w:t>
      </w:r>
      <w:r w:rsidR="000447F2">
        <w:t xml:space="preserve"> diabetes</w:t>
      </w:r>
      <w:r w:rsidR="00372EDA">
        <w:t>,</w:t>
      </w:r>
      <w:r w:rsidR="000447F2">
        <w:t xml:space="preserve"> is a </w:t>
      </w:r>
      <w:r w:rsidR="00A32CF6">
        <w:t xml:space="preserve">result </w:t>
      </w:r>
      <w:r w:rsidR="000447F2">
        <w:t>of</w:t>
      </w:r>
      <w:r w:rsidR="00A32CF6">
        <w:t xml:space="preserve"> </w:t>
      </w:r>
      <w:r w:rsidR="002E2E4C">
        <w:t>the body’s inability to properly</w:t>
      </w:r>
      <w:r w:rsidR="000447F2">
        <w:t xml:space="preserve"> </w:t>
      </w:r>
      <w:r w:rsidR="002E2E4C">
        <w:t>use or</w:t>
      </w:r>
      <w:r w:rsidR="000447F2">
        <w:t xml:space="preserve"> develops a </w:t>
      </w:r>
      <w:r w:rsidR="002E2E4C">
        <w:t xml:space="preserve">resistance reaction to insulin. </w:t>
      </w:r>
      <w:r w:rsidR="000447F2">
        <w:t xml:space="preserve">It </w:t>
      </w:r>
      <w:r w:rsidR="000447F2" w:rsidRPr="000447F2">
        <w:t>accounts for approximate 90 to 95% of the remaining cases;</w:t>
      </w:r>
      <w:r w:rsidR="000447F2">
        <w:t xml:space="preserve"> </w:t>
      </w:r>
      <w:r w:rsidR="00741DA3">
        <w:t>i</w:t>
      </w:r>
      <w:r w:rsidR="002E2E4C">
        <w:t>t</w:t>
      </w:r>
      <w:r w:rsidR="00595C0C">
        <w:t xml:space="preserve"> can result</w:t>
      </w:r>
      <w:r w:rsidR="002E2E4C">
        <w:t xml:space="preserve"> secondarily to genetic predispositions and other contributing factors such as obesity and inactive (ADA, N/A). </w:t>
      </w:r>
      <w:r w:rsidR="00372EDA">
        <w:t xml:space="preserve"> </w:t>
      </w:r>
      <w:r w:rsidR="00BC31C2" w:rsidRPr="00AE5ECE">
        <w:t>According to</w:t>
      </w:r>
      <w:r w:rsidR="00E90725">
        <w:t xml:space="preserve"> a</w:t>
      </w:r>
      <w:r w:rsidR="00BC31C2" w:rsidRPr="00AE5ECE">
        <w:t xml:space="preserve"> 2015</w:t>
      </w:r>
      <w:r w:rsidR="006361BA">
        <w:t xml:space="preserve"> </w:t>
      </w:r>
      <w:r w:rsidR="003977F6" w:rsidRPr="00AE5ECE">
        <w:t>CDC</w:t>
      </w:r>
      <w:r w:rsidR="00BC31C2" w:rsidRPr="00AE5ECE">
        <w:t xml:space="preserve"> report, t</w:t>
      </w:r>
      <w:r w:rsidR="00EC7B95" w:rsidRPr="00AE5ECE">
        <w:t>here are</w:t>
      </w:r>
      <w:r w:rsidR="00BC31C2" w:rsidRPr="00AE5ECE">
        <w:t xml:space="preserve"> over </w:t>
      </w:r>
      <w:r w:rsidR="0036369E">
        <w:t>30</w:t>
      </w:r>
      <w:r w:rsidR="0036369E" w:rsidRPr="00AE5ECE">
        <w:t xml:space="preserve"> </w:t>
      </w:r>
      <w:r w:rsidR="00BC31C2" w:rsidRPr="00AE5ECE">
        <w:t xml:space="preserve">million Americans with diabetes </w:t>
      </w:r>
      <w:r w:rsidR="006361BA">
        <w:t>and</w:t>
      </w:r>
      <w:r w:rsidR="00BC31C2" w:rsidRPr="00AE5ECE">
        <w:t xml:space="preserve"> an estimated </w:t>
      </w:r>
      <w:r w:rsidR="005D0B66">
        <w:t xml:space="preserve">additional </w:t>
      </w:r>
      <w:r w:rsidR="0036369E">
        <w:t>7</w:t>
      </w:r>
      <w:r w:rsidR="0036369E" w:rsidRPr="00AE5ECE">
        <w:t xml:space="preserve"> </w:t>
      </w:r>
      <w:r w:rsidR="00BC31C2" w:rsidRPr="00AE5ECE">
        <w:t xml:space="preserve">million who are </w:t>
      </w:r>
      <w:r w:rsidR="00142232" w:rsidRPr="00AE5ECE">
        <w:t>undiagnosed.</w:t>
      </w:r>
      <w:r w:rsidR="0071650B" w:rsidRPr="00AE5ECE">
        <w:t xml:space="preserve"> Unfortunately, l</w:t>
      </w:r>
      <w:r w:rsidR="006A3D68">
        <w:t>ittle traction has been made i</w:t>
      </w:r>
      <w:r w:rsidR="0071650B" w:rsidRPr="00AE5ECE">
        <w:t xml:space="preserve">n curbing the growth </w:t>
      </w:r>
      <w:r w:rsidR="001624E5" w:rsidRPr="00AE5ECE">
        <w:t>of the U.S</w:t>
      </w:r>
      <w:r w:rsidR="0036369E">
        <w:t>.</w:t>
      </w:r>
      <w:r w:rsidR="001624E5" w:rsidRPr="00AE5ECE">
        <w:t xml:space="preserve"> diabetic population</w:t>
      </w:r>
      <w:r w:rsidR="00D819E9">
        <w:t xml:space="preserve"> </w:t>
      </w:r>
      <w:r w:rsidR="00D819E9" w:rsidRPr="00D819E9">
        <w:t>(C</w:t>
      </w:r>
      <w:r w:rsidR="00372EDA">
        <w:t xml:space="preserve"> </w:t>
      </w:r>
      <w:r w:rsidR="00D819E9" w:rsidRPr="00D819E9">
        <w:t>DC, 2017)</w:t>
      </w:r>
      <w:r w:rsidR="001624E5" w:rsidRPr="00AE5ECE">
        <w:t>.</w:t>
      </w:r>
      <w:r w:rsidR="003D14BE">
        <w:t xml:space="preserve"> </w:t>
      </w:r>
      <w:r w:rsidR="005C4618" w:rsidRPr="00AE5ECE">
        <w:t xml:space="preserve">Another 84.1 million </w:t>
      </w:r>
      <w:r w:rsidR="0036369E">
        <w:t xml:space="preserve">Americans </w:t>
      </w:r>
      <w:r w:rsidR="005C4618" w:rsidRPr="00AE5ECE">
        <w:t>currently have prediabetes</w:t>
      </w:r>
      <w:r w:rsidR="00DA0B87">
        <w:t>,</w:t>
      </w:r>
      <w:r w:rsidR="005C4618" w:rsidRPr="00AE5ECE">
        <w:t xml:space="preserve"> </w:t>
      </w:r>
      <w:r w:rsidR="006A3D68">
        <w:t>wh</w:t>
      </w:r>
      <w:r>
        <w:t>ich if not addressed, may result</w:t>
      </w:r>
      <w:r w:rsidR="006A3D68">
        <w:t xml:space="preserve"> </w:t>
      </w:r>
      <w:r>
        <w:t xml:space="preserve">with a </w:t>
      </w:r>
      <w:r w:rsidR="00010E59">
        <w:t xml:space="preserve">formal </w:t>
      </w:r>
      <w:r>
        <w:t>diagnosis of</w:t>
      </w:r>
      <w:r w:rsidR="005C4618" w:rsidRPr="00AE5ECE">
        <w:t xml:space="preserve"> diabetes </w:t>
      </w:r>
      <w:r w:rsidR="0036369E">
        <w:t>within</w:t>
      </w:r>
      <w:r w:rsidR="0036369E" w:rsidRPr="00AE5ECE">
        <w:t xml:space="preserve"> </w:t>
      </w:r>
      <w:r w:rsidR="005C4618" w:rsidRPr="00AE5ECE">
        <w:t xml:space="preserve">the next </w:t>
      </w:r>
      <w:r w:rsidR="0036369E">
        <w:t>5</w:t>
      </w:r>
      <w:r w:rsidR="0036369E" w:rsidRPr="00AE5ECE">
        <w:t xml:space="preserve"> </w:t>
      </w:r>
      <w:r w:rsidR="005C4618" w:rsidRPr="00AE5ECE">
        <w:t xml:space="preserve">years </w:t>
      </w:r>
      <w:r w:rsidR="0071650B" w:rsidRPr="00AE5ECE">
        <w:t>(CDC, 2017)</w:t>
      </w:r>
      <w:r w:rsidR="007E5984" w:rsidRPr="00AE5ECE">
        <w:t>.</w:t>
      </w:r>
      <w:r w:rsidR="008508E3">
        <w:t xml:space="preserve"> </w:t>
      </w:r>
      <w:r w:rsidR="00F3396B">
        <w:t xml:space="preserve">Per </w:t>
      </w:r>
      <w:r w:rsidR="00A91B41">
        <w:t>ODPHP</w:t>
      </w:r>
      <w:r w:rsidR="00720266">
        <w:t xml:space="preserve">, </w:t>
      </w:r>
      <w:r w:rsidR="00636290">
        <w:t xml:space="preserve">diabetes is the </w:t>
      </w:r>
      <w:r w:rsidR="00636290" w:rsidRPr="00636290">
        <w:t>seventh leading caus</w:t>
      </w:r>
      <w:r w:rsidR="00DD6FF6">
        <w:t>e of death</w:t>
      </w:r>
      <w:r w:rsidR="00636290">
        <w:t xml:space="preserve"> in the US and</w:t>
      </w:r>
      <w:r w:rsidR="00636290" w:rsidRPr="00636290">
        <w:t xml:space="preserve"> </w:t>
      </w:r>
      <w:r w:rsidR="00636290">
        <w:t>patient</w:t>
      </w:r>
      <w:r w:rsidR="00010E59">
        <w:t>s</w:t>
      </w:r>
      <w:r w:rsidR="00636290">
        <w:t xml:space="preserve"> with </w:t>
      </w:r>
      <w:r w:rsidR="00720266">
        <w:t>d</w:t>
      </w:r>
      <w:r w:rsidR="00A542CB" w:rsidRPr="00AE5ECE">
        <w:t>iabetes</w:t>
      </w:r>
      <w:r w:rsidR="00636290">
        <w:t xml:space="preserve"> have an all-cause mortality rate that is</w:t>
      </w:r>
      <w:r w:rsidR="00636290" w:rsidRPr="00AE5ECE">
        <w:t xml:space="preserve"> 1.8 </w:t>
      </w:r>
      <w:r w:rsidR="00636290">
        <w:t xml:space="preserve">times </w:t>
      </w:r>
      <w:r w:rsidR="00636290" w:rsidRPr="00AE5ECE">
        <w:t>higher</w:t>
      </w:r>
      <w:r w:rsidR="00636290">
        <w:t xml:space="preserve"> than non-diabetes pat</w:t>
      </w:r>
      <w:r w:rsidR="00A542CB" w:rsidRPr="00AE5ECE">
        <w:t>i</w:t>
      </w:r>
      <w:r w:rsidR="00636290">
        <w:t>ents</w:t>
      </w:r>
      <w:r w:rsidR="00A542CB" w:rsidRPr="00AE5ECE">
        <w:t xml:space="preserve"> </w:t>
      </w:r>
      <w:r w:rsidR="00636290">
        <w:t>(</w:t>
      </w:r>
      <w:r w:rsidR="00AC5458" w:rsidRPr="00AC5458">
        <w:t>ODPHP, N/A)</w:t>
      </w:r>
      <w:r w:rsidR="00ED5AB9">
        <w:t>.</w:t>
      </w:r>
      <w:r w:rsidR="00AC5458" w:rsidRPr="00AC5458" w:rsidDel="00AC5458">
        <w:t xml:space="preserve"> </w:t>
      </w:r>
    </w:p>
    <w:p w:rsidR="00A542CB" w:rsidRPr="00E52AA5" w:rsidRDefault="003E0654" w:rsidP="0003598B">
      <w:pPr>
        <w:spacing w:line="360" w:lineRule="auto"/>
        <w:jc w:val="both"/>
        <w:rPr>
          <w:color w:val="FF0000"/>
        </w:rPr>
      </w:pPr>
      <w:r>
        <w:tab/>
      </w:r>
      <w:r w:rsidR="00264BD7">
        <w:t>There are</w:t>
      </w:r>
      <w:r>
        <w:t xml:space="preserve"> also</w:t>
      </w:r>
      <w:r w:rsidR="00264BD7">
        <w:t xml:space="preserve"> </w:t>
      </w:r>
      <w:r w:rsidR="008C7A7B" w:rsidRPr="00AE5ECE">
        <w:t>secondary complications</w:t>
      </w:r>
      <w:r w:rsidR="00264BD7">
        <w:t xml:space="preserve"> associated with diabetes, many of which are preventable </w:t>
      </w:r>
      <w:r w:rsidR="00866568">
        <w:t xml:space="preserve">(Ashford, 2017). </w:t>
      </w:r>
      <w:r w:rsidR="00264BD7">
        <w:t xml:space="preserve">These complications </w:t>
      </w:r>
      <w:r w:rsidR="00557323">
        <w:t>include</w:t>
      </w:r>
      <w:r w:rsidR="008C7A7B" w:rsidRPr="00AE5ECE">
        <w:t xml:space="preserve"> heart disease and stroke, hypertension, blindness, kidney disease, nervous system disease, and amputation</w:t>
      </w:r>
      <w:r w:rsidR="00264BD7">
        <w:t xml:space="preserve"> </w:t>
      </w:r>
      <w:r w:rsidR="008C7A7B" w:rsidRPr="00AE5ECE">
        <w:t>compli</w:t>
      </w:r>
      <w:r w:rsidR="004F1EB4">
        <w:t>cations</w:t>
      </w:r>
      <w:r w:rsidR="008C7A7B" w:rsidRPr="00AE5ECE">
        <w:t xml:space="preserve"> (Ashford, 2017</w:t>
      </w:r>
      <w:r w:rsidR="00D819E9">
        <w:t>).</w:t>
      </w:r>
      <w:r w:rsidR="003D14BE">
        <w:t xml:space="preserve"> </w:t>
      </w:r>
      <w:r w:rsidR="006101AF">
        <w:t xml:space="preserve"> </w:t>
      </w:r>
      <w:r w:rsidR="00D819E9">
        <w:t>As</w:t>
      </w:r>
      <w:r w:rsidR="00F3396B">
        <w:t xml:space="preserve"> previously stated</w:t>
      </w:r>
      <w:r w:rsidR="00D819E9">
        <w:t xml:space="preserve">, the </w:t>
      </w:r>
      <w:r w:rsidR="00F026FE">
        <w:t>ODPHP</w:t>
      </w:r>
      <w:r w:rsidR="000E67CE">
        <w:t xml:space="preserve"> </w:t>
      </w:r>
      <w:r w:rsidR="000257B1">
        <w:t xml:space="preserve">developed </w:t>
      </w:r>
      <w:r w:rsidR="00077533">
        <w:t>the Healthy</w:t>
      </w:r>
      <w:r w:rsidR="00D80488">
        <w:t xml:space="preserve"> </w:t>
      </w:r>
      <w:r w:rsidR="00183EA2">
        <w:t>People</w:t>
      </w:r>
      <w:r w:rsidR="00077533">
        <w:t xml:space="preserve"> 2020 goals</w:t>
      </w:r>
      <w:r w:rsidR="00FF2E7A">
        <w:t xml:space="preserve"> and objectives</w:t>
      </w:r>
      <w:r w:rsidR="00077533">
        <w:t xml:space="preserve"> </w:t>
      </w:r>
      <w:r w:rsidR="000257B1">
        <w:t>targeted at improving</w:t>
      </w:r>
      <w:r w:rsidR="00D819E9">
        <w:t xml:space="preserve"> the </w:t>
      </w:r>
      <w:r w:rsidR="00E52AA5">
        <w:t xml:space="preserve">health status </w:t>
      </w:r>
      <w:r w:rsidR="00D819E9">
        <w:t>and reduc</w:t>
      </w:r>
      <w:r w:rsidR="00F026FE">
        <w:t>ing</w:t>
      </w:r>
      <w:r w:rsidR="00D819E9">
        <w:t xml:space="preserve"> the</w:t>
      </w:r>
      <w:r w:rsidR="00A91B41">
        <w:t xml:space="preserve"> burden of disease </w:t>
      </w:r>
      <w:r w:rsidR="004F1EB4">
        <w:t>of</w:t>
      </w:r>
      <w:r w:rsidR="00A91B41">
        <w:t xml:space="preserve"> the US population (ODPHP, 2018)</w:t>
      </w:r>
      <w:r w:rsidR="00D819E9">
        <w:t>.</w:t>
      </w:r>
      <w:r w:rsidR="008508E3">
        <w:t xml:space="preserve"> </w:t>
      </w:r>
      <w:r w:rsidR="004F1EB4">
        <w:t xml:space="preserve"> </w:t>
      </w:r>
      <w:r w:rsidR="009B63FD">
        <w:t>A</w:t>
      </w:r>
      <w:r w:rsidR="009B63FD" w:rsidRPr="009B63FD">
        <w:t xml:space="preserve"> key area of focus for Health</w:t>
      </w:r>
      <w:r w:rsidR="00711CD4">
        <w:t>y</w:t>
      </w:r>
      <w:r w:rsidR="008609C7">
        <w:t xml:space="preserve"> </w:t>
      </w:r>
      <w:r w:rsidR="009B63FD" w:rsidRPr="009B63FD">
        <w:t>Peopl</w:t>
      </w:r>
      <w:r w:rsidR="009B63FD">
        <w:t>e 2020 i</w:t>
      </w:r>
      <w:r w:rsidR="002329FB">
        <w:t>s diabetes. The two primary</w:t>
      </w:r>
      <w:r w:rsidR="00B44AED">
        <w:t xml:space="preserve"> goals for</w:t>
      </w:r>
      <w:r w:rsidR="009B63FD">
        <w:t xml:space="preserve"> </w:t>
      </w:r>
      <w:r w:rsidR="009B63FD" w:rsidRPr="009B63FD">
        <w:t>focus</w:t>
      </w:r>
      <w:r w:rsidR="009B63FD">
        <w:t>ing on diabetes</w:t>
      </w:r>
      <w:r w:rsidR="009B63FD" w:rsidRPr="009B63FD">
        <w:t xml:space="preserve"> are to improve the quality of life for those who already carry a diagnosis</w:t>
      </w:r>
      <w:r w:rsidR="00B44AED">
        <w:t xml:space="preserve"> of diabetes as well as reduce</w:t>
      </w:r>
      <w:r w:rsidR="009B63FD" w:rsidRPr="009B63FD">
        <w:t xml:space="preserve"> the probability of a future diagnosis for those at risk. </w:t>
      </w:r>
      <w:r w:rsidR="002329FB">
        <w:t>Among those goals</w:t>
      </w:r>
      <w:r w:rsidR="00B44AED">
        <w:t>, t</w:t>
      </w:r>
      <w:r w:rsidR="002329FB">
        <w:t>he Healthy</w:t>
      </w:r>
      <w:r w:rsidR="008609C7">
        <w:t xml:space="preserve"> </w:t>
      </w:r>
      <w:r w:rsidR="00ED305D">
        <w:t>People</w:t>
      </w:r>
      <w:r w:rsidR="002329FB">
        <w:t xml:space="preserve"> 2020 </w:t>
      </w:r>
      <w:r w:rsidR="00EB41CA">
        <w:t>and Healthy</w:t>
      </w:r>
      <w:r w:rsidR="00741DA3">
        <w:t xml:space="preserve"> </w:t>
      </w:r>
      <w:r w:rsidR="00EB41CA">
        <w:t xml:space="preserve">People 2030 </w:t>
      </w:r>
      <w:r w:rsidR="002329FB">
        <w:t>website</w:t>
      </w:r>
      <w:r w:rsidR="00EB41CA">
        <w:t>s</w:t>
      </w:r>
      <w:r w:rsidR="002329FB">
        <w:t xml:space="preserve"> highlight</w:t>
      </w:r>
      <w:r w:rsidR="00B107C4" w:rsidRPr="00B107C4">
        <w:t xml:space="preserve"> </w:t>
      </w:r>
      <w:r w:rsidR="00B107C4">
        <w:t xml:space="preserve">diabetes </w:t>
      </w:r>
      <w:r w:rsidR="002329FB">
        <w:t>goals to reduce</w:t>
      </w:r>
      <w:r w:rsidR="00B107C4" w:rsidRPr="00B107C4">
        <w:t xml:space="preserve"> the number of new dia</w:t>
      </w:r>
      <w:r w:rsidR="002329FB">
        <w:t>betes cases annually, increase</w:t>
      </w:r>
      <w:r w:rsidR="00B107C4" w:rsidRPr="00B107C4">
        <w:t xml:space="preserve"> the percentage of adults with diabetes who receive a foot examination at minimum annually, and </w:t>
      </w:r>
      <w:r w:rsidR="002329FB">
        <w:t>proactively reduce</w:t>
      </w:r>
      <w:r w:rsidR="00B107C4" w:rsidRPr="00B107C4">
        <w:t xml:space="preserve"> the rate of lower extremity amputations for those with diabetes (ODPHP, Healthy People)</w:t>
      </w:r>
      <w:r w:rsidR="00B44AED">
        <w:t xml:space="preserve">. </w:t>
      </w:r>
      <w:r w:rsidR="002329FB">
        <w:t xml:space="preserve">ODPHP </w:t>
      </w:r>
      <w:r w:rsidR="002329FB">
        <w:lastRenderedPageBreak/>
        <w:t xml:space="preserve">collects </w:t>
      </w:r>
      <w:r w:rsidR="008609C7">
        <w:t xml:space="preserve">national </w:t>
      </w:r>
      <w:r w:rsidR="002329FB">
        <w:t>data</w:t>
      </w:r>
      <w:r w:rsidR="00B107C4" w:rsidRPr="00B107C4">
        <w:t xml:space="preserve"> </w:t>
      </w:r>
      <w:r w:rsidR="008609C7">
        <w:t>and</w:t>
      </w:r>
      <w:r w:rsidR="00B107C4" w:rsidRPr="00B107C4">
        <w:t xml:space="preserve"> </w:t>
      </w:r>
      <w:r w:rsidR="008609C7">
        <w:t>information on the strength of</w:t>
      </w:r>
      <w:r w:rsidR="008609C7" w:rsidRPr="00B107C4">
        <w:t xml:space="preserve"> </w:t>
      </w:r>
      <w:r w:rsidR="00B107C4" w:rsidRPr="00B107C4">
        <w:t>ev</w:t>
      </w:r>
      <w:r w:rsidR="002329FB">
        <w:t>idence-based interventions</w:t>
      </w:r>
      <w:r w:rsidR="00B107C4" w:rsidRPr="00B107C4">
        <w:t xml:space="preserve"> that may </w:t>
      </w:r>
      <w:r w:rsidR="00B44AED">
        <w:t xml:space="preserve">potentially </w:t>
      </w:r>
      <w:r w:rsidR="00D5416B">
        <w:t>be adopted by care providers</w:t>
      </w:r>
      <w:r w:rsidR="00B107C4" w:rsidRPr="00B107C4">
        <w:t xml:space="preserve"> to improve </w:t>
      </w:r>
      <w:r w:rsidR="00A557A4">
        <w:t>diabetes</w:t>
      </w:r>
      <w:r w:rsidR="00A557A4" w:rsidRPr="00B107C4">
        <w:t xml:space="preserve"> </w:t>
      </w:r>
      <w:r w:rsidR="00B107C4" w:rsidRPr="00B107C4">
        <w:t xml:space="preserve">management. </w:t>
      </w:r>
    </w:p>
    <w:p w:rsidR="00CB11A0" w:rsidRDefault="00573D9C" w:rsidP="0003598B">
      <w:pPr>
        <w:spacing w:line="360" w:lineRule="auto"/>
        <w:jc w:val="both"/>
        <w:rPr>
          <w:b/>
          <w:sz w:val="28"/>
          <w:szCs w:val="28"/>
        </w:rPr>
      </w:pPr>
      <w:r w:rsidRPr="00AE5ECE">
        <w:t xml:space="preserve">With the rapid degree by which the </w:t>
      </w:r>
      <w:r w:rsidR="004F1EB4">
        <w:t xml:space="preserve">diabetic </w:t>
      </w:r>
      <w:r w:rsidRPr="00AE5ECE">
        <w:t xml:space="preserve">population </w:t>
      </w:r>
      <w:r w:rsidR="00FE0EDF" w:rsidRPr="00AE5ECE">
        <w:t xml:space="preserve">is growing, public administrators are faced with ensuring </w:t>
      </w:r>
      <w:r w:rsidR="004F1EB4">
        <w:t xml:space="preserve">that </w:t>
      </w:r>
      <w:r w:rsidR="00FE0EDF" w:rsidRPr="00AE5ECE">
        <w:t>polici</w:t>
      </w:r>
      <w:r w:rsidR="000A25D9">
        <w:t xml:space="preserve">es and programs </w:t>
      </w:r>
      <w:r w:rsidR="000E67CE">
        <w:t xml:space="preserve">are available </w:t>
      </w:r>
      <w:r w:rsidR="00D5416B">
        <w:t xml:space="preserve">to </w:t>
      </w:r>
      <w:r w:rsidR="004F1EB4">
        <w:t xml:space="preserve">provide </w:t>
      </w:r>
      <w:r w:rsidR="00A35799">
        <w:t>equitable quality</w:t>
      </w:r>
      <w:r w:rsidR="000E67CE">
        <w:t xml:space="preserve"> of care</w:t>
      </w:r>
      <w:r w:rsidR="00FE0EDF" w:rsidRPr="00AE5ECE">
        <w:t>.</w:t>
      </w:r>
      <w:r w:rsidR="00F54522">
        <w:t xml:space="preserve"> </w:t>
      </w:r>
      <w:r w:rsidR="003977F6" w:rsidRPr="00AE5ECE">
        <w:t xml:space="preserve"> </w:t>
      </w:r>
      <w:r w:rsidR="00632549" w:rsidRPr="00CB5CB3">
        <w:t>Additionally</w:t>
      </w:r>
      <w:r w:rsidR="00632549">
        <w:t xml:space="preserve">, </w:t>
      </w:r>
      <w:r w:rsidR="00DF2FD4" w:rsidRPr="00AE5ECE">
        <w:t>diabetes</w:t>
      </w:r>
      <w:r w:rsidR="00632549">
        <w:t xml:space="preserve"> places a significant economic burden on the</w:t>
      </w:r>
      <w:r w:rsidR="00DF2FD4" w:rsidRPr="00AE5ECE">
        <w:t xml:space="preserve"> healthcare system</w:t>
      </w:r>
      <w:r w:rsidR="00D5416B">
        <w:t>,</w:t>
      </w:r>
      <w:r w:rsidR="00632549">
        <w:t xml:space="preserve"> which</w:t>
      </w:r>
      <w:r w:rsidR="00C60006">
        <w:t xml:space="preserve"> reduce</w:t>
      </w:r>
      <w:r w:rsidR="00D5416B">
        <w:t>s</w:t>
      </w:r>
      <w:r w:rsidR="00632549">
        <w:t xml:space="preserve"> the funding available for other services</w:t>
      </w:r>
      <w:r w:rsidR="002A2648">
        <w:t xml:space="preserve"> </w:t>
      </w:r>
      <w:r w:rsidR="00DF2FD4" w:rsidRPr="00AE5ECE">
        <w:t>(</w:t>
      </w:r>
      <w:proofErr w:type="spellStart"/>
      <w:r w:rsidR="00DF2FD4" w:rsidRPr="00AE5ECE">
        <w:t>Wharam</w:t>
      </w:r>
      <w:proofErr w:type="spellEnd"/>
      <w:r w:rsidR="00DF2FD4" w:rsidRPr="00AE5ECE">
        <w:t>,</w:t>
      </w:r>
      <w:r w:rsidR="000E67CE">
        <w:t xml:space="preserve"> </w:t>
      </w:r>
      <w:r w:rsidR="00DF2FD4" w:rsidRPr="00AE5ECE">
        <w:t>2013).</w:t>
      </w:r>
      <w:r w:rsidR="008508E3">
        <w:t xml:space="preserve"> </w:t>
      </w:r>
      <w:r w:rsidR="00E16F1C" w:rsidRPr="00AE5ECE">
        <w:t>The annual costs for diabetes and associated complications</w:t>
      </w:r>
      <w:r w:rsidR="00EE1E4D">
        <w:t>,</w:t>
      </w:r>
      <w:r w:rsidR="00E16F1C" w:rsidRPr="00AE5ECE">
        <w:t xml:space="preserve"> such as </w:t>
      </w:r>
      <w:r w:rsidR="008124BF" w:rsidRPr="00AE5ECE">
        <w:t>a</w:t>
      </w:r>
      <w:r w:rsidR="00FE0EDF" w:rsidRPr="00AE5ECE">
        <w:t xml:space="preserve">dult blindness, </w:t>
      </w:r>
      <w:r w:rsidR="008124BF" w:rsidRPr="00AE5ECE">
        <w:t xml:space="preserve">chronic </w:t>
      </w:r>
      <w:r w:rsidR="00FE0EDF" w:rsidRPr="00AE5ECE">
        <w:t>kidney dis</w:t>
      </w:r>
      <w:r w:rsidR="00E16F1C" w:rsidRPr="00AE5ECE">
        <w:t>ease</w:t>
      </w:r>
      <w:r w:rsidR="008124BF" w:rsidRPr="00AE5ECE">
        <w:t>,</w:t>
      </w:r>
      <w:r w:rsidR="00E16F1C" w:rsidRPr="00AE5ECE">
        <w:t xml:space="preserve"> and lower limb amputations</w:t>
      </w:r>
      <w:r w:rsidR="00EE1E4D">
        <w:t>,</w:t>
      </w:r>
      <w:r w:rsidR="00E16F1C" w:rsidRPr="00AE5ECE">
        <w:t xml:space="preserve"> consume 27.6</w:t>
      </w:r>
      <w:r w:rsidR="00EE1E4D">
        <w:t xml:space="preserve">% </w:t>
      </w:r>
      <w:r w:rsidR="00E16F1C" w:rsidRPr="00AE5ECE">
        <w:t>of the U</w:t>
      </w:r>
      <w:r w:rsidR="00D50C7E">
        <w:t>.</w:t>
      </w:r>
      <w:r w:rsidR="00E16F1C" w:rsidRPr="00AE5ECE">
        <w:t>S</w:t>
      </w:r>
      <w:r w:rsidR="00D50C7E">
        <w:t>.</w:t>
      </w:r>
      <w:r w:rsidR="00E16F1C" w:rsidRPr="00AE5ECE">
        <w:t xml:space="preserve"> Medicare budget</w:t>
      </w:r>
      <w:r w:rsidR="00FE0EDF" w:rsidRPr="00AE5ECE">
        <w:t xml:space="preserve"> </w:t>
      </w:r>
      <w:r w:rsidR="00E16F1C" w:rsidRPr="00AE5ECE">
        <w:t xml:space="preserve">annually </w:t>
      </w:r>
      <w:r w:rsidR="00FE0EDF" w:rsidRPr="00AE5ECE">
        <w:t>(</w:t>
      </w:r>
      <w:proofErr w:type="spellStart"/>
      <w:r w:rsidR="00FE0EDF" w:rsidRPr="00AE5ECE">
        <w:t>McKinl</w:t>
      </w:r>
      <w:r w:rsidR="00E16F1C" w:rsidRPr="00AE5ECE">
        <w:t>ay</w:t>
      </w:r>
      <w:proofErr w:type="spellEnd"/>
      <w:r w:rsidR="00E16F1C" w:rsidRPr="00AE5ECE">
        <w:t>, 2013).</w:t>
      </w:r>
      <w:r w:rsidR="002228E9" w:rsidRPr="00AE5ECE">
        <w:t xml:space="preserve"> These costs could be </w:t>
      </w:r>
      <w:r w:rsidR="00EB41CA">
        <w:t xml:space="preserve">substantially </w:t>
      </w:r>
      <w:r w:rsidR="002228E9" w:rsidRPr="00AE5ECE">
        <w:t xml:space="preserve">reduced or </w:t>
      </w:r>
      <w:r w:rsidR="00736C32">
        <w:t xml:space="preserve">even </w:t>
      </w:r>
      <w:r w:rsidR="002228E9" w:rsidRPr="00AE5ECE">
        <w:t>completely avoided by preventing or slowing disease progression (Pu, 2013).</w:t>
      </w:r>
      <w:r w:rsidR="00632BEB">
        <w:t xml:space="preserve"> </w:t>
      </w:r>
      <w:r w:rsidR="006D233A">
        <w:t xml:space="preserve"> </w:t>
      </w:r>
      <w:r w:rsidR="00632BEB">
        <w:t>Lastly</w:t>
      </w:r>
      <w:r w:rsidR="003977F6" w:rsidRPr="00AE5ECE">
        <w:t xml:space="preserve">, </w:t>
      </w:r>
      <w:r w:rsidR="00632BEB" w:rsidRPr="00632BEB">
        <w:t xml:space="preserve">providers, administrators, and legislators </w:t>
      </w:r>
      <w:r w:rsidR="00632BEB">
        <w:t xml:space="preserve">will </w:t>
      </w:r>
      <w:r w:rsidR="00A466BC">
        <w:t>need</w:t>
      </w:r>
      <w:r w:rsidR="00632BEB">
        <w:t xml:space="preserve"> to focus on the needs of the </w:t>
      </w:r>
      <w:r w:rsidR="00831D2A" w:rsidRPr="00AE5ECE">
        <w:t>uninsured</w:t>
      </w:r>
      <w:r w:rsidR="00632BEB">
        <w:t xml:space="preserve"> </w:t>
      </w:r>
      <w:r w:rsidR="00831D2A" w:rsidRPr="00AE5ECE">
        <w:t xml:space="preserve">and low-income population </w:t>
      </w:r>
      <w:r w:rsidR="00632BEB">
        <w:t xml:space="preserve">to </w:t>
      </w:r>
      <w:r w:rsidR="00831D2A" w:rsidRPr="00AE5ECE">
        <w:t>reduce costs</w:t>
      </w:r>
      <w:r w:rsidR="00632BEB">
        <w:t xml:space="preserve"> and bridge the gaps in disparities </w:t>
      </w:r>
      <w:r w:rsidR="00831D2A" w:rsidRPr="00AE5ECE">
        <w:t>(Ashford, 2017</w:t>
      </w:r>
      <w:r w:rsidR="00D50C7E">
        <w:t>, p.</w:t>
      </w:r>
      <w:r w:rsidR="00AC5458">
        <w:t>6</w:t>
      </w:r>
      <w:r w:rsidR="00831D2A" w:rsidRPr="00AE5ECE">
        <w:t>).</w:t>
      </w:r>
      <w:r w:rsidR="00E157C0">
        <w:t xml:space="preserve">  This research </w:t>
      </w:r>
      <w:r w:rsidR="00E157C0" w:rsidRPr="00E157C0">
        <w:t>explor</w:t>
      </w:r>
      <w:r w:rsidR="00A82A2C">
        <w:t>es</w:t>
      </w:r>
      <w:r w:rsidR="00E157C0">
        <w:t xml:space="preserve"> the association</w:t>
      </w:r>
      <w:r w:rsidR="00E157C0" w:rsidRPr="00E157C0">
        <w:t xml:space="preserve"> between patients, providers, or pract</w:t>
      </w:r>
      <w:r w:rsidR="00E157C0">
        <w:t xml:space="preserve">ice characteristics </w:t>
      </w:r>
      <w:r w:rsidR="002574A3">
        <w:t>to</w:t>
      </w:r>
      <w:r w:rsidR="00D5416B">
        <w:t xml:space="preserve"> identify</w:t>
      </w:r>
      <w:r w:rsidR="0003598B">
        <w:t xml:space="preserve"> </w:t>
      </w:r>
      <w:r w:rsidR="00E157C0">
        <w:t xml:space="preserve">areas of focus for improving the chances of </w:t>
      </w:r>
      <w:r w:rsidR="00E157C0" w:rsidRPr="00E157C0">
        <w:t>patient</w:t>
      </w:r>
      <w:r w:rsidR="00E157C0">
        <w:t>s with diabetes receiving</w:t>
      </w:r>
      <w:r w:rsidR="0003598B">
        <w:t xml:space="preserve"> a foot exam during an office visit.</w:t>
      </w:r>
      <w:r w:rsidR="002C07AF">
        <w:rPr>
          <w:b/>
          <w:sz w:val="28"/>
          <w:szCs w:val="28"/>
        </w:rPr>
        <w:br w:type="page"/>
      </w:r>
      <w:r w:rsidR="004330C1">
        <w:rPr>
          <w:b/>
          <w:sz w:val="28"/>
          <w:szCs w:val="28"/>
        </w:rPr>
        <w:lastRenderedPageBreak/>
        <w:t>CHAPTER TWO- LITERATURE REVIEW</w:t>
      </w:r>
    </w:p>
    <w:p w:rsidR="000C5643" w:rsidRPr="002C07AF" w:rsidRDefault="000C5643" w:rsidP="000C5643">
      <w:pPr>
        <w:spacing w:line="360" w:lineRule="auto"/>
        <w:jc w:val="center"/>
      </w:pPr>
    </w:p>
    <w:p w:rsidR="00581B49" w:rsidRDefault="00581B49" w:rsidP="00B11B34">
      <w:pPr>
        <w:pStyle w:val="Default"/>
        <w:spacing w:line="360" w:lineRule="auto"/>
        <w:ind w:firstLine="360"/>
        <w:jc w:val="both"/>
      </w:pPr>
      <w:r>
        <w:t>A systematic search was conduct</w:t>
      </w:r>
      <w:r w:rsidR="00D50C7E">
        <w:t>ed</w:t>
      </w:r>
      <w:r>
        <w:t xml:space="preserve"> using</w:t>
      </w:r>
      <w:r w:rsidR="008A0C66">
        <w:t xml:space="preserve"> </w:t>
      </w:r>
      <w:r w:rsidR="005D0B66">
        <w:t>the U</w:t>
      </w:r>
      <w:r w:rsidR="00A82A2C">
        <w:t xml:space="preserve">. </w:t>
      </w:r>
      <w:r w:rsidR="005D0B66">
        <w:t>S</w:t>
      </w:r>
      <w:r w:rsidR="00A82A2C">
        <w:t>.</w:t>
      </w:r>
      <w:r w:rsidR="005D0B66">
        <w:t xml:space="preserve"> National Library of Medicine’s </w:t>
      </w:r>
      <w:r w:rsidR="008975EA">
        <w:t>PubMed online</w:t>
      </w:r>
      <w:r w:rsidR="00D5416B">
        <w:t>¹</w:t>
      </w:r>
      <w:r w:rsidR="00DC07CB">
        <w:t xml:space="preserve">. </w:t>
      </w:r>
      <w:r w:rsidR="004E1B12">
        <w:t>The</w:t>
      </w:r>
      <w:r w:rsidR="00FA1EE5">
        <w:t xml:space="preserve"> following</w:t>
      </w:r>
      <w:r w:rsidR="004E1B12">
        <w:t xml:space="preserve"> keywords</w:t>
      </w:r>
      <w:r w:rsidR="00636921">
        <w:t xml:space="preserve"> and terms</w:t>
      </w:r>
      <w:r w:rsidR="004E1B12">
        <w:t xml:space="preserve"> </w:t>
      </w:r>
      <w:r w:rsidR="00FA1EE5">
        <w:t xml:space="preserve">were </w:t>
      </w:r>
      <w:r w:rsidR="004E1B12">
        <w:t>used f</w:t>
      </w:r>
      <w:r w:rsidR="00602960">
        <w:t>or the</w:t>
      </w:r>
      <w:r w:rsidR="00873177">
        <w:t xml:space="preserve"> search</w:t>
      </w:r>
      <w:r w:rsidR="00602960">
        <w:t>es</w:t>
      </w:r>
      <w:r w:rsidR="00873177">
        <w:t>:</w:t>
      </w:r>
    </w:p>
    <w:p w:rsidR="008619AD" w:rsidRDefault="008619AD" w:rsidP="00B11B34">
      <w:pPr>
        <w:pStyle w:val="Default"/>
        <w:numPr>
          <w:ilvl w:val="0"/>
          <w:numId w:val="5"/>
        </w:numPr>
        <w:spacing w:line="360" w:lineRule="auto"/>
        <w:jc w:val="both"/>
      </w:pPr>
      <w:r>
        <w:t>Disparities in diabetes care</w:t>
      </w:r>
    </w:p>
    <w:p w:rsidR="008619AD" w:rsidRDefault="008619AD" w:rsidP="00B11B34">
      <w:pPr>
        <w:pStyle w:val="Default"/>
        <w:numPr>
          <w:ilvl w:val="0"/>
          <w:numId w:val="5"/>
        </w:numPr>
        <w:spacing w:line="360" w:lineRule="auto"/>
        <w:jc w:val="both"/>
      </w:pPr>
      <w:r>
        <w:t>Diabetic foot</w:t>
      </w:r>
      <w:r w:rsidR="000534A5">
        <w:t xml:space="preserve"> </w:t>
      </w:r>
      <w:r>
        <w:t>disparities</w:t>
      </w:r>
    </w:p>
    <w:p w:rsidR="008619AD" w:rsidRDefault="008619AD" w:rsidP="00B11B34">
      <w:pPr>
        <w:pStyle w:val="Default"/>
        <w:numPr>
          <w:ilvl w:val="0"/>
          <w:numId w:val="5"/>
        </w:numPr>
        <w:spacing w:line="360" w:lineRule="auto"/>
        <w:jc w:val="both"/>
      </w:pPr>
      <w:r>
        <w:t>Provider characteristics</w:t>
      </w:r>
      <w:r w:rsidR="000534A5">
        <w:t xml:space="preserve"> and</w:t>
      </w:r>
      <w:r>
        <w:t xml:space="preserve"> disparities diabetes</w:t>
      </w:r>
    </w:p>
    <w:p w:rsidR="00FA1EE5" w:rsidRDefault="008619AD" w:rsidP="00B11B34">
      <w:pPr>
        <w:pStyle w:val="Default"/>
        <w:numPr>
          <w:ilvl w:val="0"/>
          <w:numId w:val="5"/>
        </w:numPr>
        <w:spacing w:line="360" w:lineRule="auto"/>
        <w:jc w:val="both"/>
      </w:pPr>
      <w:r>
        <w:t>Practice size disparities</w:t>
      </w:r>
    </w:p>
    <w:p w:rsidR="003B4704" w:rsidRDefault="008619AD" w:rsidP="00B11B34">
      <w:pPr>
        <w:pStyle w:val="Default"/>
        <w:numPr>
          <w:ilvl w:val="0"/>
          <w:numId w:val="5"/>
        </w:numPr>
        <w:spacing w:line="360" w:lineRule="auto"/>
        <w:jc w:val="both"/>
      </w:pPr>
      <w:r>
        <w:t xml:space="preserve">Diabetic foot exams </w:t>
      </w:r>
    </w:p>
    <w:p w:rsidR="00A34998" w:rsidRDefault="00A34998" w:rsidP="00B11B34">
      <w:pPr>
        <w:pStyle w:val="Default"/>
        <w:spacing w:line="360" w:lineRule="auto"/>
        <w:ind w:left="720"/>
        <w:jc w:val="both"/>
      </w:pPr>
    </w:p>
    <w:p w:rsidR="005B5088" w:rsidRDefault="001E5CF0" w:rsidP="00B11B34">
      <w:pPr>
        <w:pStyle w:val="Default"/>
        <w:spacing w:line="360" w:lineRule="auto"/>
        <w:ind w:firstLine="720"/>
        <w:jc w:val="both"/>
      </w:pPr>
      <w:r>
        <w:t>A</w:t>
      </w:r>
      <w:r w:rsidR="00DB75E8">
        <w:t xml:space="preserve">dditional restrictions </w:t>
      </w:r>
      <w:r>
        <w:t xml:space="preserve">were </w:t>
      </w:r>
      <w:r w:rsidR="002C5CA3" w:rsidRPr="002C5CA3">
        <w:t>applied to a</w:t>
      </w:r>
      <w:r w:rsidR="002C5CA3">
        <w:t>ll subsequent searches</w:t>
      </w:r>
      <w:r>
        <w:t>. O</w:t>
      </w:r>
      <w:r w:rsidR="002C5CA3" w:rsidRPr="002C5CA3">
        <w:t xml:space="preserve">nly </w:t>
      </w:r>
      <w:r w:rsidR="00DB75E8">
        <w:t>peer-</w:t>
      </w:r>
      <w:r w:rsidR="00D50C7E">
        <w:t xml:space="preserve">reviewed </w:t>
      </w:r>
      <w:r w:rsidR="002C5CA3" w:rsidRPr="002C5CA3">
        <w:t>journal articles,</w:t>
      </w:r>
      <w:r w:rsidR="00E70245">
        <w:t xml:space="preserve"> clinical trials,</w:t>
      </w:r>
      <w:r>
        <w:t xml:space="preserve"> </w:t>
      </w:r>
      <w:r w:rsidR="00E70245">
        <w:t>publications</w:t>
      </w:r>
      <w:r w:rsidR="00CE2FDE">
        <w:t xml:space="preserve"> from 2012 to 2017</w:t>
      </w:r>
      <w:r w:rsidR="00133505">
        <w:t>,</w:t>
      </w:r>
      <w:r w:rsidR="00E70245">
        <w:t xml:space="preserve"> </w:t>
      </w:r>
      <w:r w:rsidR="0001535A">
        <w:t xml:space="preserve">and </w:t>
      </w:r>
      <w:r w:rsidR="00CE2FDE">
        <w:t>those</w:t>
      </w:r>
      <w:r w:rsidR="00F766DC">
        <w:t xml:space="preserve"> </w:t>
      </w:r>
      <w:r w:rsidR="0001535A">
        <w:t>in English</w:t>
      </w:r>
      <w:r w:rsidR="006A3D68">
        <w:t xml:space="preserve"> were retained</w:t>
      </w:r>
      <w:r w:rsidR="002C5CA3">
        <w:t xml:space="preserve">. </w:t>
      </w:r>
      <w:r w:rsidR="00F766DC">
        <w:t>The abstract for each document was</w:t>
      </w:r>
      <w:r w:rsidR="008414C1">
        <w:t xml:space="preserve"> re</w:t>
      </w:r>
      <w:r w:rsidR="00F766DC">
        <w:t xml:space="preserve">viewed and only those with </w:t>
      </w:r>
      <w:r w:rsidR="004F1EB4">
        <w:t>relevance</w:t>
      </w:r>
      <w:r w:rsidR="00711CD4">
        <w:t xml:space="preserve"> to </w:t>
      </w:r>
      <w:r w:rsidR="008414C1">
        <w:t>topics of diabetes, disparities, foot exams,</w:t>
      </w:r>
      <w:r w:rsidR="00A504F0">
        <w:t xml:space="preserve"> </w:t>
      </w:r>
      <w:proofErr w:type="gramStart"/>
      <w:r w:rsidR="00A504F0">
        <w:t>patient</w:t>
      </w:r>
      <w:proofErr w:type="gramEnd"/>
      <w:r w:rsidR="00222CA6">
        <w:t xml:space="preserve">, provider, or </w:t>
      </w:r>
      <w:r w:rsidR="005F772F">
        <w:t xml:space="preserve">practice </w:t>
      </w:r>
      <w:r w:rsidR="008414C1">
        <w:t xml:space="preserve">characteristics </w:t>
      </w:r>
      <w:r w:rsidR="00800FDF">
        <w:t xml:space="preserve">were </w:t>
      </w:r>
      <w:r w:rsidR="001D4A35">
        <w:t>included in the review</w:t>
      </w:r>
      <w:r w:rsidR="00800FDF">
        <w:t>. T</w:t>
      </w:r>
      <w:r w:rsidR="00286326">
        <w:t>he search</w:t>
      </w:r>
      <w:r w:rsidR="00800FDF">
        <w:t xml:space="preserve"> yielded</w:t>
      </w:r>
      <w:r w:rsidR="00B7791B">
        <w:t xml:space="preserve"> 102 articles in total</w:t>
      </w:r>
      <w:r w:rsidR="00800FDF">
        <w:t xml:space="preserve"> and </w:t>
      </w:r>
      <w:r w:rsidR="00800FDF" w:rsidRPr="00800FDF">
        <w:t>39 articles were e</w:t>
      </w:r>
      <w:r w:rsidR="00800FDF">
        <w:t>xcluded due to</w:t>
      </w:r>
      <w:r w:rsidR="00800FDF" w:rsidRPr="00800FDF">
        <w:t xml:space="preserve"> </w:t>
      </w:r>
      <w:r w:rsidR="00ED6464">
        <w:t>inapplicability</w:t>
      </w:r>
      <w:r w:rsidR="00800FDF" w:rsidRPr="00800FDF">
        <w:t xml:space="preserve"> to </w:t>
      </w:r>
      <w:r w:rsidR="004F1EB4">
        <w:t>the research or being</w:t>
      </w:r>
      <w:r w:rsidR="00FB1D5B">
        <w:t xml:space="preserve"> duplicates</w:t>
      </w:r>
      <w:r w:rsidR="00B7791B">
        <w:t>. The</w:t>
      </w:r>
      <w:r w:rsidR="008414C1">
        <w:t xml:space="preserve"> final </w:t>
      </w:r>
      <w:r w:rsidR="00B7791B">
        <w:t>number of retained articles f</w:t>
      </w:r>
      <w:r w:rsidR="001D4A35">
        <w:t>or</w:t>
      </w:r>
      <w:r w:rsidR="00B7791B">
        <w:t xml:space="preserve"> </w:t>
      </w:r>
      <w:r w:rsidR="00E70245">
        <w:t>the literature review was 63</w:t>
      </w:r>
      <w:r w:rsidR="00B7791B">
        <w:t>,</w:t>
      </w:r>
      <w:r w:rsidR="00E70245">
        <w:t xml:space="preserve"> with 36 related to patient characteristics, 10 related to provider characteristics, and 17 related to practice characteristics</w:t>
      </w:r>
      <w:r w:rsidR="008414C1">
        <w:t>.</w:t>
      </w:r>
      <w:r w:rsidR="008508E3">
        <w:t xml:space="preserve"> </w:t>
      </w:r>
      <w:r w:rsidR="00916940">
        <w:t>F</w:t>
      </w:r>
      <w:r w:rsidR="001D4A35">
        <w:t>igure</w:t>
      </w:r>
      <w:r w:rsidR="00795050">
        <w:t xml:space="preserve">-2 </w:t>
      </w:r>
      <w:r w:rsidR="001D4A35">
        <w:t xml:space="preserve">below </w:t>
      </w:r>
      <w:r w:rsidR="008414C1">
        <w:t>provide</w:t>
      </w:r>
      <w:r w:rsidR="007E692B">
        <w:t xml:space="preserve">s an overview of the selection </w:t>
      </w:r>
      <w:r w:rsidR="008414C1">
        <w:t xml:space="preserve">process. </w:t>
      </w:r>
      <w:r w:rsidR="005B5088">
        <w:t xml:space="preserve">  </w:t>
      </w:r>
    </w:p>
    <w:p w:rsidR="00F02989" w:rsidRDefault="00F02989" w:rsidP="00B11B34">
      <w:pPr>
        <w:pStyle w:val="Default"/>
        <w:spacing w:line="360" w:lineRule="auto"/>
        <w:jc w:val="both"/>
        <w:rPr>
          <w:b/>
        </w:rPr>
      </w:pPr>
    </w:p>
    <w:p w:rsidR="005B5088" w:rsidRPr="0081295C" w:rsidRDefault="005B5088" w:rsidP="00B11B34">
      <w:pPr>
        <w:pStyle w:val="Default"/>
        <w:spacing w:line="360" w:lineRule="auto"/>
        <w:jc w:val="both"/>
        <w:rPr>
          <w:b/>
        </w:rPr>
      </w:pPr>
      <w:r w:rsidRPr="0081295C">
        <w:rPr>
          <w:b/>
        </w:rPr>
        <w:t>US Healthcare System</w:t>
      </w:r>
    </w:p>
    <w:p w:rsidR="00C04B48" w:rsidRDefault="005B5088" w:rsidP="00B11B34">
      <w:pPr>
        <w:pStyle w:val="Default"/>
        <w:spacing w:line="360" w:lineRule="auto"/>
        <w:ind w:firstLine="720"/>
        <w:jc w:val="both"/>
        <w:rPr>
          <w:b/>
        </w:rPr>
      </w:pPr>
      <w:r>
        <w:t>The US Healthcare system is highly complex and multi-layered comprised of b</w:t>
      </w:r>
      <w:r w:rsidR="008F2A08">
        <w:t xml:space="preserve">oth public and private funding.  </w:t>
      </w:r>
      <w:r>
        <w:t>It consists of inpatient and outpatient services with varying models of care based on location, population requirements, and available resources. Perhaps its most challenging aspect is that health care is often uncoordinated amongst the numerous types of providers and stakeholders involved in the delivery of patient care services. The quality of care services can often be significantly impacted as a patient moves from one setting of care to another and risks for miscommunication and adverse events increase with each transition of care (AHRQ, 2016).</w:t>
      </w:r>
    </w:p>
    <w:p w:rsidR="00F02989" w:rsidRDefault="00F02989" w:rsidP="00B11B34">
      <w:pPr>
        <w:pStyle w:val="Default"/>
        <w:spacing w:line="360" w:lineRule="auto"/>
        <w:jc w:val="both"/>
        <w:rPr>
          <w:b/>
        </w:rPr>
      </w:pPr>
      <w:r>
        <w:rPr>
          <w:b/>
        </w:rPr>
        <w:br w:type="page"/>
      </w:r>
    </w:p>
    <w:p w:rsidR="007E692B" w:rsidRPr="008975EA" w:rsidRDefault="006F152C" w:rsidP="00F02989">
      <w:pPr>
        <w:pStyle w:val="Default"/>
        <w:jc w:val="both"/>
      </w:pPr>
      <w:proofErr w:type="gramStart"/>
      <w:r>
        <w:rPr>
          <w:b/>
        </w:rPr>
        <w:lastRenderedPageBreak/>
        <w:t>Fi</w:t>
      </w:r>
      <w:r w:rsidR="00CE6504">
        <w:rPr>
          <w:b/>
        </w:rPr>
        <w:t>gure</w:t>
      </w:r>
      <w:r w:rsidR="002B5B56">
        <w:rPr>
          <w:b/>
        </w:rPr>
        <w:t xml:space="preserve"> </w:t>
      </w:r>
      <w:r w:rsidR="002F72EA">
        <w:rPr>
          <w:b/>
        </w:rPr>
        <w:t>2</w:t>
      </w:r>
      <w:r w:rsidR="007E692B">
        <w:t>.</w:t>
      </w:r>
      <w:proofErr w:type="gramEnd"/>
      <w:r w:rsidR="005E2333">
        <w:t xml:space="preserve"> </w:t>
      </w:r>
      <w:r w:rsidR="00A35799">
        <w:t xml:space="preserve"> Literature review waterfall of disparities in quality, diabetic foot and exams, provider characteristics, and practice size disparities.</w:t>
      </w:r>
    </w:p>
    <w:p w:rsidR="003B4704" w:rsidRDefault="003B4704" w:rsidP="00B11B34">
      <w:pPr>
        <w:pStyle w:val="Default"/>
        <w:spacing w:after="27" w:line="360" w:lineRule="auto"/>
        <w:jc w:val="both"/>
        <w:rPr>
          <w:b/>
          <w:szCs w:val="28"/>
        </w:rPr>
      </w:pPr>
    </w:p>
    <w:p w:rsidR="00F57066" w:rsidRDefault="000763AE" w:rsidP="00B11B34">
      <w:pPr>
        <w:spacing w:line="360" w:lineRule="auto"/>
        <w:jc w:val="both"/>
        <w:rPr>
          <w:b/>
        </w:rPr>
      </w:pPr>
      <w:r>
        <w:rPr>
          <w:b/>
          <w:noProof/>
        </w:rPr>
        <w:object w:dxaOrig="7151" w:dyaOrig="53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6.85pt;height:414.65pt" o:ole="">
            <v:imagedata r:id="rId12" o:title=""/>
          </v:shape>
          <o:OLEObject Type="Embed" ProgID="PowerPoint.ShowMacroEnabled.12" ShapeID="_x0000_i1025" DrawAspect="Content" ObjectID="_1672207993" r:id="rId13"/>
        </w:object>
      </w:r>
    </w:p>
    <w:p w:rsidR="00D83F6B" w:rsidRDefault="003B4704" w:rsidP="00B11B34">
      <w:pPr>
        <w:pStyle w:val="Default"/>
        <w:spacing w:line="360" w:lineRule="auto"/>
        <w:ind w:firstLine="720"/>
        <w:jc w:val="both"/>
        <w:rPr>
          <w:szCs w:val="28"/>
        </w:rPr>
      </w:pPr>
      <w:r w:rsidRPr="002D4746">
        <w:rPr>
          <w:szCs w:val="28"/>
        </w:rPr>
        <w:t>Public administrators</w:t>
      </w:r>
      <w:r w:rsidR="00905ED5">
        <w:rPr>
          <w:szCs w:val="28"/>
        </w:rPr>
        <w:t xml:space="preserve"> </w:t>
      </w:r>
      <w:r w:rsidR="005E2333">
        <w:rPr>
          <w:szCs w:val="28"/>
        </w:rPr>
        <w:t xml:space="preserve">working with the private sector </w:t>
      </w:r>
      <w:r w:rsidRPr="002D4746">
        <w:rPr>
          <w:szCs w:val="28"/>
        </w:rPr>
        <w:t>are faced with the challenges of deve</w:t>
      </w:r>
      <w:r w:rsidR="00DE1C17">
        <w:rPr>
          <w:szCs w:val="28"/>
        </w:rPr>
        <w:t>loping and implementing</w:t>
      </w:r>
      <w:r w:rsidR="009527A5">
        <w:rPr>
          <w:szCs w:val="28"/>
        </w:rPr>
        <w:t xml:space="preserve"> programs</w:t>
      </w:r>
      <w:r w:rsidRPr="002D4746">
        <w:rPr>
          <w:szCs w:val="28"/>
        </w:rPr>
        <w:t xml:space="preserve"> that provide </w:t>
      </w:r>
      <w:r>
        <w:rPr>
          <w:szCs w:val="28"/>
        </w:rPr>
        <w:t xml:space="preserve">efficient </w:t>
      </w:r>
      <w:r w:rsidR="009527A5">
        <w:rPr>
          <w:szCs w:val="28"/>
        </w:rPr>
        <w:t xml:space="preserve">access </w:t>
      </w:r>
      <w:r w:rsidR="0056710A">
        <w:rPr>
          <w:szCs w:val="28"/>
        </w:rPr>
        <w:t xml:space="preserve">to care </w:t>
      </w:r>
      <w:r w:rsidR="009527A5">
        <w:rPr>
          <w:szCs w:val="28"/>
        </w:rPr>
        <w:t>while promoting</w:t>
      </w:r>
      <w:r w:rsidR="00A85F4C">
        <w:rPr>
          <w:szCs w:val="28"/>
        </w:rPr>
        <w:t xml:space="preserve"> quali</w:t>
      </w:r>
      <w:r w:rsidR="004F1EB4">
        <w:rPr>
          <w:szCs w:val="28"/>
        </w:rPr>
        <w:t xml:space="preserve">ty </w:t>
      </w:r>
      <w:r w:rsidR="0056710A">
        <w:rPr>
          <w:szCs w:val="28"/>
        </w:rPr>
        <w:t xml:space="preserve">and </w:t>
      </w:r>
      <w:r w:rsidR="004F1EB4">
        <w:rPr>
          <w:szCs w:val="28"/>
        </w:rPr>
        <w:t>safe</w:t>
      </w:r>
      <w:r w:rsidR="0056710A">
        <w:rPr>
          <w:szCs w:val="28"/>
        </w:rPr>
        <w:t>ty</w:t>
      </w:r>
      <w:r w:rsidR="008F2A08">
        <w:rPr>
          <w:szCs w:val="28"/>
        </w:rPr>
        <w:t xml:space="preserve">.  </w:t>
      </w:r>
      <w:r w:rsidR="004F1EB4">
        <w:rPr>
          <w:szCs w:val="28"/>
        </w:rPr>
        <w:t xml:space="preserve">They </w:t>
      </w:r>
      <w:r w:rsidR="003D4B71">
        <w:rPr>
          <w:szCs w:val="28"/>
        </w:rPr>
        <w:t>design</w:t>
      </w:r>
      <w:r w:rsidR="004F1EB4">
        <w:rPr>
          <w:szCs w:val="28"/>
        </w:rPr>
        <w:t xml:space="preserve"> </w:t>
      </w:r>
      <w:r w:rsidR="0081295C">
        <w:rPr>
          <w:szCs w:val="28"/>
        </w:rPr>
        <w:t xml:space="preserve">public </w:t>
      </w:r>
      <w:r w:rsidR="004F1EB4">
        <w:rPr>
          <w:szCs w:val="28"/>
        </w:rPr>
        <w:t>programs t</w:t>
      </w:r>
      <w:r w:rsidR="00784151">
        <w:rPr>
          <w:szCs w:val="28"/>
        </w:rPr>
        <w:t>hat</w:t>
      </w:r>
      <w:r w:rsidR="00E84020">
        <w:rPr>
          <w:szCs w:val="28"/>
        </w:rPr>
        <w:t xml:space="preserve"> reward or penalize</w:t>
      </w:r>
      <w:r w:rsidR="00A85F4C">
        <w:rPr>
          <w:szCs w:val="28"/>
        </w:rPr>
        <w:t xml:space="preserve"> </w:t>
      </w:r>
      <w:r w:rsidR="008A7B44">
        <w:rPr>
          <w:szCs w:val="28"/>
        </w:rPr>
        <w:t>providers and</w:t>
      </w:r>
      <w:r w:rsidR="008F2A08">
        <w:rPr>
          <w:szCs w:val="28"/>
        </w:rPr>
        <w:t>/or</w:t>
      </w:r>
      <w:r w:rsidR="008A7B44">
        <w:rPr>
          <w:szCs w:val="28"/>
        </w:rPr>
        <w:t xml:space="preserve"> payers</w:t>
      </w:r>
      <w:r w:rsidR="00A85F4C">
        <w:rPr>
          <w:szCs w:val="28"/>
        </w:rPr>
        <w:t xml:space="preserve"> wh</w:t>
      </w:r>
      <w:r w:rsidR="00E84020">
        <w:rPr>
          <w:szCs w:val="28"/>
        </w:rPr>
        <w:t>o either meet or fail to meet</w:t>
      </w:r>
      <w:r w:rsidR="00A85F4C">
        <w:rPr>
          <w:szCs w:val="28"/>
        </w:rPr>
        <w:t xml:space="preserve"> quality benchmarks</w:t>
      </w:r>
      <w:r w:rsidR="0081295C">
        <w:rPr>
          <w:szCs w:val="28"/>
        </w:rPr>
        <w:t xml:space="preserve"> for Medicare and/or Medicaid populations</w:t>
      </w:r>
      <w:r w:rsidR="00A85F4C">
        <w:rPr>
          <w:szCs w:val="28"/>
        </w:rPr>
        <w:t xml:space="preserve"> (</w:t>
      </w:r>
      <w:proofErr w:type="spellStart"/>
      <w:r w:rsidR="00544662">
        <w:rPr>
          <w:szCs w:val="28"/>
        </w:rPr>
        <w:t>Burstin</w:t>
      </w:r>
      <w:proofErr w:type="spellEnd"/>
      <w:r w:rsidR="00544662">
        <w:rPr>
          <w:szCs w:val="28"/>
        </w:rPr>
        <w:t>,</w:t>
      </w:r>
      <w:r w:rsidR="00387C2B">
        <w:rPr>
          <w:szCs w:val="28"/>
        </w:rPr>
        <w:t xml:space="preserve"> </w:t>
      </w:r>
      <w:r w:rsidR="00544662">
        <w:rPr>
          <w:szCs w:val="28"/>
        </w:rPr>
        <w:t>2016)</w:t>
      </w:r>
      <w:r w:rsidR="008A7B44">
        <w:rPr>
          <w:szCs w:val="28"/>
        </w:rPr>
        <w:t>.</w:t>
      </w:r>
      <w:r w:rsidR="008F2A08">
        <w:rPr>
          <w:szCs w:val="28"/>
        </w:rPr>
        <w:t xml:space="preserve"> </w:t>
      </w:r>
      <w:r w:rsidR="008A7B44">
        <w:rPr>
          <w:szCs w:val="28"/>
        </w:rPr>
        <w:t xml:space="preserve"> </w:t>
      </w:r>
      <w:r w:rsidR="00FA4E99">
        <w:rPr>
          <w:szCs w:val="28"/>
        </w:rPr>
        <w:t>They manage street level politics</w:t>
      </w:r>
      <w:r w:rsidR="00675175">
        <w:rPr>
          <w:szCs w:val="28"/>
        </w:rPr>
        <w:t>, defined as the politics frontline public administrators encounter when interacting directly with the public</w:t>
      </w:r>
      <w:r w:rsidR="000D1F19">
        <w:rPr>
          <w:szCs w:val="28"/>
        </w:rPr>
        <w:t>,</w:t>
      </w:r>
      <w:r w:rsidR="00E84020">
        <w:rPr>
          <w:szCs w:val="28"/>
        </w:rPr>
        <w:t xml:space="preserve"> as they attempt to</w:t>
      </w:r>
      <w:r w:rsidR="00FA4E99">
        <w:rPr>
          <w:szCs w:val="28"/>
        </w:rPr>
        <w:t xml:space="preserve"> operationalize national </w:t>
      </w:r>
      <w:r w:rsidR="006A3D68">
        <w:rPr>
          <w:szCs w:val="28"/>
        </w:rPr>
        <w:t xml:space="preserve">health </w:t>
      </w:r>
      <w:r w:rsidR="00FA4E99">
        <w:rPr>
          <w:szCs w:val="28"/>
        </w:rPr>
        <w:t>policies</w:t>
      </w:r>
      <w:r w:rsidR="00675175">
        <w:rPr>
          <w:szCs w:val="28"/>
        </w:rPr>
        <w:t xml:space="preserve"> (Gibson, 2015)</w:t>
      </w:r>
      <w:r w:rsidR="008F2A08">
        <w:rPr>
          <w:szCs w:val="28"/>
        </w:rPr>
        <w:t xml:space="preserve">.  </w:t>
      </w:r>
      <w:r w:rsidR="00A929BF">
        <w:rPr>
          <w:szCs w:val="28"/>
        </w:rPr>
        <w:t xml:space="preserve">Public administrators </w:t>
      </w:r>
      <w:r w:rsidR="009527A5">
        <w:rPr>
          <w:szCs w:val="28"/>
        </w:rPr>
        <w:t>are also tasked with</w:t>
      </w:r>
      <w:r w:rsidRPr="002D4746">
        <w:rPr>
          <w:szCs w:val="28"/>
        </w:rPr>
        <w:t xml:space="preserve"> address</w:t>
      </w:r>
      <w:r w:rsidR="009527A5">
        <w:rPr>
          <w:szCs w:val="28"/>
        </w:rPr>
        <w:t>ing</w:t>
      </w:r>
      <w:r w:rsidRPr="002D4746">
        <w:rPr>
          <w:szCs w:val="28"/>
        </w:rPr>
        <w:t xml:space="preserve"> gaps in care</w:t>
      </w:r>
      <w:r w:rsidR="003D4B71">
        <w:rPr>
          <w:szCs w:val="28"/>
        </w:rPr>
        <w:t xml:space="preserve"> and inequities</w:t>
      </w:r>
      <w:r w:rsidRPr="002D4746">
        <w:rPr>
          <w:szCs w:val="28"/>
        </w:rPr>
        <w:t xml:space="preserve"> </w:t>
      </w:r>
      <w:r w:rsidR="006D09DF">
        <w:rPr>
          <w:szCs w:val="28"/>
        </w:rPr>
        <w:t>as well as</w:t>
      </w:r>
      <w:r w:rsidRPr="002D4746">
        <w:rPr>
          <w:szCs w:val="28"/>
        </w:rPr>
        <w:t xml:space="preserve"> </w:t>
      </w:r>
      <w:r w:rsidR="009527A5">
        <w:rPr>
          <w:szCs w:val="28"/>
        </w:rPr>
        <w:lastRenderedPageBreak/>
        <w:t xml:space="preserve">identifying </w:t>
      </w:r>
      <w:r w:rsidR="003D4B71">
        <w:rPr>
          <w:szCs w:val="28"/>
        </w:rPr>
        <w:t xml:space="preserve">services and </w:t>
      </w:r>
      <w:r w:rsidRPr="002D4746">
        <w:rPr>
          <w:szCs w:val="28"/>
        </w:rPr>
        <w:t>funding</w:t>
      </w:r>
      <w:r w:rsidR="009527A5">
        <w:rPr>
          <w:szCs w:val="28"/>
        </w:rPr>
        <w:t xml:space="preserve"> sources to cover</w:t>
      </w:r>
      <w:r w:rsidR="0024277C">
        <w:rPr>
          <w:szCs w:val="28"/>
        </w:rPr>
        <w:t xml:space="preserve"> </w:t>
      </w:r>
      <w:r w:rsidR="008A7B44">
        <w:rPr>
          <w:szCs w:val="28"/>
        </w:rPr>
        <w:t>costs</w:t>
      </w:r>
      <w:r w:rsidRPr="002D4746">
        <w:rPr>
          <w:szCs w:val="28"/>
        </w:rPr>
        <w:t>.</w:t>
      </w:r>
      <w:r w:rsidR="008F2A08">
        <w:rPr>
          <w:szCs w:val="28"/>
        </w:rPr>
        <w:t xml:space="preserve"> </w:t>
      </w:r>
      <w:r w:rsidR="0024277C">
        <w:rPr>
          <w:szCs w:val="28"/>
        </w:rPr>
        <w:t xml:space="preserve"> </w:t>
      </w:r>
      <w:r w:rsidR="006D09DF">
        <w:rPr>
          <w:szCs w:val="28"/>
        </w:rPr>
        <w:t xml:space="preserve">An example of a policy that was enacted in recent years to address health inequities </w:t>
      </w:r>
      <w:r w:rsidR="00A82A2C">
        <w:rPr>
          <w:szCs w:val="28"/>
        </w:rPr>
        <w:t>i</w:t>
      </w:r>
      <w:r w:rsidR="006D09DF">
        <w:rPr>
          <w:szCs w:val="28"/>
        </w:rPr>
        <w:t xml:space="preserve">s the Patient Protection and Affordable Care Act (PPACA). </w:t>
      </w:r>
      <w:r>
        <w:rPr>
          <w:szCs w:val="28"/>
        </w:rPr>
        <w:t xml:space="preserve"> In 2010, </w:t>
      </w:r>
      <w:r w:rsidRPr="002D4746">
        <w:rPr>
          <w:szCs w:val="28"/>
        </w:rPr>
        <w:t xml:space="preserve">the </w:t>
      </w:r>
      <w:r w:rsidR="00F95936">
        <w:rPr>
          <w:szCs w:val="28"/>
        </w:rPr>
        <w:t>PPACA</w:t>
      </w:r>
      <w:r w:rsidR="005C15E7">
        <w:rPr>
          <w:szCs w:val="28"/>
        </w:rPr>
        <w:t>, which is also referred to as the ACA (Affordable Care Act) for short,</w:t>
      </w:r>
      <w:r w:rsidR="006A3D68">
        <w:rPr>
          <w:szCs w:val="28"/>
        </w:rPr>
        <w:t xml:space="preserve"> was enacted </w:t>
      </w:r>
      <w:r w:rsidR="005E2333">
        <w:rPr>
          <w:szCs w:val="28"/>
        </w:rPr>
        <w:t xml:space="preserve">with the intent </w:t>
      </w:r>
      <w:r w:rsidRPr="002D4746">
        <w:rPr>
          <w:szCs w:val="28"/>
        </w:rPr>
        <w:t>o</w:t>
      </w:r>
      <w:r w:rsidR="005E2333">
        <w:rPr>
          <w:szCs w:val="28"/>
        </w:rPr>
        <w:t>f</w:t>
      </w:r>
      <w:r w:rsidRPr="002D4746">
        <w:rPr>
          <w:szCs w:val="28"/>
        </w:rPr>
        <w:t xml:space="preserve"> expand</w:t>
      </w:r>
      <w:r w:rsidR="005E2333">
        <w:rPr>
          <w:szCs w:val="28"/>
        </w:rPr>
        <w:t>ing</w:t>
      </w:r>
      <w:r w:rsidRPr="002D4746">
        <w:rPr>
          <w:szCs w:val="28"/>
        </w:rPr>
        <w:t xml:space="preserve"> healthcare</w:t>
      </w:r>
      <w:r w:rsidR="00FE5C15">
        <w:rPr>
          <w:szCs w:val="28"/>
        </w:rPr>
        <w:t xml:space="preserve"> insurance</w:t>
      </w:r>
      <w:r w:rsidRPr="002D4746">
        <w:rPr>
          <w:szCs w:val="28"/>
        </w:rPr>
        <w:t xml:space="preserve"> coverage to all American</w:t>
      </w:r>
      <w:r w:rsidR="00F95936">
        <w:rPr>
          <w:szCs w:val="28"/>
        </w:rPr>
        <w:t xml:space="preserve">s. The </w:t>
      </w:r>
      <w:r w:rsidR="00E84020">
        <w:rPr>
          <w:szCs w:val="28"/>
        </w:rPr>
        <w:t>legislation</w:t>
      </w:r>
      <w:r w:rsidR="00F95936">
        <w:rPr>
          <w:szCs w:val="28"/>
        </w:rPr>
        <w:t xml:space="preserve"> was</w:t>
      </w:r>
      <w:r w:rsidR="00784151">
        <w:rPr>
          <w:szCs w:val="28"/>
        </w:rPr>
        <w:t xml:space="preserve"> intended</w:t>
      </w:r>
      <w:r w:rsidR="00F95936">
        <w:rPr>
          <w:szCs w:val="28"/>
        </w:rPr>
        <w:t xml:space="preserve"> to </w:t>
      </w:r>
      <w:r>
        <w:rPr>
          <w:szCs w:val="28"/>
        </w:rPr>
        <w:t>increas</w:t>
      </w:r>
      <w:r w:rsidR="00F95936">
        <w:rPr>
          <w:szCs w:val="28"/>
        </w:rPr>
        <w:t>e</w:t>
      </w:r>
      <w:r w:rsidRPr="002D4746">
        <w:rPr>
          <w:szCs w:val="28"/>
        </w:rPr>
        <w:t xml:space="preserve"> access </w:t>
      </w:r>
      <w:r w:rsidR="008941E9">
        <w:rPr>
          <w:szCs w:val="28"/>
        </w:rPr>
        <w:t>to health care service</w:t>
      </w:r>
      <w:r w:rsidR="00F95936">
        <w:rPr>
          <w:szCs w:val="28"/>
        </w:rPr>
        <w:t>s</w:t>
      </w:r>
      <w:r w:rsidR="008941E9">
        <w:rPr>
          <w:szCs w:val="28"/>
        </w:rPr>
        <w:t xml:space="preserve"> while</w:t>
      </w:r>
      <w:r w:rsidR="008A7B44">
        <w:rPr>
          <w:szCs w:val="28"/>
        </w:rPr>
        <w:t xml:space="preserve"> </w:t>
      </w:r>
      <w:r w:rsidR="008941E9">
        <w:rPr>
          <w:szCs w:val="28"/>
        </w:rPr>
        <w:t>reducing future</w:t>
      </w:r>
      <w:r w:rsidR="008508E3">
        <w:rPr>
          <w:szCs w:val="28"/>
        </w:rPr>
        <w:t xml:space="preserve"> </w:t>
      </w:r>
      <w:r>
        <w:rPr>
          <w:szCs w:val="28"/>
        </w:rPr>
        <w:t>care</w:t>
      </w:r>
      <w:r w:rsidR="008941E9">
        <w:rPr>
          <w:szCs w:val="28"/>
        </w:rPr>
        <w:t xml:space="preserve"> exp</w:t>
      </w:r>
      <w:r w:rsidR="00F95936">
        <w:rPr>
          <w:szCs w:val="28"/>
        </w:rPr>
        <w:t>e</w:t>
      </w:r>
      <w:r w:rsidR="008941E9">
        <w:rPr>
          <w:szCs w:val="28"/>
        </w:rPr>
        <w:t>nses</w:t>
      </w:r>
      <w:r>
        <w:rPr>
          <w:szCs w:val="28"/>
        </w:rPr>
        <w:t xml:space="preserve"> by improving </w:t>
      </w:r>
      <w:r w:rsidRPr="002D4746">
        <w:rPr>
          <w:szCs w:val="28"/>
        </w:rPr>
        <w:t xml:space="preserve">chronic diseases </w:t>
      </w:r>
      <w:r>
        <w:rPr>
          <w:szCs w:val="28"/>
        </w:rPr>
        <w:t xml:space="preserve">management </w:t>
      </w:r>
      <w:r w:rsidRPr="002D4746">
        <w:rPr>
          <w:szCs w:val="28"/>
        </w:rPr>
        <w:t>(Patient Protection and Affordable Care Act, 42 U.S.C. § 18001, 2010).</w:t>
      </w:r>
      <w:r w:rsidR="008508E3">
        <w:rPr>
          <w:szCs w:val="28"/>
        </w:rPr>
        <w:t xml:space="preserve"> </w:t>
      </w:r>
      <w:r w:rsidR="00447C6B">
        <w:rPr>
          <w:szCs w:val="28"/>
        </w:rPr>
        <w:t xml:space="preserve"> </w:t>
      </w:r>
      <w:r w:rsidR="00E321C2">
        <w:rPr>
          <w:szCs w:val="28"/>
        </w:rPr>
        <w:t>With ongoing threats by some</w:t>
      </w:r>
      <w:r w:rsidR="00E84020">
        <w:rPr>
          <w:szCs w:val="28"/>
        </w:rPr>
        <w:t xml:space="preserve"> legislators to repeal</w:t>
      </w:r>
      <w:r w:rsidR="005C15E7">
        <w:rPr>
          <w:szCs w:val="28"/>
        </w:rPr>
        <w:t xml:space="preserve"> </w:t>
      </w:r>
      <w:r w:rsidR="00E84020">
        <w:rPr>
          <w:szCs w:val="28"/>
        </w:rPr>
        <w:t>ACA</w:t>
      </w:r>
      <w:r w:rsidR="00A95FB5">
        <w:rPr>
          <w:szCs w:val="28"/>
        </w:rPr>
        <w:t xml:space="preserve">, like </w:t>
      </w:r>
      <w:r w:rsidR="003C6FE0">
        <w:rPr>
          <w:szCs w:val="28"/>
        </w:rPr>
        <w:t xml:space="preserve">the </w:t>
      </w:r>
      <w:r w:rsidR="00E321C2">
        <w:rPr>
          <w:szCs w:val="28"/>
        </w:rPr>
        <w:t xml:space="preserve">ruling by a Texas court </w:t>
      </w:r>
      <w:r w:rsidR="00A95FB5">
        <w:rPr>
          <w:szCs w:val="28"/>
        </w:rPr>
        <w:t>that found</w:t>
      </w:r>
      <w:r w:rsidR="00E321C2">
        <w:rPr>
          <w:szCs w:val="28"/>
        </w:rPr>
        <w:t xml:space="preserve"> the ind</w:t>
      </w:r>
      <w:r w:rsidR="003C6FE0">
        <w:rPr>
          <w:szCs w:val="28"/>
        </w:rPr>
        <w:t xml:space="preserve">ividual mandate </w:t>
      </w:r>
      <w:r w:rsidR="00536A61">
        <w:rPr>
          <w:szCs w:val="28"/>
        </w:rPr>
        <w:t xml:space="preserve">for a penalty on those who elect not </w:t>
      </w:r>
      <w:r w:rsidR="003C6FE0">
        <w:rPr>
          <w:szCs w:val="28"/>
        </w:rPr>
        <w:t>to purchase health insurance unconstitutional, organization</w:t>
      </w:r>
      <w:r w:rsidR="0026576E">
        <w:rPr>
          <w:szCs w:val="28"/>
        </w:rPr>
        <w:t>s</w:t>
      </w:r>
      <w:r w:rsidR="003C6FE0">
        <w:rPr>
          <w:szCs w:val="28"/>
        </w:rPr>
        <w:t xml:space="preserve"> like the ADA have expressed concerns regarding the impact</w:t>
      </w:r>
      <w:r w:rsidR="00536A61">
        <w:rPr>
          <w:szCs w:val="28"/>
        </w:rPr>
        <w:t xml:space="preserve"> of repeal without a replacement. The repeal may include</w:t>
      </w:r>
      <w:r w:rsidR="00C92682">
        <w:rPr>
          <w:szCs w:val="28"/>
        </w:rPr>
        <w:t xml:space="preserve"> denial of</w:t>
      </w:r>
      <w:r w:rsidR="003C6FE0">
        <w:rPr>
          <w:szCs w:val="28"/>
        </w:rPr>
        <w:t xml:space="preserve"> coverage for preexisting conditions and access </w:t>
      </w:r>
      <w:r w:rsidR="00C92682">
        <w:rPr>
          <w:szCs w:val="28"/>
        </w:rPr>
        <w:t xml:space="preserve">to </w:t>
      </w:r>
      <w:r w:rsidR="003C6FE0">
        <w:rPr>
          <w:szCs w:val="28"/>
        </w:rPr>
        <w:t>prevent</w:t>
      </w:r>
      <w:r w:rsidR="00C92682">
        <w:rPr>
          <w:szCs w:val="28"/>
        </w:rPr>
        <w:t>ative</w:t>
      </w:r>
      <w:r w:rsidR="003C6FE0">
        <w:rPr>
          <w:szCs w:val="28"/>
        </w:rPr>
        <w:t xml:space="preserve"> care</w:t>
      </w:r>
      <w:r w:rsidR="00C92682">
        <w:rPr>
          <w:szCs w:val="28"/>
        </w:rPr>
        <w:t xml:space="preserve"> which c</w:t>
      </w:r>
      <w:r w:rsidR="003C6FE0">
        <w:rPr>
          <w:szCs w:val="28"/>
        </w:rPr>
        <w:t>ould have</w:t>
      </w:r>
      <w:r w:rsidR="00C92682">
        <w:rPr>
          <w:szCs w:val="28"/>
        </w:rPr>
        <w:t xml:space="preserve"> a significant impact</w:t>
      </w:r>
      <w:r w:rsidR="003C6FE0">
        <w:rPr>
          <w:szCs w:val="28"/>
        </w:rPr>
        <w:t xml:space="preserve"> on millions of Americans with diabetes and those at risk</w:t>
      </w:r>
      <w:r w:rsidR="006D1370">
        <w:rPr>
          <w:szCs w:val="28"/>
        </w:rPr>
        <w:t xml:space="preserve"> (ADA,</w:t>
      </w:r>
      <w:r w:rsidR="00536A61">
        <w:rPr>
          <w:szCs w:val="28"/>
        </w:rPr>
        <w:t xml:space="preserve"> </w:t>
      </w:r>
      <w:r w:rsidR="006D1370">
        <w:rPr>
          <w:szCs w:val="28"/>
        </w:rPr>
        <w:t>2017)</w:t>
      </w:r>
      <w:r w:rsidR="003C6FE0">
        <w:rPr>
          <w:szCs w:val="28"/>
        </w:rPr>
        <w:t>.</w:t>
      </w:r>
    </w:p>
    <w:p w:rsidR="002B7953" w:rsidRPr="00DC07CB" w:rsidRDefault="008A7B44" w:rsidP="00B11B34">
      <w:pPr>
        <w:pStyle w:val="Default"/>
        <w:spacing w:line="360" w:lineRule="auto"/>
        <w:ind w:firstLine="720"/>
        <w:jc w:val="both"/>
        <w:rPr>
          <w:color w:val="FF0000"/>
          <w:szCs w:val="28"/>
        </w:rPr>
      </w:pPr>
      <w:r>
        <w:rPr>
          <w:szCs w:val="28"/>
        </w:rPr>
        <w:t xml:space="preserve">When not properly managed, </w:t>
      </w:r>
      <w:r w:rsidR="00BF1FB6">
        <w:rPr>
          <w:szCs w:val="28"/>
        </w:rPr>
        <w:t xml:space="preserve">individuals with </w:t>
      </w:r>
      <w:r>
        <w:rPr>
          <w:szCs w:val="28"/>
        </w:rPr>
        <w:t>chronic diseases like diabetes</w:t>
      </w:r>
      <w:r w:rsidR="005634F9">
        <w:rPr>
          <w:szCs w:val="28"/>
        </w:rPr>
        <w:t xml:space="preserve"> receive fragmented care</w:t>
      </w:r>
      <w:r w:rsidR="00536A61">
        <w:rPr>
          <w:szCs w:val="28"/>
        </w:rPr>
        <w:t>, which results in</w:t>
      </w:r>
      <w:r w:rsidR="003816E2">
        <w:rPr>
          <w:szCs w:val="28"/>
        </w:rPr>
        <w:t xml:space="preserve"> uneven quality</w:t>
      </w:r>
      <w:r w:rsidR="00536A61">
        <w:rPr>
          <w:szCs w:val="28"/>
        </w:rPr>
        <w:t xml:space="preserve"> and</w:t>
      </w:r>
      <w:r>
        <w:rPr>
          <w:szCs w:val="28"/>
        </w:rPr>
        <w:t xml:space="preserve"> </w:t>
      </w:r>
      <w:r w:rsidR="00C939D6">
        <w:rPr>
          <w:szCs w:val="28"/>
        </w:rPr>
        <w:t>may</w:t>
      </w:r>
      <w:r w:rsidR="00B71DE6">
        <w:rPr>
          <w:szCs w:val="28"/>
        </w:rPr>
        <w:t xml:space="preserve"> </w:t>
      </w:r>
      <w:r w:rsidR="00B41F93">
        <w:rPr>
          <w:szCs w:val="28"/>
        </w:rPr>
        <w:t>substantially increase</w:t>
      </w:r>
      <w:r>
        <w:rPr>
          <w:szCs w:val="28"/>
        </w:rPr>
        <w:t xml:space="preserve"> </w:t>
      </w:r>
      <w:r w:rsidR="00B71DE6">
        <w:rPr>
          <w:szCs w:val="28"/>
        </w:rPr>
        <w:t>costs and utilization rates</w:t>
      </w:r>
      <w:r w:rsidR="007519AA">
        <w:rPr>
          <w:szCs w:val="28"/>
        </w:rPr>
        <w:t xml:space="preserve"> of healthcare services</w:t>
      </w:r>
      <w:r w:rsidR="008941E9">
        <w:rPr>
          <w:szCs w:val="28"/>
        </w:rPr>
        <w:t>. A</w:t>
      </w:r>
      <w:r w:rsidR="00B71DE6">
        <w:rPr>
          <w:szCs w:val="28"/>
        </w:rPr>
        <w:t>s patients</w:t>
      </w:r>
      <w:r w:rsidR="00405EED">
        <w:rPr>
          <w:szCs w:val="28"/>
        </w:rPr>
        <w:t xml:space="preserve"> reach a symptomati</w:t>
      </w:r>
      <w:r w:rsidR="00B71DE6">
        <w:rPr>
          <w:szCs w:val="28"/>
        </w:rPr>
        <w:t>c thresh</w:t>
      </w:r>
      <w:r w:rsidR="00536A61">
        <w:rPr>
          <w:szCs w:val="28"/>
        </w:rPr>
        <w:t>old</w:t>
      </w:r>
      <w:r w:rsidR="00831EB2">
        <w:rPr>
          <w:szCs w:val="28"/>
        </w:rPr>
        <w:t xml:space="preserve"> to</w:t>
      </w:r>
      <w:r w:rsidR="00536A61">
        <w:rPr>
          <w:szCs w:val="28"/>
        </w:rPr>
        <w:t xml:space="preserve"> which he or she</w:t>
      </w:r>
      <w:r w:rsidR="00B71DE6">
        <w:rPr>
          <w:szCs w:val="28"/>
        </w:rPr>
        <w:t xml:space="preserve"> can no longer</w:t>
      </w:r>
      <w:r w:rsidR="008941E9">
        <w:rPr>
          <w:szCs w:val="28"/>
        </w:rPr>
        <w:t xml:space="preserve"> ignore, they seek care and often the emergency department becomes the site of </w:t>
      </w:r>
      <w:r w:rsidR="00D80488">
        <w:rPr>
          <w:szCs w:val="28"/>
        </w:rPr>
        <w:t>necessity</w:t>
      </w:r>
      <w:r w:rsidR="008941E9" w:rsidRPr="00B77561">
        <w:rPr>
          <w:szCs w:val="28"/>
        </w:rPr>
        <w:t>.</w:t>
      </w:r>
      <w:r w:rsidR="00B71DE6" w:rsidRPr="00B77561">
        <w:rPr>
          <w:szCs w:val="28"/>
        </w:rPr>
        <w:t xml:space="preserve"> </w:t>
      </w:r>
      <w:r w:rsidR="00210080" w:rsidRPr="00B77561">
        <w:rPr>
          <w:szCs w:val="28"/>
        </w:rPr>
        <w:t>From 2006 to 2010, o</w:t>
      </w:r>
      <w:r w:rsidR="004D5F6D" w:rsidRPr="00B77561">
        <w:rPr>
          <w:szCs w:val="28"/>
        </w:rPr>
        <w:t>ver a million</w:t>
      </w:r>
      <w:r w:rsidR="00405EED" w:rsidRPr="00B77561">
        <w:rPr>
          <w:szCs w:val="28"/>
        </w:rPr>
        <w:t xml:space="preserve"> cases of diabetic foot complications presented </w:t>
      </w:r>
      <w:r w:rsidR="004D5F6D" w:rsidRPr="00B77561">
        <w:rPr>
          <w:szCs w:val="28"/>
        </w:rPr>
        <w:t xml:space="preserve">to </w:t>
      </w:r>
      <w:r w:rsidR="00536A61" w:rsidRPr="00B77561">
        <w:rPr>
          <w:szCs w:val="28"/>
        </w:rPr>
        <w:t>U.S.</w:t>
      </w:r>
      <w:r w:rsidR="004D5F6D" w:rsidRPr="00B77561">
        <w:rPr>
          <w:szCs w:val="28"/>
        </w:rPr>
        <w:t xml:space="preserve"> emergency room</w:t>
      </w:r>
      <w:r w:rsidR="00610BE1" w:rsidRPr="00B77561">
        <w:rPr>
          <w:szCs w:val="28"/>
        </w:rPr>
        <w:t>s</w:t>
      </w:r>
      <w:r w:rsidR="00536A61" w:rsidRPr="00B77561">
        <w:rPr>
          <w:szCs w:val="28"/>
        </w:rPr>
        <w:t>,</w:t>
      </w:r>
      <w:r w:rsidR="00210080" w:rsidRPr="00B77561">
        <w:rPr>
          <w:szCs w:val="28"/>
        </w:rPr>
        <w:t xml:space="preserve"> </w:t>
      </w:r>
      <w:r w:rsidR="00E44821">
        <w:rPr>
          <w:szCs w:val="28"/>
        </w:rPr>
        <w:t>resulting</w:t>
      </w:r>
      <w:r w:rsidR="00210080" w:rsidRPr="00B77561">
        <w:rPr>
          <w:szCs w:val="28"/>
        </w:rPr>
        <w:t xml:space="preserve"> in</w:t>
      </w:r>
      <w:r w:rsidR="00DB7FE1" w:rsidRPr="00B77561">
        <w:rPr>
          <w:szCs w:val="28"/>
        </w:rPr>
        <w:t xml:space="preserve"> a total annual</w:t>
      </w:r>
      <w:r w:rsidR="00210080" w:rsidRPr="00B77561">
        <w:rPr>
          <w:szCs w:val="28"/>
        </w:rPr>
        <w:t xml:space="preserve"> </w:t>
      </w:r>
      <w:r w:rsidR="00DB7FE1" w:rsidRPr="00B77561">
        <w:rPr>
          <w:szCs w:val="28"/>
        </w:rPr>
        <w:t xml:space="preserve">expense of $1.9 </w:t>
      </w:r>
      <w:r w:rsidR="00EC0E9D" w:rsidRPr="00B77561">
        <w:rPr>
          <w:szCs w:val="28"/>
        </w:rPr>
        <w:t xml:space="preserve">billion </w:t>
      </w:r>
      <w:r w:rsidR="00405EED" w:rsidRPr="00B77561">
        <w:rPr>
          <w:szCs w:val="28"/>
        </w:rPr>
        <w:t xml:space="preserve">in </w:t>
      </w:r>
      <w:r w:rsidR="00210080" w:rsidRPr="00B77561">
        <w:rPr>
          <w:szCs w:val="28"/>
        </w:rPr>
        <w:t xml:space="preserve">emergency room </w:t>
      </w:r>
      <w:r w:rsidR="00DB7FE1" w:rsidRPr="00B77561">
        <w:rPr>
          <w:szCs w:val="28"/>
        </w:rPr>
        <w:t>charges</w:t>
      </w:r>
      <w:r w:rsidR="00210080" w:rsidRPr="00B77561">
        <w:rPr>
          <w:szCs w:val="28"/>
        </w:rPr>
        <w:t xml:space="preserve"> alone</w:t>
      </w:r>
      <w:r w:rsidR="00405EED" w:rsidRPr="00B77561">
        <w:rPr>
          <w:szCs w:val="28"/>
        </w:rPr>
        <w:t xml:space="preserve"> and</w:t>
      </w:r>
      <w:r w:rsidR="00210080" w:rsidRPr="00B77561">
        <w:rPr>
          <w:szCs w:val="28"/>
        </w:rPr>
        <w:t xml:space="preserve"> over</w:t>
      </w:r>
      <w:r w:rsidR="00405EED" w:rsidRPr="00B77561">
        <w:rPr>
          <w:szCs w:val="28"/>
        </w:rPr>
        <w:t xml:space="preserve"> $8 billion </w:t>
      </w:r>
      <w:r w:rsidR="00DB7FE1" w:rsidRPr="00B77561">
        <w:rPr>
          <w:szCs w:val="28"/>
        </w:rPr>
        <w:t xml:space="preserve">in </w:t>
      </w:r>
      <w:r w:rsidR="00405EED" w:rsidRPr="00B77561">
        <w:rPr>
          <w:szCs w:val="28"/>
        </w:rPr>
        <w:t xml:space="preserve">inpatient charges </w:t>
      </w:r>
      <w:r w:rsidR="00DB7FE1" w:rsidRPr="00B77561">
        <w:rPr>
          <w:szCs w:val="28"/>
        </w:rPr>
        <w:t xml:space="preserve">secondary to </w:t>
      </w:r>
      <w:r w:rsidR="00210080" w:rsidRPr="00B77561">
        <w:rPr>
          <w:szCs w:val="28"/>
        </w:rPr>
        <w:t xml:space="preserve">hospital admissions </w:t>
      </w:r>
      <w:r w:rsidR="00405EED" w:rsidRPr="00B77561">
        <w:rPr>
          <w:szCs w:val="28"/>
        </w:rPr>
        <w:t>(</w:t>
      </w:r>
      <w:proofErr w:type="spellStart"/>
      <w:r w:rsidR="00405EED" w:rsidRPr="00B77561">
        <w:rPr>
          <w:szCs w:val="28"/>
        </w:rPr>
        <w:t>Skrepnek</w:t>
      </w:r>
      <w:proofErr w:type="spellEnd"/>
      <w:r w:rsidR="00405EED" w:rsidRPr="00B77561">
        <w:rPr>
          <w:szCs w:val="28"/>
        </w:rPr>
        <w:t>, 2015).</w:t>
      </w:r>
      <w:r w:rsidR="00FE5C15">
        <w:rPr>
          <w:szCs w:val="28"/>
        </w:rPr>
        <w:t xml:space="preserve"> </w:t>
      </w:r>
      <w:r w:rsidR="00EC0E9D">
        <w:rPr>
          <w:szCs w:val="28"/>
        </w:rPr>
        <w:t xml:space="preserve"> </w:t>
      </w:r>
      <w:r w:rsidR="00FE5C15">
        <w:rPr>
          <w:szCs w:val="28"/>
        </w:rPr>
        <w:t>Some</w:t>
      </w:r>
      <w:r w:rsidR="00DE5CEB">
        <w:rPr>
          <w:szCs w:val="28"/>
        </w:rPr>
        <w:t xml:space="preserve"> of these costs</w:t>
      </w:r>
      <w:r w:rsidR="008A3405">
        <w:rPr>
          <w:szCs w:val="28"/>
        </w:rPr>
        <w:t xml:space="preserve"> could have been</w:t>
      </w:r>
      <w:r w:rsidR="00DE5CEB">
        <w:rPr>
          <w:szCs w:val="28"/>
        </w:rPr>
        <w:t xml:space="preserve"> avoided with earlier diagnosis and proper</w:t>
      </w:r>
      <w:r w:rsidR="0041652E">
        <w:rPr>
          <w:szCs w:val="28"/>
        </w:rPr>
        <w:t xml:space="preserve"> quality</w:t>
      </w:r>
      <w:r w:rsidR="00DE5CEB">
        <w:rPr>
          <w:szCs w:val="28"/>
        </w:rPr>
        <w:t xml:space="preserve"> management</w:t>
      </w:r>
      <w:r w:rsidR="007B6FCF">
        <w:rPr>
          <w:szCs w:val="28"/>
        </w:rPr>
        <w:t xml:space="preserve"> (</w:t>
      </w:r>
      <w:proofErr w:type="spellStart"/>
      <w:r w:rsidR="007B6FCF">
        <w:rPr>
          <w:color w:val="333333"/>
          <w:shd w:val="clear" w:color="auto" w:fill="FFFFFF"/>
        </w:rPr>
        <w:t>Zhuo</w:t>
      </w:r>
      <w:proofErr w:type="spellEnd"/>
      <w:r w:rsidR="007B6FCF">
        <w:rPr>
          <w:color w:val="333333"/>
          <w:shd w:val="clear" w:color="auto" w:fill="FFFFFF"/>
        </w:rPr>
        <w:t>,</w:t>
      </w:r>
      <w:r w:rsidR="00BF2C9D">
        <w:rPr>
          <w:color w:val="333333"/>
          <w:shd w:val="clear" w:color="auto" w:fill="FFFFFF"/>
        </w:rPr>
        <w:t xml:space="preserve"> </w:t>
      </w:r>
      <w:r w:rsidR="007B6FCF">
        <w:rPr>
          <w:color w:val="333333"/>
          <w:shd w:val="clear" w:color="auto" w:fill="FFFFFF"/>
        </w:rPr>
        <w:t>2014)</w:t>
      </w:r>
      <w:r w:rsidR="00DE5CEB">
        <w:rPr>
          <w:szCs w:val="28"/>
        </w:rPr>
        <w:t xml:space="preserve">. </w:t>
      </w:r>
    </w:p>
    <w:p w:rsidR="005A389E" w:rsidRPr="00973646" w:rsidRDefault="00E676B3" w:rsidP="00B11B34">
      <w:pPr>
        <w:spacing w:line="360" w:lineRule="auto"/>
        <w:jc w:val="both"/>
        <w:rPr>
          <w:b/>
        </w:rPr>
      </w:pPr>
      <w:r>
        <w:rPr>
          <w:b/>
        </w:rPr>
        <w:t xml:space="preserve">Disparities in </w:t>
      </w:r>
      <w:r w:rsidR="005A389E" w:rsidRPr="00973646">
        <w:rPr>
          <w:b/>
        </w:rPr>
        <w:t>Diabetic Foot Care</w:t>
      </w:r>
    </w:p>
    <w:p w:rsidR="005A389E" w:rsidRDefault="005A389E" w:rsidP="00B11B34">
      <w:pPr>
        <w:pStyle w:val="Default"/>
        <w:spacing w:line="360" w:lineRule="auto"/>
        <w:jc w:val="both"/>
      </w:pPr>
      <w:r>
        <w:tab/>
      </w:r>
      <w:r w:rsidR="002847C3">
        <w:t xml:space="preserve">Foot ulcers are </w:t>
      </w:r>
      <w:r w:rsidR="004A5C4D">
        <w:t xml:space="preserve">usually a </w:t>
      </w:r>
      <w:r w:rsidR="002847C3">
        <w:t>secondary complication</w:t>
      </w:r>
      <w:r w:rsidR="004A5C4D">
        <w:t xml:space="preserve"> to </w:t>
      </w:r>
      <w:r w:rsidR="00BF2C9D">
        <w:t>diabetic neuropathy and/or peripheral arterial disease (PAD)</w:t>
      </w:r>
      <w:r w:rsidR="002847C3">
        <w:t xml:space="preserve"> </w:t>
      </w:r>
      <w:r w:rsidR="00536A61">
        <w:t>which</w:t>
      </w:r>
      <w:r w:rsidR="00540783">
        <w:t xml:space="preserve"> are</w:t>
      </w:r>
      <w:r w:rsidR="00D5416B">
        <w:t xml:space="preserve"> a result of</w:t>
      </w:r>
      <w:r w:rsidR="002847C3">
        <w:t xml:space="preserve"> poor diabetes management.</w:t>
      </w:r>
      <w:r w:rsidR="008508E3">
        <w:t xml:space="preserve"> </w:t>
      </w:r>
      <w:r w:rsidR="00BF2C9D">
        <w:t xml:space="preserve">According </w:t>
      </w:r>
      <w:r w:rsidR="00D5416B">
        <w:t xml:space="preserve">to </w:t>
      </w:r>
      <w:r w:rsidR="00540783">
        <w:t xml:space="preserve">the </w:t>
      </w:r>
      <w:r w:rsidR="00BF2C9D">
        <w:t xml:space="preserve">ADA, </w:t>
      </w:r>
      <w:r w:rsidR="00890E0A">
        <w:t>e</w:t>
      </w:r>
      <w:r>
        <w:t xml:space="preserve">arly recognition and treatment of patients with diabetes </w:t>
      </w:r>
      <w:r w:rsidR="00890E0A">
        <w:t xml:space="preserve">can delay or </w:t>
      </w:r>
      <w:r w:rsidR="00536A61">
        <w:t xml:space="preserve">even </w:t>
      </w:r>
      <w:r w:rsidR="00890E0A">
        <w:t>prevent the development of</w:t>
      </w:r>
      <w:r>
        <w:t xml:space="preserve"> f</w:t>
      </w:r>
      <w:r w:rsidR="00890E0A">
        <w:t xml:space="preserve">oot </w:t>
      </w:r>
      <w:r w:rsidR="00536A61">
        <w:t xml:space="preserve">ulcers </w:t>
      </w:r>
      <w:r w:rsidR="004A5C4D">
        <w:t xml:space="preserve">and </w:t>
      </w:r>
      <w:r w:rsidR="00890E0A">
        <w:t xml:space="preserve">ultimately many </w:t>
      </w:r>
      <w:r>
        <w:t>amputations (ADA, 20</w:t>
      </w:r>
      <w:r w:rsidR="00D2541B">
        <w:t>18).</w:t>
      </w:r>
      <w:r w:rsidR="00540783">
        <w:t xml:space="preserve">  </w:t>
      </w:r>
      <w:r w:rsidR="004A5C4D">
        <w:t>D</w:t>
      </w:r>
      <w:r w:rsidR="004A5C4D" w:rsidRPr="004A5C4D">
        <w:t xml:space="preserve">espite significant advances in treatments and </w:t>
      </w:r>
      <w:r w:rsidR="00B25BCB">
        <w:t>the availability of evidence-based protocols highlighting optimal management</w:t>
      </w:r>
      <w:r w:rsidR="004A5C4D">
        <w:t>, d</w:t>
      </w:r>
      <w:r w:rsidR="00D2541B">
        <w:t>iabetic foot ulcers</w:t>
      </w:r>
      <w:r>
        <w:t xml:space="preserve"> tend to </w:t>
      </w:r>
      <w:r>
        <w:lastRenderedPageBreak/>
        <w:t xml:space="preserve">be undertreated and often </w:t>
      </w:r>
      <w:r w:rsidR="00D2541B">
        <w:t>not properly managed</w:t>
      </w:r>
      <w:r w:rsidR="004A5C4D">
        <w:t>.</w:t>
      </w:r>
      <w:r w:rsidR="00C07A20">
        <w:t xml:space="preserve"> </w:t>
      </w:r>
      <w:r w:rsidR="00F27BD4">
        <w:t>This could be attributed to the</w:t>
      </w:r>
      <w:r w:rsidR="00536A61">
        <w:t xml:space="preserve"> lack of emphasis placed on diabetic foot ulcers</w:t>
      </w:r>
      <w:r w:rsidR="00F27BD4">
        <w:t xml:space="preserve"> in provider training and continuing educatio</w:t>
      </w:r>
      <w:r w:rsidR="00060BFB">
        <w:t>n (</w:t>
      </w:r>
      <w:proofErr w:type="spellStart"/>
      <w:r w:rsidR="00060BFB">
        <w:t>Jeffcoates</w:t>
      </w:r>
      <w:proofErr w:type="spellEnd"/>
      <w:r w:rsidR="00060BFB">
        <w:t>, 2018)</w:t>
      </w:r>
      <w:r w:rsidR="004A5C4D">
        <w:t>. Despite being a precursor</w:t>
      </w:r>
      <w:r w:rsidR="004A5C4D" w:rsidRPr="004A5C4D">
        <w:t xml:space="preserve"> to over three quarters of the leg amputations today (</w:t>
      </w:r>
      <w:proofErr w:type="spellStart"/>
      <w:r w:rsidR="004A5C4D" w:rsidRPr="004A5C4D">
        <w:t>Soghomonyan</w:t>
      </w:r>
      <w:proofErr w:type="spellEnd"/>
      <w:r w:rsidR="004A5C4D" w:rsidRPr="004A5C4D">
        <w:t>, 2014)</w:t>
      </w:r>
      <w:r w:rsidR="004A5C4D">
        <w:t>, a</w:t>
      </w:r>
      <w:r w:rsidR="00BF27B1">
        <w:t>lmost 50%</w:t>
      </w:r>
      <w:r>
        <w:t xml:space="preserve"> of all </w:t>
      </w:r>
      <w:r w:rsidR="00DE04DE">
        <w:t xml:space="preserve">diabetic foot ulcers </w:t>
      </w:r>
      <w:r w:rsidR="00BF27B1">
        <w:t>do not heal</w:t>
      </w:r>
      <w:r w:rsidR="00E3659D">
        <w:t xml:space="preserve"> </w:t>
      </w:r>
      <w:r w:rsidR="004A5C4D">
        <w:t xml:space="preserve">and </w:t>
      </w:r>
      <w:r w:rsidR="00BF27B1">
        <w:t xml:space="preserve">the lower leg </w:t>
      </w:r>
      <w:r>
        <w:t xml:space="preserve">amputation rate </w:t>
      </w:r>
      <w:r w:rsidR="00E3659D">
        <w:t xml:space="preserve">has </w:t>
      </w:r>
      <w:r w:rsidR="00BF27B1">
        <w:t>remai</w:t>
      </w:r>
      <w:r w:rsidR="00E3659D">
        <w:t>ned stead</w:t>
      </w:r>
      <w:r w:rsidR="00D5416B">
        <w:t>y</w:t>
      </w:r>
      <w:r w:rsidR="00BF27B1">
        <w:t xml:space="preserve"> at an average of </w:t>
      </w:r>
      <w:r>
        <w:t>85</w:t>
      </w:r>
      <w:r w:rsidR="00DE04DE">
        <w:t>,</w:t>
      </w:r>
      <w:r>
        <w:t>000</w:t>
      </w:r>
      <w:r w:rsidR="00BF27B1">
        <w:t xml:space="preserve"> per year</w:t>
      </w:r>
      <w:r w:rsidR="00C07A20">
        <w:t xml:space="preserve"> </w:t>
      </w:r>
      <w:r w:rsidR="00C07A20" w:rsidRPr="00C07A20">
        <w:t>(Blumberg, 2014).</w:t>
      </w:r>
      <w:r w:rsidR="008508E3">
        <w:t xml:space="preserve"> </w:t>
      </w:r>
      <w:r w:rsidR="008D5375">
        <w:t xml:space="preserve"> </w:t>
      </w:r>
      <w:r w:rsidR="00A60E8E">
        <w:t xml:space="preserve">Although, </w:t>
      </w:r>
      <w:r w:rsidR="00077533">
        <w:t>the Center</w:t>
      </w:r>
      <w:r w:rsidR="00610BE1">
        <w:t>s</w:t>
      </w:r>
      <w:r w:rsidR="00077533">
        <w:t xml:space="preserve"> for </w:t>
      </w:r>
      <w:r w:rsidR="00A60E8E">
        <w:t>Medicare and Medic</w:t>
      </w:r>
      <w:r w:rsidR="00077533">
        <w:t xml:space="preserve">aid </w:t>
      </w:r>
      <w:r w:rsidR="004D7FB5">
        <w:t>S</w:t>
      </w:r>
      <w:r w:rsidR="00077533">
        <w:t>ervices</w:t>
      </w:r>
      <w:r w:rsidR="004D7FB5">
        <w:t xml:space="preserve"> (CMS)</w:t>
      </w:r>
      <w:r w:rsidR="00077533">
        <w:t xml:space="preserve"> </w:t>
      </w:r>
      <w:r w:rsidR="00460BB7">
        <w:t>ha</w:t>
      </w:r>
      <w:r w:rsidR="00603745">
        <w:t>s</w:t>
      </w:r>
      <w:r w:rsidR="00460BB7">
        <w:t xml:space="preserve"> </w:t>
      </w:r>
      <w:r w:rsidR="00B91269">
        <w:t>developed many performance programs suc</w:t>
      </w:r>
      <w:r w:rsidR="00B02601">
        <w:t>h as Medicare Shared Savings</w:t>
      </w:r>
      <w:r w:rsidR="00CE2E81">
        <w:t xml:space="preserve"> and value-based care</w:t>
      </w:r>
      <w:r w:rsidR="008D5375">
        <w:t xml:space="preserve"> to</w:t>
      </w:r>
      <w:r w:rsidR="00B02601">
        <w:t xml:space="preserve"> </w:t>
      </w:r>
      <w:r w:rsidR="002D1AB0" w:rsidRPr="002D1AB0">
        <w:t>incentivize providers in an ambulatory setting</w:t>
      </w:r>
      <w:r w:rsidR="00540783">
        <w:t xml:space="preserve"> to improve care</w:t>
      </w:r>
      <w:r w:rsidR="00E726F3">
        <w:t xml:space="preserve"> and </w:t>
      </w:r>
      <w:r w:rsidR="00540783">
        <w:t>promote</w:t>
      </w:r>
      <w:r w:rsidR="00CE2E81">
        <w:t xml:space="preserve"> comprehensive diabetes management</w:t>
      </w:r>
      <w:r w:rsidR="00B02601">
        <w:t>,</w:t>
      </w:r>
      <w:r w:rsidR="00540783">
        <w:t xml:space="preserve"> </w:t>
      </w:r>
      <w:r w:rsidR="00F376E2">
        <w:t>the significant impacts</w:t>
      </w:r>
      <w:r w:rsidR="00D5416B">
        <w:t xml:space="preserve"> from these programs</w:t>
      </w:r>
      <w:r w:rsidR="00F376E2">
        <w:t xml:space="preserve"> to the overall health system have yet to be realized (Mendelson, 2017, p1).</w:t>
      </w:r>
      <w:r w:rsidR="006F06C2">
        <w:t xml:space="preserve"> </w:t>
      </w:r>
    </w:p>
    <w:p w:rsidR="005A389E" w:rsidRDefault="005A389E" w:rsidP="00B11B34">
      <w:pPr>
        <w:pStyle w:val="Default"/>
        <w:spacing w:line="360" w:lineRule="auto"/>
        <w:jc w:val="both"/>
      </w:pPr>
      <w:r>
        <w:tab/>
      </w:r>
      <w:r w:rsidRPr="00003415">
        <w:rPr>
          <w:color w:val="auto"/>
        </w:rPr>
        <w:t xml:space="preserve">According to the ADA’s </w:t>
      </w:r>
      <w:r>
        <w:t>2018 Standards of Medical Car</w:t>
      </w:r>
      <w:r w:rsidR="00C07A20">
        <w:t xml:space="preserve">e in Diabetes guidelines, </w:t>
      </w:r>
      <w:r w:rsidR="00536A61">
        <w:t xml:space="preserve">a </w:t>
      </w:r>
      <w:r>
        <w:t>comprehensive f</w:t>
      </w:r>
      <w:r w:rsidR="00536A61">
        <w:t>oot exam</w:t>
      </w:r>
      <w:r w:rsidR="00C07A20">
        <w:t xml:space="preserve"> should be performed at least once a year o</w:t>
      </w:r>
      <w:r w:rsidR="00536A61">
        <w:t xml:space="preserve">n all patients with diabetes. </w:t>
      </w:r>
      <w:r w:rsidR="00CB77DC">
        <w:t xml:space="preserve"> </w:t>
      </w:r>
      <w:r w:rsidR="004D0431">
        <w:t>A</w:t>
      </w:r>
      <w:r w:rsidR="00536A61">
        <w:t>ddition</w:t>
      </w:r>
      <w:r w:rsidR="004D0431">
        <w:t>ally</w:t>
      </w:r>
      <w:r w:rsidR="00536A61">
        <w:t>,</w:t>
      </w:r>
      <w:r w:rsidR="00405EED">
        <w:t xml:space="preserve"> a foot screening should be </w:t>
      </w:r>
      <w:r w:rsidR="004D0431">
        <w:t>completed</w:t>
      </w:r>
      <w:r>
        <w:t xml:space="preserve"> </w:t>
      </w:r>
      <w:r w:rsidR="00DB4B1E">
        <w:t>o</w:t>
      </w:r>
      <w:r w:rsidR="00C07A20">
        <w:t xml:space="preserve">n patients with risk factors such as a history of a previous foot ulcers, </w:t>
      </w:r>
      <w:r>
        <w:t>defor</w:t>
      </w:r>
      <w:r w:rsidR="00C07A20">
        <w:t>mities, vascular disease, or neuropathy</w:t>
      </w:r>
      <w:r w:rsidR="00405EED">
        <w:t xml:space="preserve"> at every visit</w:t>
      </w:r>
      <w:r>
        <w:t xml:space="preserve"> (A</w:t>
      </w:r>
      <w:r w:rsidR="00405EED">
        <w:t>DA, 2018).</w:t>
      </w:r>
      <w:r w:rsidR="008508E3">
        <w:t xml:space="preserve"> </w:t>
      </w:r>
      <w:r w:rsidR="00CB77DC">
        <w:t xml:space="preserve"> </w:t>
      </w:r>
      <w:r w:rsidR="00405EED">
        <w:t>In order to be cons</w:t>
      </w:r>
      <w:r w:rsidR="00DB4B1E">
        <w:t>idered comprehensive and meet standard requirements</w:t>
      </w:r>
      <w:r w:rsidR="00405EED">
        <w:t>, a foot exam should include a</w:t>
      </w:r>
      <w:r w:rsidR="00A76B0C">
        <w:t xml:space="preserve">ll </w:t>
      </w:r>
      <w:r w:rsidR="00405EED">
        <w:t>components listed below</w:t>
      </w:r>
      <w:r>
        <w:t>:</w:t>
      </w:r>
    </w:p>
    <w:p w:rsidR="005A389E" w:rsidRDefault="005A389E" w:rsidP="00B11B34">
      <w:pPr>
        <w:pStyle w:val="Default"/>
        <w:numPr>
          <w:ilvl w:val="0"/>
          <w:numId w:val="1"/>
        </w:numPr>
        <w:spacing w:line="360" w:lineRule="auto"/>
        <w:jc w:val="both"/>
      </w:pPr>
      <w:r>
        <w:t>Inspection of skin integrity</w:t>
      </w:r>
    </w:p>
    <w:p w:rsidR="005A389E" w:rsidRDefault="005A389E" w:rsidP="00B11B34">
      <w:pPr>
        <w:pStyle w:val="Default"/>
        <w:numPr>
          <w:ilvl w:val="0"/>
          <w:numId w:val="1"/>
        </w:numPr>
        <w:spacing w:after="27" w:line="360" w:lineRule="auto"/>
        <w:jc w:val="both"/>
      </w:pPr>
      <w:r>
        <w:t>Assessment of foot deformities</w:t>
      </w:r>
    </w:p>
    <w:p w:rsidR="005A389E" w:rsidRDefault="005A389E" w:rsidP="00B11B34">
      <w:pPr>
        <w:pStyle w:val="Default"/>
        <w:numPr>
          <w:ilvl w:val="0"/>
          <w:numId w:val="1"/>
        </w:numPr>
        <w:spacing w:after="27" w:line="360" w:lineRule="auto"/>
        <w:jc w:val="both"/>
      </w:pPr>
      <w:r>
        <w:t>Vascular assessment</w:t>
      </w:r>
    </w:p>
    <w:p w:rsidR="00447C6B" w:rsidRDefault="005A389E" w:rsidP="00B11B34">
      <w:pPr>
        <w:pStyle w:val="Default"/>
        <w:numPr>
          <w:ilvl w:val="0"/>
          <w:numId w:val="1"/>
        </w:numPr>
        <w:spacing w:after="240" w:line="360" w:lineRule="auto"/>
        <w:jc w:val="both"/>
      </w:pPr>
      <w:r>
        <w:t>Neurological exam</w:t>
      </w:r>
    </w:p>
    <w:p w:rsidR="00F57066" w:rsidRPr="00A76B0C" w:rsidRDefault="00536A61" w:rsidP="00B11B34">
      <w:pPr>
        <w:pStyle w:val="Default"/>
        <w:spacing w:line="360" w:lineRule="auto"/>
        <w:jc w:val="both"/>
      </w:pPr>
      <w:r>
        <w:t xml:space="preserve">A complete assessment </w:t>
      </w:r>
      <w:r w:rsidR="00DB4B1E">
        <w:t>is important as defic</w:t>
      </w:r>
      <w:r w:rsidR="00CB77DC">
        <w:t>iency</w:t>
      </w:r>
      <w:r w:rsidR="00DB4B1E">
        <w:t xml:space="preserve"> in any category</w:t>
      </w:r>
      <w:r w:rsidR="00446F1F">
        <w:t xml:space="preserve"> c</w:t>
      </w:r>
      <w:r w:rsidR="00CB77DC">
        <w:t>ould</w:t>
      </w:r>
      <w:r w:rsidR="00446F1F">
        <w:t xml:space="preserve"> put a patient with diabetes at </w:t>
      </w:r>
      <w:r w:rsidR="00A95FB5">
        <w:t xml:space="preserve">a </w:t>
      </w:r>
      <w:r w:rsidR="00446F1F">
        <w:t>higher risk for developing an ulcer or pote</w:t>
      </w:r>
      <w:r w:rsidR="00DB4B1E">
        <w:t xml:space="preserve">ntially </w:t>
      </w:r>
      <w:r>
        <w:t>accelerate the path</w:t>
      </w:r>
      <w:r w:rsidR="00D35B97">
        <w:t xml:space="preserve"> </w:t>
      </w:r>
      <w:r w:rsidR="00DB4B1E">
        <w:t>towards</w:t>
      </w:r>
      <w:r w:rsidR="00446F1F">
        <w:t xml:space="preserve"> amputation.</w:t>
      </w:r>
    </w:p>
    <w:p w:rsidR="00F02989" w:rsidRDefault="00F02989" w:rsidP="00B11B34">
      <w:pPr>
        <w:pStyle w:val="Default"/>
        <w:spacing w:line="360" w:lineRule="auto"/>
        <w:jc w:val="both"/>
        <w:rPr>
          <w:b/>
        </w:rPr>
      </w:pPr>
    </w:p>
    <w:p w:rsidR="00E62F3B" w:rsidRPr="00003415" w:rsidRDefault="00E62F3B" w:rsidP="00B11B34">
      <w:pPr>
        <w:pStyle w:val="Default"/>
        <w:spacing w:line="360" w:lineRule="auto"/>
        <w:jc w:val="both"/>
        <w:rPr>
          <w:b/>
        </w:rPr>
      </w:pPr>
      <w:r w:rsidRPr="00003415">
        <w:rPr>
          <w:b/>
        </w:rPr>
        <w:t xml:space="preserve">Patient </w:t>
      </w:r>
      <w:r w:rsidR="007744B7" w:rsidRPr="00003415">
        <w:rPr>
          <w:b/>
        </w:rPr>
        <w:t xml:space="preserve">Characteristics </w:t>
      </w:r>
    </w:p>
    <w:p w:rsidR="002228E9" w:rsidRDefault="000D5534" w:rsidP="00B11B34">
      <w:pPr>
        <w:pStyle w:val="Default"/>
        <w:spacing w:line="360" w:lineRule="auto"/>
        <w:jc w:val="both"/>
        <w:rPr>
          <w:szCs w:val="28"/>
        </w:rPr>
      </w:pPr>
      <w:r>
        <w:rPr>
          <w:szCs w:val="28"/>
        </w:rPr>
        <w:tab/>
      </w:r>
      <w:r w:rsidR="00A66C4A">
        <w:rPr>
          <w:szCs w:val="28"/>
        </w:rPr>
        <w:t xml:space="preserve">There are several characteristics </w:t>
      </w:r>
      <w:r w:rsidR="005925FC">
        <w:rPr>
          <w:szCs w:val="28"/>
        </w:rPr>
        <w:t>of</w:t>
      </w:r>
      <w:r w:rsidR="00A66C4A">
        <w:rPr>
          <w:szCs w:val="28"/>
        </w:rPr>
        <w:t xml:space="preserve"> pat</w:t>
      </w:r>
      <w:r w:rsidR="00536A61">
        <w:rPr>
          <w:szCs w:val="28"/>
        </w:rPr>
        <w:t xml:space="preserve">ients with diabetes that may increase their risk </w:t>
      </w:r>
      <w:r w:rsidR="00A66C4A">
        <w:rPr>
          <w:szCs w:val="28"/>
        </w:rPr>
        <w:t xml:space="preserve">for health disparities. </w:t>
      </w:r>
      <w:bookmarkStart w:id="3" w:name="_Hlk54253297"/>
      <w:r w:rsidR="00B90DFA" w:rsidRPr="00E90725">
        <w:rPr>
          <w:szCs w:val="28"/>
        </w:rPr>
        <w:t>Socially disadvantaged individuals, as defined by Federal law 13 CFR 124.103,</w:t>
      </w:r>
      <w:r w:rsidR="000D151A" w:rsidRPr="00075D1B">
        <w:rPr>
          <w:szCs w:val="28"/>
        </w:rPr>
        <w:t xml:space="preserve"> are individuals</w:t>
      </w:r>
      <w:r w:rsidR="00B90DFA" w:rsidRPr="00075D1B">
        <w:rPr>
          <w:szCs w:val="28"/>
        </w:rPr>
        <w:t xml:space="preserve"> </w:t>
      </w:r>
      <w:r w:rsidR="00EB049D" w:rsidRPr="00075D1B">
        <w:rPr>
          <w:szCs w:val="28"/>
        </w:rPr>
        <w:t>who</w:t>
      </w:r>
      <w:r w:rsidR="000D151A" w:rsidRPr="00075D1B">
        <w:rPr>
          <w:szCs w:val="28"/>
        </w:rPr>
        <w:t xml:space="preserve"> have been </w:t>
      </w:r>
      <w:r w:rsidR="00B90DFA" w:rsidRPr="00075D1B">
        <w:rPr>
          <w:szCs w:val="28"/>
        </w:rPr>
        <w:t>subjected to racial</w:t>
      </w:r>
      <w:r w:rsidR="000D151A" w:rsidRPr="00075D1B">
        <w:rPr>
          <w:szCs w:val="28"/>
        </w:rPr>
        <w:t>,</w:t>
      </w:r>
      <w:r w:rsidR="00B90DFA" w:rsidRPr="00075D1B">
        <w:rPr>
          <w:szCs w:val="28"/>
        </w:rPr>
        <w:t xml:space="preserve"> ethnic prejudice</w:t>
      </w:r>
      <w:r w:rsidR="000D151A" w:rsidRPr="00E90725">
        <w:rPr>
          <w:szCs w:val="28"/>
        </w:rPr>
        <w:t xml:space="preserve">, or </w:t>
      </w:r>
      <w:r w:rsidR="00B90DFA" w:rsidRPr="00E90725">
        <w:rPr>
          <w:szCs w:val="28"/>
        </w:rPr>
        <w:t xml:space="preserve">cultural bias </w:t>
      </w:r>
      <w:r w:rsidR="00853651" w:rsidRPr="00E90725">
        <w:rPr>
          <w:szCs w:val="28"/>
        </w:rPr>
        <w:t>because</w:t>
      </w:r>
      <w:r w:rsidR="000D151A" w:rsidRPr="00E90725">
        <w:rPr>
          <w:szCs w:val="28"/>
        </w:rPr>
        <w:t xml:space="preserve"> they identify with a particular </w:t>
      </w:r>
      <w:r w:rsidR="00B90DFA" w:rsidRPr="00E90725">
        <w:rPr>
          <w:szCs w:val="28"/>
        </w:rPr>
        <w:t>group</w:t>
      </w:r>
      <w:r w:rsidR="00853651" w:rsidRPr="00E90725">
        <w:rPr>
          <w:szCs w:val="28"/>
        </w:rPr>
        <w:t>,</w:t>
      </w:r>
      <w:r w:rsidR="000D151A" w:rsidRPr="00E90725">
        <w:rPr>
          <w:szCs w:val="28"/>
        </w:rPr>
        <w:t xml:space="preserve"> with no </w:t>
      </w:r>
      <w:r w:rsidR="00B90DFA" w:rsidRPr="00E90725">
        <w:rPr>
          <w:szCs w:val="28"/>
        </w:rPr>
        <w:t>regard</w:t>
      </w:r>
      <w:r w:rsidR="00922C22" w:rsidRPr="00E90725">
        <w:rPr>
          <w:szCs w:val="28"/>
        </w:rPr>
        <w:t xml:space="preserve"> to</w:t>
      </w:r>
      <w:r w:rsidR="000D151A" w:rsidRPr="00E90725">
        <w:rPr>
          <w:szCs w:val="28"/>
        </w:rPr>
        <w:t xml:space="preserve"> the</w:t>
      </w:r>
      <w:r w:rsidR="00922C22" w:rsidRPr="00E90725">
        <w:rPr>
          <w:szCs w:val="28"/>
        </w:rPr>
        <w:t xml:space="preserve"> individual</w:t>
      </w:r>
      <w:r w:rsidR="000D151A" w:rsidRPr="00E90725">
        <w:rPr>
          <w:szCs w:val="28"/>
        </w:rPr>
        <w:t xml:space="preserve">’s </w:t>
      </w:r>
      <w:r w:rsidR="00922C22" w:rsidRPr="00E90725">
        <w:rPr>
          <w:szCs w:val="28"/>
        </w:rPr>
        <w:t>qualities</w:t>
      </w:r>
      <w:r w:rsidR="000D151A" w:rsidRPr="00E90725">
        <w:rPr>
          <w:szCs w:val="28"/>
        </w:rPr>
        <w:t xml:space="preserve"> or characteristics</w:t>
      </w:r>
      <w:bookmarkEnd w:id="3"/>
      <w:r w:rsidR="00853651">
        <w:rPr>
          <w:szCs w:val="28"/>
        </w:rPr>
        <w:t xml:space="preserve">. </w:t>
      </w:r>
      <w:bookmarkStart w:id="4" w:name="_Hlk54253353"/>
      <w:r w:rsidR="00853651">
        <w:rPr>
          <w:szCs w:val="28"/>
        </w:rPr>
        <w:t>In addition,</w:t>
      </w:r>
      <w:r w:rsidR="00603745">
        <w:rPr>
          <w:szCs w:val="28"/>
        </w:rPr>
        <w:t xml:space="preserve"> t</w:t>
      </w:r>
      <w:r w:rsidR="00853651">
        <w:rPr>
          <w:szCs w:val="28"/>
        </w:rPr>
        <w:t xml:space="preserve">heir </w:t>
      </w:r>
      <w:r w:rsidR="00B90DFA" w:rsidRPr="00AE5ECE">
        <w:rPr>
          <w:szCs w:val="28"/>
        </w:rPr>
        <w:t xml:space="preserve">social disadvantage </w:t>
      </w:r>
      <w:r w:rsidR="004C77B5">
        <w:rPr>
          <w:szCs w:val="28"/>
        </w:rPr>
        <w:t>arises due to</w:t>
      </w:r>
      <w:r w:rsidR="00922C22" w:rsidRPr="00AE5ECE">
        <w:rPr>
          <w:szCs w:val="28"/>
        </w:rPr>
        <w:t xml:space="preserve"> </w:t>
      </w:r>
      <w:r w:rsidR="00922C22" w:rsidRPr="00AE5ECE">
        <w:rPr>
          <w:szCs w:val="28"/>
        </w:rPr>
        <w:lastRenderedPageBreak/>
        <w:t xml:space="preserve">circumstances </w:t>
      </w:r>
      <w:r w:rsidR="00B90DFA" w:rsidRPr="00AE5ECE">
        <w:rPr>
          <w:szCs w:val="28"/>
        </w:rPr>
        <w:t xml:space="preserve">beyond </w:t>
      </w:r>
      <w:r w:rsidR="004C77B5">
        <w:rPr>
          <w:szCs w:val="28"/>
        </w:rPr>
        <w:t>his or her</w:t>
      </w:r>
      <w:r w:rsidR="00B90DFA" w:rsidRPr="00AE5ECE">
        <w:rPr>
          <w:szCs w:val="28"/>
        </w:rPr>
        <w:t xml:space="preserve"> control (</w:t>
      </w:r>
      <w:r w:rsidR="00641340" w:rsidRPr="00AE5ECE">
        <w:rPr>
          <w:szCs w:val="28"/>
        </w:rPr>
        <w:t>Business</w:t>
      </w:r>
      <w:r w:rsidR="00641340" w:rsidRPr="00641340">
        <w:rPr>
          <w:szCs w:val="28"/>
        </w:rPr>
        <w:t xml:space="preserve"> Credit and Assistance, 2016</w:t>
      </w:r>
      <w:r w:rsidR="00922C22" w:rsidRPr="00641340">
        <w:rPr>
          <w:szCs w:val="28"/>
        </w:rPr>
        <w:t>)</w:t>
      </w:r>
      <w:r w:rsidR="00B90DFA" w:rsidRPr="00641340">
        <w:rPr>
          <w:szCs w:val="28"/>
        </w:rPr>
        <w:t>.</w:t>
      </w:r>
      <w:r w:rsidR="008508E3">
        <w:rPr>
          <w:szCs w:val="28"/>
        </w:rPr>
        <w:t xml:space="preserve"> </w:t>
      </w:r>
      <w:r w:rsidR="00853651">
        <w:rPr>
          <w:szCs w:val="28"/>
        </w:rPr>
        <w:t xml:space="preserve"> </w:t>
      </w:r>
      <w:bookmarkEnd w:id="4"/>
      <w:r w:rsidR="00853651">
        <w:rPr>
          <w:szCs w:val="28"/>
        </w:rPr>
        <w:t xml:space="preserve">In other words, </w:t>
      </w:r>
      <w:r w:rsidR="0054176A">
        <w:rPr>
          <w:szCs w:val="28"/>
        </w:rPr>
        <w:t xml:space="preserve">when compared to their peers, </w:t>
      </w:r>
      <w:r w:rsidR="005F2779">
        <w:rPr>
          <w:szCs w:val="28"/>
        </w:rPr>
        <w:t>they may not receive th</w:t>
      </w:r>
      <w:r w:rsidR="00A83D30">
        <w:rPr>
          <w:szCs w:val="28"/>
        </w:rPr>
        <w:t>e same access or quality of services</w:t>
      </w:r>
      <w:r w:rsidR="005F2779">
        <w:rPr>
          <w:szCs w:val="28"/>
        </w:rPr>
        <w:t xml:space="preserve"> due to </w:t>
      </w:r>
      <w:r w:rsidR="009F413E">
        <w:rPr>
          <w:szCs w:val="28"/>
        </w:rPr>
        <w:t>un</w:t>
      </w:r>
      <w:r w:rsidR="00FD6F24">
        <w:rPr>
          <w:szCs w:val="28"/>
        </w:rPr>
        <w:t>con</w:t>
      </w:r>
      <w:r w:rsidR="00A83D30">
        <w:rPr>
          <w:szCs w:val="28"/>
        </w:rPr>
        <w:t>trol</w:t>
      </w:r>
      <w:r w:rsidR="009F413E">
        <w:rPr>
          <w:szCs w:val="28"/>
        </w:rPr>
        <w:t>lable elements</w:t>
      </w:r>
      <w:r w:rsidR="00676893">
        <w:rPr>
          <w:szCs w:val="28"/>
        </w:rPr>
        <w:t xml:space="preserve"> like race or age</w:t>
      </w:r>
      <w:r w:rsidR="00A83D30">
        <w:rPr>
          <w:szCs w:val="28"/>
        </w:rPr>
        <w:t>, irrespective of</w:t>
      </w:r>
      <w:r w:rsidR="00FD6F24">
        <w:rPr>
          <w:szCs w:val="28"/>
        </w:rPr>
        <w:t xml:space="preserve"> their personal choices</w:t>
      </w:r>
      <w:r w:rsidR="00A83D30">
        <w:rPr>
          <w:szCs w:val="28"/>
        </w:rPr>
        <w:t>.</w:t>
      </w:r>
      <w:r w:rsidR="00FD6F24">
        <w:rPr>
          <w:szCs w:val="28"/>
        </w:rPr>
        <w:t xml:space="preserve"> </w:t>
      </w:r>
      <w:r w:rsidR="00A66C4A">
        <w:rPr>
          <w:szCs w:val="28"/>
        </w:rPr>
        <w:t>Howev</w:t>
      </w:r>
      <w:r w:rsidR="00B92CCF">
        <w:rPr>
          <w:szCs w:val="28"/>
        </w:rPr>
        <w:t>er, if</w:t>
      </w:r>
      <w:r w:rsidR="00A83D30">
        <w:rPr>
          <w:szCs w:val="28"/>
        </w:rPr>
        <w:t xml:space="preserve"> their</w:t>
      </w:r>
      <w:r w:rsidR="00676893">
        <w:rPr>
          <w:szCs w:val="28"/>
        </w:rPr>
        <w:t xml:space="preserve"> specific </w:t>
      </w:r>
      <w:r w:rsidR="00A83D30">
        <w:rPr>
          <w:szCs w:val="28"/>
        </w:rPr>
        <w:t>medical needs were to be</w:t>
      </w:r>
      <w:r w:rsidR="00B92CCF">
        <w:rPr>
          <w:szCs w:val="28"/>
        </w:rPr>
        <w:t xml:space="preserve"> addressed in a timely manner, </w:t>
      </w:r>
      <w:r w:rsidR="00A83D30">
        <w:rPr>
          <w:szCs w:val="28"/>
        </w:rPr>
        <w:t xml:space="preserve">these </w:t>
      </w:r>
      <w:r w:rsidR="00B92CCF">
        <w:rPr>
          <w:szCs w:val="28"/>
        </w:rPr>
        <w:t xml:space="preserve">socially disadvantaged individuals </w:t>
      </w:r>
      <w:r w:rsidR="008D5375">
        <w:rPr>
          <w:szCs w:val="28"/>
        </w:rPr>
        <w:t xml:space="preserve">could </w:t>
      </w:r>
      <w:r w:rsidR="00610DE8">
        <w:rPr>
          <w:szCs w:val="28"/>
        </w:rPr>
        <w:t xml:space="preserve">better </w:t>
      </w:r>
      <w:r w:rsidR="00B92CCF">
        <w:rPr>
          <w:szCs w:val="28"/>
        </w:rPr>
        <w:t xml:space="preserve">control </w:t>
      </w:r>
      <w:r w:rsidR="00610DE8">
        <w:rPr>
          <w:szCs w:val="28"/>
        </w:rPr>
        <w:t xml:space="preserve">their </w:t>
      </w:r>
      <w:r w:rsidR="00B92CCF">
        <w:rPr>
          <w:szCs w:val="28"/>
        </w:rPr>
        <w:t>diabetes</w:t>
      </w:r>
      <w:r w:rsidR="00610DE8">
        <w:rPr>
          <w:szCs w:val="28"/>
        </w:rPr>
        <w:t xml:space="preserve">, mitigate progression, </w:t>
      </w:r>
      <w:r w:rsidR="00B92CCF">
        <w:rPr>
          <w:szCs w:val="28"/>
        </w:rPr>
        <w:t xml:space="preserve">and avoid complications. </w:t>
      </w:r>
      <w:r w:rsidR="001B37EF">
        <w:rPr>
          <w:szCs w:val="28"/>
        </w:rPr>
        <w:t xml:space="preserve">A study </w:t>
      </w:r>
      <w:r w:rsidR="00D773F1">
        <w:rPr>
          <w:szCs w:val="28"/>
        </w:rPr>
        <w:t xml:space="preserve">by </w:t>
      </w:r>
      <w:proofErr w:type="spellStart"/>
      <w:r w:rsidR="00D773F1" w:rsidRPr="00EF64AB">
        <w:rPr>
          <w:szCs w:val="28"/>
        </w:rPr>
        <w:t>Laiteerapong</w:t>
      </w:r>
      <w:proofErr w:type="spellEnd"/>
      <w:r w:rsidR="00D773F1">
        <w:rPr>
          <w:szCs w:val="28"/>
        </w:rPr>
        <w:t xml:space="preserve"> et al. </w:t>
      </w:r>
      <w:r w:rsidR="0081649C">
        <w:rPr>
          <w:szCs w:val="28"/>
        </w:rPr>
        <w:t xml:space="preserve">(2015) </w:t>
      </w:r>
      <w:r w:rsidR="00D773F1">
        <w:rPr>
          <w:szCs w:val="28"/>
        </w:rPr>
        <w:t xml:space="preserve">demonstrated that by setting </w:t>
      </w:r>
      <w:r w:rsidR="00D773F1" w:rsidRPr="00EF64AB">
        <w:rPr>
          <w:szCs w:val="28"/>
        </w:rPr>
        <w:t>individualized</w:t>
      </w:r>
      <w:r w:rsidR="00D5416B">
        <w:rPr>
          <w:szCs w:val="28"/>
        </w:rPr>
        <w:t>,</w:t>
      </w:r>
      <w:r w:rsidR="00D773F1" w:rsidRPr="00EF64AB">
        <w:rPr>
          <w:szCs w:val="28"/>
        </w:rPr>
        <w:t xml:space="preserve"> </w:t>
      </w:r>
      <w:r w:rsidR="001B37EF">
        <w:rPr>
          <w:szCs w:val="28"/>
        </w:rPr>
        <w:t>patient-specific goals,</w:t>
      </w:r>
      <w:r w:rsidR="00D773F1" w:rsidRPr="00EF64AB">
        <w:rPr>
          <w:szCs w:val="28"/>
        </w:rPr>
        <w:t xml:space="preserve"> disparities in diabetes </w:t>
      </w:r>
      <w:r w:rsidR="001B37EF">
        <w:rPr>
          <w:szCs w:val="28"/>
        </w:rPr>
        <w:t>care may be easier identified</w:t>
      </w:r>
      <w:r w:rsidR="00D5416B">
        <w:rPr>
          <w:szCs w:val="28"/>
        </w:rPr>
        <w:t>,</w:t>
      </w:r>
      <w:r w:rsidR="008D5375">
        <w:rPr>
          <w:szCs w:val="28"/>
        </w:rPr>
        <w:t xml:space="preserve"> as opposed to when</w:t>
      </w:r>
      <w:r w:rsidR="001B37EF">
        <w:rPr>
          <w:szCs w:val="28"/>
        </w:rPr>
        <w:t xml:space="preserve"> solely</w:t>
      </w:r>
      <w:r w:rsidR="00D773F1">
        <w:rPr>
          <w:szCs w:val="28"/>
        </w:rPr>
        <w:t xml:space="preserve"> standard outcome meas</w:t>
      </w:r>
      <w:r w:rsidR="001B37EF">
        <w:rPr>
          <w:szCs w:val="28"/>
        </w:rPr>
        <w:t xml:space="preserve">ures are monitored. </w:t>
      </w:r>
      <w:r w:rsidR="00816FB5">
        <w:rPr>
          <w:szCs w:val="28"/>
        </w:rPr>
        <w:t>By focusing goals around the specific person’s needs, k</w:t>
      </w:r>
      <w:r w:rsidR="00542AE0">
        <w:rPr>
          <w:szCs w:val="28"/>
        </w:rPr>
        <w:t xml:space="preserve">ey services could be identified to meet those needs </w:t>
      </w:r>
      <w:r w:rsidR="00676893">
        <w:rPr>
          <w:szCs w:val="28"/>
        </w:rPr>
        <w:t>instead of</w:t>
      </w:r>
      <w:r w:rsidR="00080776">
        <w:rPr>
          <w:szCs w:val="28"/>
        </w:rPr>
        <w:t xml:space="preserve"> </w:t>
      </w:r>
      <w:r w:rsidR="00610DE8">
        <w:rPr>
          <w:szCs w:val="28"/>
        </w:rPr>
        <w:t xml:space="preserve">using </w:t>
      </w:r>
      <w:r w:rsidR="00080776">
        <w:rPr>
          <w:szCs w:val="28"/>
        </w:rPr>
        <w:t>standardized serv</w:t>
      </w:r>
      <w:r w:rsidR="00676893">
        <w:rPr>
          <w:szCs w:val="28"/>
        </w:rPr>
        <w:t>ices that may or may not</w:t>
      </w:r>
      <w:r w:rsidR="008D5375">
        <w:rPr>
          <w:szCs w:val="28"/>
        </w:rPr>
        <w:t xml:space="preserve"> be relevant to</w:t>
      </w:r>
      <w:r w:rsidR="00676893">
        <w:rPr>
          <w:szCs w:val="28"/>
        </w:rPr>
        <w:t xml:space="preserve"> that</w:t>
      </w:r>
      <w:r w:rsidR="00080776">
        <w:rPr>
          <w:szCs w:val="28"/>
        </w:rPr>
        <w:t xml:space="preserve"> individual’s needs. </w:t>
      </w:r>
    </w:p>
    <w:p w:rsidR="007009E9" w:rsidRPr="008735C0" w:rsidRDefault="007009E9" w:rsidP="00B11B34">
      <w:pPr>
        <w:pStyle w:val="Default"/>
        <w:spacing w:line="360" w:lineRule="auto"/>
        <w:jc w:val="both"/>
        <w:rPr>
          <w:b/>
          <w:i/>
          <w:szCs w:val="28"/>
        </w:rPr>
      </w:pPr>
      <w:r w:rsidRPr="008735C0">
        <w:rPr>
          <w:b/>
          <w:i/>
          <w:szCs w:val="28"/>
        </w:rPr>
        <w:t>Race</w:t>
      </w:r>
    </w:p>
    <w:p w:rsidR="007744B7" w:rsidRPr="00A016D3" w:rsidRDefault="00A00A63" w:rsidP="00B11B34">
      <w:pPr>
        <w:pStyle w:val="Default"/>
        <w:spacing w:line="360" w:lineRule="auto"/>
        <w:jc w:val="both"/>
        <w:rPr>
          <w:szCs w:val="28"/>
        </w:rPr>
      </w:pPr>
      <w:r>
        <w:rPr>
          <w:szCs w:val="28"/>
        </w:rPr>
        <w:tab/>
      </w:r>
      <w:bookmarkStart w:id="5" w:name="_Hlk54253412"/>
      <w:r w:rsidR="00631858" w:rsidRPr="00631858">
        <w:rPr>
          <w:szCs w:val="28"/>
        </w:rPr>
        <w:t>According to the Off</w:t>
      </w:r>
      <w:r w:rsidR="0081649C">
        <w:rPr>
          <w:szCs w:val="28"/>
        </w:rPr>
        <w:t>ice of Minority Health, African-</w:t>
      </w:r>
      <w:r w:rsidR="00631858" w:rsidRPr="00631858">
        <w:rPr>
          <w:szCs w:val="28"/>
        </w:rPr>
        <w:t xml:space="preserve">Americans are twice </w:t>
      </w:r>
      <w:r w:rsidR="00D8072F">
        <w:rPr>
          <w:szCs w:val="28"/>
        </w:rPr>
        <w:t>as likely as</w:t>
      </w:r>
      <w:r w:rsidR="00F27A22">
        <w:rPr>
          <w:szCs w:val="28"/>
        </w:rPr>
        <w:t xml:space="preserve"> </w:t>
      </w:r>
      <w:r w:rsidR="00631858" w:rsidRPr="00631858">
        <w:rPr>
          <w:szCs w:val="28"/>
        </w:rPr>
        <w:t>non-Hispanic White Americans to die from diabetes</w:t>
      </w:r>
      <w:r w:rsidR="00D8072F">
        <w:rPr>
          <w:szCs w:val="28"/>
        </w:rPr>
        <w:t xml:space="preserve"> and </w:t>
      </w:r>
      <w:r w:rsidR="00610DE8">
        <w:rPr>
          <w:szCs w:val="28"/>
        </w:rPr>
        <w:t>at higher risk</w:t>
      </w:r>
      <w:r w:rsidR="004458D1" w:rsidRPr="004458D1">
        <w:rPr>
          <w:szCs w:val="28"/>
        </w:rPr>
        <w:t xml:space="preserve"> to </w:t>
      </w:r>
      <w:r w:rsidR="00726BE4">
        <w:rPr>
          <w:szCs w:val="28"/>
        </w:rPr>
        <w:t>develop</w:t>
      </w:r>
      <w:r w:rsidR="004458D1" w:rsidRPr="004458D1">
        <w:rPr>
          <w:szCs w:val="28"/>
        </w:rPr>
        <w:t xml:space="preserve"> </w:t>
      </w:r>
      <w:r w:rsidR="00726BE4">
        <w:rPr>
          <w:szCs w:val="28"/>
        </w:rPr>
        <w:t>complications</w:t>
      </w:r>
      <w:r w:rsidR="004458D1" w:rsidRPr="004458D1">
        <w:rPr>
          <w:szCs w:val="28"/>
        </w:rPr>
        <w:t xml:space="preserve"> such as </w:t>
      </w:r>
      <w:r w:rsidR="000F3D96">
        <w:rPr>
          <w:szCs w:val="28"/>
        </w:rPr>
        <w:t>loss of vision due to diabetic retinopathy,</w:t>
      </w:r>
      <w:r w:rsidR="0081649C">
        <w:rPr>
          <w:szCs w:val="28"/>
        </w:rPr>
        <w:t xml:space="preserve"> </w:t>
      </w:r>
      <w:r w:rsidR="00FA6A3B">
        <w:rPr>
          <w:szCs w:val="28"/>
        </w:rPr>
        <w:t>end-stage renal disease</w:t>
      </w:r>
      <w:r w:rsidR="00726BE4" w:rsidRPr="00726BE4">
        <w:rPr>
          <w:szCs w:val="28"/>
        </w:rPr>
        <w:t xml:space="preserve"> which requires dialysis to filter blood of toxins,</w:t>
      </w:r>
      <w:r w:rsidR="00726BE4">
        <w:rPr>
          <w:szCs w:val="28"/>
        </w:rPr>
        <w:t xml:space="preserve"> </w:t>
      </w:r>
      <w:r w:rsidR="004458D1" w:rsidRPr="004458D1">
        <w:rPr>
          <w:szCs w:val="28"/>
        </w:rPr>
        <w:t>and lower extremity amputation</w:t>
      </w:r>
      <w:r w:rsidR="004458D1">
        <w:rPr>
          <w:szCs w:val="28"/>
        </w:rPr>
        <w:t xml:space="preserve">s </w:t>
      </w:r>
      <w:r w:rsidR="00631858" w:rsidRPr="00631858">
        <w:rPr>
          <w:szCs w:val="28"/>
        </w:rPr>
        <w:t>(Bates, 2015).</w:t>
      </w:r>
      <w:r w:rsidR="008508E3">
        <w:rPr>
          <w:szCs w:val="28"/>
        </w:rPr>
        <w:t xml:space="preserve"> </w:t>
      </w:r>
      <w:r w:rsidR="00145077">
        <w:rPr>
          <w:szCs w:val="28"/>
        </w:rPr>
        <w:t xml:space="preserve"> </w:t>
      </w:r>
      <w:r w:rsidR="00B124EF">
        <w:rPr>
          <w:szCs w:val="28"/>
        </w:rPr>
        <w:t>A</w:t>
      </w:r>
      <w:bookmarkEnd w:id="5"/>
      <w:r w:rsidR="00B124EF">
        <w:rPr>
          <w:szCs w:val="28"/>
        </w:rPr>
        <w:t xml:space="preserve"> study done in 2014, </w:t>
      </w:r>
      <w:r w:rsidR="00C43701">
        <w:rPr>
          <w:szCs w:val="28"/>
        </w:rPr>
        <w:t>“</w:t>
      </w:r>
      <w:r w:rsidR="00167BE3" w:rsidRPr="00C43701">
        <w:rPr>
          <w:szCs w:val="28"/>
        </w:rPr>
        <w:t>C</w:t>
      </w:r>
      <w:r w:rsidR="00B124EF" w:rsidRPr="00C43701">
        <w:rPr>
          <w:szCs w:val="28"/>
        </w:rPr>
        <w:t>ross-site evaluation of the Alliance to Reduce Disparities in Diabetes: clinical and patient-reported outcomes</w:t>
      </w:r>
      <w:r w:rsidR="00C43701">
        <w:rPr>
          <w:szCs w:val="28"/>
        </w:rPr>
        <w:t>”</w:t>
      </w:r>
      <w:r w:rsidR="00B124EF">
        <w:rPr>
          <w:szCs w:val="28"/>
        </w:rPr>
        <w:t xml:space="preserve">, </w:t>
      </w:r>
      <w:r w:rsidR="00676893">
        <w:rPr>
          <w:szCs w:val="28"/>
        </w:rPr>
        <w:t>demonstrate</w:t>
      </w:r>
      <w:r w:rsidR="00610DE8">
        <w:rPr>
          <w:szCs w:val="28"/>
        </w:rPr>
        <w:t>d</w:t>
      </w:r>
      <w:r w:rsidR="00676893">
        <w:rPr>
          <w:szCs w:val="28"/>
        </w:rPr>
        <w:t xml:space="preserve"> that </w:t>
      </w:r>
      <w:r w:rsidR="00B124EF">
        <w:t>t</w:t>
      </w:r>
      <w:r w:rsidR="001F2E60">
        <w:t xml:space="preserve">he risk of </w:t>
      </w:r>
      <w:r w:rsidR="00B124EF">
        <w:t>be</w:t>
      </w:r>
      <w:r w:rsidR="00610BE1">
        <w:t>ing</w:t>
      </w:r>
      <w:r w:rsidR="00B124EF">
        <w:t xml:space="preserve"> </w:t>
      </w:r>
      <w:r w:rsidR="001F2E60">
        <w:t xml:space="preserve">diagnosed </w:t>
      </w:r>
      <w:r w:rsidR="00B124EF">
        <w:t xml:space="preserve">with </w:t>
      </w:r>
      <w:r w:rsidR="001F2E60">
        <w:t>diabetes</w:t>
      </w:r>
      <w:r w:rsidR="00B124EF">
        <w:t xml:space="preserve"> for</w:t>
      </w:r>
      <w:r w:rsidR="0079568E">
        <w:t xml:space="preserve"> Asian-</w:t>
      </w:r>
      <w:r w:rsidR="001F2E60">
        <w:t>Americans, Hispanics, and non-Hispanic Blacks</w:t>
      </w:r>
      <w:r w:rsidR="00B124EF">
        <w:t xml:space="preserve"> ranged between 1.2 to 1.8 times higher than </w:t>
      </w:r>
      <w:r w:rsidR="0079568E">
        <w:t xml:space="preserve">for </w:t>
      </w:r>
      <w:r w:rsidR="002B7953">
        <w:t>their</w:t>
      </w:r>
      <w:r w:rsidR="00B124EF">
        <w:t xml:space="preserve"> non-Hispanic White counterparts</w:t>
      </w:r>
      <w:r w:rsidR="001F2E60">
        <w:t xml:space="preserve">. </w:t>
      </w:r>
      <w:r w:rsidR="00E67E1C">
        <w:t xml:space="preserve"> </w:t>
      </w:r>
      <w:r w:rsidR="00B124EF">
        <w:t xml:space="preserve">For those of </w:t>
      </w:r>
      <w:r w:rsidR="001F2E60">
        <w:t xml:space="preserve">American Indian and Alaska Native </w:t>
      </w:r>
      <w:r w:rsidR="00B124EF">
        <w:t>heritage, the</w:t>
      </w:r>
      <w:r w:rsidR="001F2E60">
        <w:t xml:space="preserve"> </w:t>
      </w:r>
      <w:r w:rsidR="009E7F19">
        <w:t>prevalence of</w:t>
      </w:r>
      <w:r w:rsidR="00B22A21">
        <w:t xml:space="preserve"> diabetes </w:t>
      </w:r>
      <w:r w:rsidR="00B124EF">
        <w:t>is approximately 16% of the</w:t>
      </w:r>
      <w:r w:rsidR="00FC6928">
        <w:t>ir</w:t>
      </w:r>
      <w:r w:rsidR="00B124EF">
        <w:t xml:space="preserve"> population</w:t>
      </w:r>
      <w:r w:rsidR="001F2E60">
        <w:t xml:space="preserve"> (</w:t>
      </w:r>
      <w:r w:rsidR="00857B38">
        <w:t>Lewis, 201</w:t>
      </w:r>
      <w:r w:rsidR="00E7583B">
        <w:t>4</w:t>
      </w:r>
      <w:r w:rsidR="001F2E60">
        <w:t>)</w:t>
      </w:r>
      <w:r w:rsidR="0079568E">
        <w:t xml:space="preserve">, </w:t>
      </w:r>
      <w:r w:rsidR="0079568E" w:rsidRPr="002B7953">
        <w:rPr>
          <w:color w:val="auto"/>
        </w:rPr>
        <w:t>contrasting with a</w:t>
      </w:r>
      <w:r w:rsidR="002B7953" w:rsidRPr="002B7953">
        <w:rPr>
          <w:color w:val="auto"/>
        </w:rPr>
        <w:t xml:space="preserve">n overall </w:t>
      </w:r>
      <w:r w:rsidR="009E7F19">
        <w:rPr>
          <w:color w:val="auto"/>
        </w:rPr>
        <w:t xml:space="preserve">prevalence </w:t>
      </w:r>
      <w:r w:rsidR="002B7953" w:rsidRPr="002B7953">
        <w:rPr>
          <w:color w:val="auto"/>
        </w:rPr>
        <w:t>in the US of 9.4</w:t>
      </w:r>
      <w:r w:rsidR="0079568E" w:rsidRPr="002B7953">
        <w:rPr>
          <w:color w:val="auto"/>
        </w:rPr>
        <w:t>%</w:t>
      </w:r>
      <w:r w:rsidR="002B7953" w:rsidRPr="002B7953">
        <w:rPr>
          <w:color w:val="auto"/>
        </w:rPr>
        <w:t xml:space="preserve"> (ADA, N/A)</w:t>
      </w:r>
      <w:r w:rsidR="001F2E60" w:rsidRPr="002B7953">
        <w:rPr>
          <w:color w:val="auto"/>
        </w:rPr>
        <w:t>.</w:t>
      </w:r>
      <w:r w:rsidR="00B22A21">
        <w:t xml:space="preserve">  </w:t>
      </w:r>
      <w:r w:rsidR="00B92CCF">
        <w:rPr>
          <w:szCs w:val="28"/>
        </w:rPr>
        <w:t xml:space="preserve"> </w:t>
      </w:r>
      <w:r w:rsidR="00B22A21">
        <w:rPr>
          <w:szCs w:val="28"/>
        </w:rPr>
        <w:t>Lastly, a</w:t>
      </w:r>
      <w:r w:rsidR="00B92CCF">
        <w:rPr>
          <w:szCs w:val="28"/>
        </w:rPr>
        <w:t xml:space="preserve">nother </w:t>
      </w:r>
      <w:r w:rsidR="00F27A22">
        <w:rPr>
          <w:szCs w:val="28"/>
        </w:rPr>
        <w:t xml:space="preserve">study </w:t>
      </w:r>
      <w:r w:rsidR="006E6627">
        <w:rPr>
          <w:szCs w:val="28"/>
        </w:rPr>
        <w:t>controlling for key variables, such as health insurance status, race, and gender</w:t>
      </w:r>
      <w:r w:rsidR="00610DE8">
        <w:rPr>
          <w:szCs w:val="28"/>
        </w:rPr>
        <w:t>,</w:t>
      </w:r>
      <w:r w:rsidR="006E6627">
        <w:rPr>
          <w:szCs w:val="28"/>
        </w:rPr>
        <w:t xml:space="preserve"> </w:t>
      </w:r>
      <w:r w:rsidR="0026740D">
        <w:rPr>
          <w:szCs w:val="28"/>
        </w:rPr>
        <w:t>demonstrated that</w:t>
      </w:r>
      <w:r w:rsidR="00B22A21">
        <w:rPr>
          <w:szCs w:val="28"/>
        </w:rPr>
        <w:t xml:space="preserve"> a patient’s race</w:t>
      </w:r>
      <w:r w:rsidR="0026740D">
        <w:rPr>
          <w:szCs w:val="28"/>
        </w:rPr>
        <w:t xml:space="preserve"> </w:t>
      </w:r>
      <w:r w:rsidR="004C66EA">
        <w:rPr>
          <w:szCs w:val="28"/>
        </w:rPr>
        <w:t>was associated with</w:t>
      </w:r>
      <w:r w:rsidR="006E6627">
        <w:rPr>
          <w:szCs w:val="28"/>
        </w:rPr>
        <w:t xml:space="preserve"> the</w:t>
      </w:r>
      <w:r w:rsidR="00631858" w:rsidRPr="00631858">
        <w:rPr>
          <w:szCs w:val="28"/>
        </w:rPr>
        <w:t xml:space="preserve"> </w:t>
      </w:r>
      <w:r w:rsidR="006E6627">
        <w:rPr>
          <w:szCs w:val="28"/>
        </w:rPr>
        <w:t xml:space="preserve">type and level of </w:t>
      </w:r>
      <w:r w:rsidR="00631858" w:rsidRPr="00631858">
        <w:rPr>
          <w:szCs w:val="28"/>
        </w:rPr>
        <w:t xml:space="preserve">preventive </w:t>
      </w:r>
      <w:r w:rsidR="006E6627">
        <w:rPr>
          <w:szCs w:val="28"/>
        </w:rPr>
        <w:t xml:space="preserve">care </w:t>
      </w:r>
      <w:r w:rsidR="00A21237">
        <w:rPr>
          <w:szCs w:val="28"/>
        </w:rPr>
        <w:t>certain groups of minorities received</w:t>
      </w:r>
      <w:r w:rsidR="00026204">
        <w:rPr>
          <w:szCs w:val="28"/>
        </w:rPr>
        <w:t>.</w:t>
      </w:r>
      <w:r w:rsidR="0019392B">
        <w:rPr>
          <w:szCs w:val="28"/>
        </w:rPr>
        <w:t xml:space="preserve"> </w:t>
      </w:r>
      <w:r w:rsidR="00E67E1C">
        <w:rPr>
          <w:szCs w:val="28"/>
        </w:rPr>
        <w:t xml:space="preserve"> </w:t>
      </w:r>
      <w:r w:rsidR="0019392B">
        <w:rPr>
          <w:szCs w:val="28"/>
        </w:rPr>
        <w:t xml:space="preserve">The gaps in preventative services could include </w:t>
      </w:r>
      <w:r w:rsidR="0019392B" w:rsidRPr="0019392B">
        <w:rPr>
          <w:szCs w:val="28"/>
        </w:rPr>
        <w:t>patient assessment</w:t>
      </w:r>
      <w:r w:rsidR="0019392B">
        <w:rPr>
          <w:szCs w:val="28"/>
        </w:rPr>
        <w:t>s</w:t>
      </w:r>
      <w:r w:rsidR="0019392B" w:rsidRPr="0019392B">
        <w:rPr>
          <w:szCs w:val="28"/>
        </w:rPr>
        <w:t xml:space="preserve">, </w:t>
      </w:r>
      <w:r w:rsidR="0019392B">
        <w:rPr>
          <w:szCs w:val="28"/>
        </w:rPr>
        <w:t xml:space="preserve">diabetes </w:t>
      </w:r>
      <w:r w:rsidR="0019392B" w:rsidRPr="0019392B">
        <w:rPr>
          <w:szCs w:val="28"/>
        </w:rPr>
        <w:t xml:space="preserve">education, </w:t>
      </w:r>
      <w:r w:rsidR="0019392B">
        <w:rPr>
          <w:szCs w:val="28"/>
        </w:rPr>
        <w:t xml:space="preserve">timely </w:t>
      </w:r>
      <w:r w:rsidR="0019392B" w:rsidRPr="0019392B">
        <w:rPr>
          <w:szCs w:val="28"/>
        </w:rPr>
        <w:t>referral</w:t>
      </w:r>
      <w:r w:rsidR="0019392B">
        <w:rPr>
          <w:szCs w:val="28"/>
        </w:rPr>
        <w:t xml:space="preserve"> to</w:t>
      </w:r>
      <w:r w:rsidR="00D776DA">
        <w:rPr>
          <w:szCs w:val="28"/>
        </w:rPr>
        <w:t xml:space="preserve"> a</w:t>
      </w:r>
      <w:r w:rsidR="0019392B">
        <w:rPr>
          <w:szCs w:val="28"/>
        </w:rPr>
        <w:t xml:space="preserve"> specialist</w:t>
      </w:r>
      <w:r w:rsidR="0019392B" w:rsidRPr="0019392B">
        <w:rPr>
          <w:szCs w:val="28"/>
        </w:rPr>
        <w:t>, and monitoring</w:t>
      </w:r>
      <w:r w:rsidR="0019392B">
        <w:rPr>
          <w:szCs w:val="28"/>
        </w:rPr>
        <w:t xml:space="preserve"> of </w:t>
      </w:r>
      <w:r w:rsidR="007D3DE2">
        <w:rPr>
          <w:szCs w:val="28"/>
        </w:rPr>
        <w:t xml:space="preserve">complications </w:t>
      </w:r>
      <w:r w:rsidR="00631858" w:rsidRPr="00631858">
        <w:rPr>
          <w:szCs w:val="28"/>
        </w:rPr>
        <w:t>(Pu, 2013).</w:t>
      </w:r>
      <w:r w:rsidR="008508E3">
        <w:rPr>
          <w:szCs w:val="28"/>
        </w:rPr>
        <w:t xml:space="preserve"> </w:t>
      </w:r>
    </w:p>
    <w:p w:rsidR="007744B7" w:rsidRDefault="008735C0" w:rsidP="00B11B34">
      <w:pPr>
        <w:pStyle w:val="Default"/>
        <w:spacing w:after="27" w:line="360" w:lineRule="auto"/>
        <w:jc w:val="both"/>
        <w:rPr>
          <w:b/>
          <w:i/>
          <w:szCs w:val="28"/>
        </w:rPr>
      </w:pPr>
      <w:r w:rsidRPr="008735C0">
        <w:rPr>
          <w:b/>
          <w:i/>
          <w:szCs w:val="28"/>
        </w:rPr>
        <w:t>Gender</w:t>
      </w:r>
    </w:p>
    <w:p w:rsidR="00C57094" w:rsidRDefault="004458D1" w:rsidP="00B11B34">
      <w:pPr>
        <w:pStyle w:val="Default"/>
        <w:spacing w:line="360" w:lineRule="auto"/>
        <w:jc w:val="both"/>
        <w:rPr>
          <w:szCs w:val="28"/>
        </w:rPr>
      </w:pPr>
      <w:r>
        <w:rPr>
          <w:szCs w:val="28"/>
        </w:rPr>
        <w:tab/>
      </w:r>
      <w:r w:rsidR="00B92CCF">
        <w:rPr>
          <w:szCs w:val="28"/>
        </w:rPr>
        <w:t>Gender can also play a role in effective diabetes management.</w:t>
      </w:r>
      <w:r w:rsidR="008508E3">
        <w:rPr>
          <w:szCs w:val="28"/>
        </w:rPr>
        <w:t xml:space="preserve"> </w:t>
      </w:r>
      <w:r w:rsidR="005A5844">
        <w:rPr>
          <w:szCs w:val="28"/>
        </w:rPr>
        <w:t xml:space="preserve"> </w:t>
      </w:r>
      <w:r w:rsidR="0001535A">
        <w:rPr>
          <w:szCs w:val="28"/>
        </w:rPr>
        <w:t xml:space="preserve">In a </w:t>
      </w:r>
      <w:r w:rsidR="00CC6437">
        <w:rPr>
          <w:szCs w:val="28"/>
        </w:rPr>
        <w:t>study</w:t>
      </w:r>
      <w:r w:rsidR="00D8072F" w:rsidRPr="00D8072F">
        <w:rPr>
          <w:szCs w:val="28"/>
        </w:rPr>
        <w:t xml:space="preserve"> by Yu</w:t>
      </w:r>
      <w:r w:rsidR="00CC6437">
        <w:rPr>
          <w:szCs w:val="28"/>
        </w:rPr>
        <w:t>,</w:t>
      </w:r>
      <w:r w:rsidR="00D8072F" w:rsidRPr="00D8072F">
        <w:rPr>
          <w:szCs w:val="28"/>
        </w:rPr>
        <w:t xml:space="preserve"> et </w:t>
      </w:r>
      <w:r w:rsidR="00AB522C">
        <w:rPr>
          <w:szCs w:val="28"/>
        </w:rPr>
        <w:t>a</w:t>
      </w:r>
      <w:r w:rsidR="00D8072F" w:rsidRPr="00D8072F">
        <w:rPr>
          <w:szCs w:val="28"/>
        </w:rPr>
        <w:t>l</w:t>
      </w:r>
      <w:r w:rsidR="00AB522C">
        <w:rPr>
          <w:szCs w:val="28"/>
        </w:rPr>
        <w:t>.</w:t>
      </w:r>
      <w:r w:rsidR="00883295">
        <w:rPr>
          <w:szCs w:val="28"/>
        </w:rPr>
        <w:t xml:space="preserve"> </w:t>
      </w:r>
      <w:r w:rsidR="001946C8">
        <w:rPr>
          <w:szCs w:val="28"/>
        </w:rPr>
        <w:t>(2013)</w:t>
      </w:r>
      <w:r w:rsidR="00D8072F" w:rsidRPr="00D8072F">
        <w:rPr>
          <w:szCs w:val="28"/>
        </w:rPr>
        <w:t xml:space="preserve">, women appeared to be more likely to adhere to a healthy diet and comply </w:t>
      </w:r>
      <w:r w:rsidR="00D8072F" w:rsidRPr="00D8072F">
        <w:rPr>
          <w:szCs w:val="28"/>
        </w:rPr>
        <w:lastRenderedPageBreak/>
        <w:t xml:space="preserve">with preventative self-care </w:t>
      </w:r>
      <w:r w:rsidR="00D776DA">
        <w:rPr>
          <w:szCs w:val="28"/>
        </w:rPr>
        <w:t>including</w:t>
      </w:r>
      <w:r w:rsidR="00D8072F" w:rsidRPr="00D8072F">
        <w:rPr>
          <w:szCs w:val="28"/>
        </w:rPr>
        <w:t xml:space="preserve"> daily foot exams. </w:t>
      </w:r>
      <w:r w:rsidR="00E67E1C">
        <w:rPr>
          <w:szCs w:val="28"/>
        </w:rPr>
        <w:t xml:space="preserve"> </w:t>
      </w:r>
      <w:r w:rsidR="00D8072F" w:rsidRPr="00D8072F">
        <w:rPr>
          <w:szCs w:val="28"/>
        </w:rPr>
        <w:t>However, m</w:t>
      </w:r>
      <w:r w:rsidR="0001535A">
        <w:rPr>
          <w:szCs w:val="28"/>
        </w:rPr>
        <w:t>en were more likely to exercise regularly</w:t>
      </w:r>
      <w:r w:rsidR="00F53648">
        <w:rPr>
          <w:szCs w:val="28"/>
        </w:rPr>
        <w:t xml:space="preserve"> and</w:t>
      </w:r>
      <w:r w:rsidR="0001535A">
        <w:rPr>
          <w:szCs w:val="28"/>
        </w:rPr>
        <w:t xml:space="preserve"> </w:t>
      </w:r>
      <w:r w:rsidR="00D8072F" w:rsidRPr="00D8072F">
        <w:rPr>
          <w:szCs w:val="28"/>
        </w:rPr>
        <w:t xml:space="preserve">have better </w:t>
      </w:r>
      <w:r w:rsidR="00D8072F" w:rsidRPr="00683E89">
        <w:rPr>
          <w:color w:val="auto"/>
          <w:szCs w:val="28"/>
        </w:rPr>
        <w:t>glycemic i</w:t>
      </w:r>
      <w:r w:rsidR="0001535A" w:rsidRPr="00683E89">
        <w:rPr>
          <w:color w:val="auto"/>
          <w:szCs w:val="28"/>
        </w:rPr>
        <w:t>ndex control</w:t>
      </w:r>
      <w:r w:rsidR="00683E89">
        <w:rPr>
          <w:color w:val="auto"/>
          <w:szCs w:val="28"/>
        </w:rPr>
        <w:t xml:space="preserve">, which is </w:t>
      </w:r>
      <w:r w:rsidR="00EC1512">
        <w:rPr>
          <w:color w:val="auto"/>
          <w:szCs w:val="28"/>
        </w:rPr>
        <w:t xml:space="preserve">the </w:t>
      </w:r>
      <w:r w:rsidR="00683E89">
        <w:rPr>
          <w:color w:val="auto"/>
          <w:szCs w:val="28"/>
        </w:rPr>
        <w:t>management of blood sugar</w:t>
      </w:r>
      <w:r w:rsidR="00E66353">
        <w:rPr>
          <w:color w:val="auto"/>
          <w:szCs w:val="28"/>
        </w:rPr>
        <w:t xml:space="preserve"> via dietary selections</w:t>
      </w:r>
      <w:r w:rsidR="0001535A" w:rsidRPr="00683E89">
        <w:rPr>
          <w:color w:val="auto"/>
          <w:szCs w:val="28"/>
        </w:rPr>
        <w:t xml:space="preserve"> </w:t>
      </w:r>
      <w:r w:rsidR="0001535A">
        <w:rPr>
          <w:szCs w:val="28"/>
        </w:rPr>
        <w:t>but</w:t>
      </w:r>
      <w:r w:rsidR="00D8072F" w:rsidRPr="00D8072F">
        <w:rPr>
          <w:szCs w:val="28"/>
        </w:rPr>
        <w:t xml:space="preserve"> were </w:t>
      </w:r>
      <w:r w:rsidR="0077100D">
        <w:rPr>
          <w:szCs w:val="28"/>
        </w:rPr>
        <w:t xml:space="preserve">also </w:t>
      </w:r>
      <w:r w:rsidR="00D8072F" w:rsidRPr="00D8072F">
        <w:rPr>
          <w:szCs w:val="28"/>
        </w:rPr>
        <w:t xml:space="preserve">less </w:t>
      </w:r>
      <w:r w:rsidR="00501A36">
        <w:rPr>
          <w:szCs w:val="28"/>
        </w:rPr>
        <w:t>compliant w</w:t>
      </w:r>
      <w:r w:rsidR="00D8072F" w:rsidRPr="00D8072F">
        <w:rPr>
          <w:szCs w:val="28"/>
        </w:rPr>
        <w:t>ith daily glucose monitoring (Yu, 2013).</w:t>
      </w:r>
      <w:r w:rsidR="000025E8">
        <w:rPr>
          <w:szCs w:val="28"/>
        </w:rPr>
        <w:t xml:space="preserve"> </w:t>
      </w:r>
      <w:r w:rsidR="00145077">
        <w:rPr>
          <w:szCs w:val="28"/>
        </w:rPr>
        <w:t xml:space="preserve"> </w:t>
      </w:r>
      <w:r w:rsidR="000025E8">
        <w:rPr>
          <w:szCs w:val="28"/>
        </w:rPr>
        <w:t>Me</w:t>
      </w:r>
      <w:r w:rsidR="004668D1">
        <w:rPr>
          <w:szCs w:val="28"/>
        </w:rPr>
        <w:t>n</w:t>
      </w:r>
      <w:r w:rsidR="00D049F8">
        <w:rPr>
          <w:szCs w:val="28"/>
        </w:rPr>
        <w:t>, particularly</w:t>
      </w:r>
      <w:r w:rsidR="0077100D">
        <w:rPr>
          <w:szCs w:val="28"/>
        </w:rPr>
        <w:t xml:space="preserve"> those</w:t>
      </w:r>
      <w:r w:rsidR="00D049F8">
        <w:rPr>
          <w:szCs w:val="28"/>
        </w:rPr>
        <w:t xml:space="preserve"> of </w:t>
      </w:r>
      <w:r w:rsidR="000025E8">
        <w:rPr>
          <w:szCs w:val="28"/>
        </w:rPr>
        <w:t>low</w:t>
      </w:r>
      <w:r w:rsidR="00372238">
        <w:rPr>
          <w:szCs w:val="28"/>
        </w:rPr>
        <w:t>-</w:t>
      </w:r>
      <w:r w:rsidR="000025E8">
        <w:rPr>
          <w:szCs w:val="28"/>
        </w:rPr>
        <w:t>inco</w:t>
      </w:r>
      <w:r w:rsidR="004668D1">
        <w:rPr>
          <w:szCs w:val="28"/>
        </w:rPr>
        <w:t>me populations</w:t>
      </w:r>
      <w:r w:rsidR="00D049F8">
        <w:rPr>
          <w:szCs w:val="28"/>
        </w:rPr>
        <w:t xml:space="preserve">, </w:t>
      </w:r>
      <w:r w:rsidR="006F05E2">
        <w:rPr>
          <w:szCs w:val="28"/>
        </w:rPr>
        <w:t>tend</w:t>
      </w:r>
      <w:r w:rsidR="000025E8">
        <w:rPr>
          <w:szCs w:val="28"/>
        </w:rPr>
        <w:t xml:space="preserve"> to have higher rate of alcohol use and</w:t>
      </w:r>
      <w:r w:rsidR="009B741E">
        <w:rPr>
          <w:szCs w:val="28"/>
        </w:rPr>
        <w:t xml:space="preserve"> smoking</w:t>
      </w:r>
      <w:r w:rsidR="000025E8">
        <w:rPr>
          <w:szCs w:val="28"/>
        </w:rPr>
        <w:t xml:space="preserve"> </w:t>
      </w:r>
      <w:r w:rsidR="004668D1">
        <w:rPr>
          <w:szCs w:val="28"/>
        </w:rPr>
        <w:t>which</w:t>
      </w:r>
      <w:r w:rsidR="00F53648">
        <w:rPr>
          <w:szCs w:val="28"/>
        </w:rPr>
        <w:t>,</w:t>
      </w:r>
      <w:r w:rsidR="004668D1">
        <w:rPr>
          <w:szCs w:val="28"/>
        </w:rPr>
        <w:t xml:space="preserve"> in turn</w:t>
      </w:r>
      <w:r w:rsidR="00F53648">
        <w:rPr>
          <w:szCs w:val="28"/>
        </w:rPr>
        <w:t>,</w:t>
      </w:r>
      <w:r w:rsidR="004668D1">
        <w:rPr>
          <w:szCs w:val="28"/>
        </w:rPr>
        <w:t xml:space="preserve"> results in an </w:t>
      </w:r>
      <w:r w:rsidR="000025E8">
        <w:rPr>
          <w:szCs w:val="28"/>
        </w:rPr>
        <w:t>increase</w:t>
      </w:r>
      <w:r w:rsidR="0077100D">
        <w:rPr>
          <w:szCs w:val="28"/>
        </w:rPr>
        <w:t>d</w:t>
      </w:r>
      <w:r w:rsidR="000025E8">
        <w:rPr>
          <w:szCs w:val="28"/>
        </w:rPr>
        <w:t xml:space="preserve"> risk of diabetes</w:t>
      </w:r>
      <w:r w:rsidR="004668D1">
        <w:rPr>
          <w:szCs w:val="28"/>
        </w:rPr>
        <w:t xml:space="preserve"> and diabetes</w:t>
      </w:r>
      <w:r w:rsidR="000025E8">
        <w:rPr>
          <w:szCs w:val="28"/>
        </w:rPr>
        <w:t xml:space="preserve"> complications</w:t>
      </w:r>
      <w:r w:rsidR="00676893">
        <w:rPr>
          <w:szCs w:val="28"/>
        </w:rPr>
        <w:t xml:space="preserve">. </w:t>
      </w:r>
      <w:r w:rsidR="00E67E1C">
        <w:rPr>
          <w:szCs w:val="28"/>
        </w:rPr>
        <w:t xml:space="preserve"> </w:t>
      </w:r>
      <w:r w:rsidR="0077100D">
        <w:rPr>
          <w:szCs w:val="28"/>
        </w:rPr>
        <w:t>Males also</w:t>
      </w:r>
      <w:r w:rsidR="009F6CF7">
        <w:rPr>
          <w:szCs w:val="28"/>
        </w:rPr>
        <w:t xml:space="preserve"> tend to</w:t>
      </w:r>
      <w:r w:rsidR="00A229C9">
        <w:rPr>
          <w:szCs w:val="28"/>
        </w:rPr>
        <w:t xml:space="preserve"> use primary</w:t>
      </w:r>
      <w:r w:rsidR="004668D1">
        <w:rPr>
          <w:szCs w:val="28"/>
        </w:rPr>
        <w:t xml:space="preserve"> care less frequently as they may be</w:t>
      </w:r>
      <w:r w:rsidR="00A229C9">
        <w:rPr>
          <w:szCs w:val="28"/>
        </w:rPr>
        <w:t xml:space="preserve"> less willing to miss work to seek care (Amir, 2014).</w:t>
      </w:r>
      <w:r w:rsidR="00E67E1C">
        <w:rPr>
          <w:szCs w:val="28"/>
        </w:rPr>
        <w:t xml:space="preserve">  </w:t>
      </w:r>
      <w:r w:rsidR="00B609C7">
        <w:rPr>
          <w:szCs w:val="28"/>
        </w:rPr>
        <w:t xml:space="preserve">If the rate of adverse outcomes related to </w:t>
      </w:r>
      <w:r w:rsidR="00B609C7" w:rsidRPr="00B609C7">
        <w:rPr>
          <w:szCs w:val="28"/>
        </w:rPr>
        <w:t xml:space="preserve">sex-specific differences </w:t>
      </w:r>
      <w:r w:rsidR="00501A36">
        <w:rPr>
          <w:szCs w:val="28"/>
        </w:rPr>
        <w:t xml:space="preserve">in </w:t>
      </w:r>
      <w:r w:rsidR="00B609C7">
        <w:rPr>
          <w:szCs w:val="28"/>
        </w:rPr>
        <w:t xml:space="preserve">diabetes care is to be decreased, </w:t>
      </w:r>
      <w:r w:rsidR="00C57094" w:rsidRPr="00C57094">
        <w:rPr>
          <w:szCs w:val="28"/>
        </w:rPr>
        <w:t xml:space="preserve">modifiable factors </w:t>
      </w:r>
      <w:r w:rsidR="00B609C7">
        <w:rPr>
          <w:szCs w:val="28"/>
        </w:rPr>
        <w:t>need to be identified</w:t>
      </w:r>
      <w:r w:rsidR="00C57094" w:rsidRPr="00C57094">
        <w:rPr>
          <w:szCs w:val="28"/>
        </w:rPr>
        <w:t xml:space="preserve"> </w:t>
      </w:r>
      <w:r w:rsidR="00B609C7">
        <w:rPr>
          <w:szCs w:val="28"/>
        </w:rPr>
        <w:t>so</w:t>
      </w:r>
      <w:r w:rsidR="0077100D">
        <w:rPr>
          <w:szCs w:val="28"/>
        </w:rPr>
        <w:t xml:space="preserve"> </w:t>
      </w:r>
      <w:r w:rsidR="00F53648">
        <w:rPr>
          <w:szCs w:val="28"/>
        </w:rPr>
        <w:t xml:space="preserve">that </w:t>
      </w:r>
      <w:r w:rsidR="00C57094" w:rsidRPr="00C57094">
        <w:rPr>
          <w:szCs w:val="28"/>
        </w:rPr>
        <w:t>strategies</w:t>
      </w:r>
      <w:r w:rsidR="00B609C7">
        <w:rPr>
          <w:szCs w:val="28"/>
        </w:rPr>
        <w:t xml:space="preserve"> can be developed</w:t>
      </w:r>
      <w:r w:rsidR="00C57094" w:rsidRPr="00C57094">
        <w:rPr>
          <w:szCs w:val="28"/>
        </w:rPr>
        <w:t xml:space="preserve"> to reduce sex-related health disparities (Yu, </w:t>
      </w:r>
      <w:r w:rsidR="00C57094">
        <w:rPr>
          <w:szCs w:val="28"/>
        </w:rPr>
        <w:t>2013).</w:t>
      </w:r>
      <w:r w:rsidR="008508E3">
        <w:rPr>
          <w:szCs w:val="28"/>
        </w:rPr>
        <w:t xml:space="preserve"> </w:t>
      </w:r>
      <w:r w:rsidR="00145077">
        <w:rPr>
          <w:szCs w:val="28"/>
        </w:rPr>
        <w:t xml:space="preserve"> </w:t>
      </w:r>
      <w:r w:rsidR="00E66353">
        <w:rPr>
          <w:szCs w:val="28"/>
        </w:rPr>
        <w:t>For example, if</w:t>
      </w:r>
      <w:r w:rsidR="0077100D">
        <w:rPr>
          <w:szCs w:val="28"/>
        </w:rPr>
        <w:t xml:space="preserve"> a</w:t>
      </w:r>
      <w:r w:rsidR="00E66353">
        <w:rPr>
          <w:szCs w:val="28"/>
        </w:rPr>
        <w:t xml:space="preserve"> data analysis show</w:t>
      </w:r>
      <w:r w:rsidR="0077100D">
        <w:rPr>
          <w:szCs w:val="28"/>
        </w:rPr>
        <w:t>s</w:t>
      </w:r>
      <w:r w:rsidR="00E66353">
        <w:rPr>
          <w:szCs w:val="28"/>
        </w:rPr>
        <w:t xml:space="preserve"> that men are at higher risk of not having a foot exam done during an office visit, this could prompt </w:t>
      </w:r>
      <w:r w:rsidR="00EC39C5">
        <w:rPr>
          <w:szCs w:val="28"/>
        </w:rPr>
        <w:t xml:space="preserve">an </w:t>
      </w:r>
      <w:r w:rsidR="00676893">
        <w:rPr>
          <w:szCs w:val="28"/>
        </w:rPr>
        <w:t xml:space="preserve">administrator </w:t>
      </w:r>
      <w:r w:rsidR="0039436B">
        <w:rPr>
          <w:szCs w:val="28"/>
        </w:rPr>
        <w:t xml:space="preserve">from agencies such as Health and Human Services or </w:t>
      </w:r>
      <w:r w:rsidR="0039436B" w:rsidRPr="0039436B">
        <w:rPr>
          <w:szCs w:val="28"/>
        </w:rPr>
        <w:t>National Institute of Diabetes and Digestive and Kidney Diseases</w:t>
      </w:r>
      <w:r w:rsidR="0039436B">
        <w:rPr>
          <w:szCs w:val="28"/>
        </w:rPr>
        <w:t xml:space="preserve"> </w:t>
      </w:r>
      <w:r w:rsidR="00676893">
        <w:rPr>
          <w:szCs w:val="28"/>
        </w:rPr>
        <w:t xml:space="preserve">to launch </w:t>
      </w:r>
      <w:r w:rsidR="00E66353">
        <w:rPr>
          <w:szCs w:val="28"/>
        </w:rPr>
        <w:t xml:space="preserve">a national education campaign targeted at males with diabetes </w:t>
      </w:r>
      <w:r w:rsidR="00FD0AD9">
        <w:rPr>
          <w:szCs w:val="28"/>
        </w:rPr>
        <w:t xml:space="preserve">on the importance of an annual provider foot exams. </w:t>
      </w:r>
      <w:r w:rsidR="006243A9">
        <w:rPr>
          <w:szCs w:val="28"/>
        </w:rPr>
        <w:t>Gender specific interventions may</w:t>
      </w:r>
      <w:r w:rsidR="00676893">
        <w:rPr>
          <w:szCs w:val="28"/>
        </w:rPr>
        <w:t xml:space="preserve"> also</w:t>
      </w:r>
      <w:r w:rsidR="006243A9">
        <w:rPr>
          <w:szCs w:val="28"/>
        </w:rPr>
        <w:t xml:space="preserve"> provide avenues for engaging patients in self-management and preventative diabetes care</w:t>
      </w:r>
      <w:r w:rsidR="00ED6142">
        <w:rPr>
          <w:szCs w:val="28"/>
        </w:rPr>
        <w:t xml:space="preserve"> when specifically tailored in their messaging based on sex. </w:t>
      </w:r>
    </w:p>
    <w:p w:rsidR="006C115F" w:rsidRDefault="008735C0" w:rsidP="00B11B34">
      <w:pPr>
        <w:pStyle w:val="Default"/>
        <w:spacing w:line="360" w:lineRule="auto"/>
        <w:jc w:val="both"/>
        <w:rPr>
          <w:szCs w:val="28"/>
        </w:rPr>
      </w:pPr>
      <w:r>
        <w:rPr>
          <w:b/>
          <w:i/>
          <w:szCs w:val="28"/>
        </w:rPr>
        <w:t xml:space="preserve">Socioeconomic Status </w:t>
      </w:r>
    </w:p>
    <w:p w:rsidR="005E4760" w:rsidRDefault="006C115F" w:rsidP="00B11B34">
      <w:pPr>
        <w:pStyle w:val="Default"/>
        <w:spacing w:line="360" w:lineRule="auto"/>
        <w:jc w:val="both"/>
      </w:pPr>
      <w:r>
        <w:rPr>
          <w:szCs w:val="28"/>
        </w:rPr>
        <w:tab/>
        <w:t>Low socioeconom</w:t>
      </w:r>
      <w:r w:rsidR="00501A36">
        <w:rPr>
          <w:szCs w:val="28"/>
        </w:rPr>
        <w:t xml:space="preserve">ic status </w:t>
      </w:r>
      <w:r w:rsidR="00ED6142">
        <w:rPr>
          <w:szCs w:val="28"/>
        </w:rPr>
        <w:t>was</w:t>
      </w:r>
      <w:r w:rsidR="00501A36">
        <w:rPr>
          <w:szCs w:val="28"/>
        </w:rPr>
        <w:t xml:space="preserve"> repeatedly</w:t>
      </w:r>
      <w:r>
        <w:rPr>
          <w:szCs w:val="28"/>
        </w:rPr>
        <w:t xml:space="preserve"> documented throughout literature as being a</w:t>
      </w:r>
      <w:r w:rsidR="0023595E">
        <w:rPr>
          <w:szCs w:val="28"/>
        </w:rPr>
        <w:t>ssociated with</w:t>
      </w:r>
      <w:r>
        <w:rPr>
          <w:szCs w:val="28"/>
        </w:rPr>
        <w:t xml:space="preserve"> </w:t>
      </w:r>
      <w:r w:rsidR="00676893">
        <w:rPr>
          <w:szCs w:val="28"/>
        </w:rPr>
        <w:t>poor health outcomes and</w:t>
      </w:r>
      <w:r>
        <w:rPr>
          <w:szCs w:val="28"/>
        </w:rPr>
        <w:t xml:space="preserve"> increased cost of care</w:t>
      </w:r>
      <w:r w:rsidR="00501A36">
        <w:rPr>
          <w:szCs w:val="28"/>
        </w:rPr>
        <w:t xml:space="preserve"> </w:t>
      </w:r>
      <w:r w:rsidR="007F76DB">
        <w:rPr>
          <w:szCs w:val="28"/>
        </w:rPr>
        <w:t>(</w:t>
      </w:r>
      <w:proofErr w:type="spellStart"/>
      <w:r w:rsidR="007F76DB" w:rsidRPr="007F76DB">
        <w:rPr>
          <w:szCs w:val="28"/>
        </w:rPr>
        <w:t>Kangovi</w:t>
      </w:r>
      <w:proofErr w:type="spellEnd"/>
      <w:r w:rsidR="007F76DB">
        <w:rPr>
          <w:szCs w:val="28"/>
        </w:rPr>
        <w:t>, 2013).</w:t>
      </w:r>
      <w:r w:rsidR="00501A36" w:rsidRPr="00501A36">
        <w:rPr>
          <w:color w:val="FF0000"/>
          <w:szCs w:val="28"/>
        </w:rPr>
        <w:t xml:space="preserve"> </w:t>
      </w:r>
      <w:r w:rsidR="009B741E" w:rsidRPr="00501A36">
        <w:rPr>
          <w:color w:val="FF0000"/>
          <w:szCs w:val="28"/>
        </w:rPr>
        <w:t xml:space="preserve"> </w:t>
      </w:r>
      <w:r w:rsidR="009B741E">
        <w:rPr>
          <w:szCs w:val="28"/>
        </w:rPr>
        <w:t>There are several key factors that can</w:t>
      </w:r>
      <w:r w:rsidR="0023595E">
        <w:rPr>
          <w:szCs w:val="28"/>
        </w:rPr>
        <w:t xml:space="preserve"> interfere with</w:t>
      </w:r>
      <w:r w:rsidR="009B741E">
        <w:rPr>
          <w:szCs w:val="28"/>
        </w:rPr>
        <w:t xml:space="preserve"> low socioeconomic individuals from seeking diabetes car</w:t>
      </w:r>
      <w:r w:rsidR="00F53648">
        <w:rPr>
          <w:szCs w:val="28"/>
        </w:rPr>
        <w:t>e</w:t>
      </w:r>
      <w:r w:rsidR="00D5416B">
        <w:rPr>
          <w:szCs w:val="28"/>
        </w:rPr>
        <w:t>. T</w:t>
      </w:r>
      <w:r w:rsidR="00930E16">
        <w:rPr>
          <w:szCs w:val="28"/>
        </w:rPr>
        <w:t>hese include</w:t>
      </w:r>
      <w:r w:rsidR="008508E3">
        <w:rPr>
          <w:szCs w:val="28"/>
        </w:rPr>
        <w:t xml:space="preserve"> </w:t>
      </w:r>
      <w:r w:rsidR="009B741E">
        <w:rPr>
          <w:szCs w:val="28"/>
        </w:rPr>
        <w:t xml:space="preserve">the </w:t>
      </w:r>
      <w:r w:rsidR="00E67E1C">
        <w:rPr>
          <w:szCs w:val="28"/>
        </w:rPr>
        <w:t>in</w:t>
      </w:r>
      <w:r w:rsidR="009B741E">
        <w:rPr>
          <w:szCs w:val="28"/>
        </w:rPr>
        <w:t xml:space="preserve">ability to </w:t>
      </w:r>
      <w:r>
        <w:rPr>
          <w:szCs w:val="28"/>
        </w:rPr>
        <w:t xml:space="preserve">take time off </w:t>
      </w:r>
      <w:r w:rsidR="00F53648">
        <w:rPr>
          <w:szCs w:val="28"/>
        </w:rPr>
        <w:t xml:space="preserve">of </w:t>
      </w:r>
      <w:r>
        <w:rPr>
          <w:szCs w:val="28"/>
        </w:rPr>
        <w:t>work</w:t>
      </w:r>
      <w:r w:rsidR="009B741E">
        <w:rPr>
          <w:szCs w:val="28"/>
        </w:rPr>
        <w:t xml:space="preserve"> to go to doctor’s appointments, </w:t>
      </w:r>
      <w:r>
        <w:rPr>
          <w:szCs w:val="28"/>
        </w:rPr>
        <w:t>low health literacy</w:t>
      </w:r>
      <w:r w:rsidR="009B741E">
        <w:rPr>
          <w:szCs w:val="28"/>
        </w:rPr>
        <w:t>, and language barriers</w:t>
      </w:r>
      <w:r>
        <w:rPr>
          <w:szCs w:val="28"/>
        </w:rPr>
        <w:t xml:space="preserve"> (Amin, 2014).</w:t>
      </w:r>
      <w:r w:rsidR="008508E3">
        <w:rPr>
          <w:szCs w:val="28"/>
        </w:rPr>
        <w:t xml:space="preserve"> </w:t>
      </w:r>
      <w:r w:rsidR="00145077">
        <w:rPr>
          <w:szCs w:val="28"/>
        </w:rPr>
        <w:t xml:space="preserve"> </w:t>
      </w:r>
      <w:r w:rsidR="00ED6142">
        <w:rPr>
          <w:szCs w:val="28"/>
        </w:rPr>
        <w:t xml:space="preserve">Ensuring access to </w:t>
      </w:r>
      <w:r w:rsidR="00ED6142">
        <w:t>p</w:t>
      </w:r>
      <w:r w:rsidR="00393894">
        <w:t>reventative measures such as</w:t>
      </w:r>
      <w:r w:rsidR="006C0C9D">
        <w:t xml:space="preserve"> </w:t>
      </w:r>
      <w:r w:rsidR="009B741E">
        <w:t xml:space="preserve">affordable healthy foods, </w:t>
      </w:r>
      <w:r w:rsidR="00F150B0">
        <w:t xml:space="preserve">transportation to doctor’s appointments, and </w:t>
      </w:r>
      <w:r w:rsidR="00676893">
        <w:t xml:space="preserve">access to </w:t>
      </w:r>
      <w:r w:rsidR="00393894">
        <w:t>or</w:t>
      </w:r>
      <w:r w:rsidR="007B6846">
        <w:t>thotic shoes</w:t>
      </w:r>
      <w:r w:rsidR="00676893">
        <w:t xml:space="preserve"> which</w:t>
      </w:r>
      <w:r w:rsidR="007B6846">
        <w:t xml:space="preserve"> may be unaffordable </w:t>
      </w:r>
      <w:r w:rsidR="00393894">
        <w:t>for low income patients with diabetes</w:t>
      </w:r>
      <w:r w:rsidR="00C039E8">
        <w:t xml:space="preserve"> could be an area of focus for future policy development to ensure equitable care</w:t>
      </w:r>
      <w:r w:rsidR="009E6102">
        <w:t xml:space="preserve"> (Amin, 2014).</w:t>
      </w:r>
      <w:r w:rsidR="008508E3">
        <w:t xml:space="preserve"> </w:t>
      </w:r>
    </w:p>
    <w:p w:rsidR="00F02989" w:rsidRDefault="00F02989" w:rsidP="00B11B34">
      <w:pPr>
        <w:spacing w:line="360" w:lineRule="auto"/>
        <w:jc w:val="both"/>
        <w:rPr>
          <w:b/>
        </w:rPr>
      </w:pPr>
    </w:p>
    <w:p w:rsidR="00C03F9C" w:rsidRPr="007954D7" w:rsidRDefault="007744B7" w:rsidP="00B11B34">
      <w:pPr>
        <w:spacing w:line="360" w:lineRule="auto"/>
        <w:jc w:val="both"/>
        <w:rPr>
          <w:b/>
          <w:szCs w:val="28"/>
        </w:rPr>
      </w:pPr>
      <w:r w:rsidRPr="00973646">
        <w:rPr>
          <w:b/>
        </w:rPr>
        <w:t>Provider Characteristics</w:t>
      </w:r>
    </w:p>
    <w:p w:rsidR="001433AE" w:rsidRPr="00202716" w:rsidRDefault="007954D7" w:rsidP="00B11B34">
      <w:pPr>
        <w:pStyle w:val="Default"/>
        <w:spacing w:line="360" w:lineRule="auto"/>
        <w:jc w:val="both"/>
        <w:rPr>
          <w:b/>
          <w:i/>
          <w:color w:val="C00000"/>
        </w:rPr>
      </w:pPr>
      <w:r>
        <w:tab/>
      </w:r>
      <w:r w:rsidR="007009E9">
        <w:t xml:space="preserve"> </w:t>
      </w:r>
      <w:r w:rsidR="007275D9">
        <w:t xml:space="preserve">Most </w:t>
      </w:r>
      <w:r w:rsidR="003A6BFE">
        <w:t xml:space="preserve">patients with </w:t>
      </w:r>
      <w:r w:rsidR="007275D9">
        <w:t xml:space="preserve">diabetes </w:t>
      </w:r>
      <w:r w:rsidR="007B60F2">
        <w:t xml:space="preserve">are </w:t>
      </w:r>
      <w:r w:rsidR="003A6BFE">
        <w:t>managed in a primary care setting</w:t>
      </w:r>
      <w:r w:rsidR="003A6BFE" w:rsidRPr="00836647">
        <w:rPr>
          <w:color w:val="auto"/>
        </w:rPr>
        <w:t>.</w:t>
      </w:r>
      <w:r w:rsidR="007275D9" w:rsidRPr="00836647">
        <w:rPr>
          <w:color w:val="auto"/>
        </w:rPr>
        <w:t xml:space="preserve"> </w:t>
      </w:r>
      <w:r w:rsidR="0096207A">
        <w:rPr>
          <w:color w:val="auto"/>
        </w:rPr>
        <w:t>The care provided in</w:t>
      </w:r>
      <w:r w:rsidR="00491516" w:rsidRPr="00836647">
        <w:rPr>
          <w:color w:val="auto"/>
        </w:rPr>
        <w:t xml:space="preserve"> t</w:t>
      </w:r>
      <w:r w:rsidR="00FE6C59">
        <w:rPr>
          <w:color w:val="auto"/>
        </w:rPr>
        <w:t>his setting</w:t>
      </w:r>
      <w:r w:rsidR="00491516" w:rsidRPr="00836647">
        <w:rPr>
          <w:color w:val="auto"/>
        </w:rPr>
        <w:t xml:space="preserve"> tends to set the course </w:t>
      </w:r>
      <w:r w:rsidR="0096207A">
        <w:rPr>
          <w:color w:val="auto"/>
        </w:rPr>
        <w:t xml:space="preserve">for </w:t>
      </w:r>
      <w:r w:rsidR="007275D9" w:rsidRPr="00836647">
        <w:rPr>
          <w:color w:val="auto"/>
        </w:rPr>
        <w:t>a patient’s disease</w:t>
      </w:r>
      <w:r w:rsidR="00836647" w:rsidRPr="00836647">
        <w:rPr>
          <w:color w:val="auto"/>
        </w:rPr>
        <w:t xml:space="preserve"> management </w:t>
      </w:r>
      <w:r w:rsidR="00836647" w:rsidRPr="00836647">
        <w:rPr>
          <w:color w:val="auto"/>
        </w:rPr>
        <w:lastRenderedPageBreak/>
        <w:t>pathways</w:t>
      </w:r>
      <w:r w:rsidR="007275D9" w:rsidRPr="00836647">
        <w:rPr>
          <w:color w:val="auto"/>
        </w:rPr>
        <w:t xml:space="preserve"> and </w:t>
      </w:r>
      <w:r w:rsidR="00836647" w:rsidRPr="00836647">
        <w:rPr>
          <w:color w:val="auto"/>
        </w:rPr>
        <w:t>their future outcomes</w:t>
      </w:r>
      <w:r w:rsidR="007275D9" w:rsidRPr="00836647">
        <w:rPr>
          <w:color w:val="auto"/>
        </w:rPr>
        <w:t xml:space="preserve"> </w:t>
      </w:r>
      <w:r w:rsidR="00B609C7" w:rsidRPr="00836647">
        <w:rPr>
          <w:color w:val="auto"/>
        </w:rPr>
        <w:t>(</w:t>
      </w:r>
      <w:proofErr w:type="spellStart"/>
      <w:r w:rsidR="00B609C7" w:rsidRPr="00836647">
        <w:rPr>
          <w:color w:val="auto"/>
        </w:rPr>
        <w:t>McKinlay</w:t>
      </w:r>
      <w:proofErr w:type="spellEnd"/>
      <w:r w:rsidR="00B609C7" w:rsidRPr="00836647">
        <w:rPr>
          <w:color w:val="auto"/>
        </w:rPr>
        <w:t>, 2013)</w:t>
      </w:r>
      <w:r w:rsidR="007275D9" w:rsidRPr="00836647">
        <w:rPr>
          <w:color w:val="auto"/>
        </w:rPr>
        <w:t>.</w:t>
      </w:r>
      <w:r w:rsidR="008508E3" w:rsidRPr="00836647">
        <w:rPr>
          <w:color w:val="auto"/>
        </w:rPr>
        <w:t xml:space="preserve"> </w:t>
      </w:r>
      <w:r w:rsidR="00B609C7" w:rsidRPr="00836647">
        <w:rPr>
          <w:color w:val="auto"/>
        </w:rPr>
        <w:t xml:space="preserve"> </w:t>
      </w:r>
      <w:r w:rsidR="00501A36">
        <w:t>A study done by Ashford,</w:t>
      </w:r>
      <w:r w:rsidR="0076738D">
        <w:t xml:space="preserve"> et </w:t>
      </w:r>
      <w:r w:rsidR="00372238">
        <w:t>a</w:t>
      </w:r>
      <w:r w:rsidR="0076738D">
        <w:t xml:space="preserve">l. </w:t>
      </w:r>
      <w:r w:rsidR="00501A36">
        <w:t xml:space="preserve">(2017) </w:t>
      </w:r>
      <w:r w:rsidR="00C21D3E">
        <w:t>compa</w:t>
      </w:r>
      <w:r w:rsidR="00986BA2">
        <w:t>red</w:t>
      </w:r>
      <w:r w:rsidR="005E4760">
        <w:t xml:space="preserve"> </w:t>
      </w:r>
      <w:r w:rsidR="00C21D3E">
        <w:t>a</w:t>
      </w:r>
      <w:r w:rsidR="00874119">
        <w:t xml:space="preserve"> multitude of factors including insurance coverage, ease of care, and age of patient</w:t>
      </w:r>
      <w:r w:rsidR="005B5969">
        <w:t>, and</w:t>
      </w:r>
      <w:r w:rsidR="003A6BFE">
        <w:t xml:space="preserve"> </w:t>
      </w:r>
      <w:r w:rsidR="0096207A">
        <w:t>found</w:t>
      </w:r>
      <w:r w:rsidR="003A6BFE">
        <w:t xml:space="preserve"> that</w:t>
      </w:r>
      <w:r w:rsidR="0076738D">
        <w:t xml:space="preserve"> a provider</w:t>
      </w:r>
      <w:r w:rsidR="00874119">
        <w:t>’s</w:t>
      </w:r>
      <w:r w:rsidR="0076738D">
        <w:t xml:space="preserve"> </w:t>
      </w:r>
      <w:r w:rsidR="00874119">
        <w:t>explanation</w:t>
      </w:r>
      <w:r w:rsidR="008508E3">
        <w:t xml:space="preserve"> </w:t>
      </w:r>
      <w:r w:rsidR="003A6BFE">
        <w:t>to the patient regarding the disease process and education on self-management</w:t>
      </w:r>
      <w:r w:rsidR="00874119">
        <w:t xml:space="preserve"> </w:t>
      </w:r>
      <w:r w:rsidR="003A6BFE">
        <w:t>was</w:t>
      </w:r>
      <w:r w:rsidR="0076738D" w:rsidRPr="0076738D">
        <w:t xml:space="preserve"> the strongest predi</w:t>
      </w:r>
      <w:r w:rsidR="00874119">
        <w:t>ctor of</w:t>
      </w:r>
      <w:r w:rsidR="0076738D">
        <w:t xml:space="preserve"> </w:t>
      </w:r>
      <w:r w:rsidR="00501A36">
        <w:t xml:space="preserve">a </w:t>
      </w:r>
      <w:r w:rsidR="0076738D">
        <w:t>patient</w:t>
      </w:r>
      <w:r w:rsidR="00874119">
        <w:t>’s willingness to engage in</w:t>
      </w:r>
      <w:r w:rsidR="0076738D">
        <w:t xml:space="preserve"> prevention care</w:t>
      </w:r>
      <w:r w:rsidR="00874119">
        <w:t xml:space="preserve"> for diabetes</w:t>
      </w:r>
      <w:r w:rsidR="0076738D">
        <w:t xml:space="preserve"> (Ashford, 2017).</w:t>
      </w:r>
      <w:r w:rsidR="007069CF">
        <w:t xml:space="preserve"> </w:t>
      </w:r>
      <w:r w:rsidR="004E04DC">
        <w:t xml:space="preserve"> Another study</w:t>
      </w:r>
      <w:r w:rsidR="00986BA2">
        <w:t xml:space="preserve"> found</w:t>
      </w:r>
      <w:r w:rsidR="002E2765">
        <w:t xml:space="preserve"> outside of the initial</w:t>
      </w:r>
      <w:r w:rsidR="00FE6C59">
        <w:t xml:space="preserve"> literature</w:t>
      </w:r>
      <w:r w:rsidR="002E2765">
        <w:t xml:space="preserve"> </w:t>
      </w:r>
      <w:r w:rsidR="00986BA2">
        <w:t xml:space="preserve">review </w:t>
      </w:r>
      <w:r w:rsidR="002E2765">
        <w:t>search</w:t>
      </w:r>
      <w:r w:rsidR="00EC39C5">
        <w:t xml:space="preserve"> wh</w:t>
      </w:r>
      <w:r w:rsidR="00986BA2">
        <w:t>ich was limited to diabetic related topics</w:t>
      </w:r>
      <w:r w:rsidR="00EC39C5">
        <w:t>,</w:t>
      </w:r>
      <w:r w:rsidR="004E04DC">
        <w:t xml:space="preserve"> demonstrated that a higher rate of patient adherence may be seen if there </w:t>
      </w:r>
      <w:r w:rsidR="005A5844">
        <w:t>is</w:t>
      </w:r>
      <w:r w:rsidR="004E04DC">
        <w:t xml:space="preserve"> racial or ethnic concordance between the provider and patients</w:t>
      </w:r>
      <w:r w:rsidR="007E6872">
        <w:t xml:space="preserve"> (</w:t>
      </w:r>
      <w:r w:rsidR="002E2765">
        <w:t>Street, et al</w:t>
      </w:r>
      <w:r w:rsidR="00A7301F">
        <w:t>.</w:t>
      </w:r>
      <w:r w:rsidR="002E2765">
        <w:t>, 2008)</w:t>
      </w:r>
      <w:r w:rsidR="004E04DC">
        <w:t xml:space="preserve">. </w:t>
      </w:r>
    </w:p>
    <w:p w:rsidR="00F02989" w:rsidRDefault="00F02989" w:rsidP="00B11B34">
      <w:pPr>
        <w:pStyle w:val="Default"/>
        <w:spacing w:after="27" w:line="360" w:lineRule="auto"/>
        <w:jc w:val="both"/>
        <w:rPr>
          <w:b/>
          <w:i/>
          <w:color w:val="auto"/>
          <w:szCs w:val="28"/>
        </w:rPr>
      </w:pPr>
    </w:p>
    <w:p w:rsidR="007275D9" w:rsidRPr="00AA4BC4" w:rsidRDefault="0016174A" w:rsidP="00B11B34">
      <w:pPr>
        <w:pStyle w:val="Default"/>
        <w:spacing w:after="27" w:line="360" w:lineRule="auto"/>
        <w:jc w:val="both"/>
        <w:rPr>
          <w:b/>
          <w:i/>
          <w:color w:val="auto"/>
          <w:szCs w:val="28"/>
        </w:rPr>
      </w:pPr>
      <w:r w:rsidRPr="00AA4BC4">
        <w:rPr>
          <w:b/>
          <w:i/>
          <w:color w:val="auto"/>
          <w:szCs w:val="28"/>
        </w:rPr>
        <w:t>Provider’s Perception of Patient’s Race/Ethnicity</w:t>
      </w:r>
      <w:r w:rsidR="008735C0" w:rsidRPr="00AA4BC4">
        <w:rPr>
          <w:b/>
          <w:i/>
          <w:color w:val="auto"/>
          <w:szCs w:val="28"/>
        </w:rPr>
        <w:t xml:space="preserve"> </w:t>
      </w:r>
    </w:p>
    <w:p w:rsidR="00726790" w:rsidRDefault="00E51F3B" w:rsidP="00B11B34">
      <w:pPr>
        <w:pStyle w:val="Default"/>
        <w:spacing w:line="360" w:lineRule="auto"/>
        <w:jc w:val="both"/>
      </w:pPr>
      <w:r>
        <w:tab/>
      </w:r>
      <w:r w:rsidR="00174D2F">
        <w:t xml:space="preserve">There </w:t>
      </w:r>
      <w:r w:rsidR="00DE4504">
        <w:t>have</w:t>
      </w:r>
      <w:r w:rsidR="00B10BCB">
        <w:t xml:space="preserve"> </w:t>
      </w:r>
      <w:r w:rsidR="00174D2F">
        <w:t xml:space="preserve">been </w:t>
      </w:r>
      <w:r w:rsidR="0026233B">
        <w:t xml:space="preserve">a number of </w:t>
      </w:r>
      <w:r w:rsidR="005B1DAC">
        <w:t>studies</w:t>
      </w:r>
      <w:r w:rsidR="00174D2F">
        <w:t xml:space="preserve"> </w:t>
      </w:r>
      <w:r w:rsidR="00D5416B">
        <w:t>done that explore</w:t>
      </w:r>
      <w:r w:rsidR="00C03F9C">
        <w:t xml:space="preserve"> </w:t>
      </w:r>
      <w:r w:rsidR="005B1DAC">
        <w:t xml:space="preserve">how </w:t>
      </w:r>
      <w:r w:rsidR="008D2492">
        <w:t xml:space="preserve">a </w:t>
      </w:r>
      <w:r w:rsidR="00C03F9C">
        <w:t>p</w:t>
      </w:r>
      <w:r w:rsidR="009D0414">
        <w:t>rovider’s perception of race and</w:t>
      </w:r>
      <w:r w:rsidR="00174D2F">
        <w:t>/or</w:t>
      </w:r>
      <w:r w:rsidR="009D0414">
        <w:t xml:space="preserve"> ethnicity </w:t>
      </w:r>
      <w:r w:rsidR="0096207A">
        <w:t>can impact</w:t>
      </w:r>
      <w:r w:rsidR="00C03F9C">
        <w:t xml:space="preserve"> </w:t>
      </w:r>
      <w:r w:rsidR="005B1DAC">
        <w:t>a patient’s care management. One</w:t>
      </w:r>
      <w:r w:rsidR="00C03F9C">
        <w:t xml:space="preserve"> </w:t>
      </w:r>
      <w:r w:rsidR="0096207A">
        <w:t xml:space="preserve">study </w:t>
      </w:r>
      <w:r w:rsidR="00C03F9C">
        <w:t xml:space="preserve">showed </w:t>
      </w:r>
      <w:r w:rsidR="00B609C7">
        <w:t>significant variations</w:t>
      </w:r>
      <w:r w:rsidR="008D2492">
        <w:t xml:space="preserve"> in</w:t>
      </w:r>
      <w:r w:rsidR="00B609C7">
        <w:t xml:space="preserve"> physician</w:t>
      </w:r>
      <w:r w:rsidR="001D465E">
        <w:t>s’</w:t>
      </w:r>
      <w:r w:rsidR="00B609C7">
        <w:t xml:space="preserve"> diagnosis of diabetes based on the patient’s race or ethnicity</w:t>
      </w:r>
      <w:r w:rsidR="008D2492">
        <w:t>,</w:t>
      </w:r>
      <w:r w:rsidR="00B609C7">
        <w:t xml:space="preserve"> </w:t>
      </w:r>
      <w:r w:rsidR="008D2492">
        <w:t>with</w:t>
      </w:r>
      <w:r w:rsidR="00B609C7">
        <w:t xml:space="preserve"> only </w:t>
      </w:r>
      <w:r w:rsidR="009D0414">
        <w:t>60.9</w:t>
      </w:r>
      <w:r w:rsidR="00C2561C">
        <w:t xml:space="preserve">% </w:t>
      </w:r>
      <w:r w:rsidR="009D0414">
        <w:t xml:space="preserve">of </w:t>
      </w:r>
      <w:r w:rsidR="008D2492">
        <w:t xml:space="preserve">physicians </w:t>
      </w:r>
      <w:r w:rsidR="00D75DD7">
        <w:t xml:space="preserve">correctly making a </w:t>
      </w:r>
      <w:r w:rsidR="00B609C7">
        <w:t>diagnosis</w:t>
      </w:r>
      <w:r w:rsidR="00534536">
        <w:t xml:space="preserve"> </w:t>
      </w:r>
      <w:r w:rsidR="005B1DAC">
        <w:t>(</w:t>
      </w:r>
      <w:proofErr w:type="spellStart"/>
      <w:r w:rsidR="005B1DAC">
        <w:t>McKinlay</w:t>
      </w:r>
      <w:proofErr w:type="spellEnd"/>
      <w:r w:rsidR="005B1DAC">
        <w:t>, 20</w:t>
      </w:r>
      <w:r w:rsidR="00534536">
        <w:t>13).</w:t>
      </w:r>
      <w:r w:rsidR="003D14BE">
        <w:t xml:space="preserve"> </w:t>
      </w:r>
      <w:r w:rsidR="00986BA2">
        <w:t xml:space="preserve"> </w:t>
      </w:r>
      <w:r w:rsidR="00534536">
        <w:t xml:space="preserve">Despite encountering patients </w:t>
      </w:r>
      <w:r w:rsidR="005B1DAC" w:rsidRPr="005B1DAC">
        <w:t>with identical signs and symp</w:t>
      </w:r>
      <w:r w:rsidR="00B815FB">
        <w:t xml:space="preserve">toms, </w:t>
      </w:r>
      <w:r w:rsidR="00D75DD7">
        <w:t>the</w:t>
      </w:r>
      <w:r w:rsidR="0096207A">
        <w:t xml:space="preserve"> </w:t>
      </w:r>
      <w:r w:rsidR="00B815FB" w:rsidRPr="00B815FB">
        <w:t xml:space="preserve">study showed </w:t>
      </w:r>
      <w:r w:rsidR="00B815FB">
        <w:t xml:space="preserve">physicians </w:t>
      </w:r>
      <w:r w:rsidR="00B10BCB">
        <w:t>were</w:t>
      </w:r>
      <w:r w:rsidR="003C0191">
        <w:t xml:space="preserve"> </w:t>
      </w:r>
      <w:r w:rsidR="005B1DAC" w:rsidRPr="005B1DAC">
        <w:t>more likely to diagnose diabetes in</w:t>
      </w:r>
      <w:r w:rsidR="00E1513D">
        <w:t xml:space="preserve"> black</w:t>
      </w:r>
      <w:r w:rsidR="00EE677C">
        <w:t>s</w:t>
      </w:r>
      <w:r w:rsidR="00E1513D">
        <w:t xml:space="preserve"> or Hispanic</w:t>
      </w:r>
      <w:r w:rsidR="00EE677C">
        <w:t>s</w:t>
      </w:r>
      <w:r w:rsidR="000B4265">
        <w:t>,</w:t>
      </w:r>
      <w:r w:rsidR="00D75DD7">
        <w:t xml:space="preserve"> without additional</w:t>
      </w:r>
      <w:r w:rsidR="003C0191">
        <w:t xml:space="preserve"> test confirmation</w:t>
      </w:r>
      <w:r w:rsidR="000B4265">
        <w:t>,</w:t>
      </w:r>
      <w:r w:rsidR="003C0191">
        <w:t xml:space="preserve"> when compared to white patients </w:t>
      </w:r>
      <w:r w:rsidR="005B1DAC" w:rsidRPr="005B1DAC">
        <w:t>(</w:t>
      </w:r>
      <w:proofErr w:type="spellStart"/>
      <w:r w:rsidR="005B1DAC" w:rsidRPr="005B1DAC">
        <w:t>McKinlay</w:t>
      </w:r>
      <w:proofErr w:type="spellEnd"/>
      <w:r w:rsidR="005B1DAC" w:rsidRPr="005B1DAC">
        <w:t>,</w:t>
      </w:r>
      <w:r w:rsidR="0016174A">
        <w:t xml:space="preserve"> </w:t>
      </w:r>
      <w:r w:rsidR="005B1DAC" w:rsidRPr="005B1DAC">
        <w:t>2013).</w:t>
      </w:r>
      <w:r w:rsidR="008508E3">
        <w:t xml:space="preserve"> </w:t>
      </w:r>
      <w:r w:rsidR="000B4265">
        <w:t>Based on these findings, the</w:t>
      </w:r>
      <w:r w:rsidR="00EA52E0">
        <w:t>re is a</w:t>
      </w:r>
      <w:r w:rsidR="000B4265">
        <w:t xml:space="preserve"> possibility that some providers may make a diabetes diagnosis </w:t>
      </w:r>
      <w:r w:rsidR="00934505">
        <w:t xml:space="preserve">solely </w:t>
      </w:r>
      <w:r w:rsidR="000B4265">
        <w:t>based on their perception of a patient’s race</w:t>
      </w:r>
      <w:r w:rsidR="00D75DD7">
        <w:t xml:space="preserve">, particularly if the assumption is </w:t>
      </w:r>
      <w:r w:rsidR="00EA52E0">
        <w:t xml:space="preserve">that </w:t>
      </w:r>
      <w:r w:rsidR="005E4760">
        <w:t xml:space="preserve">the </w:t>
      </w:r>
      <w:r w:rsidR="00EA52E0">
        <w:t xml:space="preserve">patient is </w:t>
      </w:r>
      <w:r w:rsidR="0097023D">
        <w:t>part of a minority group</w:t>
      </w:r>
      <w:r w:rsidR="00D5416B">
        <w:t xml:space="preserve"> that traditionally has had </w:t>
      </w:r>
      <w:proofErr w:type="gramStart"/>
      <w:r w:rsidR="00130B46">
        <w:t>a</w:t>
      </w:r>
      <w:r w:rsidR="0097023D">
        <w:t xml:space="preserve"> </w:t>
      </w:r>
      <w:r w:rsidR="00EA52E0">
        <w:t>higher</w:t>
      </w:r>
      <w:proofErr w:type="gramEnd"/>
      <w:r w:rsidR="00EA52E0">
        <w:t xml:space="preserve"> diabetes prevalence. </w:t>
      </w:r>
    </w:p>
    <w:p w:rsidR="008C2E9B" w:rsidRPr="008C0F86" w:rsidRDefault="00726790" w:rsidP="00B11B34">
      <w:pPr>
        <w:pStyle w:val="Default"/>
        <w:spacing w:line="360" w:lineRule="auto"/>
        <w:jc w:val="both"/>
      </w:pPr>
      <w:r>
        <w:tab/>
      </w:r>
      <w:r w:rsidR="00EA52E0">
        <w:t xml:space="preserve">However, </w:t>
      </w:r>
      <w:r w:rsidR="00EA52E0" w:rsidRPr="00B77561">
        <w:t>an</w:t>
      </w:r>
      <w:r w:rsidR="00DC1E9A" w:rsidRPr="00B77561">
        <w:t>other</w:t>
      </w:r>
      <w:r w:rsidR="00EA52E0" w:rsidRPr="00B77561">
        <w:t xml:space="preserve"> study demonstrated that older African-Americans with diabetes were over 40% more likely to receive a foot examination tha</w:t>
      </w:r>
      <w:r w:rsidR="005E4760" w:rsidRPr="00B77561">
        <w:t>n</w:t>
      </w:r>
      <w:r w:rsidR="00EA52E0" w:rsidRPr="00B77561">
        <w:t xml:space="preserve"> their white counterparts</w:t>
      </w:r>
      <w:r w:rsidR="00EA52E0">
        <w:t xml:space="preserve"> (Kim, et al. 2012). </w:t>
      </w:r>
      <w:r w:rsidR="00A36052">
        <w:t xml:space="preserve"> </w:t>
      </w:r>
      <w:r w:rsidR="00EA52E0">
        <w:t>This begs the question that age, in addition to race, may play a factor as to whether or not a foot examination is performed once a diagnosis of diabetes is officially made.</w:t>
      </w:r>
      <w:r w:rsidR="002C7415">
        <w:t xml:space="preserve"> </w:t>
      </w:r>
      <w:r w:rsidR="00A36052">
        <w:t xml:space="preserve"> </w:t>
      </w:r>
      <w:r w:rsidR="002C7415">
        <w:t>Subsequently</w:t>
      </w:r>
      <w:r w:rsidR="00E1513D">
        <w:t xml:space="preserve">, </w:t>
      </w:r>
      <w:r w:rsidR="00C376FE">
        <w:t>a</w:t>
      </w:r>
      <w:r w:rsidR="000636EF">
        <w:t xml:space="preserve"> </w:t>
      </w:r>
      <w:r w:rsidR="00E1513D">
        <w:t xml:space="preserve">search conducted </w:t>
      </w:r>
      <w:r w:rsidR="000C6F75">
        <w:t>outside of the</w:t>
      </w:r>
      <w:r w:rsidR="00B10BCB">
        <w:t xml:space="preserve"> initial</w:t>
      </w:r>
      <w:r w:rsidR="000C6F75">
        <w:t xml:space="preserve"> literature review </w:t>
      </w:r>
      <w:r w:rsidR="00E1513D">
        <w:t>anal</w:t>
      </w:r>
      <w:r w:rsidR="003C63EA">
        <w:t>ysis generate</w:t>
      </w:r>
      <w:r w:rsidR="003A6BFE">
        <w:t>d</w:t>
      </w:r>
      <w:r w:rsidR="003C63EA">
        <w:t xml:space="preserve"> little </w:t>
      </w:r>
      <w:r w:rsidR="000D2B16">
        <w:t xml:space="preserve">explanation </w:t>
      </w:r>
      <w:r w:rsidR="003C63EA">
        <w:t xml:space="preserve">as to why there is a </w:t>
      </w:r>
      <w:r w:rsidR="00E1513D">
        <w:t xml:space="preserve">discrepancy </w:t>
      </w:r>
      <w:r w:rsidR="003C63EA">
        <w:t xml:space="preserve">and difference </w:t>
      </w:r>
      <w:r w:rsidR="00E1513D">
        <w:t>in treatment</w:t>
      </w:r>
      <w:r w:rsidR="003C63EA">
        <w:t xml:space="preserve"> by the provider based on</w:t>
      </w:r>
      <w:r w:rsidR="003A6BFE">
        <w:t xml:space="preserve"> </w:t>
      </w:r>
      <w:r w:rsidR="00D75DD7">
        <w:t>their perception of a</w:t>
      </w:r>
      <w:r w:rsidR="003A6BFE">
        <w:t xml:space="preserve"> patient’s</w:t>
      </w:r>
      <w:r w:rsidR="003C63EA">
        <w:t xml:space="preserve"> race</w:t>
      </w:r>
      <w:r w:rsidR="000636EF">
        <w:t xml:space="preserve"> </w:t>
      </w:r>
      <w:r w:rsidR="000C6F75">
        <w:t>(Traylor, 2010)</w:t>
      </w:r>
      <w:r w:rsidR="00E1513D">
        <w:t>.</w:t>
      </w:r>
      <w:r w:rsidR="008508E3">
        <w:t xml:space="preserve"> </w:t>
      </w:r>
    </w:p>
    <w:p w:rsidR="00F02989" w:rsidRDefault="00F02989" w:rsidP="00B11B34">
      <w:pPr>
        <w:pStyle w:val="Default"/>
        <w:spacing w:line="360" w:lineRule="auto"/>
        <w:jc w:val="both"/>
        <w:rPr>
          <w:b/>
        </w:rPr>
      </w:pPr>
    </w:p>
    <w:p w:rsidR="00F02989" w:rsidRDefault="00F02989" w:rsidP="00B11B34">
      <w:pPr>
        <w:pStyle w:val="Default"/>
        <w:spacing w:line="360" w:lineRule="auto"/>
        <w:jc w:val="both"/>
        <w:rPr>
          <w:b/>
        </w:rPr>
      </w:pPr>
    </w:p>
    <w:p w:rsidR="00F02989" w:rsidRDefault="00F02989" w:rsidP="00B11B34">
      <w:pPr>
        <w:pStyle w:val="Default"/>
        <w:spacing w:line="360" w:lineRule="auto"/>
        <w:jc w:val="both"/>
        <w:rPr>
          <w:b/>
        </w:rPr>
      </w:pPr>
    </w:p>
    <w:p w:rsidR="000636EF" w:rsidRDefault="00E62F3B" w:rsidP="00B11B34">
      <w:pPr>
        <w:pStyle w:val="Default"/>
        <w:spacing w:line="360" w:lineRule="auto"/>
        <w:jc w:val="both"/>
      </w:pPr>
      <w:r w:rsidRPr="00CB5CB3">
        <w:rPr>
          <w:b/>
        </w:rPr>
        <w:lastRenderedPageBreak/>
        <w:t>P</w:t>
      </w:r>
      <w:r w:rsidR="009661DF" w:rsidRPr="00CB5CB3">
        <w:rPr>
          <w:b/>
        </w:rPr>
        <w:t xml:space="preserve">ractice </w:t>
      </w:r>
      <w:r w:rsidR="00064575">
        <w:rPr>
          <w:b/>
        </w:rPr>
        <w:t>Characteristics</w:t>
      </w:r>
    </w:p>
    <w:p w:rsidR="00A5675B" w:rsidRDefault="005A639D" w:rsidP="00B11B34">
      <w:pPr>
        <w:pStyle w:val="Default"/>
        <w:spacing w:line="360" w:lineRule="auto"/>
        <w:jc w:val="both"/>
        <w:rPr>
          <w:b/>
          <w:i/>
          <w:szCs w:val="28"/>
        </w:rPr>
      </w:pPr>
      <w:r>
        <w:rPr>
          <w:b/>
          <w:i/>
          <w:szCs w:val="28"/>
        </w:rPr>
        <w:t xml:space="preserve">Payer </w:t>
      </w:r>
      <w:r w:rsidR="000636EF">
        <w:tab/>
      </w:r>
    </w:p>
    <w:p w:rsidR="002C07AF" w:rsidRDefault="0081769E" w:rsidP="00B11B34">
      <w:pPr>
        <w:pStyle w:val="Default"/>
        <w:spacing w:line="360" w:lineRule="auto"/>
        <w:jc w:val="both"/>
      </w:pPr>
      <w:r>
        <w:t>Although ve</w:t>
      </w:r>
      <w:r w:rsidR="00326C95">
        <w:t xml:space="preserve">ry little information was found regarding </w:t>
      </w:r>
      <w:r>
        <w:t xml:space="preserve">the </w:t>
      </w:r>
      <w:r w:rsidR="0023595E">
        <w:t>association</w:t>
      </w:r>
      <w:r w:rsidR="00711CD4">
        <w:t xml:space="preserve"> of</w:t>
      </w:r>
      <w:r w:rsidR="00B10BCB">
        <w:t xml:space="preserve"> a specific </w:t>
      </w:r>
      <w:r>
        <w:t xml:space="preserve">insurance </w:t>
      </w:r>
      <w:r w:rsidR="00356362">
        <w:t xml:space="preserve">type </w:t>
      </w:r>
      <w:r w:rsidR="005B01E3">
        <w:t>with</w:t>
      </w:r>
      <w:r>
        <w:t xml:space="preserve"> diabetes care, there appears to be a connection between the </w:t>
      </w:r>
      <w:proofErr w:type="gramStart"/>
      <w:r>
        <w:t>car</w:t>
      </w:r>
      <w:r w:rsidR="00151654">
        <w:t>e</w:t>
      </w:r>
      <w:proofErr w:type="gramEnd"/>
      <w:r w:rsidR="00151654">
        <w:t xml:space="preserve"> </w:t>
      </w:r>
      <w:r w:rsidR="00FC170A">
        <w:t xml:space="preserve">provided </w:t>
      </w:r>
      <w:r w:rsidR="00145077">
        <w:t>to</w:t>
      </w:r>
      <w:r w:rsidR="00FC170A">
        <w:t xml:space="preserve"> those with insurance versus those without.</w:t>
      </w:r>
      <w:r>
        <w:t xml:space="preserve"> </w:t>
      </w:r>
      <w:r w:rsidR="00CA563F">
        <w:t xml:space="preserve">Based on the literature review findings, </w:t>
      </w:r>
      <w:r w:rsidR="00D5416B">
        <w:t xml:space="preserve">simply having </w:t>
      </w:r>
      <w:r w:rsidR="00CA563F">
        <w:t xml:space="preserve">insurance coverage </w:t>
      </w:r>
      <w:r w:rsidR="00D5416B">
        <w:t>can play</w:t>
      </w:r>
      <w:r w:rsidR="00CA563F">
        <w:t xml:space="preserve"> a strong role in </w:t>
      </w:r>
      <w:r w:rsidR="00D5416B">
        <w:t xml:space="preserve">whether or not </w:t>
      </w:r>
      <w:r w:rsidR="00CA563F">
        <w:t>patients with diabetes receiv</w:t>
      </w:r>
      <w:r w:rsidR="002049C5">
        <w:t>e</w:t>
      </w:r>
      <w:r w:rsidR="00CA563F">
        <w:t xml:space="preserve"> </w:t>
      </w:r>
      <w:r w:rsidR="002B4C83">
        <w:t xml:space="preserve">each </w:t>
      </w:r>
      <w:r w:rsidR="00CA563F">
        <w:t xml:space="preserve">required measure </w:t>
      </w:r>
      <w:r w:rsidR="002B4C83">
        <w:t xml:space="preserve">of the diabetes quality and preventive care. </w:t>
      </w:r>
      <w:r w:rsidR="007C256A">
        <w:t xml:space="preserve"> One </w:t>
      </w:r>
      <w:r w:rsidR="00C60448">
        <w:t>publication</w:t>
      </w:r>
      <w:r w:rsidR="007C256A">
        <w:t xml:space="preserve"> mention</w:t>
      </w:r>
      <w:r w:rsidR="00555ABD">
        <w:t>ed</w:t>
      </w:r>
      <w:r w:rsidR="007C256A">
        <w:t xml:space="preserve"> that </w:t>
      </w:r>
      <w:r w:rsidR="002B4C83">
        <w:t>individuals</w:t>
      </w:r>
      <w:r w:rsidR="007C256A">
        <w:t xml:space="preserve"> with insurance</w:t>
      </w:r>
      <w:r w:rsidR="002B4C83">
        <w:t xml:space="preserve"> were more likely to receive</w:t>
      </w:r>
      <w:r w:rsidR="00AE4593">
        <w:t xml:space="preserve"> care</w:t>
      </w:r>
      <w:r w:rsidR="002B4C83">
        <w:t xml:space="preserve"> </w:t>
      </w:r>
      <w:r w:rsidR="002B4C83" w:rsidRPr="00AE4593">
        <w:t>than</w:t>
      </w:r>
      <w:r w:rsidR="00C17E78">
        <w:t xml:space="preserve"> those that </w:t>
      </w:r>
      <w:r w:rsidR="007C256A" w:rsidRPr="00AE4593">
        <w:t>w</w:t>
      </w:r>
      <w:r w:rsidR="007C256A">
        <w:t>ere</w:t>
      </w:r>
      <w:r w:rsidR="002B4C83">
        <w:t xml:space="preserve"> uninsured </w:t>
      </w:r>
      <w:r w:rsidR="00EA2D8C">
        <w:t>although</w:t>
      </w:r>
      <w:r w:rsidR="00AE4593" w:rsidRPr="00AE4593">
        <w:t xml:space="preserve"> the impact </w:t>
      </w:r>
      <w:r w:rsidR="00AE4593">
        <w:t xml:space="preserve">appeared to be attenuated once adjustment for </w:t>
      </w:r>
      <w:r w:rsidR="002049C5">
        <w:t xml:space="preserve">other </w:t>
      </w:r>
      <w:r w:rsidR="00AE4593" w:rsidRPr="00AE4593">
        <w:t xml:space="preserve">characteristics </w:t>
      </w:r>
      <w:r w:rsidR="00AE4593">
        <w:t xml:space="preserve">were made </w:t>
      </w:r>
      <w:r w:rsidR="002B4C83">
        <w:t>(Ashford, 2017).</w:t>
      </w:r>
      <w:r w:rsidR="008508E3">
        <w:t xml:space="preserve"> </w:t>
      </w:r>
      <w:r w:rsidR="00555ABD">
        <w:t>T</w:t>
      </w:r>
      <w:r w:rsidR="00151654">
        <w:t>he</w:t>
      </w:r>
      <w:r w:rsidR="00420028">
        <w:t xml:space="preserve"> </w:t>
      </w:r>
      <w:r w:rsidR="00151654">
        <w:t>ACA</w:t>
      </w:r>
      <w:r w:rsidR="0076738D">
        <w:t xml:space="preserve"> </w:t>
      </w:r>
      <w:r w:rsidR="00555ABD">
        <w:t>attempted to m</w:t>
      </w:r>
      <w:r w:rsidR="005D4932">
        <w:t>itigate</w:t>
      </w:r>
      <w:r w:rsidR="003F086D">
        <w:t xml:space="preserve"> </w:t>
      </w:r>
      <w:r w:rsidR="00555ABD">
        <w:t>differences</w:t>
      </w:r>
      <w:r w:rsidR="0076738D">
        <w:t xml:space="preserve"> </w:t>
      </w:r>
      <w:r w:rsidR="003F086D">
        <w:t xml:space="preserve">in coverage </w:t>
      </w:r>
      <w:r w:rsidR="004A1051">
        <w:t xml:space="preserve">by mandating </w:t>
      </w:r>
      <w:r w:rsidR="00555ABD">
        <w:t xml:space="preserve">insurance </w:t>
      </w:r>
      <w:r w:rsidR="004A1051">
        <w:t xml:space="preserve">coverage for all </w:t>
      </w:r>
      <w:r w:rsidR="006B48FF">
        <w:t xml:space="preserve">Americans </w:t>
      </w:r>
      <w:r w:rsidR="004A1051">
        <w:t xml:space="preserve">and </w:t>
      </w:r>
      <w:r w:rsidR="00D74662">
        <w:t>expanding</w:t>
      </w:r>
      <w:r w:rsidR="004A1051">
        <w:t xml:space="preserve"> the cap for Medicaid which already </w:t>
      </w:r>
      <w:r w:rsidR="0076738D" w:rsidRPr="0076738D">
        <w:t>covered</w:t>
      </w:r>
      <w:r w:rsidR="004A1051">
        <w:t xml:space="preserve"> a disproportional number of patients with</w:t>
      </w:r>
      <w:r w:rsidR="0076738D" w:rsidRPr="0076738D">
        <w:t xml:space="preserve"> </w:t>
      </w:r>
      <w:r w:rsidR="004A1051">
        <w:t xml:space="preserve">diabetes </w:t>
      </w:r>
      <w:r w:rsidR="0076738D">
        <w:t>(Ashford, 2017)</w:t>
      </w:r>
      <w:r w:rsidR="0076738D" w:rsidRPr="0076738D">
        <w:t>.</w:t>
      </w:r>
    </w:p>
    <w:p w:rsidR="00C03F9C" w:rsidRPr="002C07AF" w:rsidRDefault="009661DF" w:rsidP="00B11B34">
      <w:pPr>
        <w:pStyle w:val="Default"/>
        <w:spacing w:line="360" w:lineRule="auto"/>
        <w:jc w:val="both"/>
        <w:rPr>
          <w:b/>
          <w:i/>
          <w:szCs w:val="28"/>
        </w:rPr>
      </w:pPr>
      <w:r>
        <w:rPr>
          <w:b/>
          <w:i/>
          <w:szCs w:val="28"/>
        </w:rPr>
        <w:t>Demographics</w:t>
      </w:r>
    </w:p>
    <w:p w:rsidR="00225387" w:rsidRDefault="00E51F3B" w:rsidP="00B11B34">
      <w:pPr>
        <w:pStyle w:val="Default"/>
        <w:spacing w:after="27" w:line="360" w:lineRule="auto"/>
        <w:jc w:val="both"/>
      </w:pPr>
      <w:r>
        <w:tab/>
      </w:r>
      <w:r w:rsidR="00555ABD">
        <w:t>A study</w:t>
      </w:r>
      <w:r w:rsidR="003673B1" w:rsidRPr="003673B1">
        <w:t xml:space="preserve"> by </w:t>
      </w:r>
      <w:proofErr w:type="spellStart"/>
      <w:r w:rsidR="003673B1" w:rsidRPr="003673B1">
        <w:t>Skrepnek</w:t>
      </w:r>
      <w:proofErr w:type="spellEnd"/>
      <w:r w:rsidR="003673B1" w:rsidRPr="003673B1">
        <w:t xml:space="preserve">, Mills, and Armstrong, </w:t>
      </w:r>
      <w:r w:rsidR="005A639D">
        <w:t xml:space="preserve">reported </w:t>
      </w:r>
      <w:r w:rsidR="00151654">
        <w:t>tha</w:t>
      </w:r>
      <w:r w:rsidR="00C60448">
        <w:t>t patients in rural areas</w:t>
      </w:r>
      <w:r w:rsidR="00395E8E">
        <w:t>,</w:t>
      </w:r>
      <w:r w:rsidR="00C60448">
        <w:t xml:space="preserve"> </w:t>
      </w:r>
      <w:r w:rsidR="00395E8E">
        <w:t xml:space="preserve">who also </w:t>
      </w:r>
      <w:r w:rsidR="00C60448">
        <w:t>fall in</w:t>
      </w:r>
      <w:r w:rsidR="00151654">
        <w:t xml:space="preserve"> </w:t>
      </w:r>
      <w:r w:rsidR="003673B1" w:rsidRPr="003673B1">
        <w:t>the lowest regional income bracket for Medicaid</w:t>
      </w:r>
      <w:r w:rsidR="00395E8E">
        <w:t>,</w:t>
      </w:r>
      <w:r w:rsidR="003673B1" w:rsidRPr="003673B1">
        <w:t xml:space="preserve"> have significantly increased odds of poor clinical outcomes (</w:t>
      </w:r>
      <w:proofErr w:type="spellStart"/>
      <w:r w:rsidR="003673B1" w:rsidRPr="003673B1">
        <w:t>Skrepne</w:t>
      </w:r>
      <w:r w:rsidR="00C33761">
        <w:t>k</w:t>
      </w:r>
      <w:proofErr w:type="spellEnd"/>
      <w:r w:rsidR="003673B1" w:rsidRPr="003673B1">
        <w:t>, 2015).</w:t>
      </w:r>
      <w:r w:rsidR="00CA563F">
        <w:t xml:space="preserve">  Med</w:t>
      </w:r>
      <w:r w:rsidR="00C33761">
        <w:t xml:space="preserve">icaid patients with diabetes </w:t>
      </w:r>
      <w:r w:rsidR="00C60448">
        <w:t>have</w:t>
      </w:r>
      <w:r w:rsidR="00C33761">
        <w:t xml:space="preserve"> between 21 to 25% higher </w:t>
      </w:r>
      <w:r w:rsidR="00991DC8">
        <w:t>odds</w:t>
      </w:r>
      <w:r w:rsidR="00C33761">
        <w:t xml:space="preserve"> of amputation than their Medicare counterparts</w:t>
      </w:r>
      <w:r w:rsidR="009428A3">
        <w:t xml:space="preserve">. </w:t>
      </w:r>
      <w:r w:rsidR="001D13E7">
        <w:t xml:space="preserve"> </w:t>
      </w:r>
      <w:r w:rsidR="009428A3">
        <w:t>F</w:t>
      </w:r>
      <w:r w:rsidR="00C33761">
        <w:t>or those in the lowe</w:t>
      </w:r>
      <w:r w:rsidR="00421F47">
        <w:t>st</w:t>
      </w:r>
      <w:r w:rsidR="00C33761">
        <w:t xml:space="preserve"> income </w:t>
      </w:r>
      <w:r w:rsidR="00972092">
        <w:t>bracket</w:t>
      </w:r>
      <w:r w:rsidR="00C33761">
        <w:t>, the odds</w:t>
      </w:r>
      <w:r w:rsidR="00C13F2E">
        <w:t xml:space="preserve"> of amputation significantly increased</w:t>
      </w:r>
      <w:r w:rsidR="00C33761">
        <w:t xml:space="preserve"> when compared to high income population</w:t>
      </w:r>
      <w:r w:rsidR="00395E8E">
        <w:t>s</w:t>
      </w:r>
      <w:r w:rsidR="00C33761">
        <w:t xml:space="preserve"> (</w:t>
      </w:r>
      <w:proofErr w:type="spellStart"/>
      <w:r w:rsidR="00C33761">
        <w:t>Skrepnek</w:t>
      </w:r>
      <w:proofErr w:type="spellEnd"/>
      <w:r w:rsidR="00C33761">
        <w:t>, 2015).</w:t>
      </w:r>
      <w:r w:rsidR="00D22831">
        <w:t xml:space="preserve"> </w:t>
      </w:r>
      <w:r w:rsidR="008508E3">
        <w:t xml:space="preserve"> </w:t>
      </w:r>
      <w:r w:rsidR="003673B1">
        <w:t>M</w:t>
      </w:r>
      <w:r w:rsidR="00421F47">
        <w:t>any</w:t>
      </w:r>
      <w:r w:rsidR="009428A3">
        <w:t xml:space="preserve"> low socioeconomic</w:t>
      </w:r>
      <w:r w:rsidR="003673B1">
        <w:t xml:space="preserve"> communit</w:t>
      </w:r>
      <w:r w:rsidR="00A96DAE">
        <w:t>ies</w:t>
      </w:r>
      <w:r w:rsidR="003673B1">
        <w:t xml:space="preserve"> may have limited resources no</w:t>
      </w:r>
      <w:r w:rsidR="00421F47">
        <w:t>t only for diabetes care but</w:t>
      </w:r>
      <w:r w:rsidR="005E4760">
        <w:t xml:space="preserve"> also</w:t>
      </w:r>
      <w:r w:rsidR="00421F47">
        <w:t xml:space="preserve"> </w:t>
      </w:r>
      <w:r w:rsidR="00EA20F6">
        <w:t xml:space="preserve">for </w:t>
      </w:r>
      <w:r w:rsidR="00421F47">
        <w:t>healthy</w:t>
      </w:r>
      <w:r w:rsidR="003673B1">
        <w:t xml:space="preserve"> nutrition </w:t>
      </w:r>
      <w:r w:rsidR="00421F47">
        <w:t xml:space="preserve">options </w:t>
      </w:r>
      <w:r w:rsidR="003673B1">
        <w:t>due to food deserts</w:t>
      </w:r>
      <w:r w:rsidR="00421F47">
        <w:t xml:space="preserve"> and lack of social cohesion such as</w:t>
      </w:r>
      <w:r w:rsidR="003673B1">
        <w:t xml:space="preserve"> support group</w:t>
      </w:r>
      <w:r w:rsidR="00BF7225">
        <w:t>s</w:t>
      </w:r>
      <w:r w:rsidR="004E002C">
        <w:t xml:space="preserve"> (Gaskin, 2014)</w:t>
      </w:r>
      <w:r w:rsidR="00D22831">
        <w:t xml:space="preserve">.  </w:t>
      </w:r>
      <w:r w:rsidR="00BF7225">
        <w:t>These</w:t>
      </w:r>
      <w:r w:rsidR="003673B1">
        <w:t xml:space="preserve"> are just a few </w:t>
      </w:r>
      <w:r w:rsidR="004E7371">
        <w:t xml:space="preserve">of the </w:t>
      </w:r>
      <w:r w:rsidR="003673B1">
        <w:t>elements that may affect t</w:t>
      </w:r>
      <w:r w:rsidR="0083554A">
        <w:t>he type of diabetes care available within certain</w:t>
      </w:r>
      <w:r w:rsidR="003673B1">
        <w:t xml:space="preserve"> region</w:t>
      </w:r>
      <w:r w:rsidR="0083554A">
        <w:t>s</w:t>
      </w:r>
      <w:r w:rsidR="003673B1">
        <w:t>.</w:t>
      </w:r>
      <w:r w:rsidR="008508E3">
        <w:t xml:space="preserve"> </w:t>
      </w:r>
      <w:r w:rsidR="007C256A">
        <w:t xml:space="preserve"> P</w:t>
      </w:r>
      <w:r w:rsidR="007009E9">
        <w:t>ractice culture</w:t>
      </w:r>
      <w:r w:rsidR="009428A3">
        <w:t xml:space="preserve">, </w:t>
      </w:r>
      <w:r w:rsidR="004E7371">
        <w:t>defined as customs that</w:t>
      </w:r>
      <w:r w:rsidR="00E948BF">
        <w:t xml:space="preserve"> are inherent to a</w:t>
      </w:r>
      <w:r w:rsidR="009428A3">
        <w:t xml:space="preserve"> medical practice, </w:t>
      </w:r>
      <w:r w:rsidR="007009E9">
        <w:t xml:space="preserve">and </w:t>
      </w:r>
      <w:r w:rsidR="007C256A">
        <w:t xml:space="preserve">organizational factors were shown to influence </w:t>
      </w:r>
      <w:r w:rsidR="007009E9">
        <w:t xml:space="preserve">whether </w:t>
      </w:r>
      <w:r w:rsidR="007C256A">
        <w:t>or not all required elements</w:t>
      </w:r>
      <w:r w:rsidR="00E948BF">
        <w:t xml:space="preserve"> of a foot examination are</w:t>
      </w:r>
      <w:r w:rsidR="007009E9">
        <w:t xml:space="preserve"> conducted</w:t>
      </w:r>
      <w:r w:rsidR="007C256A">
        <w:t xml:space="preserve"> </w:t>
      </w:r>
      <w:r w:rsidR="007009E9">
        <w:t>(</w:t>
      </w:r>
      <w:proofErr w:type="spellStart"/>
      <w:r w:rsidR="007009E9">
        <w:t>McKinlay</w:t>
      </w:r>
      <w:proofErr w:type="spellEnd"/>
      <w:r w:rsidR="007009E9">
        <w:t>, 2013).</w:t>
      </w:r>
      <w:r w:rsidR="008508E3">
        <w:t xml:space="preserve"> </w:t>
      </w:r>
      <w:r w:rsidR="00040339">
        <w:t xml:space="preserve"> </w:t>
      </w:r>
      <w:r w:rsidR="00991DC8">
        <w:t>N</w:t>
      </w:r>
      <w:r w:rsidR="007E6CCA">
        <w:t>o literature on</w:t>
      </w:r>
      <w:r w:rsidR="000F672A">
        <w:t xml:space="preserve"> </w:t>
      </w:r>
      <w:r w:rsidR="007E6CCA">
        <w:t xml:space="preserve">diabetes </w:t>
      </w:r>
      <w:r w:rsidR="005758DD">
        <w:t>care disparities was identified</w:t>
      </w:r>
      <w:r w:rsidR="000636EF">
        <w:t xml:space="preserve"> </w:t>
      </w:r>
      <w:r w:rsidR="00E948BF">
        <w:t>related to</w:t>
      </w:r>
      <w:r w:rsidR="007E6CCA">
        <w:t xml:space="preserve"> </w:t>
      </w:r>
      <w:r w:rsidR="000F672A">
        <w:t>practice</w:t>
      </w:r>
      <w:r w:rsidR="005758DD">
        <w:t xml:space="preserve"> size or</w:t>
      </w:r>
      <w:r w:rsidR="007E6CCA">
        <w:t xml:space="preserve"> a single specialty </w:t>
      </w:r>
      <w:r w:rsidR="00ED0A0C">
        <w:t>versus</w:t>
      </w:r>
      <w:r w:rsidR="007E6CCA">
        <w:t xml:space="preserve"> multispecialty</w:t>
      </w:r>
      <w:r w:rsidR="00816C0F">
        <w:t xml:space="preserve"> in the literature review performed or in subsequent searches. </w:t>
      </w:r>
    </w:p>
    <w:p w:rsidR="0003598B" w:rsidRDefault="0003598B" w:rsidP="00B11B34">
      <w:pPr>
        <w:pStyle w:val="Default"/>
        <w:spacing w:after="27" w:line="360" w:lineRule="auto"/>
        <w:jc w:val="both"/>
        <w:rPr>
          <w:b/>
          <w:i/>
        </w:rPr>
      </w:pPr>
    </w:p>
    <w:p w:rsidR="0003598B" w:rsidRDefault="0003598B" w:rsidP="00B11B34">
      <w:pPr>
        <w:pStyle w:val="Default"/>
        <w:spacing w:after="27" w:line="360" w:lineRule="auto"/>
        <w:jc w:val="both"/>
        <w:rPr>
          <w:b/>
          <w:i/>
        </w:rPr>
      </w:pPr>
    </w:p>
    <w:p w:rsidR="0067241D" w:rsidRPr="00F81484" w:rsidRDefault="0067241D" w:rsidP="00B11B34">
      <w:pPr>
        <w:pStyle w:val="Default"/>
        <w:spacing w:after="27" w:line="360" w:lineRule="auto"/>
        <w:jc w:val="both"/>
        <w:rPr>
          <w:b/>
          <w:i/>
        </w:rPr>
      </w:pPr>
      <w:r w:rsidRPr="00F81484">
        <w:rPr>
          <w:b/>
          <w:i/>
        </w:rPr>
        <w:lastRenderedPageBreak/>
        <w:t xml:space="preserve">Additional Searches </w:t>
      </w:r>
    </w:p>
    <w:p w:rsidR="00E31079" w:rsidRDefault="0067241D" w:rsidP="00B11B34">
      <w:pPr>
        <w:pStyle w:val="Default"/>
        <w:spacing w:after="27" w:line="360" w:lineRule="auto"/>
        <w:jc w:val="both"/>
      </w:pPr>
      <w:r>
        <w:tab/>
      </w:r>
      <w:r w:rsidR="005B61AA">
        <w:t xml:space="preserve">Given some of the findings of the literature review regarding </w:t>
      </w:r>
      <w:r w:rsidR="008F2858">
        <w:t xml:space="preserve">a </w:t>
      </w:r>
      <w:r w:rsidR="005B61AA">
        <w:t xml:space="preserve">patient’s characteristics and </w:t>
      </w:r>
      <w:proofErr w:type="gramStart"/>
      <w:r w:rsidR="005B61AA">
        <w:t>providers</w:t>
      </w:r>
      <w:proofErr w:type="gramEnd"/>
      <w:r w:rsidR="005B61AA">
        <w:t xml:space="preserve"> perception of a patient’s race and ethnicity, t</w:t>
      </w:r>
      <w:r w:rsidR="00225387">
        <w:t>wo additional terms</w:t>
      </w:r>
      <w:r w:rsidR="00C36289">
        <w:t>, namely patient-provider concordance and implicit bias,</w:t>
      </w:r>
      <w:r w:rsidR="00225387">
        <w:t xml:space="preserve"> </w:t>
      </w:r>
      <w:r w:rsidR="00D763D4">
        <w:t>were searched</w:t>
      </w:r>
      <w:r w:rsidR="00D91232">
        <w:t xml:space="preserve">. </w:t>
      </w:r>
      <w:r w:rsidR="00F81484">
        <w:t xml:space="preserve"> </w:t>
      </w:r>
      <w:r w:rsidR="00E31079" w:rsidRPr="00E31079">
        <w:t>A patient-provider relationship can play a significant role in a patient’s outcome. Trust between a patient and provider can be a challenge to establish</w:t>
      </w:r>
      <w:r w:rsidR="00391B8E">
        <w:t>,</w:t>
      </w:r>
      <w:r w:rsidR="00E31079" w:rsidRPr="00E31079">
        <w:t xml:space="preserve"> </w:t>
      </w:r>
      <w:r w:rsidR="00391B8E">
        <w:t>e</w:t>
      </w:r>
      <w:r w:rsidR="00E31079" w:rsidRPr="00E31079">
        <w:t xml:space="preserve">specially with the limited time some providers spend with patients. Concordance, which is defined as similarities in characteristics such as race, ethnicity, sex, and/or age, has showed to be linked to great patient satisfaction, greater care plan adherence, and increase involvement in decision making when it comes to therapy selection (Street et Al, 2008).    </w:t>
      </w:r>
    </w:p>
    <w:p w:rsidR="002C07AF" w:rsidRPr="002C07AF" w:rsidRDefault="00E31079" w:rsidP="00B11B34">
      <w:pPr>
        <w:pStyle w:val="Default"/>
        <w:spacing w:after="27" w:line="360" w:lineRule="auto"/>
        <w:jc w:val="both"/>
        <w:rPr>
          <w:color w:val="auto"/>
        </w:rPr>
      </w:pPr>
      <w:r>
        <w:tab/>
      </w:r>
      <w:r w:rsidR="00225387">
        <w:t xml:space="preserve">Implicit bias is </w:t>
      </w:r>
      <w:r w:rsidR="00BD2635">
        <w:t xml:space="preserve">an </w:t>
      </w:r>
      <w:r w:rsidR="00225387">
        <w:t xml:space="preserve">unconscious attitude or stereotyping that can manifest itself in many </w:t>
      </w:r>
      <w:r w:rsidR="0015779D">
        <w:t xml:space="preserve">different </w:t>
      </w:r>
      <w:r w:rsidR="00225387">
        <w:t>setting</w:t>
      </w:r>
      <w:r w:rsidR="0015779D">
        <w:t>s</w:t>
      </w:r>
      <w:r w:rsidR="00225387">
        <w:t xml:space="preserve"> such as the workplace environment, the justice system, and even in the healthcare system.  It can also be refe</w:t>
      </w:r>
      <w:r w:rsidR="004B622E">
        <w:t>r</w:t>
      </w:r>
      <w:r w:rsidR="00225387">
        <w:t>r</w:t>
      </w:r>
      <w:r w:rsidR="004B622E">
        <w:t>ed</w:t>
      </w:r>
      <w:r w:rsidR="00225387">
        <w:t xml:space="preserve"> to as </w:t>
      </w:r>
      <w:r w:rsidR="00D16125">
        <w:t xml:space="preserve">an </w:t>
      </w:r>
      <w:r w:rsidR="00225387">
        <w:t xml:space="preserve">unconscious bias </w:t>
      </w:r>
      <w:r w:rsidR="009316F8">
        <w:t xml:space="preserve">that </w:t>
      </w:r>
      <w:r w:rsidR="00225387">
        <w:t xml:space="preserve">can impact beliefs and perceptions regarding many characteristics including </w:t>
      </w:r>
      <w:r w:rsidR="0015779D">
        <w:t>ethnicity, race, gender, or sexual orientation</w:t>
      </w:r>
      <w:r w:rsidR="00225387">
        <w:t xml:space="preserve"> (</w:t>
      </w:r>
      <w:proofErr w:type="spellStart"/>
      <w:r w:rsidR="00225387">
        <w:t>Ruhl</w:t>
      </w:r>
      <w:proofErr w:type="spellEnd"/>
      <w:r w:rsidR="00225387">
        <w:t xml:space="preserve">, 2020).  </w:t>
      </w:r>
      <w:r w:rsidR="005A66C1">
        <w:t xml:space="preserve">It is important to </w:t>
      </w:r>
      <w:r w:rsidR="00547C94">
        <w:t>specify</w:t>
      </w:r>
      <w:r w:rsidR="005A66C1">
        <w:t xml:space="preserve"> that implicit bias can be both negative and positive. </w:t>
      </w:r>
      <w:r w:rsidR="003D1CE5">
        <w:t>A</w:t>
      </w:r>
      <w:r w:rsidR="005A66C1">
        <w:t xml:space="preserve"> systematic review on </w:t>
      </w:r>
      <w:r w:rsidR="00287E1A">
        <w:t>the influence that racial and ethnic bias by healthcare providers has on patient outcomes by</w:t>
      </w:r>
      <w:r w:rsidR="005A66C1">
        <w:t xml:space="preserve"> </w:t>
      </w:r>
      <w:r w:rsidR="005A66C1" w:rsidRPr="005A66C1">
        <w:t>Hall</w:t>
      </w:r>
      <w:r w:rsidR="005A66C1">
        <w:t xml:space="preserve"> et </w:t>
      </w:r>
      <w:r w:rsidR="00574AFA">
        <w:t>a</w:t>
      </w:r>
      <w:r w:rsidR="003D1CE5">
        <w:t>l</w:t>
      </w:r>
      <w:r w:rsidR="00574AFA">
        <w:t>.</w:t>
      </w:r>
      <w:r w:rsidR="003D1CE5">
        <w:t xml:space="preserve"> found that a large portion of health care providers seem to have</w:t>
      </w:r>
      <w:r w:rsidR="001B5603">
        <w:t xml:space="preserve"> varying degrees of implicit bias</w:t>
      </w:r>
      <w:r w:rsidR="00574AFA">
        <w:t>,</w:t>
      </w:r>
      <w:r w:rsidR="001B5603">
        <w:t xml:space="preserve"> with most showing</w:t>
      </w:r>
      <w:r w:rsidR="003D1CE5">
        <w:t xml:space="preserve"> </w:t>
      </w:r>
      <w:r w:rsidR="003D1CE5" w:rsidRPr="003D1CE5">
        <w:t>positive</w:t>
      </w:r>
      <w:r w:rsidR="003D1CE5">
        <w:t xml:space="preserve"> </w:t>
      </w:r>
      <w:r w:rsidR="003D1CE5" w:rsidRPr="00F12557">
        <w:rPr>
          <w:color w:val="auto"/>
        </w:rPr>
        <w:t xml:space="preserve">implicit bias toward </w:t>
      </w:r>
      <w:r w:rsidR="00070F18">
        <w:rPr>
          <w:color w:val="auto"/>
        </w:rPr>
        <w:t>white</w:t>
      </w:r>
      <w:r w:rsidR="00070F18" w:rsidRPr="00F12557">
        <w:rPr>
          <w:color w:val="auto"/>
        </w:rPr>
        <w:t xml:space="preserve"> </w:t>
      </w:r>
      <w:r w:rsidR="003D1CE5" w:rsidRPr="00F12557">
        <w:rPr>
          <w:color w:val="auto"/>
        </w:rPr>
        <w:t xml:space="preserve">patients and negative implicit bias toward those of color </w:t>
      </w:r>
      <w:r w:rsidR="00A804F1" w:rsidRPr="00F12557">
        <w:rPr>
          <w:color w:val="auto"/>
        </w:rPr>
        <w:t xml:space="preserve">(Hall et </w:t>
      </w:r>
      <w:r w:rsidR="00574AFA">
        <w:rPr>
          <w:color w:val="auto"/>
        </w:rPr>
        <w:t>al.</w:t>
      </w:r>
      <w:r w:rsidR="00A804F1" w:rsidRPr="00F12557">
        <w:rPr>
          <w:color w:val="auto"/>
        </w:rPr>
        <w:t>, 2015).</w:t>
      </w:r>
      <w:r w:rsidR="00514AA3" w:rsidRPr="00F12557">
        <w:rPr>
          <w:color w:val="auto"/>
        </w:rPr>
        <w:t xml:space="preserve"> </w:t>
      </w:r>
      <w:r w:rsidR="00B70A03" w:rsidRPr="00F12557">
        <w:rPr>
          <w:color w:val="auto"/>
        </w:rPr>
        <w:t xml:space="preserve"> Just as diabetes care is costly, so is implicit bias as it can lead to substandard care and delayed diagnosis and treatment of chronic disease. </w:t>
      </w:r>
      <w:r w:rsidR="00DF007A" w:rsidRPr="00F12557">
        <w:rPr>
          <w:color w:val="auto"/>
        </w:rPr>
        <w:t xml:space="preserve">For example, over 50% of Asian-Americans who have Type </w:t>
      </w:r>
      <w:r w:rsidR="004267E4">
        <w:rPr>
          <w:color w:val="auto"/>
        </w:rPr>
        <w:t>II</w:t>
      </w:r>
      <w:r w:rsidR="00DF007A" w:rsidRPr="00F12557">
        <w:rPr>
          <w:color w:val="auto"/>
        </w:rPr>
        <w:t xml:space="preserve"> diabetes go undiagnosed despite being at twice the risk of their White counterparts.  However, many Asian-Americans </w:t>
      </w:r>
      <w:r w:rsidR="00C137A2">
        <w:rPr>
          <w:color w:val="auto"/>
        </w:rPr>
        <w:t xml:space="preserve">that </w:t>
      </w:r>
      <w:r w:rsidR="00DF007A" w:rsidRPr="00F12557">
        <w:rPr>
          <w:color w:val="auto"/>
        </w:rPr>
        <w:t>do not exhibit the traditional signs and symptoms</w:t>
      </w:r>
      <w:r w:rsidR="001848BC">
        <w:rPr>
          <w:color w:val="auto"/>
        </w:rPr>
        <w:t>,</w:t>
      </w:r>
      <w:r w:rsidR="00DF007A" w:rsidRPr="00F12557">
        <w:rPr>
          <w:color w:val="auto"/>
        </w:rPr>
        <w:t xml:space="preserve"> such as obesity</w:t>
      </w:r>
      <w:r w:rsidR="001848BC">
        <w:rPr>
          <w:color w:val="auto"/>
        </w:rPr>
        <w:t xml:space="preserve">, </w:t>
      </w:r>
      <w:r w:rsidR="00DF007A" w:rsidRPr="00F12557">
        <w:rPr>
          <w:color w:val="auto"/>
        </w:rPr>
        <w:t>often go unscreened (Quinn, 2017).  Delays in diagnosis in proper therapeutic management can result in significant disease progression and complications that could potentially have been avoid</w:t>
      </w:r>
      <w:r w:rsidR="00DE25E8">
        <w:rPr>
          <w:color w:val="auto"/>
        </w:rPr>
        <w:t>ed</w:t>
      </w:r>
      <w:r w:rsidR="00DF007A" w:rsidRPr="00F12557">
        <w:rPr>
          <w:color w:val="auto"/>
        </w:rPr>
        <w:t xml:space="preserve"> with early intervention</w:t>
      </w:r>
      <w:r w:rsidR="00F12557" w:rsidRPr="00F12557">
        <w:rPr>
          <w:color w:val="auto"/>
        </w:rPr>
        <w:t xml:space="preserve">. </w:t>
      </w:r>
      <w:r w:rsidR="0015530D">
        <w:rPr>
          <w:color w:val="auto"/>
        </w:rPr>
        <w:t xml:space="preserve"> </w:t>
      </w:r>
      <w:r w:rsidR="000A0300">
        <w:rPr>
          <w:color w:val="auto"/>
        </w:rPr>
        <w:t>Lastly, implicit bias can result in social inequities for some populations if not addressed.</w:t>
      </w:r>
    </w:p>
    <w:p w:rsidR="00D15BE0" w:rsidRDefault="00F02989" w:rsidP="00B11B34">
      <w:pPr>
        <w:pStyle w:val="Default"/>
        <w:spacing w:after="27" w:line="360" w:lineRule="auto"/>
        <w:jc w:val="center"/>
        <w:rPr>
          <w:b/>
          <w:sz w:val="28"/>
          <w:szCs w:val="28"/>
        </w:rPr>
      </w:pPr>
      <w:r>
        <w:rPr>
          <w:b/>
          <w:sz w:val="28"/>
          <w:szCs w:val="28"/>
        </w:rPr>
        <w:br w:type="page"/>
      </w:r>
      <w:r w:rsidR="004330C1">
        <w:rPr>
          <w:b/>
          <w:sz w:val="28"/>
          <w:szCs w:val="28"/>
        </w:rPr>
        <w:lastRenderedPageBreak/>
        <w:t>CHAPTER 3- THEORETICAL MODEL</w:t>
      </w:r>
    </w:p>
    <w:p w:rsidR="000C5643" w:rsidRPr="000C5643" w:rsidRDefault="000C5643" w:rsidP="00B11B34">
      <w:pPr>
        <w:pStyle w:val="Default"/>
        <w:spacing w:after="27" w:line="360" w:lineRule="auto"/>
        <w:jc w:val="center"/>
        <w:rPr>
          <w:b/>
          <w:sz w:val="28"/>
          <w:szCs w:val="28"/>
        </w:rPr>
      </w:pPr>
    </w:p>
    <w:p w:rsidR="00D15BE0" w:rsidRPr="000763AE" w:rsidRDefault="00D15BE0" w:rsidP="00B11B34">
      <w:pPr>
        <w:autoSpaceDE w:val="0"/>
        <w:autoSpaceDN w:val="0"/>
        <w:adjustRightInd w:val="0"/>
        <w:spacing w:line="360" w:lineRule="auto"/>
        <w:jc w:val="both"/>
        <w:rPr>
          <w:rFonts w:eastAsia="Calibri"/>
          <w:color w:val="000000"/>
        </w:rPr>
      </w:pPr>
      <w:r w:rsidRPr="000763AE">
        <w:rPr>
          <w:rFonts w:eastAsia="Calibri"/>
          <w:color w:val="000000"/>
        </w:rPr>
        <w:tab/>
        <w:t>As highlighted in the previous chapters, numerous health disparities exist in the delivery of health care related to diabetic treatment. As a result, the Social Equity Theory</w:t>
      </w:r>
      <w:r w:rsidRPr="000763AE" w:rsidDel="008C71D2">
        <w:rPr>
          <w:rFonts w:eastAsia="Calibri"/>
          <w:color w:val="000000"/>
        </w:rPr>
        <w:t xml:space="preserve"> </w:t>
      </w:r>
      <w:r w:rsidRPr="000763AE">
        <w:rPr>
          <w:rFonts w:eastAsia="Calibri"/>
          <w:color w:val="000000"/>
        </w:rPr>
        <w:t xml:space="preserve">informs the structure and analysis of diabetes foot care practices for this research. The National Academy of Public Administrators (NAPA) defines social equity as the “fair, just and equitable management of all institutions serving the public directly or by contract, and the fair and equitable distribution of public services, and implementation of public policy, and the commitment to promote fairness, justice, and equity in the formation of public policy” (Norman-Major, 2011).  Social equity was not originally a formal pillar of public administration so it is important to provide some background on its origins and historical context of what led to its official inception. </w:t>
      </w:r>
    </w:p>
    <w:p w:rsidR="00D15BE0" w:rsidRPr="000763AE" w:rsidRDefault="00D15BE0" w:rsidP="00B11B34">
      <w:pPr>
        <w:autoSpaceDE w:val="0"/>
        <w:autoSpaceDN w:val="0"/>
        <w:adjustRightInd w:val="0"/>
        <w:spacing w:before="120" w:line="360" w:lineRule="auto"/>
        <w:jc w:val="both"/>
        <w:rPr>
          <w:rFonts w:eastAsia="Calibri"/>
          <w:color w:val="FF0000"/>
        </w:rPr>
      </w:pPr>
      <w:r w:rsidRPr="000763AE">
        <w:rPr>
          <w:rFonts w:eastAsia="Calibri"/>
          <w:b/>
        </w:rPr>
        <w:t xml:space="preserve">Evolution of Social Equity Theory in Public Administration  </w:t>
      </w:r>
    </w:p>
    <w:p w:rsidR="00D15BE0" w:rsidRPr="000763AE" w:rsidRDefault="00D15BE0" w:rsidP="00B11B34">
      <w:pPr>
        <w:autoSpaceDE w:val="0"/>
        <w:autoSpaceDN w:val="0"/>
        <w:adjustRightInd w:val="0"/>
        <w:spacing w:line="360" w:lineRule="auto"/>
        <w:jc w:val="both"/>
        <w:rPr>
          <w:rFonts w:eastAsia="Calibri"/>
        </w:rPr>
      </w:pPr>
      <w:r w:rsidRPr="000763AE">
        <w:rPr>
          <w:rFonts w:eastAsia="Calibri"/>
          <w:color w:val="FF0000"/>
        </w:rPr>
        <w:tab/>
      </w:r>
      <w:r w:rsidRPr="000763AE">
        <w:rPr>
          <w:rFonts w:eastAsia="Calibri"/>
        </w:rPr>
        <w:t xml:space="preserve">The original areas of interest for public administration were centered on the 3 E’s, economy, efficiency, and effectiveness.   During the 1960s, government officials faced mounting pressure to address rising disparities, primarily based on gender and race, among segments of the population (Guy, 2012).  Prior to this decade, the federal government’s involvement in civil rights matters had been limited but with the civil rights movement in full swing, there was a need to develop new policy to address an array of social inequities as shown in </w:t>
      </w:r>
      <w:r w:rsidR="001018A8" w:rsidRPr="000763AE">
        <w:rPr>
          <w:rFonts w:eastAsia="Calibri"/>
        </w:rPr>
        <w:t>Figure</w:t>
      </w:r>
      <w:r w:rsidR="00BE42B3" w:rsidRPr="000763AE">
        <w:rPr>
          <w:rFonts w:eastAsia="Calibri"/>
        </w:rPr>
        <w:t>-3</w:t>
      </w:r>
      <w:r w:rsidRPr="000763AE">
        <w:rPr>
          <w:rFonts w:eastAsia="Calibri"/>
        </w:rPr>
        <w:t xml:space="preserve">.   The first of these new policies </w:t>
      </w:r>
      <w:r w:rsidR="00FC4332" w:rsidRPr="000763AE">
        <w:rPr>
          <w:rFonts w:eastAsia="Calibri"/>
        </w:rPr>
        <w:t>launched</w:t>
      </w:r>
      <w:r w:rsidRPr="000763AE">
        <w:rPr>
          <w:rFonts w:eastAsia="Calibri"/>
        </w:rPr>
        <w:t xml:space="preserve"> in 1961 when President Kennedy signed Executive Order 10925 into law which required government contractors to employ individuals irrespective of race, color, or national origin in order to promote equal opportunity to all qualified applicants (US Department of Labor, N/A).  This was followed by the Equal Pay Act in 1963 which prohibited employers to discriminate on wages based on gender (US Equal Employment Opportunity Commission, N/A).  In 1964, the Civil Rights Act was signed into law by President Johnson which ended segregation and prohibited discrimination in public places based on race, religion or national origin. The new law also gave the Justice Department the authority to sue any state that allowed discrimination against women and/or minorities (US Department of Labor, N/A).  Lastly, the Title VI included in the </w:t>
      </w:r>
      <w:r w:rsidRPr="000763AE">
        <w:rPr>
          <w:rFonts w:eastAsia="Calibri"/>
        </w:rPr>
        <w:lastRenderedPageBreak/>
        <w:t>Civil Rights Act mandated those entities receiving federal funding to guarantee equal access to all, irrespective of race, color, or origin (US Department of Labor, N/A).</w:t>
      </w:r>
    </w:p>
    <w:p w:rsidR="00D15BE0" w:rsidRPr="000763AE" w:rsidRDefault="00D15BE0" w:rsidP="00B11B34">
      <w:pPr>
        <w:autoSpaceDE w:val="0"/>
        <w:autoSpaceDN w:val="0"/>
        <w:adjustRightInd w:val="0"/>
        <w:spacing w:line="360" w:lineRule="auto"/>
        <w:jc w:val="both"/>
        <w:rPr>
          <w:rFonts w:eastAsia="Calibri"/>
        </w:rPr>
      </w:pPr>
      <w:r w:rsidRPr="000763AE">
        <w:rPr>
          <w:rFonts w:eastAsia="Calibri"/>
          <w:color w:val="FF0000"/>
        </w:rPr>
        <w:t xml:space="preserve"> </w:t>
      </w:r>
      <w:r w:rsidRPr="000763AE">
        <w:rPr>
          <w:rFonts w:eastAsia="Calibri"/>
          <w:color w:val="FF0000"/>
        </w:rPr>
        <w:tab/>
      </w:r>
      <w:r w:rsidRPr="000763AE">
        <w:rPr>
          <w:rFonts w:eastAsia="Calibri"/>
        </w:rPr>
        <w:t xml:space="preserve">In 1965, the Voting Rights Act and the Executive Order 11246 were enacted. Although the 15th amendment has provided African-Americans voting rights, many states particularly in the South established discriminatory practices, including poll taxes and literacy tests to prevent non-White voters from exercising their right to vote. The Voting Rights Act was aimed at abolishing these practices and allowing federal resources to be sent to polling areas to ensure fair practices were upheld (National Archives, 2019). The Executive Order 11246 prohibited discriminatory practices by employers based on race, color, religion, and ethnic origin for any organization receiving federal funding with sex being added to the original list in 1967 (US Department of Labor, N/A).  </w:t>
      </w:r>
    </w:p>
    <w:p w:rsidR="00D15BE0" w:rsidRPr="000763AE" w:rsidRDefault="00D15BE0" w:rsidP="00B11B34">
      <w:pPr>
        <w:autoSpaceDE w:val="0"/>
        <w:autoSpaceDN w:val="0"/>
        <w:adjustRightInd w:val="0"/>
        <w:spacing w:after="120" w:line="360" w:lineRule="auto"/>
        <w:jc w:val="both"/>
        <w:rPr>
          <w:rFonts w:eastAsia="Calibri"/>
          <w:color w:val="000000"/>
        </w:rPr>
      </w:pPr>
      <w:r w:rsidRPr="000763AE">
        <w:rPr>
          <w:rFonts w:eastAsia="Calibri"/>
        </w:rPr>
        <w:tab/>
        <w:t>Additionally, Medicare, which provides healthcare coverage for individuals over 65</w:t>
      </w:r>
      <w:r w:rsidR="00534F3A" w:rsidRPr="000763AE">
        <w:rPr>
          <w:rFonts w:eastAsia="Calibri"/>
        </w:rPr>
        <w:t xml:space="preserve"> and select other categories</w:t>
      </w:r>
      <w:r w:rsidRPr="000763AE">
        <w:rPr>
          <w:rFonts w:eastAsia="Calibri"/>
        </w:rPr>
        <w:t>, and Medicaid, a health insurance program for those with low income</w:t>
      </w:r>
      <w:r w:rsidR="00534F3A" w:rsidRPr="000763AE">
        <w:rPr>
          <w:rFonts w:eastAsia="Calibri"/>
        </w:rPr>
        <w:t xml:space="preserve"> who met other qualification requirements</w:t>
      </w:r>
      <w:r w:rsidRPr="000763AE">
        <w:rPr>
          <w:rFonts w:eastAsia="Calibri"/>
        </w:rPr>
        <w:t>, were officially established in 1965.  Although the Medicare and Medicaid benefits were available to all citizens who qualified regardless of color, race, or ethnic origin, segregation and service access inequalities still remained a prominent issue in most Southern states (</w:t>
      </w:r>
      <w:r w:rsidR="00674AED" w:rsidRPr="000763AE">
        <w:rPr>
          <w:rFonts w:eastAsia="Calibri"/>
          <w:color w:val="000000"/>
        </w:rPr>
        <w:t xml:space="preserve">Reynolds, 1997).  </w:t>
      </w:r>
      <w:r w:rsidRPr="000763AE">
        <w:rPr>
          <w:rFonts w:eastAsia="Calibri"/>
          <w:color w:val="000000"/>
        </w:rPr>
        <w:t>In many of these states, discriminatory practices ran rampant within hospitals, with 94% of them having varying degrees of segregation ranging from not admitting African-American patients at all to having segregated wards.  The creation of Medicare and Medicaid programs combined with the Title VI stipulation of barring segregation for any organization receiving public funding served as the catalyst for desegregation of hospitals nationally, providing one of the first major steps towards improving care and access for Africa</w:t>
      </w:r>
      <w:r w:rsidR="001018A8" w:rsidRPr="000763AE">
        <w:rPr>
          <w:rFonts w:eastAsia="Calibri"/>
          <w:color w:val="000000"/>
        </w:rPr>
        <w:t xml:space="preserve">n-Americans (Reynolds, 1997). </w:t>
      </w:r>
      <w:r w:rsidRPr="000763AE">
        <w:rPr>
          <w:rFonts w:eastAsia="Calibri"/>
          <w:color w:val="000000"/>
        </w:rPr>
        <w:t xml:space="preserve">Yet there seems to be little discussion or involvement on these social equity issues by the public administration community.  As a result, a group of young public administrators held the 1968 </w:t>
      </w:r>
      <w:proofErr w:type="spellStart"/>
      <w:r w:rsidRPr="000763AE">
        <w:rPr>
          <w:rFonts w:eastAsia="Calibri"/>
          <w:color w:val="000000"/>
        </w:rPr>
        <w:t>Minnowbrook</w:t>
      </w:r>
      <w:proofErr w:type="spellEnd"/>
      <w:r w:rsidRPr="000763AE">
        <w:rPr>
          <w:rFonts w:eastAsia="Calibri"/>
          <w:color w:val="000000"/>
        </w:rPr>
        <w:t xml:space="preserve"> Conference to discuss the social and regulatory impacts on public administration (</w:t>
      </w:r>
      <w:proofErr w:type="spellStart"/>
      <w:r w:rsidRPr="000763AE">
        <w:rPr>
          <w:rFonts w:eastAsia="Calibri"/>
          <w:color w:val="000000"/>
        </w:rPr>
        <w:t>Blessett</w:t>
      </w:r>
      <w:proofErr w:type="spellEnd"/>
      <w:r w:rsidRPr="000763AE">
        <w:rPr>
          <w:rFonts w:eastAsia="Calibri"/>
          <w:color w:val="000000"/>
        </w:rPr>
        <w:t xml:space="preserve">, 2019).  </w:t>
      </w:r>
    </w:p>
    <w:p w:rsidR="00F02989" w:rsidRPr="000763AE" w:rsidRDefault="00F02989" w:rsidP="00B11B34">
      <w:pPr>
        <w:autoSpaceDE w:val="0"/>
        <w:autoSpaceDN w:val="0"/>
        <w:adjustRightInd w:val="0"/>
        <w:spacing w:before="240" w:line="360" w:lineRule="auto"/>
        <w:jc w:val="both"/>
        <w:rPr>
          <w:rFonts w:eastAsia="Calibri"/>
          <w:b/>
        </w:rPr>
      </w:pPr>
      <w:r w:rsidRPr="000763AE">
        <w:rPr>
          <w:rFonts w:eastAsia="Calibri"/>
          <w:b/>
        </w:rPr>
        <w:br w:type="page"/>
      </w:r>
    </w:p>
    <w:p w:rsidR="00D15BE0" w:rsidRPr="000763AE" w:rsidRDefault="00BE42B3" w:rsidP="00F02989">
      <w:pPr>
        <w:autoSpaceDE w:val="0"/>
        <w:autoSpaceDN w:val="0"/>
        <w:adjustRightInd w:val="0"/>
        <w:spacing w:before="240"/>
        <w:jc w:val="both"/>
        <w:rPr>
          <w:rFonts w:eastAsia="Calibri"/>
        </w:rPr>
      </w:pPr>
      <w:proofErr w:type="gramStart"/>
      <w:r w:rsidRPr="000763AE">
        <w:rPr>
          <w:rFonts w:eastAsia="Calibri"/>
          <w:b/>
        </w:rPr>
        <w:lastRenderedPageBreak/>
        <w:t>Figure 3</w:t>
      </w:r>
      <w:r w:rsidR="00D15BE0" w:rsidRPr="000763AE">
        <w:rPr>
          <w:rFonts w:eastAsia="Calibri"/>
          <w:b/>
        </w:rPr>
        <w:t>.</w:t>
      </w:r>
      <w:proofErr w:type="gramEnd"/>
      <w:r w:rsidR="00D15BE0" w:rsidRPr="000763AE">
        <w:rPr>
          <w:rFonts w:eastAsia="Calibri"/>
        </w:rPr>
        <w:t xml:space="preserve">  </w:t>
      </w:r>
      <w:proofErr w:type="gramStart"/>
      <w:r w:rsidR="00D15BE0" w:rsidRPr="000763AE">
        <w:rPr>
          <w:rFonts w:eastAsia="Calibri"/>
        </w:rPr>
        <w:t xml:space="preserve">Timeline of significant events in the 1960s prior to 1968 </w:t>
      </w:r>
      <w:proofErr w:type="spellStart"/>
      <w:r w:rsidR="00D15BE0" w:rsidRPr="000763AE">
        <w:rPr>
          <w:rFonts w:eastAsia="Calibri"/>
        </w:rPr>
        <w:t>Minnowbrook</w:t>
      </w:r>
      <w:proofErr w:type="spellEnd"/>
      <w:r w:rsidR="00D15BE0" w:rsidRPr="000763AE">
        <w:rPr>
          <w:rFonts w:eastAsia="Calibri"/>
        </w:rPr>
        <w:t xml:space="preserve"> Conference.</w:t>
      </w:r>
      <w:proofErr w:type="gramEnd"/>
      <w:r w:rsidR="00D15BE0" w:rsidRPr="000763AE">
        <w:rPr>
          <w:rFonts w:eastAsia="Calibri"/>
        </w:rPr>
        <w:t xml:space="preserve"> </w:t>
      </w:r>
    </w:p>
    <w:p w:rsidR="00D15BE0" w:rsidRPr="000763AE" w:rsidRDefault="00D15BE0" w:rsidP="00F02989">
      <w:pPr>
        <w:autoSpaceDE w:val="0"/>
        <w:autoSpaceDN w:val="0"/>
        <w:adjustRightInd w:val="0"/>
        <w:jc w:val="both"/>
        <w:rPr>
          <w:rFonts w:eastAsia="Calibri"/>
        </w:rPr>
      </w:pPr>
    </w:p>
    <w:p w:rsidR="00D15BE0" w:rsidRPr="000763AE" w:rsidRDefault="00D15BE0" w:rsidP="00F02989">
      <w:pPr>
        <w:autoSpaceDE w:val="0"/>
        <w:autoSpaceDN w:val="0"/>
        <w:adjustRightInd w:val="0"/>
        <w:jc w:val="both"/>
        <w:rPr>
          <w:rFonts w:eastAsia="Calibri"/>
          <w:color w:val="FF0000"/>
        </w:rPr>
      </w:pPr>
      <w:r w:rsidRPr="000763AE">
        <w:rPr>
          <w:rFonts w:eastAsia="Calibri"/>
          <w:color w:val="FF0000"/>
        </w:rPr>
        <w:t xml:space="preserve">                                                                                                        </w:t>
      </w:r>
      <w:proofErr w:type="spellStart"/>
      <w:r w:rsidRPr="000763AE">
        <w:rPr>
          <w:rFonts w:eastAsia="Calibri"/>
          <w:sz w:val="22"/>
        </w:rPr>
        <w:t>Minnowbrook</w:t>
      </w:r>
      <w:proofErr w:type="spellEnd"/>
      <w:r w:rsidRPr="000763AE">
        <w:rPr>
          <w:rFonts w:eastAsia="Calibri"/>
          <w:sz w:val="22"/>
        </w:rPr>
        <w:t xml:space="preserve"> Conference</w:t>
      </w:r>
    </w:p>
    <w:p w:rsidR="00D15BE0" w:rsidRPr="000763AE" w:rsidRDefault="008252AC" w:rsidP="00F02989">
      <w:pPr>
        <w:autoSpaceDE w:val="0"/>
        <w:autoSpaceDN w:val="0"/>
        <w:adjustRightInd w:val="0"/>
        <w:rPr>
          <w:rFonts w:eastAsia="Calibri"/>
          <w:b/>
        </w:rPr>
      </w:pPr>
      <w:r>
        <w:rPr>
          <w:noProof/>
        </w:rPr>
        <mc:AlternateContent>
          <mc:Choice Requires="wps">
            <w:drawing>
              <wp:anchor distT="0" distB="0" distL="114300" distR="114300" simplePos="0" relativeHeight="251654656" behindDoc="0" locked="0" layoutInCell="1" allowOverlap="1">
                <wp:simplePos x="0" y="0"/>
                <wp:positionH relativeFrom="column">
                  <wp:posOffset>10160</wp:posOffset>
                </wp:positionH>
                <wp:positionV relativeFrom="paragraph">
                  <wp:posOffset>161290</wp:posOffset>
                </wp:positionV>
                <wp:extent cx="5433060" cy="233680"/>
                <wp:effectExtent l="0" t="19050" r="34290" b="33020"/>
                <wp:wrapNone/>
                <wp:docPr id="34" name="Right Arrow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33060" cy="233680"/>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4" o:spid="_x0000_s1026" type="#_x0000_t13" style="position:absolute;margin-left:.8pt;margin-top:12.7pt;width:427.8pt;height:18.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" adj="21135" fillcolor="#4f81bd" strokecolor="#385d8a" strokeweight="2pt">
                <v:path arrowok="t"/>
              </v:shape>
            </w:pict>
          </mc:Fallback>
        </mc:AlternateContent>
      </w:r>
      <w:r>
        <w:rPr>
          <w:noProof/>
        </w:rPr>
        <mc:AlternateContent>
          <mc:Choice Requires="wps">
            <w:drawing>
              <wp:anchor distT="4294967295" distB="4294967295" distL="114300" distR="114300" simplePos="0" relativeHeight="251656704" behindDoc="0" locked="0" layoutInCell="1" allowOverlap="1">
                <wp:simplePos x="0" y="0"/>
                <wp:positionH relativeFrom="column">
                  <wp:posOffset>3476625</wp:posOffset>
                </wp:positionH>
                <wp:positionV relativeFrom="paragraph">
                  <wp:posOffset>108584</wp:posOffset>
                </wp:positionV>
                <wp:extent cx="1223010" cy="0"/>
                <wp:effectExtent l="0" t="76200" r="15240" b="114300"/>
                <wp:wrapNone/>
                <wp:docPr id="36"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2301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6" o:spid="_x0000_s1026" type="#_x0000_t32" style="position:absolute;margin-left:273.75pt;margin-top:8.55pt;width:96.3pt;height:0;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" strokecolor="#4a7ebb">
                <v:stroke endarrow="open"/>
                <o:lock v:ext="edit" shapetype="f"/>
              </v:shape>
            </w:pict>
          </mc:Fallback>
        </mc:AlternateContent>
      </w:r>
      <w:r>
        <w:rPr>
          <w:noProof/>
        </w:rPr>
        <mc:AlternateContent>
          <mc:Choice Requires="wps">
            <w:drawing>
              <wp:anchor distT="4294967295" distB="4294967295" distL="114300" distR="114300" simplePos="0" relativeHeight="251655680" behindDoc="0" locked="0" layoutInCell="1" allowOverlap="1">
                <wp:simplePos x="0" y="0"/>
                <wp:positionH relativeFrom="column">
                  <wp:posOffset>339725</wp:posOffset>
                </wp:positionH>
                <wp:positionV relativeFrom="paragraph">
                  <wp:posOffset>108584</wp:posOffset>
                </wp:positionV>
                <wp:extent cx="1530350" cy="0"/>
                <wp:effectExtent l="38100" t="76200" r="0" b="114300"/>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53035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35" o:spid="_x0000_s1026" type="#_x0000_t32" style="position:absolute;margin-left:26.75pt;margin-top:8.55pt;width:120.5pt;height:0;flip:x;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" strokecolor="#4a7ebb">
                <v:stroke endarrow="open"/>
                <o:lock v:ext="edit" shapetype="f"/>
              </v:shape>
            </w:pict>
          </mc:Fallback>
        </mc:AlternateContent>
      </w:r>
      <w:r w:rsidR="00D15BE0" w:rsidRPr="000763AE">
        <w:rPr>
          <w:rFonts w:eastAsia="Calibri"/>
          <w:b/>
        </w:rPr>
        <w:t xml:space="preserve">1954                                           </w:t>
      </w:r>
      <w:r w:rsidR="00D15BE0" w:rsidRPr="000763AE">
        <w:rPr>
          <w:rFonts w:eastAsia="Calibri"/>
        </w:rPr>
        <w:t xml:space="preserve">Civil Rights Movement                                        </w:t>
      </w:r>
      <w:r w:rsidR="00D15BE0" w:rsidRPr="000763AE">
        <w:rPr>
          <w:rFonts w:eastAsia="Calibri"/>
          <w:b/>
        </w:rPr>
        <w:t>1968</w:t>
      </w:r>
    </w:p>
    <w:p w:rsidR="00D15BE0" w:rsidRPr="000763AE" w:rsidRDefault="00D15BE0" w:rsidP="00F02989">
      <w:pPr>
        <w:autoSpaceDE w:val="0"/>
        <w:autoSpaceDN w:val="0"/>
        <w:adjustRightInd w:val="0"/>
        <w:jc w:val="both"/>
        <w:rPr>
          <w:rFonts w:eastAsia="Calibri"/>
          <w:b/>
        </w:rPr>
      </w:pPr>
      <w:r w:rsidRPr="000763AE">
        <w:rPr>
          <w:rFonts w:eastAsia="Calibri"/>
          <w:b/>
          <w:color w:val="FF0000"/>
        </w:rPr>
        <w:t xml:space="preserve">    </w:t>
      </w:r>
      <w:r w:rsidRPr="000763AE">
        <w:rPr>
          <w:rFonts w:eastAsia="Calibri"/>
          <w:b/>
        </w:rPr>
        <w:t xml:space="preserve">  1961                          1963              </w:t>
      </w:r>
      <w:r w:rsidR="008B1E77" w:rsidRPr="000763AE">
        <w:rPr>
          <w:rFonts w:eastAsia="Calibri"/>
          <w:b/>
        </w:rPr>
        <w:t xml:space="preserve"> </w:t>
      </w:r>
      <w:r w:rsidRPr="000763AE">
        <w:rPr>
          <w:rFonts w:eastAsia="Calibri"/>
          <w:b/>
        </w:rPr>
        <w:t xml:space="preserve">1964                  </w:t>
      </w:r>
      <w:r w:rsidR="008B1E77" w:rsidRPr="000763AE">
        <w:rPr>
          <w:rFonts w:eastAsia="Calibri"/>
          <w:b/>
        </w:rPr>
        <w:t xml:space="preserve">    </w:t>
      </w:r>
      <w:r w:rsidR="00AA3E25" w:rsidRPr="000763AE">
        <w:rPr>
          <w:rFonts w:eastAsia="Calibri"/>
          <w:b/>
        </w:rPr>
        <w:t xml:space="preserve"> </w:t>
      </w:r>
      <w:r w:rsidRPr="000763AE">
        <w:rPr>
          <w:rFonts w:eastAsia="Calibri"/>
          <w:b/>
        </w:rPr>
        <w:t>1965</w:t>
      </w:r>
      <w:r w:rsidR="00AA3E25" w:rsidRPr="000763AE">
        <w:rPr>
          <w:rFonts w:eastAsia="Calibri"/>
          <w:b/>
        </w:rPr>
        <w:t xml:space="preserve">                      </w:t>
      </w:r>
      <w:r w:rsidR="008B1E77" w:rsidRPr="000763AE">
        <w:rPr>
          <w:rFonts w:eastAsia="Calibri"/>
          <w:b/>
        </w:rPr>
        <w:t xml:space="preserve"> </w:t>
      </w:r>
      <w:r w:rsidRPr="000763AE">
        <w:rPr>
          <w:rFonts w:eastAsia="Calibri"/>
          <w:b/>
        </w:rPr>
        <w:t>1966</w:t>
      </w:r>
    </w:p>
    <w:p w:rsidR="00D15BE0" w:rsidRPr="000763AE" w:rsidRDefault="00D15BE0" w:rsidP="00F02989">
      <w:pPr>
        <w:autoSpaceDE w:val="0"/>
        <w:autoSpaceDN w:val="0"/>
        <w:adjustRightInd w:val="0"/>
        <w:rPr>
          <w:rFonts w:eastAsia="Calibri"/>
          <w:b/>
          <w:color w:val="FF0000"/>
        </w:rPr>
      </w:pPr>
      <w:r w:rsidRPr="000763AE">
        <w:rPr>
          <w:rFonts w:eastAsia="Calibri"/>
          <w:sz w:val="22"/>
        </w:rPr>
        <w:t xml:space="preserve">Executive Order 10925   Equal Pay Act   Civil Rights Act   Voting Rights Act         Title VI/ </w:t>
      </w:r>
    </w:p>
    <w:p w:rsidR="00D15BE0" w:rsidRPr="000763AE" w:rsidRDefault="00D15BE0" w:rsidP="00F02989">
      <w:pPr>
        <w:autoSpaceDE w:val="0"/>
        <w:autoSpaceDN w:val="0"/>
        <w:adjustRightInd w:val="0"/>
        <w:jc w:val="both"/>
        <w:rPr>
          <w:rFonts w:eastAsia="Calibri"/>
          <w:sz w:val="22"/>
        </w:rPr>
      </w:pPr>
      <w:r w:rsidRPr="000763AE">
        <w:rPr>
          <w:rFonts w:eastAsia="Calibri"/>
          <w:sz w:val="22"/>
        </w:rPr>
        <w:t xml:space="preserve">                                                                                        Medicare/ Medicaid    Medicare</w:t>
      </w:r>
    </w:p>
    <w:p w:rsidR="00D15BE0" w:rsidRPr="000763AE" w:rsidRDefault="00D15BE0" w:rsidP="00F02989">
      <w:pPr>
        <w:autoSpaceDE w:val="0"/>
        <w:autoSpaceDN w:val="0"/>
        <w:adjustRightInd w:val="0"/>
        <w:jc w:val="both"/>
        <w:rPr>
          <w:rFonts w:eastAsia="Calibri"/>
          <w:sz w:val="20"/>
        </w:rPr>
      </w:pPr>
      <w:r w:rsidRPr="000763AE">
        <w:rPr>
          <w:rFonts w:eastAsia="Calibri"/>
          <w:sz w:val="22"/>
        </w:rPr>
        <w:t xml:space="preserve">                                                                                     Executive Order 11246</w:t>
      </w:r>
    </w:p>
    <w:p w:rsidR="00D15BE0" w:rsidRPr="000763AE" w:rsidRDefault="00D15BE0" w:rsidP="00B11B34">
      <w:pPr>
        <w:autoSpaceDE w:val="0"/>
        <w:autoSpaceDN w:val="0"/>
        <w:adjustRightInd w:val="0"/>
        <w:spacing w:line="360" w:lineRule="auto"/>
        <w:jc w:val="both"/>
        <w:rPr>
          <w:rFonts w:eastAsia="Calibri"/>
          <w:b/>
          <w:sz w:val="22"/>
        </w:rPr>
      </w:pPr>
      <w:r w:rsidRPr="000763AE">
        <w:rPr>
          <w:rFonts w:eastAsia="Calibri"/>
          <w:b/>
          <w:sz w:val="20"/>
        </w:rPr>
        <w:t xml:space="preserve">                                  </w:t>
      </w:r>
    </w:p>
    <w:p w:rsidR="00D15BE0" w:rsidRPr="000763AE" w:rsidRDefault="00D15BE0" w:rsidP="00B11B34">
      <w:pPr>
        <w:autoSpaceDE w:val="0"/>
        <w:autoSpaceDN w:val="0"/>
        <w:adjustRightInd w:val="0"/>
        <w:spacing w:before="240" w:line="360" w:lineRule="auto"/>
        <w:jc w:val="both"/>
        <w:rPr>
          <w:rFonts w:eastAsia="Calibri"/>
          <w:b/>
        </w:rPr>
      </w:pPr>
      <w:proofErr w:type="spellStart"/>
      <w:r w:rsidRPr="000763AE">
        <w:rPr>
          <w:rFonts w:eastAsia="Calibri"/>
          <w:b/>
        </w:rPr>
        <w:t>Minnowbrook</w:t>
      </w:r>
      <w:proofErr w:type="spellEnd"/>
      <w:r w:rsidRPr="000763AE">
        <w:rPr>
          <w:rFonts w:eastAsia="Calibri"/>
          <w:b/>
        </w:rPr>
        <w:t xml:space="preserve"> and New Public Administration </w:t>
      </w:r>
    </w:p>
    <w:p w:rsidR="00D15BE0" w:rsidRPr="000763AE" w:rsidRDefault="00D15BE0" w:rsidP="00B11B34">
      <w:pPr>
        <w:autoSpaceDE w:val="0"/>
        <w:autoSpaceDN w:val="0"/>
        <w:adjustRightInd w:val="0"/>
        <w:spacing w:line="360" w:lineRule="auto"/>
        <w:jc w:val="both"/>
        <w:rPr>
          <w:rFonts w:eastAsia="Calibri"/>
          <w:color w:val="000000"/>
        </w:rPr>
      </w:pPr>
      <w:r w:rsidRPr="000763AE">
        <w:rPr>
          <w:rFonts w:eastAsia="Calibri"/>
          <w:b/>
          <w:color w:val="FF0000"/>
        </w:rPr>
        <w:tab/>
      </w:r>
      <w:r w:rsidRPr="000763AE">
        <w:rPr>
          <w:rFonts w:eastAsia="Calibri"/>
        </w:rPr>
        <w:t xml:space="preserve">Prior to the 1968 </w:t>
      </w:r>
      <w:proofErr w:type="spellStart"/>
      <w:r w:rsidRPr="000763AE">
        <w:rPr>
          <w:rFonts w:eastAsia="Calibri"/>
        </w:rPr>
        <w:t>Minnowbrook</w:t>
      </w:r>
      <w:proofErr w:type="spellEnd"/>
      <w:r w:rsidRPr="000763AE">
        <w:rPr>
          <w:rFonts w:eastAsia="Calibri"/>
        </w:rPr>
        <w:t xml:space="preserve"> conference, social equity was more of an inferred value of public fairness, justice, and rights than a solid pillar of public administration (Guy, 2012).   The incorporation of social equity as a pillar resulted from the discussion and essays presented by young scholars at the 1968 </w:t>
      </w:r>
      <w:proofErr w:type="spellStart"/>
      <w:r w:rsidRPr="000763AE">
        <w:rPr>
          <w:rFonts w:eastAsia="Calibri"/>
        </w:rPr>
        <w:t>Minnowbook</w:t>
      </w:r>
      <w:proofErr w:type="spellEnd"/>
      <w:r w:rsidRPr="000763AE">
        <w:rPr>
          <w:rFonts w:eastAsia="Calibri"/>
        </w:rPr>
        <w:t xml:space="preserve"> Conference</w:t>
      </w:r>
      <w:r w:rsidR="00C3361D" w:rsidRPr="000763AE">
        <w:rPr>
          <w:rFonts w:eastAsia="Calibri"/>
        </w:rPr>
        <w:t>;</w:t>
      </w:r>
      <w:r w:rsidRPr="000763AE">
        <w:rPr>
          <w:rFonts w:eastAsia="Calibri"/>
        </w:rPr>
        <w:t xml:space="preserve"> th</w:t>
      </w:r>
      <w:r w:rsidR="00C3361D" w:rsidRPr="000763AE">
        <w:rPr>
          <w:rFonts w:eastAsia="Calibri"/>
        </w:rPr>
        <w:t>ey</w:t>
      </w:r>
      <w:r w:rsidRPr="000763AE">
        <w:rPr>
          <w:rFonts w:eastAsia="Calibri"/>
        </w:rPr>
        <w:t xml:space="preserve"> were dissatisfied with the lack of emphasis traditional public administration had placed on social equity issues. The traditional view of senior public administrators seemed out of touch with the current times and failed to provide value to equality for certain segments of the population. This 1968 </w:t>
      </w:r>
      <w:proofErr w:type="spellStart"/>
      <w:r w:rsidRPr="000763AE">
        <w:rPr>
          <w:rFonts w:eastAsia="Calibri"/>
        </w:rPr>
        <w:t>Minnowbrook</w:t>
      </w:r>
      <w:proofErr w:type="spellEnd"/>
      <w:r w:rsidRPr="000763AE">
        <w:rPr>
          <w:rFonts w:eastAsia="Calibri"/>
        </w:rPr>
        <w:t xml:space="preserve"> conference set the stage for a “New Public Administration” (Frederickson, 1980).   As a result, a few young public administration leaders published books that expanded traditional public administration theory to make it more relevant to the times and include social equity as part of the framework.  These publications included Dwight Waldo’s Public Administration in a Time of Turbulence, H. George Fredrickson’s Neighborhood Control in the 1970’s, and Frank Marini’s Toward a New Public Administration (Frederickson, 1980).</w:t>
      </w:r>
      <w:r w:rsidRPr="000763AE">
        <w:rPr>
          <w:rFonts w:eastAsia="Calibri"/>
          <w:b/>
        </w:rPr>
        <w:t xml:space="preserve">  </w:t>
      </w:r>
      <w:r w:rsidRPr="000763AE">
        <w:rPr>
          <w:rFonts w:eastAsia="Calibri"/>
        </w:rPr>
        <w:t xml:space="preserve">Over the next 30 years, two additional conferences, 1988 </w:t>
      </w:r>
      <w:proofErr w:type="spellStart"/>
      <w:r w:rsidRPr="000763AE">
        <w:rPr>
          <w:rFonts w:eastAsia="Calibri"/>
        </w:rPr>
        <w:t>Minnowbrook</w:t>
      </w:r>
      <w:proofErr w:type="spellEnd"/>
      <w:r w:rsidRPr="000763AE">
        <w:rPr>
          <w:rFonts w:eastAsia="Calibri"/>
        </w:rPr>
        <w:t xml:space="preserve"> II and 2008 </w:t>
      </w:r>
      <w:proofErr w:type="spellStart"/>
      <w:r w:rsidRPr="000763AE">
        <w:rPr>
          <w:rFonts w:eastAsia="Calibri"/>
        </w:rPr>
        <w:t>Minnowbrook</w:t>
      </w:r>
      <w:proofErr w:type="spellEnd"/>
      <w:r w:rsidRPr="000763AE">
        <w:rPr>
          <w:rFonts w:eastAsia="Calibri"/>
        </w:rPr>
        <w:t xml:space="preserve"> III, were held to assess the progress of the New Public Administration as well as to discuss the future of field.  In 2018, a fourth conference was held. It was called </w:t>
      </w:r>
      <w:proofErr w:type="spellStart"/>
      <w:r w:rsidRPr="000763AE">
        <w:rPr>
          <w:rFonts w:eastAsia="Calibri"/>
        </w:rPr>
        <w:t>Minnowbrook</w:t>
      </w:r>
      <w:proofErr w:type="spellEnd"/>
      <w:r w:rsidRPr="000763AE">
        <w:rPr>
          <w:rFonts w:eastAsia="Calibri"/>
        </w:rPr>
        <w:t xml:space="preserve"> 50 in honor of the 50 years since the original conference.  The tone of this conference was similar to that of the 1968 </w:t>
      </w:r>
      <w:proofErr w:type="spellStart"/>
      <w:r w:rsidRPr="000763AE">
        <w:rPr>
          <w:rFonts w:eastAsia="Calibri"/>
        </w:rPr>
        <w:t>Minnowbrook</w:t>
      </w:r>
      <w:proofErr w:type="spellEnd"/>
      <w:r w:rsidRPr="000763AE">
        <w:rPr>
          <w:rFonts w:eastAsia="Calibri"/>
        </w:rPr>
        <w:t xml:space="preserve"> Conference in that it concerns were raised regarding a need </w:t>
      </w:r>
      <w:r w:rsidR="00340715" w:rsidRPr="000763AE">
        <w:rPr>
          <w:rFonts w:eastAsia="Calibri"/>
        </w:rPr>
        <w:t>for</w:t>
      </w:r>
      <w:r w:rsidRPr="000763AE">
        <w:rPr>
          <w:rFonts w:eastAsia="Calibri"/>
        </w:rPr>
        <w:t xml:space="preserve"> change and for action in the field of public administration to address mounting public issues, distrust of government, economical strains at both the federal and state levels, </w:t>
      </w:r>
      <w:r w:rsidRPr="000763AE">
        <w:rPr>
          <w:rFonts w:eastAsia="Calibri"/>
          <w:color w:val="000000"/>
        </w:rPr>
        <w:t xml:space="preserve">and the lack of practicality and operational application of the research being published in the </w:t>
      </w:r>
      <w:r w:rsidRPr="000763AE">
        <w:rPr>
          <w:rFonts w:eastAsia="Calibri"/>
          <w:color w:val="000000"/>
        </w:rPr>
        <w:lastRenderedPageBreak/>
        <w:t>field.  The findings and recommendations raised around the seven key topics are listed below (</w:t>
      </w:r>
      <w:proofErr w:type="spellStart"/>
      <w:r w:rsidRPr="000763AE">
        <w:rPr>
          <w:rFonts w:eastAsia="Calibri"/>
          <w:color w:val="000000"/>
        </w:rPr>
        <w:t>Nabatchi</w:t>
      </w:r>
      <w:proofErr w:type="spellEnd"/>
      <w:r w:rsidRPr="000763AE">
        <w:rPr>
          <w:rFonts w:eastAsia="Calibri"/>
          <w:color w:val="000000"/>
        </w:rPr>
        <w:t>, 2019).</w:t>
      </w:r>
    </w:p>
    <w:p w:rsidR="00F02989" w:rsidRPr="000763AE" w:rsidRDefault="00F02989" w:rsidP="00B11B34">
      <w:pPr>
        <w:autoSpaceDE w:val="0"/>
        <w:autoSpaceDN w:val="0"/>
        <w:adjustRightInd w:val="0"/>
        <w:spacing w:line="360" w:lineRule="auto"/>
        <w:jc w:val="both"/>
        <w:rPr>
          <w:rFonts w:eastAsia="Calibri"/>
          <w:color w:val="000000"/>
        </w:rPr>
      </w:pPr>
    </w:p>
    <w:p w:rsidR="00D15BE0" w:rsidRPr="000763AE" w:rsidRDefault="00D15BE0" w:rsidP="00B11B34">
      <w:pPr>
        <w:autoSpaceDE w:val="0"/>
        <w:autoSpaceDN w:val="0"/>
        <w:adjustRightInd w:val="0"/>
        <w:spacing w:after="60" w:line="360" w:lineRule="auto"/>
        <w:ind w:left="432"/>
        <w:jc w:val="both"/>
        <w:rPr>
          <w:rFonts w:eastAsia="Calibri"/>
          <w:color w:val="000000"/>
        </w:rPr>
      </w:pPr>
      <w:r w:rsidRPr="000763AE">
        <w:rPr>
          <w:rFonts w:eastAsia="Calibri"/>
          <w:color w:val="000000"/>
        </w:rPr>
        <w:t>1. Improving the Relevance of Public Administration Scholarship</w:t>
      </w:r>
    </w:p>
    <w:p w:rsidR="00D15BE0" w:rsidRPr="000763AE" w:rsidRDefault="00D15BE0" w:rsidP="00B11B34">
      <w:pPr>
        <w:autoSpaceDE w:val="0"/>
        <w:autoSpaceDN w:val="0"/>
        <w:adjustRightInd w:val="0"/>
        <w:spacing w:after="60" w:line="360" w:lineRule="auto"/>
        <w:ind w:left="432"/>
        <w:jc w:val="both"/>
        <w:rPr>
          <w:rFonts w:eastAsia="Calibri"/>
          <w:color w:val="000000"/>
        </w:rPr>
      </w:pPr>
      <w:r w:rsidRPr="000763AE">
        <w:rPr>
          <w:rFonts w:eastAsia="Calibri"/>
          <w:color w:val="000000"/>
        </w:rPr>
        <w:t xml:space="preserve">2. Using Analytical Frameworks that operate at and link micro-, </w:t>
      </w:r>
      <w:proofErr w:type="spellStart"/>
      <w:r w:rsidRPr="000763AE">
        <w:rPr>
          <w:rFonts w:eastAsia="Calibri"/>
          <w:color w:val="000000"/>
        </w:rPr>
        <w:t>meso</w:t>
      </w:r>
      <w:proofErr w:type="spellEnd"/>
      <w:r w:rsidRPr="000763AE">
        <w:rPr>
          <w:rFonts w:eastAsia="Calibri"/>
          <w:color w:val="000000"/>
        </w:rPr>
        <w:t xml:space="preserve">-,  </w:t>
      </w:r>
    </w:p>
    <w:p w:rsidR="00D15BE0" w:rsidRPr="000763AE" w:rsidRDefault="00D15BE0" w:rsidP="00B11B34">
      <w:pPr>
        <w:autoSpaceDE w:val="0"/>
        <w:autoSpaceDN w:val="0"/>
        <w:adjustRightInd w:val="0"/>
        <w:spacing w:after="60" w:line="360" w:lineRule="auto"/>
        <w:ind w:left="432"/>
        <w:jc w:val="both"/>
        <w:rPr>
          <w:rFonts w:eastAsia="Calibri"/>
          <w:color w:val="000000"/>
        </w:rPr>
      </w:pPr>
      <w:r w:rsidRPr="000763AE">
        <w:rPr>
          <w:rFonts w:eastAsia="Calibri"/>
          <w:color w:val="000000"/>
        </w:rPr>
        <w:t xml:space="preserve">    </w:t>
      </w:r>
      <w:proofErr w:type="gramStart"/>
      <w:r w:rsidRPr="000763AE">
        <w:rPr>
          <w:rFonts w:eastAsia="Calibri"/>
          <w:color w:val="000000"/>
        </w:rPr>
        <w:t>and</w:t>
      </w:r>
      <w:proofErr w:type="gramEnd"/>
      <w:r w:rsidRPr="000763AE">
        <w:rPr>
          <w:rFonts w:eastAsia="Calibri"/>
          <w:color w:val="000000"/>
        </w:rPr>
        <w:t xml:space="preserve"> macro- level research</w:t>
      </w:r>
    </w:p>
    <w:p w:rsidR="00D15BE0" w:rsidRPr="000763AE" w:rsidRDefault="00D15BE0" w:rsidP="00B11B34">
      <w:pPr>
        <w:autoSpaceDE w:val="0"/>
        <w:autoSpaceDN w:val="0"/>
        <w:adjustRightInd w:val="0"/>
        <w:spacing w:after="60" w:line="360" w:lineRule="auto"/>
        <w:ind w:left="432"/>
        <w:jc w:val="both"/>
        <w:rPr>
          <w:rFonts w:eastAsia="Calibri"/>
          <w:color w:val="000000"/>
        </w:rPr>
      </w:pPr>
      <w:r w:rsidRPr="000763AE">
        <w:rPr>
          <w:rFonts w:eastAsia="Calibri"/>
          <w:color w:val="000000"/>
        </w:rPr>
        <w:t>3. Overcoming American Centricity in the field</w:t>
      </w:r>
    </w:p>
    <w:p w:rsidR="00D15BE0" w:rsidRPr="000763AE" w:rsidRDefault="00D15BE0" w:rsidP="00B11B34">
      <w:pPr>
        <w:autoSpaceDE w:val="0"/>
        <w:autoSpaceDN w:val="0"/>
        <w:adjustRightInd w:val="0"/>
        <w:spacing w:after="60" w:line="360" w:lineRule="auto"/>
        <w:ind w:left="432"/>
        <w:jc w:val="both"/>
        <w:rPr>
          <w:rFonts w:eastAsia="Calibri"/>
          <w:color w:val="000000"/>
        </w:rPr>
      </w:pPr>
      <w:r w:rsidRPr="000763AE">
        <w:rPr>
          <w:rFonts w:eastAsia="Calibri"/>
          <w:color w:val="000000"/>
        </w:rPr>
        <w:t>4. Developing Integrative Public Administration</w:t>
      </w:r>
    </w:p>
    <w:p w:rsidR="00D15BE0" w:rsidRPr="000763AE" w:rsidRDefault="00D15BE0" w:rsidP="00B11B34">
      <w:pPr>
        <w:autoSpaceDE w:val="0"/>
        <w:autoSpaceDN w:val="0"/>
        <w:adjustRightInd w:val="0"/>
        <w:spacing w:after="60" w:line="360" w:lineRule="auto"/>
        <w:ind w:left="432"/>
        <w:jc w:val="both"/>
        <w:rPr>
          <w:rFonts w:eastAsia="Calibri"/>
          <w:color w:val="000000"/>
        </w:rPr>
      </w:pPr>
      <w:r w:rsidRPr="000763AE">
        <w:rPr>
          <w:rFonts w:eastAsia="Calibri"/>
          <w:color w:val="000000"/>
        </w:rPr>
        <w:t>5. Expanding research to include Automation and Artificial Intelligence</w:t>
      </w:r>
    </w:p>
    <w:p w:rsidR="00D15BE0" w:rsidRPr="000763AE" w:rsidRDefault="00D15BE0" w:rsidP="00B11B34">
      <w:pPr>
        <w:autoSpaceDE w:val="0"/>
        <w:autoSpaceDN w:val="0"/>
        <w:adjustRightInd w:val="0"/>
        <w:spacing w:after="60" w:line="360" w:lineRule="auto"/>
        <w:ind w:left="432"/>
        <w:jc w:val="both"/>
        <w:rPr>
          <w:rFonts w:eastAsia="Calibri"/>
          <w:color w:val="000000"/>
        </w:rPr>
      </w:pPr>
      <w:r w:rsidRPr="000763AE">
        <w:rPr>
          <w:rFonts w:eastAsia="Calibri"/>
          <w:color w:val="000000"/>
        </w:rPr>
        <w:t>6. Addressing questions of Democracy, Public Administration, and Public Values</w:t>
      </w:r>
    </w:p>
    <w:p w:rsidR="00D15BE0" w:rsidRDefault="00D15BE0" w:rsidP="00B11B34">
      <w:pPr>
        <w:autoSpaceDE w:val="0"/>
        <w:autoSpaceDN w:val="0"/>
        <w:adjustRightInd w:val="0"/>
        <w:spacing w:after="60" w:line="360" w:lineRule="auto"/>
        <w:ind w:left="432"/>
        <w:jc w:val="both"/>
        <w:rPr>
          <w:rFonts w:eastAsia="Calibri"/>
          <w:color w:val="000000"/>
        </w:rPr>
      </w:pPr>
      <w:r w:rsidRPr="000763AE">
        <w:rPr>
          <w:rFonts w:eastAsia="Calibri"/>
          <w:color w:val="000000"/>
        </w:rPr>
        <w:t>7. Attending to Social Equity in Public Administration</w:t>
      </w:r>
    </w:p>
    <w:p w:rsidR="0003598B" w:rsidRPr="0003598B" w:rsidRDefault="0003598B" w:rsidP="00B11B34">
      <w:pPr>
        <w:autoSpaceDE w:val="0"/>
        <w:autoSpaceDN w:val="0"/>
        <w:adjustRightInd w:val="0"/>
        <w:spacing w:after="60" w:line="360" w:lineRule="auto"/>
        <w:ind w:left="432"/>
        <w:jc w:val="both"/>
        <w:rPr>
          <w:rFonts w:eastAsia="Calibri"/>
          <w:color w:val="000000"/>
        </w:rPr>
      </w:pPr>
    </w:p>
    <w:p w:rsidR="00D15BE0" w:rsidRPr="000763AE" w:rsidRDefault="0003598B" w:rsidP="00B11B34">
      <w:pPr>
        <w:autoSpaceDE w:val="0"/>
        <w:autoSpaceDN w:val="0"/>
        <w:adjustRightInd w:val="0"/>
        <w:spacing w:line="360" w:lineRule="auto"/>
        <w:jc w:val="both"/>
        <w:rPr>
          <w:rFonts w:eastAsia="Calibri"/>
          <w:color w:val="000000"/>
        </w:rPr>
      </w:pPr>
      <w:r>
        <w:rPr>
          <w:rFonts w:eastAsia="Calibri"/>
        </w:rPr>
        <w:tab/>
      </w:r>
      <w:r w:rsidR="00D15BE0" w:rsidRPr="000763AE">
        <w:rPr>
          <w:rFonts w:eastAsia="Calibri"/>
        </w:rPr>
        <w:t xml:space="preserve">With respect to Social Equity, </w:t>
      </w:r>
      <w:r w:rsidR="00D15BE0" w:rsidRPr="000763AE">
        <w:rPr>
          <w:rFonts w:eastAsia="Calibri"/>
          <w:color w:val="000000"/>
        </w:rPr>
        <w:t xml:space="preserve">the key finding that was discussed at </w:t>
      </w:r>
      <w:proofErr w:type="spellStart"/>
      <w:r w:rsidR="00D15BE0" w:rsidRPr="000763AE">
        <w:rPr>
          <w:rFonts w:eastAsia="Calibri"/>
          <w:color w:val="000000"/>
        </w:rPr>
        <w:t>Minnowbrook</w:t>
      </w:r>
      <w:proofErr w:type="spellEnd"/>
      <w:r w:rsidR="00D15BE0" w:rsidRPr="000763AE">
        <w:rPr>
          <w:rFonts w:eastAsia="Calibri"/>
          <w:color w:val="000000"/>
        </w:rPr>
        <w:t xml:space="preserve"> 50 was that even though social equity had been adopted as a pillar of public administration for several decades, there are still many barriers and obstacles when it comes to research, teaching, and practice in public administration. As a result, a Social Equity Manifesto was created as “a call to action” for public administrators (</w:t>
      </w:r>
      <w:proofErr w:type="spellStart"/>
      <w:r w:rsidR="00D15BE0" w:rsidRPr="000763AE">
        <w:rPr>
          <w:rFonts w:eastAsia="Calibri"/>
          <w:color w:val="000000"/>
        </w:rPr>
        <w:t>Blessett</w:t>
      </w:r>
      <w:proofErr w:type="spellEnd"/>
      <w:r w:rsidR="00D15BE0" w:rsidRPr="000763AE">
        <w:rPr>
          <w:rFonts w:eastAsia="Calibri"/>
          <w:color w:val="000000"/>
        </w:rPr>
        <w:t xml:space="preserve">, 2019).  The manifesto focuses on seven principles to promote the infusion of social equity within public administration and ask those in the field to take action. </w:t>
      </w:r>
    </w:p>
    <w:p w:rsidR="00D15BE0" w:rsidRPr="000763AE" w:rsidRDefault="00D15BE0" w:rsidP="00B11B34">
      <w:pPr>
        <w:autoSpaceDE w:val="0"/>
        <w:autoSpaceDN w:val="0"/>
        <w:adjustRightInd w:val="0"/>
        <w:spacing w:before="120" w:line="360" w:lineRule="auto"/>
        <w:jc w:val="both"/>
        <w:rPr>
          <w:rFonts w:eastAsia="Calibri"/>
          <w:b/>
          <w:color w:val="000000"/>
        </w:rPr>
      </w:pPr>
      <w:r w:rsidRPr="000763AE">
        <w:rPr>
          <w:rFonts w:eastAsia="Calibri"/>
          <w:b/>
          <w:color w:val="000000"/>
        </w:rPr>
        <w:t>Principles of Social Equity</w:t>
      </w:r>
    </w:p>
    <w:p w:rsidR="00D15BE0" w:rsidRPr="000763AE" w:rsidRDefault="00D15BE0" w:rsidP="00B11B34">
      <w:pPr>
        <w:autoSpaceDE w:val="0"/>
        <w:autoSpaceDN w:val="0"/>
        <w:adjustRightInd w:val="0"/>
        <w:spacing w:line="360" w:lineRule="auto"/>
        <w:jc w:val="both"/>
        <w:rPr>
          <w:rFonts w:eastAsia="Calibri"/>
          <w:color w:val="000000"/>
        </w:rPr>
      </w:pPr>
      <w:r w:rsidRPr="000763AE">
        <w:rPr>
          <w:rFonts w:eastAsia="Calibri"/>
          <w:color w:val="000000"/>
        </w:rPr>
        <w:t>There are four principles used to evaluate whether or not social equity is present. These measures are:</w:t>
      </w:r>
    </w:p>
    <w:p w:rsidR="00D15BE0" w:rsidRPr="000763AE" w:rsidRDefault="00D15BE0" w:rsidP="00B11B34">
      <w:pPr>
        <w:numPr>
          <w:ilvl w:val="0"/>
          <w:numId w:val="2"/>
        </w:numPr>
        <w:autoSpaceDE w:val="0"/>
        <w:autoSpaceDN w:val="0"/>
        <w:adjustRightInd w:val="0"/>
        <w:spacing w:line="360" w:lineRule="auto"/>
        <w:jc w:val="both"/>
        <w:rPr>
          <w:rFonts w:eastAsia="Calibri"/>
          <w:color w:val="000000"/>
        </w:rPr>
      </w:pPr>
      <w:r w:rsidRPr="000763AE">
        <w:rPr>
          <w:rFonts w:eastAsia="Calibri"/>
          <w:color w:val="000000"/>
        </w:rPr>
        <w:t>Procedural fairness</w:t>
      </w:r>
    </w:p>
    <w:p w:rsidR="00D15BE0" w:rsidRPr="000763AE" w:rsidRDefault="00D15BE0" w:rsidP="00B11B34">
      <w:pPr>
        <w:numPr>
          <w:ilvl w:val="0"/>
          <w:numId w:val="2"/>
        </w:numPr>
        <w:autoSpaceDE w:val="0"/>
        <w:autoSpaceDN w:val="0"/>
        <w:adjustRightInd w:val="0"/>
        <w:spacing w:line="360" w:lineRule="auto"/>
        <w:jc w:val="both"/>
        <w:rPr>
          <w:rFonts w:eastAsia="Calibri"/>
          <w:color w:val="000000"/>
        </w:rPr>
      </w:pPr>
      <w:r w:rsidRPr="000763AE">
        <w:rPr>
          <w:rFonts w:eastAsia="Calibri"/>
          <w:color w:val="000000"/>
        </w:rPr>
        <w:t>Distributional equity</w:t>
      </w:r>
    </w:p>
    <w:p w:rsidR="00D15BE0" w:rsidRPr="000763AE" w:rsidRDefault="00D15BE0" w:rsidP="00B11B34">
      <w:pPr>
        <w:numPr>
          <w:ilvl w:val="0"/>
          <w:numId w:val="2"/>
        </w:numPr>
        <w:autoSpaceDE w:val="0"/>
        <w:autoSpaceDN w:val="0"/>
        <w:adjustRightInd w:val="0"/>
        <w:spacing w:line="360" w:lineRule="auto"/>
        <w:jc w:val="both"/>
        <w:rPr>
          <w:rFonts w:eastAsia="Calibri"/>
          <w:color w:val="000000"/>
        </w:rPr>
      </w:pPr>
      <w:r w:rsidRPr="000763AE">
        <w:rPr>
          <w:rFonts w:eastAsia="Calibri"/>
          <w:color w:val="000000"/>
        </w:rPr>
        <w:t>Process equity</w:t>
      </w:r>
    </w:p>
    <w:p w:rsidR="00D15BE0" w:rsidRPr="000763AE" w:rsidRDefault="00D15BE0" w:rsidP="00B11B34">
      <w:pPr>
        <w:numPr>
          <w:ilvl w:val="0"/>
          <w:numId w:val="2"/>
        </w:numPr>
        <w:autoSpaceDE w:val="0"/>
        <w:autoSpaceDN w:val="0"/>
        <w:adjustRightInd w:val="0"/>
        <w:spacing w:line="360" w:lineRule="auto"/>
        <w:jc w:val="both"/>
        <w:rPr>
          <w:rFonts w:eastAsia="Calibri"/>
          <w:color w:val="000000"/>
        </w:rPr>
      </w:pPr>
      <w:r w:rsidRPr="000763AE">
        <w:rPr>
          <w:rFonts w:eastAsia="Calibri"/>
          <w:color w:val="000000"/>
        </w:rPr>
        <w:t xml:space="preserve">Outcome disparities </w:t>
      </w:r>
    </w:p>
    <w:p w:rsidR="00D15BE0" w:rsidRPr="000763AE" w:rsidRDefault="00D15BE0" w:rsidP="00B11B34">
      <w:pPr>
        <w:autoSpaceDE w:val="0"/>
        <w:autoSpaceDN w:val="0"/>
        <w:adjustRightInd w:val="0"/>
        <w:spacing w:line="360" w:lineRule="auto"/>
        <w:ind w:left="1080"/>
        <w:jc w:val="both"/>
        <w:rPr>
          <w:rFonts w:eastAsia="Calibri"/>
          <w:color w:val="000000"/>
        </w:rPr>
      </w:pPr>
    </w:p>
    <w:p w:rsidR="00D15BE0" w:rsidRPr="000763AE" w:rsidRDefault="00D15BE0" w:rsidP="00B11B34">
      <w:pPr>
        <w:autoSpaceDE w:val="0"/>
        <w:autoSpaceDN w:val="0"/>
        <w:adjustRightInd w:val="0"/>
        <w:spacing w:line="360" w:lineRule="auto"/>
        <w:jc w:val="both"/>
        <w:rPr>
          <w:rFonts w:eastAsia="Calibri"/>
          <w:color w:val="000000"/>
        </w:rPr>
      </w:pPr>
      <w:r w:rsidRPr="000763AE">
        <w:rPr>
          <w:rFonts w:eastAsia="Calibri"/>
          <w:color w:val="000000"/>
        </w:rPr>
        <w:tab/>
        <w:t xml:space="preserve">Procedural fairness as it relates to health is the responsibility to ensure that recipients of public services are treated fairly and equally. Administrative actions and </w:t>
      </w:r>
      <w:r w:rsidRPr="000763AE">
        <w:rPr>
          <w:rFonts w:eastAsia="Calibri"/>
          <w:color w:val="000000"/>
        </w:rPr>
        <w:lastRenderedPageBreak/>
        <w:t>decisions that impact one particular segment of the population over another with respect to public services would be a violation of procedural fairness.  The next two requirements of social equity are distributio</w:t>
      </w:r>
      <w:r w:rsidR="001018A8" w:rsidRPr="000763AE">
        <w:rPr>
          <w:rFonts w:eastAsia="Calibri"/>
          <w:color w:val="000000"/>
        </w:rPr>
        <w:t xml:space="preserve">nal equity and process equity.  </w:t>
      </w:r>
      <w:r w:rsidRPr="000763AE">
        <w:rPr>
          <w:rFonts w:eastAsia="Calibri"/>
          <w:color w:val="000000"/>
        </w:rPr>
        <w:t xml:space="preserve">Distributional equity requires that public services offered are equally accessible and available to all, while process equity requires the guarantee of consistency in the services delivered across all populations.  This means that regardless of where, when, and from whom the services are delivered, the quality, access, and levels of care should be consistent across all providers.  However, both distributional equity and process equity can be difficult to quantify and for public administrators to measure since different populations are not homogenous and may require different services from the healthcare delivery system. </w:t>
      </w:r>
    </w:p>
    <w:p w:rsidR="00F02989" w:rsidRPr="000763AE" w:rsidRDefault="00F02989" w:rsidP="00B11B34">
      <w:pPr>
        <w:autoSpaceDE w:val="0"/>
        <w:autoSpaceDN w:val="0"/>
        <w:adjustRightInd w:val="0"/>
        <w:spacing w:line="360" w:lineRule="auto"/>
        <w:jc w:val="both"/>
        <w:rPr>
          <w:rFonts w:eastAsia="Calibri"/>
          <w:color w:val="000000"/>
        </w:rPr>
      </w:pPr>
    </w:p>
    <w:p w:rsidR="00D15BE0" w:rsidRPr="000763AE" w:rsidRDefault="00D15BE0" w:rsidP="00B11B34">
      <w:pPr>
        <w:autoSpaceDE w:val="0"/>
        <w:autoSpaceDN w:val="0"/>
        <w:adjustRightInd w:val="0"/>
        <w:spacing w:line="360" w:lineRule="auto"/>
        <w:ind w:left="720"/>
        <w:jc w:val="both"/>
        <w:rPr>
          <w:rFonts w:eastAsia="Calibri"/>
          <w:color w:val="000000"/>
        </w:rPr>
      </w:pPr>
      <w:r w:rsidRPr="000763AE">
        <w:rPr>
          <w:rFonts w:eastAsia="Calibri"/>
          <w:color w:val="000000"/>
        </w:rPr>
        <w:t>“Equitable care does not mean the same care for different patients, because it is necessary to individualize care to the particular needs and challenges of specific patients to optimize their health outcomes. These interventions need to be embedded in a road map or systematic process in which health care organizations and providers make achieving health equity a high priority and tailor solutions for their settings and populations” (</w:t>
      </w:r>
      <w:proofErr w:type="spellStart"/>
      <w:r w:rsidRPr="000763AE">
        <w:rPr>
          <w:rFonts w:eastAsia="Calibri"/>
          <w:color w:val="000000"/>
        </w:rPr>
        <w:t>DeMeester</w:t>
      </w:r>
      <w:proofErr w:type="spellEnd"/>
      <w:r w:rsidRPr="000763AE">
        <w:rPr>
          <w:rFonts w:eastAsia="Calibri"/>
          <w:color w:val="000000"/>
        </w:rPr>
        <w:t>, 2017).</w:t>
      </w:r>
    </w:p>
    <w:p w:rsidR="00F02989" w:rsidRPr="000763AE" w:rsidRDefault="00F02989" w:rsidP="00B11B34">
      <w:pPr>
        <w:autoSpaceDE w:val="0"/>
        <w:autoSpaceDN w:val="0"/>
        <w:adjustRightInd w:val="0"/>
        <w:spacing w:line="360" w:lineRule="auto"/>
        <w:ind w:left="720"/>
        <w:jc w:val="both"/>
        <w:rPr>
          <w:rFonts w:eastAsia="Calibri"/>
          <w:color w:val="000000"/>
        </w:rPr>
      </w:pPr>
    </w:p>
    <w:p w:rsidR="00D15BE0" w:rsidRPr="000763AE" w:rsidRDefault="00D15BE0" w:rsidP="00B11B34">
      <w:pPr>
        <w:autoSpaceDE w:val="0"/>
        <w:autoSpaceDN w:val="0"/>
        <w:adjustRightInd w:val="0"/>
        <w:spacing w:line="360" w:lineRule="auto"/>
        <w:jc w:val="both"/>
        <w:rPr>
          <w:rFonts w:eastAsia="Calibri"/>
          <w:color w:val="000000"/>
        </w:rPr>
      </w:pPr>
      <w:r w:rsidRPr="000763AE">
        <w:rPr>
          <w:rFonts w:eastAsia="Calibri"/>
          <w:color w:val="000000"/>
          <w:sz w:val="22"/>
          <w:szCs w:val="28"/>
        </w:rPr>
        <w:tab/>
      </w:r>
      <w:r w:rsidRPr="000763AE">
        <w:rPr>
          <w:rFonts w:eastAsia="Calibri"/>
          <w:color w:val="000000"/>
        </w:rPr>
        <w:t xml:space="preserve">The final principle of social equity theory is outcome disparities.  An example of an outcome disparity is a socially disadvantaged patient who requires more frequent and longer healthcare visits or hospital admissions to achieve improved outcomes.  This may be challenging in rural primary care settings with limited resources and a lack of </w:t>
      </w:r>
      <w:r w:rsidR="00FA56C3" w:rsidRPr="000763AE">
        <w:rPr>
          <w:rFonts w:eastAsia="Calibri"/>
          <w:color w:val="000000"/>
        </w:rPr>
        <w:t xml:space="preserve">adequate </w:t>
      </w:r>
      <w:r w:rsidRPr="000763AE">
        <w:rPr>
          <w:rFonts w:eastAsia="Calibri"/>
          <w:color w:val="000000"/>
        </w:rPr>
        <w:t>infrastructure to support all the patient’s needs (Amin, 2014).  As a result, an outcome disparity exists when compared to a patient with similar attributes in a major city with multiple healthcare service options. However, public administrators cannot place the blame solely on lawmakers for challenges regarding disparities (Frederickson, 2005). Public administrators are responsible for identifying reasons why disparities exist even though services may have been created that should technically address the needs of a population (Major, 2011).</w:t>
      </w:r>
    </w:p>
    <w:p w:rsidR="00F02989" w:rsidRPr="000763AE" w:rsidRDefault="00F02989" w:rsidP="00B11B34">
      <w:pPr>
        <w:autoSpaceDE w:val="0"/>
        <w:autoSpaceDN w:val="0"/>
        <w:adjustRightInd w:val="0"/>
        <w:spacing w:line="360" w:lineRule="auto"/>
        <w:jc w:val="both"/>
        <w:rPr>
          <w:rFonts w:eastAsia="Calibri"/>
          <w:b/>
        </w:rPr>
      </w:pPr>
    </w:p>
    <w:p w:rsidR="00F02989" w:rsidRPr="000763AE" w:rsidRDefault="00F02989" w:rsidP="00B11B34">
      <w:pPr>
        <w:autoSpaceDE w:val="0"/>
        <w:autoSpaceDN w:val="0"/>
        <w:adjustRightInd w:val="0"/>
        <w:spacing w:line="360" w:lineRule="auto"/>
        <w:jc w:val="both"/>
        <w:rPr>
          <w:rFonts w:eastAsia="Calibri"/>
          <w:b/>
        </w:rPr>
      </w:pPr>
    </w:p>
    <w:p w:rsidR="00D15BE0" w:rsidRPr="000763AE" w:rsidRDefault="000667AB" w:rsidP="00B11B34">
      <w:pPr>
        <w:autoSpaceDE w:val="0"/>
        <w:autoSpaceDN w:val="0"/>
        <w:adjustRightInd w:val="0"/>
        <w:spacing w:line="360" w:lineRule="auto"/>
        <w:jc w:val="both"/>
        <w:rPr>
          <w:rFonts w:eastAsia="Calibri"/>
          <w:b/>
        </w:rPr>
      </w:pPr>
      <w:r w:rsidRPr="000763AE">
        <w:rPr>
          <w:rFonts w:eastAsia="Calibri"/>
          <w:b/>
        </w:rPr>
        <w:lastRenderedPageBreak/>
        <w:t>Equity versus Equality</w:t>
      </w:r>
    </w:p>
    <w:p w:rsidR="00D15BE0" w:rsidRPr="00D15BE0" w:rsidRDefault="00D15BE0" w:rsidP="00B11B34">
      <w:pPr>
        <w:spacing w:after="120" w:line="360" w:lineRule="auto"/>
        <w:jc w:val="both"/>
      </w:pPr>
      <w:r w:rsidRPr="00D15BE0">
        <w:tab/>
        <w:t>One distinction that is important to make when looking at social equity is that of equality versus equity as they are not interchangeable</w:t>
      </w:r>
      <w:r w:rsidR="00FA56C3">
        <w:t>,</w:t>
      </w:r>
      <w:r w:rsidRPr="00D15BE0">
        <w:t xml:space="preserve"> and each has different implications when it comes to disparities.  Although both have to do with resource distribution, equality refers to equal distribution of a resource across a population, irrespective of whether or not all individuals within that population are in need of that resource, and equity has more to do with fairness and addressing imbalances in systems to adjust resource distribution based on need. </w:t>
      </w:r>
      <w:r w:rsidRPr="006761CA">
        <w:t>Figure</w:t>
      </w:r>
      <w:r w:rsidR="006761CA">
        <w:t>-</w:t>
      </w:r>
      <w:r w:rsidR="006761CA" w:rsidRPr="006761CA">
        <w:t>4</w:t>
      </w:r>
      <w:r w:rsidRPr="006761CA">
        <w:t xml:space="preserve"> </w:t>
      </w:r>
      <w:r w:rsidRPr="00D15BE0">
        <w:t xml:space="preserve">provides a visual depiction of equity as it relates to equality (Guy, 2020). </w:t>
      </w:r>
    </w:p>
    <w:p w:rsidR="00D15BE0" w:rsidRPr="00D15BE0" w:rsidRDefault="006761CA" w:rsidP="00B11B34">
      <w:pPr>
        <w:spacing w:after="120" w:line="360" w:lineRule="auto"/>
        <w:jc w:val="both"/>
      </w:pPr>
      <w:proofErr w:type="gramStart"/>
      <w:r>
        <w:rPr>
          <w:b/>
        </w:rPr>
        <w:t xml:space="preserve">Figure </w:t>
      </w:r>
      <w:r w:rsidRPr="006761CA">
        <w:rPr>
          <w:b/>
        </w:rPr>
        <w:t>4</w:t>
      </w:r>
      <w:r w:rsidR="00D15BE0" w:rsidRPr="006761CA">
        <w:rPr>
          <w:b/>
        </w:rPr>
        <w:t>.</w:t>
      </w:r>
      <w:proofErr w:type="gramEnd"/>
      <w:r w:rsidR="00D15BE0" w:rsidRPr="006761CA">
        <w:t xml:space="preserve"> </w:t>
      </w:r>
      <w:proofErr w:type="gramStart"/>
      <w:r w:rsidR="00D15BE0" w:rsidRPr="00D15BE0">
        <w:t>Illustration of equality versus equity.</w:t>
      </w:r>
      <w:proofErr w:type="gramEnd"/>
      <w:r w:rsidR="00D15BE0" w:rsidRPr="00D15BE0">
        <w:t xml:space="preserve"> </w:t>
      </w:r>
    </w:p>
    <w:p w:rsidR="00D15BE0" w:rsidRPr="00D15BE0" w:rsidRDefault="008252AC" w:rsidP="00B11B34">
      <w:pPr>
        <w:spacing w:after="200" w:line="360" w:lineRule="auto"/>
        <w:jc w:val="both"/>
        <w:rPr>
          <w:b/>
        </w:rPr>
      </w:pPr>
      <w:r>
        <w:rPr>
          <w:noProof/>
        </w:rPr>
        <w:drawing>
          <wp:inline distT="0" distB="0" distL="0" distR="0">
            <wp:extent cx="5046980" cy="3611245"/>
            <wp:effectExtent l="0" t="0" r="1270" b="8255"/>
            <wp:docPr id="3" name="Picture 2" descr="IISC_EqualityVsEquityCart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ISC_EqualityVsEquityCartoon"/>
                    <pic:cNvPicPr>
                      <a:picLocks noChangeAspect="1" noChangeArrowheads="1"/>
                    </pic:cNvPicPr>
                  </pic:nvPicPr>
                  <pic:blipFill>
                    <a:blip r:embed="rId14">
                      <a:grayscl/>
                      <a:extLst>
                        <a:ext uri="{28A0092B-C50C-407E-A947-70E740481C1C}">
                          <a14:useLocalDpi xmlns:a14="http://schemas.microsoft.com/office/drawing/2010/main" val="0"/>
                        </a:ext>
                      </a:extLst>
                    </a:blip>
                    <a:srcRect l="5231" r="5858" b="8975"/>
                    <a:stretch>
                      <a:fillRect/>
                    </a:stretch>
                  </pic:blipFill>
                  <pic:spPr bwMode="auto">
                    <a:xfrm>
                      <a:off x="0" y="0"/>
                      <a:ext cx="5046980" cy="3611245"/>
                    </a:xfrm>
                    <a:prstGeom prst="rect">
                      <a:avLst/>
                    </a:prstGeom>
                    <a:noFill/>
                    <a:ln>
                      <a:noFill/>
                    </a:ln>
                  </pic:spPr>
                </pic:pic>
              </a:graphicData>
            </a:graphic>
          </wp:inline>
        </w:drawing>
      </w:r>
    </w:p>
    <w:p w:rsidR="00D15BE0" w:rsidRPr="00D15BE0" w:rsidRDefault="0003598B" w:rsidP="00B11B34">
      <w:pPr>
        <w:spacing w:after="200" w:line="360" w:lineRule="auto"/>
        <w:jc w:val="both"/>
        <w:rPr>
          <w:b/>
          <w:sz w:val="18"/>
        </w:rPr>
      </w:pPr>
      <w:hyperlink r:id="rId15" w:history="1">
        <w:r w:rsidR="00D15BE0" w:rsidRPr="000763AE">
          <w:rPr>
            <w:b/>
            <w:color w:val="0000FF"/>
            <w:sz w:val="18"/>
            <w:u w:val="single"/>
          </w:rPr>
          <w:t>https://www.healthknowledge.org.uk/public-health-textbook/medical-sociology-policy-economics/4c-equality-equity-policy/balancing-equity-efficiency</w:t>
        </w:r>
      </w:hyperlink>
      <w:r w:rsidR="00D15BE0" w:rsidRPr="00D15BE0">
        <w:rPr>
          <w:b/>
          <w:sz w:val="18"/>
        </w:rPr>
        <w:t xml:space="preserve"> </w:t>
      </w:r>
    </w:p>
    <w:p w:rsidR="00D15BE0" w:rsidRPr="00D15BE0" w:rsidRDefault="00D15BE0" w:rsidP="00B11B34">
      <w:pPr>
        <w:spacing w:after="200" w:line="360" w:lineRule="auto"/>
        <w:jc w:val="both"/>
        <w:rPr>
          <w:b/>
        </w:rPr>
      </w:pPr>
      <w:r w:rsidRPr="00D15BE0">
        <w:rPr>
          <w:b/>
        </w:rPr>
        <w:t xml:space="preserve">Social Equity and Diabetes Care </w:t>
      </w:r>
    </w:p>
    <w:p w:rsidR="00C85FD7" w:rsidRDefault="00D15BE0" w:rsidP="006D1C17">
      <w:pPr>
        <w:tabs>
          <w:tab w:val="left" w:pos="5274"/>
        </w:tabs>
        <w:spacing w:line="360" w:lineRule="auto"/>
        <w:jc w:val="center"/>
        <w:rPr>
          <w:b/>
          <w:sz w:val="28"/>
          <w:szCs w:val="28"/>
        </w:rPr>
      </w:pPr>
      <w:r w:rsidRPr="00D15BE0">
        <w:t xml:space="preserve">Social equity challenges have significant impact in chronic disease management and an individual’s ability to comply with their recommended treatment plan.  Diabetes is no exception.  In 2017, the ADA published an article titled </w:t>
      </w:r>
      <w:r w:rsidRPr="00D15BE0">
        <w:rPr>
          <w:i/>
        </w:rPr>
        <w:t xml:space="preserve">Promoting Health and Reducing </w:t>
      </w:r>
      <w:r w:rsidRPr="00D15BE0">
        <w:rPr>
          <w:i/>
        </w:rPr>
        <w:lastRenderedPageBreak/>
        <w:t xml:space="preserve">Disparities in Population </w:t>
      </w:r>
      <w:r w:rsidRPr="00D15BE0">
        <w:t xml:space="preserve">which included recommendations for providers on addressing health disparities among the diabetic population. </w:t>
      </w:r>
      <w:r w:rsidR="0003598B">
        <w:t xml:space="preserve"> </w:t>
      </w:r>
      <w:r w:rsidRPr="00D15BE0">
        <w:t>Recommendations included removing financial barriers preventing low</w:t>
      </w:r>
      <w:r w:rsidR="0078585D">
        <w:t>-</w:t>
      </w:r>
      <w:r w:rsidRPr="00D15BE0">
        <w:t>income patient</w:t>
      </w:r>
      <w:r w:rsidR="0078585D">
        <w:t>s</w:t>
      </w:r>
      <w:r w:rsidRPr="00D15BE0">
        <w:t xml:space="preserve"> from receiving preventative services such as diabetes</w:t>
      </w:r>
      <w:r w:rsidRPr="00D15BE0">
        <w:rPr>
          <w:i/>
        </w:rPr>
        <w:t xml:space="preserve"> </w:t>
      </w:r>
      <w:r w:rsidRPr="00D15BE0">
        <w:t>education, retinal eye screening, and necessary medications for glucose and/or insulin that are part of their treatment plan. The ADA also highlighted other obstacles such as food insecurity, health literacy, language barriers, and homelessness that need to be considered to reduce disparities and promote social equi</w:t>
      </w:r>
      <w:r w:rsidR="0003598B">
        <w:t xml:space="preserve">ty particularly in marginalized </w:t>
      </w:r>
      <w:r w:rsidRPr="00D15BE0">
        <w:t>populations (ADA, 2017).</w:t>
      </w:r>
      <w:r w:rsidR="002C07AF">
        <w:rPr>
          <w:i/>
        </w:rPr>
        <w:br w:type="page"/>
      </w:r>
      <w:r w:rsidR="004330C1">
        <w:rPr>
          <w:b/>
          <w:sz w:val="28"/>
          <w:szCs w:val="28"/>
        </w:rPr>
        <w:lastRenderedPageBreak/>
        <w:t>CHAPTER 4- RESEARCH DESIGN</w:t>
      </w:r>
    </w:p>
    <w:p w:rsidR="006D1C17" w:rsidRPr="000C5643" w:rsidRDefault="006D1C17" w:rsidP="006D1C17">
      <w:pPr>
        <w:tabs>
          <w:tab w:val="left" w:pos="5274"/>
        </w:tabs>
        <w:spacing w:line="360" w:lineRule="auto"/>
        <w:jc w:val="center"/>
        <w:rPr>
          <w:i/>
        </w:rPr>
      </w:pPr>
    </w:p>
    <w:p w:rsidR="00C85FD7" w:rsidRPr="000763AE" w:rsidRDefault="00C85FD7" w:rsidP="00B11B34">
      <w:pPr>
        <w:autoSpaceDE w:val="0"/>
        <w:autoSpaceDN w:val="0"/>
        <w:adjustRightInd w:val="0"/>
        <w:spacing w:line="360" w:lineRule="auto"/>
        <w:ind w:firstLine="720"/>
        <w:jc w:val="both"/>
        <w:rPr>
          <w:rFonts w:eastAsia="Calibri"/>
          <w:color w:val="000000"/>
        </w:rPr>
      </w:pPr>
      <w:r w:rsidRPr="000763AE">
        <w:rPr>
          <w:rFonts w:eastAsia="Calibri"/>
          <w:color w:val="000000"/>
        </w:rPr>
        <w:t>A retrospective quantitative analysis evaluated (</w:t>
      </w:r>
      <w:proofErr w:type="spellStart"/>
      <w:r w:rsidRPr="000763AE">
        <w:rPr>
          <w:rFonts w:eastAsia="Calibri"/>
          <w:color w:val="000000"/>
        </w:rPr>
        <w:t>i</w:t>
      </w:r>
      <w:proofErr w:type="spellEnd"/>
      <w:r w:rsidRPr="000763AE">
        <w:rPr>
          <w:rFonts w:eastAsia="Calibri"/>
          <w:color w:val="000000"/>
        </w:rPr>
        <w:t>) whether there are statistically significant associations between patient, provider, and/or medical practice characteristics, and (ii) whether or not patients with diabetes receive a foot exam during a provider visit. The fundamental unit of analysis is the ambulatory office visits of the 2015 National Ambulatory Medical Care Survey (NAMCS).  The research focuses on the three questions below to assess social equity disparities in quality.  For the purpose of this research, quality is defined as receipt of a foot exam for a person with diabetes, whereas poor quality is defined as a person with diabetes not having a foot exam performed.</w:t>
      </w:r>
    </w:p>
    <w:p w:rsidR="00427236" w:rsidRPr="000763AE" w:rsidRDefault="00427236" w:rsidP="00B11B34">
      <w:pPr>
        <w:autoSpaceDE w:val="0"/>
        <w:autoSpaceDN w:val="0"/>
        <w:adjustRightInd w:val="0"/>
        <w:spacing w:line="360" w:lineRule="auto"/>
        <w:ind w:firstLine="720"/>
        <w:jc w:val="both"/>
        <w:rPr>
          <w:rFonts w:eastAsia="Calibri"/>
          <w:color w:val="000000"/>
        </w:rPr>
      </w:pPr>
    </w:p>
    <w:p w:rsidR="00C85FD7" w:rsidRPr="000763AE" w:rsidRDefault="00C85FD7" w:rsidP="00B11B34">
      <w:pPr>
        <w:numPr>
          <w:ilvl w:val="0"/>
          <w:numId w:val="13"/>
        </w:numPr>
        <w:autoSpaceDE w:val="0"/>
        <w:autoSpaceDN w:val="0"/>
        <w:adjustRightInd w:val="0"/>
        <w:spacing w:after="240" w:line="360" w:lineRule="auto"/>
        <w:jc w:val="both"/>
        <w:rPr>
          <w:rFonts w:eastAsia="Calibri"/>
          <w:b/>
          <w:color w:val="000000"/>
        </w:rPr>
      </w:pPr>
      <w:r w:rsidRPr="000763AE">
        <w:rPr>
          <w:rFonts w:eastAsia="Calibri"/>
          <w:b/>
          <w:color w:val="000000"/>
        </w:rPr>
        <w:t xml:space="preserve">Are there variations in delivery of diabetic foot exams associated with differences in patient characteristics? </w:t>
      </w:r>
    </w:p>
    <w:p w:rsidR="00C85FD7" w:rsidRPr="000763AE" w:rsidRDefault="00C85FD7" w:rsidP="00B11B34">
      <w:pPr>
        <w:autoSpaceDE w:val="0"/>
        <w:autoSpaceDN w:val="0"/>
        <w:adjustRightInd w:val="0"/>
        <w:spacing w:after="120" w:line="360" w:lineRule="auto"/>
        <w:jc w:val="both"/>
        <w:rPr>
          <w:rFonts w:eastAsia="Calibri"/>
          <w:color w:val="000000"/>
        </w:rPr>
      </w:pPr>
      <w:r w:rsidRPr="000763AE">
        <w:rPr>
          <w:rFonts w:eastAsia="Calibri"/>
          <w:color w:val="000000"/>
        </w:rPr>
        <w:t>Null Hypothesis for Patient Characteristics</w:t>
      </w:r>
    </w:p>
    <w:p w:rsidR="00C85FD7" w:rsidRPr="000763AE" w:rsidRDefault="00C85FD7" w:rsidP="00B11B34">
      <w:pPr>
        <w:autoSpaceDE w:val="0"/>
        <w:autoSpaceDN w:val="0"/>
        <w:adjustRightInd w:val="0"/>
        <w:spacing w:after="120" w:line="360" w:lineRule="auto"/>
        <w:jc w:val="both"/>
        <w:rPr>
          <w:rFonts w:eastAsia="Calibri"/>
          <w:color w:val="000000"/>
        </w:rPr>
      </w:pPr>
      <w:r w:rsidRPr="000763AE">
        <w:rPr>
          <w:rFonts w:eastAsia="Calibri"/>
          <w:color w:val="000000"/>
        </w:rPr>
        <w:t xml:space="preserve">(Hₒ) = There is no association between a foot exam being performed during a visit and patient’s age, sex, ethnicity, and race. </w:t>
      </w:r>
    </w:p>
    <w:p w:rsidR="00C85FD7" w:rsidRPr="000763AE" w:rsidRDefault="00C85FD7" w:rsidP="00B11B34">
      <w:pPr>
        <w:autoSpaceDE w:val="0"/>
        <w:autoSpaceDN w:val="0"/>
        <w:adjustRightInd w:val="0"/>
        <w:spacing w:before="240" w:after="120" w:line="360" w:lineRule="auto"/>
        <w:jc w:val="both"/>
        <w:rPr>
          <w:rFonts w:eastAsia="Calibri"/>
          <w:color w:val="000000"/>
        </w:rPr>
      </w:pPr>
      <w:r w:rsidRPr="000763AE">
        <w:rPr>
          <w:rFonts w:eastAsia="Calibri"/>
          <w:color w:val="000000"/>
        </w:rPr>
        <w:t xml:space="preserve">Alternative Hypothesis for Patient Characteristics </w:t>
      </w:r>
    </w:p>
    <w:p w:rsidR="00C85FD7" w:rsidRPr="000763AE" w:rsidRDefault="00C85FD7" w:rsidP="00B11B34">
      <w:pPr>
        <w:autoSpaceDE w:val="0"/>
        <w:autoSpaceDN w:val="0"/>
        <w:adjustRightInd w:val="0"/>
        <w:spacing w:after="120" w:line="360" w:lineRule="auto"/>
        <w:jc w:val="both"/>
        <w:rPr>
          <w:rFonts w:eastAsia="Calibri"/>
          <w:color w:val="000000"/>
        </w:rPr>
      </w:pPr>
      <w:r w:rsidRPr="000763AE">
        <w:rPr>
          <w:rFonts w:eastAsia="Calibri"/>
          <w:color w:val="000000"/>
        </w:rPr>
        <w:t>(H₁) = There is association between a foot exam being performed during a visit and patient’s age, sex, ethnicity, and race.</w:t>
      </w:r>
    </w:p>
    <w:p w:rsidR="00C85FD7" w:rsidRPr="000763AE" w:rsidRDefault="00C85FD7" w:rsidP="00B11B34">
      <w:pPr>
        <w:autoSpaceDE w:val="0"/>
        <w:autoSpaceDN w:val="0"/>
        <w:adjustRightInd w:val="0"/>
        <w:spacing w:after="120" w:line="360" w:lineRule="auto"/>
        <w:jc w:val="both"/>
        <w:rPr>
          <w:rFonts w:eastAsia="Calibri"/>
          <w:color w:val="000000"/>
        </w:rPr>
      </w:pPr>
    </w:p>
    <w:p w:rsidR="00C85FD7" w:rsidRPr="000763AE" w:rsidRDefault="00C85FD7" w:rsidP="00B11B34">
      <w:pPr>
        <w:numPr>
          <w:ilvl w:val="0"/>
          <w:numId w:val="13"/>
        </w:numPr>
        <w:autoSpaceDE w:val="0"/>
        <w:autoSpaceDN w:val="0"/>
        <w:adjustRightInd w:val="0"/>
        <w:spacing w:after="120" w:line="360" w:lineRule="auto"/>
        <w:jc w:val="both"/>
        <w:rPr>
          <w:rFonts w:eastAsia="Calibri"/>
          <w:color w:val="000000"/>
        </w:rPr>
      </w:pPr>
      <w:r w:rsidRPr="000763AE">
        <w:rPr>
          <w:rFonts w:eastAsia="Calibri"/>
          <w:b/>
          <w:color w:val="000000"/>
        </w:rPr>
        <w:t>Are there variations in delivery of diabetic foot exams associated with differences in provider characteristics?</w:t>
      </w:r>
    </w:p>
    <w:p w:rsidR="00C85FD7" w:rsidRPr="000763AE" w:rsidRDefault="00C85FD7" w:rsidP="00B11B34">
      <w:pPr>
        <w:spacing w:before="120" w:after="120" w:line="360" w:lineRule="auto"/>
        <w:jc w:val="both"/>
        <w:rPr>
          <w:rFonts w:eastAsia="Calibri"/>
        </w:rPr>
      </w:pPr>
      <w:r w:rsidRPr="000763AE">
        <w:rPr>
          <w:rFonts w:eastAsia="Calibri"/>
        </w:rPr>
        <w:t xml:space="preserve">Null Hypothesis for Provider Characteristics </w:t>
      </w:r>
    </w:p>
    <w:p w:rsidR="00C85FD7" w:rsidRPr="000763AE" w:rsidRDefault="00C85FD7" w:rsidP="00B11B34">
      <w:pPr>
        <w:spacing w:before="120" w:after="120" w:line="360" w:lineRule="auto"/>
        <w:jc w:val="both"/>
        <w:rPr>
          <w:rFonts w:eastAsia="Calibri"/>
        </w:rPr>
      </w:pPr>
      <w:r w:rsidRPr="000763AE">
        <w:rPr>
          <w:rFonts w:eastAsia="Calibri"/>
        </w:rPr>
        <w:t>(Hₒ) = There is no association between a foot exam being performed during a visit and provider type seen during the visit, physician type, race, ethnicity, and practice type.</w:t>
      </w:r>
    </w:p>
    <w:p w:rsidR="00C85FD7" w:rsidRPr="000763AE" w:rsidRDefault="00C85FD7" w:rsidP="00B11B34">
      <w:pPr>
        <w:spacing w:before="240" w:after="120" w:line="360" w:lineRule="auto"/>
        <w:jc w:val="both"/>
        <w:rPr>
          <w:rFonts w:eastAsia="Calibri"/>
        </w:rPr>
      </w:pPr>
      <w:r w:rsidRPr="000763AE">
        <w:rPr>
          <w:rFonts w:eastAsia="Calibri"/>
        </w:rPr>
        <w:t>Alternative Hypothesis for Provider Characteristics</w:t>
      </w:r>
    </w:p>
    <w:p w:rsidR="00C85FD7" w:rsidRPr="000763AE" w:rsidRDefault="00C85FD7" w:rsidP="00B11B34">
      <w:pPr>
        <w:spacing w:before="120" w:after="120" w:line="360" w:lineRule="auto"/>
        <w:jc w:val="both"/>
        <w:rPr>
          <w:rFonts w:eastAsia="Calibri"/>
        </w:rPr>
      </w:pPr>
      <w:r w:rsidRPr="000763AE">
        <w:rPr>
          <w:rFonts w:eastAsia="Calibri"/>
        </w:rPr>
        <w:lastRenderedPageBreak/>
        <w:t>(H₁) = There is an association between a foot exam being performed during a visit and provider type seen during the visit, physician type, race, ethnicity, and practice type.</w:t>
      </w:r>
    </w:p>
    <w:p w:rsidR="00C85FD7" w:rsidRPr="000763AE" w:rsidRDefault="00C85FD7" w:rsidP="00B11B34">
      <w:pPr>
        <w:numPr>
          <w:ilvl w:val="0"/>
          <w:numId w:val="13"/>
        </w:numPr>
        <w:spacing w:after="240" w:line="360" w:lineRule="auto"/>
        <w:contextualSpacing/>
        <w:jc w:val="both"/>
        <w:rPr>
          <w:rFonts w:ascii="Calibri" w:eastAsia="Calibri" w:hAnsi="Calibri"/>
          <w:b/>
          <w:sz w:val="22"/>
          <w:szCs w:val="22"/>
        </w:rPr>
      </w:pPr>
      <w:r w:rsidRPr="000763AE">
        <w:rPr>
          <w:rFonts w:eastAsia="Calibri"/>
          <w:b/>
        </w:rPr>
        <w:t xml:space="preserve">Are there variations in delivery of diabetic foot exams associated with differences in clinical practices settings? </w:t>
      </w:r>
    </w:p>
    <w:p w:rsidR="00C85FD7" w:rsidRPr="00C85FD7" w:rsidRDefault="00C85FD7" w:rsidP="00B11B34">
      <w:pPr>
        <w:spacing w:after="120" w:line="360" w:lineRule="auto"/>
        <w:jc w:val="both"/>
        <w:rPr>
          <w:lang w:eastAsia="ja-JP"/>
        </w:rPr>
      </w:pPr>
      <w:r w:rsidRPr="00C85FD7">
        <w:rPr>
          <w:lang w:eastAsia="ja-JP"/>
        </w:rPr>
        <w:t xml:space="preserve">Null Hypothesis for Practice Characteristics  </w:t>
      </w:r>
    </w:p>
    <w:p w:rsidR="00C85FD7" w:rsidRPr="00C85FD7" w:rsidRDefault="00C85FD7" w:rsidP="00B11B34">
      <w:pPr>
        <w:spacing w:line="360" w:lineRule="auto"/>
        <w:jc w:val="both"/>
        <w:rPr>
          <w:lang w:eastAsia="ja-JP"/>
        </w:rPr>
      </w:pPr>
      <w:r w:rsidRPr="00C85FD7">
        <w:rPr>
          <w:lang w:eastAsia="ja-JP"/>
        </w:rPr>
        <w:t>(Hₒ) = There is no association between a foot exam being performed during a visit and payment source, diabetic education provided, time spent with physician, and region where visit occurred.</w:t>
      </w:r>
    </w:p>
    <w:p w:rsidR="00C85FD7" w:rsidRPr="00C85FD7" w:rsidRDefault="00C85FD7" w:rsidP="00B11B34">
      <w:pPr>
        <w:spacing w:line="360" w:lineRule="auto"/>
        <w:jc w:val="both"/>
        <w:rPr>
          <w:lang w:eastAsia="ja-JP"/>
        </w:rPr>
      </w:pPr>
    </w:p>
    <w:p w:rsidR="00C85FD7" w:rsidRPr="00C85FD7" w:rsidRDefault="00C85FD7" w:rsidP="00B11B34">
      <w:pPr>
        <w:spacing w:after="120" w:line="360" w:lineRule="auto"/>
        <w:jc w:val="both"/>
        <w:rPr>
          <w:lang w:eastAsia="ja-JP"/>
        </w:rPr>
      </w:pPr>
      <w:r w:rsidRPr="00C85FD7">
        <w:rPr>
          <w:lang w:eastAsia="ja-JP"/>
        </w:rPr>
        <w:t xml:space="preserve">Alternative Hypothesis for Practice Characteristics </w:t>
      </w:r>
    </w:p>
    <w:p w:rsidR="00C85FD7" w:rsidRPr="000763AE" w:rsidRDefault="00C85FD7" w:rsidP="00B11B34">
      <w:pPr>
        <w:spacing w:after="240" w:line="360" w:lineRule="auto"/>
        <w:contextualSpacing/>
        <w:jc w:val="both"/>
        <w:rPr>
          <w:rFonts w:eastAsia="Calibri"/>
          <w:szCs w:val="22"/>
          <w:lang w:eastAsia="ja-JP"/>
        </w:rPr>
      </w:pPr>
      <w:r w:rsidRPr="000763AE">
        <w:rPr>
          <w:rFonts w:eastAsia="Calibri"/>
          <w:szCs w:val="22"/>
          <w:lang w:eastAsia="ja-JP"/>
        </w:rPr>
        <w:t>(H₁) = There is an association between a foot exam being performed during a visit and payment source, diabetic education provided, time spent with physician, and region where visit occurred.</w:t>
      </w:r>
    </w:p>
    <w:p w:rsidR="004A30F5" w:rsidRPr="000763AE" w:rsidRDefault="006B13F0" w:rsidP="00B11B34">
      <w:pPr>
        <w:spacing w:after="240" w:line="360" w:lineRule="auto"/>
        <w:contextualSpacing/>
        <w:jc w:val="both"/>
        <w:rPr>
          <w:rFonts w:eastAsia="Calibri"/>
          <w:szCs w:val="22"/>
          <w:lang w:eastAsia="ja-JP"/>
        </w:rPr>
      </w:pPr>
      <w:r w:rsidRPr="000763AE">
        <w:rPr>
          <w:rFonts w:eastAsia="Calibri"/>
          <w:szCs w:val="22"/>
          <w:lang w:eastAsia="ja-JP"/>
        </w:rPr>
        <w:t xml:space="preserve"> </w:t>
      </w:r>
    </w:p>
    <w:p w:rsidR="00C85FD7" w:rsidRPr="00C85FD7" w:rsidRDefault="00C85FD7" w:rsidP="00B11B34">
      <w:pPr>
        <w:spacing w:line="360" w:lineRule="auto"/>
        <w:jc w:val="both"/>
      </w:pPr>
      <w:r w:rsidRPr="00C85FD7">
        <w:tab/>
        <w:t>A univariate analysis was performed to provide insight on characteristics about the data set selected for this research.  The analysis looked at descriptive patient characteristics such as sex, race, age, and ethnicity.  Descriptive characteristics related to provider and practices, including provider types, payment source, single or multi provider practices, diabetes education, and time spent with provider</w:t>
      </w:r>
      <w:r w:rsidR="00727CC5">
        <w:t>,</w:t>
      </w:r>
      <w:r w:rsidRPr="00C85FD7">
        <w:t xml:space="preserve"> were also included.  Part of the analysis also included evaluating for autocorrelation, which is the evaluation of the same variable across a time series.  However, since this research only uses the 2015 NAMCS survey data</w:t>
      </w:r>
      <w:r w:rsidR="0056144A">
        <w:t>,</w:t>
      </w:r>
      <w:r w:rsidRPr="00C85FD7">
        <w:t xml:space="preserve"> which only provides visits </w:t>
      </w:r>
      <w:r w:rsidR="0056144A">
        <w:t>during</w:t>
      </w:r>
      <w:r w:rsidR="0056144A" w:rsidRPr="00C85FD7">
        <w:t xml:space="preserve"> </w:t>
      </w:r>
      <w:r w:rsidRPr="00C85FD7">
        <w:t xml:space="preserve">a snapshot in time, autocorrelation is not a concern.  </w:t>
      </w:r>
    </w:p>
    <w:p w:rsidR="00C85FD7" w:rsidRPr="00C85FD7" w:rsidRDefault="00C85FD7" w:rsidP="00B11B34">
      <w:pPr>
        <w:spacing w:line="360" w:lineRule="auto"/>
        <w:jc w:val="both"/>
      </w:pPr>
      <w:r w:rsidRPr="00C85FD7">
        <w:tab/>
        <w:t>Next, a bivariate analysis was performed on select variables to evaluate if a correlation between the pairs of variables was present.  It is important to note that the focus of this analysis was only to determine a correlation and determining anything beyond correlation would require greater control of confounding variables which is one of the limitations of using data aggregated via national survey</w:t>
      </w:r>
      <w:r w:rsidR="00A90034">
        <w:t>s</w:t>
      </w:r>
      <w:r w:rsidRPr="00C85FD7">
        <w:t xml:space="preserve"> like NAMCS.  The presence of multicollinearity was evaluated amongst the variables to see if any of the independent variables were too closely correlated with each other.  Multicollinearity can </w:t>
      </w:r>
      <w:r w:rsidRPr="00C85FD7">
        <w:lastRenderedPageBreak/>
        <w:t xml:space="preserve">present challenges if present as it makes it difficult to determine the statistical significance between variables.  </w:t>
      </w:r>
    </w:p>
    <w:p w:rsidR="00C85FD7" w:rsidRPr="00C85FD7" w:rsidRDefault="00C85FD7" w:rsidP="00B11B34">
      <w:pPr>
        <w:spacing w:line="360" w:lineRule="auto"/>
        <w:jc w:val="both"/>
        <w:rPr>
          <w:color w:val="FF0000"/>
        </w:rPr>
      </w:pPr>
      <w:r w:rsidRPr="00C85FD7">
        <w:tab/>
        <w:t xml:space="preserve">A multivariate analysis, specifically a logistic regression analysis, was the final analysis performed.  Logistic regression was used to explain the association with the likelihood that a foot exam would be performed under a particular set of variables.  An analysis was run using SPSS for all independent variables and various correlation results and no multicollinearity errors were noted.  </w:t>
      </w:r>
    </w:p>
    <w:p w:rsidR="00427236" w:rsidRDefault="00427236" w:rsidP="00B11B34">
      <w:pPr>
        <w:spacing w:line="360" w:lineRule="auto"/>
        <w:jc w:val="both"/>
        <w:rPr>
          <w:b/>
        </w:rPr>
      </w:pPr>
    </w:p>
    <w:p w:rsidR="00C85FD7" w:rsidRPr="00C85FD7" w:rsidRDefault="00C85FD7" w:rsidP="00B11B34">
      <w:pPr>
        <w:spacing w:line="360" w:lineRule="auto"/>
        <w:jc w:val="both"/>
        <w:rPr>
          <w:b/>
        </w:rPr>
      </w:pPr>
      <w:r w:rsidRPr="00C85FD7">
        <w:rPr>
          <w:b/>
        </w:rPr>
        <w:t>Data Source</w:t>
      </w:r>
    </w:p>
    <w:p w:rsidR="00C85FD7" w:rsidRPr="000763AE" w:rsidRDefault="00C85FD7" w:rsidP="00B11B34">
      <w:pPr>
        <w:spacing w:line="360" w:lineRule="auto"/>
        <w:ind w:firstLine="720"/>
        <w:jc w:val="both"/>
        <w:rPr>
          <w:rFonts w:eastAsia="Calibri"/>
        </w:rPr>
      </w:pPr>
      <w:r w:rsidRPr="000763AE">
        <w:rPr>
          <w:rFonts w:eastAsia="Calibri"/>
          <w:color w:val="000000"/>
        </w:rPr>
        <w:t>The NAMCS is an annual survey performed by the Centers for</w:t>
      </w:r>
      <w:r w:rsidRPr="000763AE">
        <w:rPr>
          <w:rFonts w:eastAsia="Calibri"/>
        </w:rPr>
        <w:t xml:space="preserve"> Disease Control and Prevention (CDC) of office visits to physicians and community health centers involved in direct patient care during the randomly assigned seven-day period of evaluation for each practice (CDC, N/A).  The data collection is authorized under Title 42, United States Code, </w:t>
      </w:r>
      <w:proofErr w:type="gramStart"/>
      <w:r w:rsidRPr="000763AE">
        <w:rPr>
          <w:rFonts w:eastAsia="Calibri"/>
        </w:rPr>
        <w:t>Section</w:t>
      </w:r>
      <w:proofErr w:type="gramEnd"/>
      <w:r w:rsidRPr="000763AE">
        <w:rPr>
          <w:rFonts w:eastAsia="Calibri"/>
        </w:rPr>
        <w:t xml:space="preserve"> 242K which allows data to be collected through the use of a survey instrument for healthcare research.  A medical record number was assigned and used by Census Bureau field representatives to collect patient information and to identify each patient for additional updates or information if it was needed post survey.  Participation is voluntary and physicians are randomly selected.  The sample selection of visits is intended to be a representation of not only those surveyed but of thousands of other physicians in the same geographic region and medical specialty (CDC, N/A). </w:t>
      </w:r>
    </w:p>
    <w:p w:rsidR="00C85FD7" w:rsidRPr="000763AE" w:rsidRDefault="00C85FD7" w:rsidP="00B11B34">
      <w:pPr>
        <w:spacing w:line="360" w:lineRule="auto"/>
        <w:ind w:firstLine="720"/>
        <w:jc w:val="both"/>
        <w:rPr>
          <w:rFonts w:eastAsia="Calibri"/>
          <w:b/>
          <w:color w:val="FF0000"/>
        </w:rPr>
      </w:pPr>
      <w:r w:rsidRPr="000763AE">
        <w:rPr>
          <w:rFonts w:eastAsia="Calibri"/>
        </w:rPr>
        <w:t>For the 2015 NAMCS survey, the samples were obtained from 16 states and 4 aggregated groups from the remaining states within their Census regions (CDC, N/A)</w:t>
      </w:r>
      <w:r w:rsidRPr="000763AE">
        <w:rPr>
          <w:rFonts w:eastAsia="Calibri"/>
          <w:vertAlign w:val="superscript"/>
        </w:rPr>
        <w:footnoteReference w:id="1"/>
      </w:r>
      <w:r w:rsidRPr="000763AE">
        <w:rPr>
          <w:rFonts w:eastAsia="Calibri"/>
        </w:rPr>
        <w:t xml:space="preserve">.  In 2015, there were an estimated 990,808 office-based visits in the United States.  Of those visits, a nationally representative sample from 8,091 providers was acquired from the 2015 NAMCS survey. The data was then screened and cleaned for missing variables and incomplete records.  Imputation, which is further discussed in the Data Screening section, was used to complete missing values in this data set for the race and ethnicity variables.  This required multiple steps including the removal of corrupted files and error </w:t>
      </w:r>
      <w:r w:rsidRPr="000763AE">
        <w:rPr>
          <w:rFonts w:eastAsia="Calibri"/>
        </w:rPr>
        <w:lastRenderedPageBreak/>
        <w:t xml:space="preserve">correction to ensure that the data that was ready for processing has the highest level of accuracy for analysis. </w:t>
      </w:r>
      <w:r w:rsidRPr="000763AE">
        <w:rPr>
          <w:rFonts w:eastAsia="Calibri"/>
          <w:b/>
        </w:rPr>
        <w:t xml:space="preserve"> </w:t>
      </w:r>
    </w:p>
    <w:p w:rsidR="00C85FD7" w:rsidRPr="000763AE" w:rsidRDefault="00C85FD7" w:rsidP="00B11B34">
      <w:pPr>
        <w:spacing w:line="360" w:lineRule="auto"/>
        <w:jc w:val="both"/>
        <w:rPr>
          <w:rFonts w:eastAsia="Calibri"/>
        </w:rPr>
      </w:pPr>
      <w:r w:rsidRPr="000763AE">
        <w:rPr>
          <w:rFonts w:eastAsia="Calibri"/>
        </w:rPr>
        <w:tab/>
        <w:t xml:space="preserve">The final sample size of visits used in the 2015 NAMCS survey was 28,332 visits. The software used for data analysis is IBM SPSS Version 26. IBM Corp. Released 2019. </w:t>
      </w:r>
    </w:p>
    <w:p w:rsidR="00427236" w:rsidRDefault="00427236" w:rsidP="00B11B34">
      <w:pPr>
        <w:spacing w:line="360" w:lineRule="auto"/>
        <w:jc w:val="both"/>
        <w:rPr>
          <w:b/>
        </w:rPr>
      </w:pPr>
    </w:p>
    <w:p w:rsidR="00C85FD7" w:rsidRPr="000763AE" w:rsidRDefault="00C85FD7" w:rsidP="00B11B34">
      <w:pPr>
        <w:spacing w:line="360" w:lineRule="auto"/>
        <w:jc w:val="both"/>
        <w:rPr>
          <w:rFonts w:eastAsia="Calibri"/>
        </w:rPr>
      </w:pPr>
      <w:r w:rsidRPr="00C85FD7">
        <w:rPr>
          <w:b/>
        </w:rPr>
        <w:t xml:space="preserve">Data </w:t>
      </w:r>
      <w:r w:rsidR="00AB318E">
        <w:rPr>
          <w:b/>
        </w:rPr>
        <w:t>I</w:t>
      </w:r>
      <w:r w:rsidRPr="00C85FD7">
        <w:rPr>
          <w:b/>
        </w:rPr>
        <w:t xml:space="preserve">nclusion </w:t>
      </w:r>
      <w:r w:rsidR="00AB318E">
        <w:rPr>
          <w:b/>
        </w:rPr>
        <w:t>C</w:t>
      </w:r>
      <w:r w:rsidRPr="00C85FD7">
        <w:rPr>
          <w:b/>
        </w:rPr>
        <w:t>riteria</w:t>
      </w:r>
    </w:p>
    <w:p w:rsidR="00C85FD7" w:rsidRPr="000763AE" w:rsidRDefault="00C85FD7" w:rsidP="00B11B34">
      <w:pPr>
        <w:spacing w:line="360" w:lineRule="auto"/>
        <w:ind w:firstLine="360"/>
        <w:jc w:val="both"/>
        <w:rPr>
          <w:rFonts w:eastAsia="Calibri"/>
        </w:rPr>
      </w:pPr>
      <w:r w:rsidRPr="000763AE">
        <w:rPr>
          <w:rFonts w:eastAsia="Calibri"/>
        </w:rPr>
        <w:t>According to “Age Differences in Visits to Office-based Physicians by Patients With Diabetes: United States, 2010,” the NCHS Data Brief No.161 from July 2014, the diagnosis of diabetes on all NAMCS surveys since 2005 is based on the</w:t>
      </w:r>
      <w:r w:rsidRPr="00C85FD7">
        <w:t xml:space="preserve"> following question asked: “Regardless of the diagnosis for the current visit, does the patient now have diabetes?” </w:t>
      </w:r>
      <w:proofErr w:type="gramStart"/>
      <w:r w:rsidRPr="00C85FD7">
        <w:t>(Ashman, 2014).</w:t>
      </w:r>
      <w:proofErr w:type="gramEnd"/>
      <w:r w:rsidRPr="00C85FD7">
        <w:t xml:space="preserve"> With respect to this question, “</w:t>
      </w:r>
      <w:r w:rsidR="00A90034">
        <w:t>d</w:t>
      </w:r>
      <w:r w:rsidRPr="00C85FD7">
        <w:t xml:space="preserve">iabetes is considered diagnosed if it was documented as a current condition in the patient’s medical record, regardless of the diagnoses at or specific reasons for the visit” (Ashman, 2014, p.6). </w:t>
      </w:r>
    </w:p>
    <w:p w:rsidR="00C85FD7" w:rsidRPr="00C85FD7" w:rsidRDefault="00C85FD7" w:rsidP="00B11B34">
      <w:pPr>
        <w:spacing w:line="360" w:lineRule="auto"/>
        <w:ind w:firstLine="360"/>
        <w:jc w:val="both"/>
      </w:pPr>
      <w:r w:rsidRPr="00C85FD7">
        <w:t xml:space="preserve">Managing diabetes is one of the many reasons for an ambulatory medical visit. There are a multitude of common reasons for a visit included in the NAMCS surveys such as asthma, chronic kidney disease, chronic obstructive pulmonary disease, congestive heart failure, depression, hyperlipidemia, and hypertension. </w:t>
      </w:r>
    </w:p>
    <w:p w:rsidR="00C85FD7" w:rsidRPr="000763AE" w:rsidRDefault="00C85FD7" w:rsidP="00B11B34">
      <w:pPr>
        <w:spacing w:line="360" w:lineRule="auto"/>
        <w:ind w:firstLine="360"/>
        <w:jc w:val="both"/>
        <w:rPr>
          <w:rFonts w:eastAsia="Calibri"/>
        </w:rPr>
      </w:pPr>
      <w:r w:rsidRPr="00C85FD7">
        <w:t xml:space="preserve">Since 2005, the NAMCS survey has included the following question: “Regardless of the diagnosis for the current visit, does the patient now have [insert chronic condition]?” </w:t>
      </w:r>
      <w:proofErr w:type="gramStart"/>
      <w:r w:rsidRPr="00C85FD7">
        <w:t>(Ashman, 2014).</w:t>
      </w:r>
      <w:proofErr w:type="gramEnd"/>
      <w:r w:rsidRPr="00C85FD7">
        <w:t xml:space="preserve">  In total, there are thirteen chronic conditions included in the NAMCS survey that are considered diagnosed if documented in the patient’s medical record.</w:t>
      </w:r>
      <w:r w:rsidRPr="000763AE">
        <w:rPr>
          <w:rFonts w:eastAsia="Calibri"/>
        </w:rPr>
        <w:t xml:space="preserve">  For 2015, data was collected for the following three diabetes-related diagnoses:</w:t>
      </w:r>
    </w:p>
    <w:p w:rsidR="00F02989" w:rsidRPr="000763AE" w:rsidRDefault="00F02989" w:rsidP="00B11B34">
      <w:pPr>
        <w:spacing w:line="360" w:lineRule="auto"/>
        <w:ind w:firstLine="360"/>
        <w:jc w:val="both"/>
        <w:rPr>
          <w:rFonts w:eastAsia="Calibri"/>
        </w:rPr>
      </w:pPr>
    </w:p>
    <w:p w:rsidR="00C85FD7" w:rsidRPr="000763AE" w:rsidRDefault="00C85FD7" w:rsidP="00B11B34">
      <w:pPr>
        <w:numPr>
          <w:ilvl w:val="0"/>
          <w:numId w:val="4"/>
        </w:numPr>
        <w:spacing w:after="200" w:line="360" w:lineRule="auto"/>
        <w:jc w:val="both"/>
        <w:rPr>
          <w:rFonts w:ascii="Calibri" w:eastAsia="Calibri" w:hAnsi="Calibri"/>
          <w:sz w:val="22"/>
          <w:szCs w:val="22"/>
        </w:rPr>
      </w:pPr>
      <w:r w:rsidRPr="000763AE">
        <w:rPr>
          <w:rFonts w:eastAsia="Calibri"/>
        </w:rPr>
        <w:t>Does</w:t>
      </w:r>
      <w:r w:rsidR="000843A5" w:rsidRPr="000763AE">
        <w:rPr>
          <w:rFonts w:eastAsia="Calibri"/>
        </w:rPr>
        <w:t xml:space="preserve"> the</w:t>
      </w:r>
      <w:r w:rsidRPr="000763AE">
        <w:rPr>
          <w:rFonts w:eastAsia="Calibri"/>
        </w:rPr>
        <w:t xml:space="preserve"> patient now have: Diabetes mellitus (DM), type 1</w:t>
      </w:r>
    </w:p>
    <w:p w:rsidR="00C85FD7" w:rsidRPr="000763AE" w:rsidRDefault="00C85FD7" w:rsidP="00B11B34">
      <w:pPr>
        <w:numPr>
          <w:ilvl w:val="0"/>
          <w:numId w:val="4"/>
        </w:numPr>
        <w:spacing w:after="200" w:line="360" w:lineRule="auto"/>
        <w:jc w:val="both"/>
        <w:rPr>
          <w:rFonts w:ascii="Calibri" w:eastAsia="Calibri" w:hAnsi="Calibri"/>
          <w:sz w:val="22"/>
          <w:szCs w:val="22"/>
        </w:rPr>
      </w:pPr>
      <w:r w:rsidRPr="000763AE">
        <w:rPr>
          <w:rFonts w:eastAsia="Calibri"/>
        </w:rPr>
        <w:t xml:space="preserve">Does </w:t>
      </w:r>
      <w:r w:rsidR="000843A5" w:rsidRPr="000763AE">
        <w:rPr>
          <w:rFonts w:eastAsia="Calibri"/>
        </w:rPr>
        <w:t xml:space="preserve">the </w:t>
      </w:r>
      <w:r w:rsidRPr="000763AE">
        <w:rPr>
          <w:rFonts w:eastAsia="Calibri"/>
        </w:rPr>
        <w:t>patient now have: Diabetes mellitus (DM), type 2</w:t>
      </w:r>
    </w:p>
    <w:p w:rsidR="00C85FD7" w:rsidRPr="000763AE" w:rsidRDefault="00C85FD7" w:rsidP="00B11B34">
      <w:pPr>
        <w:numPr>
          <w:ilvl w:val="0"/>
          <w:numId w:val="4"/>
        </w:numPr>
        <w:spacing w:after="200" w:line="360" w:lineRule="auto"/>
        <w:jc w:val="both"/>
        <w:rPr>
          <w:rFonts w:ascii="Calibri" w:eastAsia="Calibri" w:hAnsi="Calibri"/>
          <w:sz w:val="22"/>
          <w:szCs w:val="22"/>
        </w:rPr>
      </w:pPr>
      <w:r w:rsidRPr="000763AE">
        <w:rPr>
          <w:rFonts w:eastAsia="Calibri"/>
        </w:rPr>
        <w:t xml:space="preserve">Does </w:t>
      </w:r>
      <w:r w:rsidR="000843A5" w:rsidRPr="000763AE">
        <w:rPr>
          <w:rFonts w:eastAsia="Calibri"/>
        </w:rPr>
        <w:t xml:space="preserve">the </w:t>
      </w:r>
      <w:r w:rsidRPr="000763AE">
        <w:rPr>
          <w:rFonts w:eastAsia="Calibri"/>
        </w:rPr>
        <w:t>patient now have: Diabetes mellitus (DM), type unspecified</w:t>
      </w:r>
    </w:p>
    <w:p w:rsidR="00C85FD7" w:rsidRPr="000763AE" w:rsidRDefault="00C85FD7" w:rsidP="00B11B34">
      <w:pPr>
        <w:spacing w:line="360" w:lineRule="auto"/>
        <w:jc w:val="both"/>
        <w:rPr>
          <w:rFonts w:ascii="Calibri" w:eastAsia="Calibri" w:hAnsi="Calibri"/>
          <w:sz w:val="22"/>
          <w:szCs w:val="22"/>
        </w:rPr>
      </w:pPr>
    </w:p>
    <w:p w:rsidR="00C85FD7" w:rsidRPr="000C5643" w:rsidRDefault="00F02989" w:rsidP="000C5643">
      <w:pPr>
        <w:spacing w:line="360" w:lineRule="auto"/>
        <w:jc w:val="both"/>
        <w:rPr>
          <w:rFonts w:eastAsia="Calibri"/>
          <w:b/>
          <w:szCs w:val="22"/>
        </w:rPr>
      </w:pPr>
      <w:r w:rsidRPr="000763AE">
        <w:rPr>
          <w:rFonts w:eastAsia="Calibri"/>
          <w:b/>
          <w:szCs w:val="22"/>
        </w:rPr>
        <w:br w:type="page"/>
      </w:r>
      <w:proofErr w:type="gramStart"/>
      <w:r w:rsidR="00C85FD7" w:rsidRPr="000763AE">
        <w:rPr>
          <w:rFonts w:eastAsia="Calibri"/>
          <w:b/>
          <w:szCs w:val="22"/>
        </w:rPr>
        <w:lastRenderedPageBreak/>
        <w:t>Table 2.</w:t>
      </w:r>
      <w:proofErr w:type="gramEnd"/>
      <w:r w:rsidR="00C85FD7" w:rsidRPr="000763AE">
        <w:rPr>
          <w:rFonts w:eastAsia="Calibri"/>
          <w:b/>
          <w:szCs w:val="22"/>
        </w:rPr>
        <w:t xml:space="preserve">  </w:t>
      </w:r>
      <w:r w:rsidR="00C85FD7" w:rsidRPr="000763AE">
        <w:rPr>
          <w:rFonts w:eastAsia="Calibri"/>
          <w:szCs w:val="22"/>
        </w:rPr>
        <w:t>Inclusion criteria for diabetes-related variables selected from the 2015 NAMCS Survey data sample.</w:t>
      </w:r>
    </w:p>
    <w:p w:rsidR="00C85FD7" w:rsidRPr="000763AE" w:rsidRDefault="00C85FD7" w:rsidP="00F02989">
      <w:pPr>
        <w:jc w:val="both"/>
        <w:rPr>
          <w:rFonts w:ascii="Calibri" w:eastAsia="Calibri" w:hAnsi="Calibri"/>
          <w:sz w:val="22"/>
          <w:szCs w:val="22"/>
        </w:rPr>
      </w:pPr>
    </w:p>
    <w:tbl>
      <w:tblPr>
        <w:tblW w:w="5000" w:type="pct"/>
        <w:tblLayout w:type="fixed"/>
        <w:tblLook w:val="04A0" w:firstRow="1" w:lastRow="0" w:firstColumn="1" w:lastColumn="0" w:noHBand="0" w:noVBand="1"/>
      </w:tblPr>
      <w:tblGrid>
        <w:gridCol w:w="1099"/>
        <w:gridCol w:w="990"/>
        <w:gridCol w:w="540"/>
        <w:gridCol w:w="540"/>
        <w:gridCol w:w="3420"/>
        <w:gridCol w:w="1080"/>
        <w:gridCol w:w="1187"/>
      </w:tblGrid>
      <w:tr w:rsidR="00C85FD7" w:rsidRPr="00C85FD7" w:rsidTr="000763AE">
        <w:trPr>
          <w:trHeight w:val="432"/>
        </w:trPr>
        <w:tc>
          <w:tcPr>
            <w:tcW w:w="620" w:type="pct"/>
            <w:tcBorders>
              <w:top w:val="single" w:sz="4" w:space="0" w:color="auto"/>
              <w:left w:val="single" w:sz="4" w:space="0" w:color="auto"/>
              <w:bottom w:val="single" w:sz="4" w:space="0" w:color="auto"/>
              <w:right w:val="single" w:sz="4" w:space="0" w:color="auto"/>
            </w:tcBorders>
            <w:shd w:val="clear" w:color="auto" w:fill="7F7F7F"/>
            <w:vAlign w:val="center"/>
            <w:hideMark/>
          </w:tcPr>
          <w:p w:rsidR="00C85FD7" w:rsidRPr="000763AE" w:rsidRDefault="00C85FD7" w:rsidP="00F02989">
            <w:pPr>
              <w:jc w:val="both"/>
              <w:rPr>
                <w:rFonts w:ascii="Calibri" w:hAnsi="Calibri" w:cs="Calibri"/>
                <w:b/>
                <w:bCs/>
                <w:color w:val="FFFFFF"/>
                <w:sz w:val="22"/>
                <w:szCs w:val="22"/>
              </w:rPr>
            </w:pPr>
            <w:r w:rsidRPr="000763AE">
              <w:rPr>
                <w:rFonts w:ascii="Calibri" w:hAnsi="Calibri" w:cs="Calibri"/>
                <w:b/>
                <w:bCs/>
                <w:color w:val="FFFFFF"/>
                <w:sz w:val="22"/>
                <w:szCs w:val="22"/>
              </w:rPr>
              <w:t>Name</w:t>
            </w:r>
          </w:p>
        </w:tc>
        <w:tc>
          <w:tcPr>
            <w:tcW w:w="559" w:type="pct"/>
            <w:tcBorders>
              <w:top w:val="single" w:sz="4" w:space="0" w:color="auto"/>
              <w:left w:val="nil"/>
              <w:bottom w:val="single" w:sz="4" w:space="0" w:color="auto"/>
              <w:right w:val="single" w:sz="4" w:space="0" w:color="auto"/>
            </w:tcBorders>
            <w:shd w:val="clear" w:color="auto" w:fill="7F7F7F"/>
            <w:noWrap/>
            <w:vAlign w:val="center"/>
            <w:hideMark/>
          </w:tcPr>
          <w:p w:rsidR="00C85FD7" w:rsidRPr="000763AE" w:rsidRDefault="00C85FD7" w:rsidP="00F02989">
            <w:pPr>
              <w:jc w:val="both"/>
              <w:rPr>
                <w:rFonts w:ascii="Calibri" w:hAnsi="Calibri" w:cs="Calibri"/>
                <w:b/>
                <w:bCs/>
                <w:color w:val="FFFFFF"/>
                <w:sz w:val="22"/>
                <w:szCs w:val="22"/>
              </w:rPr>
            </w:pPr>
            <w:r w:rsidRPr="000763AE">
              <w:rPr>
                <w:rFonts w:ascii="Calibri" w:hAnsi="Calibri" w:cs="Calibri"/>
                <w:b/>
                <w:bCs/>
                <w:color w:val="FFFFFF"/>
                <w:sz w:val="22"/>
                <w:szCs w:val="22"/>
              </w:rPr>
              <w:t>Type</w:t>
            </w:r>
          </w:p>
        </w:tc>
        <w:tc>
          <w:tcPr>
            <w:tcW w:w="305" w:type="pct"/>
            <w:tcBorders>
              <w:top w:val="single" w:sz="4" w:space="0" w:color="auto"/>
              <w:left w:val="nil"/>
              <w:bottom w:val="single" w:sz="4" w:space="0" w:color="auto"/>
              <w:right w:val="single" w:sz="4" w:space="0" w:color="auto"/>
            </w:tcBorders>
            <w:shd w:val="clear" w:color="auto" w:fill="7F7F7F"/>
            <w:noWrap/>
            <w:vAlign w:val="center"/>
            <w:hideMark/>
          </w:tcPr>
          <w:p w:rsidR="00C85FD7" w:rsidRPr="000763AE" w:rsidRDefault="00C85FD7" w:rsidP="00F02989">
            <w:pPr>
              <w:jc w:val="both"/>
              <w:rPr>
                <w:rFonts w:ascii="Calibri" w:hAnsi="Calibri" w:cs="Calibri"/>
                <w:b/>
                <w:bCs/>
                <w:color w:val="FFFFFF"/>
                <w:sz w:val="22"/>
                <w:szCs w:val="22"/>
              </w:rPr>
            </w:pPr>
            <w:r w:rsidRPr="000763AE">
              <w:rPr>
                <w:rFonts w:ascii="Calibri" w:hAnsi="Calibri" w:cs="Calibri"/>
                <w:b/>
                <w:bCs/>
                <w:color w:val="FFFFFF"/>
                <w:sz w:val="22"/>
                <w:szCs w:val="22"/>
              </w:rPr>
              <w:t>Yes</w:t>
            </w:r>
          </w:p>
        </w:tc>
        <w:tc>
          <w:tcPr>
            <w:tcW w:w="305" w:type="pct"/>
            <w:tcBorders>
              <w:top w:val="single" w:sz="4" w:space="0" w:color="auto"/>
              <w:left w:val="nil"/>
              <w:bottom w:val="single" w:sz="4" w:space="0" w:color="auto"/>
              <w:right w:val="single" w:sz="4" w:space="0" w:color="auto"/>
            </w:tcBorders>
            <w:shd w:val="clear" w:color="auto" w:fill="7F7F7F"/>
            <w:noWrap/>
            <w:vAlign w:val="center"/>
            <w:hideMark/>
          </w:tcPr>
          <w:p w:rsidR="00C85FD7" w:rsidRPr="000763AE" w:rsidRDefault="00C85FD7" w:rsidP="00F02989">
            <w:pPr>
              <w:jc w:val="both"/>
              <w:rPr>
                <w:rFonts w:ascii="Calibri" w:hAnsi="Calibri" w:cs="Calibri"/>
                <w:b/>
                <w:bCs/>
                <w:color w:val="FFFFFF"/>
                <w:sz w:val="22"/>
                <w:szCs w:val="22"/>
              </w:rPr>
            </w:pPr>
            <w:r w:rsidRPr="000763AE">
              <w:rPr>
                <w:rFonts w:ascii="Calibri" w:hAnsi="Calibri" w:cs="Calibri"/>
                <w:b/>
                <w:bCs/>
                <w:color w:val="FFFFFF"/>
                <w:sz w:val="22"/>
                <w:szCs w:val="22"/>
              </w:rPr>
              <w:t>No</w:t>
            </w:r>
          </w:p>
        </w:tc>
        <w:tc>
          <w:tcPr>
            <w:tcW w:w="1931" w:type="pct"/>
            <w:tcBorders>
              <w:top w:val="single" w:sz="4" w:space="0" w:color="auto"/>
              <w:left w:val="nil"/>
              <w:bottom w:val="single" w:sz="4" w:space="0" w:color="auto"/>
              <w:right w:val="single" w:sz="4" w:space="0" w:color="auto"/>
            </w:tcBorders>
            <w:shd w:val="clear" w:color="auto" w:fill="7F7F7F"/>
            <w:noWrap/>
            <w:vAlign w:val="center"/>
            <w:hideMark/>
          </w:tcPr>
          <w:p w:rsidR="00C85FD7" w:rsidRPr="000763AE" w:rsidRDefault="00C85FD7" w:rsidP="00F02989">
            <w:pPr>
              <w:jc w:val="both"/>
              <w:rPr>
                <w:rFonts w:ascii="Calibri" w:hAnsi="Calibri" w:cs="Calibri"/>
                <w:b/>
                <w:bCs/>
                <w:color w:val="FFFFFF"/>
                <w:sz w:val="22"/>
                <w:szCs w:val="22"/>
              </w:rPr>
            </w:pPr>
            <w:r w:rsidRPr="000763AE">
              <w:rPr>
                <w:rFonts w:ascii="Calibri" w:hAnsi="Calibri" w:cs="Calibri"/>
                <w:b/>
                <w:bCs/>
                <w:color w:val="FFFFFF"/>
                <w:sz w:val="22"/>
                <w:szCs w:val="22"/>
              </w:rPr>
              <w:t>Label</w:t>
            </w:r>
          </w:p>
        </w:tc>
        <w:tc>
          <w:tcPr>
            <w:tcW w:w="610" w:type="pct"/>
            <w:tcBorders>
              <w:top w:val="single" w:sz="4" w:space="0" w:color="auto"/>
              <w:left w:val="nil"/>
              <w:bottom w:val="single" w:sz="4" w:space="0" w:color="auto"/>
              <w:right w:val="single" w:sz="4" w:space="0" w:color="auto"/>
            </w:tcBorders>
            <w:shd w:val="clear" w:color="auto" w:fill="7F7F7F"/>
            <w:noWrap/>
            <w:vAlign w:val="center"/>
            <w:hideMark/>
          </w:tcPr>
          <w:p w:rsidR="00C85FD7" w:rsidRPr="000763AE" w:rsidRDefault="00C85FD7" w:rsidP="00F02989">
            <w:pPr>
              <w:jc w:val="both"/>
              <w:rPr>
                <w:rFonts w:ascii="Calibri" w:hAnsi="Calibri" w:cs="Calibri"/>
                <w:b/>
                <w:bCs/>
                <w:color w:val="FFFFFF"/>
                <w:sz w:val="22"/>
                <w:szCs w:val="22"/>
              </w:rPr>
            </w:pPr>
            <w:r w:rsidRPr="000763AE">
              <w:rPr>
                <w:rFonts w:ascii="Calibri" w:hAnsi="Calibri" w:cs="Calibri"/>
                <w:b/>
                <w:bCs/>
                <w:color w:val="FFFFFF"/>
                <w:sz w:val="22"/>
                <w:szCs w:val="22"/>
              </w:rPr>
              <w:t xml:space="preserve">Missing </w:t>
            </w:r>
          </w:p>
        </w:tc>
        <w:tc>
          <w:tcPr>
            <w:tcW w:w="670" w:type="pct"/>
            <w:tcBorders>
              <w:top w:val="single" w:sz="4" w:space="0" w:color="auto"/>
              <w:left w:val="nil"/>
              <w:bottom w:val="single" w:sz="4" w:space="0" w:color="auto"/>
              <w:right w:val="single" w:sz="4" w:space="0" w:color="auto"/>
            </w:tcBorders>
            <w:shd w:val="clear" w:color="auto" w:fill="7F7F7F"/>
            <w:noWrap/>
            <w:vAlign w:val="center"/>
            <w:hideMark/>
          </w:tcPr>
          <w:p w:rsidR="00C85FD7" w:rsidRPr="000763AE" w:rsidRDefault="00C85FD7" w:rsidP="00F02989">
            <w:pPr>
              <w:jc w:val="both"/>
              <w:rPr>
                <w:rFonts w:ascii="Calibri" w:hAnsi="Calibri" w:cs="Calibri"/>
                <w:b/>
                <w:bCs/>
                <w:color w:val="FFFFFF"/>
                <w:sz w:val="22"/>
                <w:szCs w:val="22"/>
              </w:rPr>
            </w:pPr>
            <w:r w:rsidRPr="000763AE">
              <w:rPr>
                <w:rFonts w:ascii="Calibri" w:hAnsi="Calibri" w:cs="Calibri"/>
                <w:b/>
                <w:bCs/>
                <w:color w:val="FFFFFF"/>
                <w:sz w:val="22"/>
                <w:szCs w:val="22"/>
              </w:rPr>
              <w:t>Measure</w:t>
            </w:r>
          </w:p>
        </w:tc>
      </w:tr>
      <w:tr w:rsidR="00C85FD7" w:rsidRPr="00C85FD7" w:rsidTr="00A377FD">
        <w:trPr>
          <w:trHeight w:val="300"/>
        </w:trPr>
        <w:tc>
          <w:tcPr>
            <w:tcW w:w="620" w:type="pct"/>
            <w:tcBorders>
              <w:top w:val="nil"/>
              <w:left w:val="single" w:sz="4" w:space="0" w:color="auto"/>
              <w:bottom w:val="single" w:sz="4" w:space="0" w:color="auto"/>
              <w:right w:val="single" w:sz="4" w:space="0" w:color="auto"/>
            </w:tcBorders>
            <w:shd w:val="clear" w:color="auto" w:fill="auto"/>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DIABTYP1</w:t>
            </w:r>
          </w:p>
        </w:tc>
        <w:tc>
          <w:tcPr>
            <w:tcW w:w="559"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Numeric</w:t>
            </w:r>
          </w:p>
        </w:tc>
        <w:tc>
          <w:tcPr>
            <w:tcW w:w="305"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1</w:t>
            </w:r>
          </w:p>
        </w:tc>
        <w:tc>
          <w:tcPr>
            <w:tcW w:w="305"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0</w:t>
            </w:r>
          </w:p>
        </w:tc>
        <w:tc>
          <w:tcPr>
            <w:tcW w:w="1931"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Does patient now have: Diabetes mellitus (DM), type 1</w:t>
            </w:r>
          </w:p>
        </w:tc>
        <w:tc>
          <w:tcPr>
            <w:tcW w:w="610"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None</w:t>
            </w:r>
          </w:p>
        </w:tc>
        <w:tc>
          <w:tcPr>
            <w:tcW w:w="670"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Nominal</w:t>
            </w:r>
          </w:p>
        </w:tc>
      </w:tr>
      <w:tr w:rsidR="00C85FD7" w:rsidRPr="00C85FD7" w:rsidTr="00A377FD">
        <w:trPr>
          <w:trHeight w:val="300"/>
        </w:trPr>
        <w:tc>
          <w:tcPr>
            <w:tcW w:w="620" w:type="pct"/>
            <w:tcBorders>
              <w:top w:val="nil"/>
              <w:left w:val="single" w:sz="4" w:space="0" w:color="auto"/>
              <w:bottom w:val="single" w:sz="4" w:space="0" w:color="auto"/>
              <w:right w:val="single" w:sz="4" w:space="0" w:color="auto"/>
            </w:tcBorders>
            <w:shd w:val="clear" w:color="auto" w:fill="auto"/>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DIABTYP2</w:t>
            </w:r>
          </w:p>
        </w:tc>
        <w:tc>
          <w:tcPr>
            <w:tcW w:w="559"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Numeric</w:t>
            </w:r>
          </w:p>
        </w:tc>
        <w:tc>
          <w:tcPr>
            <w:tcW w:w="305"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1</w:t>
            </w:r>
          </w:p>
        </w:tc>
        <w:tc>
          <w:tcPr>
            <w:tcW w:w="305"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0</w:t>
            </w:r>
          </w:p>
        </w:tc>
        <w:tc>
          <w:tcPr>
            <w:tcW w:w="1931"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Does patient now have: Diabetes mellitus (DM), type 2</w:t>
            </w:r>
          </w:p>
        </w:tc>
        <w:tc>
          <w:tcPr>
            <w:tcW w:w="610"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None</w:t>
            </w:r>
          </w:p>
        </w:tc>
        <w:tc>
          <w:tcPr>
            <w:tcW w:w="670"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Nominal</w:t>
            </w:r>
          </w:p>
        </w:tc>
      </w:tr>
      <w:tr w:rsidR="00C85FD7" w:rsidRPr="00C85FD7" w:rsidTr="00A377FD">
        <w:trPr>
          <w:trHeight w:val="300"/>
        </w:trPr>
        <w:tc>
          <w:tcPr>
            <w:tcW w:w="620" w:type="pct"/>
            <w:tcBorders>
              <w:top w:val="nil"/>
              <w:left w:val="single" w:sz="4" w:space="0" w:color="auto"/>
              <w:bottom w:val="single" w:sz="4" w:space="0" w:color="auto"/>
              <w:right w:val="single" w:sz="4" w:space="0" w:color="auto"/>
            </w:tcBorders>
            <w:shd w:val="clear" w:color="auto" w:fill="auto"/>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DIABTYP0</w:t>
            </w:r>
          </w:p>
        </w:tc>
        <w:tc>
          <w:tcPr>
            <w:tcW w:w="559"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Numeric</w:t>
            </w:r>
          </w:p>
        </w:tc>
        <w:tc>
          <w:tcPr>
            <w:tcW w:w="305"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1</w:t>
            </w:r>
          </w:p>
        </w:tc>
        <w:tc>
          <w:tcPr>
            <w:tcW w:w="305"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0</w:t>
            </w:r>
          </w:p>
        </w:tc>
        <w:tc>
          <w:tcPr>
            <w:tcW w:w="1931"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Does patient now have: Diabetes mellitus (DM), type unspecified</w:t>
            </w:r>
          </w:p>
        </w:tc>
        <w:tc>
          <w:tcPr>
            <w:tcW w:w="610"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None</w:t>
            </w:r>
          </w:p>
        </w:tc>
        <w:tc>
          <w:tcPr>
            <w:tcW w:w="670"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F02989">
            <w:pPr>
              <w:jc w:val="both"/>
              <w:rPr>
                <w:rFonts w:ascii="Calibri" w:hAnsi="Calibri" w:cs="Calibri"/>
                <w:color w:val="000000"/>
                <w:sz w:val="20"/>
                <w:szCs w:val="22"/>
              </w:rPr>
            </w:pPr>
            <w:r w:rsidRPr="00C85FD7">
              <w:rPr>
                <w:rFonts w:ascii="Calibri" w:hAnsi="Calibri" w:cs="Calibri"/>
                <w:color w:val="000000"/>
                <w:sz w:val="20"/>
                <w:szCs w:val="22"/>
              </w:rPr>
              <w:t>Nominal</w:t>
            </w:r>
          </w:p>
        </w:tc>
      </w:tr>
    </w:tbl>
    <w:p w:rsidR="00C85FD7" w:rsidRPr="000763AE" w:rsidRDefault="00C85FD7" w:rsidP="00B11B34">
      <w:pPr>
        <w:spacing w:line="360" w:lineRule="auto"/>
        <w:jc w:val="both"/>
        <w:rPr>
          <w:rFonts w:eastAsia="Calibri"/>
        </w:rPr>
      </w:pPr>
    </w:p>
    <w:p w:rsidR="00C85FD7" w:rsidRPr="000763AE" w:rsidRDefault="00C85FD7" w:rsidP="00B11B34">
      <w:pPr>
        <w:spacing w:line="360" w:lineRule="auto"/>
        <w:ind w:firstLine="720"/>
        <w:jc w:val="both"/>
        <w:rPr>
          <w:rFonts w:eastAsia="Calibri"/>
        </w:rPr>
      </w:pPr>
      <w:r w:rsidRPr="000763AE">
        <w:rPr>
          <w:rFonts w:eastAsia="Calibri"/>
        </w:rPr>
        <w:t xml:space="preserve">A new data set was then created by sub setting the original list of variables from the NAMCS survey to include only the </w:t>
      </w:r>
      <w:r w:rsidR="00DA7040" w:rsidRPr="000763AE">
        <w:rPr>
          <w:rFonts w:eastAsia="Calibri"/>
        </w:rPr>
        <w:t>24</w:t>
      </w:r>
      <w:r w:rsidRPr="000763AE">
        <w:rPr>
          <w:rFonts w:eastAsia="Calibri"/>
        </w:rPr>
        <w:t xml:space="preserve"> variables relevant to this research. For the purpose of this research six new variables were created:</w:t>
      </w:r>
    </w:p>
    <w:p w:rsidR="00C85FD7" w:rsidRPr="000763AE" w:rsidRDefault="00C85FD7" w:rsidP="00B11B34">
      <w:pPr>
        <w:numPr>
          <w:ilvl w:val="0"/>
          <w:numId w:val="12"/>
        </w:numPr>
        <w:spacing w:after="200" w:line="360" w:lineRule="auto"/>
        <w:contextualSpacing/>
        <w:jc w:val="both"/>
        <w:rPr>
          <w:rFonts w:eastAsia="Calibri"/>
          <w:b/>
        </w:rPr>
      </w:pPr>
      <w:r w:rsidRPr="000763AE">
        <w:rPr>
          <w:rFonts w:eastAsia="Calibri"/>
        </w:rPr>
        <w:t xml:space="preserve">The first new variable combines the data for variables DIABTYP1, DIABTYP2, DIABTYP0 to create the variable ALLDIAB, which includes all diabetes visits for the 2015 NAMCS Survey regardless of diagnosis types. </w:t>
      </w:r>
    </w:p>
    <w:p w:rsidR="00C85FD7" w:rsidRPr="000763AE" w:rsidRDefault="00C85FD7" w:rsidP="00B11B34">
      <w:pPr>
        <w:numPr>
          <w:ilvl w:val="0"/>
          <w:numId w:val="12"/>
        </w:numPr>
        <w:spacing w:after="200" w:line="360" w:lineRule="auto"/>
        <w:contextualSpacing/>
        <w:jc w:val="both"/>
        <w:rPr>
          <w:rFonts w:eastAsia="Calibri"/>
          <w:b/>
        </w:rPr>
      </w:pPr>
      <w:r w:rsidRPr="000763AE">
        <w:rPr>
          <w:rFonts w:eastAsia="Calibri"/>
        </w:rPr>
        <w:t xml:space="preserve">The second new variable was created using the minutes spent with physician variable (TIMEMD) to create a time range variable (TIMEMDGROUP) with the following ranges based on the physician coding categories listed in Figure 3: &lt;15, 16-40, &gt;41 minutes. </w:t>
      </w:r>
    </w:p>
    <w:p w:rsidR="00DA7040" w:rsidRPr="000763AE" w:rsidRDefault="00C85FD7" w:rsidP="00B11B34">
      <w:pPr>
        <w:numPr>
          <w:ilvl w:val="0"/>
          <w:numId w:val="12"/>
        </w:numPr>
        <w:spacing w:after="200" w:line="360" w:lineRule="auto"/>
        <w:contextualSpacing/>
        <w:jc w:val="both"/>
        <w:rPr>
          <w:rFonts w:eastAsia="Calibri"/>
          <w:b/>
        </w:rPr>
      </w:pPr>
      <w:r w:rsidRPr="000763AE">
        <w:rPr>
          <w:rFonts w:eastAsia="Calibri"/>
        </w:rPr>
        <w:t xml:space="preserve">The next variable created was PROVTYPE, which comprises visits for physicians, physician assistant, and nurse practitioner.  </w:t>
      </w:r>
    </w:p>
    <w:p w:rsidR="00C85FD7" w:rsidRPr="000763AE" w:rsidRDefault="00C85FD7" w:rsidP="00B11B34">
      <w:pPr>
        <w:numPr>
          <w:ilvl w:val="0"/>
          <w:numId w:val="12"/>
        </w:numPr>
        <w:spacing w:after="200" w:line="360" w:lineRule="auto"/>
        <w:contextualSpacing/>
        <w:jc w:val="both"/>
        <w:rPr>
          <w:rFonts w:eastAsia="Calibri"/>
          <w:b/>
        </w:rPr>
      </w:pPr>
      <w:r w:rsidRPr="000763AE">
        <w:rPr>
          <w:rFonts w:eastAsia="Calibri"/>
        </w:rPr>
        <w:t>The final two variables created were AGEGROUP (1-44, 45-64, &gt;65) and PAYERGROUP (Medicare, Medicaid, Private, other sources of payment or blank)</w:t>
      </w:r>
      <w:r w:rsidRPr="000763AE" w:rsidDel="00447812">
        <w:rPr>
          <w:rFonts w:eastAsia="Calibri"/>
        </w:rPr>
        <w:t xml:space="preserve"> </w:t>
      </w:r>
      <w:r w:rsidRPr="000763AE">
        <w:rPr>
          <w:rFonts w:eastAsia="Calibri"/>
        </w:rPr>
        <w:t>which were created to avoid a Type 1 Error due to low cell counts in some of the subcategories within the variables.</w:t>
      </w:r>
      <w:r w:rsidR="00DA7040" w:rsidRPr="000763AE">
        <w:rPr>
          <w:rFonts w:eastAsia="Calibri"/>
          <w:b/>
        </w:rPr>
        <w:t xml:space="preserve"> </w:t>
      </w:r>
      <w:r w:rsidRPr="000763AE">
        <w:rPr>
          <w:rFonts w:eastAsia="Calibri"/>
        </w:rPr>
        <w:t>The AGEGROUP variable ranges were created to match the Medicare age qualification criteria of over 65 years old.  The new variables are listed in Table-3 below and a complete list of the variables selected from the 2015 NAMCS survey for this research can be found in Appendix A in Table-A.</w:t>
      </w:r>
      <w:r w:rsidRPr="000763AE">
        <w:rPr>
          <w:rFonts w:eastAsia="Calibri"/>
          <w:b/>
        </w:rPr>
        <w:t xml:space="preserve"> </w:t>
      </w:r>
    </w:p>
    <w:p w:rsidR="00C85FD7" w:rsidRPr="000763AE" w:rsidRDefault="00C85FD7" w:rsidP="00B11B34">
      <w:pPr>
        <w:spacing w:line="360" w:lineRule="auto"/>
        <w:jc w:val="both"/>
        <w:rPr>
          <w:rFonts w:eastAsia="Calibri"/>
          <w:b/>
        </w:rPr>
      </w:pPr>
    </w:p>
    <w:p w:rsidR="00C85FD7" w:rsidRPr="000763AE" w:rsidRDefault="00C85FD7" w:rsidP="00F02989">
      <w:pPr>
        <w:jc w:val="both"/>
        <w:rPr>
          <w:rFonts w:eastAsia="Calibri"/>
          <w:b/>
        </w:rPr>
      </w:pPr>
    </w:p>
    <w:p w:rsidR="00427236" w:rsidRPr="000763AE" w:rsidRDefault="00427236" w:rsidP="00F02989">
      <w:pPr>
        <w:jc w:val="both"/>
        <w:rPr>
          <w:rFonts w:eastAsia="Calibri"/>
          <w:b/>
        </w:rPr>
      </w:pPr>
    </w:p>
    <w:p w:rsidR="00C85FD7" w:rsidRPr="000763AE" w:rsidRDefault="00C85FD7" w:rsidP="00F02989">
      <w:pPr>
        <w:jc w:val="both"/>
        <w:rPr>
          <w:rFonts w:eastAsia="Calibri"/>
          <w:b/>
        </w:rPr>
      </w:pPr>
      <w:proofErr w:type="gramStart"/>
      <w:r w:rsidRPr="000763AE">
        <w:rPr>
          <w:rFonts w:eastAsia="Calibri"/>
          <w:b/>
        </w:rPr>
        <w:lastRenderedPageBreak/>
        <w:t>Table 3.</w:t>
      </w:r>
      <w:proofErr w:type="gramEnd"/>
      <w:r w:rsidRPr="000763AE">
        <w:rPr>
          <w:rFonts w:eastAsia="Calibri"/>
          <w:b/>
        </w:rPr>
        <w:t xml:space="preserve">  List of variables and their definitions selected the NAMCS 2015 survey for the research analysis.</w:t>
      </w:r>
    </w:p>
    <w:p w:rsidR="00C85FD7" w:rsidRPr="000763AE" w:rsidRDefault="00C85FD7" w:rsidP="00F02989">
      <w:pPr>
        <w:jc w:val="both"/>
        <w:rPr>
          <w:rFonts w:eastAsia="Calibri"/>
          <w:b/>
        </w:rPr>
      </w:pPr>
    </w:p>
    <w:p w:rsidR="00C85FD7" w:rsidRPr="000763AE" w:rsidRDefault="00C85FD7" w:rsidP="00F02989">
      <w:pPr>
        <w:jc w:val="both"/>
        <w:rPr>
          <w:rFonts w:eastAsia="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3815"/>
        <w:gridCol w:w="2953"/>
      </w:tblGrid>
      <w:tr w:rsidR="00C85FD7" w:rsidRPr="00C85FD7" w:rsidTr="000763AE">
        <w:tc>
          <w:tcPr>
            <w:tcW w:w="1179" w:type="pct"/>
            <w:shd w:val="clear" w:color="auto" w:fill="808080"/>
            <w:vAlign w:val="center"/>
          </w:tcPr>
          <w:p w:rsidR="00C85FD7" w:rsidRPr="000763AE" w:rsidRDefault="00C85FD7" w:rsidP="000763AE">
            <w:pPr>
              <w:jc w:val="both"/>
              <w:rPr>
                <w:rFonts w:eastAsia="Calibri"/>
                <w:b/>
                <w:color w:val="FFFFFF"/>
                <w:sz w:val="28"/>
              </w:rPr>
            </w:pPr>
            <w:r w:rsidRPr="000763AE">
              <w:rPr>
                <w:rFonts w:eastAsia="Calibri"/>
                <w:b/>
                <w:color w:val="FFFFFF"/>
                <w:sz w:val="28"/>
              </w:rPr>
              <w:t>New variable</w:t>
            </w:r>
          </w:p>
        </w:tc>
        <w:tc>
          <w:tcPr>
            <w:tcW w:w="2154" w:type="pct"/>
            <w:shd w:val="clear" w:color="auto" w:fill="808080"/>
            <w:vAlign w:val="center"/>
          </w:tcPr>
          <w:p w:rsidR="00C85FD7" w:rsidRPr="000763AE" w:rsidRDefault="00C85FD7" w:rsidP="000763AE">
            <w:pPr>
              <w:jc w:val="both"/>
              <w:rPr>
                <w:rFonts w:eastAsia="Calibri"/>
                <w:b/>
                <w:color w:val="FFFFFF"/>
                <w:sz w:val="28"/>
              </w:rPr>
            </w:pPr>
            <w:r w:rsidRPr="000763AE">
              <w:rPr>
                <w:rFonts w:eastAsia="Calibri"/>
                <w:b/>
                <w:color w:val="FFFFFF"/>
                <w:sz w:val="28"/>
              </w:rPr>
              <w:t>Represents</w:t>
            </w:r>
          </w:p>
        </w:tc>
        <w:tc>
          <w:tcPr>
            <w:tcW w:w="1667" w:type="pct"/>
            <w:shd w:val="clear" w:color="auto" w:fill="808080"/>
            <w:vAlign w:val="center"/>
          </w:tcPr>
          <w:p w:rsidR="00C85FD7" w:rsidRPr="000763AE" w:rsidRDefault="00C85FD7" w:rsidP="000763AE">
            <w:pPr>
              <w:jc w:val="both"/>
              <w:rPr>
                <w:rFonts w:eastAsia="Calibri"/>
                <w:b/>
                <w:color w:val="FFFFFF"/>
                <w:sz w:val="28"/>
              </w:rPr>
            </w:pPr>
            <w:r w:rsidRPr="000763AE">
              <w:rPr>
                <w:rFonts w:eastAsia="Calibri"/>
                <w:b/>
                <w:color w:val="FFFFFF"/>
                <w:sz w:val="28"/>
              </w:rPr>
              <w:t>Definition</w:t>
            </w:r>
          </w:p>
        </w:tc>
      </w:tr>
      <w:tr w:rsidR="00C85FD7" w:rsidRPr="00C85FD7" w:rsidTr="000763AE">
        <w:tc>
          <w:tcPr>
            <w:tcW w:w="1179" w:type="pct"/>
            <w:shd w:val="clear" w:color="auto" w:fill="808080"/>
            <w:vAlign w:val="center"/>
          </w:tcPr>
          <w:p w:rsidR="00C85FD7" w:rsidRPr="000763AE" w:rsidRDefault="00C85FD7" w:rsidP="000763AE">
            <w:pPr>
              <w:jc w:val="both"/>
              <w:rPr>
                <w:rFonts w:eastAsia="Calibri"/>
                <w:b/>
                <w:color w:val="FFFFFF"/>
                <w:sz w:val="22"/>
              </w:rPr>
            </w:pPr>
            <w:r w:rsidRPr="000763AE">
              <w:rPr>
                <w:rFonts w:eastAsia="Calibri"/>
                <w:b/>
                <w:color w:val="FFFFFF"/>
                <w:sz w:val="22"/>
              </w:rPr>
              <w:t>ALLDIAB</w:t>
            </w:r>
          </w:p>
        </w:tc>
        <w:tc>
          <w:tcPr>
            <w:tcW w:w="2154" w:type="pct"/>
            <w:shd w:val="clear" w:color="auto" w:fill="auto"/>
            <w:vAlign w:val="center"/>
          </w:tcPr>
          <w:p w:rsidR="00C85FD7" w:rsidRPr="000763AE" w:rsidRDefault="00C85FD7" w:rsidP="000763AE">
            <w:pPr>
              <w:jc w:val="both"/>
              <w:rPr>
                <w:rFonts w:eastAsia="Calibri"/>
              </w:rPr>
            </w:pPr>
            <w:r w:rsidRPr="000763AE">
              <w:rPr>
                <w:rFonts w:eastAsia="Calibri"/>
              </w:rPr>
              <w:t xml:space="preserve">Presence of any type of diabetes </w:t>
            </w:r>
          </w:p>
        </w:tc>
        <w:tc>
          <w:tcPr>
            <w:tcW w:w="1667" w:type="pct"/>
            <w:shd w:val="clear" w:color="auto" w:fill="auto"/>
          </w:tcPr>
          <w:p w:rsidR="00C85FD7" w:rsidRPr="000763AE" w:rsidRDefault="00C85FD7" w:rsidP="000763AE">
            <w:pPr>
              <w:jc w:val="both"/>
              <w:rPr>
                <w:rFonts w:eastAsia="Calibri"/>
              </w:rPr>
            </w:pPr>
            <w:r w:rsidRPr="000763AE">
              <w:rPr>
                <w:rFonts w:eastAsia="Calibri"/>
              </w:rPr>
              <w:t>Yes = 1</w:t>
            </w:r>
          </w:p>
          <w:p w:rsidR="00C85FD7" w:rsidRPr="000763AE" w:rsidRDefault="00C85FD7" w:rsidP="000763AE">
            <w:pPr>
              <w:jc w:val="both"/>
              <w:rPr>
                <w:rFonts w:eastAsia="Calibri"/>
              </w:rPr>
            </w:pPr>
            <w:r w:rsidRPr="000763AE">
              <w:rPr>
                <w:rFonts w:eastAsia="Calibri"/>
              </w:rPr>
              <w:t>No = 0</w:t>
            </w:r>
          </w:p>
        </w:tc>
      </w:tr>
      <w:tr w:rsidR="00C85FD7" w:rsidRPr="00C85FD7" w:rsidTr="000763AE">
        <w:tc>
          <w:tcPr>
            <w:tcW w:w="1179" w:type="pct"/>
            <w:shd w:val="clear" w:color="auto" w:fill="808080"/>
            <w:vAlign w:val="center"/>
          </w:tcPr>
          <w:p w:rsidR="00C85FD7" w:rsidRPr="000763AE" w:rsidRDefault="00C85FD7" w:rsidP="000763AE">
            <w:pPr>
              <w:jc w:val="both"/>
              <w:rPr>
                <w:rFonts w:eastAsia="Calibri"/>
                <w:b/>
                <w:color w:val="FFFFFF"/>
                <w:sz w:val="22"/>
              </w:rPr>
            </w:pPr>
            <w:r w:rsidRPr="000763AE">
              <w:rPr>
                <w:rFonts w:eastAsia="Calibri"/>
                <w:b/>
                <w:color w:val="FFFFFF"/>
                <w:sz w:val="22"/>
              </w:rPr>
              <w:t xml:space="preserve"> TIMEMDGROUP</w:t>
            </w:r>
          </w:p>
        </w:tc>
        <w:tc>
          <w:tcPr>
            <w:tcW w:w="2154" w:type="pct"/>
            <w:shd w:val="clear" w:color="auto" w:fill="auto"/>
            <w:vAlign w:val="center"/>
          </w:tcPr>
          <w:p w:rsidR="00C85FD7" w:rsidRPr="000763AE" w:rsidRDefault="00C85FD7" w:rsidP="000763AE">
            <w:pPr>
              <w:jc w:val="both"/>
              <w:rPr>
                <w:rFonts w:eastAsia="Calibri"/>
              </w:rPr>
            </w:pPr>
            <w:r w:rsidRPr="000763AE">
              <w:rPr>
                <w:rFonts w:eastAsia="Calibri"/>
              </w:rPr>
              <w:t>Time spent with provider by ranges by minutes</w:t>
            </w:r>
          </w:p>
        </w:tc>
        <w:tc>
          <w:tcPr>
            <w:tcW w:w="1667" w:type="pct"/>
            <w:shd w:val="clear" w:color="auto" w:fill="auto"/>
          </w:tcPr>
          <w:p w:rsidR="00C85FD7" w:rsidRPr="000763AE" w:rsidRDefault="00C85FD7" w:rsidP="000763AE">
            <w:pPr>
              <w:jc w:val="both"/>
              <w:rPr>
                <w:rFonts w:eastAsia="Calibri"/>
              </w:rPr>
            </w:pPr>
            <w:r w:rsidRPr="000763AE">
              <w:rPr>
                <w:rFonts w:eastAsia="Calibri"/>
              </w:rPr>
              <w:t>&lt; 15 min = 1</w:t>
            </w:r>
          </w:p>
          <w:p w:rsidR="00C85FD7" w:rsidRPr="000763AE" w:rsidRDefault="00C85FD7" w:rsidP="000763AE">
            <w:pPr>
              <w:jc w:val="both"/>
              <w:rPr>
                <w:rFonts w:eastAsia="Calibri"/>
              </w:rPr>
            </w:pPr>
            <w:r w:rsidRPr="000763AE">
              <w:rPr>
                <w:rFonts w:eastAsia="Calibri"/>
              </w:rPr>
              <w:t xml:space="preserve"> 16-40 min = 2</w:t>
            </w:r>
          </w:p>
          <w:p w:rsidR="00C85FD7" w:rsidRPr="000763AE" w:rsidRDefault="00C85FD7" w:rsidP="000763AE">
            <w:pPr>
              <w:jc w:val="both"/>
              <w:rPr>
                <w:rFonts w:eastAsia="Calibri"/>
              </w:rPr>
            </w:pPr>
            <w:r w:rsidRPr="000763AE">
              <w:rPr>
                <w:rFonts w:eastAsia="Calibri"/>
              </w:rPr>
              <w:t>&gt; 40 min = 3</w:t>
            </w:r>
          </w:p>
        </w:tc>
      </w:tr>
      <w:tr w:rsidR="00C85FD7" w:rsidRPr="00C85FD7" w:rsidTr="000763AE">
        <w:tc>
          <w:tcPr>
            <w:tcW w:w="1179" w:type="pct"/>
            <w:shd w:val="clear" w:color="auto" w:fill="808080"/>
            <w:vAlign w:val="center"/>
          </w:tcPr>
          <w:p w:rsidR="00C85FD7" w:rsidRPr="000763AE" w:rsidRDefault="00C85FD7" w:rsidP="000763AE">
            <w:pPr>
              <w:jc w:val="both"/>
              <w:rPr>
                <w:rFonts w:eastAsia="Calibri"/>
                <w:b/>
                <w:color w:val="FFFFFF"/>
                <w:sz w:val="22"/>
              </w:rPr>
            </w:pPr>
            <w:r w:rsidRPr="000763AE">
              <w:rPr>
                <w:rFonts w:eastAsia="Calibri"/>
                <w:b/>
                <w:color w:val="FFFFFF"/>
                <w:sz w:val="22"/>
              </w:rPr>
              <w:t>PROVTYPE</w:t>
            </w:r>
          </w:p>
        </w:tc>
        <w:tc>
          <w:tcPr>
            <w:tcW w:w="2154" w:type="pct"/>
            <w:shd w:val="clear" w:color="auto" w:fill="auto"/>
            <w:vAlign w:val="center"/>
          </w:tcPr>
          <w:p w:rsidR="00C85FD7" w:rsidRPr="000763AE" w:rsidRDefault="00C85FD7" w:rsidP="000763AE">
            <w:pPr>
              <w:jc w:val="both"/>
              <w:rPr>
                <w:rFonts w:eastAsia="Calibri"/>
              </w:rPr>
            </w:pPr>
            <w:r w:rsidRPr="000763AE">
              <w:rPr>
                <w:rFonts w:eastAsia="Calibri"/>
              </w:rPr>
              <w:t xml:space="preserve">Type of provider seen during visit </w:t>
            </w:r>
          </w:p>
        </w:tc>
        <w:tc>
          <w:tcPr>
            <w:tcW w:w="1667" w:type="pct"/>
            <w:shd w:val="clear" w:color="auto" w:fill="auto"/>
          </w:tcPr>
          <w:p w:rsidR="00C85FD7" w:rsidRPr="000763AE" w:rsidRDefault="00C85FD7" w:rsidP="000763AE">
            <w:pPr>
              <w:jc w:val="both"/>
              <w:rPr>
                <w:rFonts w:eastAsia="Calibri"/>
              </w:rPr>
            </w:pPr>
            <w:r w:rsidRPr="000763AE">
              <w:rPr>
                <w:rFonts w:eastAsia="Calibri"/>
              </w:rPr>
              <w:t>Physician = 1</w:t>
            </w:r>
          </w:p>
          <w:p w:rsidR="00C85FD7" w:rsidRPr="000763AE" w:rsidRDefault="00C85FD7" w:rsidP="000763AE">
            <w:pPr>
              <w:jc w:val="both"/>
              <w:rPr>
                <w:rFonts w:eastAsia="Calibri"/>
              </w:rPr>
            </w:pPr>
            <w:r w:rsidRPr="000763AE">
              <w:rPr>
                <w:rFonts w:eastAsia="Calibri"/>
              </w:rPr>
              <w:t>Physician assistant = 2</w:t>
            </w:r>
          </w:p>
          <w:p w:rsidR="00C85FD7" w:rsidRPr="000763AE" w:rsidRDefault="00C85FD7" w:rsidP="000763AE">
            <w:pPr>
              <w:jc w:val="both"/>
              <w:rPr>
                <w:rFonts w:eastAsia="Calibri"/>
              </w:rPr>
            </w:pPr>
            <w:r w:rsidRPr="000763AE">
              <w:rPr>
                <w:rFonts w:eastAsia="Calibri"/>
              </w:rPr>
              <w:t>Nurse practitioner = 3</w:t>
            </w:r>
          </w:p>
          <w:p w:rsidR="00C85FD7" w:rsidRPr="000763AE" w:rsidRDefault="00C85FD7" w:rsidP="000763AE">
            <w:pPr>
              <w:jc w:val="both"/>
              <w:rPr>
                <w:rFonts w:eastAsia="Calibri"/>
              </w:rPr>
            </w:pPr>
            <w:r w:rsidRPr="000763AE">
              <w:rPr>
                <w:rFonts w:eastAsia="Calibri"/>
              </w:rPr>
              <w:t>Other = 4</w:t>
            </w:r>
          </w:p>
        </w:tc>
      </w:tr>
      <w:tr w:rsidR="00C85FD7" w:rsidRPr="00C85FD7" w:rsidTr="000763AE">
        <w:tc>
          <w:tcPr>
            <w:tcW w:w="1179" w:type="pct"/>
            <w:shd w:val="clear" w:color="auto" w:fill="808080"/>
            <w:vAlign w:val="center"/>
          </w:tcPr>
          <w:p w:rsidR="00C85FD7" w:rsidRPr="000763AE" w:rsidRDefault="00C85FD7" w:rsidP="000763AE">
            <w:pPr>
              <w:jc w:val="both"/>
              <w:rPr>
                <w:rFonts w:eastAsia="Calibri"/>
                <w:b/>
                <w:color w:val="FFFFFF"/>
                <w:sz w:val="22"/>
              </w:rPr>
            </w:pPr>
            <w:r w:rsidRPr="000763AE">
              <w:rPr>
                <w:rFonts w:eastAsia="Calibri"/>
                <w:b/>
                <w:color w:val="FFFFFF"/>
                <w:sz w:val="22"/>
              </w:rPr>
              <w:t>AGEGROUP</w:t>
            </w:r>
          </w:p>
        </w:tc>
        <w:tc>
          <w:tcPr>
            <w:tcW w:w="2154" w:type="pct"/>
            <w:shd w:val="clear" w:color="auto" w:fill="auto"/>
            <w:vAlign w:val="center"/>
          </w:tcPr>
          <w:p w:rsidR="00C85FD7" w:rsidRPr="000763AE" w:rsidRDefault="00C85FD7" w:rsidP="000763AE">
            <w:pPr>
              <w:jc w:val="both"/>
              <w:rPr>
                <w:rFonts w:eastAsia="Calibri"/>
              </w:rPr>
            </w:pPr>
            <w:r w:rsidRPr="000763AE">
              <w:rPr>
                <w:rFonts w:eastAsia="Calibri"/>
              </w:rPr>
              <w:t xml:space="preserve">Visit by age category </w:t>
            </w:r>
          </w:p>
        </w:tc>
        <w:tc>
          <w:tcPr>
            <w:tcW w:w="1667" w:type="pct"/>
            <w:shd w:val="clear" w:color="auto" w:fill="auto"/>
          </w:tcPr>
          <w:p w:rsidR="00C85FD7" w:rsidRPr="000763AE" w:rsidRDefault="00C85FD7" w:rsidP="000763AE">
            <w:pPr>
              <w:jc w:val="both"/>
              <w:rPr>
                <w:rFonts w:eastAsia="Calibri"/>
              </w:rPr>
            </w:pPr>
            <w:r w:rsidRPr="000763AE">
              <w:rPr>
                <w:rFonts w:eastAsia="Calibri"/>
              </w:rPr>
              <w:t>1-44 years = 1</w:t>
            </w:r>
          </w:p>
          <w:p w:rsidR="00C85FD7" w:rsidRPr="000763AE" w:rsidRDefault="00C85FD7" w:rsidP="000763AE">
            <w:pPr>
              <w:jc w:val="both"/>
              <w:rPr>
                <w:rFonts w:eastAsia="Calibri"/>
              </w:rPr>
            </w:pPr>
            <w:r w:rsidRPr="000763AE">
              <w:rPr>
                <w:rFonts w:eastAsia="Calibri"/>
              </w:rPr>
              <w:t>45-64years = 2</w:t>
            </w:r>
          </w:p>
          <w:p w:rsidR="00C85FD7" w:rsidRPr="000763AE" w:rsidRDefault="00C85FD7" w:rsidP="000763AE">
            <w:pPr>
              <w:jc w:val="both"/>
              <w:rPr>
                <w:rFonts w:eastAsia="Calibri"/>
              </w:rPr>
            </w:pPr>
            <w:r w:rsidRPr="000763AE">
              <w:rPr>
                <w:rFonts w:eastAsia="Calibri"/>
              </w:rPr>
              <w:t>&gt; 65 years = 3</w:t>
            </w:r>
          </w:p>
        </w:tc>
      </w:tr>
      <w:tr w:rsidR="00C85FD7" w:rsidRPr="00C85FD7" w:rsidTr="000763AE">
        <w:tc>
          <w:tcPr>
            <w:tcW w:w="1179" w:type="pct"/>
            <w:shd w:val="clear" w:color="auto" w:fill="808080"/>
            <w:vAlign w:val="center"/>
          </w:tcPr>
          <w:p w:rsidR="00C85FD7" w:rsidRPr="000763AE" w:rsidRDefault="00C85FD7" w:rsidP="000763AE">
            <w:pPr>
              <w:jc w:val="both"/>
              <w:rPr>
                <w:rFonts w:eastAsia="Calibri"/>
                <w:b/>
                <w:color w:val="FFFFFF"/>
                <w:sz w:val="22"/>
              </w:rPr>
            </w:pPr>
            <w:r w:rsidRPr="000763AE">
              <w:rPr>
                <w:rFonts w:eastAsia="Calibri"/>
                <w:b/>
                <w:color w:val="FFFFFF"/>
                <w:sz w:val="22"/>
              </w:rPr>
              <w:t>PAYERGROUP</w:t>
            </w:r>
          </w:p>
        </w:tc>
        <w:tc>
          <w:tcPr>
            <w:tcW w:w="2154" w:type="pct"/>
            <w:shd w:val="clear" w:color="auto" w:fill="auto"/>
            <w:vAlign w:val="center"/>
          </w:tcPr>
          <w:p w:rsidR="00C85FD7" w:rsidRPr="000763AE" w:rsidRDefault="00C85FD7" w:rsidP="000763AE">
            <w:pPr>
              <w:jc w:val="both"/>
              <w:rPr>
                <w:rFonts w:eastAsia="Calibri"/>
              </w:rPr>
            </w:pPr>
            <w:r w:rsidRPr="000763AE">
              <w:rPr>
                <w:rFonts w:eastAsia="Calibri"/>
              </w:rPr>
              <w:t xml:space="preserve">Form of payment used for visit </w:t>
            </w:r>
          </w:p>
        </w:tc>
        <w:tc>
          <w:tcPr>
            <w:tcW w:w="1667" w:type="pct"/>
            <w:shd w:val="clear" w:color="auto" w:fill="auto"/>
          </w:tcPr>
          <w:p w:rsidR="00C85FD7" w:rsidRPr="000763AE" w:rsidRDefault="00C85FD7" w:rsidP="000763AE">
            <w:pPr>
              <w:jc w:val="both"/>
              <w:rPr>
                <w:rFonts w:eastAsia="Calibri"/>
              </w:rPr>
            </w:pPr>
            <w:r w:rsidRPr="000763AE">
              <w:rPr>
                <w:rFonts w:eastAsia="Calibri"/>
              </w:rPr>
              <w:t>Private insurance = 1</w:t>
            </w:r>
          </w:p>
          <w:p w:rsidR="00C85FD7" w:rsidRPr="000763AE" w:rsidRDefault="00C85FD7" w:rsidP="000763AE">
            <w:pPr>
              <w:jc w:val="both"/>
              <w:rPr>
                <w:rFonts w:eastAsia="Calibri"/>
              </w:rPr>
            </w:pPr>
            <w:r w:rsidRPr="000763AE">
              <w:rPr>
                <w:rFonts w:eastAsia="Calibri"/>
              </w:rPr>
              <w:t>Medicare = 2</w:t>
            </w:r>
          </w:p>
          <w:p w:rsidR="00C85FD7" w:rsidRPr="000763AE" w:rsidRDefault="00C85FD7" w:rsidP="000763AE">
            <w:pPr>
              <w:jc w:val="both"/>
              <w:rPr>
                <w:rFonts w:eastAsia="Calibri"/>
              </w:rPr>
            </w:pPr>
            <w:r w:rsidRPr="000763AE">
              <w:rPr>
                <w:rFonts w:eastAsia="Calibri"/>
              </w:rPr>
              <w:t>Medicaid = 3</w:t>
            </w:r>
          </w:p>
          <w:p w:rsidR="00C85FD7" w:rsidRPr="000763AE" w:rsidRDefault="00C85FD7" w:rsidP="000763AE">
            <w:pPr>
              <w:jc w:val="both"/>
              <w:rPr>
                <w:rFonts w:eastAsia="Calibri"/>
              </w:rPr>
            </w:pPr>
            <w:r w:rsidRPr="000763AE">
              <w:rPr>
                <w:rFonts w:eastAsia="Calibri"/>
              </w:rPr>
              <w:t>Other = 4</w:t>
            </w:r>
          </w:p>
        </w:tc>
      </w:tr>
    </w:tbl>
    <w:p w:rsidR="00C85FD7" w:rsidRPr="000763AE" w:rsidRDefault="00C85FD7" w:rsidP="00B11B34">
      <w:pPr>
        <w:spacing w:line="360" w:lineRule="auto"/>
        <w:jc w:val="both"/>
        <w:rPr>
          <w:rFonts w:eastAsia="Calibri"/>
          <w:b/>
        </w:rPr>
      </w:pPr>
    </w:p>
    <w:p w:rsidR="00C85FD7" w:rsidRPr="000763AE" w:rsidRDefault="00C85FD7" w:rsidP="00B11B34">
      <w:pPr>
        <w:spacing w:line="360" w:lineRule="auto"/>
        <w:jc w:val="both"/>
        <w:rPr>
          <w:rFonts w:eastAsia="Calibri"/>
          <w:b/>
        </w:rPr>
      </w:pPr>
    </w:p>
    <w:p w:rsidR="00C85FD7" w:rsidRPr="000C5643" w:rsidRDefault="00F02989" w:rsidP="000C5643">
      <w:pPr>
        <w:spacing w:line="360" w:lineRule="auto"/>
        <w:jc w:val="both"/>
        <w:rPr>
          <w:rFonts w:eastAsia="Calibri"/>
          <w:b/>
        </w:rPr>
      </w:pPr>
      <w:r w:rsidRPr="000763AE">
        <w:rPr>
          <w:rFonts w:eastAsia="Calibri"/>
          <w:b/>
        </w:rPr>
        <w:br w:type="page"/>
      </w:r>
      <w:proofErr w:type="gramStart"/>
      <w:r w:rsidR="006B13F0" w:rsidRPr="000763AE">
        <w:rPr>
          <w:rFonts w:eastAsia="Calibri"/>
          <w:b/>
        </w:rPr>
        <w:lastRenderedPageBreak/>
        <w:t xml:space="preserve">Figure </w:t>
      </w:r>
      <w:r w:rsidR="00D029B5" w:rsidRPr="000763AE">
        <w:rPr>
          <w:rFonts w:eastAsia="Calibri"/>
          <w:b/>
        </w:rPr>
        <w:t>5</w:t>
      </w:r>
      <w:r w:rsidR="00C85FD7" w:rsidRPr="000763AE">
        <w:rPr>
          <w:rFonts w:eastAsia="Calibri"/>
          <w:b/>
        </w:rPr>
        <w:t>.</w:t>
      </w:r>
      <w:proofErr w:type="gramEnd"/>
      <w:r w:rsidR="00C85FD7" w:rsidRPr="000763AE">
        <w:rPr>
          <w:rFonts w:eastAsia="Calibri"/>
        </w:rPr>
        <w:t xml:space="preserve"> Professional Services Billing Codes: Current Procedural Terminology (CPT) codes and breakdown for office-based evaluation and management codes.</w:t>
      </w:r>
    </w:p>
    <w:p w:rsidR="00C85FD7" w:rsidRPr="000763AE" w:rsidRDefault="00C85FD7" w:rsidP="00B11B34">
      <w:pPr>
        <w:spacing w:line="360" w:lineRule="auto"/>
        <w:jc w:val="both"/>
        <w:rPr>
          <w:rFonts w:eastAsia="Calibri"/>
          <w:noProof/>
        </w:rPr>
      </w:pPr>
    </w:p>
    <w:p w:rsidR="00C85FD7" w:rsidRPr="000763AE" w:rsidRDefault="008252AC" w:rsidP="00B11B34">
      <w:pPr>
        <w:spacing w:line="360" w:lineRule="auto"/>
        <w:ind w:left="-288"/>
        <w:jc w:val="both"/>
        <w:rPr>
          <w:rFonts w:eastAsia="Calibri"/>
        </w:rPr>
      </w:pPr>
      <w:r>
        <w:rPr>
          <w:rFonts w:eastAsia="Calibri"/>
          <w:noProof/>
        </w:rPr>
        <w:drawing>
          <wp:inline distT="0" distB="0" distL="0" distR="0">
            <wp:extent cx="5823585" cy="3333750"/>
            <wp:effectExtent l="0" t="0" r="5715" b="0"/>
            <wp:docPr id="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23585" cy="3333750"/>
                    </a:xfrm>
                    <a:prstGeom prst="rect">
                      <a:avLst/>
                    </a:prstGeom>
                    <a:noFill/>
                    <a:ln>
                      <a:noFill/>
                    </a:ln>
                  </pic:spPr>
                </pic:pic>
              </a:graphicData>
            </a:graphic>
          </wp:inline>
        </w:drawing>
      </w:r>
    </w:p>
    <w:p w:rsidR="00C85FD7" w:rsidRPr="000763AE" w:rsidRDefault="00C85FD7" w:rsidP="00F02989">
      <w:pPr>
        <w:jc w:val="both"/>
        <w:rPr>
          <w:rFonts w:eastAsia="Calibri"/>
          <w:sz w:val="20"/>
        </w:rPr>
      </w:pPr>
      <w:proofErr w:type="gramStart"/>
      <w:r w:rsidRPr="000763AE">
        <w:rPr>
          <w:rFonts w:eastAsia="Calibri"/>
          <w:sz w:val="16"/>
        </w:rPr>
        <w:t>Optum360 (2018).</w:t>
      </w:r>
      <w:proofErr w:type="gramEnd"/>
      <w:r w:rsidRPr="000763AE">
        <w:rPr>
          <w:rFonts w:eastAsia="Calibri"/>
          <w:sz w:val="16"/>
        </w:rPr>
        <w:t xml:space="preserve"> 2019 Evaluation and Management Coding Advisor Advanced guidance on E/M code selection for traditional documentation systems. Retrieved from:</w:t>
      </w:r>
      <w:r w:rsidRPr="000763AE">
        <w:rPr>
          <w:rFonts w:eastAsia="Calibri"/>
          <w:sz w:val="16"/>
        </w:rPr>
        <w:cr/>
        <w:t xml:space="preserve"> </w:t>
      </w:r>
      <w:hyperlink r:id="rId17" w:history="1">
        <w:r w:rsidRPr="000763AE">
          <w:rPr>
            <w:rFonts w:eastAsia="Calibri"/>
            <w:color w:val="0000FF"/>
            <w:sz w:val="16"/>
            <w:u w:val="single"/>
          </w:rPr>
          <w:t>https://cdn.optumcoding.com/upload/pdf/EMCA19/EMCA_EMCA19%202019%20Sample%20Pages.pdf</w:t>
        </w:r>
      </w:hyperlink>
      <w:r w:rsidRPr="000763AE">
        <w:rPr>
          <w:rFonts w:eastAsia="Calibri"/>
          <w:sz w:val="16"/>
        </w:rPr>
        <w:t xml:space="preserve"> </w:t>
      </w:r>
    </w:p>
    <w:p w:rsidR="00C85FD7" w:rsidRPr="00C85FD7" w:rsidRDefault="00C85FD7" w:rsidP="00B11B34">
      <w:pPr>
        <w:spacing w:line="360" w:lineRule="auto"/>
        <w:contextualSpacing/>
        <w:jc w:val="both"/>
        <w:rPr>
          <w:b/>
        </w:rPr>
      </w:pPr>
    </w:p>
    <w:p w:rsidR="00C85FD7" w:rsidRPr="000763AE" w:rsidRDefault="00C85FD7" w:rsidP="00B11B34">
      <w:pPr>
        <w:spacing w:line="360" w:lineRule="auto"/>
        <w:contextualSpacing/>
        <w:jc w:val="both"/>
        <w:rPr>
          <w:rFonts w:eastAsia="Calibri"/>
        </w:rPr>
      </w:pPr>
      <w:r w:rsidRPr="00C85FD7">
        <w:rPr>
          <w:b/>
        </w:rPr>
        <w:t xml:space="preserve">Data </w:t>
      </w:r>
      <w:r w:rsidR="00AB318E">
        <w:rPr>
          <w:b/>
        </w:rPr>
        <w:t>E</w:t>
      </w:r>
      <w:r w:rsidRPr="00C85FD7">
        <w:rPr>
          <w:b/>
        </w:rPr>
        <w:t xml:space="preserve">xclusion </w:t>
      </w:r>
      <w:r w:rsidR="00AB318E">
        <w:rPr>
          <w:b/>
        </w:rPr>
        <w:t>C</w:t>
      </w:r>
      <w:r w:rsidRPr="00C85FD7">
        <w:rPr>
          <w:b/>
        </w:rPr>
        <w:t>riteria</w:t>
      </w:r>
    </w:p>
    <w:p w:rsidR="00C85FD7" w:rsidRPr="00C85FD7" w:rsidRDefault="00C85FD7" w:rsidP="00B11B34">
      <w:pPr>
        <w:spacing w:line="360" w:lineRule="auto"/>
        <w:jc w:val="both"/>
        <w:rPr>
          <w:b/>
        </w:rPr>
      </w:pPr>
      <w:r w:rsidRPr="000763AE">
        <w:rPr>
          <w:rFonts w:eastAsia="Calibri"/>
        </w:rPr>
        <w:tab/>
        <w:t>The original data set generated from the 2015 NAMCS Survey excludes visits for patients seen by providers in a hospital setting, a nursing home, or other long-term care institution only. Since the purpose of the NAMCS survey is to collect data for an ambulatory setting only, visits occurring in the patient’s home, patient calls to the office, and administrative only visits</w:t>
      </w:r>
      <w:r w:rsidR="00DD427F" w:rsidRPr="000763AE">
        <w:rPr>
          <w:rFonts w:eastAsia="Calibri"/>
        </w:rPr>
        <w:t>,</w:t>
      </w:r>
      <w:r w:rsidRPr="000763AE">
        <w:rPr>
          <w:rFonts w:eastAsia="Calibri"/>
        </w:rPr>
        <w:t xml:space="preserve"> including paying bills, medication refills, specimen drop offs, and form pick-up</w:t>
      </w:r>
      <w:r w:rsidR="00DD427F" w:rsidRPr="000763AE">
        <w:rPr>
          <w:rFonts w:eastAsia="Calibri"/>
        </w:rPr>
        <w:t>,</w:t>
      </w:r>
      <w:r w:rsidRPr="000763AE">
        <w:rPr>
          <w:rFonts w:eastAsia="Calibri"/>
        </w:rPr>
        <w:t xml:space="preserve"> were excluded from the data set.  This presents limitations on the applicability of research conducted on the detail that a foot exam could have been performed during a home visit but not reflected in the NAMCS 2015 sample data, which will be discussed in </w:t>
      </w:r>
      <w:r w:rsidR="00DD427F" w:rsidRPr="000763AE">
        <w:rPr>
          <w:rFonts w:eastAsia="Calibri"/>
        </w:rPr>
        <w:t xml:space="preserve">a </w:t>
      </w:r>
      <w:r w:rsidRPr="000763AE">
        <w:rPr>
          <w:rFonts w:eastAsia="Calibri"/>
        </w:rPr>
        <w:t xml:space="preserve">later section on the limitations and strengths of the study. No additional exclusion was </w:t>
      </w:r>
      <w:r w:rsidR="00DD427F" w:rsidRPr="000763AE">
        <w:rPr>
          <w:rFonts w:eastAsia="Calibri"/>
        </w:rPr>
        <w:t xml:space="preserve">performed </w:t>
      </w:r>
      <w:r w:rsidRPr="000763AE">
        <w:rPr>
          <w:rFonts w:eastAsia="Calibri"/>
        </w:rPr>
        <w:t xml:space="preserve">to the original dataset other than those performed by the CDC. </w:t>
      </w:r>
      <w:r w:rsidRPr="000763AE">
        <w:rPr>
          <w:rFonts w:eastAsia="Calibri"/>
        </w:rPr>
        <w:tab/>
        <w:t xml:space="preserve"> </w:t>
      </w:r>
    </w:p>
    <w:p w:rsidR="00427236" w:rsidRDefault="00427236" w:rsidP="00B11B34">
      <w:pPr>
        <w:spacing w:line="360" w:lineRule="auto"/>
        <w:jc w:val="both"/>
        <w:rPr>
          <w:b/>
        </w:rPr>
      </w:pPr>
    </w:p>
    <w:p w:rsidR="00C85FD7" w:rsidRPr="00C85FD7" w:rsidRDefault="00C85FD7" w:rsidP="00B11B34">
      <w:pPr>
        <w:spacing w:line="360" w:lineRule="auto"/>
        <w:jc w:val="both"/>
        <w:rPr>
          <w:b/>
        </w:rPr>
      </w:pPr>
      <w:r w:rsidRPr="00C85FD7">
        <w:rPr>
          <w:b/>
        </w:rPr>
        <w:lastRenderedPageBreak/>
        <w:t xml:space="preserve">Data Screening </w:t>
      </w:r>
    </w:p>
    <w:p w:rsidR="00C85FD7" w:rsidRPr="000763AE" w:rsidRDefault="00C85FD7" w:rsidP="00B11B34">
      <w:pPr>
        <w:spacing w:line="360" w:lineRule="auto"/>
        <w:ind w:firstLine="720"/>
        <w:jc w:val="both"/>
        <w:rPr>
          <w:rFonts w:eastAsia="Calibri"/>
        </w:rPr>
      </w:pPr>
      <w:r w:rsidRPr="000763AE">
        <w:rPr>
          <w:rFonts w:eastAsia="Calibri"/>
        </w:rPr>
        <w:t xml:space="preserve">According to </w:t>
      </w:r>
      <w:r w:rsidR="00DD427F" w:rsidRPr="000763AE">
        <w:rPr>
          <w:rFonts w:eastAsia="Calibri"/>
        </w:rPr>
        <w:t xml:space="preserve">the </w:t>
      </w:r>
      <w:r w:rsidRPr="000763AE">
        <w:rPr>
          <w:rFonts w:eastAsia="Calibri"/>
        </w:rPr>
        <w:t xml:space="preserve">CDC’s website, data collection for 2015 NAMCS was performed using a computer-assisted automated tool by Census field representatives. The data was abstracted from medical charts and entered into an automated survey instrument.  A copy of the 2015 Patient Record Card used to obtain patient data is included in the Appendix section of this document.  Although most data were collected by Census field staff, a small number of cases required office staff and providers to enter information via the use of a web portal or a designated Census laptop. </w:t>
      </w:r>
    </w:p>
    <w:p w:rsidR="00C85FD7" w:rsidRPr="000763AE" w:rsidRDefault="00C85FD7" w:rsidP="00B11B34">
      <w:pPr>
        <w:spacing w:line="360" w:lineRule="auto"/>
        <w:jc w:val="both"/>
        <w:rPr>
          <w:rFonts w:eastAsia="Calibri"/>
        </w:rPr>
      </w:pPr>
      <w:r w:rsidRPr="000763AE">
        <w:rPr>
          <w:rFonts w:eastAsia="Calibri"/>
        </w:rPr>
        <w:tab/>
        <w:t xml:space="preserve">The final number of sampled visits retained for the 2015 NAMCS data set was 28,332.  The collection of visits was selected using a random start followed by a sampling interval. The interval was predetermined by estimated weekly visits and the number of clinical days the selected physician was expected to have on the designated sampling week. During the sampling week, a list of visits was generated, including scheduled and unscheduled patients, but any cancellations or missed appointments were excluded.  On average, a total of approximately </w:t>
      </w:r>
      <w:r w:rsidR="00DD427F" w:rsidRPr="000763AE">
        <w:rPr>
          <w:rFonts w:eastAsia="Calibri"/>
        </w:rPr>
        <w:t xml:space="preserve">30 </w:t>
      </w:r>
      <w:r w:rsidRPr="000763AE">
        <w:rPr>
          <w:rFonts w:eastAsia="Calibri"/>
        </w:rPr>
        <w:t>patient records were collected during each provider’s designated sampling week</w:t>
      </w:r>
      <w:r w:rsidRPr="000763AE">
        <w:rPr>
          <w:rFonts w:eastAsia="Calibri"/>
          <w:color w:val="00B050"/>
        </w:rPr>
        <w:t xml:space="preserve">.  </w:t>
      </w:r>
      <w:r w:rsidRPr="000763AE">
        <w:rPr>
          <w:rFonts w:eastAsia="Calibri"/>
        </w:rPr>
        <w:t>In 2015, the sample included visits from office-based, non-federally employed providers as well as those based in community health centers. The provider types include visits to doctors of medicine (MDs), doctors of osteopathy (DOs), physician assistants, nurse practitioners, and nurse mid-wives. Post collection, the data was “scrubbed”</w:t>
      </w:r>
      <w:r w:rsidR="00DD427F" w:rsidRPr="000763AE">
        <w:rPr>
          <w:rFonts w:eastAsia="Calibri"/>
        </w:rPr>
        <w:t xml:space="preserve"> by </w:t>
      </w:r>
      <w:r w:rsidRPr="000763AE">
        <w:rPr>
          <w:rFonts w:eastAsia="Calibri"/>
        </w:rPr>
        <w:t xml:space="preserve">assessing and removing incorrect information, missing data, or duplicative data by the CDC staff to promote high quality data results and avoid inaccuracies.  </w:t>
      </w:r>
    </w:p>
    <w:p w:rsidR="00C85FD7" w:rsidRPr="000763AE" w:rsidRDefault="00C85FD7" w:rsidP="000C5643">
      <w:pPr>
        <w:spacing w:line="360" w:lineRule="auto"/>
        <w:ind w:firstLine="720"/>
        <w:rPr>
          <w:rFonts w:eastAsia="Calibri"/>
        </w:rPr>
      </w:pPr>
      <w:r w:rsidRPr="000763AE">
        <w:rPr>
          <w:rFonts w:eastAsia="Calibri"/>
        </w:rPr>
        <w:t xml:space="preserve">As part of the data cleaning process at the CDC level, a patient weighted variable was created for national and regional (Northeast, Midwest, South, and West) estimates. A patient weighted variable is a variable that has been adjusted in order to normalize the acquired data based on what is known about the sample population. A similar process was used for the physician weighted variable to make estimates from office-based physicians NAMCS surveys with partial or missing responses during their designated reporting week. These weighted variables were created because some data fields on the survey yielded low results </w:t>
      </w:r>
      <w:r w:rsidR="00FD3759" w:rsidRPr="000763AE">
        <w:rPr>
          <w:rFonts w:eastAsia="Calibri"/>
        </w:rPr>
        <w:t xml:space="preserve">for </w:t>
      </w:r>
      <w:r w:rsidRPr="000763AE">
        <w:rPr>
          <w:rFonts w:eastAsia="Calibri"/>
        </w:rPr>
        <w:t xml:space="preserve">certain states and to allow for analysis to be performed at the state level.  Although a state level assessment will not be part of this research, a </w:t>
      </w:r>
      <w:r w:rsidRPr="000763AE">
        <w:rPr>
          <w:rFonts w:eastAsia="Calibri"/>
        </w:rPr>
        <w:lastRenderedPageBreak/>
        <w:t xml:space="preserve">regional comparison is, </w:t>
      </w:r>
      <w:r w:rsidR="00FD3759" w:rsidRPr="000763AE">
        <w:rPr>
          <w:rFonts w:eastAsia="Calibri"/>
        </w:rPr>
        <w:t xml:space="preserve">therefore </w:t>
      </w:r>
      <w:r w:rsidRPr="000763AE">
        <w:rPr>
          <w:rFonts w:eastAsia="Calibri"/>
        </w:rPr>
        <w:t>it is important to include these weighted variables as part of the dataset to ensure a large enough sample size is available for analysis.</w:t>
      </w:r>
    </w:p>
    <w:p w:rsidR="00C85FD7" w:rsidRPr="000763AE" w:rsidRDefault="00C85FD7" w:rsidP="000C5643">
      <w:pPr>
        <w:spacing w:line="360" w:lineRule="auto"/>
        <w:ind w:firstLine="720"/>
        <w:rPr>
          <w:rFonts w:eastAsia="Calibri"/>
        </w:rPr>
      </w:pPr>
      <w:r w:rsidRPr="000763AE">
        <w:rPr>
          <w:rFonts w:eastAsia="Calibri"/>
        </w:rPr>
        <w:t>Based on the summary report for the 2015 NAMCS survey, 28.6% of visits were missing race data and 23.4% of the visits were missing data for ethnicity (CDC, N/A).  As a result, NAMCS adopted a</w:t>
      </w:r>
      <w:r w:rsidRPr="000763AE">
        <w:rPr>
          <w:rFonts w:eastAsia="Calibri"/>
          <w:color w:val="595959"/>
        </w:rPr>
        <w:t xml:space="preserve"> </w:t>
      </w:r>
      <w:r w:rsidRPr="000763AE">
        <w:rPr>
          <w:rFonts w:eastAsia="Calibri"/>
        </w:rPr>
        <w:t xml:space="preserve">single imputation model, a method in which missing variables were replaced by the mean of available variables for that specific variable, </w:t>
      </w:r>
      <w:r w:rsidR="00FD3759" w:rsidRPr="000763AE">
        <w:rPr>
          <w:rFonts w:eastAsia="Calibri"/>
        </w:rPr>
        <w:t xml:space="preserve">and </w:t>
      </w:r>
      <w:r w:rsidRPr="000763AE">
        <w:rPr>
          <w:rFonts w:eastAsia="Calibri"/>
        </w:rPr>
        <w:t>NAMCS race and ethnicity data imputation was restricted to three categories: white, black, and other (CDC, N/A).</w:t>
      </w:r>
    </w:p>
    <w:p w:rsidR="00C85FD7" w:rsidRDefault="00C85FD7" w:rsidP="000C5643">
      <w:pPr>
        <w:spacing w:line="360" w:lineRule="auto"/>
        <w:ind w:firstLine="720"/>
        <w:contextualSpacing/>
        <w:jc w:val="center"/>
        <w:rPr>
          <w:b/>
          <w:sz w:val="28"/>
        </w:rPr>
      </w:pPr>
      <w:r w:rsidRPr="000763AE">
        <w:rPr>
          <w:rFonts w:eastAsia="Calibri"/>
        </w:rPr>
        <w:t xml:space="preserve">Data processing and medical coding for the original 2015 NAMCS were performed by SRA International, Inc., Durham, North Carolina. A 10% sample of the survey records was excluded for quality control purposes and a 0.5 to 1.4% coding error rate was found (CDC, data summary tables, p1).  As previously mentioned, a subset of </w:t>
      </w:r>
      <w:r w:rsidR="00FD3759" w:rsidRPr="000763AE">
        <w:rPr>
          <w:rFonts w:eastAsia="Calibri"/>
        </w:rPr>
        <w:t>24</w:t>
      </w:r>
      <w:r w:rsidRPr="000763AE">
        <w:rPr>
          <w:rFonts w:eastAsia="Calibri"/>
        </w:rPr>
        <w:t xml:space="preserve"> variables from the original SAS 2015 NAMCS files were selected and retained for this research. The new file was loaded to SPSS and a new variable, ALLDIAB, was created combining all data from DIABTYP1, DIABTYP2, and DIABTYPO, and AGEGROUP. Three additional variables were created for the bivariate analysis, PROVTYPE,</w:t>
      </w:r>
      <w:r w:rsidRPr="00C85FD7">
        <w:t xml:space="preserve"> </w:t>
      </w:r>
      <w:r w:rsidRPr="000763AE">
        <w:rPr>
          <w:rFonts w:eastAsia="Calibri"/>
        </w:rPr>
        <w:t xml:space="preserve">PAYERGROUP, </w:t>
      </w:r>
      <w:proofErr w:type="gramStart"/>
      <w:r w:rsidRPr="000763AE">
        <w:rPr>
          <w:rFonts w:eastAsia="Calibri"/>
        </w:rPr>
        <w:t>TIMEMDGROUP</w:t>
      </w:r>
      <w:proofErr w:type="gramEnd"/>
      <w:r w:rsidRPr="000763AE">
        <w:rPr>
          <w:rFonts w:eastAsia="Calibri"/>
        </w:rPr>
        <w:t>, to address low cell counts and reduce the risk of a type 1 error. As part of the data preparation for running the analysis, the value ‘-9’ for PAYGROUP variable, which indicates that the field was left blank on the survey, was re-coded and identified as being a discrete missing variable. This was done in order to promote accuracy of the bivariate, Chi-square, and multivariate analyses for this variable. No additional missing values were identified in the new data file.  Lastly, the values for the imputed ethnicity variable were recoded from 1 and 2 to 0 and 1.</w:t>
      </w:r>
      <w:r w:rsidR="002C07AF" w:rsidRPr="000763AE">
        <w:rPr>
          <w:rFonts w:eastAsia="Calibri"/>
        </w:rPr>
        <w:br w:type="page"/>
      </w:r>
      <w:r w:rsidR="004330C1" w:rsidRPr="00181E8D">
        <w:rPr>
          <w:b/>
          <w:sz w:val="28"/>
        </w:rPr>
        <w:lastRenderedPageBreak/>
        <w:t>UNIVARIATE</w:t>
      </w:r>
      <w:r w:rsidR="00F7075D" w:rsidRPr="00181E8D">
        <w:rPr>
          <w:b/>
          <w:sz w:val="28"/>
        </w:rPr>
        <w:t xml:space="preserve"> ANALYSIS</w:t>
      </w:r>
    </w:p>
    <w:p w:rsidR="00427236" w:rsidRPr="000763AE" w:rsidRDefault="00427236" w:rsidP="00427236">
      <w:pPr>
        <w:spacing w:line="360" w:lineRule="auto"/>
        <w:ind w:firstLine="720"/>
        <w:contextualSpacing/>
        <w:jc w:val="center"/>
        <w:rPr>
          <w:rFonts w:eastAsia="Calibri"/>
        </w:rPr>
      </w:pPr>
    </w:p>
    <w:p w:rsidR="00C85FD7" w:rsidRPr="000763AE" w:rsidRDefault="00C85FD7" w:rsidP="00B11B34">
      <w:pPr>
        <w:spacing w:line="360" w:lineRule="auto"/>
        <w:jc w:val="both"/>
        <w:rPr>
          <w:rFonts w:eastAsia="Calibri"/>
        </w:rPr>
      </w:pPr>
      <w:r w:rsidRPr="000763AE">
        <w:rPr>
          <w:rFonts w:eastAsia="Calibri"/>
        </w:rPr>
        <w:tab/>
        <w:t>Univariate analyses were performed to provide descriptive characteristics for the selected data sample. The sample was divided into categories to examine the descriptive characteristics separately for diabetes unspecified, diabetes type</w:t>
      </w:r>
      <w:r w:rsidR="00014DBC" w:rsidRPr="000763AE">
        <w:rPr>
          <w:rFonts w:eastAsia="Calibri"/>
        </w:rPr>
        <w:t xml:space="preserve"> </w:t>
      </w:r>
      <w:r w:rsidRPr="000763AE">
        <w:rPr>
          <w:rFonts w:eastAsia="Calibri"/>
        </w:rPr>
        <w:t>1, diabetes type</w:t>
      </w:r>
      <w:r w:rsidR="00014DBC" w:rsidRPr="000763AE">
        <w:rPr>
          <w:rFonts w:eastAsia="Calibri"/>
        </w:rPr>
        <w:t xml:space="preserve"> </w:t>
      </w:r>
      <w:r w:rsidRPr="000763AE">
        <w:rPr>
          <w:rFonts w:eastAsia="Calibri"/>
        </w:rPr>
        <w:t xml:space="preserve">2, all types of diabetes combined, physician type, practice type and no presence of diabetes.  The descriptive characteristics that were analyzed are sex, age, race, ethnicity, payment source, regional statistics, provider type, diabetes education, and time spent with provider. The results of the analysis are presented below in Table </w:t>
      </w:r>
      <w:r w:rsidR="006B13F0" w:rsidRPr="000763AE">
        <w:rPr>
          <w:rFonts w:eastAsia="Calibri"/>
        </w:rPr>
        <w:t xml:space="preserve">4a through Table 7 </w:t>
      </w:r>
      <w:r w:rsidRPr="000763AE">
        <w:rPr>
          <w:rFonts w:eastAsia="Calibri"/>
        </w:rPr>
        <w:t>as they relate to patient</w:t>
      </w:r>
      <w:r w:rsidR="00014DBC" w:rsidRPr="000763AE">
        <w:rPr>
          <w:rFonts w:eastAsia="Calibri"/>
        </w:rPr>
        <w:t xml:space="preserve">, </w:t>
      </w:r>
      <w:r w:rsidRPr="000763AE">
        <w:rPr>
          <w:rFonts w:eastAsia="Calibri"/>
        </w:rPr>
        <w:t>provider characteristics</w:t>
      </w:r>
      <w:r w:rsidR="00014DBC" w:rsidRPr="000763AE">
        <w:rPr>
          <w:rFonts w:eastAsia="Calibri"/>
        </w:rPr>
        <w:t>,</w:t>
      </w:r>
      <w:r w:rsidRPr="000763AE">
        <w:rPr>
          <w:rFonts w:eastAsia="Calibri"/>
        </w:rPr>
        <w:t xml:space="preserve"> and practice settings.</w:t>
      </w:r>
    </w:p>
    <w:p w:rsidR="00C85FD7" w:rsidRPr="000763AE" w:rsidRDefault="00C85FD7" w:rsidP="00B11B34">
      <w:pPr>
        <w:spacing w:line="360" w:lineRule="auto"/>
        <w:jc w:val="both"/>
        <w:rPr>
          <w:rFonts w:eastAsia="Calibri"/>
        </w:rPr>
      </w:pPr>
      <w:r w:rsidRPr="000763AE">
        <w:rPr>
          <w:rFonts w:eastAsia="Calibri"/>
        </w:rPr>
        <w:tab/>
        <w:t xml:space="preserve">The univariate analysis revealed that males and females are equally distributed in the diabetes unspecified category but there are 4% more females diagnosed with diabetes type 1 and diabetes type 2.  With respect to age, 56% of the diagnosed population lies in the greater than 65 category with the smallest group being under 45 years of age.  The two largest racial groups with diabetes represented are </w:t>
      </w:r>
      <w:r w:rsidR="00AE22A2" w:rsidRPr="000763AE">
        <w:rPr>
          <w:rFonts w:eastAsia="Calibri"/>
        </w:rPr>
        <w:t xml:space="preserve">the </w:t>
      </w:r>
      <w:r w:rsidRPr="000763AE">
        <w:rPr>
          <w:rFonts w:eastAsia="Calibri"/>
        </w:rPr>
        <w:t xml:space="preserve">White (63%) and Black (12%) categories and with Medicare (17%) being the leading source of payment. These combinations of variables will be further explored in the bivariate and multivariate analyses to determine if there is an association between payment source and race given the disproportionally high number of white population visits in contrast to other minority races.  Only 8% of Hispanics were diagnosed as having any type of diabetes yet the ADA estimates that the prevalence rate among the Hispanic population is closer to 16% (ADA, 2014).  In addition, 20% of the visits did not contain a response for ethnicity. </w:t>
      </w:r>
      <w:r w:rsidR="00D60921" w:rsidRPr="000763AE">
        <w:rPr>
          <w:rFonts w:eastAsia="Calibri"/>
        </w:rPr>
        <w:t xml:space="preserve">  This </w:t>
      </w:r>
      <w:r w:rsidR="0047399D" w:rsidRPr="000763AE">
        <w:rPr>
          <w:rFonts w:eastAsia="Calibri"/>
        </w:rPr>
        <w:t>impact</w:t>
      </w:r>
      <w:r w:rsidR="00D60921" w:rsidRPr="000763AE">
        <w:rPr>
          <w:rFonts w:eastAsia="Calibri"/>
        </w:rPr>
        <w:t>s</w:t>
      </w:r>
      <w:r w:rsidR="0047399D" w:rsidRPr="000763AE">
        <w:rPr>
          <w:rFonts w:eastAsia="Calibri"/>
        </w:rPr>
        <w:t xml:space="preserve"> the generalizability of this research given differences in underrepresentation of </w:t>
      </w:r>
      <w:r w:rsidR="00D60921" w:rsidRPr="000763AE">
        <w:rPr>
          <w:rFonts w:eastAsia="Calibri"/>
        </w:rPr>
        <w:t xml:space="preserve">only and 8% </w:t>
      </w:r>
      <w:r w:rsidR="0047399D" w:rsidRPr="000763AE">
        <w:rPr>
          <w:rFonts w:eastAsia="Calibri"/>
        </w:rPr>
        <w:t>diabetic prevalence in the 2015 NAMCS data set when com</w:t>
      </w:r>
      <w:r w:rsidR="00D60921" w:rsidRPr="000763AE">
        <w:rPr>
          <w:rFonts w:eastAsia="Calibri"/>
        </w:rPr>
        <w:t>pared to the general population which is 16%.</w:t>
      </w:r>
    </w:p>
    <w:p w:rsidR="00C85FD7" w:rsidRPr="000763AE" w:rsidRDefault="006B13F0" w:rsidP="00B11B34">
      <w:pPr>
        <w:spacing w:line="360" w:lineRule="auto"/>
        <w:jc w:val="both"/>
        <w:rPr>
          <w:rFonts w:eastAsia="Calibri"/>
          <w:b/>
          <w:color w:val="FF0000"/>
        </w:rPr>
      </w:pPr>
      <w:r w:rsidRPr="000763AE">
        <w:rPr>
          <w:rFonts w:eastAsia="Calibri"/>
        </w:rPr>
        <w:tab/>
        <w:t>Tables 5a and 5</w:t>
      </w:r>
      <w:r w:rsidR="00C85FD7" w:rsidRPr="000763AE">
        <w:rPr>
          <w:rFonts w:eastAsia="Calibri"/>
        </w:rPr>
        <w:t>b provide descriptive information for the types of providers that saw the patient during each visit. Although the total number of visits with any diabetes diagnosis was 3,481 based on the 2015 NAMCS data set, there was more than one provider involved in delivering care to the patient during a large number of the visits.  A higher number of visits were performed by a medical doctor (MD) rather than a doctor of osteopathic medicine (DO)</w:t>
      </w:r>
      <w:proofErr w:type="gramStart"/>
      <w:r w:rsidR="00AB2046" w:rsidRPr="000763AE">
        <w:rPr>
          <w:rFonts w:eastAsia="Calibri"/>
        </w:rPr>
        <w:t>,</w:t>
      </w:r>
      <w:proofErr w:type="gramEnd"/>
      <w:r w:rsidR="00C85FD7" w:rsidRPr="000763AE">
        <w:rPr>
          <w:rFonts w:eastAsia="Calibri"/>
        </w:rPr>
        <w:t xml:space="preserve"> however, the majority of visits also included a non-physician </w:t>
      </w:r>
      <w:r w:rsidR="00C85FD7" w:rsidRPr="000763AE">
        <w:rPr>
          <w:rFonts w:eastAsia="Calibri"/>
        </w:rPr>
        <w:lastRenderedPageBreak/>
        <w:t xml:space="preserve">provider or </w:t>
      </w:r>
      <w:r w:rsidR="00AB2046" w:rsidRPr="000763AE">
        <w:rPr>
          <w:rFonts w:eastAsia="Calibri"/>
        </w:rPr>
        <w:t xml:space="preserve">were </w:t>
      </w:r>
      <w:r w:rsidR="00C85FD7" w:rsidRPr="000763AE">
        <w:rPr>
          <w:rFonts w:eastAsia="Calibri"/>
        </w:rPr>
        <w:t>performed solely by a non-physician provider. In order to provide a comparative sense of what percentage of visits were performed by or included an additional provider other than a physician, the visits listed under each individual provider category were added, resulting in a sample size of 5,666. This sample size was defined as the total provider count involved in a visit for a patient with any diagnosis of diabetes.  There is a concern that a visit may be double counted since more than one provider was involved in a visit since the sample size went from 3,481visit to 5,666 visits. However, the intent of creating this variable was to assess the number of foot exams performed by providers and not per visits. Exploration of whether or not a particular combination of provider types would lead to a higher or lower probability of foot exams being performed will be discussed in the bivariate phase of this research.</w:t>
      </w:r>
      <w:r w:rsidR="00C85FD7" w:rsidRPr="000763AE">
        <w:rPr>
          <w:rFonts w:eastAsia="Calibri"/>
          <w:b/>
        </w:rPr>
        <w:t xml:space="preserve"> </w:t>
      </w:r>
    </w:p>
    <w:p w:rsidR="00C85FD7" w:rsidRPr="000763AE" w:rsidRDefault="00C85FD7" w:rsidP="00B11B34">
      <w:pPr>
        <w:spacing w:after="120" w:line="360" w:lineRule="auto"/>
        <w:jc w:val="both"/>
        <w:rPr>
          <w:rFonts w:eastAsia="Calibri"/>
          <w:b/>
          <w:sz w:val="28"/>
        </w:rPr>
      </w:pPr>
      <w:r w:rsidRPr="000763AE">
        <w:rPr>
          <w:rFonts w:eastAsia="Calibri"/>
        </w:rPr>
        <w:tab/>
        <w:t>Lastly, a higher percentage of patients with diabetes (31%) in the Midwest were seen when compared to the other regions in Table 6a. However, the Midwest also had the highest number of visits represented in the overall survey.  Additional exploration of race and region will be discussed in the bivariate section of the research.  Based on the results in Table 6b, for all three diabetes categories, the majority of visits with a physician lasted between 16 to 40 minutes, with the lowest percentage of visits lasting more than 41 minutes.  Of 276 visits, including diabetic education, 240 (87%) had a diagnosis of diabetes and 36 (13%) did not.  One potential reason for diabetes education being provided on visits of patients without an official diagnosis of diabetes is that it may be for individuals at high risk for diabetes and/or pre-diabetic.</w:t>
      </w:r>
    </w:p>
    <w:p w:rsidR="00C85FD7" w:rsidRPr="000763AE" w:rsidRDefault="00F02989" w:rsidP="00B11B34">
      <w:pPr>
        <w:autoSpaceDE w:val="0"/>
        <w:autoSpaceDN w:val="0"/>
        <w:adjustRightInd w:val="0"/>
        <w:spacing w:line="360" w:lineRule="auto"/>
        <w:jc w:val="both"/>
        <w:rPr>
          <w:rFonts w:eastAsia="Calibri"/>
          <w:b/>
        </w:rPr>
      </w:pPr>
      <w:r w:rsidRPr="000763AE">
        <w:rPr>
          <w:rFonts w:eastAsia="Calibri"/>
          <w:b/>
        </w:rPr>
        <w:t xml:space="preserve">Correlation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Prior to evaluating the relationship between having a foot exam performed and the different independent variables selected for this research, it is important to first assess the presence of any association amongst the various independent variables.  Assumptions for subsequent multivariate statistical models require no material multicollinearity and correct specification of the model (no extraneous independent variables and an examination for omitted variable bias). Consequently, correlations between independent variables should be low and/or non-significant, while there should be correlations between independent variables and the dependent variable(s).</w:t>
      </w:r>
    </w:p>
    <w:p w:rsidR="008517E0" w:rsidRPr="000763AE" w:rsidRDefault="00C85FD7" w:rsidP="00B11B34">
      <w:pPr>
        <w:autoSpaceDE w:val="0"/>
        <w:autoSpaceDN w:val="0"/>
        <w:adjustRightInd w:val="0"/>
        <w:spacing w:line="360" w:lineRule="auto"/>
        <w:jc w:val="both"/>
        <w:rPr>
          <w:rFonts w:eastAsia="Calibri"/>
        </w:rPr>
      </w:pPr>
      <w:r w:rsidRPr="000763AE">
        <w:rPr>
          <w:rFonts w:eastAsia="Calibri"/>
        </w:rPr>
        <w:lastRenderedPageBreak/>
        <w:tab/>
        <w:t xml:space="preserve">Although Pearson’s correlation is the most commonly used method for evaluating the presence of an association between two variables, it may not be the correct option if both variables are not quantitative (Warner, 2008).  Based on the level of measurement of each independent variable, a different correlation measure was selected to evaluate the presence and/or strength of the association.  The correlation methodologies used and their descriptions are in Table 7 </w:t>
      </w:r>
      <w:r w:rsidR="006E1F1D" w:rsidRPr="000763AE">
        <w:rPr>
          <w:rFonts w:eastAsia="Calibri"/>
        </w:rPr>
        <w:t>shown below</w:t>
      </w:r>
      <w:r w:rsidRPr="000763AE">
        <w:rPr>
          <w:rFonts w:eastAsia="Calibri"/>
        </w:rPr>
        <w:t>.  Associations can either be positive</w:t>
      </w:r>
      <w:r w:rsidR="0044076E" w:rsidRPr="000763AE">
        <w:rPr>
          <w:rFonts w:eastAsia="Calibri"/>
        </w:rPr>
        <w:t>,</w:t>
      </w:r>
      <w:r w:rsidRPr="000763AE">
        <w:rPr>
          <w:rFonts w:eastAsia="Calibri"/>
        </w:rPr>
        <w:t xml:space="preserve"> indicating that as one variable increases so does the other, negative (inverse)</w:t>
      </w:r>
      <w:r w:rsidR="0044076E" w:rsidRPr="000763AE">
        <w:rPr>
          <w:rFonts w:eastAsia="Calibri"/>
        </w:rPr>
        <w:t>,</w:t>
      </w:r>
      <w:r w:rsidRPr="000763AE">
        <w:rPr>
          <w:rFonts w:eastAsia="Calibri"/>
        </w:rPr>
        <w:t xml:space="preserve"> whereas one variable increases as the other decreases, or null</w:t>
      </w:r>
      <w:r w:rsidR="0044076E" w:rsidRPr="000763AE">
        <w:rPr>
          <w:rFonts w:eastAsia="Calibri"/>
        </w:rPr>
        <w:t>, meaning</w:t>
      </w:r>
      <w:r w:rsidRPr="000763AE">
        <w:rPr>
          <w:rFonts w:eastAsia="Calibri"/>
        </w:rPr>
        <w:t xml:space="preserve"> no correlation.</w:t>
      </w:r>
    </w:p>
    <w:p w:rsidR="00F02989" w:rsidRPr="000763AE" w:rsidRDefault="00F02989" w:rsidP="00B11B34">
      <w:pPr>
        <w:autoSpaceDE w:val="0"/>
        <w:autoSpaceDN w:val="0"/>
        <w:adjustRightInd w:val="0"/>
        <w:spacing w:line="360" w:lineRule="auto"/>
        <w:jc w:val="both"/>
        <w:rPr>
          <w:rFonts w:eastAsia="Calibri"/>
          <w:b/>
        </w:rPr>
      </w:pPr>
    </w:p>
    <w:p w:rsidR="00C85FD7" w:rsidRPr="000C5643" w:rsidRDefault="00427236" w:rsidP="00F02989">
      <w:pPr>
        <w:autoSpaceDE w:val="0"/>
        <w:autoSpaceDN w:val="0"/>
        <w:adjustRightInd w:val="0"/>
        <w:jc w:val="both"/>
        <w:rPr>
          <w:rFonts w:eastAsia="Calibri"/>
          <w:b/>
        </w:rPr>
      </w:pPr>
      <w:r w:rsidRPr="000763AE">
        <w:rPr>
          <w:rFonts w:eastAsia="Calibri"/>
          <w:b/>
        </w:rPr>
        <w:br w:type="page"/>
      </w:r>
      <w:proofErr w:type="gramStart"/>
      <w:r w:rsidR="00C85FD7" w:rsidRPr="000763AE">
        <w:rPr>
          <w:rFonts w:eastAsia="Calibri"/>
          <w:b/>
        </w:rPr>
        <w:lastRenderedPageBreak/>
        <w:t>Table 4a.</w:t>
      </w:r>
      <w:proofErr w:type="gramEnd"/>
      <w:r w:rsidR="00C85FD7" w:rsidRPr="000763AE">
        <w:rPr>
          <w:rFonts w:eastAsia="Calibri"/>
        </w:rPr>
        <w:t xml:space="preserve"> Descriptive data for NAMCS 2015 office visits for patients with Type1 diabetes, diabetes Type2, diabetes unspecified, and those without diabetes by patient characteristics.  </w:t>
      </w:r>
    </w:p>
    <w:p w:rsidR="00C85FD7" w:rsidRPr="000763AE" w:rsidRDefault="008252AC" w:rsidP="00B11B34">
      <w:pPr>
        <w:spacing w:after="200" w:line="360" w:lineRule="auto"/>
        <w:jc w:val="both"/>
        <w:rPr>
          <w:rFonts w:eastAsia="Calibri"/>
        </w:rPr>
      </w:pPr>
      <w:r>
        <w:rPr>
          <w:noProof/>
        </w:rPr>
        <mc:AlternateContent>
          <mc:Choice Requires="wpg">
            <w:drawing>
              <wp:anchor distT="0" distB="0" distL="114300" distR="114300" simplePos="0" relativeHeight="251659776" behindDoc="0" locked="0" layoutInCell="1" allowOverlap="1">
                <wp:simplePos x="0" y="0"/>
                <wp:positionH relativeFrom="column">
                  <wp:posOffset>915670</wp:posOffset>
                </wp:positionH>
                <wp:positionV relativeFrom="paragraph">
                  <wp:posOffset>231140</wp:posOffset>
                </wp:positionV>
                <wp:extent cx="2577465" cy="407670"/>
                <wp:effectExtent l="0" t="0" r="0" b="11430"/>
                <wp:wrapNone/>
                <wp:docPr id="20"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77465" cy="407670"/>
                          <a:chOff x="0" y="0"/>
                          <a:chExt cx="2577243" cy="407742"/>
                        </a:xfrm>
                      </wpg:grpSpPr>
                      <wps:wsp>
                        <wps:cNvPr id="21" name="Left Brace 7"/>
                        <wps:cNvSpPr/>
                        <wps:spPr>
                          <a:xfrm rot="5400000">
                            <a:off x="896620" y="-662233"/>
                            <a:ext cx="173355" cy="1966595"/>
                          </a:xfrm>
                          <a:prstGeom prst="leftBrace">
                            <a:avLst/>
                          </a:prstGeom>
                          <a:noFill/>
                          <a:ln w="12700" cap="flat" cmpd="sng" algn="ctr">
                            <a:solidFill>
                              <a:sysClr val="windowText" lastClr="000000">
                                <a:lumMod val="50000"/>
                                <a:lumOff val="50000"/>
                                <a:alpha val="78000"/>
                              </a:sysClr>
                            </a:solidFill>
                            <a:prstDash val="solid"/>
                          </a:ln>
                          <a:effectLst/>
                        </wps:spPr>
                        <wps:bodyPr vertOverflow="clip" horzOverflow="clip" rtlCol="0" anchor="t"/>
                      </wps:wsp>
                      <wps:wsp>
                        <wps:cNvPr id="22" name="Text Box 9"/>
                        <wps:cNvSpPr txBox="1"/>
                        <wps:spPr>
                          <a:xfrm>
                            <a:off x="262668" y="0"/>
                            <a:ext cx="2314575" cy="314325"/>
                          </a:xfrm>
                          <a:prstGeom prst="rect">
                            <a:avLst/>
                          </a:prstGeom>
                          <a:noFill/>
                          <a:ln w="9525" cmpd="sng">
                            <a:noFill/>
                          </a:ln>
                          <a:effectLst/>
                        </wps:spPr>
                        <wps:txbx>
                          <w:txbxContent>
                            <w:p w:rsidR="0003598B" w:rsidRDefault="0003598B" w:rsidP="00C85FD7">
                              <w:pPr>
                                <w:pStyle w:val="NormalWeb"/>
                                <w:spacing w:before="0" w:beforeAutospacing="0" w:after="0" w:afterAutospacing="0"/>
                              </w:pPr>
                              <w:r w:rsidRPr="000763AE">
                                <w:rPr>
                                  <w:rFonts w:ascii="Calibri" w:hAnsi="Calibri"/>
                                  <w:b/>
                                  <w:bCs/>
                                  <w:color w:val="404040"/>
                                  <w:sz w:val="22"/>
                                  <w:szCs w:val="22"/>
                                </w:rPr>
                                <w:t>All Diabetes Breakdowns</w:t>
                              </w:r>
                            </w:p>
                          </w:txbxContent>
                        </wps:txbx>
                        <wps:bodyPr wrap="square" rtlCol="0" anchor="t">
                          <a:noAutofit/>
                        </wps:bodyPr>
                      </wps:wsp>
                    </wpg:wgp>
                  </a:graphicData>
                </a:graphic>
                <wp14:sizeRelH relativeFrom="page">
                  <wp14:pctWidth>0</wp14:pctWidth>
                </wp14:sizeRelH>
                <wp14:sizeRelV relativeFrom="page">
                  <wp14:pctHeight>0</wp14:pctHeight>
                </wp14:sizeRelV>
              </wp:anchor>
            </w:drawing>
          </mc:Choice>
          <mc:Fallback>
            <w:pict>
              <v:group id="Group 13" o:spid="_x0000_s1026" style="position:absolute;left:0;text-align:left;margin-left:72.1pt;margin-top:18.2pt;width:202.95pt;height:32.1pt;z-index:251659776" coordsize="25772,40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7" o:spid="_x0000_s1027" type="#_x0000_t87" style="position:absolute;left:8966;top:-6623;width:1734;height:1966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RfDsMA&#10;AADbAAAADwAAAGRycy9kb3ducmV2LnhtbESP3WrCQBSE7wt9h+UIvaubWJASXUUs0lzUQtUHOGaP&#10;2WD2bMhu/t7eLRR6OczMN8x6O9pa9NT6yrGCdJ6AIC6crrhUcDkfXt9B+ICssXZMCibysN08P60x&#10;027gH+pPoRQRwj5DBSaEJpPSF4Ys+rlriKN3c63FEGVbSt3iEOG2loskWUqLFccFgw3tDRX3U2cV&#10;fIR0uppeftZv+Xg4fi2/y77plHqZjbsViEBj+A//tXOtYJHC75f4A+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IRfDsMAAADbAAAADwAAAAAAAAAAAAAAAACYAgAAZHJzL2Rv&#10;d25yZXYueG1sUEsFBgAAAAAEAAQA9QAAAIgDAAAAAA==&#10;" adj="159" strokecolor="#7f7f7f" strokeweight="1pt">
                  <v:stroke opacity="51143f"/>
                </v:shape>
                <v:shapetype id="_x0000_t202" coordsize="21600,21600" o:spt="202" path="m,l,21600r21600,l21600,xe">
                  <v:stroke joinstyle="miter"/>
                  <v:path gradientshapeok="t" o:connecttype="rect"/>
                </v:shapetype>
                <v:shape id="Text Box 9" o:spid="_x0000_s1028" type="#_x0000_t202" style="position:absolute;left:2626;width:23146;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rsidR="0003598B" w:rsidRDefault="0003598B" w:rsidP="00C85FD7">
                        <w:pPr>
                          <w:pStyle w:val="NormalWeb"/>
                          <w:spacing w:before="0" w:beforeAutospacing="0" w:after="0" w:afterAutospacing="0"/>
                        </w:pPr>
                        <w:r w:rsidRPr="000763AE">
                          <w:rPr>
                            <w:rFonts w:ascii="Calibri" w:hAnsi="Calibri"/>
                            <w:b/>
                            <w:bCs/>
                            <w:color w:val="404040"/>
                            <w:sz w:val="22"/>
                            <w:szCs w:val="22"/>
                          </w:rPr>
                          <w:t>All Diabetes Breakdowns</w:t>
                        </w:r>
                      </w:p>
                    </w:txbxContent>
                  </v:textbox>
                </v:shape>
              </v:group>
            </w:pict>
          </mc:Fallback>
        </mc:AlternateContent>
      </w:r>
      <w:r w:rsidR="00C85FD7" w:rsidRPr="000763AE">
        <w:rPr>
          <w:rFonts w:eastAsia="Calibri"/>
        </w:rPr>
        <w:t>N = 28,332 (Total Number of Visits)</w:t>
      </w:r>
    </w:p>
    <w:tbl>
      <w:tblPr>
        <w:tblW w:w="5000" w:type="pct"/>
        <w:jc w:val="center"/>
        <w:tblLayout w:type="fixed"/>
        <w:tblLook w:val="04A0" w:firstRow="1" w:lastRow="0" w:firstColumn="1" w:lastColumn="0" w:noHBand="0" w:noVBand="1"/>
      </w:tblPr>
      <w:tblGrid>
        <w:gridCol w:w="1368"/>
        <w:gridCol w:w="1261"/>
        <w:gridCol w:w="1080"/>
        <w:gridCol w:w="1350"/>
        <w:gridCol w:w="1215"/>
        <w:gridCol w:w="1305"/>
        <w:gridCol w:w="1277"/>
      </w:tblGrid>
      <w:tr w:rsidR="00C85FD7" w:rsidRPr="00C85FD7" w:rsidTr="00A377FD">
        <w:trPr>
          <w:trHeight w:val="315"/>
          <w:jc w:val="center"/>
        </w:trPr>
        <w:tc>
          <w:tcPr>
            <w:tcW w:w="772" w:type="pct"/>
            <w:tcBorders>
              <w:top w:val="nil"/>
              <w:left w:val="nil"/>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2"/>
              </w:rPr>
            </w:pPr>
          </w:p>
        </w:tc>
        <w:tc>
          <w:tcPr>
            <w:tcW w:w="712" w:type="pct"/>
            <w:tcBorders>
              <w:top w:val="nil"/>
              <w:left w:val="nil"/>
              <w:bottom w:val="nil"/>
              <w:right w:val="nil"/>
            </w:tcBorders>
            <w:shd w:val="clear" w:color="auto" w:fill="auto"/>
            <w:noWrap/>
            <w:vAlign w:val="bottom"/>
            <w:hideMark/>
          </w:tcPr>
          <w:p w:rsidR="00C85FD7" w:rsidRPr="00C85FD7" w:rsidRDefault="00C85FD7" w:rsidP="00427236">
            <w:pPr>
              <w:rPr>
                <w:rFonts w:ascii="Calibri" w:hAnsi="Calibri" w:cs="Calibri"/>
                <w:color w:val="000000"/>
                <w:sz w:val="18"/>
                <w:szCs w:val="22"/>
              </w:rPr>
            </w:pPr>
          </w:p>
          <w:tbl>
            <w:tblPr>
              <w:tblW w:w="0" w:type="auto"/>
              <w:tblCellSpacing w:w="0" w:type="dxa"/>
              <w:tblLayout w:type="fixed"/>
              <w:tblCellMar>
                <w:left w:w="0" w:type="dxa"/>
                <w:right w:w="0" w:type="dxa"/>
              </w:tblCellMar>
              <w:tblLook w:val="04A0" w:firstRow="1" w:lastRow="0" w:firstColumn="1" w:lastColumn="0" w:noHBand="0" w:noVBand="1"/>
            </w:tblPr>
            <w:tblGrid>
              <w:gridCol w:w="1340"/>
            </w:tblGrid>
            <w:tr w:rsidR="00C85FD7" w:rsidRPr="00C85FD7" w:rsidTr="00A377FD">
              <w:trPr>
                <w:trHeight w:val="315"/>
                <w:tblCellSpacing w:w="0" w:type="dxa"/>
              </w:trPr>
              <w:tc>
                <w:tcPr>
                  <w:tcW w:w="1340" w:type="dxa"/>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2"/>
                    </w:rPr>
                  </w:pPr>
                </w:p>
              </w:tc>
            </w:tr>
          </w:tbl>
          <w:p w:rsidR="00C85FD7" w:rsidRPr="00C85FD7" w:rsidRDefault="00C85FD7" w:rsidP="00427236">
            <w:pPr>
              <w:rPr>
                <w:rFonts w:ascii="Calibri" w:hAnsi="Calibri" w:cs="Calibri"/>
                <w:color w:val="000000"/>
                <w:sz w:val="18"/>
                <w:szCs w:val="22"/>
              </w:rPr>
            </w:pPr>
          </w:p>
        </w:tc>
        <w:tc>
          <w:tcPr>
            <w:tcW w:w="610"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2"/>
              </w:rPr>
            </w:pPr>
          </w:p>
        </w:tc>
        <w:tc>
          <w:tcPr>
            <w:tcW w:w="76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p>
        </w:tc>
        <w:tc>
          <w:tcPr>
            <w:tcW w:w="686"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2"/>
              </w:rPr>
            </w:pPr>
          </w:p>
        </w:tc>
        <w:tc>
          <w:tcPr>
            <w:tcW w:w="737"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2"/>
              </w:rPr>
            </w:pPr>
          </w:p>
        </w:tc>
        <w:tc>
          <w:tcPr>
            <w:tcW w:w="721" w:type="pct"/>
            <w:tcBorders>
              <w:top w:val="nil"/>
              <w:left w:val="nil"/>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2"/>
              </w:rPr>
            </w:pPr>
          </w:p>
        </w:tc>
      </w:tr>
      <w:tr w:rsidR="00C85FD7" w:rsidRPr="00C85FD7" w:rsidTr="000763AE">
        <w:trPr>
          <w:trHeight w:val="300"/>
          <w:jc w:val="center"/>
        </w:trPr>
        <w:tc>
          <w:tcPr>
            <w:tcW w:w="772" w:type="pct"/>
            <w:vMerge w:val="restart"/>
            <w:tcBorders>
              <w:top w:val="single" w:sz="8" w:space="0" w:color="auto"/>
              <w:left w:val="single" w:sz="8" w:space="0" w:color="auto"/>
              <w:bottom w:val="nil"/>
              <w:right w:val="nil"/>
            </w:tcBorders>
            <w:shd w:val="clear" w:color="auto" w:fill="808080"/>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712" w:type="pct"/>
            <w:vMerge w:val="restart"/>
            <w:tcBorders>
              <w:top w:val="single" w:sz="8" w:space="0" w:color="auto"/>
              <w:left w:val="nil"/>
              <w:bottom w:val="nil"/>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18"/>
              </w:rPr>
              <w:t>Diabetes Unspecified (%of All)</w:t>
            </w:r>
          </w:p>
        </w:tc>
        <w:tc>
          <w:tcPr>
            <w:tcW w:w="610" w:type="pct"/>
            <w:vMerge w:val="restart"/>
            <w:tcBorders>
              <w:top w:val="single" w:sz="8" w:space="0" w:color="auto"/>
              <w:left w:val="nil"/>
              <w:bottom w:val="nil"/>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18"/>
              </w:rPr>
              <w:t>Diabetes 1 (% of All)</w:t>
            </w:r>
          </w:p>
        </w:tc>
        <w:tc>
          <w:tcPr>
            <w:tcW w:w="762" w:type="pct"/>
            <w:vMerge w:val="restart"/>
            <w:tcBorders>
              <w:top w:val="single" w:sz="8" w:space="0" w:color="auto"/>
              <w:left w:val="nil"/>
              <w:bottom w:val="nil"/>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18"/>
              </w:rPr>
              <w:t>Diabetes2 (%of All)</w:t>
            </w:r>
          </w:p>
        </w:tc>
        <w:tc>
          <w:tcPr>
            <w:tcW w:w="686" w:type="pct"/>
            <w:vMerge w:val="restart"/>
            <w:tcBorders>
              <w:top w:val="single" w:sz="8" w:space="0" w:color="auto"/>
              <w:left w:val="nil"/>
              <w:bottom w:val="nil"/>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18"/>
              </w:rPr>
              <w:t>All Diabetes (% of Total)</w:t>
            </w:r>
          </w:p>
        </w:tc>
        <w:tc>
          <w:tcPr>
            <w:tcW w:w="737" w:type="pct"/>
            <w:vMerge w:val="restart"/>
            <w:tcBorders>
              <w:top w:val="single" w:sz="8" w:space="0" w:color="auto"/>
              <w:left w:val="nil"/>
              <w:bottom w:val="nil"/>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18"/>
              </w:rPr>
              <w:t>No Diabetes (% of Total)</w:t>
            </w:r>
          </w:p>
        </w:tc>
        <w:tc>
          <w:tcPr>
            <w:tcW w:w="721" w:type="pct"/>
            <w:tcBorders>
              <w:top w:val="single" w:sz="8" w:space="0" w:color="auto"/>
              <w:left w:val="nil"/>
              <w:bottom w:val="nil"/>
              <w:right w:val="single" w:sz="8" w:space="0" w:color="auto"/>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18"/>
              </w:rPr>
              <w:t xml:space="preserve">Total </w:t>
            </w:r>
          </w:p>
        </w:tc>
      </w:tr>
      <w:tr w:rsidR="00C85FD7" w:rsidRPr="00C85FD7" w:rsidTr="000763AE">
        <w:trPr>
          <w:trHeight w:val="465"/>
          <w:jc w:val="center"/>
        </w:trPr>
        <w:tc>
          <w:tcPr>
            <w:tcW w:w="772" w:type="pct"/>
            <w:vMerge/>
            <w:tcBorders>
              <w:top w:val="single" w:sz="8" w:space="0" w:color="auto"/>
              <w:left w:val="single" w:sz="8" w:space="0" w:color="auto"/>
              <w:bottom w:val="single" w:sz="8" w:space="0" w:color="auto"/>
              <w:right w:val="nil"/>
            </w:tcBorders>
            <w:shd w:val="clear" w:color="auto" w:fill="808080"/>
            <w:vAlign w:val="center"/>
            <w:hideMark/>
          </w:tcPr>
          <w:p w:rsidR="00C85FD7" w:rsidRPr="000763AE" w:rsidRDefault="00C85FD7" w:rsidP="00427236">
            <w:pPr>
              <w:rPr>
                <w:rFonts w:ascii="Calibri" w:hAnsi="Calibri" w:cs="Calibri"/>
                <w:color w:val="FFFFFF"/>
                <w:sz w:val="18"/>
                <w:szCs w:val="20"/>
              </w:rPr>
            </w:pPr>
          </w:p>
        </w:tc>
        <w:tc>
          <w:tcPr>
            <w:tcW w:w="712" w:type="pct"/>
            <w:vMerge/>
            <w:tcBorders>
              <w:top w:val="single" w:sz="8" w:space="0" w:color="auto"/>
              <w:left w:val="nil"/>
              <w:bottom w:val="single" w:sz="8" w:space="0" w:color="auto"/>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p>
        </w:tc>
        <w:tc>
          <w:tcPr>
            <w:tcW w:w="610" w:type="pct"/>
            <w:vMerge/>
            <w:tcBorders>
              <w:top w:val="single" w:sz="8" w:space="0" w:color="auto"/>
              <w:left w:val="nil"/>
              <w:bottom w:val="single" w:sz="8" w:space="0" w:color="auto"/>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p>
        </w:tc>
        <w:tc>
          <w:tcPr>
            <w:tcW w:w="762" w:type="pct"/>
            <w:vMerge/>
            <w:tcBorders>
              <w:top w:val="single" w:sz="8" w:space="0" w:color="auto"/>
              <w:left w:val="nil"/>
              <w:bottom w:val="single" w:sz="8" w:space="0" w:color="auto"/>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p>
        </w:tc>
        <w:tc>
          <w:tcPr>
            <w:tcW w:w="686" w:type="pct"/>
            <w:vMerge/>
            <w:tcBorders>
              <w:top w:val="single" w:sz="8" w:space="0" w:color="auto"/>
              <w:left w:val="nil"/>
              <w:bottom w:val="single" w:sz="8" w:space="0" w:color="auto"/>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p>
        </w:tc>
        <w:tc>
          <w:tcPr>
            <w:tcW w:w="737" w:type="pct"/>
            <w:vMerge/>
            <w:tcBorders>
              <w:top w:val="single" w:sz="8" w:space="0" w:color="auto"/>
              <w:left w:val="nil"/>
              <w:bottom w:val="single" w:sz="8" w:space="0" w:color="auto"/>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p>
        </w:tc>
        <w:tc>
          <w:tcPr>
            <w:tcW w:w="721" w:type="pct"/>
            <w:tcBorders>
              <w:top w:val="nil"/>
              <w:left w:val="nil"/>
              <w:bottom w:val="single" w:sz="8" w:space="0" w:color="auto"/>
              <w:right w:val="single" w:sz="8" w:space="0" w:color="auto"/>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18"/>
              </w:rPr>
              <w:t xml:space="preserve">(% of N*) </w:t>
            </w:r>
          </w:p>
        </w:tc>
      </w:tr>
      <w:tr w:rsidR="00C85FD7" w:rsidRPr="00C85FD7" w:rsidTr="000763AE">
        <w:trPr>
          <w:trHeight w:val="300"/>
          <w:jc w:val="center"/>
        </w:trPr>
        <w:tc>
          <w:tcPr>
            <w:tcW w:w="772" w:type="pct"/>
            <w:tcBorders>
              <w:top w:val="single" w:sz="8" w:space="0" w:color="auto"/>
              <w:left w:val="single" w:sz="8" w:space="0" w:color="auto"/>
              <w:bottom w:val="single" w:sz="8" w:space="0" w:color="auto"/>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Sex</w:t>
            </w:r>
          </w:p>
        </w:tc>
        <w:tc>
          <w:tcPr>
            <w:tcW w:w="712"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610"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762"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686"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c>
          <w:tcPr>
            <w:tcW w:w="737"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c>
          <w:tcPr>
            <w:tcW w:w="721" w:type="pct"/>
            <w:tcBorders>
              <w:top w:val="single" w:sz="8" w:space="0" w:color="auto"/>
              <w:left w:val="nil"/>
              <w:bottom w:val="single" w:sz="8" w:space="0" w:color="auto"/>
              <w:right w:val="single" w:sz="8" w:space="0" w:color="auto"/>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r>
      <w:tr w:rsidR="00C85FD7" w:rsidRPr="00C85FD7" w:rsidTr="00A377FD">
        <w:trPr>
          <w:trHeight w:val="300"/>
          <w:jc w:val="center"/>
        </w:trPr>
        <w:tc>
          <w:tcPr>
            <w:tcW w:w="772" w:type="pct"/>
            <w:tcBorders>
              <w:top w:val="single" w:sz="8" w:space="0" w:color="auto"/>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xml:space="preserve">Female </w:t>
            </w:r>
          </w:p>
        </w:tc>
        <w:tc>
          <w:tcPr>
            <w:tcW w:w="712"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734(50%)</w:t>
            </w:r>
          </w:p>
        </w:tc>
        <w:tc>
          <w:tcPr>
            <w:tcW w:w="610"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98(52%)</w:t>
            </w:r>
          </w:p>
        </w:tc>
        <w:tc>
          <w:tcPr>
            <w:tcW w:w="762"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935(52%)</w:t>
            </w:r>
          </w:p>
        </w:tc>
        <w:tc>
          <w:tcPr>
            <w:tcW w:w="686"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1,767(51%)</w:t>
            </w:r>
          </w:p>
        </w:tc>
        <w:tc>
          <w:tcPr>
            <w:tcW w:w="737"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14,051(56%)</w:t>
            </w:r>
          </w:p>
        </w:tc>
        <w:tc>
          <w:tcPr>
            <w:tcW w:w="721" w:type="pct"/>
            <w:tcBorders>
              <w:top w:val="single" w:sz="8" w:space="0" w:color="auto"/>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15,818(56%)</w:t>
            </w:r>
          </w:p>
        </w:tc>
      </w:tr>
      <w:tr w:rsidR="00C85FD7" w:rsidRPr="00C85FD7" w:rsidTr="00A377FD">
        <w:trPr>
          <w:trHeight w:val="300"/>
          <w:jc w:val="center"/>
        </w:trPr>
        <w:tc>
          <w:tcPr>
            <w:tcW w:w="772" w:type="pct"/>
            <w:tcBorders>
              <w:top w:val="nil"/>
              <w:left w:val="single" w:sz="8" w:space="0" w:color="auto"/>
              <w:bottom w:val="double" w:sz="4" w:space="0" w:color="auto"/>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xml:space="preserve">Male </w:t>
            </w:r>
          </w:p>
        </w:tc>
        <w:tc>
          <w:tcPr>
            <w:tcW w:w="712"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748(50%)</w:t>
            </w:r>
          </w:p>
        </w:tc>
        <w:tc>
          <w:tcPr>
            <w:tcW w:w="610"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90(48%)</w:t>
            </w:r>
          </w:p>
        </w:tc>
        <w:tc>
          <w:tcPr>
            <w:tcW w:w="762"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876(48%)</w:t>
            </w:r>
          </w:p>
        </w:tc>
        <w:tc>
          <w:tcPr>
            <w:tcW w:w="686"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1,714(49%)</w:t>
            </w:r>
          </w:p>
        </w:tc>
        <w:tc>
          <w:tcPr>
            <w:tcW w:w="737"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10,800(44%)</w:t>
            </w:r>
          </w:p>
        </w:tc>
        <w:tc>
          <w:tcPr>
            <w:tcW w:w="721" w:type="pct"/>
            <w:tcBorders>
              <w:top w:val="nil"/>
              <w:left w:val="nil"/>
              <w:bottom w:val="double" w:sz="4" w:space="0" w:color="auto"/>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12,514(44%)</w:t>
            </w:r>
          </w:p>
        </w:tc>
      </w:tr>
      <w:tr w:rsidR="00C85FD7" w:rsidRPr="00C85FD7" w:rsidTr="00A377FD">
        <w:trPr>
          <w:trHeight w:val="300"/>
          <w:jc w:val="center"/>
        </w:trPr>
        <w:tc>
          <w:tcPr>
            <w:tcW w:w="772" w:type="pct"/>
            <w:tcBorders>
              <w:top w:val="double" w:sz="4" w:space="0" w:color="auto"/>
              <w:left w:val="single" w:sz="8" w:space="0" w:color="auto"/>
              <w:bottom w:val="single" w:sz="8" w:space="0" w:color="auto"/>
              <w:right w:val="nil"/>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Total</w:t>
            </w:r>
          </w:p>
        </w:tc>
        <w:tc>
          <w:tcPr>
            <w:tcW w:w="712"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1,482(100%)</w:t>
            </w:r>
          </w:p>
        </w:tc>
        <w:tc>
          <w:tcPr>
            <w:tcW w:w="610"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188(100%) </w:t>
            </w:r>
          </w:p>
        </w:tc>
        <w:tc>
          <w:tcPr>
            <w:tcW w:w="762"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1,811(100%)</w:t>
            </w:r>
          </w:p>
        </w:tc>
        <w:tc>
          <w:tcPr>
            <w:tcW w:w="686"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3,481(100%)</w:t>
            </w:r>
          </w:p>
        </w:tc>
        <w:tc>
          <w:tcPr>
            <w:tcW w:w="737"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24,851(100%)</w:t>
            </w:r>
          </w:p>
        </w:tc>
        <w:tc>
          <w:tcPr>
            <w:tcW w:w="721" w:type="pct"/>
            <w:tcBorders>
              <w:top w:val="double" w:sz="4" w:space="0" w:color="auto"/>
              <w:left w:val="nil"/>
              <w:bottom w:val="single" w:sz="8" w:space="0" w:color="auto"/>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28,332(100%)</w:t>
            </w:r>
          </w:p>
        </w:tc>
      </w:tr>
      <w:tr w:rsidR="00C85FD7" w:rsidRPr="00C85FD7" w:rsidTr="000763AE">
        <w:trPr>
          <w:trHeight w:val="300"/>
          <w:jc w:val="center"/>
        </w:trPr>
        <w:tc>
          <w:tcPr>
            <w:tcW w:w="772" w:type="pct"/>
            <w:tcBorders>
              <w:top w:val="single" w:sz="8" w:space="0" w:color="auto"/>
              <w:left w:val="single" w:sz="8" w:space="0" w:color="auto"/>
              <w:bottom w:val="single" w:sz="8" w:space="0" w:color="auto"/>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Age</w:t>
            </w:r>
          </w:p>
        </w:tc>
        <w:tc>
          <w:tcPr>
            <w:tcW w:w="712"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610"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762"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686"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c>
          <w:tcPr>
            <w:tcW w:w="737"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c>
          <w:tcPr>
            <w:tcW w:w="721" w:type="pct"/>
            <w:tcBorders>
              <w:top w:val="single" w:sz="8" w:space="0" w:color="auto"/>
              <w:left w:val="nil"/>
              <w:bottom w:val="single" w:sz="8" w:space="0" w:color="auto"/>
              <w:right w:val="single" w:sz="8" w:space="0" w:color="auto"/>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r>
      <w:tr w:rsidR="00C85FD7" w:rsidRPr="00C85FD7" w:rsidTr="00A377FD">
        <w:trPr>
          <w:trHeight w:val="300"/>
          <w:jc w:val="center"/>
        </w:trPr>
        <w:tc>
          <w:tcPr>
            <w:tcW w:w="772" w:type="pct"/>
            <w:tcBorders>
              <w:top w:val="single" w:sz="8" w:space="0" w:color="auto"/>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1-44</w:t>
            </w:r>
          </w:p>
        </w:tc>
        <w:tc>
          <w:tcPr>
            <w:tcW w:w="712"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129(9%)</w:t>
            </w:r>
          </w:p>
        </w:tc>
        <w:tc>
          <w:tcPr>
            <w:tcW w:w="610"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37(20%)</w:t>
            </w:r>
          </w:p>
        </w:tc>
        <w:tc>
          <w:tcPr>
            <w:tcW w:w="762"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115(6%)</w:t>
            </w:r>
          </w:p>
        </w:tc>
        <w:tc>
          <w:tcPr>
            <w:tcW w:w="686"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281(8%)</w:t>
            </w:r>
          </w:p>
        </w:tc>
        <w:tc>
          <w:tcPr>
            <w:tcW w:w="737"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10,206(41%)</w:t>
            </w:r>
          </w:p>
        </w:tc>
        <w:tc>
          <w:tcPr>
            <w:tcW w:w="721" w:type="pct"/>
            <w:tcBorders>
              <w:top w:val="single" w:sz="8" w:space="0" w:color="auto"/>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10,487</w:t>
            </w:r>
            <w:r w:rsidRPr="00C85FD7" w:rsidDel="008F776C">
              <w:rPr>
                <w:rFonts w:ascii="Calibri" w:hAnsi="Calibri" w:cs="Calibri"/>
                <w:b/>
                <w:bCs/>
                <w:color w:val="000000"/>
                <w:sz w:val="18"/>
                <w:szCs w:val="22"/>
              </w:rPr>
              <w:t xml:space="preserve"> </w:t>
            </w:r>
            <w:r w:rsidRPr="00C85FD7">
              <w:rPr>
                <w:rFonts w:ascii="Calibri" w:hAnsi="Calibri" w:cs="Calibri"/>
                <w:b/>
                <w:bCs/>
                <w:color w:val="000000"/>
                <w:sz w:val="18"/>
                <w:szCs w:val="22"/>
              </w:rPr>
              <w:t>(37%)</w:t>
            </w:r>
          </w:p>
        </w:tc>
      </w:tr>
      <w:tr w:rsidR="00C85FD7" w:rsidRPr="00C85FD7" w:rsidTr="00A377FD">
        <w:trPr>
          <w:trHeight w:val="300"/>
          <w:jc w:val="center"/>
        </w:trPr>
        <w:tc>
          <w:tcPr>
            <w:tcW w:w="772" w:type="pct"/>
            <w:tcBorders>
              <w:top w:val="nil"/>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45-64</w:t>
            </w:r>
          </w:p>
        </w:tc>
        <w:tc>
          <w:tcPr>
            <w:tcW w:w="71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506(34%)</w:t>
            </w:r>
          </w:p>
        </w:tc>
        <w:tc>
          <w:tcPr>
            <w:tcW w:w="610"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76(40%)</w:t>
            </w:r>
          </w:p>
        </w:tc>
        <w:tc>
          <w:tcPr>
            <w:tcW w:w="76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677(37%)</w:t>
            </w:r>
          </w:p>
        </w:tc>
        <w:tc>
          <w:tcPr>
            <w:tcW w:w="686"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1,259(36%)</w:t>
            </w:r>
          </w:p>
        </w:tc>
        <w:tc>
          <w:tcPr>
            <w:tcW w:w="737"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7,052(28%)</w:t>
            </w:r>
          </w:p>
        </w:tc>
        <w:tc>
          <w:tcPr>
            <w:tcW w:w="721" w:type="pct"/>
            <w:tcBorders>
              <w:top w:val="nil"/>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8,311(29%)</w:t>
            </w:r>
          </w:p>
        </w:tc>
      </w:tr>
      <w:tr w:rsidR="00C85FD7" w:rsidRPr="00C85FD7" w:rsidTr="00A377FD">
        <w:trPr>
          <w:trHeight w:val="300"/>
          <w:jc w:val="center"/>
        </w:trPr>
        <w:tc>
          <w:tcPr>
            <w:tcW w:w="772" w:type="pct"/>
            <w:tcBorders>
              <w:top w:val="nil"/>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&gt;65</w:t>
            </w:r>
          </w:p>
        </w:tc>
        <w:tc>
          <w:tcPr>
            <w:tcW w:w="71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847(57%)</w:t>
            </w:r>
          </w:p>
        </w:tc>
        <w:tc>
          <w:tcPr>
            <w:tcW w:w="610"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75(40%)</w:t>
            </w:r>
          </w:p>
        </w:tc>
        <w:tc>
          <w:tcPr>
            <w:tcW w:w="76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1,019(57%)</w:t>
            </w:r>
          </w:p>
        </w:tc>
        <w:tc>
          <w:tcPr>
            <w:tcW w:w="686"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1,941(56%)</w:t>
            </w:r>
          </w:p>
        </w:tc>
        <w:tc>
          <w:tcPr>
            <w:tcW w:w="737"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7,594(31%)</w:t>
            </w:r>
          </w:p>
        </w:tc>
        <w:tc>
          <w:tcPr>
            <w:tcW w:w="721" w:type="pct"/>
            <w:tcBorders>
              <w:top w:val="nil"/>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9,534(34%)</w:t>
            </w:r>
          </w:p>
        </w:tc>
      </w:tr>
      <w:tr w:rsidR="00C85FD7" w:rsidRPr="00C85FD7" w:rsidTr="00A377FD">
        <w:trPr>
          <w:trHeight w:val="300"/>
          <w:jc w:val="center"/>
        </w:trPr>
        <w:tc>
          <w:tcPr>
            <w:tcW w:w="772" w:type="pct"/>
            <w:tcBorders>
              <w:top w:val="double" w:sz="4" w:space="0" w:color="auto"/>
              <w:left w:val="single" w:sz="8" w:space="0" w:color="auto"/>
              <w:bottom w:val="single" w:sz="8" w:space="0" w:color="auto"/>
              <w:right w:val="nil"/>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Total</w:t>
            </w:r>
          </w:p>
        </w:tc>
        <w:tc>
          <w:tcPr>
            <w:tcW w:w="712"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1,482(100%)</w:t>
            </w:r>
          </w:p>
        </w:tc>
        <w:tc>
          <w:tcPr>
            <w:tcW w:w="610"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188(100%) </w:t>
            </w:r>
          </w:p>
        </w:tc>
        <w:tc>
          <w:tcPr>
            <w:tcW w:w="762"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1,811(100%)</w:t>
            </w:r>
          </w:p>
        </w:tc>
        <w:tc>
          <w:tcPr>
            <w:tcW w:w="686"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3,481(100%)</w:t>
            </w:r>
          </w:p>
        </w:tc>
        <w:tc>
          <w:tcPr>
            <w:tcW w:w="737"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24,851(100%)</w:t>
            </w:r>
          </w:p>
        </w:tc>
        <w:tc>
          <w:tcPr>
            <w:tcW w:w="721" w:type="pct"/>
            <w:tcBorders>
              <w:top w:val="double" w:sz="4" w:space="0" w:color="auto"/>
              <w:left w:val="nil"/>
              <w:bottom w:val="single" w:sz="8" w:space="0" w:color="auto"/>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28,332(100%)</w:t>
            </w:r>
          </w:p>
        </w:tc>
      </w:tr>
      <w:tr w:rsidR="00C85FD7" w:rsidRPr="00C85FD7" w:rsidTr="000763AE">
        <w:trPr>
          <w:trHeight w:val="300"/>
          <w:jc w:val="center"/>
        </w:trPr>
        <w:tc>
          <w:tcPr>
            <w:tcW w:w="772" w:type="pct"/>
            <w:tcBorders>
              <w:top w:val="single" w:sz="8" w:space="0" w:color="auto"/>
              <w:left w:val="single" w:sz="8" w:space="0" w:color="auto"/>
              <w:bottom w:val="single" w:sz="8" w:space="0" w:color="auto"/>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Race</w:t>
            </w:r>
          </w:p>
        </w:tc>
        <w:tc>
          <w:tcPr>
            <w:tcW w:w="712"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610"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762"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686"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c>
          <w:tcPr>
            <w:tcW w:w="737"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c>
          <w:tcPr>
            <w:tcW w:w="721" w:type="pct"/>
            <w:tcBorders>
              <w:top w:val="single" w:sz="8" w:space="0" w:color="auto"/>
              <w:left w:val="nil"/>
              <w:bottom w:val="single" w:sz="8" w:space="0" w:color="auto"/>
              <w:right w:val="single" w:sz="8" w:space="0" w:color="auto"/>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r>
      <w:tr w:rsidR="00C85FD7" w:rsidRPr="00C85FD7" w:rsidTr="00A377FD">
        <w:trPr>
          <w:trHeight w:val="300"/>
          <w:jc w:val="center"/>
        </w:trPr>
        <w:tc>
          <w:tcPr>
            <w:tcW w:w="772" w:type="pct"/>
            <w:tcBorders>
              <w:top w:val="single" w:sz="8" w:space="0" w:color="auto"/>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Blank</w:t>
            </w:r>
          </w:p>
        </w:tc>
        <w:tc>
          <w:tcPr>
            <w:tcW w:w="712"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373(25%)</w:t>
            </w:r>
          </w:p>
        </w:tc>
        <w:tc>
          <w:tcPr>
            <w:tcW w:w="610"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35(19%)</w:t>
            </w:r>
          </w:p>
        </w:tc>
        <w:tc>
          <w:tcPr>
            <w:tcW w:w="762"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343(19%)</w:t>
            </w:r>
          </w:p>
        </w:tc>
        <w:tc>
          <w:tcPr>
            <w:tcW w:w="686"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751(22%)</w:t>
            </w:r>
          </w:p>
        </w:tc>
        <w:tc>
          <w:tcPr>
            <w:tcW w:w="737"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6,568(26%)</w:t>
            </w:r>
          </w:p>
        </w:tc>
        <w:tc>
          <w:tcPr>
            <w:tcW w:w="721" w:type="pct"/>
            <w:tcBorders>
              <w:top w:val="single" w:sz="8" w:space="0" w:color="auto"/>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7,319(26%)</w:t>
            </w:r>
          </w:p>
        </w:tc>
      </w:tr>
      <w:tr w:rsidR="00C85FD7" w:rsidRPr="00C85FD7" w:rsidTr="00A377FD">
        <w:trPr>
          <w:trHeight w:val="300"/>
          <w:jc w:val="center"/>
        </w:trPr>
        <w:tc>
          <w:tcPr>
            <w:tcW w:w="772" w:type="pct"/>
            <w:tcBorders>
              <w:top w:val="nil"/>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White</w:t>
            </w:r>
          </w:p>
        </w:tc>
        <w:tc>
          <w:tcPr>
            <w:tcW w:w="71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892(60%)</w:t>
            </w:r>
          </w:p>
        </w:tc>
        <w:tc>
          <w:tcPr>
            <w:tcW w:w="610"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128(68%)</w:t>
            </w:r>
          </w:p>
        </w:tc>
        <w:tc>
          <w:tcPr>
            <w:tcW w:w="76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1,161(64%)</w:t>
            </w:r>
          </w:p>
        </w:tc>
        <w:tc>
          <w:tcPr>
            <w:tcW w:w="686"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2,181(63%)</w:t>
            </w:r>
          </w:p>
        </w:tc>
        <w:tc>
          <w:tcPr>
            <w:tcW w:w="737"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15,752(63%)</w:t>
            </w:r>
          </w:p>
        </w:tc>
        <w:tc>
          <w:tcPr>
            <w:tcW w:w="721" w:type="pct"/>
            <w:tcBorders>
              <w:top w:val="nil"/>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17,933(63%)</w:t>
            </w:r>
          </w:p>
        </w:tc>
      </w:tr>
      <w:tr w:rsidR="00C85FD7" w:rsidRPr="00C85FD7" w:rsidTr="00A377FD">
        <w:trPr>
          <w:trHeight w:val="765"/>
          <w:jc w:val="center"/>
        </w:trPr>
        <w:tc>
          <w:tcPr>
            <w:tcW w:w="772" w:type="pct"/>
            <w:tcBorders>
              <w:top w:val="nil"/>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Black or African American</w:t>
            </w:r>
          </w:p>
        </w:tc>
        <w:tc>
          <w:tcPr>
            <w:tcW w:w="71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172(12%)</w:t>
            </w:r>
          </w:p>
        </w:tc>
        <w:tc>
          <w:tcPr>
            <w:tcW w:w="610"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20(11%)</w:t>
            </w:r>
          </w:p>
        </w:tc>
        <w:tc>
          <w:tcPr>
            <w:tcW w:w="76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219(12%)</w:t>
            </w:r>
          </w:p>
        </w:tc>
        <w:tc>
          <w:tcPr>
            <w:tcW w:w="686"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411(12%)</w:t>
            </w:r>
          </w:p>
        </w:tc>
        <w:tc>
          <w:tcPr>
            <w:tcW w:w="737"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1,682(7%)</w:t>
            </w:r>
          </w:p>
        </w:tc>
        <w:tc>
          <w:tcPr>
            <w:tcW w:w="721" w:type="pct"/>
            <w:tcBorders>
              <w:top w:val="nil"/>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2,093(7%)</w:t>
            </w:r>
          </w:p>
        </w:tc>
      </w:tr>
      <w:tr w:rsidR="00C85FD7" w:rsidRPr="00C85FD7" w:rsidTr="00A377FD">
        <w:trPr>
          <w:trHeight w:val="300"/>
          <w:jc w:val="center"/>
        </w:trPr>
        <w:tc>
          <w:tcPr>
            <w:tcW w:w="772" w:type="pct"/>
            <w:tcBorders>
              <w:top w:val="nil"/>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Asian</w:t>
            </w:r>
          </w:p>
        </w:tc>
        <w:tc>
          <w:tcPr>
            <w:tcW w:w="71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32(2%)</w:t>
            </w:r>
          </w:p>
        </w:tc>
        <w:tc>
          <w:tcPr>
            <w:tcW w:w="610"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4(2%)</w:t>
            </w:r>
          </w:p>
        </w:tc>
        <w:tc>
          <w:tcPr>
            <w:tcW w:w="76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72(4%)</w:t>
            </w:r>
          </w:p>
        </w:tc>
        <w:tc>
          <w:tcPr>
            <w:tcW w:w="686"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108(3%)</w:t>
            </w:r>
          </w:p>
        </w:tc>
        <w:tc>
          <w:tcPr>
            <w:tcW w:w="737"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700(3%)</w:t>
            </w:r>
          </w:p>
        </w:tc>
        <w:tc>
          <w:tcPr>
            <w:tcW w:w="721" w:type="pct"/>
            <w:tcBorders>
              <w:top w:val="nil"/>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808(3%)</w:t>
            </w:r>
          </w:p>
        </w:tc>
      </w:tr>
      <w:tr w:rsidR="00C85FD7" w:rsidRPr="00C85FD7" w:rsidTr="00A377FD">
        <w:trPr>
          <w:trHeight w:val="1020"/>
          <w:jc w:val="center"/>
        </w:trPr>
        <w:tc>
          <w:tcPr>
            <w:tcW w:w="772" w:type="pct"/>
            <w:tcBorders>
              <w:top w:val="nil"/>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Native Hawaiian or Other Pacific Islander</w:t>
            </w:r>
          </w:p>
        </w:tc>
        <w:tc>
          <w:tcPr>
            <w:tcW w:w="71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5(&lt;1%)</w:t>
            </w:r>
          </w:p>
        </w:tc>
        <w:tc>
          <w:tcPr>
            <w:tcW w:w="610"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0(0%)</w:t>
            </w:r>
          </w:p>
        </w:tc>
        <w:tc>
          <w:tcPr>
            <w:tcW w:w="76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6(&lt;1%)</w:t>
            </w:r>
          </w:p>
        </w:tc>
        <w:tc>
          <w:tcPr>
            <w:tcW w:w="686"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11(&lt;1%)</w:t>
            </w:r>
          </w:p>
        </w:tc>
        <w:tc>
          <w:tcPr>
            <w:tcW w:w="737"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33(&lt;1%)</w:t>
            </w:r>
          </w:p>
        </w:tc>
        <w:tc>
          <w:tcPr>
            <w:tcW w:w="721" w:type="pct"/>
            <w:tcBorders>
              <w:top w:val="nil"/>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44(&lt;1%)</w:t>
            </w:r>
          </w:p>
        </w:tc>
      </w:tr>
      <w:tr w:rsidR="00C85FD7" w:rsidRPr="00C85FD7" w:rsidTr="00A377FD">
        <w:trPr>
          <w:trHeight w:val="765"/>
          <w:jc w:val="center"/>
        </w:trPr>
        <w:tc>
          <w:tcPr>
            <w:tcW w:w="772" w:type="pct"/>
            <w:tcBorders>
              <w:top w:val="nil"/>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American Indian or Alaska Native</w:t>
            </w:r>
          </w:p>
        </w:tc>
        <w:tc>
          <w:tcPr>
            <w:tcW w:w="71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5(&lt;1%)</w:t>
            </w:r>
          </w:p>
        </w:tc>
        <w:tc>
          <w:tcPr>
            <w:tcW w:w="610"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0(0%)</w:t>
            </w:r>
          </w:p>
        </w:tc>
        <w:tc>
          <w:tcPr>
            <w:tcW w:w="76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9(&lt;1%)</w:t>
            </w:r>
          </w:p>
        </w:tc>
        <w:tc>
          <w:tcPr>
            <w:tcW w:w="686"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14(&lt;1%)</w:t>
            </w:r>
          </w:p>
        </w:tc>
        <w:tc>
          <w:tcPr>
            <w:tcW w:w="737"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63(&lt;1%)</w:t>
            </w:r>
          </w:p>
        </w:tc>
        <w:tc>
          <w:tcPr>
            <w:tcW w:w="721" w:type="pct"/>
            <w:tcBorders>
              <w:top w:val="nil"/>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77(&lt;1%)</w:t>
            </w:r>
          </w:p>
        </w:tc>
      </w:tr>
      <w:tr w:rsidR="00C85FD7" w:rsidRPr="00C85FD7" w:rsidTr="00A377FD">
        <w:trPr>
          <w:trHeight w:val="510"/>
          <w:jc w:val="center"/>
        </w:trPr>
        <w:tc>
          <w:tcPr>
            <w:tcW w:w="772" w:type="pct"/>
            <w:tcBorders>
              <w:top w:val="nil"/>
              <w:left w:val="single" w:sz="8" w:space="0" w:color="auto"/>
              <w:bottom w:val="double" w:sz="4" w:space="0" w:color="auto"/>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More than one race reported</w:t>
            </w:r>
          </w:p>
        </w:tc>
        <w:tc>
          <w:tcPr>
            <w:tcW w:w="712"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3(&lt;1%))</w:t>
            </w:r>
          </w:p>
        </w:tc>
        <w:tc>
          <w:tcPr>
            <w:tcW w:w="610"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1(20%)</w:t>
            </w:r>
          </w:p>
        </w:tc>
        <w:tc>
          <w:tcPr>
            <w:tcW w:w="762"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1(&lt;1%)</w:t>
            </w:r>
          </w:p>
        </w:tc>
        <w:tc>
          <w:tcPr>
            <w:tcW w:w="686"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5(&lt;1%)</w:t>
            </w:r>
          </w:p>
        </w:tc>
        <w:tc>
          <w:tcPr>
            <w:tcW w:w="737"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53(&lt;1%)</w:t>
            </w:r>
          </w:p>
        </w:tc>
        <w:tc>
          <w:tcPr>
            <w:tcW w:w="721" w:type="pct"/>
            <w:tcBorders>
              <w:top w:val="nil"/>
              <w:left w:val="nil"/>
              <w:bottom w:val="double" w:sz="4" w:space="0" w:color="auto"/>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58(&lt;1%)</w:t>
            </w:r>
          </w:p>
        </w:tc>
      </w:tr>
      <w:tr w:rsidR="00C85FD7" w:rsidRPr="00C85FD7" w:rsidTr="00A377FD">
        <w:trPr>
          <w:trHeight w:val="300"/>
          <w:jc w:val="center"/>
        </w:trPr>
        <w:tc>
          <w:tcPr>
            <w:tcW w:w="772" w:type="pct"/>
            <w:tcBorders>
              <w:top w:val="double" w:sz="4" w:space="0" w:color="auto"/>
              <w:left w:val="single" w:sz="8" w:space="0" w:color="auto"/>
              <w:bottom w:val="single" w:sz="8" w:space="0" w:color="auto"/>
              <w:right w:val="nil"/>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Total</w:t>
            </w:r>
          </w:p>
        </w:tc>
        <w:tc>
          <w:tcPr>
            <w:tcW w:w="712"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1,482(100%)</w:t>
            </w:r>
          </w:p>
        </w:tc>
        <w:tc>
          <w:tcPr>
            <w:tcW w:w="610"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188(100%) </w:t>
            </w:r>
          </w:p>
        </w:tc>
        <w:tc>
          <w:tcPr>
            <w:tcW w:w="762"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1,811(100%)</w:t>
            </w:r>
          </w:p>
        </w:tc>
        <w:tc>
          <w:tcPr>
            <w:tcW w:w="686"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3,481(100%)</w:t>
            </w:r>
          </w:p>
        </w:tc>
        <w:tc>
          <w:tcPr>
            <w:tcW w:w="737" w:type="pct"/>
            <w:tcBorders>
              <w:top w:val="double" w:sz="4" w:space="0" w:color="auto"/>
              <w:left w:val="nil"/>
              <w:bottom w:val="single" w:sz="8"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24,851(100%)</w:t>
            </w:r>
          </w:p>
        </w:tc>
        <w:tc>
          <w:tcPr>
            <w:tcW w:w="721" w:type="pct"/>
            <w:tcBorders>
              <w:top w:val="double" w:sz="4" w:space="0" w:color="auto"/>
              <w:left w:val="nil"/>
              <w:bottom w:val="single" w:sz="8" w:space="0" w:color="auto"/>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28,332(100%)</w:t>
            </w:r>
          </w:p>
        </w:tc>
      </w:tr>
      <w:tr w:rsidR="00C85FD7" w:rsidRPr="00C85FD7" w:rsidTr="000763AE">
        <w:trPr>
          <w:trHeight w:val="300"/>
          <w:jc w:val="center"/>
        </w:trPr>
        <w:tc>
          <w:tcPr>
            <w:tcW w:w="772" w:type="pct"/>
            <w:tcBorders>
              <w:top w:val="single" w:sz="8" w:space="0" w:color="auto"/>
              <w:left w:val="single" w:sz="8" w:space="0" w:color="auto"/>
              <w:bottom w:val="single" w:sz="8" w:space="0" w:color="auto"/>
              <w:right w:val="nil"/>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Ethnicity</w:t>
            </w:r>
          </w:p>
        </w:tc>
        <w:tc>
          <w:tcPr>
            <w:tcW w:w="712"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610"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762"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color w:val="FFFFFF"/>
                <w:sz w:val="18"/>
                <w:szCs w:val="20"/>
              </w:rPr>
            </w:pPr>
            <w:r w:rsidRPr="000763AE">
              <w:rPr>
                <w:rFonts w:ascii="Calibri" w:hAnsi="Calibri" w:cs="Calibri"/>
                <w:color w:val="FFFFFF"/>
                <w:sz w:val="18"/>
                <w:szCs w:val="22"/>
              </w:rPr>
              <w:t> </w:t>
            </w:r>
          </w:p>
        </w:tc>
        <w:tc>
          <w:tcPr>
            <w:tcW w:w="686"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c>
          <w:tcPr>
            <w:tcW w:w="737" w:type="pct"/>
            <w:tcBorders>
              <w:top w:val="single" w:sz="8" w:space="0" w:color="auto"/>
              <w:left w:val="nil"/>
              <w:bottom w:val="single" w:sz="8" w:space="0" w:color="auto"/>
              <w:right w:val="nil"/>
            </w:tcBorders>
            <w:shd w:val="clear" w:color="auto" w:fill="808080"/>
            <w:noWrap/>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c>
          <w:tcPr>
            <w:tcW w:w="721" w:type="pct"/>
            <w:tcBorders>
              <w:top w:val="single" w:sz="8" w:space="0" w:color="auto"/>
              <w:left w:val="nil"/>
              <w:bottom w:val="single" w:sz="8" w:space="0" w:color="auto"/>
              <w:right w:val="single" w:sz="8" w:space="0" w:color="auto"/>
            </w:tcBorders>
            <w:shd w:val="clear" w:color="auto" w:fill="808080"/>
            <w:vAlign w:val="center"/>
            <w:hideMark/>
          </w:tcPr>
          <w:p w:rsidR="00C85FD7" w:rsidRPr="000763AE" w:rsidRDefault="00C85FD7" w:rsidP="00427236">
            <w:pPr>
              <w:rPr>
                <w:rFonts w:ascii="Calibri" w:hAnsi="Calibri" w:cs="Calibri"/>
                <w:b/>
                <w:bCs/>
                <w:color w:val="FFFFFF"/>
                <w:sz w:val="18"/>
                <w:szCs w:val="20"/>
              </w:rPr>
            </w:pPr>
            <w:r w:rsidRPr="000763AE">
              <w:rPr>
                <w:rFonts w:ascii="Calibri" w:hAnsi="Calibri" w:cs="Calibri"/>
                <w:b/>
                <w:bCs/>
                <w:color w:val="FFFFFF"/>
                <w:sz w:val="18"/>
                <w:szCs w:val="22"/>
              </w:rPr>
              <w:t> </w:t>
            </w:r>
          </w:p>
        </w:tc>
      </w:tr>
      <w:tr w:rsidR="00C85FD7" w:rsidRPr="00C85FD7" w:rsidTr="00A377FD">
        <w:trPr>
          <w:trHeight w:val="300"/>
          <w:jc w:val="center"/>
        </w:trPr>
        <w:tc>
          <w:tcPr>
            <w:tcW w:w="772" w:type="pct"/>
            <w:tcBorders>
              <w:top w:val="single" w:sz="8" w:space="0" w:color="auto"/>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xml:space="preserve">Hispanic </w:t>
            </w:r>
          </w:p>
        </w:tc>
        <w:tc>
          <w:tcPr>
            <w:tcW w:w="712"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124(8%)</w:t>
            </w:r>
          </w:p>
        </w:tc>
        <w:tc>
          <w:tcPr>
            <w:tcW w:w="610"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24(13%)</w:t>
            </w:r>
          </w:p>
        </w:tc>
        <w:tc>
          <w:tcPr>
            <w:tcW w:w="762"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145(8%)</w:t>
            </w:r>
          </w:p>
        </w:tc>
        <w:tc>
          <w:tcPr>
            <w:tcW w:w="686"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293(8%)</w:t>
            </w:r>
          </w:p>
        </w:tc>
        <w:tc>
          <w:tcPr>
            <w:tcW w:w="737" w:type="pct"/>
            <w:tcBorders>
              <w:top w:val="single" w:sz="8" w:space="0" w:color="auto"/>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1,873(8%)</w:t>
            </w:r>
          </w:p>
        </w:tc>
        <w:tc>
          <w:tcPr>
            <w:tcW w:w="721" w:type="pct"/>
            <w:tcBorders>
              <w:top w:val="single" w:sz="8" w:space="0" w:color="auto"/>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2,166(7%)</w:t>
            </w:r>
          </w:p>
        </w:tc>
      </w:tr>
      <w:tr w:rsidR="00C85FD7" w:rsidRPr="00C85FD7" w:rsidTr="00A377FD">
        <w:trPr>
          <w:trHeight w:val="300"/>
          <w:jc w:val="center"/>
        </w:trPr>
        <w:tc>
          <w:tcPr>
            <w:tcW w:w="772" w:type="pct"/>
            <w:tcBorders>
              <w:top w:val="nil"/>
              <w:left w:val="single" w:sz="8" w:space="0" w:color="auto"/>
              <w:bottom w:val="nil"/>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Non-Hispanic</w:t>
            </w:r>
          </w:p>
        </w:tc>
        <w:tc>
          <w:tcPr>
            <w:tcW w:w="71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1,006(68%)</w:t>
            </w:r>
          </w:p>
        </w:tc>
        <w:tc>
          <w:tcPr>
            <w:tcW w:w="610"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143(76%)</w:t>
            </w:r>
          </w:p>
        </w:tc>
        <w:tc>
          <w:tcPr>
            <w:tcW w:w="762"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1,328(73%)</w:t>
            </w:r>
          </w:p>
        </w:tc>
        <w:tc>
          <w:tcPr>
            <w:tcW w:w="686"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2,477(71%)</w:t>
            </w:r>
          </w:p>
        </w:tc>
        <w:tc>
          <w:tcPr>
            <w:tcW w:w="737" w:type="pct"/>
            <w:tcBorders>
              <w:top w:val="nil"/>
              <w:left w:val="nil"/>
              <w:bottom w:val="nil"/>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16,380(66%)</w:t>
            </w:r>
          </w:p>
        </w:tc>
        <w:tc>
          <w:tcPr>
            <w:tcW w:w="721" w:type="pct"/>
            <w:tcBorders>
              <w:top w:val="nil"/>
              <w:left w:val="nil"/>
              <w:bottom w:val="nil"/>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18,857(67%)</w:t>
            </w:r>
          </w:p>
        </w:tc>
      </w:tr>
      <w:tr w:rsidR="00C85FD7" w:rsidRPr="00C85FD7" w:rsidTr="00A377FD">
        <w:trPr>
          <w:trHeight w:val="300"/>
          <w:jc w:val="center"/>
        </w:trPr>
        <w:tc>
          <w:tcPr>
            <w:tcW w:w="772" w:type="pct"/>
            <w:tcBorders>
              <w:top w:val="nil"/>
              <w:left w:val="single" w:sz="8" w:space="0" w:color="auto"/>
              <w:bottom w:val="double" w:sz="4" w:space="0" w:color="auto"/>
              <w:right w:val="nil"/>
            </w:tcBorders>
            <w:shd w:val="clear" w:color="auto" w:fill="auto"/>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No Response</w:t>
            </w:r>
          </w:p>
        </w:tc>
        <w:tc>
          <w:tcPr>
            <w:tcW w:w="712"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352(24%)</w:t>
            </w:r>
          </w:p>
        </w:tc>
        <w:tc>
          <w:tcPr>
            <w:tcW w:w="610"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21(11%)</w:t>
            </w:r>
          </w:p>
        </w:tc>
        <w:tc>
          <w:tcPr>
            <w:tcW w:w="762"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338(19%)</w:t>
            </w:r>
          </w:p>
        </w:tc>
        <w:tc>
          <w:tcPr>
            <w:tcW w:w="686"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711(20%)</w:t>
            </w:r>
          </w:p>
        </w:tc>
        <w:tc>
          <w:tcPr>
            <w:tcW w:w="737" w:type="pct"/>
            <w:tcBorders>
              <w:top w:val="nil"/>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6,598(27%)</w:t>
            </w:r>
          </w:p>
        </w:tc>
        <w:tc>
          <w:tcPr>
            <w:tcW w:w="721" w:type="pct"/>
            <w:tcBorders>
              <w:top w:val="nil"/>
              <w:left w:val="nil"/>
              <w:bottom w:val="double" w:sz="4" w:space="0" w:color="auto"/>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7,309(26%)</w:t>
            </w:r>
          </w:p>
        </w:tc>
      </w:tr>
      <w:tr w:rsidR="00C85FD7" w:rsidRPr="00C85FD7" w:rsidTr="00A377FD">
        <w:trPr>
          <w:trHeight w:val="300"/>
          <w:jc w:val="center"/>
        </w:trPr>
        <w:tc>
          <w:tcPr>
            <w:tcW w:w="772" w:type="pct"/>
            <w:tcBorders>
              <w:top w:val="double" w:sz="4" w:space="0" w:color="auto"/>
              <w:left w:val="single" w:sz="8" w:space="0" w:color="auto"/>
              <w:bottom w:val="double" w:sz="4" w:space="0" w:color="auto"/>
              <w:right w:val="nil"/>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Total</w:t>
            </w:r>
          </w:p>
        </w:tc>
        <w:tc>
          <w:tcPr>
            <w:tcW w:w="712" w:type="pct"/>
            <w:tcBorders>
              <w:top w:val="double" w:sz="4" w:space="0" w:color="auto"/>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1,482(100%)</w:t>
            </w:r>
          </w:p>
        </w:tc>
        <w:tc>
          <w:tcPr>
            <w:tcW w:w="610" w:type="pct"/>
            <w:tcBorders>
              <w:top w:val="double" w:sz="4" w:space="0" w:color="auto"/>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188(100%) </w:t>
            </w:r>
          </w:p>
        </w:tc>
        <w:tc>
          <w:tcPr>
            <w:tcW w:w="762" w:type="pct"/>
            <w:tcBorders>
              <w:top w:val="double" w:sz="4" w:space="0" w:color="auto"/>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color w:val="000000"/>
                <w:sz w:val="18"/>
                <w:szCs w:val="20"/>
              </w:rPr>
            </w:pPr>
            <w:r w:rsidRPr="00C85FD7">
              <w:rPr>
                <w:rFonts w:ascii="Calibri" w:hAnsi="Calibri" w:cs="Calibri"/>
                <w:color w:val="000000"/>
                <w:sz w:val="18"/>
                <w:szCs w:val="22"/>
              </w:rPr>
              <w:t> 1,811(100%)</w:t>
            </w:r>
          </w:p>
        </w:tc>
        <w:tc>
          <w:tcPr>
            <w:tcW w:w="686" w:type="pct"/>
            <w:tcBorders>
              <w:top w:val="double" w:sz="4" w:space="0" w:color="auto"/>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3,481(100%)</w:t>
            </w:r>
          </w:p>
        </w:tc>
        <w:tc>
          <w:tcPr>
            <w:tcW w:w="737" w:type="pct"/>
            <w:tcBorders>
              <w:top w:val="double" w:sz="4" w:space="0" w:color="auto"/>
              <w:left w:val="nil"/>
              <w:bottom w:val="double" w:sz="4" w:space="0" w:color="auto"/>
              <w:right w:val="nil"/>
            </w:tcBorders>
            <w:shd w:val="clear" w:color="auto" w:fill="auto"/>
            <w:noWrap/>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24,851(100%)</w:t>
            </w:r>
          </w:p>
        </w:tc>
        <w:tc>
          <w:tcPr>
            <w:tcW w:w="721" w:type="pct"/>
            <w:tcBorders>
              <w:top w:val="double" w:sz="4" w:space="0" w:color="auto"/>
              <w:left w:val="nil"/>
              <w:bottom w:val="double" w:sz="4" w:space="0" w:color="auto"/>
              <w:right w:val="single" w:sz="8" w:space="0" w:color="auto"/>
            </w:tcBorders>
            <w:shd w:val="clear" w:color="auto" w:fill="auto"/>
            <w:vAlign w:val="center"/>
            <w:hideMark/>
          </w:tcPr>
          <w:p w:rsidR="00C85FD7" w:rsidRPr="00C85FD7" w:rsidRDefault="00C85FD7" w:rsidP="00427236">
            <w:pPr>
              <w:rPr>
                <w:rFonts w:ascii="Calibri" w:hAnsi="Calibri" w:cs="Calibri"/>
                <w:b/>
                <w:bCs/>
                <w:color w:val="000000"/>
                <w:sz w:val="18"/>
                <w:szCs w:val="20"/>
              </w:rPr>
            </w:pPr>
            <w:r w:rsidRPr="00C85FD7">
              <w:rPr>
                <w:rFonts w:ascii="Calibri" w:hAnsi="Calibri" w:cs="Calibri"/>
                <w:b/>
                <w:bCs/>
                <w:color w:val="000000"/>
                <w:sz w:val="18"/>
                <w:szCs w:val="22"/>
              </w:rPr>
              <w:t>28,332(100%)</w:t>
            </w:r>
          </w:p>
        </w:tc>
      </w:tr>
      <w:tr w:rsidR="00C85FD7" w:rsidRPr="00C85FD7" w:rsidTr="00A377FD">
        <w:trPr>
          <w:trHeight w:val="300"/>
          <w:jc w:val="center"/>
        </w:trPr>
        <w:tc>
          <w:tcPr>
            <w:tcW w:w="772" w:type="pct"/>
            <w:tcBorders>
              <w:top w:val="double" w:sz="4" w:space="0" w:color="auto"/>
              <w:left w:val="single" w:sz="8" w:space="0" w:color="auto"/>
              <w:bottom w:val="single" w:sz="8" w:space="0" w:color="auto"/>
              <w:right w:val="nil"/>
            </w:tcBorders>
            <w:shd w:val="clear" w:color="auto" w:fill="auto"/>
            <w:vAlign w:val="center"/>
          </w:tcPr>
          <w:p w:rsidR="00C85FD7" w:rsidRPr="00C85FD7" w:rsidRDefault="00C85FD7" w:rsidP="00427236">
            <w:pPr>
              <w:rPr>
                <w:rFonts w:ascii="Calibri" w:hAnsi="Calibri" w:cs="Calibri"/>
                <w:b/>
                <w:bCs/>
                <w:color w:val="000000"/>
                <w:sz w:val="18"/>
                <w:szCs w:val="22"/>
              </w:rPr>
            </w:pPr>
            <w:r w:rsidRPr="00C85FD7">
              <w:rPr>
                <w:rFonts w:ascii="Calibri" w:hAnsi="Calibri" w:cs="Calibri"/>
                <w:b/>
                <w:bCs/>
                <w:color w:val="000000"/>
                <w:sz w:val="18"/>
                <w:szCs w:val="22"/>
              </w:rPr>
              <w:t xml:space="preserve">Row totals </w:t>
            </w:r>
          </w:p>
        </w:tc>
        <w:tc>
          <w:tcPr>
            <w:tcW w:w="712" w:type="pct"/>
            <w:tcBorders>
              <w:top w:val="double" w:sz="4" w:space="0" w:color="auto"/>
              <w:left w:val="nil"/>
              <w:bottom w:val="single" w:sz="8" w:space="0" w:color="auto"/>
              <w:right w:val="nil"/>
            </w:tcBorders>
            <w:shd w:val="clear" w:color="auto" w:fill="auto"/>
            <w:noWrap/>
            <w:vAlign w:val="center"/>
          </w:tcPr>
          <w:p w:rsidR="00C85FD7" w:rsidRPr="00C85FD7" w:rsidRDefault="00C85FD7" w:rsidP="00427236">
            <w:pPr>
              <w:rPr>
                <w:rFonts w:ascii="Calibri" w:hAnsi="Calibri" w:cs="Calibri"/>
                <w:color w:val="000000"/>
                <w:sz w:val="18"/>
                <w:szCs w:val="22"/>
              </w:rPr>
            </w:pPr>
            <w:r w:rsidRPr="00C85FD7">
              <w:rPr>
                <w:rFonts w:ascii="Calibri" w:hAnsi="Calibri" w:cs="Calibri"/>
                <w:color w:val="000000"/>
                <w:sz w:val="18"/>
                <w:szCs w:val="22"/>
              </w:rPr>
              <w:t>1,482(43%)</w:t>
            </w:r>
          </w:p>
        </w:tc>
        <w:tc>
          <w:tcPr>
            <w:tcW w:w="610" w:type="pct"/>
            <w:tcBorders>
              <w:top w:val="double" w:sz="4" w:space="0" w:color="auto"/>
              <w:left w:val="nil"/>
              <w:bottom w:val="single" w:sz="8" w:space="0" w:color="auto"/>
              <w:right w:val="nil"/>
            </w:tcBorders>
            <w:shd w:val="clear" w:color="auto" w:fill="auto"/>
            <w:noWrap/>
            <w:vAlign w:val="center"/>
          </w:tcPr>
          <w:p w:rsidR="00C85FD7" w:rsidRPr="00C85FD7" w:rsidRDefault="00C85FD7" w:rsidP="00427236">
            <w:pPr>
              <w:rPr>
                <w:rFonts w:ascii="Calibri" w:hAnsi="Calibri" w:cs="Calibri"/>
                <w:color w:val="000000"/>
                <w:sz w:val="18"/>
                <w:szCs w:val="22"/>
              </w:rPr>
            </w:pPr>
            <w:r w:rsidRPr="00C85FD7">
              <w:rPr>
                <w:rFonts w:ascii="Calibri" w:hAnsi="Calibri" w:cs="Calibri"/>
                <w:color w:val="000000"/>
                <w:sz w:val="18"/>
                <w:szCs w:val="22"/>
              </w:rPr>
              <w:t>188(5%)</w:t>
            </w:r>
          </w:p>
        </w:tc>
        <w:tc>
          <w:tcPr>
            <w:tcW w:w="762" w:type="pct"/>
            <w:tcBorders>
              <w:top w:val="double" w:sz="4" w:space="0" w:color="auto"/>
              <w:left w:val="nil"/>
              <w:bottom w:val="single" w:sz="8" w:space="0" w:color="auto"/>
              <w:right w:val="nil"/>
            </w:tcBorders>
            <w:shd w:val="clear" w:color="auto" w:fill="auto"/>
            <w:noWrap/>
            <w:vAlign w:val="center"/>
          </w:tcPr>
          <w:p w:rsidR="00C85FD7" w:rsidRPr="00C85FD7" w:rsidRDefault="00C85FD7" w:rsidP="00427236">
            <w:pPr>
              <w:rPr>
                <w:rFonts w:ascii="Calibri" w:hAnsi="Calibri" w:cs="Calibri"/>
                <w:color w:val="000000"/>
                <w:sz w:val="18"/>
                <w:szCs w:val="22"/>
              </w:rPr>
            </w:pPr>
            <w:r w:rsidRPr="00C85FD7">
              <w:rPr>
                <w:rFonts w:ascii="Calibri" w:hAnsi="Calibri" w:cs="Calibri"/>
                <w:color w:val="000000"/>
                <w:sz w:val="18"/>
                <w:szCs w:val="22"/>
              </w:rPr>
              <w:t xml:space="preserve">1,811 (52%)   </w:t>
            </w:r>
          </w:p>
        </w:tc>
        <w:tc>
          <w:tcPr>
            <w:tcW w:w="686" w:type="pct"/>
            <w:tcBorders>
              <w:top w:val="double" w:sz="4" w:space="0" w:color="auto"/>
              <w:left w:val="nil"/>
              <w:bottom w:val="single" w:sz="8" w:space="0" w:color="auto"/>
              <w:right w:val="nil"/>
            </w:tcBorders>
            <w:shd w:val="clear" w:color="auto" w:fill="auto"/>
            <w:noWrap/>
            <w:vAlign w:val="center"/>
          </w:tcPr>
          <w:p w:rsidR="00C85FD7" w:rsidRPr="00C85FD7" w:rsidRDefault="00C85FD7" w:rsidP="00427236">
            <w:pPr>
              <w:ind w:left="-576"/>
              <w:rPr>
                <w:rFonts w:ascii="Calibri" w:hAnsi="Calibri" w:cs="Calibri"/>
                <w:b/>
                <w:bCs/>
                <w:color w:val="000000"/>
                <w:sz w:val="18"/>
                <w:szCs w:val="22"/>
              </w:rPr>
            </w:pPr>
            <w:r w:rsidRPr="00C85FD7">
              <w:rPr>
                <w:rFonts w:ascii="Calibri" w:hAnsi="Calibri" w:cs="Calibri"/>
                <w:b/>
                <w:bCs/>
                <w:color w:val="000000"/>
                <w:sz w:val="18"/>
                <w:szCs w:val="22"/>
              </w:rPr>
              <w:t>3,481 3,481 (13%)</w:t>
            </w:r>
          </w:p>
        </w:tc>
        <w:tc>
          <w:tcPr>
            <w:tcW w:w="737" w:type="pct"/>
            <w:tcBorders>
              <w:top w:val="double" w:sz="4" w:space="0" w:color="auto"/>
              <w:left w:val="nil"/>
              <w:bottom w:val="single" w:sz="8" w:space="0" w:color="auto"/>
              <w:right w:val="nil"/>
            </w:tcBorders>
            <w:shd w:val="clear" w:color="auto" w:fill="auto"/>
            <w:noWrap/>
            <w:vAlign w:val="center"/>
          </w:tcPr>
          <w:p w:rsidR="00C85FD7" w:rsidRPr="00C85FD7" w:rsidRDefault="00C85FD7" w:rsidP="00427236">
            <w:pPr>
              <w:rPr>
                <w:rFonts w:ascii="Calibri" w:hAnsi="Calibri" w:cs="Calibri"/>
                <w:b/>
                <w:bCs/>
                <w:color w:val="000000"/>
                <w:sz w:val="18"/>
                <w:szCs w:val="22"/>
              </w:rPr>
            </w:pPr>
            <w:r w:rsidRPr="00C85FD7">
              <w:rPr>
                <w:rFonts w:ascii="Calibri" w:hAnsi="Calibri" w:cs="Calibri"/>
                <w:b/>
                <w:bCs/>
                <w:color w:val="000000"/>
                <w:sz w:val="18"/>
                <w:szCs w:val="22"/>
              </w:rPr>
              <w:t>24,851 (87%)</w:t>
            </w:r>
          </w:p>
        </w:tc>
        <w:tc>
          <w:tcPr>
            <w:tcW w:w="721" w:type="pct"/>
            <w:tcBorders>
              <w:top w:val="double" w:sz="4" w:space="0" w:color="auto"/>
              <w:left w:val="nil"/>
              <w:bottom w:val="single" w:sz="8" w:space="0" w:color="auto"/>
              <w:right w:val="single" w:sz="8" w:space="0" w:color="auto"/>
            </w:tcBorders>
            <w:shd w:val="clear" w:color="auto" w:fill="auto"/>
            <w:vAlign w:val="center"/>
          </w:tcPr>
          <w:p w:rsidR="00C85FD7" w:rsidRPr="00C85FD7" w:rsidRDefault="00C85FD7" w:rsidP="00427236">
            <w:pPr>
              <w:rPr>
                <w:rFonts w:ascii="Calibri" w:hAnsi="Calibri" w:cs="Calibri"/>
                <w:b/>
                <w:bCs/>
                <w:color w:val="000000"/>
                <w:sz w:val="18"/>
                <w:szCs w:val="22"/>
              </w:rPr>
            </w:pPr>
            <w:r w:rsidRPr="00C85FD7">
              <w:rPr>
                <w:rFonts w:ascii="Calibri" w:hAnsi="Calibri" w:cs="Calibri"/>
                <w:b/>
                <w:bCs/>
                <w:color w:val="000000"/>
                <w:sz w:val="18"/>
                <w:szCs w:val="22"/>
              </w:rPr>
              <w:t>28,332 (100%)</w:t>
            </w:r>
          </w:p>
        </w:tc>
      </w:tr>
    </w:tbl>
    <w:p w:rsidR="00C85FD7" w:rsidRPr="000763AE" w:rsidRDefault="00C85FD7" w:rsidP="00B11B34">
      <w:pPr>
        <w:spacing w:after="200" w:line="360" w:lineRule="auto"/>
        <w:jc w:val="both"/>
        <w:rPr>
          <w:rFonts w:eastAsia="Calibri"/>
        </w:rPr>
      </w:pPr>
    </w:p>
    <w:p w:rsidR="00C85FD7" w:rsidRPr="000763AE" w:rsidRDefault="00C85FD7" w:rsidP="00427236">
      <w:pPr>
        <w:spacing w:after="200"/>
        <w:jc w:val="both"/>
        <w:rPr>
          <w:rFonts w:eastAsia="Calibri"/>
        </w:rPr>
      </w:pPr>
      <w:proofErr w:type="gramStart"/>
      <w:r w:rsidRPr="000763AE">
        <w:rPr>
          <w:rFonts w:eastAsia="Calibri"/>
          <w:b/>
        </w:rPr>
        <w:lastRenderedPageBreak/>
        <w:t>Table 4b.</w:t>
      </w:r>
      <w:proofErr w:type="gramEnd"/>
      <w:r w:rsidRPr="000763AE">
        <w:rPr>
          <w:rFonts w:eastAsia="Calibri"/>
        </w:rPr>
        <w:t xml:space="preserve">  Descriptive data for NAMCS 2015 office visits for patients with Type1 Type2, diabetes unspecified, and those without diabetes by patient characteristics.  </w:t>
      </w:r>
    </w:p>
    <w:p w:rsidR="00C85FD7" w:rsidRPr="000763AE" w:rsidRDefault="00C85FD7" w:rsidP="00427236">
      <w:pPr>
        <w:spacing w:after="200"/>
        <w:jc w:val="both"/>
        <w:rPr>
          <w:rFonts w:eastAsia="Calibri"/>
        </w:rPr>
      </w:pPr>
    </w:p>
    <w:tbl>
      <w:tblPr>
        <w:tblW w:w="5000" w:type="pct"/>
        <w:tblLook w:val="04A0" w:firstRow="1" w:lastRow="0" w:firstColumn="1" w:lastColumn="0" w:noHBand="0" w:noVBand="1"/>
      </w:tblPr>
      <w:tblGrid>
        <w:gridCol w:w="508"/>
        <w:gridCol w:w="492"/>
        <w:gridCol w:w="773"/>
        <w:gridCol w:w="780"/>
        <w:gridCol w:w="780"/>
        <w:gridCol w:w="767"/>
        <w:gridCol w:w="873"/>
        <w:gridCol w:w="1059"/>
        <w:gridCol w:w="700"/>
        <w:gridCol w:w="700"/>
        <w:gridCol w:w="714"/>
        <w:gridCol w:w="710"/>
      </w:tblGrid>
      <w:tr w:rsidR="00C85FD7" w:rsidRPr="00C85FD7" w:rsidTr="000763AE">
        <w:trPr>
          <w:trHeight w:val="480"/>
        </w:trPr>
        <w:tc>
          <w:tcPr>
            <w:tcW w:w="258" w:type="pct"/>
            <w:tcBorders>
              <w:top w:val="nil"/>
              <w:left w:val="nil"/>
              <w:bottom w:val="nil"/>
              <w:right w:val="nil"/>
            </w:tcBorders>
            <w:shd w:val="clear" w:color="auto" w:fill="auto"/>
            <w:noWrap/>
            <w:vAlign w:val="bottom"/>
            <w:hideMark/>
          </w:tcPr>
          <w:p w:rsidR="00C85FD7" w:rsidRPr="00C85FD7" w:rsidRDefault="00C85FD7" w:rsidP="00427236">
            <w:pPr>
              <w:jc w:val="both"/>
              <w:rPr>
                <w:rFonts w:ascii="Calibri" w:hAnsi="Calibri" w:cs="Calibri"/>
                <w:sz w:val="17"/>
                <w:szCs w:val="17"/>
              </w:rPr>
            </w:pPr>
          </w:p>
        </w:tc>
        <w:tc>
          <w:tcPr>
            <w:tcW w:w="249" w:type="pct"/>
            <w:tcBorders>
              <w:top w:val="nil"/>
              <w:left w:val="nil"/>
              <w:bottom w:val="nil"/>
              <w:right w:val="nil"/>
            </w:tcBorders>
            <w:shd w:val="clear" w:color="auto" w:fill="auto"/>
            <w:noWrap/>
            <w:vAlign w:val="bottom"/>
            <w:hideMark/>
          </w:tcPr>
          <w:p w:rsidR="00C85FD7" w:rsidRPr="00C85FD7" w:rsidRDefault="00C85FD7" w:rsidP="00427236">
            <w:pPr>
              <w:jc w:val="both"/>
              <w:rPr>
                <w:rFonts w:ascii="Calibri" w:hAnsi="Calibri" w:cs="Calibri"/>
                <w:sz w:val="17"/>
                <w:szCs w:val="17"/>
              </w:rPr>
            </w:pPr>
          </w:p>
        </w:tc>
        <w:tc>
          <w:tcPr>
            <w:tcW w:w="451" w:type="pct"/>
            <w:tcBorders>
              <w:top w:val="single" w:sz="4" w:space="0" w:color="auto"/>
              <w:left w:val="single" w:sz="4" w:space="0" w:color="auto"/>
              <w:bottom w:val="single" w:sz="2"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 xml:space="preserve">No Response </w:t>
            </w:r>
          </w:p>
        </w:tc>
        <w:tc>
          <w:tcPr>
            <w:tcW w:w="419" w:type="pct"/>
            <w:tcBorders>
              <w:top w:val="single" w:sz="4" w:space="0" w:color="auto"/>
              <w:left w:val="nil"/>
              <w:bottom w:val="single" w:sz="2"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Unknown</w:t>
            </w:r>
          </w:p>
        </w:tc>
        <w:tc>
          <w:tcPr>
            <w:tcW w:w="436" w:type="pct"/>
            <w:tcBorders>
              <w:top w:val="single" w:sz="4" w:space="0" w:color="auto"/>
              <w:left w:val="nil"/>
              <w:bottom w:val="single" w:sz="2"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Private insurance</w:t>
            </w:r>
          </w:p>
        </w:tc>
        <w:tc>
          <w:tcPr>
            <w:tcW w:w="484" w:type="pct"/>
            <w:tcBorders>
              <w:top w:val="single" w:sz="4" w:space="0" w:color="auto"/>
              <w:left w:val="nil"/>
              <w:bottom w:val="single" w:sz="2"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 xml:space="preserve"> Medicare</w:t>
            </w:r>
          </w:p>
        </w:tc>
        <w:tc>
          <w:tcPr>
            <w:tcW w:w="533" w:type="pct"/>
            <w:tcBorders>
              <w:top w:val="single" w:sz="4" w:space="0" w:color="auto"/>
              <w:left w:val="nil"/>
              <w:bottom w:val="single" w:sz="2"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Medicaid/ CHIP other state-based program</w:t>
            </w:r>
          </w:p>
        </w:tc>
        <w:tc>
          <w:tcPr>
            <w:tcW w:w="546" w:type="pct"/>
            <w:tcBorders>
              <w:top w:val="single" w:sz="4" w:space="0" w:color="auto"/>
              <w:left w:val="nil"/>
              <w:bottom w:val="single" w:sz="2"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Worker’s Compensation</w:t>
            </w:r>
          </w:p>
        </w:tc>
        <w:tc>
          <w:tcPr>
            <w:tcW w:w="378" w:type="pct"/>
            <w:tcBorders>
              <w:top w:val="single" w:sz="4" w:space="0" w:color="auto"/>
              <w:left w:val="nil"/>
              <w:bottom w:val="single" w:sz="2"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Self-pay</w:t>
            </w:r>
          </w:p>
        </w:tc>
        <w:tc>
          <w:tcPr>
            <w:tcW w:w="371" w:type="pct"/>
            <w:tcBorders>
              <w:top w:val="single" w:sz="4" w:space="0" w:color="auto"/>
              <w:left w:val="nil"/>
              <w:bottom w:val="single" w:sz="2"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No charge/</w:t>
            </w:r>
          </w:p>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charity</w:t>
            </w:r>
          </w:p>
        </w:tc>
        <w:tc>
          <w:tcPr>
            <w:tcW w:w="438" w:type="pct"/>
            <w:tcBorders>
              <w:top w:val="single" w:sz="4" w:space="0" w:color="auto"/>
              <w:left w:val="nil"/>
              <w:bottom w:val="single" w:sz="2"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Other</w:t>
            </w:r>
          </w:p>
        </w:tc>
        <w:tc>
          <w:tcPr>
            <w:tcW w:w="437" w:type="pct"/>
            <w:tcBorders>
              <w:top w:val="single" w:sz="4" w:space="0" w:color="auto"/>
              <w:left w:val="nil"/>
              <w:bottom w:val="single" w:sz="2" w:space="0" w:color="auto"/>
              <w:right w:val="single" w:sz="4" w:space="0" w:color="auto"/>
            </w:tcBorders>
            <w:shd w:val="clear" w:color="auto" w:fill="808080"/>
          </w:tcPr>
          <w:p w:rsidR="00C85FD7" w:rsidRPr="000763AE" w:rsidRDefault="00C85FD7" w:rsidP="00427236">
            <w:pPr>
              <w:jc w:val="both"/>
              <w:rPr>
                <w:rFonts w:ascii="Calibri" w:hAnsi="Calibri" w:cs="Calibri"/>
                <w:b/>
                <w:bCs/>
                <w:color w:val="FFFFFF"/>
                <w:sz w:val="14"/>
                <w:szCs w:val="17"/>
              </w:rPr>
            </w:pPr>
          </w:p>
          <w:p w:rsidR="00C85FD7" w:rsidRPr="000763AE" w:rsidRDefault="00C85FD7" w:rsidP="00427236">
            <w:pPr>
              <w:jc w:val="both"/>
              <w:rPr>
                <w:rFonts w:ascii="Calibri" w:hAnsi="Calibri" w:cs="Calibri"/>
                <w:b/>
                <w:bCs/>
                <w:color w:val="FFFFFF"/>
                <w:sz w:val="14"/>
                <w:szCs w:val="17"/>
              </w:rPr>
            </w:pPr>
            <w:r w:rsidRPr="000763AE">
              <w:rPr>
                <w:rFonts w:ascii="Calibri" w:hAnsi="Calibri" w:cs="Calibri"/>
                <w:b/>
                <w:bCs/>
                <w:color w:val="FFFFFF"/>
                <w:sz w:val="14"/>
                <w:szCs w:val="17"/>
              </w:rPr>
              <w:t>Total</w:t>
            </w:r>
          </w:p>
        </w:tc>
      </w:tr>
      <w:tr w:rsidR="00C85FD7" w:rsidRPr="00C85FD7" w:rsidTr="000763AE">
        <w:trPr>
          <w:trHeight w:val="495"/>
        </w:trPr>
        <w:tc>
          <w:tcPr>
            <w:tcW w:w="508" w:type="pct"/>
            <w:gridSpan w:val="2"/>
            <w:tcBorders>
              <w:top w:val="single" w:sz="4" w:space="0" w:color="auto"/>
              <w:left w:val="single" w:sz="4" w:space="0" w:color="auto"/>
              <w:bottom w:val="single" w:sz="4" w:space="0" w:color="auto"/>
              <w:right w:val="single" w:sz="2"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7"/>
              </w:rPr>
            </w:pPr>
            <w:r w:rsidRPr="000763AE">
              <w:rPr>
                <w:rFonts w:ascii="Calibri" w:hAnsi="Calibri" w:cs="Calibri"/>
                <w:b/>
                <w:bCs/>
                <w:color w:val="FFFFFF"/>
                <w:sz w:val="16"/>
                <w:szCs w:val="17"/>
              </w:rPr>
              <w:t>Diabetes Unspecified (%of All)</w:t>
            </w:r>
          </w:p>
        </w:tc>
        <w:tc>
          <w:tcPr>
            <w:tcW w:w="451" w:type="pct"/>
            <w:tcBorders>
              <w:top w:val="single" w:sz="2" w:space="0" w:color="auto"/>
              <w:left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22</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w:t>
            </w:r>
          </w:p>
        </w:tc>
        <w:tc>
          <w:tcPr>
            <w:tcW w:w="419"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41</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w:t>
            </w:r>
          </w:p>
        </w:tc>
        <w:tc>
          <w:tcPr>
            <w:tcW w:w="436"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486</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w:t>
            </w:r>
          </w:p>
        </w:tc>
        <w:tc>
          <w:tcPr>
            <w:tcW w:w="484"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745</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(7%)</w:t>
            </w:r>
          </w:p>
        </w:tc>
        <w:tc>
          <w:tcPr>
            <w:tcW w:w="533"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135</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w:t>
            </w:r>
          </w:p>
        </w:tc>
        <w:tc>
          <w:tcPr>
            <w:tcW w:w="546"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5</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w:t>
            </w:r>
          </w:p>
        </w:tc>
        <w:tc>
          <w:tcPr>
            <w:tcW w:w="378"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36</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w:t>
            </w:r>
          </w:p>
        </w:tc>
        <w:tc>
          <w:tcPr>
            <w:tcW w:w="371"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w:t>
            </w:r>
          </w:p>
        </w:tc>
        <w:tc>
          <w:tcPr>
            <w:tcW w:w="438" w:type="pct"/>
            <w:tcBorders>
              <w:top w:val="single" w:sz="2" w:space="0" w:color="auto"/>
              <w:right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10</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w:t>
            </w:r>
          </w:p>
        </w:tc>
        <w:tc>
          <w:tcPr>
            <w:tcW w:w="437" w:type="pct"/>
            <w:tcBorders>
              <w:top w:val="single" w:sz="2" w:space="0" w:color="auto"/>
              <w:right w:val="single" w:sz="2" w:space="0" w:color="auto"/>
            </w:tcBorders>
          </w:tcPr>
          <w:p w:rsidR="00C85FD7" w:rsidRPr="00C85FD7" w:rsidRDefault="00C85FD7" w:rsidP="00427236">
            <w:pPr>
              <w:jc w:val="both"/>
              <w:rPr>
                <w:rFonts w:ascii="Calibri" w:hAnsi="Calibri" w:cs="Calibri"/>
                <w:sz w:val="17"/>
                <w:szCs w:val="17"/>
              </w:rPr>
            </w:pP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1,482</w:t>
            </w:r>
          </w:p>
        </w:tc>
      </w:tr>
      <w:tr w:rsidR="00C85FD7" w:rsidRPr="00C85FD7" w:rsidTr="000763AE">
        <w:trPr>
          <w:trHeight w:val="495"/>
        </w:trPr>
        <w:tc>
          <w:tcPr>
            <w:tcW w:w="508" w:type="pct"/>
            <w:gridSpan w:val="2"/>
            <w:tcBorders>
              <w:top w:val="single" w:sz="4" w:space="0" w:color="auto"/>
              <w:left w:val="single" w:sz="4" w:space="0" w:color="auto"/>
              <w:bottom w:val="single" w:sz="4" w:space="0" w:color="auto"/>
              <w:right w:val="single" w:sz="2"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7"/>
              </w:rPr>
            </w:pPr>
            <w:r w:rsidRPr="000763AE">
              <w:rPr>
                <w:rFonts w:ascii="Calibri" w:hAnsi="Calibri" w:cs="Calibri"/>
                <w:b/>
                <w:bCs/>
                <w:color w:val="FFFFFF"/>
                <w:sz w:val="16"/>
                <w:szCs w:val="17"/>
              </w:rPr>
              <w:t>Diabetes 1 (% of All)</w:t>
            </w:r>
          </w:p>
        </w:tc>
        <w:tc>
          <w:tcPr>
            <w:tcW w:w="451" w:type="pct"/>
            <w:tcBorders>
              <w:top w:val="nil"/>
              <w:left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w:t>
            </w:r>
          </w:p>
        </w:tc>
        <w:tc>
          <w:tcPr>
            <w:tcW w:w="419" w:type="pct"/>
            <w:tcBorders>
              <w:top w:val="nil"/>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16</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(16%)</w:t>
            </w:r>
          </w:p>
        </w:tc>
        <w:tc>
          <w:tcPr>
            <w:tcW w:w="436" w:type="pct"/>
            <w:tcBorders>
              <w:top w:val="nil"/>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71</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(&lt;1%)</w:t>
            </w:r>
          </w:p>
        </w:tc>
        <w:tc>
          <w:tcPr>
            <w:tcW w:w="484" w:type="pct"/>
            <w:tcBorders>
              <w:top w:val="nil"/>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70</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w:t>
            </w:r>
          </w:p>
        </w:tc>
        <w:tc>
          <w:tcPr>
            <w:tcW w:w="533" w:type="pct"/>
            <w:tcBorders>
              <w:top w:val="nil"/>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22</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w:t>
            </w:r>
          </w:p>
        </w:tc>
        <w:tc>
          <w:tcPr>
            <w:tcW w:w="546" w:type="pct"/>
            <w:tcBorders>
              <w:top w:val="nil"/>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w:t>
            </w:r>
          </w:p>
        </w:tc>
        <w:tc>
          <w:tcPr>
            <w:tcW w:w="378" w:type="pct"/>
            <w:tcBorders>
              <w:top w:val="nil"/>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(&lt;1%)</w:t>
            </w:r>
          </w:p>
        </w:tc>
        <w:tc>
          <w:tcPr>
            <w:tcW w:w="371" w:type="pct"/>
            <w:tcBorders>
              <w:top w:val="nil"/>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w:t>
            </w:r>
          </w:p>
        </w:tc>
        <w:tc>
          <w:tcPr>
            <w:tcW w:w="438" w:type="pct"/>
            <w:tcBorders>
              <w:top w:val="nil"/>
              <w:right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(&lt;1%)</w:t>
            </w:r>
          </w:p>
        </w:tc>
        <w:tc>
          <w:tcPr>
            <w:tcW w:w="437" w:type="pct"/>
            <w:tcBorders>
              <w:top w:val="nil"/>
              <w:right w:val="single" w:sz="2" w:space="0" w:color="auto"/>
            </w:tcBorders>
          </w:tcPr>
          <w:p w:rsidR="00C85FD7" w:rsidRPr="00C85FD7" w:rsidRDefault="00C85FD7" w:rsidP="00427236">
            <w:pPr>
              <w:jc w:val="both"/>
              <w:rPr>
                <w:rFonts w:ascii="Calibri" w:hAnsi="Calibri" w:cs="Calibri"/>
                <w:sz w:val="17"/>
                <w:szCs w:val="17"/>
              </w:rPr>
            </w:pP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188</w:t>
            </w:r>
          </w:p>
          <w:p w:rsidR="00C85FD7" w:rsidRPr="00C85FD7" w:rsidRDefault="00C85FD7" w:rsidP="00427236">
            <w:pPr>
              <w:jc w:val="both"/>
              <w:rPr>
                <w:rFonts w:ascii="Calibri" w:hAnsi="Calibri" w:cs="Calibri"/>
                <w:sz w:val="17"/>
                <w:szCs w:val="17"/>
              </w:rPr>
            </w:pPr>
          </w:p>
        </w:tc>
      </w:tr>
      <w:tr w:rsidR="00C85FD7" w:rsidRPr="00C85FD7" w:rsidTr="000763AE">
        <w:trPr>
          <w:trHeight w:val="465"/>
        </w:trPr>
        <w:tc>
          <w:tcPr>
            <w:tcW w:w="508" w:type="pct"/>
            <w:gridSpan w:val="2"/>
            <w:tcBorders>
              <w:top w:val="single" w:sz="4" w:space="0" w:color="auto"/>
              <w:left w:val="single" w:sz="4" w:space="0" w:color="auto"/>
              <w:bottom w:val="double" w:sz="4" w:space="0" w:color="auto"/>
              <w:right w:val="single" w:sz="2"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7"/>
              </w:rPr>
            </w:pPr>
            <w:r w:rsidRPr="000763AE">
              <w:rPr>
                <w:rFonts w:ascii="Calibri" w:hAnsi="Calibri" w:cs="Calibri"/>
                <w:b/>
                <w:bCs/>
                <w:color w:val="FFFFFF"/>
                <w:sz w:val="16"/>
                <w:szCs w:val="17"/>
              </w:rPr>
              <w:t>Diabetes 2 (%of All)</w:t>
            </w:r>
          </w:p>
        </w:tc>
        <w:tc>
          <w:tcPr>
            <w:tcW w:w="451" w:type="pct"/>
            <w:tcBorders>
              <w:top w:val="nil"/>
              <w:left w:val="single" w:sz="2" w:space="0" w:color="auto"/>
              <w:bottom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38</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(6%)</w:t>
            </w:r>
          </w:p>
        </w:tc>
        <w:tc>
          <w:tcPr>
            <w:tcW w:w="419" w:type="pct"/>
            <w:tcBorders>
              <w:top w:val="nil"/>
              <w:bottom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79</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(7%)</w:t>
            </w:r>
          </w:p>
        </w:tc>
        <w:tc>
          <w:tcPr>
            <w:tcW w:w="436" w:type="pct"/>
            <w:tcBorders>
              <w:top w:val="nil"/>
              <w:bottom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599</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w:t>
            </w:r>
          </w:p>
        </w:tc>
        <w:tc>
          <w:tcPr>
            <w:tcW w:w="484" w:type="pct"/>
            <w:tcBorders>
              <w:top w:val="nil"/>
              <w:bottom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888</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(9%)</w:t>
            </w:r>
          </w:p>
        </w:tc>
        <w:tc>
          <w:tcPr>
            <w:tcW w:w="533" w:type="pct"/>
            <w:tcBorders>
              <w:top w:val="nil"/>
              <w:bottom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163</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w:t>
            </w:r>
          </w:p>
        </w:tc>
        <w:tc>
          <w:tcPr>
            <w:tcW w:w="546" w:type="pct"/>
            <w:tcBorders>
              <w:top w:val="nil"/>
              <w:bottom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7</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w:t>
            </w:r>
          </w:p>
        </w:tc>
        <w:tc>
          <w:tcPr>
            <w:tcW w:w="378" w:type="pct"/>
            <w:tcBorders>
              <w:top w:val="nil"/>
              <w:bottom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22</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w:t>
            </w:r>
          </w:p>
        </w:tc>
        <w:tc>
          <w:tcPr>
            <w:tcW w:w="371" w:type="pct"/>
            <w:tcBorders>
              <w:top w:val="nil"/>
              <w:bottom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6</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(10%)</w:t>
            </w:r>
          </w:p>
        </w:tc>
        <w:tc>
          <w:tcPr>
            <w:tcW w:w="438" w:type="pct"/>
            <w:tcBorders>
              <w:top w:val="nil"/>
              <w:bottom w:val="single" w:sz="2" w:space="0" w:color="auto"/>
              <w:right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9</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w:t>
            </w:r>
          </w:p>
        </w:tc>
        <w:tc>
          <w:tcPr>
            <w:tcW w:w="437" w:type="pct"/>
            <w:tcBorders>
              <w:top w:val="nil"/>
              <w:bottom w:val="single" w:sz="2" w:space="0" w:color="auto"/>
              <w:right w:val="single" w:sz="2" w:space="0" w:color="auto"/>
            </w:tcBorders>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1,811</w:t>
            </w:r>
          </w:p>
        </w:tc>
      </w:tr>
      <w:tr w:rsidR="00C85FD7" w:rsidRPr="00C85FD7" w:rsidTr="000763AE">
        <w:trPr>
          <w:trHeight w:val="510"/>
        </w:trPr>
        <w:tc>
          <w:tcPr>
            <w:tcW w:w="508" w:type="pct"/>
            <w:gridSpan w:val="2"/>
            <w:tcBorders>
              <w:top w:val="double" w:sz="4" w:space="0" w:color="auto"/>
              <w:left w:val="single" w:sz="4" w:space="0" w:color="auto"/>
              <w:bottom w:val="single" w:sz="4" w:space="0" w:color="auto"/>
              <w:right w:val="single" w:sz="2"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7"/>
              </w:rPr>
            </w:pPr>
            <w:r w:rsidRPr="000763AE">
              <w:rPr>
                <w:rFonts w:ascii="Calibri" w:hAnsi="Calibri" w:cs="Calibri"/>
                <w:b/>
                <w:bCs/>
                <w:color w:val="FFFFFF"/>
                <w:sz w:val="16"/>
                <w:szCs w:val="17"/>
              </w:rPr>
              <w:t>All Diabetes (% of Total)</w:t>
            </w:r>
          </w:p>
        </w:tc>
        <w:tc>
          <w:tcPr>
            <w:tcW w:w="451" w:type="pct"/>
            <w:tcBorders>
              <w:top w:val="single" w:sz="2" w:space="0" w:color="auto"/>
              <w:left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64</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(11%)</w:t>
            </w:r>
          </w:p>
        </w:tc>
        <w:tc>
          <w:tcPr>
            <w:tcW w:w="419"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136</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(15%)</w:t>
            </w:r>
          </w:p>
        </w:tc>
        <w:tc>
          <w:tcPr>
            <w:tcW w:w="436"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 xml:space="preserve">1,156 </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w:t>
            </w:r>
          </w:p>
        </w:tc>
        <w:tc>
          <w:tcPr>
            <w:tcW w:w="484"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1,703</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(20%)</w:t>
            </w:r>
          </w:p>
        </w:tc>
        <w:tc>
          <w:tcPr>
            <w:tcW w:w="533"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320</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(9%)</w:t>
            </w:r>
          </w:p>
        </w:tc>
        <w:tc>
          <w:tcPr>
            <w:tcW w:w="546"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13</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w:t>
            </w:r>
          </w:p>
        </w:tc>
        <w:tc>
          <w:tcPr>
            <w:tcW w:w="378"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60</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(7%)</w:t>
            </w:r>
          </w:p>
        </w:tc>
        <w:tc>
          <w:tcPr>
            <w:tcW w:w="371" w:type="pct"/>
            <w:tcBorders>
              <w:top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9</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(17%)</w:t>
            </w:r>
          </w:p>
        </w:tc>
        <w:tc>
          <w:tcPr>
            <w:tcW w:w="438" w:type="pct"/>
            <w:tcBorders>
              <w:top w:val="single" w:sz="2" w:space="0" w:color="auto"/>
              <w:right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20</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w:t>
            </w:r>
          </w:p>
        </w:tc>
        <w:tc>
          <w:tcPr>
            <w:tcW w:w="437" w:type="pct"/>
            <w:tcBorders>
              <w:top w:val="single" w:sz="2" w:space="0" w:color="auto"/>
              <w:right w:val="single" w:sz="2" w:space="0" w:color="auto"/>
            </w:tcBorders>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3,481</w:t>
            </w:r>
          </w:p>
        </w:tc>
      </w:tr>
      <w:tr w:rsidR="00C85FD7" w:rsidRPr="00C85FD7" w:rsidTr="000763AE">
        <w:trPr>
          <w:trHeight w:val="525"/>
        </w:trPr>
        <w:tc>
          <w:tcPr>
            <w:tcW w:w="508" w:type="pct"/>
            <w:gridSpan w:val="2"/>
            <w:tcBorders>
              <w:top w:val="single" w:sz="4" w:space="0" w:color="auto"/>
              <w:left w:val="single" w:sz="4" w:space="0" w:color="auto"/>
              <w:bottom w:val="single" w:sz="12" w:space="0" w:color="auto"/>
              <w:right w:val="single" w:sz="2"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7"/>
              </w:rPr>
            </w:pPr>
            <w:r w:rsidRPr="000763AE">
              <w:rPr>
                <w:rFonts w:ascii="Calibri" w:hAnsi="Calibri" w:cs="Calibri"/>
                <w:b/>
                <w:bCs/>
                <w:color w:val="FFFFFF"/>
                <w:sz w:val="16"/>
                <w:szCs w:val="17"/>
              </w:rPr>
              <w:t>No Diabetes (% of Total)</w:t>
            </w:r>
          </w:p>
        </w:tc>
        <w:tc>
          <w:tcPr>
            <w:tcW w:w="451" w:type="pct"/>
            <w:tcBorders>
              <w:top w:val="nil"/>
              <w:left w:val="single" w:sz="2" w:space="0" w:color="auto"/>
              <w:bottom w:val="single" w:sz="1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503</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(89%)</w:t>
            </w:r>
          </w:p>
        </w:tc>
        <w:tc>
          <w:tcPr>
            <w:tcW w:w="419" w:type="pct"/>
            <w:tcBorders>
              <w:top w:val="nil"/>
              <w:bottom w:val="single" w:sz="1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785</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(85%)</w:t>
            </w:r>
          </w:p>
        </w:tc>
        <w:tc>
          <w:tcPr>
            <w:tcW w:w="436" w:type="pct"/>
            <w:tcBorders>
              <w:top w:val="nil"/>
              <w:bottom w:val="single" w:sz="1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12,588</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(82%)</w:t>
            </w:r>
          </w:p>
        </w:tc>
        <w:tc>
          <w:tcPr>
            <w:tcW w:w="484" w:type="pct"/>
            <w:tcBorders>
              <w:top w:val="nil"/>
              <w:bottom w:val="single" w:sz="1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6,625</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(80%)</w:t>
            </w:r>
          </w:p>
        </w:tc>
        <w:tc>
          <w:tcPr>
            <w:tcW w:w="533" w:type="pct"/>
            <w:tcBorders>
              <w:top w:val="nil"/>
              <w:bottom w:val="single" w:sz="1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3,148</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(91%)</w:t>
            </w:r>
          </w:p>
        </w:tc>
        <w:tc>
          <w:tcPr>
            <w:tcW w:w="546" w:type="pct"/>
            <w:tcBorders>
              <w:top w:val="nil"/>
              <w:bottom w:val="single" w:sz="1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150</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(82%)</w:t>
            </w:r>
          </w:p>
        </w:tc>
        <w:tc>
          <w:tcPr>
            <w:tcW w:w="378" w:type="pct"/>
            <w:tcBorders>
              <w:top w:val="nil"/>
              <w:bottom w:val="single" w:sz="1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 xml:space="preserve">774 </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(93%)</w:t>
            </w:r>
          </w:p>
        </w:tc>
        <w:tc>
          <w:tcPr>
            <w:tcW w:w="371" w:type="pct"/>
            <w:tcBorders>
              <w:top w:val="nil"/>
              <w:bottom w:val="single" w:sz="1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45</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(83%)</w:t>
            </w:r>
          </w:p>
        </w:tc>
        <w:tc>
          <w:tcPr>
            <w:tcW w:w="438" w:type="pct"/>
            <w:tcBorders>
              <w:top w:val="nil"/>
              <w:bottom w:val="single" w:sz="12" w:space="0" w:color="auto"/>
              <w:right w:val="single" w:sz="2" w:space="0" w:color="auto"/>
            </w:tcBorders>
            <w:shd w:val="clear" w:color="auto" w:fill="auto"/>
            <w:noWrap/>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233</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(92%)</w:t>
            </w:r>
          </w:p>
        </w:tc>
        <w:tc>
          <w:tcPr>
            <w:tcW w:w="437" w:type="pct"/>
            <w:tcBorders>
              <w:top w:val="nil"/>
              <w:bottom w:val="single" w:sz="12" w:space="0" w:color="auto"/>
              <w:right w:val="single" w:sz="2" w:space="0" w:color="auto"/>
            </w:tcBorders>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24,851</w:t>
            </w:r>
          </w:p>
        </w:tc>
      </w:tr>
      <w:tr w:rsidR="00C85FD7" w:rsidRPr="00C85FD7" w:rsidTr="000763AE">
        <w:trPr>
          <w:trHeight w:val="480"/>
        </w:trPr>
        <w:tc>
          <w:tcPr>
            <w:tcW w:w="508" w:type="pct"/>
            <w:gridSpan w:val="2"/>
            <w:tcBorders>
              <w:top w:val="single" w:sz="12" w:space="0" w:color="auto"/>
              <w:left w:val="single" w:sz="4" w:space="0" w:color="auto"/>
              <w:bottom w:val="single" w:sz="12" w:space="0" w:color="auto"/>
              <w:right w:val="single" w:sz="2"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7"/>
              </w:rPr>
            </w:pPr>
            <w:r w:rsidRPr="000763AE">
              <w:rPr>
                <w:rFonts w:ascii="Calibri" w:hAnsi="Calibri" w:cs="Calibri"/>
                <w:b/>
                <w:bCs/>
                <w:color w:val="FFFFFF"/>
                <w:sz w:val="16"/>
                <w:szCs w:val="17"/>
              </w:rPr>
              <w:t xml:space="preserve">Total </w:t>
            </w:r>
          </w:p>
        </w:tc>
        <w:tc>
          <w:tcPr>
            <w:tcW w:w="451" w:type="pct"/>
            <w:tcBorders>
              <w:top w:val="single" w:sz="12" w:space="0" w:color="auto"/>
              <w:left w:val="single" w:sz="2" w:space="0" w:color="auto"/>
              <w:bottom w:val="single" w:sz="12" w:space="0" w:color="auto"/>
            </w:tcBorders>
            <w:shd w:val="clear" w:color="auto" w:fill="auto"/>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567</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(100%)</w:t>
            </w:r>
          </w:p>
        </w:tc>
        <w:tc>
          <w:tcPr>
            <w:tcW w:w="419" w:type="pct"/>
            <w:tcBorders>
              <w:top w:val="single" w:sz="12" w:space="0" w:color="auto"/>
              <w:bottom w:val="single" w:sz="12" w:space="0" w:color="auto"/>
            </w:tcBorders>
            <w:shd w:val="clear" w:color="auto" w:fill="auto"/>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921 (100%)</w:t>
            </w:r>
          </w:p>
        </w:tc>
        <w:tc>
          <w:tcPr>
            <w:tcW w:w="436" w:type="pct"/>
            <w:tcBorders>
              <w:top w:val="single" w:sz="12" w:space="0" w:color="auto"/>
              <w:bottom w:val="single" w:sz="12" w:space="0" w:color="auto"/>
            </w:tcBorders>
            <w:shd w:val="clear" w:color="auto" w:fill="auto"/>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13,744</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(100%)</w:t>
            </w:r>
          </w:p>
        </w:tc>
        <w:tc>
          <w:tcPr>
            <w:tcW w:w="484" w:type="pct"/>
            <w:tcBorders>
              <w:top w:val="single" w:sz="12" w:space="0" w:color="auto"/>
              <w:bottom w:val="single" w:sz="12" w:space="0" w:color="auto"/>
            </w:tcBorders>
            <w:shd w:val="clear" w:color="auto" w:fill="auto"/>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8,328</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(100%)</w:t>
            </w:r>
          </w:p>
        </w:tc>
        <w:tc>
          <w:tcPr>
            <w:tcW w:w="533" w:type="pct"/>
            <w:tcBorders>
              <w:top w:val="single" w:sz="12" w:space="0" w:color="auto"/>
              <w:bottom w:val="single" w:sz="12" w:space="0" w:color="auto"/>
            </w:tcBorders>
            <w:shd w:val="clear" w:color="auto" w:fill="auto"/>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3,468</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 xml:space="preserve"> (100%)</w:t>
            </w:r>
          </w:p>
        </w:tc>
        <w:tc>
          <w:tcPr>
            <w:tcW w:w="546" w:type="pct"/>
            <w:tcBorders>
              <w:top w:val="single" w:sz="12" w:space="0" w:color="auto"/>
              <w:bottom w:val="single" w:sz="12" w:space="0" w:color="auto"/>
            </w:tcBorders>
            <w:shd w:val="clear" w:color="auto" w:fill="auto"/>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163</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(100%)</w:t>
            </w:r>
          </w:p>
        </w:tc>
        <w:tc>
          <w:tcPr>
            <w:tcW w:w="378" w:type="pct"/>
            <w:tcBorders>
              <w:top w:val="single" w:sz="12" w:space="0" w:color="auto"/>
              <w:bottom w:val="single" w:sz="12" w:space="0" w:color="auto"/>
            </w:tcBorders>
            <w:shd w:val="clear" w:color="auto" w:fill="auto"/>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834</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(100%)</w:t>
            </w:r>
          </w:p>
        </w:tc>
        <w:tc>
          <w:tcPr>
            <w:tcW w:w="371" w:type="pct"/>
            <w:tcBorders>
              <w:top w:val="single" w:sz="12" w:space="0" w:color="auto"/>
              <w:bottom w:val="single" w:sz="12" w:space="0" w:color="auto"/>
            </w:tcBorders>
            <w:shd w:val="clear" w:color="auto" w:fill="auto"/>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54</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(100%)</w:t>
            </w:r>
          </w:p>
        </w:tc>
        <w:tc>
          <w:tcPr>
            <w:tcW w:w="438" w:type="pct"/>
            <w:tcBorders>
              <w:top w:val="single" w:sz="12" w:space="0" w:color="auto"/>
              <w:bottom w:val="single" w:sz="12" w:space="0" w:color="auto"/>
              <w:right w:val="single" w:sz="2" w:space="0" w:color="auto"/>
            </w:tcBorders>
            <w:shd w:val="clear" w:color="auto" w:fill="auto"/>
            <w:vAlign w:val="center"/>
            <w:hideMark/>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253</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(100%)</w:t>
            </w:r>
          </w:p>
        </w:tc>
        <w:tc>
          <w:tcPr>
            <w:tcW w:w="437" w:type="pct"/>
            <w:tcBorders>
              <w:top w:val="single" w:sz="12" w:space="0" w:color="auto"/>
              <w:bottom w:val="single" w:sz="12" w:space="0" w:color="auto"/>
              <w:right w:val="single" w:sz="2" w:space="0" w:color="auto"/>
            </w:tcBorders>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28,332</w:t>
            </w:r>
          </w:p>
        </w:tc>
      </w:tr>
      <w:tr w:rsidR="00C85FD7" w:rsidRPr="00C85FD7" w:rsidTr="000763AE">
        <w:trPr>
          <w:trHeight w:val="480"/>
        </w:trPr>
        <w:tc>
          <w:tcPr>
            <w:tcW w:w="508" w:type="pct"/>
            <w:gridSpan w:val="2"/>
            <w:tcBorders>
              <w:top w:val="single" w:sz="12" w:space="0" w:color="auto"/>
              <w:left w:val="single" w:sz="4" w:space="0" w:color="auto"/>
              <w:bottom w:val="single" w:sz="4" w:space="0" w:color="auto"/>
              <w:right w:val="single" w:sz="2" w:space="0" w:color="auto"/>
            </w:tcBorders>
            <w:shd w:val="clear" w:color="auto" w:fill="808080"/>
            <w:vAlign w:val="center"/>
          </w:tcPr>
          <w:p w:rsidR="00C85FD7" w:rsidRPr="000763AE" w:rsidRDefault="00C85FD7" w:rsidP="00427236">
            <w:pPr>
              <w:jc w:val="both"/>
              <w:rPr>
                <w:rFonts w:ascii="Calibri" w:hAnsi="Calibri" w:cs="Calibri"/>
                <w:b/>
                <w:bCs/>
                <w:color w:val="FFFFFF"/>
                <w:sz w:val="16"/>
                <w:szCs w:val="17"/>
              </w:rPr>
            </w:pPr>
            <w:r w:rsidRPr="000763AE">
              <w:rPr>
                <w:rFonts w:ascii="Calibri" w:hAnsi="Calibri" w:cs="Calibri"/>
                <w:b/>
                <w:bCs/>
                <w:color w:val="FFFFFF"/>
                <w:sz w:val="16"/>
                <w:szCs w:val="17"/>
              </w:rPr>
              <w:t>Row Totals</w:t>
            </w:r>
          </w:p>
        </w:tc>
        <w:tc>
          <w:tcPr>
            <w:tcW w:w="451" w:type="pct"/>
            <w:tcBorders>
              <w:top w:val="single" w:sz="12" w:space="0" w:color="auto"/>
              <w:left w:val="single" w:sz="2" w:space="0" w:color="auto"/>
              <w:bottom w:val="single" w:sz="2" w:space="0" w:color="auto"/>
            </w:tcBorders>
            <w:shd w:val="clear" w:color="auto" w:fill="auto"/>
            <w:vAlign w:val="center"/>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567</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 xml:space="preserve"> (2%)        </w:t>
            </w:r>
          </w:p>
        </w:tc>
        <w:tc>
          <w:tcPr>
            <w:tcW w:w="419" w:type="pct"/>
            <w:tcBorders>
              <w:top w:val="single" w:sz="12" w:space="0" w:color="auto"/>
              <w:bottom w:val="single" w:sz="2" w:space="0" w:color="auto"/>
            </w:tcBorders>
            <w:shd w:val="clear" w:color="auto" w:fill="auto"/>
            <w:vAlign w:val="center"/>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921</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 xml:space="preserve"> (4%)        </w:t>
            </w:r>
          </w:p>
        </w:tc>
        <w:tc>
          <w:tcPr>
            <w:tcW w:w="436" w:type="pct"/>
            <w:tcBorders>
              <w:top w:val="single" w:sz="12" w:space="0" w:color="auto"/>
              <w:bottom w:val="single" w:sz="2" w:space="0" w:color="auto"/>
            </w:tcBorders>
            <w:shd w:val="clear" w:color="auto" w:fill="auto"/>
            <w:vAlign w:val="center"/>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13,744</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(53%)</w:t>
            </w:r>
          </w:p>
        </w:tc>
        <w:tc>
          <w:tcPr>
            <w:tcW w:w="484" w:type="pct"/>
            <w:tcBorders>
              <w:top w:val="single" w:sz="12" w:space="0" w:color="auto"/>
              <w:bottom w:val="single" w:sz="2" w:space="0" w:color="auto"/>
            </w:tcBorders>
            <w:shd w:val="clear" w:color="auto" w:fill="auto"/>
            <w:vAlign w:val="center"/>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8,328</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(29%)</w:t>
            </w:r>
          </w:p>
        </w:tc>
        <w:tc>
          <w:tcPr>
            <w:tcW w:w="533" w:type="pct"/>
            <w:tcBorders>
              <w:top w:val="single" w:sz="12" w:space="0" w:color="auto"/>
              <w:bottom w:val="single" w:sz="2" w:space="0" w:color="auto"/>
            </w:tcBorders>
            <w:shd w:val="clear" w:color="auto" w:fill="auto"/>
            <w:vAlign w:val="center"/>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3,468</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(12%)</w:t>
            </w:r>
          </w:p>
        </w:tc>
        <w:tc>
          <w:tcPr>
            <w:tcW w:w="546" w:type="pct"/>
            <w:tcBorders>
              <w:top w:val="single" w:sz="12" w:space="0" w:color="auto"/>
              <w:bottom w:val="single" w:sz="2" w:space="0" w:color="auto"/>
            </w:tcBorders>
            <w:shd w:val="clear" w:color="auto" w:fill="auto"/>
            <w:vAlign w:val="center"/>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163</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w:t>
            </w:r>
          </w:p>
        </w:tc>
        <w:tc>
          <w:tcPr>
            <w:tcW w:w="378" w:type="pct"/>
            <w:tcBorders>
              <w:top w:val="single" w:sz="12" w:space="0" w:color="auto"/>
              <w:bottom w:val="single" w:sz="2" w:space="0" w:color="auto"/>
            </w:tcBorders>
            <w:shd w:val="clear" w:color="auto" w:fill="auto"/>
            <w:vAlign w:val="center"/>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834</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(3%)</w:t>
            </w:r>
          </w:p>
        </w:tc>
        <w:tc>
          <w:tcPr>
            <w:tcW w:w="371" w:type="pct"/>
            <w:tcBorders>
              <w:top w:val="single" w:sz="12" w:space="0" w:color="auto"/>
              <w:bottom w:val="single" w:sz="2" w:space="0" w:color="auto"/>
            </w:tcBorders>
            <w:shd w:val="clear" w:color="auto" w:fill="auto"/>
            <w:vAlign w:val="center"/>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54</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(&lt;1%)</w:t>
            </w:r>
          </w:p>
        </w:tc>
        <w:tc>
          <w:tcPr>
            <w:tcW w:w="438" w:type="pct"/>
            <w:tcBorders>
              <w:top w:val="single" w:sz="12" w:space="0" w:color="auto"/>
              <w:bottom w:val="single" w:sz="2" w:space="0" w:color="auto"/>
              <w:right w:val="single" w:sz="2" w:space="0" w:color="auto"/>
            </w:tcBorders>
            <w:shd w:val="clear" w:color="auto" w:fill="auto"/>
            <w:vAlign w:val="center"/>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253</w:t>
            </w:r>
          </w:p>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(1%)</w:t>
            </w:r>
          </w:p>
        </w:tc>
        <w:tc>
          <w:tcPr>
            <w:tcW w:w="437" w:type="pct"/>
            <w:tcBorders>
              <w:top w:val="single" w:sz="12" w:space="0" w:color="auto"/>
              <w:bottom w:val="single" w:sz="2" w:space="0" w:color="auto"/>
              <w:right w:val="single" w:sz="2" w:space="0" w:color="auto"/>
            </w:tcBorders>
          </w:tcPr>
          <w:p w:rsidR="00C85FD7" w:rsidRPr="00C85FD7" w:rsidRDefault="00C85FD7" w:rsidP="00427236">
            <w:pPr>
              <w:jc w:val="both"/>
              <w:rPr>
                <w:rFonts w:ascii="Calibri" w:hAnsi="Calibri" w:cs="Calibri"/>
                <w:sz w:val="17"/>
                <w:szCs w:val="17"/>
              </w:rPr>
            </w:pPr>
            <w:r w:rsidRPr="00C85FD7">
              <w:rPr>
                <w:rFonts w:ascii="Calibri" w:hAnsi="Calibri" w:cs="Calibri"/>
                <w:sz w:val="17"/>
                <w:szCs w:val="17"/>
              </w:rPr>
              <w:t>28,332</w:t>
            </w:r>
          </w:p>
        </w:tc>
      </w:tr>
    </w:tbl>
    <w:p w:rsidR="00C85FD7" w:rsidRPr="000763AE" w:rsidRDefault="00C85FD7" w:rsidP="00427236">
      <w:pPr>
        <w:spacing w:after="200"/>
        <w:jc w:val="both"/>
        <w:rPr>
          <w:rFonts w:eastAsia="Calibri"/>
          <w:b/>
        </w:rPr>
      </w:pPr>
    </w:p>
    <w:p w:rsidR="00C85FD7" w:rsidRPr="000763AE" w:rsidRDefault="00C85FD7" w:rsidP="00427236">
      <w:pPr>
        <w:spacing w:after="200"/>
        <w:jc w:val="both"/>
        <w:rPr>
          <w:rFonts w:eastAsia="Calibri"/>
          <w:b/>
        </w:rPr>
      </w:pPr>
    </w:p>
    <w:p w:rsidR="00C85FD7" w:rsidRPr="000763AE" w:rsidRDefault="00C85FD7" w:rsidP="00427236">
      <w:pPr>
        <w:spacing w:after="200"/>
        <w:jc w:val="both"/>
        <w:rPr>
          <w:rFonts w:eastAsia="Calibri"/>
          <w:b/>
        </w:rPr>
      </w:pPr>
    </w:p>
    <w:p w:rsidR="00C85FD7" w:rsidRPr="000763AE" w:rsidRDefault="00C85FD7" w:rsidP="00427236">
      <w:pPr>
        <w:spacing w:after="200"/>
        <w:jc w:val="both"/>
        <w:rPr>
          <w:rFonts w:eastAsia="Calibri"/>
          <w:b/>
        </w:rPr>
      </w:pPr>
      <w:proofErr w:type="gramStart"/>
      <w:r w:rsidRPr="000763AE">
        <w:rPr>
          <w:rFonts w:eastAsia="Calibri"/>
          <w:b/>
        </w:rPr>
        <w:t>Table 5a.</w:t>
      </w:r>
      <w:proofErr w:type="gramEnd"/>
      <w:r w:rsidRPr="000763AE">
        <w:rPr>
          <w:rFonts w:eastAsia="Calibri"/>
        </w:rPr>
        <w:t xml:space="preserve"> Descriptive data for provider types for NAMCS 2015 office visits for patients with Type1, Type2, and diabetes unspecified.</w:t>
      </w:r>
    </w:p>
    <w:p w:rsidR="00C85FD7" w:rsidRPr="000763AE" w:rsidRDefault="008252AC" w:rsidP="00427236">
      <w:pPr>
        <w:spacing w:after="200"/>
        <w:jc w:val="both"/>
        <w:rPr>
          <w:rFonts w:eastAsia="Calibri"/>
        </w:rPr>
      </w:pPr>
      <w:r>
        <w:rPr>
          <w:noProof/>
        </w:rPr>
        <mc:AlternateContent>
          <mc:Choice Requires="wpg">
            <w:drawing>
              <wp:anchor distT="0" distB="0" distL="114300" distR="114300" simplePos="0" relativeHeight="251658752" behindDoc="0" locked="0" layoutInCell="1" allowOverlap="1">
                <wp:simplePos x="0" y="0"/>
                <wp:positionH relativeFrom="column">
                  <wp:posOffset>1408430</wp:posOffset>
                </wp:positionH>
                <wp:positionV relativeFrom="paragraph">
                  <wp:posOffset>10160</wp:posOffset>
                </wp:positionV>
                <wp:extent cx="2442210" cy="414655"/>
                <wp:effectExtent l="0" t="0" r="15240" b="23495"/>
                <wp:wrapNone/>
                <wp:docPr id="17"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42210" cy="414655"/>
                          <a:chOff x="0" y="0"/>
                          <a:chExt cx="2442210" cy="414740"/>
                        </a:xfrm>
                      </wpg:grpSpPr>
                      <wps:wsp>
                        <wps:cNvPr id="18" name="Right Brace 12"/>
                        <wps:cNvSpPr/>
                        <wps:spPr>
                          <a:xfrm rot="5400000" flipH="1">
                            <a:off x="1120140" y="-907330"/>
                            <a:ext cx="201930" cy="2442210"/>
                          </a:xfrm>
                          <a:prstGeom prst="rightBrace">
                            <a:avLst/>
                          </a:prstGeom>
                          <a:noFill/>
                          <a:ln w="9525" cap="flat" cmpd="sng" algn="ctr">
                            <a:solidFill>
                              <a:sysClr val="window" lastClr="FFFFFF">
                                <a:lumMod val="6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Text Box 11"/>
                        <wps:cNvSpPr txBox="1"/>
                        <wps:spPr>
                          <a:xfrm>
                            <a:off x="509755" y="0"/>
                            <a:ext cx="1414021" cy="246380"/>
                          </a:xfrm>
                          <a:prstGeom prst="rect">
                            <a:avLst/>
                          </a:prstGeom>
                          <a:noFill/>
                          <a:ln w="9525" cmpd="sng">
                            <a:noFill/>
                          </a:ln>
                          <a:effectLst/>
                        </wps:spPr>
                        <wps:txbx>
                          <w:txbxContent>
                            <w:p w:rsidR="0003598B" w:rsidRPr="00CB5CB3" w:rsidRDefault="0003598B" w:rsidP="00C85FD7">
                              <w:pPr>
                                <w:pStyle w:val="NormalWeb"/>
                                <w:spacing w:before="0" w:beforeAutospacing="0" w:after="0" w:afterAutospacing="0"/>
                                <w:jc w:val="center"/>
                                <w:rPr>
                                  <w:sz w:val="20"/>
                                </w:rPr>
                              </w:pPr>
                              <w:r w:rsidRPr="000763AE">
                                <w:rPr>
                                  <w:rFonts w:ascii="Calibri" w:hAnsi="Calibri"/>
                                  <w:b/>
                                  <w:bCs/>
                                  <w:color w:val="404040"/>
                                  <w:sz w:val="18"/>
                                  <w:szCs w:val="22"/>
                                </w:rPr>
                                <w:t>All Diabetes Breakdowns</w:t>
                              </w:r>
                            </w:p>
                          </w:txbxContent>
                        </wps:txbx>
                        <wps:bodyPr vertOverflow="clip" horzOverflow="clip" wrap="square" rtlCol="0" anchor="t">
                          <a:noAutofit/>
                        </wps:bodyPr>
                      </wps:wsp>
                    </wpg:wgp>
                  </a:graphicData>
                </a:graphic>
                <wp14:sizeRelH relativeFrom="page">
                  <wp14:pctWidth>0</wp14:pctWidth>
                </wp14:sizeRelH>
                <wp14:sizeRelV relativeFrom="page">
                  <wp14:pctHeight>0</wp14:pctHeight>
                </wp14:sizeRelV>
              </wp:anchor>
            </w:drawing>
          </mc:Choice>
          <mc:Fallback>
            <w:pict>
              <v:group id="Group 15" o:spid="_x0000_s1029" style="position:absolute;left:0;text-align:left;margin-left:110.9pt;margin-top:.8pt;width:192.3pt;height:32.65pt;z-index:251658752" coordsize="24422,4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&#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2" o:spid="_x0000_s1030" type="#_x0000_t88" style="position:absolute;left:11201;top:-9073;width:2019;height:24422;rotation:-9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b6cYA&#10;AADbAAAADwAAAGRycy9kb3ducmV2LnhtbESPQWvCQBCF74X+h2UKXkrdtEhboqsUS6EUBTVCPQ7Z&#10;aZI2Oxt21xj/vXMoeJvhvXnvm9licK3qKcTGs4HHcQaKuPS24crAvvh4eAUVE7LF1jMZOFOExfz2&#10;Zoa59SfeUr9LlZIQjjkaqFPqcq1jWZPDOPYdsWg/PjhMsoZK24AnCXetfsqyZ+2wYWmosaNlTeXf&#10;7ugMrLLJvth8Hdwal++b9ffLb38fCmNGd8PbFFSiIV3N/9efVvAFVn6RAfT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b6cYAAADbAAAADwAAAAAAAAAAAAAAAACYAgAAZHJz&#10;L2Rvd25yZXYueG1sUEsFBgAAAAAEAAQA9QAAAIsDAAAAAA==&#10;" adj="149" strokecolor="#a6a6a6"/>
                <v:shape id="Text Box 11" o:spid="_x0000_s1031" type="#_x0000_t202" style="position:absolute;left:5097;width:14140;height:2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rsidR="0003598B" w:rsidRPr="00CB5CB3" w:rsidRDefault="0003598B" w:rsidP="00C85FD7">
                        <w:pPr>
                          <w:pStyle w:val="NormalWeb"/>
                          <w:spacing w:before="0" w:beforeAutospacing="0" w:after="0" w:afterAutospacing="0"/>
                          <w:jc w:val="center"/>
                          <w:rPr>
                            <w:sz w:val="20"/>
                          </w:rPr>
                        </w:pPr>
                        <w:r w:rsidRPr="000763AE">
                          <w:rPr>
                            <w:rFonts w:ascii="Calibri" w:hAnsi="Calibri"/>
                            <w:b/>
                            <w:bCs/>
                            <w:color w:val="404040"/>
                            <w:sz w:val="18"/>
                            <w:szCs w:val="22"/>
                          </w:rPr>
                          <w:t>All Diabetes Breakdowns</w:t>
                        </w:r>
                      </w:p>
                    </w:txbxContent>
                  </v:textbox>
                </v:shape>
              </v:group>
            </w:pict>
          </mc:Fallback>
        </mc:AlternateContent>
      </w:r>
    </w:p>
    <w:p w:rsidR="00C85FD7" w:rsidRPr="000763AE" w:rsidRDefault="00C85FD7" w:rsidP="00427236">
      <w:pPr>
        <w:spacing w:after="200"/>
        <w:jc w:val="both"/>
        <w:rPr>
          <w:rFonts w:eastAsia="Calibri"/>
        </w:rPr>
      </w:pPr>
    </w:p>
    <w:tbl>
      <w:tblPr>
        <w:tblW w:w="4990" w:type="pct"/>
        <w:jc w:val="center"/>
        <w:tblLayout w:type="fixed"/>
        <w:tblLook w:val="04A0" w:firstRow="1" w:lastRow="0" w:firstColumn="1" w:lastColumn="0" w:noHBand="0" w:noVBand="1"/>
      </w:tblPr>
      <w:tblGrid>
        <w:gridCol w:w="1630"/>
        <w:gridCol w:w="1630"/>
        <w:gridCol w:w="1529"/>
        <w:gridCol w:w="652"/>
        <w:gridCol w:w="1147"/>
        <w:gridCol w:w="2250"/>
      </w:tblGrid>
      <w:tr w:rsidR="00C85FD7" w:rsidRPr="00C85FD7" w:rsidTr="006D1C17">
        <w:trPr>
          <w:trHeight w:val="315"/>
          <w:jc w:val="center"/>
        </w:trPr>
        <w:tc>
          <w:tcPr>
            <w:tcW w:w="922" w:type="pct"/>
            <w:tcBorders>
              <w:top w:val="single" w:sz="4" w:space="0" w:color="auto"/>
              <w:left w:val="single" w:sz="4" w:space="0" w:color="auto"/>
              <w:bottom w:val="single" w:sz="8" w:space="0" w:color="auto"/>
            </w:tcBorders>
            <w:shd w:val="clear" w:color="auto" w:fill="808080"/>
            <w:vAlign w:val="center"/>
            <w:hideMark/>
          </w:tcPr>
          <w:p w:rsidR="00C85FD7" w:rsidRPr="000763AE" w:rsidRDefault="00C85FD7" w:rsidP="00427236">
            <w:pPr>
              <w:jc w:val="both"/>
              <w:rPr>
                <w:rFonts w:ascii="Calibri" w:hAnsi="Calibri" w:cs="Calibri"/>
                <w:color w:val="FFFFFF"/>
                <w:sz w:val="16"/>
                <w:szCs w:val="22"/>
              </w:rPr>
            </w:pPr>
            <w:r w:rsidRPr="000763AE">
              <w:rPr>
                <w:rFonts w:ascii="Calibri" w:hAnsi="Calibri" w:cs="Calibri"/>
                <w:color w:val="FFFFFF"/>
                <w:sz w:val="16"/>
                <w:szCs w:val="22"/>
              </w:rPr>
              <w:t> </w:t>
            </w:r>
          </w:p>
        </w:tc>
        <w:tc>
          <w:tcPr>
            <w:tcW w:w="922" w:type="pct"/>
            <w:tcBorders>
              <w:top w:val="single" w:sz="4"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Diabetes Unspecified (%of All)</w:t>
            </w:r>
          </w:p>
        </w:tc>
        <w:tc>
          <w:tcPr>
            <w:tcW w:w="1234" w:type="pct"/>
            <w:gridSpan w:val="2"/>
            <w:tcBorders>
              <w:top w:val="single" w:sz="4"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Diabetes 1</w:t>
            </w:r>
          </w:p>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 xml:space="preserve"> (% of All)</w:t>
            </w:r>
          </w:p>
        </w:tc>
        <w:tc>
          <w:tcPr>
            <w:tcW w:w="649" w:type="pct"/>
            <w:tcBorders>
              <w:top w:val="single" w:sz="4"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 xml:space="preserve">Diabetes 2 </w:t>
            </w:r>
          </w:p>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(%of All)</w:t>
            </w:r>
          </w:p>
        </w:tc>
        <w:tc>
          <w:tcPr>
            <w:tcW w:w="1273" w:type="pct"/>
            <w:tcBorders>
              <w:top w:val="single" w:sz="4" w:space="0" w:color="auto"/>
              <w:bottom w:val="single" w:sz="8" w:space="0" w:color="auto"/>
              <w:right w:val="single" w:sz="4"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All Diabetes</w:t>
            </w:r>
          </w:p>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 of Total)</w:t>
            </w:r>
          </w:p>
        </w:tc>
      </w:tr>
      <w:tr w:rsidR="00C85FD7" w:rsidRPr="00C85FD7" w:rsidTr="006D1C17">
        <w:trPr>
          <w:trHeight w:val="331"/>
          <w:jc w:val="center"/>
        </w:trPr>
        <w:tc>
          <w:tcPr>
            <w:tcW w:w="3727" w:type="pct"/>
            <w:gridSpan w:val="5"/>
            <w:tcBorders>
              <w:top w:val="single" w:sz="8" w:space="0" w:color="auto"/>
              <w:left w:val="single" w:sz="4" w:space="0" w:color="auto"/>
              <w:bottom w:val="single" w:sz="8" w:space="0" w:color="auto"/>
            </w:tcBorders>
            <w:shd w:val="clear" w:color="auto" w:fill="808080"/>
            <w:vAlign w:val="center"/>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xml:space="preserve">Physician Type </w:t>
            </w:r>
          </w:p>
        </w:tc>
        <w:tc>
          <w:tcPr>
            <w:tcW w:w="1273" w:type="pct"/>
            <w:tcBorders>
              <w:top w:val="single" w:sz="8" w:space="0" w:color="auto"/>
              <w:bottom w:val="single" w:sz="8" w:space="0" w:color="auto"/>
              <w:right w:val="single" w:sz="4"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22"/>
              </w:rPr>
            </w:pPr>
            <w:r w:rsidRPr="000763AE">
              <w:rPr>
                <w:rFonts w:ascii="Calibri" w:hAnsi="Calibri" w:cs="Calibri"/>
                <w:b/>
                <w:bCs/>
                <w:color w:val="FFFFFF"/>
                <w:sz w:val="16"/>
                <w:szCs w:val="22"/>
              </w:rPr>
              <w:t> </w:t>
            </w:r>
          </w:p>
        </w:tc>
      </w:tr>
      <w:tr w:rsidR="00C85FD7" w:rsidRPr="00C85FD7" w:rsidTr="006D1C17">
        <w:trPr>
          <w:trHeight w:val="300"/>
          <w:jc w:val="center"/>
        </w:trPr>
        <w:tc>
          <w:tcPr>
            <w:tcW w:w="922" w:type="pct"/>
            <w:tcBorders>
              <w:top w:val="single" w:sz="8" w:space="0" w:color="auto"/>
              <w:left w:val="single" w:sz="4" w:space="0" w:color="auto"/>
            </w:tcBorders>
            <w:shd w:val="clear" w:color="auto" w:fill="auto"/>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MD</w:t>
            </w:r>
          </w:p>
        </w:tc>
        <w:tc>
          <w:tcPr>
            <w:tcW w:w="922"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1,433(97%)</w:t>
            </w:r>
          </w:p>
        </w:tc>
        <w:tc>
          <w:tcPr>
            <w:tcW w:w="865"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180(96%)</w:t>
            </w:r>
          </w:p>
        </w:tc>
        <w:tc>
          <w:tcPr>
            <w:tcW w:w="1018" w:type="pct"/>
            <w:gridSpan w:val="2"/>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1,700(94%)</w:t>
            </w:r>
          </w:p>
        </w:tc>
        <w:tc>
          <w:tcPr>
            <w:tcW w:w="1273" w:type="pct"/>
            <w:tcBorders>
              <w:top w:val="single" w:sz="8" w:space="0" w:color="auto"/>
              <w:right w:val="single" w:sz="4" w:space="0" w:color="auto"/>
            </w:tcBorders>
            <w:shd w:val="clear" w:color="auto" w:fill="auto"/>
            <w:noWrap/>
            <w:vAlign w:val="center"/>
            <w:hideMark/>
          </w:tcPr>
          <w:p w:rsidR="00C85FD7" w:rsidRPr="00C85FD7" w:rsidRDefault="00C85FD7" w:rsidP="00427236">
            <w:pPr>
              <w:jc w:val="both"/>
              <w:rPr>
                <w:rFonts w:ascii="Calibri" w:hAnsi="Calibri" w:cs="Calibri"/>
                <w:b/>
                <w:bCs/>
                <w:sz w:val="16"/>
                <w:szCs w:val="22"/>
              </w:rPr>
            </w:pPr>
            <w:r w:rsidRPr="00C85FD7">
              <w:rPr>
                <w:rFonts w:ascii="Calibri" w:hAnsi="Calibri" w:cs="Calibri"/>
                <w:b/>
                <w:bCs/>
                <w:sz w:val="16"/>
                <w:szCs w:val="22"/>
              </w:rPr>
              <w:t>3,313(95%)</w:t>
            </w:r>
          </w:p>
        </w:tc>
      </w:tr>
      <w:tr w:rsidR="00C85FD7" w:rsidRPr="00C85FD7" w:rsidTr="006D1C17">
        <w:trPr>
          <w:trHeight w:val="315"/>
          <w:jc w:val="center"/>
        </w:trPr>
        <w:tc>
          <w:tcPr>
            <w:tcW w:w="922" w:type="pct"/>
            <w:tcBorders>
              <w:left w:val="single" w:sz="4" w:space="0" w:color="auto"/>
              <w:bottom w:val="double" w:sz="4" w:space="0" w:color="auto"/>
            </w:tcBorders>
            <w:shd w:val="clear" w:color="auto" w:fill="auto"/>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DO</w:t>
            </w:r>
          </w:p>
        </w:tc>
        <w:tc>
          <w:tcPr>
            <w:tcW w:w="922"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49(3%)</w:t>
            </w:r>
          </w:p>
        </w:tc>
        <w:tc>
          <w:tcPr>
            <w:tcW w:w="865"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8(4%)</w:t>
            </w:r>
          </w:p>
        </w:tc>
        <w:tc>
          <w:tcPr>
            <w:tcW w:w="1018" w:type="pct"/>
            <w:gridSpan w:val="2"/>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111(6%)</w:t>
            </w:r>
          </w:p>
        </w:tc>
        <w:tc>
          <w:tcPr>
            <w:tcW w:w="1273" w:type="pct"/>
            <w:tcBorders>
              <w:bottom w:val="double" w:sz="4" w:space="0" w:color="auto"/>
              <w:right w:val="single" w:sz="4" w:space="0" w:color="auto"/>
            </w:tcBorders>
            <w:shd w:val="clear" w:color="auto" w:fill="auto"/>
            <w:noWrap/>
            <w:vAlign w:val="center"/>
            <w:hideMark/>
          </w:tcPr>
          <w:p w:rsidR="00C85FD7" w:rsidRPr="00C85FD7" w:rsidRDefault="00C85FD7" w:rsidP="00427236">
            <w:pPr>
              <w:jc w:val="both"/>
              <w:rPr>
                <w:rFonts w:ascii="Calibri" w:hAnsi="Calibri" w:cs="Calibri"/>
                <w:b/>
                <w:bCs/>
                <w:sz w:val="16"/>
                <w:szCs w:val="22"/>
              </w:rPr>
            </w:pPr>
            <w:r w:rsidRPr="00C85FD7">
              <w:rPr>
                <w:rFonts w:ascii="Calibri" w:hAnsi="Calibri" w:cs="Calibri"/>
                <w:b/>
                <w:bCs/>
                <w:sz w:val="16"/>
                <w:szCs w:val="22"/>
              </w:rPr>
              <w:t>168(5%)</w:t>
            </w:r>
          </w:p>
        </w:tc>
      </w:tr>
      <w:tr w:rsidR="00C85FD7" w:rsidRPr="00C85FD7" w:rsidTr="006D1C17">
        <w:trPr>
          <w:trHeight w:val="378"/>
          <w:jc w:val="center"/>
        </w:trPr>
        <w:tc>
          <w:tcPr>
            <w:tcW w:w="922" w:type="pct"/>
            <w:tcBorders>
              <w:top w:val="double" w:sz="4" w:space="0" w:color="auto"/>
              <w:left w:val="single" w:sz="4" w:space="0" w:color="auto"/>
              <w:bottom w:val="single" w:sz="4" w:space="0" w:color="auto"/>
            </w:tcBorders>
            <w:shd w:val="clear" w:color="auto" w:fill="auto"/>
            <w:vAlign w:val="center"/>
            <w:hideMark/>
          </w:tcPr>
          <w:p w:rsidR="00C85FD7" w:rsidRPr="00C85FD7" w:rsidRDefault="00C85FD7" w:rsidP="00427236">
            <w:pPr>
              <w:jc w:val="both"/>
              <w:rPr>
                <w:rFonts w:ascii="Calibri" w:hAnsi="Calibri" w:cs="Calibri"/>
                <w:b/>
                <w:bCs/>
                <w:sz w:val="16"/>
                <w:szCs w:val="22"/>
              </w:rPr>
            </w:pPr>
            <w:r w:rsidRPr="00C85FD7">
              <w:rPr>
                <w:rFonts w:ascii="Calibri" w:hAnsi="Calibri" w:cs="Calibri"/>
                <w:b/>
                <w:bCs/>
                <w:sz w:val="16"/>
                <w:szCs w:val="22"/>
              </w:rPr>
              <w:t xml:space="preserve">Total </w:t>
            </w:r>
          </w:p>
        </w:tc>
        <w:tc>
          <w:tcPr>
            <w:tcW w:w="922" w:type="pct"/>
            <w:tcBorders>
              <w:top w:val="double" w:sz="4" w:space="0" w:color="auto"/>
              <w:bottom w:val="single" w:sz="4" w:space="0" w:color="auto"/>
            </w:tcBorders>
            <w:shd w:val="clear" w:color="auto" w:fill="auto"/>
            <w:noWrap/>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1,482(100%)</w:t>
            </w:r>
          </w:p>
        </w:tc>
        <w:tc>
          <w:tcPr>
            <w:tcW w:w="865" w:type="pct"/>
            <w:tcBorders>
              <w:top w:val="double" w:sz="4" w:space="0" w:color="auto"/>
              <w:bottom w:val="single" w:sz="4" w:space="0" w:color="auto"/>
            </w:tcBorders>
            <w:shd w:val="clear" w:color="auto" w:fill="auto"/>
            <w:noWrap/>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188(100%)</w:t>
            </w:r>
          </w:p>
        </w:tc>
        <w:tc>
          <w:tcPr>
            <w:tcW w:w="1018" w:type="pct"/>
            <w:gridSpan w:val="2"/>
            <w:tcBorders>
              <w:top w:val="double" w:sz="4" w:space="0" w:color="auto"/>
              <w:bottom w:val="single" w:sz="4" w:space="0" w:color="auto"/>
            </w:tcBorders>
            <w:shd w:val="clear" w:color="auto" w:fill="auto"/>
            <w:noWrap/>
            <w:vAlign w:val="center"/>
            <w:hideMark/>
          </w:tcPr>
          <w:p w:rsidR="00C85FD7" w:rsidRPr="00C85FD7" w:rsidRDefault="00C85FD7" w:rsidP="00427236">
            <w:pPr>
              <w:jc w:val="both"/>
              <w:rPr>
                <w:rFonts w:ascii="Calibri" w:hAnsi="Calibri" w:cs="Calibri"/>
                <w:sz w:val="16"/>
                <w:szCs w:val="22"/>
              </w:rPr>
            </w:pPr>
            <w:r w:rsidRPr="00C85FD7">
              <w:rPr>
                <w:rFonts w:ascii="Calibri" w:hAnsi="Calibri" w:cs="Calibri"/>
                <w:sz w:val="16"/>
                <w:szCs w:val="22"/>
              </w:rPr>
              <w:t>1,811(100%)</w:t>
            </w:r>
          </w:p>
        </w:tc>
        <w:tc>
          <w:tcPr>
            <w:tcW w:w="1273" w:type="pct"/>
            <w:tcBorders>
              <w:top w:val="double" w:sz="4" w:space="0" w:color="auto"/>
              <w:bottom w:val="single" w:sz="4" w:space="0" w:color="auto"/>
              <w:right w:val="single" w:sz="4" w:space="0" w:color="auto"/>
            </w:tcBorders>
            <w:shd w:val="clear" w:color="auto" w:fill="auto"/>
            <w:noWrap/>
            <w:vAlign w:val="center"/>
            <w:hideMark/>
          </w:tcPr>
          <w:p w:rsidR="00C85FD7" w:rsidRPr="00C85FD7" w:rsidRDefault="00C85FD7" w:rsidP="00427236">
            <w:pPr>
              <w:jc w:val="both"/>
              <w:rPr>
                <w:rFonts w:ascii="Calibri" w:hAnsi="Calibri" w:cs="Calibri"/>
                <w:b/>
                <w:bCs/>
                <w:sz w:val="16"/>
                <w:szCs w:val="22"/>
              </w:rPr>
            </w:pPr>
            <w:r w:rsidRPr="00C85FD7">
              <w:rPr>
                <w:rFonts w:ascii="Calibri" w:hAnsi="Calibri" w:cs="Calibri"/>
                <w:b/>
                <w:bCs/>
                <w:sz w:val="16"/>
                <w:szCs w:val="22"/>
              </w:rPr>
              <w:t>3,481(100%)</w:t>
            </w:r>
          </w:p>
        </w:tc>
      </w:tr>
    </w:tbl>
    <w:p w:rsidR="00C85FD7" w:rsidRPr="000763AE" w:rsidRDefault="00C85FD7" w:rsidP="00427236">
      <w:pPr>
        <w:spacing w:before="120" w:after="120"/>
        <w:jc w:val="both"/>
        <w:rPr>
          <w:rFonts w:eastAsia="Calibri"/>
          <w:b/>
        </w:rPr>
      </w:pPr>
    </w:p>
    <w:p w:rsidR="00C85FD7" w:rsidRPr="000763AE" w:rsidRDefault="00C85FD7" w:rsidP="00427236">
      <w:pPr>
        <w:spacing w:before="120" w:after="120"/>
        <w:jc w:val="both"/>
        <w:rPr>
          <w:rFonts w:eastAsia="Calibri"/>
          <w:b/>
        </w:rPr>
      </w:pPr>
    </w:p>
    <w:p w:rsidR="00C85FD7" w:rsidRPr="000C5643" w:rsidRDefault="00427236" w:rsidP="00427236">
      <w:pPr>
        <w:spacing w:before="120" w:after="120"/>
        <w:jc w:val="both"/>
        <w:rPr>
          <w:rFonts w:eastAsia="Calibri"/>
          <w:b/>
        </w:rPr>
      </w:pPr>
      <w:r w:rsidRPr="000763AE">
        <w:rPr>
          <w:rFonts w:eastAsia="Calibri"/>
          <w:b/>
        </w:rPr>
        <w:br w:type="page"/>
      </w:r>
      <w:proofErr w:type="gramStart"/>
      <w:r w:rsidR="00C85FD7" w:rsidRPr="000763AE">
        <w:rPr>
          <w:rFonts w:eastAsia="Calibri"/>
          <w:b/>
        </w:rPr>
        <w:lastRenderedPageBreak/>
        <w:t>Table 5b.</w:t>
      </w:r>
      <w:proofErr w:type="gramEnd"/>
      <w:r w:rsidR="00C85FD7" w:rsidRPr="000763AE">
        <w:rPr>
          <w:rFonts w:eastAsia="Calibri"/>
        </w:rPr>
        <w:t xml:space="preserve"> Descriptive data for provider types for NAMCS 2015 office visits for patients with any diagnosis of diabetes based on total provider visit count.</w:t>
      </w:r>
    </w:p>
    <w:p w:rsidR="00C85FD7" w:rsidRPr="000763AE" w:rsidRDefault="00C85FD7" w:rsidP="00427236">
      <w:pPr>
        <w:spacing w:before="120" w:after="120"/>
        <w:jc w:val="both"/>
        <w:rPr>
          <w:rFonts w:ascii="Calibri" w:eastAsia="Calibri" w:hAnsi="Calibri" w:cs="Calibri"/>
        </w:rPr>
      </w:pPr>
      <w:r w:rsidRPr="000763AE">
        <w:rPr>
          <w:rFonts w:eastAsia="Calibri"/>
          <w:b/>
        </w:rPr>
        <w:t xml:space="preserve">N </w:t>
      </w:r>
      <w:r w:rsidRPr="000763AE">
        <w:rPr>
          <w:rFonts w:eastAsia="Calibri"/>
        </w:rPr>
        <w:t xml:space="preserve">= 5,666 </w:t>
      </w:r>
    </w:p>
    <w:p w:rsidR="00C85FD7" w:rsidRPr="000763AE" w:rsidRDefault="00C85FD7" w:rsidP="00427236">
      <w:pPr>
        <w:spacing w:before="120" w:after="120"/>
        <w:jc w:val="both"/>
        <w:rPr>
          <w:rFonts w:eastAsia="Calibri"/>
          <w:b/>
          <w:sz w:val="22"/>
        </w:rPr>
      </w:pPr>
      <w:r w:rsidRPr="000763AE">
        <w:rPr>
          <w:rFonts w:eastAsia="Calibri"/>
          <w:color w:val="FF0000"/>
        </w:rPr>
        <w:t xml:space="preserve">                                                                   </w:t>
      </w:r>
      <w:r w:rsidRPr="000763AE">
        <w:rPr>
          <w:rFonts w:eastAsia="Calibri"/>
          <w:b/>
          <w:sz w:val="22"/>
        </w:rPr>
        <w:t>Non-physician providers</w:t>
      </w:r>
    </w:p>
    <w:p w:rsidR="00C85FD7" w:rsidRPr="000763AE" w:rsidRDefault="00C85FD7" w:rsidP="00427236">
      <w:pPr>
        <w:spacing w:before="120" w:after="120"/>
        <w:jc w:val="both"/>
        <w:rPr>
          <w:rFonts w:eastAsia="Calibri"/>
          <w:color w:val="FF0000"/>
        </w:rPr>
      </w:pPr>
      <w:r w:rsidRPr="000763AE">
        <w:rPr>
          <w:rFonts w:eastAsia="Calibri"/>
          <w:color w:val="FF0000"/>
        </w:rPr>
        <w:t xml:space="preserve">                                                  </w:t>
      </w:r>
      <w:r w:rsidR="008252AC">
        <w:rPr>
          <w:rFonts w:eastAsia="Calibri"/>
          <w:noProof/>
        </w:rPr>
        <w:drawing>
          <wp:inline distT="0" distB="0" distL="0" distR="0">
            <wp:extent cx="3296285" cy="203835"/>
            <wp:effectExtent l="0" t="0" r="0" b="5715"/>
            <wp:docPr id="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96285" cy="203835"/>
                    </a:xfrm>
                    <a:prstGeom prst="rect">
                      <a:avLst/>
                    </a:prstGeom>
                    <a:noFill/>
                    <a:ln>
                      <a:noFill/>
                    </a:ln>
                  </pic:spPr>
                </pic:pic>
              </a:graphicData>
            </a:graphic>
          </wp:inline>
        </w:drawing>
      </w:r>
    </w:p>
    <w:tbl>
      <w:tblPr>
        <w:tblW w:w="4990" w:type="pct"/>
        <w:tblLayout w:type="fixed"/>
        <w:tblLook w:val="04A0" w:firstRow="1" w:lastRow="0" w:firstColumn="1" w:lastColumn="0" w:noHBand="0" w:noVBand="1"/>
      </w:tblPr>
      <w:tblGrid>
        <w:gridCol w:w="1476"/>
        <w:gridCol w:w="1152"/>
        <w:gridCol w:w="1439"/>
        <w:gridCol w:w="1170"/>
        <w:gridCol w:w="1082"/>
        <w:gridCol w:w="1441"/>
        <w:gridCol w:w="1078"/>
      </w:tblGrid>
      <w:tr w:rsidR="00C85FD7" w:rsidRPr="00C85FD7" w:rsidTr="000763AE">
        <w:trPr>
          <w:trHeight w:val="300"/>
        </w:trPr>
        <w:tc>
          <w:tcPr>
            <w:tcW w:w="835"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427236">
            <w:pPr>
              <w:spacing w:before="120" w:after="120"/>
              <w:jc w:val="both"/>
              <w:rPr>
                <w:rFonts w:ascii="Calibri" w:eastAsia="Calibri" w:hAnsi="Calibri" w:cs="Calibri"/>
                <w:sz w:val="18"/>
              </w:rPr>
            </w:pPr>
          </w:p>
          <w:p w:rsidR="00C85FD7" w:rsidRPr="000763AE" w:rsidRDefault="00C85FD7" w:rsidP="00427236">
            <w:pPr>
              <w:jc w:val="both"/>
              <w:rPr>
                <w:rFonts w:ascii="Calibri" w:hAnsi="Calibri" w:cs="Calibri"/>
                <w:color w:val="000000"/>
                <w:sz w:val="18"/>
                <w:szCs w:val="22"/>
              </w:rPr>
            </w:pPr>
            <w:r w:rsidRPr="000763AE">
              <w:rPr>
                <w:rFonts w:ascii="Calibri" w:hAnsi="Calibri" w:cs="Calibri"/>
                <w:color w:val="000000"/>
                <w:sz w:val="18"/>
                <w:szCs w:val="22"/>
              </w:rPr>
              <w:t> </w:t>
            </w:r>
          </w:p>
        </w:tc>
        <w:tc>
          <w:tcPr>
            <w:tcW w:w="652" w:type="pct"/>
            <w:tcBorders>
              <w:top w:val="single" w:sz="4" w:space="0" w:color="auto"/>
              <w:left w:val="nil"/>
              <w:bottom w:val="single" w:sz="4" w:space="0" w:color="auto"/>
              <w:right w:val="single" w:sz="4" w:space="0" w:color="auto"/>
            </w:tcBorders>
            <w:shd w:val="clear" w:color="auto" w:fill="808080"/>
            <w:noWrap/>
            <w:vAlign w:val="bottom"/>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xml:space="preserve">Physician </w:t>
            </w:r>
          </w:p>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of N)</w:t>
            </w:r>
          </w:p>
        </w:tc>
        <w:tc>
          <w:tcPr>
            <w:tcW w:w="814" w:type="pct"/>
            <w:tcBorders>
              <w:top w:val="single" w:sz="4" w:space="0" w:color="auto"/>
              <w:left w:val="nil"/>
              <w:bottom w:val="single" w:sz="4" w:space="0" w:color="auto"/>
              <w:right w:val="single" w:sz="4" w:space="0" w:color="auto"/>
            </w:tcBorders>
            <w:shd w:val="clear" w:color="auto" w:fill="808080"/>
            <w:noWrap/>
            <w:vAlign w:val="bottom"/>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Physician Assistant</w:t>
            </w:r>
          </w:p>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of N)</w:t>
            </w:r>
          </w:p>
        </w:tc>
        <w:tc>
          <w:tcPr>
            <w:tcW w:w="662" w:type="pct"/>
            <w:tcBorders>
              <w:top w:val="single" w:sz="4" w:space="0" w:color="auto"/>
              <w:left w:val="nil"/>
              <w:bottom w:val="single" w:sz="4" w:space="0" w:color="auto"/>
              <w:right w:val="single" w:sz="4" w:space="0" w:color="auto"/>
            </w:tcBorders>
            <w:shd w:val="clear" w:color="auto" w:fill="808080"/>
            <w:noWrap/>
            <w:vAlign w:val="bottom"/>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Nurse Practitioner</w:t>
            </w:r>
          </w:p>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of N)</w:t>
            </w:r>
          </w:p>
        </w:tc>
        <w:tc>
          <w:tcPr>
            <w:tcW w:w="612" w:type="pct"/>
            <w:tcBorders>
              <w:top w:val="single" w:sz="4" w:space="0" w:color="auto"/>
              <w:left w:val="nil"/>
              <w:bottom w:val="single" w:sz="4" w:space="0" w:color="auto"/>
              <w:right w:val="single" w:sz="4" w:space="0" w:color="auto"/>
            </w:tcBorders>
            <w:shd w:val="clear" w:color="auto" w:fill="808080"/>
            <w:noWrap/>
            <w:vAlign w:val="bottom"/>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RN/LPN</w:t>
            </w:r>
          </w:p>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of N)</w:t>
            </w:r>
          </w:p>
        </w:tc>
        <w:tc>
          <w:tcPr>
            <w:tcW w:w="815" w:type="pct"/>
            <w:tcBorders>
              <w:top w:val="single" w:sz="4" w:space="0" w:color="auto"/>
              <w:left w:val="nil"/>
              <w:bottom w:val="single" w:sz="4" w:space="0" w:color="auto"/>
              <w:right w:val="single" w:sz="4" w:space="0" w:color="auto"/>
            </w:tcBorders>
            <w:shd w:val="clear" w:color="auto" w:fill="808080"/>
            <w:noWrap/>
            <w:vAlign w:val="bottom"/>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Other Provider Type   </w:t>
            </w:r>
          </w:p>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xml:space="preserve"> (% of N)</w:t>
            </w:r>
          </w:p>
        </w:tc>
        <w:tc>
          <w:tcPr>
            <w:tcW w:w="610" w:type="pct"/>
            <w:tcBorders>
              <w:top w:val="single" w:sz="4" w:space="0" w:color="auto"/>
              <w:left w:val="nil"/>
              <w:bottom w:val="single" w:sz="4" w:space="0" w:color="auto"/>
              <w:right w:val="single" w:sz="4" w:space="0" w:color="auto"/>
            </w:tcBorders>
            <w:shd w:val="clear" w:color="auto" w:fill="808080"/>
            <w:noWrap/>
            <w:vAlign w:val="bottom"/>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No Provider Seen**</w:t>
            </w:r>
          </w:p>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of N)</w:t>
            </w:r>
          </w:p>
        </w:tc>
      </w:tr>
      <w:tr w:rsidR="00C85FD7" w:rsidRPr="00C85FD7" w:rsidTr="000763AE">
        <w:trPr>
          <w:trHeight w:val="300"/>
        </w:trPr>
        <w:tc>
          <w:tcPr>
            <w:tcW w:w="835" w:type="pct"/>
            <w:tcBorders>
              <w:top w:val="nil"/>
              <w:left w:val="single" w:sz="4" w:space="0" w:color="auto"/>
              <w:bottom w:val="single" w:sz="4" w:space="0" w:color="auto"/>
              <w:right w:val="single" w:sz="4" w:space="0" w:color="auto"/>
            </w:tcBorders>
            <w:shd w:val="clear" w:color="auto" w:fill="808080"/>
            <w:noWrap/>
            <w:vAlign w:val="bottom"/>
            <w:hideMark/>
          </w:tcPr>
          <w:p w:rsidR="00C85FD7" w:rsidRPr="000763AE" w:rsidRDefault="00C85FD7" w:rsidP="00427236">
            <w:pPr>
              <w:jc w:val="both"/>
              <w:rPr>
                <w:rFonts w:ascii="Calibri" w:hAnsi="Calibri" w:cs="Calibri"/>
                <w:b/>
                <w:color w:val="000000"/>
                <w:sz w:val="18"/>
                <w:szCs w:val="22"/>
              </w:rPr>
            </w:pPr>
            <w:r w:rsidRPr="000763AE">
              <w:rPr>
                <w:rFonts w:ascii="Calibri" w:hAnsi="Calibri" w:cs="Calibri"/>
                <w:b/>
                <w:color w:val="FFFFFF"/>
                <w:sz w:val="18"/>
                <w:szCs w:val="22"/>
              </w:rPr>
              <w:t>All Diabetes</w:t>
            </w:r>
          </w:p>
        </w:tc>
        <w:tc>
          <w:tcPr>
            <w:tcW w:w="652" w:type="pct"/>
            <w:tcBorders>
              <w:top w:val="nil"/>
              <w:left w:val="nil"/>
              <w:bottom w:val="single" w:sz="4" w:space="0" w:color="auto"/>
              <w:right w:val="sing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8"/>
                <w:szCs w:val="22"/>
              </w:rPr>
            </w:pPr>
            <w:r w:rsidRPr="00C85FD7">
              <w:rPr>
                <w:rFonts w:ascii="Calibri" w:hAnsi="Calibri" w:cs="Calibri"/>
                <w:color w:val="000000"/>
                <w:sz w:val="18"/>
                <w:szCs w:val="22"/>
              </w:rPr>
              <w:t>3,440 (61%)</w:t>
            </w:r>
          </w:p>
        </w:tc>
        <w:tc>
          <w:tcPr>
            <w:tcW w:w="814"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8"/>
                <w:szCs w:val="22"/>
              </w:rPr>
            </w:pPr>
            <w:r w:rsidRPr="00C85FD7">
              <w:rPr>
                <w:rFonts w:ascii="Calibri" w:hAnsi="Calibri" w:cs="Calibri"/>
                <w:color w:val="000000"/>
                <w:sz w:val="18"/>
                <w:szCs w:val="22"/>
              </w:rPr>
              <w:t>151(27%)</w:t>
            </w:r>
          </w:p>
        </w:tc>
        <w:tc>
          <w:tcPr>
            <w:tcW w:w="662"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8"/>
                <w:szCs w:val="22"/>
              </w:rPr>
            </w:pPr>
            <w:r w:rsidRPr="00C85FD7">
              <w:rPr>
                <w:rFonts w:ascii="Calibri" w:hAnsi="Calibri" w:cs="Calibri"/>
                <w:color w:val="000000"/>
                <w:sz w:val="18"/>
                <w:szCs w:val="22"/>
              </w:rPr>
              <w:t>90(2%)</w:t>
            </w:r>
          </w:p>
        </w:tc>
        <w:tc>
          <w:tcPr>
            <w:tcW w:w="612"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8"/>
                <w:szCs w:val="22"/>
              </w:rPr>
            </w:pPr>
            <w:r w:rsidRPr="00C85FD7">
              <w:rPr>
                <w:rFonts w:ascii="Calibri" w:hAnsi="Calibri" w:cs="Calibri"/>
                <w:color w:val="000000"/>
                <w:sz w:val="18"/>
                <w:szCs w:val="22"/>
              </w:rPr>
              <w:t>583(10%)</w:t>
            </w:r>
          </w:p>
        </w:tc>
        <w:tc>
          <w:tcPr>
            <w:tcW w:w="815"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8"/>
                <w:szCs w:val="22"/>
              </w:rPr>
            </w:pPr>
            <w:r w:rsidRPr="00C85FD7">
              <w:rPr>
                <w:rFonts w:ascii="Calibri" w:hAnsi="Calibri" w:cs="Calibri"/>
                <w:color w:val="000000"/>
                <w:sz w:val="18"/>
                <w:szCs w:val="22"/>
              </w:rPr>
              <w:t>1,402(25%)</w:t>
            </w:r>
          </w:p>
        </w:tc>
        <w:tc>
          <w:tcPr>
            <w:tcW w:w="610" w:type="pct"/>
            <w:tcBorders>
              <w:top w:val="nil"/>
              <w:left w:val="nil"/>
              <w:bottom w:val="single" w:sz="4" w:space="0" w:color="auto"/>
              <w:right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8"/>
                <w:szCs w:val="22"/>
              </w:rPr>
            </w:pPr>
            <w:r w:rsidRPr="00C85FD7">
              <w:rPr>
                <w:rFonts w:ascii="Calibri" w:hAnsi="Calibri" w:cs="Calibri"/>
                <w:color w:val="000000"/>
                <w:sz w:val="18"/>
                <w:szCs w:val="22"/>
              </w:rPr>
              <w:t>0 (0%)</w:t>
            </w:r>
          </w:p>
        </w:tc>
      </w:tr>
    </w:tbl>
    <w:p w:rsidR="00C85FD7" w:rsidRPr="000763AE" w:rsidRDefault="00C85FD7" w:rsidP="00427236">
      <w:pPr>
        <w:spacing w:before="120" w:after="120"/>
        <w:jc w:val="both"/>
        <w:rPr>
          <w:rFonts w:eastAsia="Calibri"/>
          <w:sz w:val="22"/>
        </w:rPr>
      </w:pPr>
    </w:p>
    <w:p w:rsidR="00C85FD7" w:rsidRPr="000763AE" w:rsidRDefault="00C85FD7" w:rsidP="00427236">
      <w:pPr>
        <w:spacing w:before="120" w:after="120"/>
        <w:jc w:val="both"/>
        <w:rPr>
          <w:rFonts w:eastAsia="Calibri"/>
          <w:sz w:val="22"/>
        </w:rPr>
      </w:pPr>
      <w:r w:rsidRPr="000763AE">
        <w:rPr>
          <w:rFonts w:eastAsia="Calibri"/>
          <w:sz w:val="22"/>
        </w:rPr>
        <w:t>* Other providers as providers not listed above. Exclude those who provided ancillary services, e.g., x-ray technician, phlebotomist, and respiratory therapist.</w:t>
      </w:r>
    </w:p>
    <w:p w:rsidR="00C85FD7" w:rsidRPr="000763AE" w:rsidRDefault="00C85FD7" w:rsidP="00427236">
      <w:pPr>
        <w:spacing w:after="200"/>
        <w:jc w:val="both"/>
        <w:rPr>
          <w:rFonts w:eastAsia="Calibri"/>
          <w:sz w:val="22"/>
        </w:rPr>
      </w:pPr>
      <w:r w:rsidRPr="000763AE">
        <w:rPr>
          <w:rFonts w:eastAsia="Calibri"/>
          <w:sz w:val="22"/>
        </w:rPr>
        <w:t>** There is no documentation in the chart that a health care provider was seen during visit or visit was for administrative only reasons such as medication refill, billing, and referral paperwork</w:t>
      </w:r>
    </w:p>
    <w:p w:rsidR="00C85FD7" w:rsidRPr="000763AE" w:rsidRDefault="00C85FD7" w:rsidP="00427236">
      <w:pPr>
        <w:spacing w:after="200"/>
        <w:jc w:val="both"/>
        <w:rPr>
          <w:rFonts w:eastAsia="Calibri"/>
          <w:b/>
        </w:rPr>
      </w:pPr>
    </w:p>
    <w:p w:rsidR="00C85FD7" w:rsidRPr="000763AE" w:rsidRDefault="00C85FD7" w:rsidP="00427236">
      <w:pPr>
        <w:spacing w:after="200"/>
        <w:jc w:val="both"/>
        <w:rPr>
          <w:rFonts w:eastAsia="Calibri"/>
          <w:b/>
        </w:rPr>
      </w:pPr>
      <w:proofErr w:type="gramStart"/>
      <w:r w:rsidRPr="000763AE">
        <w:rPr>
          <w:rFonts w:eastAsia="Calibri"/>
          <w:b/>
        </w:rPr>
        <w:t>Table 6a.</w:t>
      </w:r>
      <w:proofErr w:type="gramEnd"/>
      <w:r w:rsidRPr="000763AE">
        <w:rPr>
          <w:rFonts w:eastAsia="Calibri"/>
          <w:b/>
        </w:rPr>
        <w:t xml:space="preserve"> </w:t>
      </w:r>
      <w:r w:rsidRPr="000763AE">
        <w:rPr>
          <w:rFonts w:eastAsia="Calibri"/>
        </w:rPr>
        <w:t>Descriptive data for practice setting and time spent with physician for NAMCS 2015 office visits for patients with Type1 Type2, diabetes unspecified, and without diabetes.</w:t>
      </w:r>
    </w:p>
    <w:tbl>
      <w:tblPr>
        <w:tblW w:w="4990" w:type="pct"/>
        <w:tblLayout w:type="fixed"/>
        <w:tblLook w:val="04A0" w:firstRow="1" w:lastRow="0" w:firstColumn="1" w:lastColumn="0" w:noHBand="0" w:noVBand="1"/>
      </w:tblPr>
      <w:tblGrid>
        <w:gridCol w:w="1489"/>
        <w:gridCol w:w="1223"/>
        <w:gridCol w:w="1055"/>
        <w:gridCol w:w="1228"/>
        <w:gridCol w:w="1228"/>
        <w:gridCol w:w="1319"/>
        <w:gridCol w:w="1296"/>
      </w:tblGrid>
      <w:tr w:rsidR="00C85FD7" w:rsidRPr="00C85FD7" w:rsidTr="00A377FD">
        <w:trPr>
          <w:trHeight w:val="855"/>
        </w:trPr>
        <w:tc>
          <w:tcPr>
            <w:tcW w:w="842" w:type="pct"/>
            <w:tcBorders>
              <w:bottom w:val="single" w:sz="4" w:space="0" w:color="auto"/>
            </w:tcBorders>
            <w:shd w:val="clear" w:color="auto" w:fill="auto"/>
            <w:vAlign w:val="bottom"/>
            <w:hideMark/>
          </w:tcPr>
          <w:p w:rsidR="00C85FD7" w:rsidRPr="00C85FD7" w:rsidRDefault="00C85FD7" w:rsidP="00427236">
            <w:pPr>
              <w:jc w:val="both"/>
              <w:rPr>
                <w:rFonts w:ascii="Calibri" w:hAnsi="Calibri" w:cs="Calibri"/>
                <w:color w:val="000000"/>
                <w:sz w:val="16"/>
                <w:szCs w:val="22"/>
              </w:rPr>
            </w:pPr>
          </w:p>
        </w:tc>
        <w:tc>
          <w:tcPr>
            <w:tcW w:w="692" w:type="pct"/>
            <w:tcBorders>
              <w:bottom w:val="single" w:sz="4" w:space="0" w:color="auto"/>
            </w:tcBorders>
            <w:shd w:val="clear" w:color="auto" w:fill="auto"/>
            <w:noWrap/>
            <w:vAlign w:val="bottom"/>
            <w:hideMark/>
          </w:tcPr>
          <w:p w:rsidR="00C85FD7" w:rsidRPr="00C85FD7" w:rsidRDefault="008252AC" w:rsidP="00427236">
            <w:pPr>
              <w:jc w:val="both"/>
              <w:rPr>
                <w:rFonts w:ascii="Calibri" w:hAnsi="Calibri" w:cs="Calibri"/>
                <w:color w:val="000000"/>
                <w:sz w:val="16"/>
                <w:szCs w:val="22"/>
              </w:rPr>
            </w:pPr>
            <w:r>
              <w:rPr>
                <w:noProof/>
              </w:rPr>
              <mc:AlternateContent>
                <mc:Choice Requires="wpg">
                  <w:drawing>
                    <wp:anchor distT="0" distB="0" distL="114300" distR="114300" simplePos="0" relativeHeight="251657728" behindDoc="0" locked="0" layoutInCell="1" allowOverlap="1">
                      <wp:simplePos x="0" y="0"/>
                      <wp:positionH relativeFrom="column">
                        <wp:posOffset>41275</wp:posOffset>
                      </wp:positionH>
                      <wp:positionV relativeFrom="paragraph">
                        <wp:posOffset>112395</wp:posOffset>
                      </wp:positionV>
                      <wp:extent cx="1947545" cy="559435"/>
                      <wp:effectExtent l="0" t="0" r="0" b="12065"/>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47545" cy="559435"/>
                                <a:chOff x="0" y="0"/>
                                <a:chExt cx="1947545" cy="559229"/>
                              </a:xfrm>
                            </wpg:grpSpPr>
                            <wps:wsp>
                              <wps:cNvPr id="14" name="Text Box 8"/>
                              <wps:cNvSpPr txBox="1"/>
                              <wps:spPr>
                                <a:xfrm>
                                  <a:off x="0" y="0"/>
                                  <a:ext cx="1947545" cy="246380"/>
                                </a:xfrm>
                                <a:prstGeom prst="rect">
                                  <a:avLst/>
                                </a:prstGeom>
                                <a:noFill/>
                                <a:ln w="9525" cmpd="sng">
                                  <a:noFill/>
                                </a:ln>
                                <a:effectLst/>
                              </wps:spPr>
                              <wps:txbx>
                                <w:txbxContent>
                                  <w:p w:rsidR="0003598B" w:rsidRDefault="0003598B" w:rsidP="00C85FD7">
                                    <w:pPr>
                                      <w:pStyle w:val="NormalWeb"/>
                                      <w:spacing w:before="0" w:beforeAutospacing="0" w:after="0" w:afterAutospacing="0"/>
                                      <w:jc w:val="center"/>
                                    </w:pPr>
                                    <w:r w:rsidRPr="000763AE">
                                      <w:rPr>
                                        <w:rFonts w:ascii="Calibri" w:hAnsi="Calibri"/>
                                        <w:b/>
                                        <w:bCs/>
                                        <w:color w:val="404040"/>
                                        <w:sz w:val="22"/>
                                        <w:szCs w:val="22"/>
                                      </w:rPr>
                                      <w:t>All Diabetes Breakdowns</w:t>
                                    </w:r>
                                  </w:p>
                                </w:txbxContent>
                              </wps:txbx>
                              <wps:bodyPr vertOverflow="clip" horzOverflow="clip" wrap="square" rtlCol="0" anchor="t">
                                <a:noAutofit/>
                              </wps:bodyPr>
                            </wps:wsp>
                            <wps:wsp>
                              <wps:cNvPr id="15" name="Right Brace 10"/>
                              <wps:cNvSpPr/>
                              <wps:spPr>
                                <a:xfrm rot="5400000" flipH="1">
                                  <a:off x="836629" y="-483124"/>
                                  <a:ext cx="271780" cy="1812925"/>
                                </a:xfrm>
                                <a:prstGeom prst="rightBrace">
                                  <a:avLst/>
                                </a:prstGeom>
                                <a:noFill/>
                                <a:ln w="9525" cap="flat" cmpd="sng" algn="ctr">
                                  <a:solidFill>
                                    <a:sysClr val="window" lastClr="FFFFFF">
                                      <a:lumMod val="6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 16" o:spid="_x0000_s1032" style="position:absolute;left:0;text-align:left;margin-left:3.25pt;margin-top:8.85pt;width:153.35pt;height:44.05pt;z-index:251657728" coordsize="19475,5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">
                      <v:shape id="Text Box 8" o:spid="_x0000_s1033" type="#_x0000_t202" style="position:absolute;width:19475;height:2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03598B" w:rsidRDefault="0003598B" w:rsidP="00C85FD7">
                              <w:pPr>
                                <w:pStyle w:val="NormalWeb"/>
                                <w:spacing w:before="0" w:beforeAutospacing="0" w:after="0" w:afterAutospacing="0"/>
                                <w:jc w:val="center"/>
                              </w:pPr>
                              <w:r w:rsidRPr="000763AE">
                                <w:rPr>
                                  <w:rFonts w:ascii="Calibri" w:hAnsi="Calibri"/>
                                  <w:b/>
                                  <w:bCs/>
                                  <w:color w:val="404040"/>
                                  <w:sz w:val="22"/>
                                  <w:szCs w:val="22"/>
                                </w:rPr>
                                <w:t>All Diabetes Breakdowns</w:t>
                              </w:r>
                            </w:p>
                          </w:txbxContent>
                        </v:textbox>
                      </v:shape>
                      <v:shape id="Right Brace 10" o:spid="_x0000_s1034" type="#_x0000_t88" style="position:absolute;left:8366;top:-4832;width:2718;height:18129;rotation:-9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GxMr8A&#10;AADbAAAADwAAAGRycy9kb3ducmV2LnhtbERPTYvCMBC9C/6HMMLeNNVltXSNIoLo0WrxPNvMtmWb&#10;SW2irf/eLAje5vE+Z7nuTS3u1LrKsoLpJAJBnFtdcaEgO+/GMQjnkTXWlknBgxysV8PBEhNtO07p&#10;fvKFCCHsElRQet8kUrq8JINuYhviwP3a1qAPsC2kbrEL4aaWsyiaS4MVh4YSG9qWlP+dbkZBinE2&#10;j6/HjvV1axf28pman71SH6N+8w3CU+/f4pf7oMP8L/j/JRwgV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IbEyvwAAANsAAAAPAAAAAAAAAAAAAAAAAJgCAABkcnMvZG93bnJl&#10;di54bWxQSwUGAAAAAAQABAD1AAAAhAMAAAAA&#10;" adj="270" strokecolor="#a6a6a6"/>
                    </v:group>
                  </w:pict>
                </mc:Fallback>
              </mc:AlternateContent>
            </w:r>
          </w:p>
          <w:tbl>
            <w:tblPr>
              <w:tblW w:w="0" w:type="auto"/>
              <w:tblCellSpacing w:w="0" w:type="dxa"/>
              <w:tblLayout w:type="fixed"/>
              <w:tblCellMar>
                <w:left w:w="0" w:type="dxa"/>
                <w:right w:w="0" w:type="dxa"/>
              </w:tblCellMar>
              <w:tblLook w:val="04A0" w:firstRow="1" w:lastRow="0" w:firstColumn="1" w:lastColumn="0" w:noHBand="0" w:noVBand="1"/>
            </w:tblPr>
            <w:tblGrid>
              <w:gridCol w:w="2320"/>
            </w:tblGrid>
            <w:tr w:rsidR="00C85FD7" w:rsidRPr="00C85FD7" w:rsidTr="00A377FD">
              <w:trPr>
                <w:trHeight w:val="855"/>
                <w:tblCellSpacing w:w="0" w:type="dxa"/>
              </w:trPr>
              <w:tc>
                <w:tcPr>
                  <w:tcW w:w="2320" w:type="dxa"/>
                  <w:tcBorders>
                    <w:top w:val="nil"/>
                    <w:left w:val="nil"/>
                    <w:bottom w:val="nil"/>
                    <w:right w:val="nil"/>
                  </w:tcBorders>
                  <w:shd w:val="clear" w:color="auto" w:fill="auto"/>
                  <w:noWrap/>
                  <w:vAlign w:val="bottom"/>
                  <w:hideMark/>
                </w:tcPr>
                <w:p w:rsidR="00C85FD7" w:rsidRPr="000763AE" w:rsidRDefault="00C85FD7" w:rsidP="00427236">
                  <w:pPr>
                    <w:jc w:val="both"/>
                    <w:rPr>
                      <w:rFonts w:ascii="Calibri" w:hAnsi="Calibri"/>
                      <w:b/>
                      <w:bCs/>
                      <w:color w:val="404040"/>
                      <w:sz w:val="16"/>
                      <w:szCs w:val="22"/>
                    </w:rPr>
                  </w:pPr>
                </w:p>
                <w:p w:rsidR="00C85FD7" w:rsidRPr="00C85FD7" w:rsidRDefault="00C85FD7" w:rsidP="00427236">
                  <w:pPr>
                    <w:jc w:val="both"/>
                    <w:rPr>
                      <w:rFonts w:ascii="Calibri" w:hAnsi="Calibri" w:cs="Calibri"/>
                      <w:color w:val="000000"/>
                      <w:sz w:val="16"/>
                      <w:szCs w:val="22"/>
                    </w:rPr>
                  </w:pPr>
                </w:p>
              </w:tc>
            </w:tr>
          </w:tbl>
          <w:p w:rsidR="00C85FD7" w:rsidRPr="00C85FD7" w:rsidRDefault="00C85FD7" w:rsidP="00427236">
            <w:pPr>
              <w:jc w:val="both"/>
              <w:rPr>
                <w:rFonts w:ascii="Calibri" w:hAnsi="Calibri" w:cs="Calibri"/>
                <w:color w:val="000000"/>
                <w:sz w:val="16"/>
                <w:szCs w:val="22"/>
              </w:rPr>
            </w:pPr>
          </w:p>
        </w:tc>
        <w:tc>
          <w:tcPr>
            <w:tcW w:w="597" w:type="pct"/>
            <w:tcBorders>
              <w:bottom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p>
        </w:tc>
        <w:tc>
          <w:tcPr>
            <w:tcW w:w="695" w:type="pct"/>
            <w:tcBorders>
              <w:bottom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 </w:t>
            </w:r>
          </w:p>
        </w:tc>
        <w:tc>
          <w:tcPr>
            <w:tcW w:w="695" w:type="pct"/>
            <w:tcBorders>
              <w:bottom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p>
        </w:tc>
        <w:tc>
          <w:tcPr>
            <w:tcW w:w="746" w:type="pct"/>
            <w:tcBorders>
              <w:bottom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p>
        </w:tc>
        <w:tc>
          <w:tcPr>
            <w:tcW w:w="733" w:type="pct"/>
            <w:tcBorders>
              <w:bottom w:val="single" w:sz="4" w:space="0" w:color="auto"/>
            </w:tcBorders>
            <w:shd w:val="clear" w:color="auto" w:fill="auto"/>
            <w:vAlign w:val="center"/>
            <w:hideMark/>
          </w:tcPr>
          <w:p w:rsidR="00C85FD7" w:rsidRPr="00C85FD7" w:rsidRDefault="00C85FD7" w:rsidP="00427236">
            <w:pPr>
              <w:jc w:val="both"/>
              <w:rPr>
                <w:rFonts w:ascii="Calibri" w:hAnsi="Calibri" w:cs="Calibri"/>
                <w:color w:val="000000"/>
                <w:sz w:val="16"/>
                <w:szCs w:val="22"/>
              </w:rPr>
            </w:pPr>
          </w:p>
        </w:tc>
      </w:tr>
      <w:tr w:rsidR="00C85FD7" w:rsidRPr="00C85FD7" w:rsidTr="000763AE">
        <w:trPr>
          <w:trHeight w:val="315"/>
        </w:trPr>
        <w:tc>
          <w:tcPr>
            <w:tcW w:w="842" w:type="pct"/>
            <w:tcBorders>
              <w:top w:val="single" w:sz="4" w:space="0" w:color="auto"/>
              <w:left w:val="single" w:sz="4" w:space="0" w:color="auto"/>
              <w:bottom w:val="single" w:sz="8" w:space="0" w:color="auto"/>
            </w:tcBorders>
            <w:shd w:val="clear" w:color="auto" w:fill="808080"/>
            <w:vAlign w:val="center"/>
            <w:hideMark/>
          </w:tcPr>
          <w:p w:rsidR="00C85FD7" w:rsidRPr="000763AE" w:rsidRDefault="00C85FD7" w:rsidP="00427236">
            <w:pPr>
              <w:jc w:val="both"/>
              <w:rPr>
                <w:rFonts w:ascii="Calibri" w:hAnsi="Calibri" w:cs="Calibri"/>
                <w:color w:val="FFFFFF"/>
                <w:sz w:val="16"/>
                <w:szCs w:val="22"/>
              </w:rPr>
            </w:pPr>
            <w:r w:rsidRPr="000763AE">
              <w:rPr>
                <w:rFonts w:ascii="Calibri" w:hAnsi="Calibri" w:cs="Calibri"/>
                <w:color w:val="FFFFFF"/>
                <w:sz w:val="16"/>
                <w:szCs w:val="22"/>
              </w:rPr>
              <w:t> </w:t>
            </w:r>
          </w:p>
        </w:tc>
        <w:tc>
          <w:tcPr>
            <w:tcW w:w="692" w:type="pct"/>
            <w:tcBorders>
              <w:top w:val="single" w:sz="4"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Diabetes Unspecified (%of All)</w:t>
            </w:r>
          </w:p>
        </w:tc>
        <w:tc>
          <w:tcPr>
            <w:tcW w:w="597" w:type="pct"/>
            <w:tcBorders>
              <w:top w:val="single" w:sz="4"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Diabetes 1 (% of All)</w:t>
            </w:r>
          </w:p>
        </w:tc>
        <w:tc>
          <w:tcPr>
            <w:tcW w:w="695" w:type="pct"/>
            <w:tcBorders>
              <w:top w:val="single" w:sz="4"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Diabetes 2 (%of All)</w:t>
            </w:r>
          </w:p>
        </w:tc>
        <w:tc>
          <w:tcPr>
            <w:tcW w:w="695" w:type="pct"/>
            <w:tcBorders>
              <w:top w:val="single" w:sz="4"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All Diabetes (% of Total)</w:t>
            </w:r>
          </w:p>
        </w:tc>
        <w:tc>
          <w:tcPr>
            <w:tcW w:w="746" w:type="pct"/>
            <w:tcBorders>
              <w:top w:val="single" w:sz="4"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No Diabetes (% of Total)</w:t>
            </w:r>
          </w:p>
        </w:tc>
        <w:tc>
          <w:tcPr>
            <w:tcW w:w="733" w:type="pct"/>
            <w:tcBorders>
              <w:top w:val="single" w:sz="4" w:space="0" w:color="auto"/>
              <w:bottom w:val="single" w:sz="8"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8"/>
              </w:rPr>
            </w:pPr>
            <w:r w:rsidRPr="000763AE">
              <w:rPr>
                <w:rFonts w:ascii="Calibri" w:hAnsi="Calibri" w:cs="Calibri"/>
                <w:b/>
                <w:bCs/>
                <w:color w:val="FFFFFF"/>
                <w:sz w:val="16"/>
                <w:szCs w:val="18"/>
              </w:rPr>
              <w:t xml:space="preserve">Total (% of N) </w:t>
            </w:r>
          </w:p>
        </w:tc>
      </w:tr>
      <w:tr w:rsidR="00C85FD7" w:rsidRPr="00C85FD7" w:rsidTr="000763AE">
        <w:trPr>
          <w:trHeight w:val="300"/>
        </w:trPr>
        <w:tc>
          <w:tcPr>
            <w:tcW w:w="842" w:type="pct"/>
            <w:tcBorders>
              <w:top w:val="single" w:sz="8" w:space="0" w:color="auto"/>
              <w:left w:val="single" w:sz="4" w:space="0" w:color="auto"/>
              <w:bottom w:val="single" w:sz="8" w:space="0" w:color="auto"/>
            </w:tcBorders>
            <w:shd w:val="clear" w:color="auto" w:fill="808080"/>
            <w:vAlign w:val="center"/>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xml:space="preserve">Practice Type </w:t>
            </w:r>
          </w:p>
        </w:tc>
        <w:tc>
          <w:tcPr>
            <w:tcW w:w="692"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w:t>
            </w:r>
          </w:p>
        </w:tc>
        <w:tc>
          <w:tcPr>
            <w:tcW w:w="597"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w:t>
            </w:r>
          </w:p>
        </w:tc>
        <w:tc>
          <w:tcPr>
            <w:tcW w:w="695"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w:t>
            </w:r>
          </w:p>
        </w:tc>
        <w:tc>
          <w:tcPr>
            <w:tcW w:w="695"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22"/>
              </w:rPr>
            </w:pPr>
            <w:r w:rsidRPr="000763AE">
              <w:rPr>
                <w:rFonts w:ascii="Calibri" w:hAnsi="Calibri" w:cs="Calibri"/>
                <w:b/>
                <w:bCs/>
                <w:color w:val="FFFFFF"/>
                <w:sz w:val="16"/>
                <w:szCs w:val="22"/>
              </w:rPr>
              <w:t> </w:t>
            </w:r>
          </w:p>
        </w:tc>
        <w:tc>
          <w:tcPr>
            <w:tcW w:w="746"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22"/>
              </w:rPr>
            </w:pPr>
            <w:r w:rsidRPr="000763AE">
              <w:rPr>
                <w:rFonts w:ascii="Calibri" w:hAnsi="Calibri" w:cs="Calibri"/>
                <w:b/>
                <w:bCs/>
                <w:color w:val="FFFFFF"/>
                <w:sz w:val="16"/>
                <w:szCs w:val="22"/>
              </w:rPr>
              <w:t> </w:t>
            </w:r>
          </w:p>
        </w:tc>
        <w:tc>
          <w:tcPr>
            <w:tcW w:w="733" w:type="pct"/>
            <w:tcBorders>
              <w:top w:val="single" w:sz="8" w:space="0" w:color="auto"/>
              <w:bottom w:val="single" w:sz="8"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22"/>
              </w:rPr>
            </w:pPr>
            <w:r w:rsidRPr="000763AE">
              <w:rPr>
                <w:rFonts w:ascii="Calibri" w:hAnsi="Calibri" w:cs="Calibri"/>
                <w:b/>
                <w:bCs/>
                <w:color w:val="FFFFFF"/>
                <w:sz w:val="16"/>
                <w:szCs w:val="22"/>
              </w:rPr>
              <w:t> </w:t>
            </w:r>
          </w:p>
        </w:tc>
      </w:tr>
      <w:tr w:rsidR="00C85FD7" w:rsidRPr="00C85FD7" w:rsidTr="00A377FD">
        <w:trPr>
          <w:trHeight w:val="300"/>
        </w:trPr>
        <w:tc>
          <w:tcPr>
            <w:tcW w:w="842" w:type="pct"/>
            <w:tcBorders>
              <w:top w:val="single" w:sz="8" w:space="0" w:color="auto"/>
              <w:left w:val="single" w:sz="4" w:space="0" w:color="auto"/>
            </w:tcBorders>
            <w:shd w:val="clear" w:color="auto" w:fill="auto"/>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Solo</w:t>
            </w:r>
          </w:p>
        </w:tc>
        <w:tc>
          <w:tcPr>
            <w:tcW w:w="692"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471(32%)</w:t>
            </w:r>
          </w:p>
        </w:tc>
        <w:tc>
          <w:tcPr>
            <w:tcW w:w="597"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50(27%)</w:t>
            </w:r>
          </w:p>
        </w:tc>
        <w:tc>
          <w:tcPr>
            <w:tcW w:w="695"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497(27%)</w:t>
            </w:r>
          </w:p>
        </w:tc>
        <w:tc>
          <w:tcPr>
            <w:tcW w:w="695"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1,018(29%)</w:t>
            </w:r>
          </w:p>
        </w:tc>
        <w:tc>
          <w:tcPr>
            <w:tcW w:w="746"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7,398(30%)</w:t>
            </w:r>
          </w:p>
        </w:tc>
        <w:tc>
          <w:tcPr>
            <w:tcW w:w="733" w:type="pct"/>
            <w:tcBorders>
              <w:top w:val="single" w:sz="8" w:space="0" w:color="auto"/>
              <w:right w:val="single" w:sz="4" w:space="0" w:color="auto"/>
            </w:tcBorders>
            <w:shd w:val="clear" w:color="auto" w:fill="auto"/>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8,416(30%)</w:t>
            </w:r>
          </w:p>
        </w:tc>
      </w:tr>
      <w:tr w:rsidR="00C85FD7" w:rsidRPr="00C85FD7" w:rsidTr="00A377FD">
        <w:trPr>
          <w:trHeight w:val="315"/>
        </w:trPr>
        <w:tc>
          <w:tcPr>
            <w:tcW w:w="842" w:type="pct"/>
            <w:tcBorders>
              <w:left w:val="single" w:sz="4" w:space="0" w:color="auto"/>
              <w:bottom w:val="double" w:sz="4" w:space="0" w:color="auto"/>
            </w:tcBorders>
            <w:shd w:val="clear" w:color="auto" w:fill="auto"/>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Multi</w:t>
            </w:r>
          </w:p>
        </w:tc>
        <w:tc>
          <w:tcPr>
            <w:tcW w:w="692"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1,011(68%)</w:t>
            </w:r>
          </w:p>
        </w:tc>
        <w:tc>
          <w:tcPr>
            <w:tcW w:w="597"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138(73%)</w:t>
            </w:r>
          </w:p>
        </w:tc>
        <w:tc>
          <w:tcPr>
            <w:tcW w:w="695"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1,314(73%)</w:t>
            </w:r>
          </w:p>
        </w:tc>
        <w:tc>
          <w:tcPr>
            <w:tcW w:w="695"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2,463(71%)</w:t>
            </w:r>
          </w:p>
        </w:tc>
        <w:tc>
          <w:tcPr>
            <w:tcW w:w="746"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17,453(70%)</w:t>
            </w:r>
          </w:p>
        </w:tc>
        <w:tc>
          <w:tcPr>
            <w:tcW w:w="733" w:type="pct"/>
            <w:tcBorders>
              <w:bottom w:val="double" w:sz="4" w:space="0" w:color="auto"/>
              <w:right w:val="single" w:sz="4" w:space="0" w:color="auto"/>
            </w:tcBorders>
            <w:shd w:val="clear" w:color="auto" w:fill="auto"/>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19,916(70%)</w:t>
            </w:r>
          </w:p>
        </w:tc>
      </w:tr>
      <w:tr w:rsidR="00C85FD7" w:rsidRPr="00C85FD7" w:rsidTr="00A377FD">
        <w:trPr>
          <w:trHeight w:val="315"/>
        </w:trPr>
        <w:tc>
          <w:tcPr>
            <w:tcW w:w="842" w:type="pct"/>
            <w:tcBorders>
              <w:top w:val="double" w:sz="4" w:space="0" w:color="auto"/>
              <w:left w:val="single" w:sz="4" w:space="0" w:color="auto"/>
              <w:bottom w:val="single" w:sz="8" w:space="0" w:color="auto"/>
            </w:tcBorders>
            <w:shd w:val="clear" w:color="auto" w:fill="auto"/>
            <w:vAlign w:val="bottom"/>
            <w:hideMark/>
          </w:tcPr>
          <w:p w:rsidR="00C85FD7" w:rsidRPr="00C85FD7" w:rsidRDefault="00C85FD7" w:rsidP="00427236">
            <w:pPr>
              <w:jc w:val="both"/>
              <w:rPr>
                <w:rFonts w:ascii="Calibri" w:hAnsi="Calibri" w:cs="Calibri"/>
                <w:bCs/>
                <w:color w:val="000000"/>
                <w:sz w:val="16"/>
                <w:szCs w:val="22"/>
              </w:rPr>
            </w:pPr>
            <w:r w:rsidRPr="00C85FD7">
              <w:rPr>
                <w:rFonts w:ascii="Calibri" w:hAnsi="Calibri" w:cs="Calibri"/>
                <w:bCs/>
                <w:color w:val="000000"/>
                <w:sz w:val="16"/>
                <w:szCs w:val="22"/>
              </w:rPr>
              <w:t xml:space="preserve">Total </w:t>
            </w:r>
          </w:p>
        </w:tc>
        <w:tc>
          <w:tcPr>
            <w:tcW w:w="692" w:type="pct"/>
            <w:tcBorders>
              <w:top w:val="double" w:sz="4" w:space="0" w:color="auto"/>
              <w:bottom w:val="single" w:sz="8"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1,482(100%)</w:t>
            </w:r>
          </w:p>
        </w:tc>
        <w:tc>
          <w:tcPr>
            <w:tcW w:w="597" w:type="pct"/>
            <w:tcBorders>
              <w:top w:val="double" w:sz="4" w:space="0" w:color="auto"/>
              <w:bottom w:val="single" w:sz="8"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188(100%)</w:t>
            </w:r>
          </w:p>
        </w:tc>
        <w:tc>
          <w:tcPr>
            <w:tcW w:w="695" w:type="pct"/>
            <w:tcBorders>
              <w:top w:val="double" w:sz="4" w:space="0" w:color="auto"/>
              <w:bottom w:val="single" w:sz="8"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1,811(100%)</w:t>
            </w:r>
          </w:p>
        </w:tc>
        <w:tc>
          <w:tcPr>
            <w:tcW w:w="695" w:type="pct"/>
            <w:tcBorders>
              <w:top w:val="double" w:sz="4" w:space="0" w:color="auto"/>
              <w:bottom w:val="single" w:sz="8" w:space="0" w:color="auto"/>
            </w:tcBorders>
            <w:shd w:val="clear" w:color="auto" w:fill="auto"/>
            <w:noWrap/>
            <w:vAlign w:val="bottom"/>
            <w:hideMark/>
          </w:tcPr>
          <w:p w:rsidR="00C85FD7" w:rsidRPr="00C85FD7" w:rsidRDefault="00C85FD7" w:rsidP="00427236">
            <w:pPr>
              <w:jc w:val="both"/>
              <w:rPr>
                <w:rFonts w:ascii="Calibri" w:hAnsi="Calibri" w:cs="Calibri"/>
                <w:bCs/>
                <w:color w:val="000000"/>
                <w:sz w:val="16"/>
                <w:szCs w:val="22"/>
              </w:rPr>
            </w:pPr>
            <w:r w:rsidRPr="00C85FD7">
              <w:rPr>
                <w:rFonts w:ascii="Calibri" w:hAnsi="Calibri" w:cs="Calibri"/>
                <w:bCs/>
                <w:color w:val="000000"/>
                <w:sz w:val="16"/>
                <w:szCs w:val="22"/>
              </w:rPr>
              <w:t>3,481(100%)</w:t>
            </w:r>
          </w:p>
        </w:tc>
        <w:tc>
          <w:tcPr>
            <w:tcW w:w="746" w:type="pct"/>
            <w:tcBorders>
              <w:top w:val="double" w:sz="4" w:space="0" w:color="auto"/>
              <w:bottom w:val="single" w:sz="8" w:space="0" w:color="auto"/>
            </w:tcBorders>
            <w:shd w:val="clear" w:color="auto" w:fill="auto"/>
            <w:noWrap/>
            <w:vAlign w:val="bottom"/>
            <w:hideMark/>
          </w:tcPr>
          <w:p w:rsidR="00C85FD7" w:rsidRPr="00C85FD7" w:rsidRDefault="00C85FD7" w:rsidP="00427236">
            <w:pPr>
              <w:jc w:val="both"/>
              <w:rPr>
                <w:rFonts w:ascii="Calibri" w:hAnsi="Calibri" w:cs="Calibri"/>
                <w:bCs/>
                <w:color w:val="000000"/>
                <w:sz w:val="16"/>
                <w:szCs w:val="22"/>
              </w:rPr>
            </w:pPr>
            <w:r w:rsidRPr="00C85FD7">
              <w:rPr>
                <w:rFonts w:ascii="Calibri" w:hAnsi="Calibri" w:cs="Calibri"/>
                <w:bCs/>
                <w:color w:val="000000"/>
                <w:sz w:val="16"/>
                <w:szCs w:val="22"/>
              </w:rPr>
              <w:t>24,851(100%)</w:t>
            </w:r>
          </w:p>
        </w:tc>
        <w:tc>
          <w:tcPr>
            <w:tcW w:w="733" w:type="pct"/>
            <w:tcBorders>
              <w:top w:val="double" w:sz="4" w:space="0" w:color="auto"/>
              <w:bottom w:val="single" w:sz="8" w:space="0" w:color="auto"/>
              <w:right w:val="single" w:sz="4" w:space="0" w:color="auto"/>
            </w:tcBorders>
            <w:shd w:val="clear" w:color="auto" w:fill="auto"/>
            <w:noWrap/>
            <w:vAlign w:val="bottom"/>
            <w:hideMark/>
          </w:tcPr>
          <w:p w:rsidR="00C85FD7" w:rsidRPr="00C85FD7" w:rsidRDefault="00C85FD7" w:rsidP="00427236">
            <w:pPr>
              <w:jc w:val="both"/>
              <w:rPr>
                <w:rFonts w:ascii="Calibri" w:hAnsi="Calibri" w:cs="Calibri"/>
                <w:bCs/>
                <w:color w:val="000000"/>
                <w:sz w:val="16"/>
                <w:szCs w:val="22"/>
              </w:rPr>
            </w:pPr>
            <w:r w:rsidRPr="00C85FD7">
              <w:rPr>
                <w:rFonts w:ascii="Calibri" w:hAnsi="Calibri" w:cs="Calibri"/>
                <w:bCs/>
                <w:color w:val="000000"/>
                <w:sz w:val="16"/>
                <w:szCs w:val="22"/>
              </w:rPr>
              <w:t>28,332(100%)</w:t>
            </w:r>
          </w:p>
        </w:tc>
      </w:tr>
      <w:tr w:rsidR="00C85FD7" w:rsidRPr="00C85FD7" w:rsidTr="000763AE">
        <w:trPr>
          <w:trHeight w:val="300"/>
        </w:trPr>
        <w:tc>
          <w:tcPr>
            <w:tcW w:w="842" w:type="pct"/>
            <w:tcBorders>
              <w:top w:val="single" w:sz="8" w:space="0" w:color="auto"/>
              <w:left w:val="single" w:sz="4" w:space="0" w:color="auto"/>
              <w:bottom w:val="single" w:sz="8" w:space="0" w:color="auto"/>
            </w:tcBorders>
            <w:shd w:val="clear" w:color="auto" w:fill="808080"/>
            <w:vAlign w:val="center"/>
            <w:hideMark/>
          </w:tcPr>
          <w:p w:rsidR="00C85FD7" w:rsidRPr="000763AE" w:rsidRDefault="00C85FD7" w:rsidP="00427236">
            <w:pPr>
              <w:jc w:val="both"/>
              <w:rPr>
                <w:rFonts w:ascii="Calibri" w:hAnsi="Calibri" w:cs="Calibri"/>
                <w:b/>
                <w:color w:val="FFFFFF"/>
                <w:sz w:val="16"/>
                <w:szCs w:val="22"/>
              </w:rPr>
            </w:pPr>
            <w:r w:rsidRPr="000763AE">
              <w:rPr>
                <w:rFonts w:ascii="Calibri" w:hAnsi="Calibri" w:cs="Calibri"/>
                <w:b/>
                <w:color w:val="FFFFFF"/>
                <w:sz w:val="16"/>
                <w:szCs w:val="22"/>
              </w:rPr>
              <w:t xml:space="preserve">Region </w:t>
            </w:r>
          </w:p>
        </w:tc>
        <w:tc>
          <w:tcPr>
            <w:tcW w:w="692"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color w:val="FFFFFF"/>
                <w:sz w:val="16"/>
                <w:szCs w:val="22"/>
              </w:rPr>
            </w:pPr>
            <w:r w:rsidRPr="000763AE">
              <w:rPr>
                <w:rFonts w:ascii="Calibri" w:hAnsi="Calibri" w:cs="Calibri"/>
                <w:color w:val="FFFFFF"/>
                <w:sz w:val="16"/>
                <w:szCs w:val="22"/>
              </w:rPr>
              <w:t> </w:t>
            </w:r>
          </w:p>
        </w:tc>
        <w:tc>
          <w:tcPr>
            <w:tcW w:w="597"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color w:val="FFFFFF"/>
                <w:sz w:val="16"/>
                <w:szCs w:val="22"/>
              </w:rPr>
            </w:pPr>
            <w:r w:rsidRPr="000763AE">
              <w:rPr>
                <w:rFonts w:ascii="Calibri" w:hAnsi="Calibri" w:cs="Calibri"/>
                <w:color w:val="FFFFFF"/>
                <w:sz w:val="16"/>
                <w:szCs w:val="22"/>
              </w:rPr>
              <w:t> </w:t>
            </w:r>
          </w:p>
        </w:tc>
        <w:tc>
          <w:tcPr>
            <w:tcW w:w="695"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color w:val="FFFFFF"/>
                <w:sz w:val="16"/>
                <w:szCs w:val="22"/>
              </w:rPr>
            </w:pPr>
            <w:r w:rsidRPr="000763AE">
              <w:rPr>
                <w:rFonts w:ascii="Calibri" w:hAnsi="Calibri" w:cs="Calibri"/>
                <w:color w:val="FFFFFF"/>
                <w:sz w:val="16"/>
                <w:szCs w:val="22"/>
              </w:rPr>
              <w:t> </w:t>
            </w:r>
          </w:p>
        </w:tc>
        <w:tc>
          <w:tcPr>
            <w:tcW w:w="695"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22"/>
              </w:rPr>
            </w:pPr>
            <w:r w:rsidRPr="000763AE">
              <w:rPr>
                <w:rFonts w:ascii="Calibri" w:hAnsi="Calibri" w:cs="Calibri"/>
                <w:b/>
                <w:bCs/>
                <w:color w:val="FFFFFF"/>
                <w:sz w:val="16"/>
                <w:szCs w:val="22"/>
              </w:rPr>
              <w:t> </w:t>
            </w:r>
          </w:p>
        </w:tc>
        <w:tc>
          <w:tcPr>
            <w:tcW w:w="746" w:type="pct"/>
            <w:tcBorders>
              <w:top w:val="single" w:sz="8" w:space="0" w:color="auto"/>
              <w:bottom w:val="single" w:sz="8" w:space="0" w:color="auto"/>
            </w:tcBorders>
            <w:shd w:val="clear" w:color="auto" w:fill="808080"/>
            <w:noWrap/>
            <w:vAlign w:val="center"/>
            <w:hideMark/>
          </w:tcPr>
          <w:p w:rsidR="00C85FD7" w:rsidRPr="000763AE" w:rsidRDefault="00C85FD7" w:rsidP="00427236">
            <w:pPr>
              <w:jc w:val="both"/>
              <w:rPr>
                <w:rFonts w:ascii="Calibri" w:hAnsi="Calibri" w:cs="Calibri"/>
                <w:b/>
                <w:bCs/>
                <w:color w:val="FFFFFF"/>
                <w:sz w:val="16"/>
                <w:szCs w:val="22"/>
              </w:rPr>
            </w:pPr>
            <w:r w:rsidRPr="000763AE">
              <w:rPr>
                <w:rFonts w:ascii="Calibri" w:hAnsi="Calibri" w:cs="Calibri"/>
                <w:b/>
                <w:bCs/>
                <w:color w:val="FFFFFF"/>
                <w:sz w:val="16"/>
                <w:szCs w:val="22"/>
              </w:rPr>
              <w:t> </w:t>
            </w:r>
          </w:p>
        </w:tc>
        <w:tc>
          <w:tcPr>
            <w:tcW w:w="733" w:type="pct"/>
            <w:tcBorders>
              <w:top w:val="single" w:sz="8" w:space="0" w:color="auto"/>
              <w:bottom w:val="single" w:sz="8"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22"/>
              </w:rPr>
            </w:pPr>
            <w:r w:rsidRPr="000763AE">
              <w:rPr>
                <w:rFonts w:ascii="Calibri" w:hAnsi="Calibri" w:cs="Calibri"/>
                <w:b/>
                <w:bCs/>
                <w:color w:val="FFFFFF"/>
                <w:sz w:val="16"/>
                <w:szCs w:val="22"/>
              </w:rPr>
              <w:t> </w:t>
            </w:r>
          </w:p>
        </w:tc>
      </w:tr>
      <w:tr w:rsidR="00C85FD7" w:rsidRPr="00C85FD7" w:rsidTr="00A377FD">
        <w:trPr>
          <w:trHeight w:val="300"/>
        </w:trPr>
        <w:tc>
          <w:tcPr>
            <w:tcW w:w="842" w:type="pct"/>
            <w:tcBorders>
              <w:top w:val="single" w:sz="8" w:space="0" w:color="auto"/>
              <w:left w:val="single" w:sz="4" w:space="0" w:color="auto"/>
            </w:tcBorders>
            <w:shd w:val="clear" w:color="auto" w:fill="auto"/>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Northeast</w:t>
            </w:r>
          </w:p>
        </w:tc>
        <w:tc>
          <w:tcPr>
            <w:tcW w:w="692"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285(19%)</w:t>
            </w:r>
          </w:p>
        </w:tc>
        <w:tc>
          <w:tcPr>
            <w:tcW w:w="597"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39(21%)</w:t>
            </w:r>
          </w:p>
        </w:tc>
        <w:tc>
          <w:tcPr>
            <w:tcW w:w="695"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278(15%)</w:t>
            </w:r>
          </w:p>
        </w:tc>
        <w:tc>
          <w:tcPr>
            <w:tcW w:w="695"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602(17%)</w:t>
            </w:r>
          </w:p>
        </w:tc>
        <w:tc>
          <w:tcPr>
            <w:tcW w:w="746" w:type="pct"/>
            <w:tcBorders>
              <w:top w:val="single" w:sz="8"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4,549(18%)</w:t>
            </w:r>
          </w:p>
        </w:tc>
        <w:tc>
          <w:tcPr>
            <w:tcW w:w="733" w:type="pct"/>
            <w:tcBorders>
              <w:top w:val="single" w:sz="8" w:space="0" w:color="auto"/>
              <w:right w:val="single" w:sz="4" w:space="0" w:color="auto"/>
            </w:tcBorders>
            <w:shd w:val="clear" w:color="auto" w:fill="auto"/>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5,151(18%)</w:t>
            </w:r>
          </w:p>
        </w:tc>
      </w:tr>
      <w:tr w:rsidR="00C85FD7" w:rsidRPr="00C85FD7" w:rsidTr="00A377FD">
        <w:trPr>
          <w:trHeight w:val="300"/>
        </w:trPr>
        <w:tc>
          <w:tcPr>
            <w:tcW w:w="842" w:type="pct"/>
            <w:tcBorders>
              <w:left w:val="single" w:sz="4" w:space="0" w:color="auto"/>
            </w:tcBorders>
            <w:shd w:val="clear" w:color="auto" w:fill="auto"/>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Midwest</w:t>
            </w:r>
          </w:p>
        </w:tc>
        <w:tc>
          <w:tcPr>
            <w:tcW w:w="692" w:type="pct"/>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480(32%)</w:t>
            </w:r>
          </w:p>
        </w:tc>
        <w:tc>
          <w:tcPr>
            <w:tcW w:w="597" w:type="pct"/>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54(29%)</w:t>
            </w:r>
          </w:p>
        </w:tc>
        <w:tc>
          <w:tcPr>
            <w:tcW w:w="695" w:type="pct"/>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536(30%)</w:t>
            </w:r>
          </w:p>
        </w:tc>
        <w:tc>
          <w:tcPr>
            <w:tcW w:w="695" w:type="pct"/>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1,070(31%)</w:t>
            </w:r>
          </w:p>
        </w:tc>
        <w:tc>
          <w:tcPr>
            <w:tcW w:w="746" w:type="pct"/>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7,391(30%)</w:t>
            </w:r>
          </w:p>
        </w:tc>
        <w:tc>
          <w:tcPr>
            <w:tcW w:w="733" w:type="pct"/>
            <w:tcBorders>
              <w:right w:val="single" w:sz="4" w:space="0" w:color="auto"/>
            </w:tcBorders>
            <w:shd w:val="clear" w:color="auto" w:fill="auto"/>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8,461(30%)</w:t>
            </w:r>
          </w:p>
        </w:tc>
      </w:tr>
      <w:tr w:rsidR="00C85FD7" w:rsidRPr="00C85FD7" w:rsidTr="00A377FD">
        <w:trPr>
          <w:trHeight w:val="300"/>
        </w:trPr>
        <w:tc>
          <w:tcPr>
            <w:tcW w:w="842" w:type="pct"/>
            <w:tcBorders>
              <w:left w:val="single" w:sz="4" w:space="0" w:color="auto"/>
            </w:tcBorders>
            <w:shd w:val="clear" w:color="auto" w:fill="auto"/>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South</w:t>
            </w:r>
          </w:p>
        </w:tc>
        <w:tc>
          <w:tcPr>
            <w:tcW w:w="692" w:type="pct"/>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437(29%)</w:t>
            </w:r>
          </w:p>
        </w:tc>
        <w:tc>
          <w:tcPr>
            <w:tcW w:w="597" w:type="pct"/>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53(28%)</w:t>
            </w:r>
          </w:p>
        </w:tc>
        <w:tc>
          <w:tcPr>
            <w:tcW w:w="695" w:type="pct"/>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468(26%)</w:t>
            </w:r>
          </w:p>
        </w:tc>
        <w:tc>
          <w:tcPr>
            <w:tcW w:w="695" w:type="pct"/>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958(28%)</w:t>
            </w:r>
          </w:p>
        </w:tc>
        <w:tc>
          <w:tcPr>
            <w:tcW w:w="746" w:type="pct"/>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6,886(28%)</w:t>
            </w:r>
          </w:p>
        </w:tc>
        <w:tc>
          <w:tcPr>
            <w:tcW w:w="733" w:type="pct"/>
            <w:tcBorders>
              <w:right w:val="single" w:sz="4" w:space="0" w:color="auto"/>
            </w:tcBorders>
            <w:shd w:val="clear" w:color="auto" w:fill="auto"/>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7,844(28%)</w:t>
            </w:r>
          </w:p>
        </w:tc>
      </w:tr>
      <w:tr w:rsidR="00C85FD7" w:rsidRPr="00C85FD7" w:rsidTr="00A377FD">
        <w:trPr>
          <w:trHeight w:val="315"/>
        </w:trPr>
        <w:tc>
          <w:tcPr>
            <w:tcW w:w="842" w:type="pct"/>
            <w:tcBorders>
              <w:left w:val="single" w:sz="4" w:space="0" w:color="auto"/>
              <w:bottom w:val="double" w:sz="4" w:space="0" w:color="auto"/>
            </w:tcBorders>
            <w:shd w:val="clear" w:color="auto" w:fill="auto"/>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 xml:space="preserve">West </w:t>
            </w:r>
          </w:p>
        </w:tc>
        <w:tc>
          <w:tcPr>
            <w:tcW w:w="692"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280(19%)</w:t>
            </w:r>
          </w:p>
        </w:tc>
        <w:tc>
          <w:tcPr>
            <w:tcW w:w="597"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42(22%)</w:t>
            </w:r>
          </w:p>
        </w:tc>
        <w:tc>
          <w:tcPr>
            <w:tcW w:w="695"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529(29%)</w:t>
            </w:r>
          </w:p>
        </w:tc>
        <w:tc>
          <w:tcPr>
            <w:tcW w:w="695"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851(24%)</w:t>
            </w:r>
          </w:p>
        </w:tc>
        <w:tc>
          <w:tcPr>
            <w:tcW w:w="746" w:type="pct"/>
            <w:tcBorders>
              <w:bottom w:val="double" w:sz="4"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6,025(24%)</w:t>
            </w:r>
          </w:p>
        </w:tc>
        <w:tc>
          <w:tcPr>
            <w:tcW w:w="733" w:type="pct"/>
            <w:tcBorders>
              <w:bottom w:val="double" w:sz="4" w:space="0" w:color="auto"/>
              <w:right w:val="single" w:sz="4" w:space="0" w:color="auto"/>
            </w:tcBorders>
            <w:shd w:val="clear" w:color="auto" w:fill="auto"/>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6,876(24%)</w:t>
            </w:r>
          </w:p>
        </w:tc>
      </w:tr>
      <w:tr w:rsidR="00C85FD7" w:rsidRPr="00C85FD7" w:rsidTr="00A377FD">
        <w:trPr>
          <w:trHeight w:val="330"/>
        </w:trPr>
        <w:tc>
          <w:tcPr>
            <w:tcW w:w="842" w:type="pct"/>
            <w:tcBorders>
              <w:top w:val="double" w:sz="4" w:space="0" w:color="auto"/>
              <w:left w:val="single" w:sz="4" w:space="0" w:color="auto"/>
              <w:bottom w:val="single" w:sz="4" w:space="0" w:color="auto"/>
            </w:tcBorders>
            <w:shd w:val="clear" w:color="auto" w:fill="auto"/>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 xml:space="preserve">Total </w:t>
            </w:r>
          </w:p>
        </w:tc>
        <w:tc>
          <w:tcPr>
            <w:tcW w:w="692" w:type="pct"/>
            <w:tcBorders>
              <w:top w:val="double" w:sz="4" w:space="0" w:color="auto"/>
              <w:bottom w:val="sing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1,482(100%)</w:t>
            </w:r>
          </w:p>
        </w:tc>
        <w:tc>
          <w:tcPr>
            <w:tcW w:w="597" w:type="pct"/>
            <w:tcBorders>
              <w:top w:val="double" w:sz="4" w:space="0" w:color="auto"/>
              <w:bottom w:val="sing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188(100%)</w:t>
            </w:r>
          </w:p>
        </w:tc>
        <w:tc>
          <w:tcPr>
            <w:tcW w:w="695" w:type="pct"/>
            <w:tcBorders>
              <w:top w:val="double" w:sz="4" w:space="0" w:color="auto"/>
              <w:bottom w:val="single" w:sz="4" w:space="0" w:color="auto"/>
            </w:tcBorders>
            <w:shd w:val="clear" w:color="auto" w:fill="auto"/>
            <w:noWrap/>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1,811(100%)</w:t>
            </w:r>
          </w:p>
        </w:tc>
        <w:tc>
          <w:tcPr>
            <w:tcW w:w="695" w:type="pct"/>
            <w:tcBorders>
              <w:top w:val="double" w:sz="4" w:space="0" w:color="auto"/>
              <w:bottom w:val="single" w:sz="4"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3,481(100%)</w:t>
            </w:r>
          </w:p>
        </w:tc>
        <w:tc>
          <w:tcPr>
            <w:tcW w:w="746" w:type="pct"/>
            <w:tcBorders>
              <w:top w:val="double" w:sz="4" w:space="0" w:color="auto"/>
              <w:bottom w:val="single" w:sz="4"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24,851(100%)</w:t>
            </w:r>
          </w:p>
        </w:tc>
        <w:tc>
          <w:tcPr>
            <w:tcW w:w="733" w:type="pct"/>
            <w:tcBorders>
              <w:top w:val="double" w:sz="4" w:space="0" w:color="auto"/>
              <w:bottom w:val="single" w:sz="4" w:space="0" w:color="auto"/>
              <w:right w:val="single" w:sz="4" w:space="0" w:color="auto"/>
            </w:tcBorders>
            <w:shd w:val="clear" w:color="auto" w:fill="auto"/>
            <w:noWrap/>
            <w:vAlign w:val="center"/>
            <w:hideMark/>
          </w:tcPr>
          <w:p w:rsidR="00C85FD7" w:rsidRPr="00C85FD7" w:rsidRDefault="00C85FD7" w:rsidP="00427236">
            <w:pPr>
              <w:jc w:val="both"/>
              <w:rPr>
                <w:rFonts w:ascii="Calibri" w:hAnsi="Calibri" w:cs="Calibri"/>
                <w:b/>
                <w:bCs/>
                <w:color w:val="000000"/>
                <w:sz w:val="16"/>
                <w:szCs w:val="22"/>
              </w:rPr>
            </w:pPr>
            <w:r w:rsidRPr="00C85FD7">
              <w:rPr>
                <w:rFonts w:ascii="Calibri" w:hAnsi="Calibri" w:cs="Calibri"/>
                <w:b/>
                <w:bCs/>
                <w:color w:val="000000"/>
                <w:sz w:val="16"/>
                <w:szCs w:val="22"/>
              </w:rPr>
              <w:t>28,332(100%)</w:t>
            </w:r>
          </w:p>
        </w:tc>
      </w:tr>
    </w:tbl>
    <w:p w:rsidR="00C85FD7" w:rsidRPr="000763AE" w:rsidRDefault="00C85FD7" w:rsidP="00427236">
      <w:pPr>
        <w:spacing w:after="200"/>
        <w:jc w:val="both"/>
        <w:rPr>
          <w:rFonts w:eastAsia="Calibri"/>
          <w:b/>
        </w:rPr>
      </w:pPr>
    </w:p>
    <w:p w:rsidR="00C85FD7" w:rsidRPr="000763AE" w:rsidRDefault="00C85FD7" w:rsidP="00427236">
      <w:pPr>
        <w:spacing w:after="200"/>
        <w:jc w:val="both"/>
        <w:rPr>
          <w:rFonts w:eastAsia="Calibri"/>
          <w:b/>
        </w:rPr>
      </w:pPr>
    </w:p>
    <w:p w:rsidR="00C85FD7" w:rsidRPr="000C5643" w:rsidRDefault="00427236" w:rsidP="00427236">
      <w:pPr>
        <w:spacing w:after="200"/>
        <w:jc w:val="both"/>
        <w:rPr>
          <w:rFonts w:eastAsia="Calibri"/>
          <w:b/>
        </w:rPr>
      </w:pPr>
      <w:r w:rsidRPr="000763AE">
        <w:rPr>
          <w:rFonts w:eastAsia="Calibri"/>
          <w:b/>
        </w:rPr>
        <w:br w:type="page"/>
      </w:r>
      <w:proofErr w:type="gramStart"/>
      <w:r w:rsidR="00C85FD7" w:rsidRPr="000763AE">
        <w:rPr>
          <w:rFonts w:eastAsia="Calibri"/>
          <w:b/>
        </w:rPr>
        <w:lastRenderedPageBreak/>
        <w:t>Table 6b.</w:t>
      </w:r>
      <w:proofErr w:type="gramEnd"/>
      <w:r w:rsidR="00C85FD7" w:rsidRPr="000763AE">
        <w:rPr>
          <w:rFonts w:eastAsia="Calibri"/>
          <w:b/>
        </w:rPr>
        <w:t xml:space="preserve"> </w:t>
      </w:r>
      <w:r w:rsidR="00C85FD7" w:rsidRPr="000763AE">
        <w:rPr>
          <w:rFonts w:eastAsia="Calibri"/>
        </w:rPr>
        <w:t>Descriptive data for practice characteristics and time spent with physician for visits with &lt; 15 minutes, 16-40 minutes, and &gt;41 minutes for NAMCS 2015 office visits for patients with Type1 Type2, diabetes unspecified.</w:t>
      </w:r>
    </w:p>
    <w:p w:rsidR="00C85FD7" w:rsidRPr="000763AE" w:rsidRDefault="00C85FD7" w:rsidP="00427236">
      <w:pPr>
        <w:spacing w:after="200"/>
        <w:jc w:val="both"/>
        <w:rPr>
          <w:rFonts w:eastAsia="Calibri"/>
        </w:rPr>
      </w:pPr>
    </w:p>
    <w:tbl>
      <w:tblPr>
        <w:tblW w:w="3974" w:type="pct"/>
        <w:jc w:val="center"/>
        <w:tblLook w:val="04A0" w:firstRow="1" w:lastRow="0" w:firstColumn="1" w:lastColumn="0" w:noHBand="0" w:noVBand="1"/>
      </w:tblPr>
      <w:tblGrid>
        <w:gridCol w:w="501"/>
        <w:gridCol w:w="618"/>
        <w:gridCol w:w="2174"/>
        <w:gridCol w:w="1962"/>
        <w:gridCol w:w="1784"/>
      </w:tblGrid>
      <w:tr w:rsidR="00C85FD7" w:rsidRPr="00C85FD7" w:rsidTr="006D1C17">
        <w:trPr>
          <w:trHeight w:val="300"/>
          <w:jc w:val="center"/>
        </w:trPr>
        <w:tc>
          <w:tcPr>
            <w:tcW w:w="356" w:type="pct"/>
            <w:tcBorders>
              <w:top w:val="nil"/>
              <w:left w:val="nil"/>
              <w:bottom w:val="nil"/>
              <w:right w:val="nil"/>
            </w:tcBorders>
            <w:shd w:val="clear" w:color="auto" w:fill="auto"/>
            <w:noWrap/>
            <w:vAlign w:val="bottom"/>
            <w:hideMark/>
          </w:tcPr>
          <w:p w:rsidR="00C85FD7" w:rsidRPr="000763AE" w:rsidRDefault="00C85FD7" w:rsidP="00427236">
            <w:pPr>
              <w:jc w:val="both"/>
              <w:rPr>
                <w:rFonts w:ascii="Calibri" w:hAnsi="Calibri" w:cs="Calibri"/>
                <w:color w:val="000000"/>
                <w:sz w:val="16"/>
                <w:szCs w:val="16"/>
              </w:rPr>
            </w:pPr>
          </w:p>
        </w:tc>
        <w:tc>
          <w:tcPr>
            <w:tcW w:w="439" w:type="pct"/>
            <w:tcBorders>
              <w:top w:val="nil"/>
              <w:left w:val="nil"/>
              <w:bottom w:val="nil"/>
              <w:right w:val="single" w:sz="4" w:space="0" w:color="auto"/>
            </w:tcBorders>
            <w:shd w:val="clear" w:color="auto" w:fill="auto"/>
            <w:noWrap/>
            <w:vAlign w:val="bottom"/>
            <w:hideMark/>
          </w:tcPr>
          <w:p w:rsidR="00C85FD7" w:rsidRPr="000763AE" w:rsidRDefault="00C85FD7" w:rsidP="00427236">
            <w:pPr>
              <w:jc w:val="both"/>
              <w:rPr>
                <w:rFonts w:ascii="Calibri" w:hAnsi="Calibri" w:cs="Calibri"/>
                <w:color w:val="000000"/>
                <w:sz w:val="16"/>
                <w:szCs w:val="16"/>
              </w:rPr>
            </w:pPr>
          </w:p>
        </w:tc>
        <w:tc>
          <w:tcPr>
            <w:tcW w:w="1544" w:type="pct"/>
            <w:tcBorders>
              <w:top w:val="single" w:sz="4" w:space="0" w:color="auto"/>
              <w:left w:val="single" w:sz="4" w:space="0" w:color="auto"/>
              <w:bottom w:val="single" w:sz="4" w:space="0" w:color="auto"/>
              <w:right w:val="nil"/>
            </w:tcBorders>
            <w:shd w:val="clear" w:color="auto" w:fill="808080"/>
            <w:noWrap/>
            <w:vAlign w:val="center"/>
            <w:hideMark/>
          </w:tcPr>
          <w:p w:rsidR="00C85FD7" w:rsidRPr="000763AE" w:rsidRDefault="00C85FD7" w:rsidP="00427236">
            <w:pPr>
              <w:jc w:val="both"/>
              <w:rPr>
                <w:rFonts w:ascii="Calibri" w:hAnsi="Calibri" w:cs="Calibri"/>
                <w:color w:val="FFFFFF"/>
                <w:sz w:val="16"/>
                <w:szCs w:val="16"/>
              </w:rPr>
            </w:pPr>
            <w:r w:rsidRPr="000763AE">
              <w:rPr>
                <w:rFonts w:ascii="Calibri" w:hAnsi="Calibri" w:cs="Calibri"/>
                <w:color w:val="FFFFFF"/>
                <w:sz w:val="16"/>
                <w:szCs w:val="16"/>
              </w:rPr>
              <w:t>Diabetes Unspecified (%of All)</w:t>
            </w:r>
          </w:p>
        </w:tc>
        <w:tc>
          <w:tcPr>
            <w:tcW w:w="1394" w:type="pct"/>
            <w:tcBorders>
              <w:top w:val="single" w:sz="4" w:space="0" w:color="auto"/>
              <w:left w:val="nil"/>
              <w:bottom w:val="single" w:sz="4" w:space="0" w:color="auto"/>
              <w:right w:val="nil"/>
            </w:tcBorders>
            <w:shd w:val="clear" w:color="auto" w:fill="808080"/>
            <w:vAlign w:val="center"/>
            <w:hideMark/>
          </w:tcPr>
          <w:p w:rsidR="00C85FD7" w:rsidRPr="000763AE" w:rsidRDefault="00C85FD7" w:rsidP="00427236">
            <w:pPr>
              <w:jc w:val="both"/>
              <w:rPr>
                <w:rFonts w:ascii="Calibri" w:hAnsi="Calibri" w:cs="Calibri"/>
                <w:color w:val="FFFFFF"/>
                <w:sz w:val="16"/>
                <w:szCs w:val="16"/>
              </w:rPr>
            </w:pPr>
            <w:r w:rsidRPr="000763AE">
              <w:rPr>
                <w:rFonts w:ascii="Calibri" w:hAnsi="Calibri" w:cs="Calibri"/>
                <w:color w:val="FFFFFF"/>
                <w:sz w:val="16"/>
                <w:szCs w:val="16"/>
              </w:rPr>
              <w:t>Diabetes 1</w:t>
            </w:r>
          </w:p>
          <w:p w:rsidR="00C85FD7" w:rsidRPr="000763AE" w:rsidRDefault="00C85FD7" w:rsidP="00427236">
            <w:pPr>
              <w:jc w:val="both"/>
              <w:rPr>
                <w:rFonts w:ascii="Calibri" w:hAnsi="Calibri" w:cs="Calibri"/>
                <w:color w:val="FFFFFF"/>
                <w:sz w:val="16"/>
                <w:szCs w:val="16"/>
              </w:rPr>
            </w:pPr>
            <w:r w:rsidRPr="000763AE">
              <w:rPr>
                <w:rFonts w:ascii="Calibri" w:hAnsi="Calibri" w:cs="Calibri"/>
                <w:color w:val="FFFFFF"/>
                <w:sz w:val="16"/>
                <w:szCs w:val="16"/>
              </w:rPr>
              <w:t>(% of All)</w:t>
            </w:r>
          </w:p>
        </w:tc>
        <w:tc>
          <w:tcPr>
            <w:tcW w:w="1267" w:type="pct"/>
            <w:tcBorders>
              <w:top w:val="single" w:sz="4" w:space="0" w:color="auto"/>
              <w:left w:val="nil"/>
              <w:bottom w:val="single" w:sz="4"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color w:val="FFFFFF"/>
                <w:sz w:val="16"/>
                <w:szCs w:val="16"/>
              </w:rPr>
            </w:pPr>
            <w:r w:rsidRPr="000763AE">
              <w:rPr>
                <w:rFonts w:ascii="Calibri" w:hAnsi="Calibri" w:cs="Calibri"/>
                <w:color w:val="FFFFFF"/>
                <w:sz w:val="16"/>
                <w:szCs w:val="16"/>
              </w:rPr>
              <w:t>Diabetes 2</w:t>
            </w:r>
          </w:p>
          <w:p w:rsidR="00C85FD7" w:rsidRPr="000763AE" w:rsidRDefault="00C85FD7" w:rsidP="00427236">
            <w:pPr>
              <w:jc w:val="both"/>
              <w:rPr>
                <w:rFonts w:ascii="Calibri" w:hAnsi="Calibri" w:cs="Calibri"/>
                <w:color w:val="FFFFFF"/>
                <w:sz w:val="16"/>
                <w:szCs w:val="16"/>
              </w:rPr>
            </w:pPr>
            <w:r w:rsidRPr="000763AE">
              <w:rPr>
                <w:rFonts w:ascii="Calibri" w:hAnsi="Calibri" w:cs="Calibri"/>
                <w:color w:val="FFFFFF"/>
                <w:sz w:val="16"/>
                <w:szCs w:val="16"/>
              </w:rPr>
              <w:t>(%of All)</w:t>
            </w:r>
          </w:p>
        </w:tc>
      </w:tr>
      <w:tr w:rsidR="00C85FD7" w:rsidRPr="00C85FD7" w:rsidTr="006D1C17">
        <w:trPr>
          <w:trHeight w:val="525"/>
          <w:jc w:val="center"/>
        </w:trPr>
        <w:tc>
          <w:tcPr>
            <w:tcW w:w="795" w:type="pct"/>
            <w:gridSpan w:val="2"/>
            <w:tcBorders>
              <w:top w:val="single" w:sz="4" w:space="0" w:color="auto"/>
              <w:left w:val="single" w:sz="4" w:space="0" w:color="auto"/>
              <w:bottom w:val="single" w:sz="4"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6"/>
              </w:rPr>
            </w:pPr>
            <w:r w:rsidRPr="000763AE">
              <w:rPr>
                <w:rFonts w:ascii="Calibri" w:hAnsi="Calibri" w:cs="Calibri"/>
                <w:b/>
                <w:bCs/>
                <w:color w:val="FFFFFF"/>
                <w:sz w:val="16"/>
                <w:szCs w:val="16"/>
              </w:rPr>
              <w:t>&lt;15</w:t>
            </w:r>
          </w:p>
        </w:tc>
        <w:tc>
          <w:tcPr>
            <w:tcW w:w="1544" w:type="pct"/>
            <w:tcBorders>
              <w:top w:val="nil"/>
              <w:left w:val="nil"/>
              <w:bottom w:val="single" w:sz="4" w:space="0" w:color="auto"/>
              <w:right w:val="nil"/>
            </w:tcBorders>
            <w:shd w:val="clear" w:color="auto" w:fill="auto"/>
            <w:noWrap/>
            <w:vAlign w:val="center"/>
            <w:hideMark/>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668 (45%)</w:t>
            </w:r>
          </w:p>
        </w:tc>
        <w:tc>
          <w:tcPr>
            <w:tcW w:w="1394" w:type="pct"/>
            <w:tcBorders>
              <w:top w:val="nil"/>
              <w:left w:val="nil"/>
              <w:bottom w:val="single" w:sz="4" w:space="0" w:color="auto"/>
              <w:right w:val="nil"/>
            </w:tcBorders>
            <w:shd w:val="clear" w:color="auto" w:fill="auto"/>
            <w:noWrap/>
            <w:vAlign w:val="center"/>
            <w:hideMark/>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73 (39%)</w:t>
            </w:r>
          </w:p>
        </w:tc>
        <w:tc>
          <w:tcPr>
            <w:tcW w:w="1267"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736 (41%)</w:t>
            </w:r>
          </w:p>
        </w:tc>
      </w:tr>
      <w:tr w:rsidR="00C85FD7" w:rsidRPr="00C85FD7" w:rsidTr="006D1C17">
        <w:trPr>
          <w:trHeight w:val="480"/>
          <w:jc w:val="center"/>
        </w:trPr>
        <w:tc>
          <w:tcPr>
            <w:tcW w:w="795" w:type="pct"/>
            <w:gridSpan w:val="2"/>
            <w:tcBorders>
              <w:top w:val="single" w:sz="4" w:space="0" w:color="auto"/>
              <w:left w:val="single" w:sz="4" w:space="0" w:color="auto"/>
              <w:bottom w:val="single" w:sz="4"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6"/>
              </w:rPr>
            </w:pPr>
            <w:r w:rsidRPr="000763AE">
              <w:rPr>
                <w:rFonts w:ascii="Calibri" w:hAnsi="Calibri" w:cs="Calibri"/>
                <w:b/>
                <w:bCs/>
                <w:color w:val="FFFFFF"/>
                <w:sz w:val="16"/>
                <w:szCs w:val="16"/>
              </w:rPr>
              <w:t>16-40</w:t>
            </w:r>
          </w:p>
        </w:tc>
        <w:tc>
          <w:tcPr>
            <w:tcW w:w="1544" w:type="pct"/>
            <w:tcBorders>
              <w:top w:val="single" w:sz="4" w:space="0" w:color="auto"/>
              <w:left w:val="nil"/>
              <w:bottom w:val="single" w:sz="4" w:space="0" w:color="auto"/>
              <w:right w:val="nil"/>
            </w:tcBorders>
            <w:shd w:val="clear" w:color="auto" w:fill="auto"/>
            <w:noWrap/>
            <w:vAlign w:val="center"/>
            <w:hideMark/>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686 (46%)</w:t>
            </w:r>
          </w:p>
        </w:tc>
        <w:tc>
          <w:tcPr>
            <w:tcW w:w="1394" w:type="pct"/>
            <w:tcBorders>
              <w:top w:val="single" w:sz="4" w:space="0" w:color="auto"/>
              <w:left w:val="nil"/>
              <w:bottom w:val="single" w:sz="4" w:space="0" w:color="auto"/>
              <w:right w:val="nil"/>
            </w:tcBorders>
            <w:shd w:val="clear" w:color="auto" w:fill="auto"/>
            <w:noWrap/>
            <w:vAlign w:val="center"/>
            <w:hideMark/>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91 (48%)</w:t>
            </w:r>
          </w:p>
        </w:tc>
        <w:tc>
          <w:tcPr>
            <w:tcW w:w="1267" w:type="pct"/>
            <w:tcBorders>
              <w:top w:val="single" w:sz="4" w:space="0" w:color="auto"/>
              <w:left w:val="nil"/>
              <w:bottom w:val="single" w:sz="4" w:space="0" w:color="auto"/>
              <w:right w:val="single" w:sz="4" w:space="0" w:color="auto"/>
            </w:tcBorders>
            <w:shd w:val="clear" w:color="auto" w:fill="auto"/>
            <w:noWrap/>
            <w:vAlign w:val="center"/>
            <w:hideMark/>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938 (52%)</w:t>
            </w:r>
          </w:p>
        </w:tc>
      </w:tr>
      <w:tr w:rsidR="00C85FD7" w:rsidRPr="00C85FD7" w:rsidTr="006D1C17">
        <w:trPr>
          <w:trHeight w:val="530"/>
          <w:jc w:val="center"/>
        </w:trPr>
        <w:tc>
          <w:tcPr>
            <w:tcW w:w="795" w:type="pct"/>
            <w:gridSpan w:val="2"/>
            <w:tcBorders>
              <w:top w:val="single" w:sz="4" w:space="0" w:color="auto"/>
              <w:left w:val="single" w:sz="4" w:space="0" w:color="auto"/>
              <w:bottom w:val="single" w:sz="4" w:space="0" w:color="auto"/>
              <w:right w:val="single" w:sz="4" w:space="0" w:color="auto"/>
            </w:tcBorders>
            <w:shd w:val="clear" w:color="auto" w:fill="808080"/>
            <w:vAlign w:val="center"/>
            <w:hideMark/>
          </w:tcPr>
          <w:p w:rsidR="00C85FD7" w:rsidRPr="000763AE" w:rsidRDefault="00C85FD7" w:rsidP="00427236">
            <w:pPr>
              <w:jc w:val="both"/>
              <w:rPr>
                <w:rFonts w:ascii="Calibri" w:hAnsi="Calibri" w:cs="Calibri"/>
                <w:b/>
                <w:bCs/>
                <w:color w:val="FFFFFF"/>
                <w:sz w:val="16"/>
                <w:szCs w:val="16"/>
              </w:rPr>
            </w:pPr>
            <w:r w:rsidRPr="000763AE">
              <w:rPr>
                <w:rFonts w:ascii="Calibri" w:hAnsi="Calibri" w:cs="Calibri"/>
                <w:b/>
                <w:bCs/>
                <w:color w:val="FFFFFF"/>
                <w:sz w:val="16"/>
                <w:szCs w:val="16"/>
              </w:rPr>
              <w:t>&gt;41</w:t>
            </w:r>
          </w:p>
        </w:tc>
        <w:tc>
          <w:tcPr>
            <w:tcW w:w="1544" w:type="pct"/>
            <w:tcBorders>
              <w:top w:val="single" w:sz="4" w:space="0" w:color="auto"/>
              <w:left w:val="nil"/>
              <w:bottom w:val="single" w:sz="4" w:space="0" w:color="auto"/>
              <w:right w:val="nil"/>
            </w:tcBorders>
            <w:shd w:val="clear" w:color="auto" w:fill="auto"/>
            <w:noWrap/>
            <w:vAlign w:val="center"/>
            <w:hideMark/>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128 (9%)</w:t>
            </w:r>
          </w:p>
        </w:tc>
        <w:tc>
          <w:tcPr>
            <w:tcW w:w="1394" w:type="pct"/>
            <w:tcBorders>
              <w:top w:val="single" w:sz="4" w:space="0" w:color="auto"/>
              <w:left w:val="nil"/>
              <w:bottom w:val="single" w:sz="4" w:space="0" w:color="auto"/>
              <w:right w:val="nil"/>
            </w:tcBorders>
            <w:shd w:val="clear" w:color="auto" w:fill="auto"/>
            <w:noWrap/>
            <w:vAlign w:val="center"/>
            <w:hideMark/>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24 (13%)</w:t>
            </w:r>
          </w:p>
        </w:tc>
        <w:tc>
          <w:tcPr>
            <w:tcW w:w="1267" w:type="pct"/>
            <w:tcBorders>
              <w:top w:val="single" w:sz="4" w:space="0" w:color="auto"/>
              <w:left w:val="nil"/>
              <w:bottom w:val="single" w:sz="4" w:space="0" w:color="auto"/>
              <w:right w:val="single" w:sz="4" w:space="0" w:color="auto"/>
            </w:tcBorders>
            <w:shd w:val="clear" w:color="auto" w:fill="auto"/>
            <w:noWrap/>
            <w:vAlign w:val="center"/>
            <w:hideMark/>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137 (7%)</w:t>
            </w:r>
          </w:p>
        </w:tc>
      </w:tr>
      <w:tr w:rsidR="00C85FD7" w:rsidRPr="00C85FD7" w:rsidTr="006D1C17">
        <w:trPr>
          <w:trHeight w:val="530"/>
          <w:jc w:val="center"/>
        </w:trPr>
        <w:tc>
          <w:tcPr>
            <w:tcW w:w="795" w:type="pct"/>
            <w:gridSpan w:val="2"/>
            <w:tcBorders>
              <w:top w:val="single" w:sz="4" w:space="0" w:color="auto"/>
              <w:left w:val="single" w:sz="4" w:space="0" w:color="auto"/>
              <w:bottom w:val="single" w:sz="4" w:space="0" w:color="auto"/>
              <w:right w:val="single" w:sz="4" w:space="0" w:color="auto"/>
            </w:tcBorders>
            <w:shd w:val="clear" w:color="auto" w:fill="808080"/>
            <w:vAlign w:val="center"/>
          </w:tcPr>
          <w:p w:rsidR="00C85FD7" w:rsidRPr="000763AE" w:rsidRDefault="00C85FD7" w:rsidP="00427236">
            <w:pPr>
              <w:jc w:val="both"/>
              <w:rPr>
                <w:rFonts w:ascii="Calibri" w:hAnsi="Calibri" w:cs="Calibri"/>
                <w:b/>
                <w:bCs/>
                <w:color w:val="FFFFFF"/>
                <w:sz w:val="16"/>
                <w:szCs w:val="16"/>
              </w:rPr>
            </w:pPr>
            <w:r w:rsidRPr="000763AE">
              <w:rPr>
                <w:rFonts w:ascii="Calibri" w:hAnsi="Calibri" w:cs="Calibri"/>
                <w:b/>
                <w:bCs/>
                <w:color w:val="FFFFFF"/>
                <w:sz w:val="16"/>
                <w:szCs w:val="16"/>
              </w:rPr>
              <w:t xml:space="preserve">Total </w:t>
            </w:r>
          </w:p>
        </w:tc>
        <w:tc>
          <w:tcPr>
            <w:tcW w:w="1544" w:type="pct"/>
            <w:tcBorders>
              <w:top w:val="single" w:sz="4" w:space="0" w:color="auto"/>
              <w:left w:val="nil"/>
              <w:bottom w:val="single" w:sz="4" w:space="0" w:color="auto"/>
              <w:right w:val="nil"/>
            </w:tcBorders>
            <w:shd w:val="clear" w:color="auto" w:fill="auto"/>
            <w:noWrap/>
            <w:vAlign w:val="center"/>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1,482 (100%)</w:t>
            </w:r>
          </w:p>
        </w:tc>
        <w:tc>
          <w:tcPr>
            <w:tcW w:w="1394" w:type="pct"/>
            <w:tcBorders>
              <w:top w:val="single" w:sz="4" w:space="0" w:color="auto"/>
              <w:left w:val="nil"/>
              <w:bottom w:val="single" w:sz="4" w:space="0" w:color="auto"/>
              <w:right w:val="nil"/>
            </w:tcBorders>
            <w:shd w:val="clear" w:color="auto" w:fill="auto"/>
            <w:noWrap/>
            <w:vAlign w:val="center"/>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188 (100%)</w:t>
            </w:r>
          </w:p>
        </w:tc>
        <w:tc>
          <w:tcPr>
            <w:tcW w:w="1267" w:type="pct"/>
            <w:tcBorders>
              <w:top w:val="single" w:sz="4" w:space="0" w:color="auto"/>
              <w:left w:val="nil"/>
              <w:bottom w:val="single" w:sz="4" w:space="0" w:color="auto"/>
              <w:right w:val="single" w:sz="4" w:space="0" w:color="auto"/>
            </w:tcBorders>
            <w:shd w:val="clear" w:color="auto" w:fill="auto"/>
            <w:noWrap/>
            <w:vAlign w:val="center"/>
          </w:tcPr>
          <w:p w:rsidR="00C85FD7" w:rsidRPr="000763AE" w:rsidRDefault="00C85FD7" w:rsidP="006D1C17">
            <w:pPr>
              <w:jc w:val="center"/>
              <w:rPr>
                <w:rFonts w:ascii="Calibri" w:hAnsi="Calibri" w:cs="Calibri"/>
                <w:color w:val="000000"/>
                <w:sz w:val="16"/>
                <w:szCs w:val="16"/>
              </w:rPr>
            </w:pPr>
            <w:r w:rsidRPr="000763AE">
              <w:rPr>
                <w:rFonts w:ascii="Calibri" w:hAnsi="Calibri" w:cs="Calibri"/>
                <w:color w:val="000000"/>
                <w:sz w:val="16"/>
                <w:szCs w:val="16"/>
              </w:rPr>
              <w:t>1,811 (100%)</w:t>
            </w:r>
          </w:p>
        </w:tc>
      </w:tr>
    </w:tbl>
    <w:p w:rsidR="00C85FD7" w:rsidRPr="000763AE" w:rsidRDefault="00C85FD7" w:rsidP="00427236">
      <w:pPr>
        <w:spacing w:after="200"/>
        <w:jc w:val="both"/>
        <w:rPr>
          <w:rFonts w:eastAsia="Calibri"/>
          <w:b/>
        </w:rPr>
      </w:pPr>
    </w:p>
    <w:p w:rsidR="00C85FD7" w:rsidRPr="000763AE" w:rsidRDefault="00C85FD7" w:rsidP="00427236">
      <w:pPr>
        <w:spacing w:after="200"/>
        <w:jc w:val="both"/>
        <w:rPr>
          <w:rFonts w:eastAsia="Calibri"/>
          <w:b/>
        </w:rPr>
      </w:pPr>
      <w:proofErr w:type="gramStart"/>
      <w:r w:rsidRPr="000763AE">
        <w:rPr>
          <w:rFonts w:eastAsia="Calibri"/>
          <w:b/>
        </w:rPr>
        <w:t>Table 6c.</w:t>
      </w:r>
      <w:proofErr w:type="gramEnd"/>
      <w:r w:rsidRPr="000763AE">
        <w:rPr>
          <w:rFonts w:eastAsia="Calibri"/>
          <w:b/>
        </w:rPr>
        <w:t xml:space="preserve"> </w:t>
      </w:r>
      <w:r w:rsidRPr="000763AE">
        <w:rPr>
          <w:rFonts w:eastAsia="Calibri"/>
        </w:rPr>
        <w:t>Descriptive data for practice characteristics and diabetes education for NAMCS 2015 office visits for patients with Type1 Type2, diabetes unspecified, and without diabetes.</w:t>
      </w:r>
    </w:p>
    <w:tbl>
      <w:tblPr>
        <w:tblW w:w="4990" w:type="pct"/>
        <w:tblLayout w:type="fixed"/>
        <w:tblLook w:val="04A0" w:firstRow="1" w:lastRow="0" w:firstColumn="1" w:lastColumn="0" w:noHBand="0" w:noVBand="1"/>
      </w:tblPr>
      <w:tblGrid>
        <w:gridCol w:w="1489"/>
        <w:gridCol w:w="1223"/>
        <w:gridCol w:w="1055"/>
        <w:gridCol w:w="1228"/>
        <w:gridCol w:w="1228"/>
        <w:gridCol w:w="1319"/>
        <w:gridCol w:w="1296"/>
      </w:tblGrid>
      <w:tr w:rsidR="00C85FD7" w:rsidRPr="00C85FD7" w:rsidTr="00A377FD">
        <w:trPr>
          <w:trHeight w:val="855"/>
        </w:trPr>
        <w:tc>
          <w:tcPr>
            <w:tcW w:w="842" w:type="pct"/>
            <w:tcBorders>
              <w:bottom w:val="single" w:sz="4" w:space="0" w:color="auto"/>
            </w:tcBorders>
            <w:shd w:val="clear" w:color="auto" w:fill="auto"/>
            <w:vAlign w:val="bottom"/>
            <w:hideMark/>
          </w:tcPr>
          <w:p w:rsidR="00C85FD7" w:rsidRPr="00C85FD7" w:rsidRDefault="00C85FD7" w:rsidP="00427236">
            <w:pPr>
              <w:jc w:val="both"/>
              <w:rPr>
                <w:rFonts w:ascii="Calibri" w:hAnsi="Calibri" w:cs="Calibri"/>
                <w:color w:val="000000"/>
                <w:sz w:val="16"/>
                <w:szCs w:val="22"/>
              </w:rPr>
            </w:pPr>
          </w:p>
        </w:tc>
        <w:tc>
          <w:tcPr>
            <w:tcW w:w="692" w:type="pct"/>
            <w:tcBorders>
              <w:bottom w:val="single" w:sz="4" w:space="0" w:color="auto"/>
            </w:tcBorders>
            <w:shd w:val="clear" w:color="auto" w:fill="auto"/>
            <w:noWrap/>
            <w:vAlign w:val="bottom"/>
            <w:hideMark/>
          </w:tcPr>
          <w:p w:rsidR="00C85FD7" w:rsidRPr="00C85FD7" w:rsidRDefault="008252AC" w:rsidP="00427236">
            <w:pPr>
              <w:jc w:val="both"/>
              <w:rPr>
                <w:rFonts w:ascii="Calibri" w:hAnsi="Calibri" w:cs="Calibri"/>
                <w:color w:val="000000"/>
                <w:sz w:val="16"/>
                <w:szCs w:val="22"/>
              </w:rPr>
            </w:pPr>
            <w:r>
              <w:rPr>
                <w:noProof/>
              </w:rPr>
              <mc:AlternateContent>
                <mc:Choice Requires="wpg">
                  <w:drawing>
                    <wp:anchor distT="0" distB="0" distL="114300" distR="114300" simplePos="0" relativeHeight="251660800" behindDoc="0" locked="0" layoutInCell="1" allowOverlap="1">
                      <wp:simplePos x="0" y="0"/>
                      <wp:positionH relativeFrom="column">
                        <wp:posOffset>41275</wp:posOffset>
                      </wp:positionH>
                      <wp:positionV relativeFrom="paragraph">
                        <wp:posOffset>112395</wp:posOffset>
                      </wp:positionV>
                      <wp:extent cx="1947545" cy="559435"/>
                      <wp:effectExtent l="0" t="0" r="0" b="12065"/>
                      <wp:wrapNone/>
                      <wp:docPr id="1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47545" cy="559435"/>
                                <a:chOff x="0" y="0"/>
                                <a:chExt cx="1947545" cy="559229"/>
                              </a:xfrm>
                            </wpg:grpSpPr>
                            <wps:wsp>
                              <wps:cNvPr id="12" name="Text Box 3"/>
                              <wps:cNvSpPr txBox="1"/>
                              <wps:spPr>
                                <a:xfrm>
                                  <a:off x="0" y="0"/>
                                  <a:ext cx="1947545" cy="246380"/>
                                </a:xfrm>
                                <a:prstGeom prst="rect">
                                  <a:avLst/>
                                </a:prstGeom>
                                <a:noFill/>
                                <a:ln w="9525" cmpd="sng">
                                  <a:noFill/>
                                </a:ln>
                                <a:effectLst/>
                              </wps:spPr>
                              <wps:txbx>
                                <w:txbxContent>
                                  <w:p w:rsidR="0003598B" w:rsidRDefault="0003598B" w:rsidP="00C85FD7">
                                    <w:pPr>
                                      <w:pStyle w:val="NormalWeb"/>
                                      <w:spacing w:before="0" w:beforeAutospacing="0" w:after="0" w:afterAutospacing="0"/>
                                      <w:jc w:val="center"/>
                                    </w:pPr>
                                    <w:r w:rsidRPr="000763AE">
                                      <w:rPr>
                                        <w:rFonts w:ascii="Calibri" w:hAnsi="Calibri"/>
                                        <w:b/>
                                        <w:bCs/>
                                        <w:color w:val="404040"/>
                                        <w:sz w:val="22"/>
                                        <w:szCs w:val="22"/>
                                      </w:rPr>
                                      <w:t>All Diabetes Breakdowns</w:t>
                                    </w:r>
                                  </w:p>
                                </w:txbxContent>
                              </wps:txbx>
                              <wps:bodyPr vertOverflow="clip" horzOverflow="clip" wrap="square" rtlCol="0" anchor="t">
                                <a:noAutofit/>
                              </wps:bodyPr>
                            </wps:wsp>
                            <wps:wsp>
                              <wps:cNvPr id="13" name="Right Brace 6"/>
                              <wps:cNvSpPr/>
                              <wps:spPr>
                                <a:xfrm rot="5400000" flipH="1">
                                  <a:off x="836629" y="-483124"/>
                                  <a:ext cx="271780" cy="1812925"/>
                                </a:xfrm>
                                <a:prstGeom prst="rightBrace">
                                  <a:avLst/>
                                </a:prstGeom>
                                <a:noFill/>
                                <a:ln w="9525" cap="flat" cmpd="sng" algn="ctr">
                                  <a:solidFill>
                                    <a:sysClr val="window" lastClr="FFFFFF">
                                      <a:lumMod val="6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 1" o:spid="_x0000_s1035" style="position:absolute;left:0;text-align:left;margin-left:3.25pt;margin-top:8.85pt;width:153.35pt;height:44.05pt;z-index:251660800" coordsize="19475,5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">
                      <v:shape id="Text Box 3" o:spid="_x0000_s1036" type="#_x0000_t202" style="position:absolute;width:19475;height:2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03598B" w:rsidRDefault="0003598B" w:rsidP="00C85FD7">
                              <w:pPr>
                                <w:pStyle w:val="NormalWeb"/>
                                <w:spacing w:before="0" w:beforeAutospacing="0" w:after="0" w:afterAutospacing="0"/>
                                <w:jc w:val="center"/>
                              </w:pPr>
                              <w:r w:rsidRPr="000763AE">
                                <w:rPr>
                                  <w:rFonts w:ascii="Calibri" w:hAnsi="Calibri"/>
                                  <w:b/>
                                  <w:bCs/>
                                  <w:color w:val="404040"/>
                                  <w:sz w:val="22"/>
                                  <w:szCs w:val="22"/>
                                </w:rPr>
                                <w:t>All Diabetes Breakdowns</w:t>
                              </w:r>
                            </w:p>
                          </w:txbxContent>
                        </v:textbox>
                      </v:shape>
                      <v:shape id="Right Brace 6" o:spid="_x0000_s1037" type="#_x0000_t88" style="position:absolute;left:8366;top:-4832;width:2718;height:18129;rotation:-9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SM3cAA&#10;AADbAAAADwAAAGRycy9kb3ducmV2LnhtbERPTWuDQBC9F/Iflgn01qypYMW4SgiU9ljTkPPEnajE&#10;nVV3G+2/7xYKvc3jfU5eLqYXd5pcZ1nBdhOBIK6t7rhRcPp8fUpBOI+ssbdMCr7JQVmsHnLMtJ25&#10;ovvRNyKEsMtQQev9kEnp6pYMuo0diAN3tZNBH+DUSD3hHMJNL5+jKJEGOw4NLQ50aKm+Hb+MggrT&#10;U5KOHzPr8WBf7DmuzOVNqcf1st+B8LT4f/Gf+12H+TH8/hIOkMU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oSM3cAAAADbAAAADwAAAAAAAAAAAAAAAACYAgAAZHJzL2Rvd25y&#10;ZXYueG1sUEsFBgAAAAAEAAQA9QAAAIUDAAAAAA==&#10;" adj="270" strokecolor="#a6a6a6"/>
                    </v:group>
                  </w:pict>
                </mc:Fallback>
              </mc:AlternateContent>
            </w:r>
          </w:p>
          <w:tbl>
            <w:tblPr>
              <w:tblW w:w="0" w:type="auto"/>
              <w:tblCellSpacing w:w="0" w:type="dxa"/>
              <w:tblLayout w:type="fixed"/>
              <w:tblCellMar>
                <w:left w:w="0" w:type="dxa"/>
                <w:right w:w="0" w:type="dxa"/>
              </w:tblCellMar>
              <w:tblLook w:val="04A0" w:firstRow="1" w:lastRow="0" w:firstColumn="1" w:lastColumn="0" w:noHBand="0" w:noVBand="1"/>
            </w:tblPr>
            <w:tblGrid>
              <w:gridCol w:w="2320"/>
            </w:tblGrid>
            <w:tr w:rsidR="00C85FD7" w:rsidRPr="00C85FD7" w:rsidTr="00A377FD">
              <w:trPr>
                <w:trHeight w:val="855"/>
                <w:tblCellSpacing w:w="0" w:type="dxa"/>
              </w:trPr>
              <w:tc>
                <w:tcPr>
                  <w:tcW w:w="2320" w:type="dxa"/>
                  <w:tcBorders>
                    <w:top w:val="nil"/>
                    <w:left w:val="nil"/>
                    <w:bottom w:val="nil"/>
                    <w:right w:val="nil"/>
                  </w:tcBorders>
                  <w:shd w:val="clear" w:color="auto" w:fill="auto"/>
                  <w:noWrap/>
                  <w:vAlign w:val="bottom"/>
                  <w:hideMark/>
                </w:tcPr>
                <w:p w:rsidR="00C85FD7" w:rsidRPr="000763AE" w:rsidRDefault="00C85FD7" w:rsidP="00427236">
                  <w:pPr>
                    <w:jc w:val="both"/>
                    <w:rPr>
                      <w:rFonts w:ascii="Calibri" w:hAnsi="Calibri"/>
                      <w:b/>
                      <w:bCs/>
                      <w:color w:val="404040"/>
                      <w:sz w:val="16"/>
                      <w:szCs w:val="22"/>
                    </w:rPr>
                  </w:pPr>
                </w:p>
                <w:p w:rsidR="00C85FD7" w:rsidRPr="00C85FD7" w:rsidRDefault="00C85FD7" w:rsidP="00427236">
                  <w:pPr>
                    <w:jc w:val="both"/>
                    <w:rPr>
                      <w:rFonts w:ascii="Calibri" w:hAnsi="Calibri" w:cs="Calibri"/>
                      <w:color w:val="000000"/>
                      <w:sz w:val="16"/>
                      <w:szCs w:val="22"/>
                    </w:rPr>
                  </w:pPr>
                </w:p>
              </w:tc>
            </w:tr>
          </w:tbl>
          <w:p w:rsidR="00C85FD7" w:rsidRPr="00C85FD7" w:rsidRDefault="00C85FD7" w:rsidP="00427236">
            <w:pPr>
              <w:jc w:val="both"/>
              <w:rPr>
                <w:rFonts w:ascii="Calibri" w:hAnsi="Calibri" w:cs="Calibri"/>
                <w:color w:val="000000"/>
                <w:sz w:val="16"/>
                <w:szCs w:val="22"/>
              </w:rPr>
            </w:pPr>
          </w:p>
        </w:tc>
        <w:tc>
          <w:tcPr>
            <w:tcW w:w="597" w:type="pct"/>
            <w:tcBorders>
              <w:bottom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p>
        </w:tc>
        <w:tc>
          <w:tcPr>
            <w:tcW w:w="695" w:type="pct"/>
            <w:tcBorders>
              <w:bottom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 </w:t>
            </w:r>
          </w:p>
        </w:tc>
        <w:tc>
          <w:tcPr>
            <w:tcW w:w="695" w:type="pct"/>
            <w:tcBorders>
              <w:bottom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p>
        </w:tc>
        <w:tc>
          <w:tcPr>
            <w:tcW w:w="746" w:type="pct"/>
            <w:tcBorders>
              <w:bottom w:val="single" w:sz="4" w:space="0" w:color="auto"/>
            </w:tcBorders>
            <w:shd w:val="clear" w:color="auto" w:fill="auto"/>
            <w:noWrap/>
            <w:vAlign w:val="bottom"/>
            <w:hideMark/>
          </w:tcPr>
          <w:p w:rsidR="00C85FD7" w:rsidRPr="00C85FD7" w:rsidRDefault="00C85FD7" w:rsidP="00427236">
            <w:pPr>
              <w:jc w:val="both"/>
              <w:rPr>
                <w:rFonts w:ascii="Calibri" w:hAnsi="Calibri" w:cs="Calibri"/>
                <w:color w:val="000000"/>
                <w:sz w:val="16"/>
                <w:szCs w:val="22"/>
              </w:rPr>
            </w:pPr>
          </w:p>
        </w:tc>
        <w:tc>
          <w:tcPr>
            <w:tcW w:w="733" w:type="pct"/>
            <w:tcBorders>
              <w:bottom w:val="single" w:sz="4" w:space="0" w:color="auto"/>
            </w:tcBorders>
            <w:shd w:val="clear" w:color="auto" w:fill="auto"/>
            <w:vAlign w:val="center"/>
            <w:hideMark/>
          </w:tcPr>
          <w:p w:rsidR="00C85FD7" w:rsidRPr="00C85FD7" w:rsidRDefault="00C85FD7" w:rsidP="00427236">
            <w:pPr>
              <w:jc w:val="both"/>
              <w:rPr>
                <w:rFonts w:ascii="Calibri" w:hAnsi="Calibri" w:cs="Calibri"/>
                <w:color w:val="000000"/>
                <w:sz w:val="16"/>
                <w:szCs w:val="22"/>
              </w:rPr>
            </w:pPr>
          </w:p>
        </w:tc>
      </w:tr>
      <w:tr w:rsidR="00C85FD7" w:rsidRPr="00C85FD7" w:rsidTr="000763AE">
        <w:trPr>
          <w:trHeight w:val="665"/>
        </w:trPr>
        <w:tc>
          <w:tcPr>
            <w:tcW w:w="842" w:type="pct"/>
            <w:tcBorders>
              <w:top w:val="single" w:sz="4" w:space="0" w:color="auto"/>
              <w:left w:val="single" w:sz="4" w:space="0" w:color="auto"/>
              <w:bottom w:val="single" w:sz="8" w:space="0" w:color="auto"/>
            </w:tcBorders>
            <w:shd w:val="clear" w:color="auto" w:fill="7F7F7F"/>
            <w:vAlign w:val="center"/>
            <w:hideMark/>
          </w:tcPr>
          <w:p w:rsidR="00C85FD7" w:rsidRPr="000763AE" w:rsidRDefault="00C85FD7" w:rsidP="00427236">
            <w:pPr>
              <w:jc w:val="both"/>
              <w:rPr>
                <w:rFonts w:ascii="Calibri" w:hAnsi="Calibri" w:cs="Calibri"/>
                <w:color w:val="FFFFFF"/>
                <w:sz w:val="16"/>
                <w:szCs w:val="22"/>
              </w:rPr>
            </w:pPr>
            <w:r w:rsidRPr="000763AE">
              <w:rPr>
                <w:rFonts w:ascii="Calibri" w:hAnsi="Calibri" w:cs="Calibri"/>
                <w:color w:val="FFFFFF"/>
                <w:sz w:val="16"/>
                <w:szCs w:val="22"/>
              </w:rPr>
              <w:t> </w:t>
            </w:r>
          </w:p>
        </w:tc>
        <w:tc>
          <w:tcPr>
            <w:tcW w:w="692" w:type="pct"/>
            <w:tcBorders>
              <w:top w:val="single" w:sz="4" w:space="0" w:color="auto"/>
              <w:bottom w:val="single" w:sz="4" w:space="0" w:color="auto"/>
            </w:tcBorders>
            <w:shd w:val="clear" w:color="auto" w:fill="7F7F7F"/>
            <w:noWrap/>
            <w:vAlign w:val="center"/>
            <w:hideMark/>
          </w:tcPr>
          <w:p w:rsidR="00C85FD7" w:rsidRPr="000763AE" w:rsidRDefault="00C85FD7" w:rsidP="006D1C17">
            <w:pPr>
              <w:jc w:val="center"/>
              <w:rPr>
                <w:rFonts w:ascii="Calibri" w:hAnsi="Calibri" w:cs="Calibri"/>
                <w:b/>
                <w:bCs/>
                <w:color w:val="FFFFFF"/>
                <w:sz w:val="16"/>
                <w:szCs w:val="18"/>
              </w:rPr>
            </w:pPr>
            <w:r w:rsidRPr="000763AE">
              <w:rPr>
                <w:rFonts w:ascii="Calibri" w:hAnsi="Calibri" w:cs="Calibri"/>
                <w:b/>
                <w:bCs/>
                <w:color w:val="FFFFFF"/>
                <w:sz w:val="16"/>
                <w:szCs w:val="18"/>
              </w:rPr>
              <w:t>Diabetes Unspecified (%of All)</w:t>
            </w:r>
          </w:p>
        </w:tc>
        <w:tc>
          <w:tcPr>
            <w:tcW w:w="597" w:type="pct"/>
            <w:tcBorders>
              <w:top w:val="single" w:sz="4" w:space="0" w:color="auto"/>
              <w:bottom w:val="single" w:sz="8" w:space="0" w:color="auto"/>
            </w:tcBorders>
            <w:shd w:val="clear" w:color="auto" w:fill="7F7F7F"/>
            <w:noWrap/>
            <w:vAlign w:val="center"/>
            <w:hideMark/>
          </w:tcPr>
          <w:p w:rsidR="00C85FD7" w:rsidRPr="000763AE" w:rsidRDefault="00C85FD7" w:rsidP="006D1C17">
            <w:pPr>
              <w:jc w:val="center"/>
              <w:rPr>
                <w:rFonts w:ascii="Calibri" w:hAnsi="Calibri" w:cs="Calibri"/>
                <w:b/>
                <w:bCs/>
                <w:color w:val="FFFFFF"/>
                <w:sz w:val="16"/>
                <w:szCs w:val="18"/>
              </w:rPr>
            </w:pPr>
            <w:r w:rsidRPr="000763AE">
              <w:rPr>
                <w:rFonts w:ascii="Calibri" w:hAnsi="Calibri" w:cs="Calibri"/>
                <w:b/>
                <w:bCs/>
                <w:color w:val="FFFFFF"/>
                <w:sz w:val="16"/>
                <w:szCs w:val="18"/>
              </w:rPr>
              <w:t>Diabetes 1 (% of All)</w:t>
            </w:r>
          </w:p>
        </w:tc>
        <w:tc>
          <w:tcPr>
            <w:tcW w:w="695" w:type="pct"/>
            <w:tcBorders>
              <w:top w:val="single" w:sz="4" w:space="0" w:color="auto"/>
              <w:bottom w:val="single" w:sz="8" w:space="0" w:color="auto"/>
            </w:tcBorders>
            <w:shd w:val="clear" w:color="auto" w:fill="7F7F7F"/>
            <w:noWrap/>
            <w:vAlign w:val="center"/>
            <w:hideMark/>
          </w:tcPr>
          <w:p w:rsidR="00C85FD7" w:rsidRPr="000763AE" w:rsidRDefault="00C85FD7" w:rsidP="006D1C17">
            <w:pPr>
              <w:jc w:val="center"/>
              <w:rPr>
                <w:rFonts w:ascii="Calibri" w:hAnsi="Calibri" w:cs="Calibri"/>
                <w:b/>
                <w:bCs/>
                <w:color w:val="FFFFFF"/>
                <w:sz w:val="16"/>
                <w:szCs w:val="18"/>
              </w:rPr>
            </w:pPr>
            <w:r w:rsidRPr="000763AE">
              <w:rPr>
                <w:rFonts w:ascii="Calibri" w:hAnsi="Calibri" w:cs="Calibri"/>
                <w:b/>
                <w:bCs/>
                <w:color w:val="FFFFFF"/>
                <w:sz w:val="16"/>
                <w:szCs w:val="18"/>
              </w:rPr>
              <w:t>Diabetes 2 (%of All)</w:t>
            </w:r>
          </w:p>
        </w:tc>
        <w:tc>
          <w:tcPr>
            <w:tcW w:w="695" w:type="pct"/>
            <w:tcBorders>
              <w:top w:val="single" w:sz="4" w:space="0" w:color="auto"/>
              <w:bottom w:val="single" w:sz="8" w:space="0" w:color="auto"/>
            </w:tcBorders>
            <w:shd w:val="clear" w:color="auto" w:fill="7F7F7F"/>
            <w:noWrap/>
            <w:vAlign w:val="center"/>
            <w:hideMark/>
          </w:tcPr>
          <w:p w:rsidR="00C85FD7" w:rsidRPr="000763AE" w:rsidRDefault="00C85FD7" w:rsidP="006D1C17">
            <w:pPr>
              <w:jc w:val="center"/>
              <w:rPr>
                <w:rFonts w:ascii="Calibri" w:hAnsi="Calibri" w:cs="Calibri"/>
                <w:b/>
                <w:bCs/>
                <w:color w:val="FFFFFF"/>
                <w:sz w:val="16"/>
                <w:szCs w:val="18"/>
              </w:rPr>
            </w:pPr>
            <w:r w:rsidRPr="000763AE">
              <w:rPr>
                <w:rFonts w:ascii="Calibri" w:hAnsi="Calibri" w:cs="Calibri"/>
                <w:b/>
                <w:bCs/>
                <w:color w:val="FFFFFF"/>
                <w:sz w:val="16"/>
                <w:szCs w:val="18"/>
              </w:rPr>
              <w:t>All Diabetes  (% of Total)</w:t>
            </w:r>
          </w:p>
        </w:tc>
        <w:tc>
          <w:tcPr>
            <w:tcW w:w="746" w:type="pct"/>
            <w:tcBorders>
              <w:top w:val="single" w:sz="4" w:space="0" w:color="auto"/>
              <w:bottom w:val="single" w:sz="8" w:space="0" w:color="auto"/>
            </w:tcBorders>
            <w:shd w:val="clear" w:color="auto" w:fill="7F7F7F"/>
            <w:noWrap/>
            <w:vAlign w:val="center"/>
            <w:hideMark/>
          </w:tcPr>
          <w:p w:rsidR="00C85FD7" w:rsidRPr="000763AE" w:rsidRDefault="00C85FD7" w:rsidP="006D1C17">
            <w:pPr>
              <w:jc w:val="center"/>
              <w:rPr>
                <w:rFonts w:ascii="Calibri" w:hAnsi="Calibri" w:cs="Calibri"/>
                <w:b/>
                <w:bCs/>
                <w:color w:val="FFFFFF"/>
                <w:sz w:val="16"/>
                <w:szCs w:val="18"/>
              </w:rPr>
            </w:pPr>
            <w:r w:rsidRPr="000763AE">
              <w:rPr>
                <w:rFonts w:ascii="Calibri" w:hAnsi="Calibri" w:cs="Calibri"/>
                <w:b/>
                <w:bCs/>
                <w:color w:val="FFFFFF"/>
                <w:sz w:val="16"/>
                <w:szCs w:val="18"/>
              </w:rPr>
              <w:t>No Diabetes    (% of Total)</w:t>
            </w:r>
          </w:p>
        </w:tc>
        <w:tc>
          <w:tcPr>
            <w:tcW w:w="733" w:type="pct"/>
            <w:tcBorders>
              <w:top w:val="single" w:sz="4" w:space="0" w:color="auto"/>
              <w:bottom w:val="single" w:sz="8" w:space="0" w:color="auto"/>
              <w:right w:val="single" w:sz="4" w:space="0" w:color="auto"/>
            </w:tcBorders>
            <w:shd w:val="clear" w:color="auto" w:fill="7F7F7F"/>
            <w:vAlign w:val="center"/>
            <w:hideMark/>
          </w:tcPr>
          <w:p w:rsidR="00C85FD7" w:rsidRPr="000763AE" w:rsidRDefault="00C85FD7" w:rsidP="006D1C17">
            <w:pPr>
              <w:jc w:val="center"/>
              <w:rPr>
                <w:rFonts w:ascii="Calibri" w:hAnsi="Calibri" w:cs="Calibri"/>
                <w:b/>
                <w:bCs/>
                <w:color w:val="FFFFFF"/>
                <w:sz w:val="16"/>
                <w:szCs w:val="18"/>
              </w:rPr>
            </w:pPr>
            <w:r w:rsidRPr="000763AE">
              <w:rPr>
                <w:rFonts w:ascii="Calibri" w:hAnsi="Calibri" w:cs="Calibri"/>
                <w:b/>
                <w:bCs/>
                <w:color w:val="FFFFFF"/>
                <w:sz w:val="16"/>
                <w:szCs w:val="18"/>
              </w:rPr>
              <w:t>Total (% of N)</w:t>
            </w:r>
          </w:p>
        </w:tc>
      </w:tr>
      <w:tr w:rsidR="00C85FD7" w:rsidRPr="00C85FD7" w:rsidTr="00A377FD">
        <w:trPr>
          <w:trHeight w:val="300"/>
        </w:trPr>
        <w:tc>
          <w:tcPr>
            <w:tcW w:w="842" w:type="pct"/>
            <w:tcBorders>
              <w:top w:val="single" w:sz="8" w:space="0" w:color="auto"/>
              <w:left w:val="single" w:sz="4" w:space="0" w:color="auto"/>
              <w:bottom w:val="single" w:sz="4" w:space="0" w:color="auto"/>
            </w:tcBorders>
            <w:shd w:val="clear" w:color="auto" w:fill="auto"/>
            <w:vAlign w:val="center"/>
            <w:hideMark/>
          </w:tcPr>
          <w:p w:rsidR="00C85FD7" w:rsidRPr="00C85FD7" w:rsidRDefault="00C85FD7" w:rsidP="00427236">
            <w:pPr>
              <w:jc w:val="both"/>
              <w:rPr>
                <w:rFonts w:ascii="Calibri" w:hAnsi="Calibri" w:cs="Calibri"/>
                <w:color w:val="000000"/>
                <w:sz w:val="16"/>
                <w:szCs w:val="22"/>
              </w:rPr>
            </w:pPr>
            <w:r w:rsidRPr="00C85FD7">
              <w:rPr>
                <w:rFonts w:ascii="Calibri" w:hAnsi="Calibri" w:cs="Calibri"/>
                <w:color w:val="000000"/>
                <w:sz w:val="16"/>
                <w:szCs w:val="22"/>
              </w:rPr>
              <w:t>Diabetic Education</w:t>
            </w:r>
          </w:p>
        </w:tc>
        <w:tc>
          <w:tcPr>
            <w:tcW w:w="692" w:type="pct"/>
            <w:tcBorders>
              <w:top w:val="single" w:sz="4" w:space="0" w:color="auto"/>
              <w:bottom w:val="single" w:sz="4" w:space="0" w:color="auto"/>
            </w:tcBorders>
            <w:shd w:val="clear" w:color="auto" w:fill="auto"/>
            <w:noWrap/>
            <w:vAlign w:val="center"/>
            <w:hideMark/>
          </w:tcPr>
          <w:p w:rsidR="00C85FD7" w:rsidRPr="00C85FD7" w:rsidRDefault="00C85FD7" w:rsidP="006D1C17">
            <w:pPr>
              <w:jc w:val="center"/>
              <w:rPr>
                <w:rFonts w:ascii="Calibri" w:hAnsi="Calibri" w:cs="Calibri"/>
                <w:color w:val="000000"/>
                <w:sz w:val="16"/>
                <w:szCs w:val="22"/>
              </w:rPr>
            </w:pPr>
            <w:r w:rsidRPr="00C85FD7">
              <w:rPr>
                <w:rFonts w:ascii="Calibri" w:hAnsi="Calibri" w:cs="Calibri"/>
                <w:color w:val="000000"/>
                <w:sz w:val="16"/>
                <w:szCs w:val="22"/>
              </w:rPr>
              <w:t>74 (5%)</w:t>
            </w:r>
          </w:p>
        </w:tc>
        <w:tc>
          <w:tcPr>
            <w:tcW w:w="597" w:type="pct"/>
            <w:tcBorders>
              <w:top w:val="single" w:sz="8" w:space="0" w:color="auto"/>
              <w:bottom w:val="single" w:sz="4" w:space="0" w:color="auto"/>
            </w:tcBorders>
            <w:shd w:val="clear" w:color="auto" w:fill="auto"/>
            <w:noWrap/>
            <w:vAlign w:val="center"/>
            <w:hideMark/>
          </w:tcPr>
          <w:p w:rsidR="00C85FD7" w:rsidRPr="00C85FD7" w:rsidRDefault="00C85FD7" w:rsidP="006D1C17">
            <w:pPr>
              <w:jc w:val="center"/>
              <w:rPr>
                <w:rFonts w:ascii="Calibri" w:hAnsi="Calibri" w:cs="Calibri"/>
                <w:color w:val="000000"/>
                <w:sz w:val="16"/>
                <w:szCs w:val="22"/>
              </w:rPr>
            </w:pPr>
            <w:r w:rsidRPr="00C85FD7">
              <w:rPr>
                <w:rFonts w:ascii="Calibri" w:hAnsi="Calibri" w:cs="Calibri"/>
                <w:color w:val="000000"/>
                <w:sz w:val="16"/>
                <w:szCs w:val="22"/>
              </w:rPr>
              <w:t>9 (5%)</w:t>
            </w:r>
          </w:p>
        </w:tc>
        <w:tc>
          <w:tcPr>
            <w:tcW w:w="695" w:type="pct"/>
            <w:tcBorders>
              <w:top w:val="single" w:sz="8" w:space="0" w:color="auto"/>
              <w:bottom w:val="single" w:sz="4" w:space="0" w:color="auto"/>
            </w:tcBorders>
            <w:shd w:val="clear" w:color="auto" w:fill="auto"/>
            <w:noWrap/>
            <w:vAlign w:val="center"/>
            <w:hideMark/>
          </w:tcPr>
          <w:p w:rsidR="00C85FD7" w:rsidRPr="00C85FD7" w:rsidRDefault="00C85FD7" w:rsidP="006D1C17">
            <w:pPr>
              <w:jc w:val="center"/>
              <w:rPr>
                <w:rFonts w:ascii="Calibri" w:hAnsi="Calibri" w:cs="Calibri"/>
                <w:color w:val="000000"/>
                <w:sz w:val="16"/>
                <w:szCs w:val="22"/>
              </w:rPr>
            </w:pPr>
            <w:r w:rsidRPr="00C85FD7">
              <w:rPr>
                <w:rFonts w:ascii="Calibri" w:hAnsi="Calibri" w:cs="Calibri"/>
                <w:color w:val="000000"/>
                <w:sz w:val="16"/>
                <w:szCs w:val="22"/>
              </w:rPr>
              <w:t>157 (9%)</w:t>
            </w:r>
          </w:p>
        </w:tc>
        <w:tc>
          <w:tcPr>
            <w:tcW w:w="695" w:type="pct"/>
            <w:tcBorders>
              <w:top w:val="single" w:sz="8" w:space="0" w:color="auto"/>
              <w:bottom w:val="single" w:sz="4" w:space="0" w:color="auto"/>
            </w:tcBorders>
            <w:shd w:val="clear" w:color="auto" w:fill="auto"/>
            <w:noWrap/>
            <w:vAlign w:val="center"/>
            <w:hideMark/>
          </w:tcPr>
          <w:p w:rsidR="00C85FD7" w:rsidRPr="00C85FD7" w:rsidRDefault="00C85FD7" w:rsidP="006D1C17">
            <w:pPr>
              <w:jc w:val="center"/>
              <w:rPr>
                <w:rFonts w:ascii="Calibri" w:hAnsi="Calibri" w:cs="Calibri"/>
                <w:bCs/>
                <w:color w:val="000000"/>
                <w:sz w:val="16"/>
                <w:szCs w:val="22"/>
              </w:rPr>
            </w:pPr>
            <w:r w:rsidRPr="00C85FD7">
              <w:rPr>
                <w:rFonts w:ascii="Calibri" w:hAnsi="Calibri" w:cs="Calibri"/>
                <w:bCs/>
                <w:color w:val="000000"/>
                <w:sz w:val="16"/>
                <w:szCs w:val="22"/>
              </w:rPr>
              <w:t>240 (87%)</w:t>
            </w:r>
          </w:p>
        </w:tc>
        <w:tc>
          <w:tcPr>
            <w:tcW w:w="746" w:type="pct"/>
            <w:tcBorders>
              <w:top w:val="single" w:sz="8" w:space="0" w:color="auto"/>
              <w:bottom w:val="single" w:sz="4" w:space="0" w:color="auto"/>
            </w:tcBorders>
            <w:shd w:val="clear" w:color="auto" w:fill="auto"/>
            <w:noWrap/>
            <w:vAlign w:val="center"/>
            <w:hideMark/>
          </w:tcPr>
          <w:p w:rsidR="00C85FD7" w:rsidRPr="00C85FD7" w:rsidRDefault="00C85FD7" w:rsidP="006D1C17">
            <w:pPr>
              <w:jc w:val="center"/>
              <w:rPr>
                <w:rFonts w:ascii="Calibri" w:hAnsi="Calibri" w:cs="Calibri"/>
                <w:bCs/>
                <w:color w:val="000000"/>
                <w:sz w:val="16"/>
                <w:szCs w:val="22"/>
              </w:rPr>
            </w:pPr>
            <w:r w:rsidRPr="00C85FD7">
              <w:rPr>
                <w:rFonts w:ascii="Calibri" w:hAnsi="Calibri" w:cs="Calibri"/>
                <w:bCs/>
                <w:color w:val="000000"/>
                <w:sz w:val="16"/>
                <w:szCs w:val="22"/>
              </w:rPr>
              <w:t>36 (13%)</w:t>
            </w:r>
          </w:p>
        </w:tc>
        <w:tc>
          <w:tcPr>
            <w:tcW w:w="733" w:type="pct"/>
            <w:tcBorders>
              <w:top w:val="single" w:sz="8" w:space="0" w:color="auto"/>
              <w:bottom w:val="single" w:sz="4" w:space="0" w:color="auto"/>
              <w:right w:val="single" w:sz="4" w:space="0" w:color="auto"/>
            </w:tcBorders>
            <w:shd w:val="clear" w:color="auto" w:fill="auto"/>
            <w:vAlign w:val="center"/>
            <w:hideMark/>
          </w:tcPr>
          <w:p w:rsidR="00C85FD7" w:rsidRPr="00C85FD7" w:rsidRDefault="00C85FD7" w:rsidP="006D1C17">
            <w:pPr>
              <w:jc w:val="center"/>
              <w:rPr>
                <w:rFonts w:ascii="Calibri" w:hAnsi="Calibri" w:cs="Calibri"/>
                <w:bCs/>
                <w:color w:val="000000"/>
                <w:sz w:val="16"/>
                <w:szCs w:val="22"/>
              </w:rPr>
            </w:pPr>
            <w:r w:rsidRPr="00C85FD7">
              <w:rPr>
                <w:rFonts w:ascii="Calibri" w:hAnsi="Calibri" w:cs="Calibri"/>
                <w:bCs/>
                <w:color w:val="000000"/>
                <w:sz w:val="16"/>
                <w:szCs w:val="22"/>
              </w:rPr>
              <w:t>276 (100%)</w:t>
            </w:r>
          </w:p>
        </w:tc>
      </w:tr>
    </w:tbl>
    <w:p w:rsidR="00C85FD7" w:rsidRPr="000763AE" w:rsidRDefault="00C85FD7" w:rsidP="00427236">
      <w:pPr>
        <w:autoSpaceDE w:val="0"/>
        <w:autoSpaceDN w:val="0"/>
        <w:adjustRightInd w:val="0"/>
        <w:spacing w:before="120"/>
        <w:jc w:val="both"/>
        <w:rPr>
          <w:rFonts w:eastAsia="Calibri"/>
        </w:rPr>
      </w:pPr>
    </w:p>
    <w:p w:rsidR="00C85FD7" w:rsidRPr="000763AE" w:rsidRDefault="00C85FD7" w:rsidP="00427236">
      <w:pPr>
        <w:autoSpaceDE w:val="0"/>
        <w:autoSpaceDN w:val="0"/>
        <w:adjustRightInd w:val="0"/>
        <w:spacing w:before="120"/>
        <w:jc w:val="both"/>
        <w:rPr>
          <w:rFonts w:eastAsia="Calibri"/>
        </w:rPr>
      </w:pPr>
    </w:p>
    <w:p w:rsidR="00C85FD7" w:rsidRPr="000763AE" w:rsidRDefault="00C85FD7" w:rsidP="00427236">
      <w:pPr>
        <w:autoSpaceDE w:val="0"/>
        <w:autoSpaceDN w:val="0"/>
        <w:adjustRightInd w:val="0"/>
        <w:spacing w:before="120"/>
        <w:jc w:val="both"/>
        <w:rPr>
          <w:rFonts w:eastAsia="Calibri"/>
        </w:rPr>
      </w:pPr>
      <w:proofErr w:type="gramStart"/>
      <w:r w:rsidRPr="000763AE">
        <w:rPr>
          <w:rFonts w:eastAsia="Calibri"/>
          <w:b/>
        </w:rPr>
        <w:t>Table 7.</w:t>
      </w:r>
      <w:proofErr w:type="gramEnd"/>
      <w:r w:rsidRPr="000763AE">
        <w:rPr>
          <w:rFonts w:eastAsia="Calibri"/>
        </w:rPr>
        <w:t xml:space="preserve">  Correlation methodologies used in this research and descriptions. </w:t>
      </w:r>
    </w:p>
    <w:p w:rsidR="00C85FD7" w:rsidRPr="000763AE" w:rsidRDefault="00C85FD7" w:rsidP="00427236">
      <w:pPr>
        <w:autoSpaceDE w:val="0"/>
        <w:autoSpaceDN w:val="0"/>
        <w:adjustRightInd w:val="0"/>
        <w:jc w:val="both"/>
        <w:rPr>
          <w:rFonts w:eastAsia="Calibri"/>
        </w:rPr>
      </w:pPr>
    </w:p>
    <w:p w:rsidR="00C85FD7" w:rsidRPr="000763AE" w:rsidRDefault="00C85FD7" w:rsidP="00427236">
      <w:pPr>
        <w:autoSpaceDE w:val="0"/>
        <w:autoSpaceDN w:val="0"/>
        <w:adjustRightInd w:val="0"/>
        <w:jc w:val="both"/>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8"/>
        <w:gridCol w:w="5868"/>
      </w:tblGrid>
      <w:tr w:rsidR="00C85FD7" w:rsidRPr="00C85FD7" w:rsidTr="000763AE">
        <w:trPr>
          <w:trHeight w:val="359"/>
        </w:trPr>
        <w:tc>
          <w:tcPr>
            <w:tcW w:w="2988" w:type="dxa"/>
            <w:shd w:val="clear" w:color="auto" w:fill="7F7F7F"/>
            <w:vAlign w:val="center"/>
          </w:tcPr>
          <w:p w:rsidR="00C85FD7" w:rsidRPr="000763AE" w:rsidRDefault="00C85FD7" w:rsidP="000763AE">
            <w:pPr>
              <w:autoSpaceDE w:val="0"/>
              <w:autoSpaceDN w:val="0"/>
              <w:adjustRightInd w:val="0"/>
              <w:jc w:val="both"/>
              <w:rPr>
                <w:rFonts w:eastAsia="Calibri"/>
                <w:b/>
                <w:color w:val="FFFFFF"/>
                <w:sz w:val="22"/>
              </w:rPr>
            </w:pPr>
            <w:r w:rsidRPr="000763AE">
              <w:rPr>
                <w:rFonts w:eastAsia="Calibri"/>
                <w:b/>
                <w:color w:val="FFFFFF"/>
                <w:sz w:val="22"/>
              </w:rPr>
              <w:t>Methodology</w:t>
            </w:r>
          </w:p>
        </w:tc>
        <w:tc>
          <w:tcPr>
            <w:tcW w:w="5868" w:type="dxa"/>
            <w:shd w:val="clear" w:color="auto" w:fill="7F7F7F"/>
            <w:vAlign w:val="center"/>
          </w:tcPr>
          <w:p w:rsidR="00C85FD7" w:rsidRPr="000763AE" w:rsidRDefault="00C85FD7" w:rsidP="000763AE">
            <w:pPr>
              <w:autoSpaceDE w:val="0"/>
              <w:autoSpaceDN w:val="0"/>
              <w:adjustRightInd w:val="0"/>
              <w:jc w:val="both"/>
              <w:rPr>
                <w:rFonts w:eastAsia="Calibri"/>
                <w:b/>
                <w:color w:val="FFFFFF"/>
                <w:sz w:val="22"/>
              </w:rPr>
            </w:pPr>
            <w:r w:rsidRPr="000763AE">
              <w:rPr>
                <w:rFonts w:eastAsia="Calibri"/>
                <w:b/>
                <w:color w:val="FFFFFF"/>
                <w:sz w:val="22"/>
              </w:rPr>
              <w:t>Description</w:t>
            </w:r>
          </w:p>
        </w:tc>
      </w:tr>
      <w:tr w:rsidR="00C85FD7" w:rsidRPr="00C85FD7" w:rsidTr="000763AE">
        <w:tc>
          <w:tcPr>
            <w:tcW w:w="2988" w:type="dxa"/>
            <w:shd w:val="clear" w:color="auto" w:fill="808080"/>
            <w:vAlign w:val="center"/>
          </w:tcPr>
          <w:p w:rsidR="00C85FD7" w:rsidRPr="000763AE" w:rsidRDefault="00C85FD7" w:rsidP="000763AE">
            <w:pPr>
              <w:autoSpaceDE w:val="0"/>
              <w:autoSpaceDN w:val="0"/>
              <w:adjustRightInd w:val="0"/>
              <w:jc w:val="both"/>
              <w:rPr>
                <w:rFonts w:eastAsia="Calibri"/>
                <w:b/>
                <w:color w:val="FFFFFF"/>
                <w:sz w:val="20"/>
              </w:rPr>
            </w:pPr>
            <w:r w:rsidRPr="000763AE">
              <w:rPr>
                <w:rFonts w:eastAsia="Calibri"/>
                <w:b/>
                <w:color w:val="FFFFFF"/>
                <w:sz w:val="20"/>
              </w:rPr>
              <w:t>Phi Correlation (ϕ)</w:t>
            </w:r>
          </w:p>
        </w:tc>
        <w:tc>
          <w:tcPr>
            <w:tcW w:w="5868" w:type="dxa"/>
            <w:shd w:val="clear" w:color="auto" w:fill="auto"/>
            <w:vAlign w:val="center"/>
          </w:tcPr>
          <w:p w:rsidR="00C85FD7" w:rsidRPr="000763AE" w:rsidRDefault="00C85FD7" w:rsidP="006D1C17">
            <w:pPr>
              <w:autoSpaceDE w:val="0"/>
              <w:autoSpaceDN w:val="0"/>
              <w:adjustRightInd w:val="0"/>
              <w:rPr>
                <w:rFonts w:eastAsia="Calibri"/>
                <w:sz w:val="20"/>
              </w:rPr>
            </w:pPr>
            <w:r w:rsidRPr="000763AE">
              <w:rPr>
                <w:rFonts w:eastAsia="Calibri"/>
                <w:sz w:val="20"/>
              </w:rPr>
              <w:t>Used to evaluate the association between two binary nominal variables such as gender, ethnicity, or type of practice</w:t>
            </w:r>
          </w:p>
        </w:tc>
      </w:tr>
      <w:tr w:rsidR="00C85FD7" w:rsidRPr="00C85FD7" w:rsidTr="000763AE">
        <w:tc>
          <w:tcPr>
            <w:tcW w:w="2988" w:type="dxa"/>
            <w:shd w:val="clear" w:color="auto" w:fill="808080"/>
            <w:vAlign w:val="center"/>
          </w:tcPr>
          <w:p w:rsidR="00C85FD7" w:rsidRPr="000763AE" w:rsidRDefault="00C85FD7" w:rsidP="000763AE">
            <w:pPr>
              <w:autoSpaceDE w:val="0"/>
              <w:autoSpaceDN w:val="0"/>
              <w:adjustRightInd w:val="0"/>
              <w:jc w:val="both"/>
              <w:rPr>
                <w:rFonts w:eastAsia="Calibri"/>
                <w:b/>
                <w:color w:val="FFFFFF"/>
                <w:sz w:val="20"/>
              </w:rPr>
            </w:pPr>
            <w:r w:rsidRPr="000763AE">
              <w:rPr>
                <w:rFonts w:eastAsia="Calibri"/>
                <w:b/>
                <w:color w:val="FFFFFF"/>
                <w:sz w:val="20"/>
              </w:rPr>
              <w:t>Cramer’s V Correlation (</w:t>
            </w:r>
            <w:r w:rsidRPr="000763AE">
              <w:rPr>
                <w:rFonts w:eastAsia="Calibri"/>
                <w:b/>
                <w:i/>
                <w:color w:val="FFFFFF"/>
                <w:sz w:val="20"/>
              </w:rPr>
              <w:t>V</w:t>
            </w:r>
            <w:r w:rsidRPr="000763AE">
              <w:rPr>
                <w:rFonts w:eastAsia="Calibri"/>
                <w:b/>
                <w:color w:val="FFFFFF"/>
                <w:sz w:val="20"/>
              </w:rPr>
              <w:t>)</w:t>
            </w:r>
          </w:p>
        </w:tc>
        <w:tc>
          <w:tcPr>
            <w:tcW w:w="5868" w:type="dxa"/>
            <w:shd w:val="clear" w:color="auto" w:fill="auto"/>
            <w:vAlign w:val="center"/>
          </w:tcPr>
          <w:p w:rsidR="00C85FD7" w:rsidRPr="000763AE" w:rsidRDefault="00C85FD7" w:rsidP="006D1C17">
            <w:pPr>
              <w:autoSpaceDE w:val="0"/>
              <w:autoSpaceDN w:val="0"/>
              <w:adjustRightInd w:val="0"/>
              <w:rPr>
                <w:rFonts w:eastAsia="Calibri"/>
                <w:sz w:val="20"/>
              </w:rPr>
            </w:pPr>
            <w:r w:rsidRPr="000763AE">
              <w:rPr>
                <w:rFonts w:eastAsia="Calibri"/>
                <w:sz w:val="20"/>
              </w:rPr>
              <w:t>Used when the dependent variable is dichotomous and the independent variable is nominal with more than two values such as race, payer, region, or provider type</w:t>
            </w:r>
          </w:p>
        </w:tc>
      </w:tr>
      <w:tr w:rsidR="00C85FD7" w:rsidRPr="00C85FD7" w:rsidTr="000763AE">
        <w:tc>
          <w:tcPr>
            <w:tcW w:w="2988" w:type="dxa"/>
            <w:shd w:val="clear" w:color="auto" w:fill="808080"/>
            <w:vAlign w:val="center"/>
          </w:tcPr>
          <w:p w:rsidR="00C85FD7" w:rsidRPr="000763AE" w:rsidRDefault="00C85FD7" w:rsidP="000763AE">
            <w:pPr>
              <w:autoSpaceDE w:val="0"/>
              <w:autoSpaceDN w:val="0"/>
              <w:adjustRightInd w:val="0"/>
              <w:jc w:val="both"/>
              <w:rPr>
                <w:rFonts w:eastAsia="Calibri"/>
                <w:b/>
                <w:color w:val="FFFFFF"/>
              </w:rPr>
            </w:pPr>
            <w:r w:rsidRPr="000763AE">
              <w:rPr>
                <w:rFonts w:eastAsia="Calibri"/>
                <w:b/>
                <w:color w:val="FFFFFF"/>
                <w:sz w:val="20"/>
              </w:rPr>
              <w:t>Rank-</w:t>
            </w:r>
            <w:proofErr w:type="spellStart"/>
            <w:r w:rsidRPr="000763AE">
              <w:rPr>
                <w:rFonts w:eastAsia="Calibri"/>
                <w:b/>
                <w:color w:val="FFFFFF"/>
                <w:sz w:val="20"/>
              </w:rPr>
              <w:t>Biserial</w:t>
            </w:r>
            <w:proofErr w:type="spellEnd"/>
            <w:r w:rsidRPr="000763AE">
              <w:rPr>
                <w:rFonts w:eastAsia="Calibri"/>
                <w:b/>
                <w:color w:val="FFFFFF"/>
                <w:sz w:val="20"/>
              </w:rPr>
              <w:t xml:space="preserve"> Correlation (</w:t>
            </w:r>
            <w:proofErr w:type="spellStart"/>
            <w:r w:rsidRPr="000763AE">
              <w:rPr>
                <w:rFonts w:eastAsia="Calibri"/>
                <w:b/>
                <w:i/>
                <w:color w:val="FFFFFF"/>
                <w:sz w:val="22"/>
              </w:rPr>
              <w:t>r</w:t>
            </w:r>
            <w:r w:rsidRPr="000763AE">
              <w:rPr>
                <w:rFonts w:eastAsia="Calibri"/>
                <w:b/>
                <w:i/>
                <w:color w:val="FFFFFF"/>
                <w:sz w:val="12"/>
              </w:rPr>
              <w:t>rb</w:t>
            </w:r>
            <w:proofErr w:type="spellEnd"/>
            <w:r w:rsidRPr="000763AE">
              <w:rPr>
                <w:rFonts w:eastAsia="Calibri"/>
                <w:b/>
                <w:color w:val="FFFFFF"/>
              </w:rPr>
              <w:t>)</w:t>
            </w:r>
          </w:p>
        </w:tc>
        <w:tc>
          <w:tcPr>
            <w:tcW w:w="5868" w:type="dxa"/>
            <w:shd w:val="clear" w:color="auto" w:fill="auto"/>
            <w:vAlign w:val="center"/>
          </w:tcPr>
          <w:p w:rsidR="00C85FD7" w:rsidRPr="000763AE" w:rsidRDefault="00C85FD7" w:rsidP="006D1C17">
            <w:pPr>
              <w:autoSpaceDE w:val="0"/>
              <w:autoSpaceDN w:val="0"/>
              <w:adjustRightInd w:val="0"/>
              <w:rPr>
                <w:rFonts w:eastAsia="Calibri"/>
                <w:sz w:val="20"/>
              </w:rPr>
            </w:pPr>
            <w:r w:rsidRPr="000763AE">
              <w:rPr>
                <w:rFonts w:eastAsia="Calibri"/>
                <w:sz w:val="20"/>
              </w:rPr>
              <w:t>Used to evaluate the relationship when the dependent variable is dichotomous and independent variable is rank or ordinal |like “time spent with provider” and “age range”</w:t>
            </w:r>
          </w:p>
        </w:tc>
      </w:tr>
    </w:tbl>
    <w:p w:rsidR="00C85FD7" w:rsidRPr="000763AE" w:rsidRDefault="00C85FD7" w:rsidP="00B11B34">
      <w:pPr>
        <w:autoSpaceDE w:val="0"/>
        <w:autoSpaceDN w:val="0"/>
        <w:adjustRightInd w:val="0"/>
        <w:spacing w:line="360" w:lineRule="auto"/>
        <w:jc w:val="both"/>
        <w:rPr>
          <w:rFonts w:eastAsia="Calibri"/>
        </w:rPr>
      </w:pPr>
    </w:p>
    <w:p w:rsidR="00427236" w:rsidRPr="000763AE" w:rsidRDefault="00427236" w:rsidP="00B11B34">
      <w:pPr>
        <w:autoSpaceDE w:val="0"/>
        <w:autoSpaceDN w:val="0"/>
        <w:adjustRightInd w:val="0"/>
        <w:spacing w:line="360" w:lineRule="auto"/>
        <w:jc w:val="both"/>
        <w:rPr>
          <w:rFonts w:eastAsia="Calibri"/>
        </w:rPr>
      </w:pP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lastRenderedPageBreak/>
        <w:tab/>
        <w:t>The first sets of independent variables to be evaluated for association included sex, ethnicity, diabetes education, physician type, and type of practice. Since these variables are dichotomous and nominal, a Phi correlation was used.  Of the dichotomous, nominal variables, the physician type and practice type variables demonstrated an extremely weak, inverse non-significant association (ϕ = -0.094).  All others in this set of variables did not show a significant correlation. The results of the Phi Correlation analyses can be found in Table 8.</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The next sets of independent variables that were assessed for association were the dichotomous</w:t>
      </w:r>
      <w:r w:rsidR="00766DD7" w:rsidRPr="000763AE">
        <w:rPr>
          <w:rFonts w:eastAsia="Calibri"/>
        </w:rPr>
        <w:t>,</w:t>
      </w:r>
      <w:r w:rsidRPr="000763AE">
        <w:rPr>
          <w:rFonts w:eastAsia="Calibri"/>
        </w:rPr>
        <w:t xml:space="preserve"> nominal variables and nominal variables with two or more values such as race, provider type, payment type, and region.  A Cramer’s V Correlation methodology was used to evaluate the strength of the association amongst these variables since one of the variables being analyzed has more than one value.  Statistically significant but weak associations were seen between sex and race (</w:t>
      </w:r>
      <w:r w:rsidRPr="000763AE">
        <w:rPr>
          <w:rFonts w:eastAsia="Calibri"/>
          <w:i/>
        </w:rPr>
        <w:t>V</w:t>
      </w:r>
      <w:r w:rsidRPr="000763AE">
        <w:rPr>
          <w:rFonts w:eastAsia="Calibri"/>
        </w:rPr>
        <w:t>=0.047), sex and region (</w:t>
      </w:r>
      <w:r w:rsidRPr="000763AE">
        <w:rPr>
          <w:rFonts w:eastAsia="Calibri"/>
          <w:i/>
        </w:rPr>
        <w:t>V</w:t>
      </w:r>
      <w:r w:rsidRPr="000763AE">
        <w:rPr>
          <w:rFonts w:eastAsia="Calibri"/>
        </w:rPr>
        <w:t>=0.0590), ethnicity and race (</w:t>
      </w:r>
      <w:r w:rsidRPr="000763AE">
        <w:rPr>
          <w:rFonts w:eastAsia="Calibri"/>
          <w:i/>
        </w:rPr>
        <w:t>V</w:t>
      </w:r>
      <w:r w:rsidRPr="000763AE">
        <w:rPr>
          <w:rFonts w:eastAsia="Calibri"/>
        </w:rPr>
        <w:t>=0.119), ethnicity and payment (</w:t>
      </w:r>
      <w:r w:rsidRPr="000763AE">
        <w:rPr>
          <w:rFonts w:eastAsia="Calibri"/>
          <w:i/>
        </w:rPr>
        <w:t>V</w:t>
      </w:r>
      <w:r w:rsidRPr="000763AE">
        <w:rPr>
          <w:rFonts w:eastAsia="Calibri"/>
        </w:rPr>
        <w:t>=0.132), ethnicity and provider type (</w:t>
      </w:r>
      <w:r w:rsidRPr="000763AE">
        <w:rPr>
          <w:rFonts w:eastAsia="Calibri"/>
          <w:i/>
        </w:rPr>
        <w:t>V</w:t>
      </w:r>
      <w:r w:rsidRPr="000763AE">
        <w:rPr>
          <w:rFonts w:eastAsia="Calibri"/>
        </w:rPr>
        <w:t>=0.086), ethnicity and region (</w:t>
      </w:r>
      <w:r w:rsidRPr="000763AE">
        <w:rPr>
          <w:rFonts w:eastAsia="Calibri"/>
          <w:i/>
        </w:rPr>
        <w:t>V</w:t>
      </w:r>
      <w:r w:rsidRPr="000763AE">
        <w:rPr>
          <w:rFonts w:eastAsia="Calibri"/>
        </w:rPr>
        <w:t>=0.164), physician type and payment type (</w:t>
      </w:r>
      <w:r w:rsidRPr="000763AE">
        <w:rPr>
          <w:rFonts w:eastAsia="Calibri"/>
          <w:i/>
        </w:rPr>
        <w:t>V</w:t>
      </w:r>
      <w:r w:rsidRPr="000763AE">
        <w:rPr>
          <w:rFonts w:eastAsia="Calibri"/>
        </w:rPr>
        <w:t>=0.053), physician type and provider type (</w:t>
      </w:r>
      <w:r w:rsidRPr="000763AE">
        <w:rPr>
          <w:rFonts w:eastAsia="Calibri"/>
          <w:i/>
        </w:rPr>
        <w:t>V</w:t>
      </w:r>
      <w:r w:rsidRPr="000763AE">
        <w:rPr>
          <w:rFonts w:eastAsia="Calibri"/>
        </w:rPr>
        <w:t>=0.055), physician type and region (</w:t>
      </w:r>
      <w:r w:rsidRPr="000763AE">
        <w:rPr>
          <w:rFonts w:eastAsia="Calibri"/>
          <w:i/>
        </w:rPr>
        <w:t>V</w:t>
      </w:r>
      <w:r w:rsidRPr="000763AE">
        <w:rPr>
          <w:rFonts w:eastAsia="Calibri"/>
        </w:rPr>
        <w:t>=0.043), practice type and race (</w:t>
      </w:r>
      <w:r w:rsidRPr="000763AE">
        <w:rPr>
          <w:rFonts w:eastAsia="Calibri"/>
          <w:i/>
        </w:rPr>
        <w:t>V</w:t>
      </w:r>
      <w:r w:rsidRPr="000763AE">
        <w:rPr>
          <w:rFonts w:eastAsia="Calibri"/>
        </w:rPr>
        <w:t>=0.056), practice type and provider type (</w:t>
      </w:r>
      <w:r w:rsidRPr="000763AE">
        <w:rPr>
          <w:rFonts w:eastAsia="Calibri"/>
          <w:i/>
        </w:rPr>
        <w:t>V</w:t>
      </w:r>
      <w:r w:rsidRPr="000763AE">
        <w:rPr>
          <w:rFonts w:eastAsia="Calibri"/>
        </w:rPr>
        <w:t>=0.108),  diabetes education and payment (</w:t>
      </w:r>
      <w:r w:rsidRPr="000763AE">
        <w:rPr>
          <w:rFonts w:eastAsia="Calibri"/>
          <w:i/>
        </w:rPr>
        <w:t>V</w:t>
      </w:r>
      <w:r w:rsidRPr="000763AE">
        <w:rPr>
          <w:rFonts w:eastAsia="Calibri"/>
        </w:rPr>
        <w:t>=0.094), diabetes education and provider type (</w:t>
      </w:r>
      <w:r w:rsidRPr="000763AE">
        <w:rPr>
          <w:rFonts w:eastAsia="Calibri"/>
          <w:i/>
        </w:rPr>
        <w:t>V</w:t>
      </w:r>
      <w:r w:rsidRPr="000763AE">
        <w:rPr>
          <w:rFonts w:eastAsia="Calibri"/>
        </w:rPr>
        <w:t>=0.097), diabetes education and region (</w:t>
      </w:r>
      <w:r w:rsidRPr="000763AE">
        <w:rPr>
          <w:rFonts w:eastAsia="Calibri"/>
          <w:i/>
        </w:rPr>
        <w:t>V</w:t>
      </w:r>
      <w:r w:rsidRPr="000763AE">
        <w:rPr>
          <w:rFonts w:eastAsia="Calibri"/>
        </w:rPr>
        <w:t xml:space="preserve">=0.057). The results are </w:t>
      </w:r>
      <w:r w:rsidR="00766DD7" w:rsidRPr="000763AE">
        <w:rPr>
          <w:rFonts w:eastAsia="Calibri"/>
        </w:rPr>
        <w:t xml:space="preserve">shown </w:t>
      </w:r>
      <w:r w:rsidRPr="000763AE">
        <w:rPr>
          <w:rFonts w:eastAsia="Calibri"/>
        </w:rPr>
        <w:t xml:space="preserve">in Table 9. </w:t>
      </w:r>
    </w:p>
    <w:p w:rsidR="005F0677" w:rsidRPr="000763AE" w:rsidRDefault="00C85FD7" w:rsidP="00B11B34">
      <w:pPr>
        <w:autoSpaceDE w:val="0"/>
        <w:autoSpaceDN w:val="0"/>
        <w:adjustRightInd w:val="0"/>
        <w:spacing w:line="360" w:lineRule="auto"/>
        <w:jc w:val="both"/>
        <w:rPr>
          <w:rFonts w:eastAsia="Calibri"/>
          <w:b/>
        </w:rPr>
      </w:pPr>
      <w:r w:rsidRPr="000763AE">
        <w:rPr>
          <w:rFonts w:eastAsia="Calibri"/>
        </w:rPr>
        <w:tab/>
        <w:t xml:space="preserve">The final analysis </w:t>
      </w:r>
      <w:r w:rsidR="00766DD7" w:rsidRPr="000763AE">
        <w:rPr>
          <w:rFonts w:eastAsia="Calibri"/>
        </w:rPr>
        <w:t xml:space="preserve">used </w:t>
      </w:r>
      <w:r w:rsidRPr="000763AE">
        <w:rPr>
          <w:rFonts w:eastAsia="Calibri"/>
        </w:rPr>
        <w:t xml:space="preserve">for assessing statistical significance on the remainder of independent variables was the rank </w:t>
      </w:r>
      <w:proofErr w:type="spellStart"/>
      <w:r w:rsidRPr="000763AE">
        <w:rPr>
          <w:rFonts w:eastAsia="Calibri"/>
        </w:rPr>
        <w:t>biserial</w:t>
      </w:r>
      <w:proofErr w:type="spellEnd"/>
      <w:r w:rsidRPr="000763AE">
        <w:rPr>
          <w:rFonts w:eastAsia="Calibri"/>
        </w:rPr>
        <w:t xml:space="preserve"> coefficient analysis.  This methodology is used to evaluate the relationship between dichotomous, nominal, ordinal, and rank variables. Weak inverse correlations were found </w:t>
      </w:r>
      <w:r w:rsidR="00C61FDA" w:rsidRPr="000763AE">
        <w:rPr>
          <w:rFonts w:eastAsia="Calibri"/>
        </w:rPr>
        <w:t xml:space="preserve">for </w:t>
      </w:r>
      <w:r w:rsidRPr="000763AE">
        <w:rPr>
          <w:rFonts w:eastAsia="Calibri"/>
        </w:rPr>
        <w:t>the following sets of variables: sex and age (</w:t>
      </w:r>
      <w:proofErr w:type="spellStart"/>
      <w:proofErr w:type="gramStart"/>
      <w:r w:rsidRPr="000763AE">
        <w:rPr>
          <w:rFonts w:eastAsia="Calibri"/>
          <w:i/>
        </w:rPr>
        <w:t>r</w:t>
      </w:r>
      <w:r w:rsidRPr="000763AE">
        <w:rPr>
          <w:rFonts w:eastAsia="Calibri"/>
          <w:i/>
          <w:sz w:val="18"/>
        </w:rPr>
        <w:t>rb</w:t>
      </w:r>
      <w:proofErr w:type="spellEnd"/>
      <w:proofErr w:type="gramEnd"/>
      <w:r w:rsidRPr="000763AE">
        <w:rPr>
          <w:rFonts w:eastAsia="Calibri"/>
        </w:rPr>
        <w:t xml:space="preserve"> = -0.049), ethnicity and age (</w:t>
      </w:r>
      <w:proofErr w:type="spellStart"/>
      <w:r w:rsidRPr="000763AE">
        <w:rPr>
          <w:rFonts w:eastAsia="Calibri"/>
          <w:i/>
        </w:rPr>
        <w:t>r</w:t>
      </w:r>
      <w:r w:rsidRPr="000763AE">
        <w:rPr>
          <w:rFonts w:eastAsia="Calibri"/>
          <w:i/>
          <w:sz w:val="18"/>
        </w:rPr>
        <w:t>rb</w:t>
      </w:r>
      <w:proofErr w:type="spellEnd"/>
      <w:r w:rsidRPr="000763AE">
        <w:rPr>
          <w:rFonts w:eastAsia="Calibri"/>
        </w:rPr>
        <w:t xml:space="preserve"> = -0.087), physician type and age (</w:t>
      </w:r>
      <w:proofErr w:type="spellStart"/>
      <w:r w:rsidRPr="000763AE">
        <w:rPr>
          <w:rFonts w:eastAsia="Calibri"/>
          <w:i/>
        </w:rPr>
        <w:t>r</w:t>
      </w:r>
      <w:r w:rsidRPr="000763AE">
        <w:rPr>
          <w:rFonts w:eastAsia="Calibri"/>
          <w:i/>
          <w:sz w:val="18"/>
        </w:rPr>
        <w:t>rb</w:t>
      </w:r>
      <w:proofErr w:type="spellEnd"/>
      <w:r w:rsidRPr="000763AE">
        <w:rPr>
          <w:rFonts w:eastAsia="Calibri"/>
        </w:rPr>
        <w:t xml:space="preserve"> = -0.07), diabetes education and age (</w:t>
      </w:r>
      <w:proofErr w:type="spellStart"/>
      <w:r w:rsidRPr="000763AE">
        <w:rPr>
          <w:rFonts w:eastAsia="Calibri"/>
          <w:i/>
        </w:rPr>
        <w:t>r</w:t>
      </w:r>
      <w:r w:rsidRPr="000763AE">
        <w:rPr>
          <w:rFonts w:eastAsia="Calibri"/>
          <w:i/>
          <w:sz w:val="18"/>
        </w:rPr>
        <w:t>rb</w:t>
      </w:r>
      <w:proofErr w:type="spellEnd"/>
      <w:r w:rsidRPr="000763AE">
        <w:rPr>
          <w:rFonts w:eastAsia="Calibri"/>
        </w:rPr>
        <w:t xml:space="preserve"> = -0.051). Since the examined correlations were either weak or non-significant, they did not generate concerns about multicollinearity. These results are found in Table 10.</w:t>
      </w:r>
    </w:p>
    <w:p w:rsidR="000C7B26" w:rsidRPr="000763AE" w:rsidRDefault="000C7B26" w:rsidP="00B11B34">
      <w:pPr>
        <w:autoSpaceDE w:val="0"/>
        <w:autoSpaceDN w:val="0"/>
        <w:adjustRightInd w:val="0"/>
        <w:spacing w:line="360" w:lineRule="auto"/>
        <w:jc w:val="both"/>
        <w:rPr>
          <w:rFonts w:eastAsia="Calibri"/>
          <w:b/>
        </w:rPr>
      </w:pPr>
    </w:p>
    <w:p w:rsidR="000C7B26" w:rsidRPr="000763AE" w:rsidRDefault="000C7B26" w:rsidP="00B11B34">
      <w:pPr>
        <w:autoSpaceDE w:val="0"/>
        <w:autoSpaceDN w:val="0"/>
        <w:adjustRightInd w:val="0"/>
        <w:spacing w:line="360" w:lineRule="auto"/>
        <w:jc w:val="both"/>
        <w:rPr>
          <w:rFonts w:eastAsia="Calibri"/>
          <w:b/>
        </w:rPr>
      </w:pPr>
    </w:p>
    <w:p w:rsidR="00427236" w:rsidRPr="000763AE" w:rsidRDefault="00427236" w:rsidP="00B11B34">
      <w:pPr>
        <w:autoSpaceDE w:val="0"/>
        <w:autoSpaceDN w:val="0"/>
        <w:adjustRightInd w:val="0"/>
        <w:spacing w:line="360" w:lineRule="auto"/>
        <w:jc w:val="both"/>
        <w:rPr>
          <w:rFonts w:eastAsia="Calibri"/>
          <w:b/>
        </w:rPr>
      </w:pPr>
    </w:p>
    <w:p w:rsidR="00C85FD7" w:rsidRPr="000763AE" w:rsidRDefault="00C85FD7" w:rsidP="00B11B34">
      <w:pPr>
        <w:autoSpaceDE w:val="0"/>
        <w:autoSpaceDN w:val="0"/>
        <w:adjustRightInd w:val="0"/>
        <w:spacing w:line="360" w:lineRule="auto"/>
        <w:jc w:val="both"/>
        <w:rPr>
          <w:rFonts w:eastAsia="Calibri"/>
        </w:rPr>
      </w:pPr>
      <w:proofErr w:type="gramStart"/>
      <w:r w:rsidRPr="000763AE">
        <w:rPr>
          <w:rFonts w:eastAsia="Calibri"/>
          <w:b/>
        </w:rPr>
        <w:lastRenderedPageBreak/>
        <w:t>Table 8</w:t>
      </w:r>
      <w:r w:rsidRPr="000763AE">
        <w:rPr>
          <w:rFonts w:eastAsia="Calibri"/>
        </w:rPr>
        <w:t>.</w:t>
      </w:r>
      <w:proofErr w:type="gramEnd"/>
      <w:r w:rsidRPr="000763AE">
        <w:rPr>
          <w:rFonts w:eastAsia="Calibri"/>
        </w:rPr>
        <w:t xml:space="preserve">  Phi correlation results for selected independent nominal, dichotomous variables from the 2015 NAMCS data set.</w:t>
      </w:r>
    </w:p>
    <w:p w:rsidR="00C85FD7" w:rsidRPr="000763AE" w:rsidRDefault="00C85FD7" w:rsidP="00B11B34">
      <w:pPr>
        <w:autoSpaceDE w:val="0"/>
        <w:autoSpaceDN w:val="0"/>
        <w:adjustRightInd w:val="0"/>
        <w:spacing w:line="360" w:lineRule="auto"/>
        <w:jc w:val="both"/>
        <w:rPr>
          <w:rFonts w:eastAsia="Calibri"/>
        </w:rPr>
      </w:pPr>
    </w:p>
    <w:tbl>
      <w:tblPr>
        <w:tblW w:w="4533" w:type="pct"/>
        <w:jc w:val="center"/>
        <w:tblLook w:val="04A0" w:firstRow="1" w:lastRow="0" w:firstColumn="1" w:lastColumn="0" w:noHBand="0" w:noVBand="1"/>
      </w:tblPr>
      <w:tblGrid>
        <w:gridCol w:w="2953"/>
        <w:gridCol w:w="1484"/>
        <w:gridCol w:w="1342"/>
        <w:gridCol w:w="2250"/>
      </w:tblGrid>
      <w:tr w:rsidR="00C85FD7" w:rsidRPr="00C85FD7" w:rsidTr="00A377FD">
        <w:trPr>
          <w:trHeight w:val="315"/>
          <w:jc w:val="center"/>
        </w:trPr>
        <w:tc>
          <w:tcPr>
            <w:tcW w:w="1839" w:type="pct"/>
            <w:tcBorders>
              <w:top w:val="single" w:sz="4" w:space="0" w:color="auto"/>
              <w:left w:val="single" w:sz="4" w:space="0" w:color="auto"/>
              <w:bottom w:val="single" w:sz="4" w:space="0" w:color="auto"/>
              <w:right w:val="single" w:sz="4" w:space="0" w:color="auto"/>
            </w:tcBorders>
            <w:shd w:val="clear" w:color="000000" w:fill="808080"/>
            <w:vAlign w:val="bottom"/>
            <w:hideMark/>
          </w:tcPr>
          <w:p w:rsidR="00C85FD7" w:rsidRPr="000763AE" w:rsidRDefault="00C85FD7" w:rsidP="00B11B34">
            <w:pPr>
              <w:spacing w:line="360" w:lineRule="auto"/>
              <w:jc w:val="both"/>
              <w:rPr>
                <w:rFonts w:ascii="Calibri" w:hAnsi="Calibri" w:cs="Calibri"/>
                <w:b/>
                <w:bCs/>
                <w:color w:val="FFFFFF"/>
                <w:sz w:val="20"/>
                <w:szCs w:val="20"/>
              </w:rPr>
            </w:pPr>
            <w:r w:rsidRPr="000763AE">
              <w:rPr>
                <w:rFonts w:ascii="Calibri" w:eastAsia="Calibri" w:hAnsi="Calibri" w:cs="Calibri"/>
                <w:b/>
                <w:bCs/>
                <w:color w:val="FFFFFF"/>
                <w:sz w:val="20"/>
                <w:szCs w:val="20"/>
              </w:rPr>
              <w:t xml:space="preserve">Variable  </w:t>
            </w:r>
          </w:p>
        </w:tc>
        <w:tc>
          <w:tcPr>
            <w:tcW w:w="924" w:type="pct"/>
            <w:tcBorders>
              <w:top w:val="single" w:sz="4" w:space="0" w:color="auto"/>
              <w:left w:val="nil"/>
              <w:bottom w:val="single" w:sz="4" w:space="0" w:color="auto"/>
              <w:right w:val="single" w:sz="4" w:space="0" w:color="auto"/>
            </w:tcBorders>
            <w:shd w:val="clear" w:color="000000" w:fill="808080"/>
            <w:noWrap/>
            <w:vAlign w:val="bottom"/>
            <w:hideMark/>
          </w:tcPr>
          <w:p w:rsidR="00C85FD7" w:rsidRPr="000763AE" w:rsidRDefault="00C85FD7" w:rsidP="00B11B34">
            <w:pPr>
              <w:spacing w:line="360" w:lineRule="auto"/>
              <w:jc w:val="center"/>
              <w:rPr>
                <w:rFonts w:ascii="Calibri" w:hAnsi="Calibri" w:cs="Calibri"/>
                <w:b/>
                <w:bCs/>
                <w:color w:val="FFFFFF"/>
                <w:sz w:val="20"/>
                <w:szCs w:val="20"/>
              </w:rPr>
            </w:pPr>
            <w:r w:rsidRPr="000763AE">
              <w:rPr>
                <w:rFonts w:ascii="Calibri" w:hAnsi="Calibri" w:cs="Calibri"/>
                <w:b/>
                <w:bCs/>
                <w:color w:val="FFFFFF"/>
                <w:sz w:val="20"/>
                <w:szCs w:val="20"/>
              </w:rPr>
              <w:t>ɸ</w:t>
            </w:r>
          </w:p>
        </w:tc>
        <w:tc>
          <w:tcPr>
            <w:tcW w:w="836" w:type="pct"/>
            <w:tcBorders>
              <w:top w:val="single" w:sz="4" w:space="0" w:color="auto"/>
              <w:left w:val="nil"/>
              <w:bottom w:val="single" w:sz="4" w:space="0" w:color="auto"/>
              <w:right w:val="single" w:sz="4" w:space="0" w:color="auto"/>
            </w:tcBorders>
            <w:shd w:val="clear" w:color="000000" w:fill="808080"/>
            <w:noWrap/>
            <w:vAlign w:val="bottom"/>
            <w:hideMark/>
          </w:tcPr>
          <w:p w:rsidR="00C85FD7" w:rsidRPr="000763AE" w:rsidRDefault="00C85FD7" w:rsidP="00B11B34">
            <w:pPr>
              <w:spacing w:line="360" w:lineRule="auto"/>
              <w:jc w:val="center"/>
              <w:rPr>
                <w:rFonts w:ascii="Calibri" w:hAnsi="Calibri" w:cs="Calibri"/>
                <w:b/>
                <w:bCs/>
                <w:color w:val="FFFFFF"/>
                <w:sz w:val="20"/>
                <w:szCs w:val="20"/>
              </w:rPr>
            </w:pPr>
            <w:r w:rsidRPr="000763AE">
              <w:rPr>
                <w:rFonts w:ascii="Calibri" w:hAnsi="Calibri" w:cs="Calibri"/>
                <w:b/>
                <w:bCs/>
                <w:color w:val="FFFFFF"/>
                <w:sz w:val="20"/>
                <w:szCs w:val="20"/>
              </w:rPr>
              <w:t>P</w:t>
            </w:r>
          </w:p>
        </w:tc>
        <w:tc>
          <w:tcPr>
            <w:tcW w:w="1401" w:type="pct"/>
            <w:tcBorders>
              <w:top w:val="single" w:sz="4" w:space="0" w:color="auto"/>
              <w:left w:val="nil"/>
              <w:bottom w:val="single" w:sz="4" w:space="0" w:color="auto"/>
              <w:right w:val="single" w:sz="4" w:space="0" w:color="auto"/>
            </w:tcBorders>
            <w:shd w:val="clear" w:color="000000" w:fill="808080"/>
            <w:noWrap/>
            <w:vAlign w:val="bottom"/>
            <w:hideMark/>
          </w:tcPr>
          <w:p w:rsidR="00C85FD7" w:rsidRPr="000763AE" w:rsidRDefault="00C85FD7" w:rsidP="00B11B34">
            <w:pPr>
              <w:spacing w:line="360" w:lineRule="auto"/>
              <w:jc w:val="center"/>
              <w:rPr>
                <w:rFonts w:ascii="Calibri" w:hAnsi="Calibri" w:cs="Calibri"/>
                <w:b/>
                <w:bCs/>
                <w:color w:val="FFFFFF"/>
                <w:sz w:val="20"/>
                <w:szCs w:val="20"/>
              </w:rPr>
            </w:pPr>
            <w:r w:rsidRPr="000763AE">
              <w:rPr>
                <w:rFonts w:ascii="Calibri" w:hAnsi="Calibri" w:cs="Calibri"/>
                <w:b/>
                <w:bCs/>
                <w:color w:val="FFFFFF"/>
                <w:sz w:val="20"/>
                <w:szCs w:val="20"/>
              </w:rPr>
              <w:t>Correlation</w:t>
            </w:r>
          </w:p>
        </w:tc>
      </w:tr>
      <w:tr w:rsidR="00C85FD7" w:rsidRPr="00C85FD7" w:rsidTr="00A377FD">
        <w:trPr>
          <w:trHeight w:val="405"/>
          <w:jc w:val="center"/>
        </w:trPr>
        <w:tc>
          <w:tcPr>
            <w:tcW w:w="1839" w:type="pct"/>
            <w:tcBorders>
              <w:top w:val="nil"/>
              <w:left w:val="single" w:sz="4" w:space="0" w:color="auto"/>
              <w:bottom w:val="single" w:sz="4" w:space="0" w:color="auto"/>
              <w:right w:val="single" w:sz="4" w:space="0" w:color="auto"/>
            </w:tcBorders>
            <w:shd w:val="clear" w:color="000000" w:fill="808080"/>
            <w:vAlign w:val="bottom"/>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Ethnicity/Sex</w:t>
            </w:r>
          </w:p>
        </w:tc>
        <w:tc>
          <w:tcPr>
            <w:tcW w:w="924"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0.007</w:t>
            </w:r>
          </w:p>
        </w:tc>
        <w:tc>
          <w:tcPr>
            <w:tcW w:w="836"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0.658</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Non-significant</w:t>
            </w:r>
          </w:p>
        </w:tc>
      </w:tr>
      <w:tr w:rsidR="00C85FD7" w:rsidRPr="00C85FD7" w:rsidTr="00A377FD">
        <w:trPr>
          <w:trHeight w:val="315"/>
          <w:jc w:val="center"/>
        </w:trPr>
        <w:tc>
          <w:tcPr>
            <w:tcW w:w="1839" w:type="pct"/>
            <w:tcBorders>
              <w:top w:val="nil"/>
              <w:left w:val="single" w:sz="4" w:space="0" w:color="auto"/>
              <w:bottom w:val="single" w:sz="4" w:space="0" w:color="auto"/>
              <w:right w:val="single" w:sz="4" w:space="0" w:color="auto"/>
            </w:tcBorders>
            <w:shd w:val="clear" w:color="000000" w:fill="808080"/>
            <w:vAlign w:val="bottom"/>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Physician type/Sex</w:t>
            </w:r>
          </w:p>
        </w:tc>
        <w:tc>
          <w:tcPr>
            <w:tcW w:w="924"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0.003</w:t>
            </w:r>
          </w:p>
        </w:tc>
        <w:tc>
          <w:tcPr>
            <w:tcW w:w="836"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0.875</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Non-significant</w:t>
            </w:r>
          </w:p>
        </w:tc>
      </w:tr>
      <w:tr w:rsidR="00C85FD7" w:rsidRPr="00C85FD7" w:rsidTr="00A377FD">
        <w:trPr>
          <w:trHeight w:val="315"/>
          <w:jc w:val="center"/>
        </w:trPr>
        <w:tc>
          <w:tcPr>
            <w:tcW w:w="1839" w:type="pct"/>
            <w:tcBorders>
              <w:top w:val="nil"/>
              <w:left w:val="single" w:sz="4" w:space="0" w:color="auto"/>
              <w:bottom w:val="single" w:sz="4" w:space="0" w:color="auto"/>
              <w:right w:val="single" w:sz="4" w:space="0" w:color="auto"/>
            </w:tcBorders>
            <w:shd w:val="clear" w:color="000000" w:fill="808080"/>
            <w:vAlign w:val="bottom"/>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Practice Type /Sex</w:t>
            </w:r>
          </w:p>
        </w:tc>
        <w:tc>
          <w:tcPr>
            <w:tcW w:w="924"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0.003</w:t>
            </w:r>
          </w:p>
        </w:tc>
        <w:tc>
          <w:tcPr>
            <w:tcW w:w="836"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0.84</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Non-significant</w:t>
            </w:r>
          </w:p>
        </w:tc>
      </w:tr>
      <w:tr w:rsidR="00C85FD7" w:rsidRPr="00C85FD7" w:rsidTr="00A377FD">
        <w:trPr>
          <w:trHeight w:val="360"/>
          <w:jc w:val="center"/>
        </w:trPr>
        <w:tc>
          <w:tcPr>
            <w:tcW w:w="1839" w:type="pct"/>
            <w:tcBorders>
              <w:top w:val="nil"/>
              <w:left w:val="single" w:sz="4" w:space="0" w:color="auto"/>
              <w:bottom w:val="single" w:sz="4" w:space="0" w:color="auto"/>
              <w:right w:val="single" w:sz="4" w:space="0" w:color="auto"/>
            </w:tcBorders>
            <w:shd w:val="clear" w:color="000000" w:fill="808080"/>
            <w:vAlign w:val="bottom"/>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Diabetes education/Sex</w:t>
            </w:r>
          </w:p>
        </w:tc>
        <w:tc>
          <w:tcPr>
            <w:tcW w:w="924"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0.014</w:t>
            </w:r>
          </w:p>
        </w:tc>
        <w:tc>
          <w:tcPr>
            <w:tcW w:w="836"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0.402</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Non-significant</w:t>
            </w:r>
          </w:p>
        </w:tc>
      </w:tr>
      <w:tr w:rsidR="00C85FD7" w:rsidRPr="00C85FD7" w:rsidTr="00A377FD">
        <w:trPr>
          <w:trHeight w:val="315"/>
          <w:jc w:val="center"/>
        </w:trPr>
        <w:tc>
          <w:tcPr>
            <w:tcW w:w="1839"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Physician type/Ethnicity</w:t>
            </w:r>
          </w:p>
        </w:tc>
        <w:tc>
          <w:tcPr>
            <w:tcW w:w="924"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0.025</w:t>
            </w:r>
          </w:p>
        </w:tc>
        <w:tc>
          <w:tcPr>
            <w:tcW w:w="83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0.141</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Non-significant</w:t>
            </w:r>
          </w:p>
        </w:tc>
      </w:tr>
      <w:tr w:rsidR="00C85FD7" w:rsidRPr="00C85FD7" w:rsidTr="00A377FD">
        <w:trPr>
          <w:trHeight w:val="315"/>
          <w:jc w:val="center"/>
        </w:trPr>
        <w:tc>
          <w:tcPr>
            <w:tcW w:w="1839"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Practice Type /Ethnicity</w:t>
            </w:r>
          </w:p>
        </w:tc>
        <w:tc>
          <w:tcPr>
            <w:tcW w:w="924"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0.027</w:t>
            </w:r>
          </w:p>
        </w:tc>
        <w:tc>
          <w:tcPr>
            <w:tcW w:w="83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0.113</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Non-significant</w:t>
            </w:r>
          </w:p>
        </w:tc>
      </w:tr>
      <w:tr w:rsidR="00C85FD7" w:rsidRPr="00C85FD7" w:rsidTr="00A377FD">
        <w:trPr>
          <w:trHeight w:val="315"/>
          <w:jc w:val="center"/>
        </w:trPr>
        <w:tc>
          <w:tcPr>
            <w:tcW w:w="1839"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Diabetes education/Ethnicity</w:t>
            </w:r>
          </w:p>
        </w:tc>
        <w:tc>
          <w:tcPr>
            <w:tcW w:w="924"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-0.002</w:t>
            </w:r>
          </w:p>
        </w:tc>
        <w:tc>
          <w:tcPr>
            <w:tcW w:w="83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0.884</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Non-significant</w:t>
            </w:r>
          </w:p>
        </w:tc>
      </w:tr>
      <w:tr w:rsidR="00C85FD7" w:rsidRPr="00C85FD7" w:rsidTr="00A377FD">
        <w:trPr>
          <w:trHeight w:val="315"/>
          <w:jc w:val="center"/>
        </w:trPr>
        <w:tc>
          <w:tcPr>
            <w:tcW w:w="1839"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 xml:space="preserve">Physician Type /Practice Type </w:t>
            </w:r>
          </w:p>
        </w:tc>
        <w:tc>
          <w:tcPr>
            <w:tcW w:w="924"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-0.094</w:t>
            </w:r>
          </w:p>
        </w:tc>
        <w:tc>
          <w:tcPr>
            <w:tcW w:w="83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0.000</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Negative-weak</w:t>
            </w:r>
          </w:p>
        </w:tc>
      </w:tr>
      <w:tr w:rsidR="00C85FD7" w:rsidRPr="00C85FD7" w:rsidTr="00A377FD">
        <w:trPr>
          <w:trHeight w:val="386"/>
          <w:jc w:val="center"/>
        </w:trPr>
        <w:tc>
          <w:tcPr>
            <w:tcW w:w="1839"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 xml:space="preserve">Diabetes education/Practice </w:t>
            </w:r>
          </w:p>
        </w:tc>
        <w:tc>
          <w:tcPr>
            <w:tcW w:w="924"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0.027</w:t>
            </w:r>
          </w:p>
        </w:tc>
        <w:tc>
          <w:tcPr>
            <w:tcW w:w="83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0.112</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Non-significant</w:t>
            </w:r>
          </w:p>
        </w:tc>
      </w:tr>
      <w:tr w:rsidR="00C85FD7" w:rsidRPr="00C85FD7" w:rsidTr="00A377FD">
        <w:trPr>
          <w:trHeight w:val="305"/>
          <w:jc w:val="center"/>
        </w:trPr>
        <w:tc>
          <w:tcPr>
            <w:tcW w:w="1839"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B11B34">
            <w:pPr>
              <w:spacing w:line="360" w:lineRule="auto"/>
              <w:jc w:val="both"/>
              <w:rPr>
                <w:rFonts w:ascii="Calibri" w:hAnsi="Calibri" w:cs="Calibri"/>
                <w:b/>
                <w:color w:val="FFFFFF"/>
                <w:sz w:val="20"/>
                <w:szCs w:val="20"/>
              </w:rPr>
            </w:pPr>
            <w:r w:rsidRPr="000763AE">
              <w:rPr>
                <w:rFonts w:ascii="Calibri" w:hAnsi="Calibri" w:cs="Calibri"/>
                <w:b/>
                <w:color w:val="FFFFFF"/>
                <w:sz w:val="20"/>
                <w:szCs w:val="20"/>
              </w:rPr>
              <w:t>Diabetes education/Physician</w:t>
            </w:r>
          </w:p>
        </w:tc>
        <w:tc>
          <w:tcPr>
            <w:tcW w:w="924"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-0.018</w:t>
            </w:r>
          </w:p>
        </w:tc>
        <w:tc>
          <w:tcPr>
            <w:tcW w:w="83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0.286</w:t>
            </w:r>
          </w:p>
        </w:tc>
        <w:tc>
          <w:tcPr>
            <w:tcW w:w="1401"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B11B34">
            <w:pPr>
              <w:spacing w:line="360" w:lineRule="auto"/>
              <w:jc w:val="center"/>
              <w:rPr>
                <w:rFonts w:ascii="Calibri" w:hAnsi="Calibri" w:cs="Calibri"/>
                <w:color w:val="000000"/>
                <w:sz w:val="20"/>
                <w:szCs w:val="20"/>
              </w:rPr>
            </w:pPr>
            <w:r w:rsidRPr="000763AE">
              <w:rPr>
                <w:rFonts w:ascii="Calibri" w:hAnsi="Calibri" w:cs="Calibri"/>
                <w:color w:val="000000"/>
                <w:sz w:val="20"/>
                <w:szCs w:val="20"/>
              </w:rPr>
              <w:t>Non-significant</w:t>
            </w:r>
          </w:p>
        </w:tc>
      </w:tr>
    </w:tbl>
    <w:p w:rsidR="00C85FD7" w:rsidRPr="000763AE" w:rsidRDefault="00C85FD7" w:rsidP="00B11B34">
      <w:pPr>
        <w:autoSpaceDE w:val="0"/>
        <w:autoSpaceDN w:val="0"/>
        <w:adjustRightInd w:val="0"/>
        <w:spacing w:line="360" w:lineRule="auto"/>
        <w:jc w:val="both"/>
        <w:rPr>
          <w:rFonts w:eastAsia="Calibri"/>
          <w:b/>
        </w:rPr>
      </w:pPr>
    </w:p>
    <w:p w:rsidR="00C85FD7" w:rsidRPr="000763AE" w:rsidRDefault="00C85FD7" w:rsidP="00B11B34">
      <w:pPr>
        <w:autoSpaceDE w:val="0"/>
        <w:autoSpaceDN w:val="0"/>
        <w:adjustRightInd w:val="0"/>
        <w:spacing w:line="360" w:lineRule="auto"/>
        <w:jc w:val="both"/>
        <w:rPr>
          <w:rFonts w:eastAsia="Calibri"/>
          <w:b/>
        </w:rPr>
      </w:pPr>
    </w:p>
    <w:p w:rsidR="00C85FD7" w:rsidRPr="000763AE" w:rsidRDefault="00427236" w:rsidP="00427236">
      <w:pPr>
        <w:spacing w:after="200" w:line="360" w:lineRule="auto"/>
        <w:rPr>
          <w:rFonts w:eastAsia="Calibri"/>
          <w:b/>
        </w:rPr>
      </w:pPr>
      <w:r w:rsidRPr="000763AE">
        <w:rPr>
          <w:rFonts w:eastAsia="Calibri"/>
          <w:b/>
        </w:rPr>
        <w:br w:type="page"/>
      </w:r>
      <w:proofErr w:type="gramStart"/>
      <w:r w:rsidR="00C85FD7" w:rsidRPr="000763AE">
        <w:rPr>
          <w:rFonts w:eastAsia="Calibri"/>
          <w:b/>
        </w:rPr>
        <w:lastRenderedPageBreak/>
        <w:t>Table 9.</w:t>
      </w:r>
      <w:proofErr w:type="gramEnd"/>
      <w:r w:rsidR="00C85FD7" w:rsidRPr="000763AE">
        <w:rPr>
          <w:rFonts w:eastAsia="Calibri"/>
        </w:rPr>
        <w:t xml:space="preserve"> Cramer’s correlation results for selected independent variables from the 2015 NAMCS data set.</w:t>
      </w:r>
    </w:p>
    <w:p w:rsidR="00C85FD7" w:rsidRPr="000763AE" w:rsidRDefault="00C85FD7" w:rsidP="00B11B34">
      <w:pPr>
        <w:autoSpaceDE w:val="0"/>
        <w:autoSpaceDN w:val="0"/>
        <w:adjustRightInd w:val="0"/>
        <w:spacing w:after="120" w:line="360" w:lineRule="auto"/>
        <w:jc w:val="both"/>
        <w:rPr>
          <w:rFonts w:eastAsia="Calibri"/>
        </w:rPr>
      </w:pPr>
    </w:p>
    <w:tbl>
      <w:tblPr>
        <w:tblW w:w="7660" w:type="dxa"/>
        <w:jc w:val="center"/>
        <w:tblCellMar>
          <w:left w:w="0" w:type="dxa"/>
          <w:right w:w="0" w:type="dxa"/>
        </w:tblCellMar>
        <w:tblLook w:val="04A0" w:firstRow="1" w:lastRow="0" w:firstColumn="1" w:lastColumn="0" w:noHBand="0" w:noVBand="1"/>
      </w:tblPr>
      <w:tblGrid>
        <w:gridCol w:w="3340"/>
        <w:gridCol w:w="1420"/>
        <w:gridCol w:w="1280"/>
        <w:gridCol w:w="1620"/>
      </w:tblGrid>
      <w:tr w:rsidR="00C85FD7" w:rsidRPr="00C85FD7" w:rsidTr="000763AE">
        <w:trPr>
          <w:trHeight w:val="300"/>
          <w:jc w:val="center"/>
        </w:trPr>
        <w:tc>
          <w:tcPr>
            <w:tcW w:w="3340" w:type="dxa"/>
            <w:tcBorders>
              <w:top w:val="single" w:sz="4" w:space="0" w:color="auto"/>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bCs/>
                <w:color w:val="FFFFFF"/>
                <w:sz w:val="20"/>
                <w:szCs w:val="22"/>
              </w:rPr>
            </w:pPr>
            <w:r w:rsidRPr="000763AE">
              <w:rPr>
                <w:rFonts w:ascii="Calibri" w:hAnsi="Calibri" w:cs="Calibri"/>
                <w:b/>
                <w:bCs/>
                <w:color w:val="FFFFFF"/>
                <w:sz w:val="20"/>
                <w:szCs w:val="22"/>
              </w:rPr>
              <w:t xml:space="preserve">Variables </w:t>
            </w:r>
          </w:p>
        </w:tc>
        <w:tc>
          <w:tcPr>
            <w:tcW w:w="1420" w:type="dxa"/>
            <w:tcBorders>
              <w:top w:val="single" w:sz="4" w:space="0" w:color="auto"/>
              <w:left w:val="nil"/>
              <w:bottom w:val="single" w:sz="4" w:space="0" w:color="auto"/>
              <w:right w:val="single" w:sz="4" w:space="0" w:color="auto"/>
            </w:tcBorders>
            <w:shd w:val="clear" w:color="000000" w:fill="808080"/>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b/>
                <w:bCs/>
                <w:i/>
                <w:iCs/>
                <w:color w:val="FFFFFF"/>
                <w:sz w:val="22"/>
                <w:szCs w:val="22"/>
              </w:rPr>
            </w:pPr>
            <w:r w:rsidRPr="00C85FD7">
              <w:rPr>
                <w:rFonts w:ascii="Calibri" w:hAnsi="Calibri" w:cs="Calibri"/>
                <w:b/>
                <w:bCs/>
                <w:i/>
                <w:iCs/>
                <w:color w:val="FFFFFF"/>
                <w:sz w:val="22"/>
                <w:szCs w:val="22"/>
              </w:rPr>
              <w:t>V</w:t>
            </w:r>
          </w:p>
        </w:tc>
        <w:tc>
          <w:tcPr>
            <w:tcW w:w="1280" w:type="dxa"/>
            <w:tcBorders>
              <w:top w:val="single" w:sz="4" w:space="0" w:color="auto"/>
              <w:left w:val="nil"/>
              <w:bottom w:val="single" w:sz="4" w:space="0" w:color="auto"/>
              <w:right w:val="single" w:sz="4" w:space="0" w:color="auto"/>
            </w:tcBorders>
            <w:shd w:val="clear" w:color="000000" w:fill="808080"/>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b/>
                <w:bCs/>
                <w:color w:val="FFFFFF"/>
                <w:sz w:val="22"/>
                <w:szCs w:val="22"/>
              </w:rPr>
            </w:pPr>
            <w:r w:rsidRPr="00C85FD7">
              <w:rPr>
                <w:rFonts w:ascii="Calibri" w:hAnsi="Calibri" w:cs="Calibri"/>
                <w:b/>
                <w:bCs/>
                <w:color w:val="FFFFFF"/>
                <w:sz w:val="22"/>
                <w:szCs w:val="22"/>
              </w:rPr>
              <w:t>P</w:t>
            </w:r>
          </w:p>
        </w:tc>
        <w:tc>
          <w:tcPr>
            <w:tcW w:w="1620" w:type="dxa"/>
            <w:tcBorders>
              <w:top w:val="single" w:sz="4" w:space="0" w:color="auto"/>
              <w:left w:val="nil"/>
              <w:bottom w:val="single" w:sz="4" w:space="0" w:color="auto"/>
              <w:right w:val="single" w:sz="4" w:space="0" w:color="auto"/>
            </w:tcBorders>
            <w:shd w:val="clear" w:color="000000" w:fill="808080"/>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b/>
                <w:bCs/>
                <w:color w:val="FFFFFF"/>
                <w:sz w:val="22"/>
                <w:szCs w:val="22"/>
              </w:rPr>
            </w:pPr>
            <w:r w:rsidRPr="00C85FD7">
              <w:rPr>
                <w:rFonts w:ascii="Calibri" w:hAnsi="Calibri" w:cs="Calibri"/>
                <w:b/>
                <w:bCs/>
                <w:color w:val="FFFFFF"/>
                <w:sz w:val="22"/>
                <w:szCs w:val="22"/>
              </w:rPr>
              <w:t>Correlation</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Sex/Race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Sex/provider type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0.29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Non-significant</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Sex/Payment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0.143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Non-significant</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Sex/Region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0.059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0.007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Ethnicity/Race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0.119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Ethnicity/payment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0.132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Ethnicity/provider type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Ethnicity/region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0.164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Physician type/race</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0.026</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0.298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Non-significant</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Physician type/payment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0.053</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physician type/provider type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0.015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Physician type/region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Practice type/race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0.004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Practice type/payment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0.025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0.535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Non-significant</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Practice type/provider type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0.108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Physician type/region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0.294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Non-significant</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Diabetes education/race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0.451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Non-significant</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Diabetes education/payment</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0.094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Diabetes education/provider type</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0.097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r w:rsidR="00C85FD7" w:rsidRPr="00C85FD7" w:rsidTr="000763AE">
        <w:trPr>
          <w:trHeight w:val="300"/>
          <w:jc w:val="center"/>
        </w:trPr>
        <w:tc>
          <w:tcPr>
            <w:tcW w:w="0" w:type="auto"/>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Diabetes education/region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0"/>
                <w:szCs w:val="22"/>
              </w:rPr>
            </w:pPr>
            <w:r w:rsidRPr="00C85FD7">
              <w:rPr>
                <w:rFonts w:ascii="Calibri" w:hAnsi="Calibri" w:cs="Calibri"/>
                <w:color w:val="000000"/>
                <w:sz w:val="20"/>
                <w:szCs w:val="22"/>
              </w:rPr>
              <w:t>0.011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Weak</w:t>
            </w:r>
          </w:p>
        </w:tc>
      </w:tr>
    </w:tbl>
    <w:p w:rsidR="00C85FD7" w:rsidRPr="000763AE" w:rsidRDefault="00C85FD7" w:rsidP="00B11B34">
      <w:pPr>
        <w:autoSpaceDE w:val="0"/>
        <w:autoSpaceDN w:val="0"/>
        <w:adjustRightInd w:val="0"/>
        <w:spacing w:after="120" w:line="360" w:lineRule="auto"/>
        <w:jc w:val="both"/>
        <w:rPr>
          <w:rFonts w:eastAsia="Calibri"/>
          <w:b/>
        </w:rPr>
      </w:pPr>
    </w:p>
    <w:p w:rsidR="00C85FD7" w:rsidRPr="000C5643" w:rsidRDefault="00427236" w:rsidP="00B11B34">
      <w:pPr>
        <w:autoSpaceDE w:val="0"/>
        <w:autoSpaceDN w:val="0"/>
        <w:adjustRightInd w:val="0"/>
        <w:spacing w:after="120" w:line="360" w:lineRule="auto"/>
        <w:jc w:val="both"/>
        <w:rPr>
          <w:rFonts w:eastAsia="Calibri"/>
          <w:b/>
        </w:rPr>
      </w:pPr>
      <w:r w:rsidRPr="000763AE">
        <w:rPr>
          <w:rFonts w:eastAsia="Calibri"/>
          <w:b/>
        </w:rPr>
        <w:br w:type="page"/>
      </w:r>
      <w:proofErr w:type="gramStart"/>
      <w:r w:rsidR="000C5643">
        <w:rPr>
          <w:rFonts w:eastAsia="Calibri"/>
          <w:b/>
        </w:rPr>
        <w:lastRenderedPageBreak/>
        <w:t xml:space="preserve">Table </w:t>
      </w:r>
      <w:r w:rsidR="00C85FD7" w:rsidRPr="000763AE">
        <w:rPr>
          <w:rFonts w:eastAsia="Calibri"/>
          <w:b/>
        </w:rPr>
        <w:t>10</w:t>
      </w:r>
      <w:r w:rsidR="00C85FD7" w:rsidRPr="000763AE">
        <w:rPr>
          <w:rFonts w:eastAsia="Calibri"/>
        </w:rPr>
        <w:t>.</w:t>
      </w:r>
      <w:proofErr w:type="gramEnd"/>
      <w:r w:rsidR="00C85FD7" w:rsidRPr="000763AE">
        <w:rPr>
          <w:rFonts w:eastAsia="Calibri"/>
        </w:rPr>
        <w:t xml:space="preserve">  Rank-</w:t>
      </w:r>
      <w:proofErr w:type="spellStart"/>
      <w:r w:rsidR="00C85FD7" w:rsidRPr="000763AE">
        <w:rPr>
          <w:rFonts w:eastAsia="Calibri"/>
        </w:rPr>
        <w:t>biserial</w:t>
      </w:r>
      <w:proofErr w:type="spellEnd"/>
      <w:r w:rsidR="00C85FD7" w:rsidRPr="000763AE">
        <w:rPr>
          <w:rFonts w:eastAsia="Calibri"/>
        </w:rPr>
        <w:t xml:space="preserve"> correlation results for selected independent nominal, dichotomous variables from the 2015 NAMCS data set.</w:t>
      </w:r>
    </w:p>
    <w:p w:rsidR="00C85FD7" w:rsidRPr="000763AE" w:rsidRDefault="00C85FD7" w:rsidP="00B11B34">
      <w:pPr>
        <w:autoSpaceDE w:val="0"/>
        <w:autoSpaceDN w:val="0"/>
        <w:adjustRightInd w:val="0"/>
        <w:spacing w:after="120" w:line="360" w:lineRule="auto"/>
        <w:jc w:val="both"/>
        <w:rPr>
          <w:rFonts w:eastAsia="Calibri"/>
        </w:rPr>
      </w:pPr>
    </w:p>
    <w:tbl>
      <w:tblPr>
        <w:tblW w:w="5000" w:type="pct"/>
        <w:jc w:val="center"/>
        <w:tblCellMar>
          <w:left w:w="0" w:type="dxa"/>
          <w:right w:w="0" w:type="dxa"/>
        </w:tblCellMar>
        <w:tblLook w:val="04A0" w:firstRow="1" w:lastRow="0" w:firstColumn="1" w:lastColumn="0" w:noHBand="0" w:noVBand="1"/>
      </w:tblPr>
      <w:tblGrid>
        <w:gridCol w:w="3280"/>
        <w:gridCol w:w="1323"/>
        <w:gridCol w:w="1670"/>
        <w:gridCol w:w="2397"/>
      </w:tblGrid>
      <w:tr w:rsidR="00C85FD7" w:rsidRPr="00C85FD7" w:rsidTr="000763AE">
        <w:trPr>
          <w:trHeight w:val="375"/>
          <w:jc w:val="center"/>
        </w:trPr>
        <w:tc>
          <w:tcPr>
            <w:tcW w:w="1667" w:type="pct"/>
            <w:tcBorders>
              <w:top w:val="single" w:sz="4" w:space="0" w:color="auto"/>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bCs/>
                <w:color w:val="FFFFFF"/>
                <w:sz w:val="20"/>
                <w:szCs w:val="22"/>
              </w:rPr>
            </w:pPr>
            <w:r w:rsidRPr="000763AE">
              <w:rPr>
                <w:rFonts w:ascii="Calibri" w:hAnsi="Calibri" w:cs="Calibri"/>
                <w:b/>
                <w:bCs/>
                <w:color w:val="FFFFFF"/>
                <w:sz w:val="20"/>
                <w:szCs w:val="22"/>
              </w:rPr>
              <w:t xml:space="preserve">Variables </w:t>
            </w:r>
          </w:p>
        </w:tc>
        <w:tc>
          <w:tcPr>
            <w:tcW w:w="838" w:type="pct"/>
            <w:tcBorders>
              <w:top w:val="single" w:sz="4" w:space="0" w:color="auto"/>
              <w:left w:val="nil"/>
              <w:bottom w:val="single" w:sz="4" w:space="0" w:color="auto"/>
              <w:right w:val="single" w:sz="4" w:space="0" w:color="auto"/>
            </w:tcBorders>
            <w:shd w:val="clear" w:color="000000" w:fill="808080"/>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b/>
                <w:bCs/>
                <w:i/>
                <w:iCs/>
                <w:color w:val="FFFFFF"/>
                <w:sz w:val="22"/>
                <w:szCs w:val="22"/>
              </w:rPr>
            </w:pPr>
            <w:proofErr w:type="spellStart"/>
            <w:r w:rsidRPr="00C85FD7">
              <w:rPr>
                <w:rFonts w:ascii="Calibri" w:hAnsi="Calibri" w:cs="Calibri"/>
                <w:b/>
                <w:bCs/>
                <w:i/>
                <w:iCs/>
                <w:color w:val="FFFFFF"/>
                <w:sz w:val="28"/>
                <w:szCs w:val="28"/>
              </w:rPr>
              <w:t>r</w:t>
            </w:r>
            <w:r w:rsidRPr="00C85FD7">
              <w:rPr>
                <w:rFonts w:ascii="Calibri" w:hAnsi="Calibri" w:cs="Calibri"/>
                <w:b/>
                <w:bCs/>
                <w:i/>
                <w:iCs/>
                <w:color w:val="FFFFFF"/>
                <w:sz w:val="16"/>
                <w:szCs w:val="16"/>
              </w:rPr>
              <w:t>rb</w:t>
            </w:r>
            <w:proofErr w:type="spellEnd"/>
          </w:p>
        </w:tc>
        <w:tc>
          <w:tcPr>
            <w:tcW w:w="1038" w:type="pct"/>
            <w:tcBorders>
              <w:top w:val="single" w:sz="4" w:space="0" w:color="auto"/>
              <w:left w:val="nil"/>
              <w:bottom w:val="single" w:sz="4" w:space="0" w:color="auto"/>
              <w:right w:val="single" w:sz="4" w:space="0" w:color="auto"/>
            </w:tcBorders>
            <w:shd w:val="clear" w:color="000000" w:fill="808080"/>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b/>
                <w:bCs/>
                <w:color w:val="FFFFFF"/>
                <w:sz w:val="22"/>
                <w:szCs w:val="22"/>
              </w:rPr>
            </w:pPr>
            <w:r w:rsidRPr="00C85FD7">
              <w:rPr>
                <w:rFonts w:ascii="Calibri" w:hAnsi="Calibri" w:cs="Calibri"/>
                <w:b/>
                <w:bCs/>
                <w:color w:val="FFFFFF"/>
                <w:sz w:val="22"/>
                <w:szCs w:val="22"/>
              </w:rPr>
              <w:t>P</w:t>
            </w:r>
          </w:p>
        </w:tc>
        <w:tc>
          <w:tcPr>
            <w:tcW w:w="1457" w:type="pct"/>
            <w:tcBorders>
              <w:top w:val="single" w:sz="4" w:space="0" w:color="auto"/>
              <w:left w:val="nil"/>
              <w:bottom w:val="single" w:sz="4" w:space="0" w:color="auto"/>
              <w:right w:val="single" w:sz="4" w:space="0" w:color="auto"/>
            </w:tcBorders>
            <w:shd w:val="clear" w:color="000000" w:fill="808080"/>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b/>
                <w:bCs/>
                <w:color w:val="FFFFFF"/>
                <w:sz w:val="22"/>
                <w:szCs w:val="22"/>
              </w:rPr>
            </w:pPr>
            <w:r w:rsidRPr="00C85FD7">
              <w:rPr>
                <w:rFonts w:ascii="Calibri" w:hAnsi="Calibri" w:cs="Calibri"/>
                <w:b/>
                <w:bCs/>
                <w:color w:val="FFFFFF"/>
                <w:sz w:val="22"/>
                <w:szCs w:val="22"/>
              </w:rPr>
              <w:t>Correlation</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Sex/age</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-0.049</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0.004</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Negative-weak</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Ethnicity/age</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-0.087</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0.000</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Negative-weak</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Physician type/age</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-0.07</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0.000</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Negative weak</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Diabetes education/age</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-0.051</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0.003</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Negative-weak</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Practice type/age</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0.016</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0.357</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No correlation</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Sex/time with provider</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-0.011</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0.506</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Non-significant</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Ethnicity/ time with provider </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0.071</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0.000</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Positive-weak</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 xml:space="preserve">Physician type/time with provider </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0.024</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0.158</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Positive-weak</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Diabetes education/time with provider</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0.018</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0.286</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Non-significant</w:t>
            </w:r>
          </w:p>
        </w:tc>
      </w:tr>
      <w:tr w:rsidR="00C85FD7" w:rsidRPr="00C85FD7" w:rsidTr="000763AE">
        <w:trPr>
          <w:trHeight w:val="300"/>
          <w:jc w:val="center"/>
        </w:trPr>
        <w:tc>
          <w:tcPr>
            <w:tcW w:w="1667" w:type="pct"/>
            <w:tcBorders>
              <w:top w:val="nil"/>
              <w:left w:val="single" w:sz="4" w:space="0" w:color="auto"/>
              <w:bottom w:val="single" w:sz="4" w:space="0" w:color="auto"/>
              <w:right w:val="single" w:sz="4" w:space="0" w:color="auto"/>
            </w:tcBorders>
            <w:shd w:val="clear" w:color="auto" w:fill="7F7F7F"/>
            <w:noWrap/>
            <w:tcMar>
              <w:top w:w="15" w:type="dxa"/>
              <w:left w:w="15" w:type="dxa"/>
              <w:bottom w:w="0" w:type="dxa"/>
              <w:right w:w="15" w:type="dxa"/>
            </w:tcMar>
            <w:vAlign w:val="bottom"/>
            <w:hideMark/>
          </w:tcPr>
          <w:p w:rsidR="00C85FD7" w:rsidRPr="000763AE" w:rsidRDefault="00C85FD7" w:rsidP="00B11B34">
            <w:pPr>
              <w:spacing w:line="360" w:lineRule="auto"/>
              <w:jc w:val="both"/>
              <w:rPr>
                <w:rFonts w:ascii="Calibri" w:hAnsi="Calibri" w:cs="Calibri"/>
                <w:b/>
                <w:color w:val="FFFFFF"/>
                <w:sz w:val="20"/>
                <w:szCs w:val="22"/>
              </w:rPr>
            </w:pPr>
            <w:r w:rsidRPr="000763AE">
              <w:rPr>
                <w:rFonts w:ascii="Calibri" w:hAnsi="Calibri" w:cs="Calibri"/>
                <w:b/>
                <w:color w:val="FFFFFF"/>
                <w:sz w:val="20"/>
                <w:szCs w:val="22"/>
              </w:rPr>
              <w:t>Practice type/time with provider</w:t>
            </w:r>
          </w:p>
        </w:tc>
        <w:tc>
          <w:tcPr>
            <w:tcW w:w="8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0.034</w:t>
            </w:r>
          </w:p>
        </w:tc>
        <w:tc>
          <w:tcPr>
            <w:tcW w:w="103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0.045</w:t>
            </w:r>
          </w:p>
        </w:tc>
        <w:tc>
          <w:tcPr>
            <w:tcW w:w="145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C85FD7" w:rsidRPr="00C85FD7" w:rsidRDefault="00C85FD7" w:rsidP="00B11B34">
            <w:pPr>
              <w:spacing w:line="360" w:lineRule="auto"/>
              <w:jc w:val="center"/>
              <w:rPr>
                <w:rFonts w:ascii="Calibri" w:hAnsi="Calibri" w:cs="Calibri"/>
                <w:color w:val="000000"/>
                <w:sz w:val="22"/>
                <w:szCs w:val="22"/>
              </w:rPr>
            </w:pPr>
            <w:r w:rsidRPr="00C85FD7">
              <w:rPr>
                <w:rFonts w:ascii="Calibri" w:hAnsi="Calibri" w:cs="Calibri"/>
                <w:color w:val="000000"/>
                <w:sz w:val="22"/>
                <w:szCs w:val="22"/>
              </w:rPr>
              <w:t>Positive-weak</w:t>
            </w:r>
          </w:p>
        </w:tc>
      </w:tr>
    </w:tbl>
    <w:p w:rsidR="000106AA" w:rsidRDefault="000106AA" w:rsidP="00B11B34">
      <w:pPr>
        <w:autoSpaceDE w:val="0"/>
        <w:autoSpaceDN w:val="0"/>
        <w:adjustRightInd w:val="0"/>
        <w:spacing w:line="360" w:lineRule="auto"/>
        <w:jc w:val="both"/>
        <w:rPr>
          <w:b/>
        </w:rPr>
      </w:pPr>
    </w:p>
    <w:p w:rsidR="000C5643" w:rsidRPr="000C5643" w:rsidRDefault="000106AA" w:rsidP="000C5643">
      <w:pPr>
        <w:spacing w:after="200" w:line="360" w:lineRule="auto"/>
        <w:jc w:val="center"/>
        <w:rPr>
          <w:b/>
        </w:rPr>
      </w:pPr>
      <w:r>
        <w:rPr>
          <w:b/>
        </w:rPr>
        <w:br w:type="page"/>
      </w:r>
      <w:r w:rsidR="00F7075D">
        <w:rPr>
          <w:b/>
        </w:rPr>
        <w:lastRenderedPageBreak/>
        <w:t>BIVARIATE ANALYSIS</w:t>
      </w:r>
    </w:p>
    <w:p w:rsidR="00C85FD7" w:rsidRPr="000763AE" w:rsidRDefault="00C85FD7" w:rsidP="00B11B34">
      <w:pPr>
        <w:autoSpaceDE w:val="0"/>
        <w:autoSpaceDN w:val="0"/>
        <w:adjustRightInd w:val="0"/>
        <w:spacing w:line="360" w:lineRule="auto"/>
        <w:jc w:val="both"/>
        <w:rPr>
          <w:rFonts w:eastAsia="Calibri"/>
          <w:color w:val="FF0000"/>
        </w:rPr>
      </w:pPr>
      <w:r w:rsidRPr="000763AE">
        <w:rPr>
          <w:rFonts w:eastAsia="Calibri"/>
        </w:rPr>
        <w:tab/>
        <w:t>A bivariate analysis was performed to evaluate the relationship between each independent variable selected from the 2015 NAMCS data and the dependent variable, foot exams, in order to see if statistical significance, strength, and direction, if applicable, were present.  As previously described, the correlation methodology was selected based on the level of measurement. The results of each analysis are in the Tables 1</w:t>
      </w:r>
      <w:r w:rsidR="005F0677" w:rsidRPr="000763AE">
        <w:rPr>
          <w:rFonts w:eastAsia="Calibri"/>
        </w:rPr>
        <w:t>1-17</w:t>
      </w:r>
      <w:r w:rsidRPr="000763AE">
        <w:rPr>
          <w:rFonts w:eastAsia="Calibri"/>
        </w:rPr>
        <w:t xml:space="preserve"> below.</w:t>
      </w:r>
      <w:r w:rsidRPr="000763AE">
        <w:rPr>
          <w:rFonts w:ascii="Calibri" w:eastAsia="Calibri" w:hAnsi="Calibri"/>
          <w:sz w:val="18"/>
          <w:szCs w:val="18"/>
        </w:rPr>
        <w:t xml:space="preserve">   </w:t>
      </w:r>
      <w:r w:rsidRPr="000763AE">
        <w:rPr>
          <w:rFonts w:eastAsia="Calibri"/>
        </w:rPr>
        <w:t>Different methods of correlation were used to determine the presence of a correlation and its strength between respective variables.  However, depending on the type of analysis, obtaining directional information as to whether the association is a positive or negative may not always be possible.  A Lambda result of 0 indicates that there is no predictive association between the independent variable and the dependent variable</w:t>
      </w:r>
      <w:r w:rsidR="005D4D78" w:rsidRPr="000763AE">
        <w:rPr>
          <w:rFonts w:eastAsia="Calibri"/>
        </w:rPr>
        <w:t xml:space="preserve">, whereas a </w:t>
      </w:r>
      <w:r w:rsidRPr="000763AE">
        <w:rPr>
          <w:rFonts w:eastAsia="Calibri"/>
        </w:rPr>
        <w:t xml:space="preserve">Lambda value of 1 indicates a perfect association between the independent and the dependent variables (Minitab 18, N/A). </w:t>
      </w:r>
      <w:r w:rsidRPr="000763AE">
        <w:rPr>
          <w:rFonts w:eastAsia="Calibri"/>
          <w:color w:val="FF0000"/>
        </w:rPr>
        <w:t xml:space="preserve"> </w:t>
      </w:r>
      <w:r w:rsidRPr="000763AE">
        <w:rPr>
          <w:rFonts w:eastAsia="Calibri"/>
        </w:rPr>
        <w:t xml:space="preserve">Although some variables in the NAMCS data set are ordinal or continuous in nature, such as the “age range” and “time spent with the provider”, as previously mentioned, new variables were created to categorize the data into ranges.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 xml:space="preserve">Table 11 provides the number of foot exams that were documented across all the visits in the NAMCS survey. Patients may receive a foot exam for many reasons beside diabetes, such as part of screening for vascular disease and for foot deformities.  According to the 2015 NAMCS data, a total of 768 foot exams were documented as defined by the criteria in Table A </w:t>
      </w:r>
      <w:r w:rsidR="005D4D78" w:rsidRPr="000763AE">
        <w:rPr>
          <w:rFonts w:eastAsia="Calibri"/>
        </w:rPr>
        <w:t xml:space="preserve">of </w:t>
      </w:r>
      <w:r w:rsidRPr="000763AE">
        <w:rPr>
          <w:rFonts w:eastAsia="Calibri"/>
        </w:rPr>
        <w:t>the Appendix</w:t>
      </w:r>
      <w:r w:rsidR="005D4D78" w:rsidRPr="000763AE">
        <w:rPr>
          <w:rFonts w:eastAsia="Calibri"/>
        </w:rPr>
        <w:t xml:space="preserve">, </w:t>
      </w:r>
      <w:r w:rsidRPr="000763AE">
        <w:rPr>
          <w:rFonts w:eastAsia="Calibri"/>
        </w:rPr>
        <w:t xml:space="preserve">which states that a foot exam includes visual inspection, sensory exam, and pulse exam.  However, only 201 (6%) of the visits for patients with a diabetes diagnosis had a foot exam documented. As previously mentioned, the ADA guidelines recommend that a foot exam be performed annually as part of diabetic care.  One of the limitations of the NAMCS dataset is that it only represents a snapshot of visits in a designated </w:t>
      </w:r>
      <w:r w:rsidR="005D4D78" w:rsidRPr="000763AE">
        <w:rPr>
          <w:rFonts w:eastAsia="Calibri"/>
        </w:rPr>
        <w:t>weeks’ time</w:t>
      </w:r>
      <w:r w:rsidRPr="000763AE">
        <w:rPr>
          <w:rFonts w:eastAsia="Calibri"/>
        </w:rPr>
        <w:t xml:space="preserve">, </w:t>
      </w:r>
      <w:r w:rsidR="005D4D78" w:rsidRPr="000763AE">
        <w:rPr>
          <w:rFonts w:eastAsia="Calibri"/>
        </w:rPr>
        <w:t xml:space="preserve">highlighting </w:t>
      </w:r>
      <w:r w:rsidRPr="000763AE">
        <w:rPr>
          <w:rFonts w:eastAsia="Calibri"/>
        </w:rPr>
        <w:t>the possibility that a patient may have received a foot exam as part of another visit or that a limited foot exam was performed that did not meet the billing criteria.  The overall low rate of foot exams documented during the 2015 NAMCS time frame raises the question of whether or not patients in the U</w:t>
      </w:r>
      <w:r w:rsidR="005D4D78" w:rsidRPr="000763AE">
        <w:rPr>
          <w:rFonts w:eastAsia="Calibri"/>
        </w:rPr>
        <w:t>.</w:t>
      </w:r>
      <w:r w:rsidRPr="000763AE">
        <w:rPr>
          <w:rFonts w:eastAsia="Calibri"/>
        </w:rPr>
        <w:t>S</w:t>
      </w:r>
      <w:r w:rsidR="005D4D78" w:rsidRPr="000763AE">
        <w:rPr>
          <w:rFonts w:eastAsia="Calibri"/>
        </w:rPr>
        <w:t>.</w:t>
      </w:r>
      <w:r w:rsidRPr="000763AE">
        <w:rPr>
          <w:rFonts w:eastAsia="Calibri"/>
        </w:rPr>
        <w:t xml:space="preserve"> with diabetes are receiving the appropriate recommended preventative care.  A Phi correlation was performed and a statistically significant </w:t>
      </w:r>
      <w:r w:rsidRPr="000763AE">
        <w:rPr>
          <w:rFonts w:eastAsia="Calibri"/>
        </w:rPr>
        <w:lastRenderedPageBreak/>
        <w:t>correlation was seen between foot exam and diabetes</w:t>
      </w:r>
      <w:r w:rsidR="005D4D78" w:rsidRPr="000763AE">
        <w:rPr>
          <w:rFonts w:eastAsia="Calibri"/>
        </w:rPr>
        <w:t>,</w:t>
      </w:r>
      <w:r w:rsidRPr="000763AE">
        <w:rPr>
          <w:rFonts w:eastAsia="Calibri"/>
        </w:rPr>
        <w:t xml:space="preserve"> </w:t>
      </w:r>
      <w:r w:rsidR="005D4D78" w:rsidRPr="000763AE">
        <w:rPr>
          <w:rFonts w:eastAsia="Calibri"/>
        </w:rPr>
        <w:t>h</w:t>
      </w:r>
      <w:r w:rsidRPr="000763AE">
        <w:rPr>
          <w:rFonts w:eastAsia="Calibri"/>
        </w:rPr>
        <w:t xml:space="preserve">owever, the strength of the relationship is weak.  </w:t>
      </w:r>
    </w:p>
    <w:p w:rsidR="00427236" w:rsidRPr="000763AE" w:rsidRDefault="00427236" w:rsidP="00B11B34">
      <w:pPr>
        <w:autoSpaceDE w:val="0"/>
        <w:autoSpaceDN w:val="0"/>
        <w:adjustRightInd w:val="0"/>
        <w:spacing w:line="360" w:lineRule="auto"/>
        <w:jc w:val="both"/>
        <w:rPr>
          <w:rFonts w:eastAsia="Calibri"/>
        </w:rPr>
      </w:pPr>
    </w:p>
    <w:p w:rsidR="00C85FD7" w:rsidRPr="000763AE" w:rsidRDefault="00C85FD7" w:rsidP="00427236">
      <w:pPr>
        <w:autoSpaceDE w:val="0"/>
        <w:autoSpaceDN w:val="0"/>
        <w:adjustRightInd w:val="0"/>
        <w:jc w:val="both"/>
        <w:rPr>
          <w:rFonts w:eastAsia="Calibri"/>
        </w:rPr>
      </w:pPr>
      <w:proofErr w:type="gramStart"/>
      <w:r w:rsidRPr="000763AE">
        <w:rPr>
          <w:rFonts w:eastAsia="Calibri"/>
          <w:b/>
        </w:rPr>
        <w:t>Table 11.</w:t>
      </w:r>
      <w:proofErr w:type="gramEnd"/>
      <w:r w:rsidRPr="000763AE">
        <w:rPr>
          <w:rFonts w:eastAsia="Calibri"/>
        </w:rPr>
        <w:t xml:space="preserve"> </w:t>
      </w:r>
      <w:proofErr w:type="gramStart"/>
      <w:r w:rsidRPr="000763AE">
        <w:rPr>
          <w:rFonts w:eastAsia="Calibri"/>
        </w:rPr>
        <w:t>Number of patients from the NAMCS 2015 survey who received and did not receive a foot exam and with and without the presence of diabetes from the full sample of visits.</w:t>
      </w:r>
      <w:proofErr w:type="gramEnd"/>
      <w:r w:rsidRPr="000763AE">
        <w:rPr>
          <w:rFonts w:eastAsia="Calibri"/>
        </w:rPr>
        <w:t xml:space="preserve"> </w:t>
      </w:r>
    </w:p>
    <w:p w:rsidR="00C85FD7" w:rsidRPr="000763AE" w:rsidRDefault="00C85FD7" w:rsidP="00B11B34">
      <w:pPr>
        <w:autoSpaceDE w:val="0"/>
        <w:autoSpaceDN w:val="0"/>
        <w:adjustRightInd w:val="0"/>
        <w:spacing w:line="360" w:lineRule="auto"/>
        <w:jc w:val="both"/>
        <w:rPr>
          <w:rFonts w:eastAsia="Calibri"/>
        </w:rPr>
      </w:pPr>
    </w:p>
    <w:tbl>
      <w:tblPr>
        <w:tblW w:w="61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56"/>
        <w:gridCol w:w="608"/>
        <w:gridCol w:w="1680"/>
        <w:gridCol w:w="1212"/>
        <w:gridCol w:w="1069"/>
      </w:tblGrid>
      <w:tr w:rsidR="00C85FD7" w:rsidRPr="00C85FD7" w:rsidTr="000763AE">
        <w:trPr>
          <w:cantSplit/>
          <w:trHeight w:val="198"/>
          <w:jc w:val="center"/>
        </w:trPr>
        <w:tc>
          <w:tcPr>
            <w:tcW w:w="1896" w:type="dxa"/>
            <w:gridSpan w:val="2"/>
            <w:tcBorders>
              <w:top w:val="nil"/>
              <w:left w:val="nil"/>
              <w:bottom w:val="single" w:sz="4" w:space="0" w:color="auto"/>
              <w:right w:val="single" w:sz="4" w:space="0" w:color="auto"/>
            </w:tcBorders>
            <w:shd w:val="clear" w:color="auto" w:fill="FFFFFF"/>
            <w:vAlign w:val="bottom"/>
          </w:tcPr>
          <w:p w:rsidR="00C85FD7" w:rsidRPr="000763AE" w:rsidRDefault="00C85FD7" w:rsidP="00B11B34">
            <w:pPr>
              <w:autoSpaceDE w:val="0"/>
              <w:autoSpaceDN w:val="0"/>
              <w:adjustRightInd w:val="0"/>
              <w:spacing w:line="360" w:lineRule="auto"/>
              <w:jc w:val="both"/>
              <w:rPr>
                <w:rFonts w:ascii="Arial" w:eastAsia="Calibri" w:hAnsi="Arial" w:cs="Arial"/>
                <w:sz w:val="18"/>
                <w:szCs w:val="18"/>
              </w:rPr>
            </w:pPr>
          </w:p>
        </w:tc>
        <w:tc>
          <w:tcPr>
            <w:tcW w:w="1469" w:type="dxa"/>
            <w:tcBorders>
              <w:top w:val="single" w:sz="4" w:space="0" w:color="auto"/>
              <w:left w:val="single" w:sz="4" w:space="0" w:color="auto"/>
              <w:bottom w:val="single" w:sz="4" w:space="0" w:color="auto"/>
              <w:right w:val="single" w:sz="4" w:space="0" w:color="auto"/>
            </w:tcBorders>
            <w:shd w:val="clear" w:color="auto" w:fill="7F7F7F"/>
            <w:vAlign w:val="bottom"/>
          </w:tcPr>
          <w:p w:rsidR="00C85FD7" w:rsidRPr="000763AE" w:rsidRDefault="00C85FD7" w:rsidP="00B11B34">
            <w:pPr>
              <w:autoSpaceDE w:val="0"/>
              <w:autoSpaceDN w:val="0"/>
              <w:adjustRightInd w:val="0"/>
              <w:spacing w:line="360" w:lineRule="auto"/>
              <w:ind w:left="60" w:right="60"/>
              <w:jc w:val="center"/>
              <w:rPr>
                <w:rFonts w:ascii="Arial" w:eastAsia="Calibri" w:hAnsi="Arial" w:cs="Arial"/>
                <w:b/>
                <w:color w:val="FFFFFF"/>
                <w:sz w:val="16"/>
                <w:szCs w:val="16"/>
              </w:rPr>
            </w:pPr>
            <w:r w:rsidRPr="000763AE">
              <w:rPr>
                <w:rFonts w:ascii="Arial" w:eastAsia="Calibri" w:hAnsi="Arial" w:cs="Arial"/>
                <w:b/>
                <w:color w:val="FFFFFF"/>
                <w:sz w:val="16"/>
                <w:szCs w:val="16"/>
              </w:rPr>
              <w:t>No</w:t>
            </w:r>
          </w:p>
        </w:tc>
        <w:tc>
          <w:tcPr>
            <w:tcW w:w="1469" w:type="dxa"/>
            <w:tcBorders>
              <w:top w:val="single" w:sz="4" w:space="0" w:color="auto"/>
              <w:left w:val="single" w:sz="4" w:space="0" w:color="auto"/>
              <w:bottom w:val="single" w:sz="4" w:space="0" w:color="auto"/>
              <w:right w:val="single" w:sz="4" w:space="0" w:color="auto"/>
            </w:tcBorders>
            <w:shd w:val="clear" w:color="auto" w:fill="7F7F7F"/>
            <w:vAlign w:val="bottom"/>
          </w:tcPr>
          <w:p w:rsidR="00C85FD7" w:rsidRPr="000763AE" w:rsidRDefault="00C85FD7" w:rsidP="00B11B34">
            <w:pPr>
              <w:autoSpaceDE w:val="0"/>
              <w:autoSpaceDN w:val="0"/>
              <w:adjustRightInd w:val="0"/>
              <w:spacing w:line="360" w:lineRule="auto"/>
              <w:ind w:left="60" w:right="60"/>
              <w:jc w:val="center"/>
              <w:rPr>
                <w:rFonts w:ascii="Arial" w:eastAsia="Calibri" w:hAnsi="Arial" w:cs="Arial"/>
                <w:b/>
                <w:color w:val="FFFFFF"/>
                <w:sz w:val="16"/>
                <w:szCs w:val="16"/>
              </w:rPr>
            </w:pPr>
            <w:r w:rsidRPr="000763AE">
              <w:rPr>
                <w:rFonts w:ascii="Arial" w:eastAsia="Calibri" w:hAnsi="Arial" w:cs="Arial"/>
                <w:b/>
                <w:color w:val="FFFFFF"/>
                <w:sz w:val="16"/>
                <w:szCs w:val="16"/>
              </w:rPr>
              <w:t>Yes</w:t>
            </w:r>
          </w:p>
        </w:tc>
        <w:tc>
          <w:tcPr>
            <w:tcW w:w="1291" w:type="dxa"/>
            <w:tcBorders>
              <w:top w:val="single" w:sz="4" w:space="0" w:color="auto"/>
              <w:left w:val="single" w:sz="4" w:space="0" w:color="auto"/>
              <w:bottom w:val="single" w:sz="4" w:space="0" w:color="auto"/>
              <w:right w:val="single" w:sz="4" w:space="0" w:color="auto"/>
            </w:tcBorders>
            <w:shd w:val="clear" w:color="auto" w:fill="7F7F7F"/>
            <w:vAlign w:val="bottom"/>
          </w:tcPr>
          <w:p w:rsidR="00C85FD7" w:rsidRPr="000763AE" w:rsidRDefault="00C85FD7" w:rsidP="00B11B34">
            <w:pPr>
              <w:autoSpaceDE w:val="0"/>
              <w:autoSpaceDN w:val="0"/>
              <w:adjustRightInd w:val="0"/>
              <w:spacing w:line="360" w:lineRule="auto"/>
              <w:jc w:val="center"/>
              <w:rPr>
                <w:rFonts w:ascii="Arial" w:eastAsia="Calibri" w:hAnsi="Arial" w:cs="Arial"/>
                <w:b/>
                <w:color w:val="FFFFFF"/>
                <w:sz w:val="16"/>
                <w:szCs w:val="16"/>
              </w:rPr>
            </w:pPr>
            <w:r w:rsidRPr="000763AE">
              <w:rPr>
                <w:rFonts w:ascii="Arial" w:eastAsia="Calibri" w:hAnsi="Arial" w:cs="Arial"/>
                <w:b/>
                <w:color w:val="FFFFFF"/>
                <w:sz w:val="16"/>
                <w:szCs w:val="16"/>
              </w:rPr>
              <w:t>Total</w:t>
            </w:r>
          </w:p>
        </w:tc>
      </w:tr>
      <w:tr w:rsidR="00C85FD7" w:rsidRPr="00C85FD7" w:rsidTr="000763AE">
        <w:trPr>
          <w:cantSplit/>
          <w:jc w:val="center"/>
        </w:trPr>
        <w:tc>
          <w:tcPr>
            <w:tcW w:w="1162" w:type="dxa"/>
            <w:vMerge w:val="restart"/>
            <w:tcBorders>
              <w:top w:val="single" w:sz="4" w:space="0" w:color="auto"/>
              <w:left w:val="single" w:sz="4" w:space="0" w:color="auto"/>
              <w:bottom w:val="single" w:sz="4" w:space="0" w:color="auto"/>
              <w:right w:val="single" w:sz="4" w:space="0" w:color="auto"/>
            </w:tcBorders>
            <w:shd w:val="clear" w:color="auto" w:fill="7F7F7F"/>
          </w:tcPr>
          <w:p w:rsidR="00C85FD7" w:rsidRPr="000763AE" w:rsidRDefault="00C85FD7" w:rsidP="00B11B34">
            <w:pPr>
              <w:autoSpaceDE w:val="0"/>
              <w:autoSpaceDN w:val="0"/>
              <w:adjustRightInd w:val="0"/>
              <w:spacing w:line="360" w:lineRule="auto"/>
              <w:ind w:left="60" w:right="60"/>
              <w:jc w:val="both"/>
              <w:rPr>
                <w:rFonts w:ascii="Calibri" w:eastAsia="Calibri" w:hAnsi="Calibri" w:cs="Calibri"/>
                <w:b/>
                <w:color w:val="FFFFFF"/>
                <w:sz w:val="18"/>
                <w:szCs w:val="18"/>
              </w:rPr>
            </w:pPr>
            <w:r w:rsidRPr="000763AE">
              <w:rPr>
                <w:rFonts w:ascii="Calibri" w:eastAsia="Calibri" w:hAnsi="Calibri" w:cs="Calibri"/>
                <w:b/>
                <w:color w:val="FFFFFF"/>
                <w:sz w:val="18"/>
                <w:szCs w:val="18"/>
              </w:rPr>
              <w:t>Foot exam</w:t>
            </w:r>
          </w:p>
        </w:tc>
        <w:tc>
          <w:tcPr>
            <w:tcW w:w="734" w:type="dxa"/>
            <w:tcBorders>
              <w:top w:val="single" w:sz="4" w:space="0" w:color="auto"/>
              <w:left w:val="single" w:sz="4" w:space="0" w:color="auto"/>
              <w:bottom w:val="single" w:sz="4" w:space="0" w:color="auto"/>
              <w:right w:val="single" w:sz="4" w:space="0" w:color="auto"/>
            </w:tcBorders>
            <w:shd w:val="clear" w:color="auto" w:fill="7F7F7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b/>
                <w:color w:val="FFFFFF"/>
                <w:sz w:val="18"/>
                <w:szCs w:val="18"/>
              </w:rPr>
            </w:pPr>
            <w:r w:rsidRPr="000763AE">
              <w:rPr>
                <w:rFonts w:ascii="Calibri" w:eastAsia="Calibri" w:hAnsi="Calibri" w:cs="Calibri"/>
                <w:b/>
                <w:color w:val="FFFFFF"/>
                <w:sz w:val="18"/>
                <w:szCs w:val="18"/>
              </w:rPr>
              <w:t>No</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24,284 (98%)</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3,280 (94%)</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27,564 (97%)</w:t>
            </w:r>
          </w:p>
        </w:tc>
      </w:tr>
      <w:tr w:rsidR="00C85FD7" w:rsidRPr="00C85FD7" w:rsidTr="000763AE">
        <w:trPr>
          <w:cantSplit/>
          <w:jc w:val="center"/>
        </w:trPr>
        <w:tc>
          <w:tcPr>
            <w:tcW w:w="1162" w:type="dxa"/>
            <w:vMerge/>
            <w:tcBorders>
              <w:top w:val="single" w:sz="4" w:space="0" w:color="auto"/>
              <w:left w:val="single" w:sz="4" w:space="0" w:color="auto"/>
              <w:bottom w:val="single" w:sz="4" w:space="0" w:color="auto"/>
              <w:right w:val="single" w:sz="4" w:space="0" w:color="auto"/>
            </w:tcBorders>
            <w:shd w:val="clear" w:color="auto" w:fill="7F7F7F"/>
          </w:tcPr>
          <w:p w:rsidR="00C85FD7" w:rsidRPr="000763AE" w:rsidRDefault="00C85FD7" w:rsidP="00B11B34">
            <w:pPr>
              <w:autoSpaceDE w:val="0"/>
              <w:autoSpaceDN w:val="0"/>
              <w:adjustRightInd w:val="0"/>
              <w:spacing w:line="360" w:lineRule="auto"/>
              <w:jc w:val="both"/>
              <w:rPr>
                <w:rFonts w:ascii="Calibri" w:eastAsia="Calibri" w:hAnsi="Calibri" w:cs="Calibri"/>
                <w:b/>
                <w:color w:val="FFFFFF"/>
                <w:sz w:val="18"/>
                <w:szCs w:val="18"/>
              </w:rPr>
            </w:pPr>
          </w:p>
        </w:tc>
        <w:tc>
          <w:tcPr>
            <w:tcW w:w="734" w:type="dxa"/>
            <w:tcBorders>
              <w:top w:val="single" w:sz="4" w:space="0" w:color="auto"/>
              <w:left w:val="single" w:sz="4" w:space="0" w:color="auto"/>
              <w:bottom w:val="single" w:sz="4" w:space="0" w:color="auto"/>
              <w:right w:val="single" w:sz="4" w:space="0" w:color="auto"/>
            </w:tcBorders>
            <w:shd w:val="clear" w:color="auto" w:fill="7F7F7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b/>
                <w:color w:val="FFFFFF"/>
                <w:sz w:val="18"/>
                <w:szCs w:val="18"/>
              </w:rPr>
            </w:pPr>
            <w:r w:rsidRPr="000763AE">
              <w:rPr>
                <w:rFonts w:ascii="Calibri" w:eastAsia="Calibri" w:hAnsi="Calibri" w:cs="Calibri"/>
                <w:b/>
                <w:color w:val="FFFFFF"/>
                <w:sz w:val="18"/>
                <w:szCs w:val="18"/>
              </w:rPr>
              <w:t>Yes</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567 (2%)</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201 (6%)</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768 (3%)</w:t>
            </w:r>
          </w:p>
        </w:tc>
      </w:tr>
      <w:tr w:rsidR="00C85FD7" w:rsidRPr="00C85FD7" w:rsidTr="000763AE">
        <w:trPr>
          <w:cantSplit/>
          <w:jc w:val="center"/>
        </w:trPr>
        <w:tc>
          <w:tcPr>
            <w:tcW w:w="1896" w:type="dxa"/>
            <w:gridSpan w:val="2"/>
            <w:tcBorders>
              <w:top w:val="single" w:sz="4" w:space="0" w:color="auto"/>
              <w:left w:val="single" w:sz="4" w:space="0" w:color="auto"/>
              <w:bottom w:val="single" w:sz="4" w:space="0" w:color="auto"/>
              <w:right w:val="single" w:sz="4" w:space="0" w:color="auto"/>
            </w:tcBorders>
            <w:shd w:val="clear" w:color="auto" w:fill="7F7F7F"/>
          </w:tcPr>
          <w:p w:rsidR="00C85FD7" w:rsidRPr="000763AE" w:rsidRDefault="00C85FD7" w:rsidP="00B11B34">
            <w:pPr>
              <w:autoSpaceDE w:val="0"/>
              <w:autoSpaceDN w:val="0"/>
              <w:adjustRightInd w:val="0"/>
              <w:spacing w:line="360" w:lineRule="auto"/>
              <w:ind w:left="60" w:right="60"/>
              <w:jc w:val="both"/>
              <w:rPr>
                <w:rFonts w:ascii="Calibri" w:eastAsia="Calibri" w:hAnsi="Calibri" w:cs="Calibri"/>
                <w:b/>
                <w:color w:val="FFFFFF"/>
                <w:sz w:val="18"/>
                <w:szCs w:val="18"/>
              </w:rPr>
            </w:pPr>
            <w:r w:rsidRPr="000763AE">
              <w:rPr>
                <w:rFonts w:ascii="Calibri" w:eastAsia="Calibri" w:hAnsi="Calibri" w:cs="Calibri"/>
                <w:b/>
                <w:color w:val="FFFFFF"/>
                <w:sz w:val="18"/>
                <w:szCs w:val="18"/>
              </w:rPr>
              <w:t>Total</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24,851 (100%)</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3,481(100%)</w:t>
            </w:r>
          </w:p>
        </w:tc>
        <w:tc>
          <w:tcPr>
            <w:tcW w:w="1291"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28,332</w:t>
            </w:r>
          </w:p>
        </w:tc>
      </w:tr>
      <w:tr w:rsidR="00C85FD7" w:rsidRPr="00C85FD7" w:rsidTr="000763AE">
        <w:trPr>
          <w:gridAfter w:val="1"/>
          <w:wAfter w:w="1296" w:type="dxa"/>
          <w:cantSplit/>
          <w:jc w:val="center"/>
        </w:trPr>
        <w:tc>
          <w:tcPr>
            <w:tcW w:w="1890" w:type="dxa"/>
            <w:tcBorders>
              <w:top w:val="single" w:sz="4" w:space="0" w:color="auto"/>
              <w:left w:val="single" w:sz="4" w:space="0" w:color="auto"/>
              <w:bottom w:val="single" w:sz="4" w:space="0" w:color="auto"/>
              <w:right w:val="nil"/>
            </w:tcBorders>
            <w:shd w:val="clear" w:color="auto" w:fill="7F7F7F"/>
          </w:tcPr>
          <w:p w:rsidR="00C85FD7" w:rsidRPr="000763AE" w:rsidRDefault="00C85FD7" w:rsidP="00B11B34">
            <w:pPr>
              <w:autoSpaceDE w:val="0"/>
              <w:autoSpaceDN w:val="0"/>
              <w:adjustRightInd w:val="0"/>
              <w:spacing w:line="360" w:lineRule="auto"/>
              <w:ind w:left="60" w:right="60"/>
              <w:jc w:val="both"/>
              <w:rPr>
                <w:rFonts w:ascii="Calibri" w:eastAsia="Calibri" w:hAnsi="Calibri" w:cs="Calibri"/>
                <w:b/>
                <w:sz w:val="18"/>
                <w:szCs w:val="18"/>
              </w:rPr>
            </w:pPr>
            <w:r w:rsidRPr="000763AE">
              <w:rPr>
                <w:rFonts w:ascii="Calibri" w:eastAsia="Calibri" w:hAnsi="Calibri" w:cs="Calibri"/>
                <w:b/>
                <w:color w:val="FFFFFF"/>
                <w:sz w:val="18"/>
                <w:szCs w:val="18"/>
              </w:rPr>
              <w:t>Phi (ϕ)</w:t>
            </w:r>
          </w:p>
        </w:tc>
        <w:tc>
          <w:tcPr>
            <w:tcW w:w="2774" w:type="dxa"/>
            <w:gridSpan w:val="2"/>
            <w:tcBorders>
              <w:top w:val="single" w:sz="4" w:space="0" w:color="auto"/>
              <w:left w:val="nil"/>
              <w:bottom w:val="single" w:sz="4" w:space="0" w:color="auto"/>
              <w:right w:val="single" w:sz="8" w:space="0" w:color="E0E0E0"/>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Value-0.071</w:t>
            </w:r>
          </w:p>
        </w:tc>
        <w:tc>
          <w:tcPr>
            <w:tcW w:w="1469" w:type="dxa"/>
            <w:tcBorders>
              <w:top w:val="single" w:sz="4" w:space="0" w:color="auto"/>
              <w:left w:val="single" w:sz="8" w:space="0" w:color="E0E0E0"/>
              <w:bottom w:val="single" w:sz="4" w:space="0" w:color="auto"/>
              <w:right w:val="single" w:sz="4" w:space="0" w:color="auto"/>
            </w:tcBorders>
            <w:shd w:val="clear" w:color="auto" w:fill="FFFFFF"/>
          </w:tcPr>
          <w:p w:rsidR="00C85FD7" w:rsidRPr="000763AE" w:rsidRDefault="00C85FD7" w:rsidP="00B11B34">
            <w:pPr>
              <w:autoSpaceDE w:val="0"/>
              <w:autoSpaceDN w:val="0"/>
              <w:adjustRightInd w:val="0"/>
              <w:spacing w:line="360" w:lineRule="auto"/>
              <w:ind w:left="60" w:right="60"/>
              <w:jc w:val="center"/>
              <w:rPr>
                <w:rFonts w:ascii="Calibri" w:eastAsia="Calibri" w:hAnsi="Calibri" w:cs="Calibri"/>
                <w:sz w:val="18"/>
                <w:szCs w:val="18"/>
              </w:rPr>
            </w:pPr>
            <w:r w:rsidRPr="000763AE">
              <w:rPr>
                <w:rFonts w:ascii="Calibri" w:eastAsia="Calibri" w:hAnsi="Calibri" w:cs="Calibri"/>
                <w:sz w:val="18"/>
                <w:szCs w:val="18"/>
              </w:rPr>
              <w:t>P-0.000</w:t>
            </w:r>
          </w:p>
        </w:tc>
      </w:tr>
    </w:tbl>
    <w:p w:rsidR="00C85FD7" w:rsidRPr="000763AE" w:rsidRDefault="00C85FD7" w:rsidP="00B11B34">
      <w:pPr>
        <w:autoSpaceDE w:val="0"/>
        <w:autoSpaceDN w:val="0"/>
        <w:adjustRightInd w:val="0"/>
        <w:spacing w:line="360" w:lineRule="auto"/>
        <w:jc w:val="both"/>
        <w:rPr>
          <w:rFonts w:eastAsia="Calibri"/>
        </w:rPr>
      </w:pP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 xml:space="preserve">The bivariate analysis in Table 12 reports the NAMCS visits that </w:t>
      </w:r>
      <w:r w:rsidR="00CB7C69" w:rsidRPr="000763AE">
        <w:rPr>
          <w:rFonts w:eastAsia="Calibri"/>
        </w:rPr>
        <w:t xml:space="preserve">included </w:t>
      </w:r>
      <w:r w:rsidRPr="000763AE">
        <w:rPr>
          <w:rFonts w:eastAsia="Calibri"/>
        </w:rPr>
        <w:t>a foot exam cross-classified</w:t>
      </w:r>
      <w:r w:rsidR="005F0677" w:rsidRPr="000763AE">
        <w:rPr>
          <w:rFonts w:eastAsia="Calibri"/>
        </w:rPr>
        <w:t xml:space="preserve"> by diabetic types and Table 13</w:t>
      </w:r>
      <w:r w:rsidRPr="000763AE">
        <w:rPr>
          <w:rFonts w:eastAsia="Calibri"/>
        </w:rPr>
        <w:t xml:space="preserve"> provides the Phi coefficient results for each category of diabetes.  Of the 201 diabetes visits with foot exams, 7% had diabetes Type 1. Of those with diabetes Type 2, 7 % received a foot exam.  Although the count of diabetes visits with Type 2 (1,677) and diabetes unspecified (1,428) were somewhat comparable, only 4% of those with diabetes unspecified had a foot exam performed.  </w:t>
      </w:r>
    </w:p>
    <w:p w:rsidR="00C85FD7" w:rsidRPr="000763AE" w:rsidRDefault="00C85FD7" w:rsidP="00B11B34">
      <w:pPr>
        <w:autoSpaceDE w:val="0"/>
        <w:autoSpaceDN w:val="0"/>
        <w:adjustRightInd w:val="0"/>
        <w:spacing w:line="360" w:lineRule="auto"/>
        <w:jc w:val="both"/>
        <w:rPr>
          <w:rFonts w:eastAsia="Calibri"/>
          <w:b/>
        </w:rPr>
      </w:pPr>
      <w:r w:rsidRPr="000763AE">
        <w:rPr>
          <w:rFonts w:eastAsia="Calibri"/>
        </w:rPr>
        <w:tab/>
        <w:t>The Phi coefficient showed that there is no association between having Type 1 diabetes and receipt of a foot exam during a visit, perhaps due to low statistical power arising from the small number of persons with Type 1 diabetes.  However, there is a positive statistically significant association with Type 2 diabetes and diabetes unspecified and having a foot exam performed during a visit, although it is weak.  For diabetes unspecified, the association is negative meaning that as the number of diabetes unspecified visits increase</w:t>
      </w:r>
      <w:r w:rsidR="006841B1" w:rsidRPr="000763AE">
        <w:rPr>
          <w:rFonts w:eastAsia="Calibri"/>
        </w:rPr>
        <w:t>s</w:t>
      </w:r>
      <w:r w:rsidRPr="000763AE">
        <w:rPr>
          <w:rFonts w:eastAsia="Calibri"/>
        </w:rPr>
        <w:t>, the number of foot exams performed decrease</w:t>
      </w:r>
      <w:r w:rsidR="006841B1" w:rsidRPr="000763AE">
        <w:rPr>
          <w:rFonts w:eastAsia="Calibri"/>
        </w:rPr>
        <w:t>s</w:t>
      </w:r>
      <w:r w:rsidRPr="000763AE">
        <w:rPr>
          <w:rFonts w:eastAsia="Calibri"/>
        </w:rPr>
        <w:t xml:space="preserve">. </w:t>
      </w:r>
    </w:p>
    <w:p w:rsidR="00C85FD7" w:rsidRPr="000763AE" w:rsidRDefault="00C85FD7" w:rsidP="00B11B34">
      <w:pPr>
        <w:autoSpaceDE w:val="0"/>
        <w:autoSpaceDN w:val="0"/>
        <w:adjustRightInd w:val="0"/>
        <w:spacing w:line="360" w:lineRule="auto"/>
        <w:jc w:val="both"/>
        <w:rPr>
          <w:rFonts w:eastAsia="Calibri"/>
          <w:b/>
        </w:rPr>
      </w:pPr>
    </w:p>
    <w:p w:rsidR="00427236" w:rsidRPr="000763AE" w:rsidRDefault="00427236" w:rsidP="00B11B34">
      <w:pPr>
        <w:autoSpaceDE w:val="0"/>
        <w:autoSpaceDN w:val="0"/>
        <w:adjustRightInd w:val="0"/>
        <w:spacing w:line="360" w:lineRule="auto"/>
        <w:jc w:val="both"/>
        <w:rPr>
          <w:rFonts w:eastAsia="Calibri"/>
          <w:b/>
        </w:rPr>
      </w:pPr>
    </w:p>
    <w:p w:rsidR="00427236" w:rsidRPr="000763AE" w:rsidRDefault="00427236" w:rsidP="00B11B34">
      <w:pPr>
        <w:autoSpaceDE w:val="0"/>
        <w:autoSpaceDN w:val="0"/>
        <w:adjustRightInd w:val="0"/>
        <w:spacing w:line="360" w:lineRule="auto"/>
        <w:jc w:val="both"/>
        <w:rPr>
          <w:rFonts w:eastAsia="Calibri"/>
          <w:b/>
        </w:rPr>
      </w:pPr>
    </w:p>
    <w:p w:rsidR="00C85FD7" w:rsidRPr="000763AE" w:rsidRDefault="00427236" w:rsidP="000C5643">
      <w:pPr>
        <w:autoSpaceDE w:val="0"/>
        <w:autoSpaceDN w:val="0"/>
        <w:adjustRightInd w:val="0"/>
        <w:spacing w:line="360" w:lineRule="auto"/>
        <w:jc w:val="both"/>
        <w:rPr>
          <w:rFonts w:eastAsia="Calibri"/>
          <w:b/>
        </w:rPr>
      </w:pPr>
      <w:r w:rsidRPr="000763AE">
        <w:rPr>
          <w:rFonts w:eastAsia="Calibri"/>
          <w:b/>
        </w:rPr>
        <w:br w:type="page"/>
      </w:r>
      <w:proofErr w:type="gramStart"/>
      <w:r w:rsidR="00C85FD7" w:rsidRPr="000763AE">
        <w:rPr>
          <w:rFonts w:eastAsia="Calibri"/>
          <w:b/>
        </w:rPr>
        <w:lastRenderedPageBreak/>
        <w:t>Table 12.</w:t>
      </w:r>
      <w:proofErr w:type="gramEnd"/>
      <w:r w:rsidR="00C85FD7" w:rsidRPr="000763AE">
        <w:rPr>
          <w:rFonts w:eastAsia="Calibri"/>
          <w:b/>
        </w:rPr>
        <w:t xml:space="preserve">  </w:t>
      </w:r>
      <w:proofErr w:type="gramStart"/>
      <w:r w:rsidR="00C85FD7" w:rsidRPr="000763AE">
        <w:rPr>
          <w:rFonts w:eastAsia="Calibri"/>
        </w:rPr>
        <w:t>Bivariate analysis for visits with diabetes from the NAMCS 2015 survey who received a foot exam.</w:t>
      </w:r>
      <w:proofErr w:type="gramEnd"/>
      <w:r w:rsidR="00C85FD7" w:rsidRPr="000763AE">
        <w:rPr>
          <w:rFonts w:eastAsia="Calibri"/>
        </w:rPr>
        <w:t xml:space="preserve">  </w:t>
      </w:r>
    </w:p>
    <w:p w:rsidR="00C85FD7" w:rsidRPr="000763AE" w:rsidRDefault="00C85FD7" w:rsidP="00B11B34">
      <w:pPr>
        <w:autoSpaceDE w:val="0"/>
        <w:autoSpaceDN w:val="0"/>
        <w:adjustRightInd w:val="0"/>
        <w:spacing w:line="360" w:lineRule="auto"/>
        <w:jc w:val="both"/>
        <w:rPr>
          <w:rFonts w:eastAsia="Calibri"/>
        </w:rPr>
      </w:pPr>
    </w:p>
    <w:tbl>
      <w:tblPr>
        <w:tblW w:w="63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
        <w:gridCol w:w="474"/>
        <w:gridCol w:w="1236"/>
        <w:gridCol w:w="90"/>
        <w:gridCol w:w="1170"/>
        <w:gridCol w:w="1620"/>
        <w:gridCol w:w="1080"/>
      </w:tblGrid>
      <w:tr w:rsidR="00C85FD7" w:rsidRPr="00C85FD7" w:rsidTr="000763AE">
        <w:trPr>
          <w:cantSplit/>
          <w:jc w:val="center"/>
        </w:trPr>
        <w:tc>
          <w:tcPr>
            <w:tcW w:w="1104" w:type="dxa"/>
            <w:gridSpan w:val="2"/>
            <w:tcBorders>
              <w:top w:val="nil"/>
              <w:left w:val="nil"/>
              <w:bottom w:val="nil"/>
              <w:right w:val="single" w:sz="4" w:space="0" w:color="auto"/>
            </w:tcBorders>
            <w:shd w:val="clear" w:color="auto" w:fill="FFFFFF"/>
            <w:vAlign w:val="bottom"/>
          </w:tcPr>
          <w:p w:rsidR="00C85FD7" w:rsidRPr="000763AE" w:rsidRDefault="00C85FD7" w:rsidP="00427236">
            <w:pPr>
              <w:autoSpaceDE w:val="0"/>
              <w:autoSpaceDN w:val="0"/>
              <w:adjustRightInd w:val="0"/>
              <w:jc w:val="both"/>
              <w:rPr>
                <w:rFonts w:ascii="Calibri" w:eastAsia="Calibri" w:hAnsi="Calibri" w:cs="Calibri"/>
                <w:color w:val="264A60"/>
                <w:sz w:val="20"/>
                <w:szCs w:val="18"/>
              </w:rPr>
            </w:pPr>
            <w:r w:rsidRPr="000763AE">
              <w:rPr>
                <w:rFonts w:ascii="Calibri" w:eastAsia="Calibri" w:hAnsi="Calibri" w:cs="Calibri"/>
                <w:color w:val="264A60"/>
                <w:sz w:val="20"/>
                <w:szCs w:val="18"/>
              </w:rPr>
              <w:t xml:space="preserve">                                            </w:t>
            </w:r>
          </w:p>
        </w:tc>
        <w:tc>
          <w:tcPr>
            <w:tcW w:w="1326" w:type="dxa"/>
            <w:gridSpan w:val="2"/>
            <w:tcBorders>
              <w:top w:val="single" w:sz="4" w:space="0" w:color="auto"/>
              <w:left w:val="single" w:sz="4" w:space="0" w:color="auto"/>
              <w:bottom w:val="nil"/>
              <w:right w:val="nil"/>
            </w:tcBorders>
            <w:shd w:val="clear" w:color="auto" w:fill="7F7F7F"/>
            <w:vAlign w:val="center"/>
          </w:tcPr>
          <w:p w:rsidR="00C85FD7" w:rsidRPr="000763AE" w:rsidRDefault="00C85FD7" w:rsidP="00427236">
            <w:pPr>
              <w:autoSpaceDE w:val="0"/>
              <w:autoSpaceDN w:val="0"/>
              <w:adjustRightInd w:val="0"/>
              <w:jc w:val="center"/>
              <w:rPr>
                <w:rFonts w:ascii="Calibri" w:eastAsia="Calibri" w:hAnsi="Calibri" w:cs="Calibri"/>
                <w:b/>
                <w:color w:val="FFFFFF"/>
                <w:sz w:val="20"/>
                <w:szCs w:val="18"/>
              </w:rPr>
            </w:pPr>
            <w:r w:rsidRPr="000763AE">
              <w:rPr>
                <w:rFonts w:ascii="Calibri" w:eastAsia="Calibri" w:hAnsi="Calibri" w:cs="Calibri"/>
                <w:b/>
                <w:color w:val="FFFFFF"/>
                <w:sz w:val="20"/>
                <w:szCs w:val="18"/>
              </w:rPr>
              <w:t>Diabetes</w:t>
            </w:r>
          </w:p>
          <w:p w:rsidR="00C85FD7" w:rsidRPr="000763AE" w:rsidRDefault="00C85FD7" w:rsidP="00427236">
            <w:pPr>
              <w:autoSpaceDE w:val="0"/>
              <w:autoSpaceDN w:val="0"/>
              <w:adjustRightInd w:val="0"/>
              <w:jc w:val="center"/>
              <w:rPr>
                <w:rFonts w:ascii="Calibri" w:eastAsia="Calibri" w:hAnsi="Calibri" w:cs="Calibri"/>
                <w:b/>
                <w:color w:val="FFFFFF"/>
                <w:sz w:val="20"/>
                <w:szCs w:val="18"/>
              </w:rPr>
            </w:pPr>
            <w:r w:rsidRPr="000763AE">
              <w:rPr>
                <w:rFonts w:ascii="Calibri" w:eastAsia="Calibri" w:hAnsi="Calibri" w:cs="Calibri"/>
                <w:b/>
                <w:color w:val="FFFFFF"/>
                <w:sz w:val="20"/>
                <w:szCs w:val="18"/>
              </w:rPr>
              <w:t>Type 1</w:t>
            </w:r>
          </w:p>
        </w:tc>
        <w:tc>
          <w:tcPr>
            <w:tcW w:w="1170" w:type="dxa"/>
            <w:tcBorders>
              <w:top w:val="single" w:sz="4" w:space="0" w:color="auto"/>
              <w:left w:val="nil"/>
              <w:bottom w:val="single" w:sz="8" w:space="0" w:color="152935"/>
              <w:right w:val="single" w:sz="8" w:space="0" w:color="E0E0E0"/>
            </w:tcBorders>
            <w:shd w:val="clear" w:color="auto" w:fill="7F7F7F"/>
            <w:vAlign w:val="center"/>
          </w:tcPr>
          <w:p w:rsidR="00C85FD7" w:rsidRPr="000763AE" w:rsidRDefault="00C85FD7" w:rsidP="00427236">
            <w:pPr>
              <w:autoSpaceDE w:val="0"/>
              <w:autoSpaceDN w:val="0"/>
              <w:adjustRightInd w:val="0"/>
              <w:ind w:left="60" w:right="60"/>
              <w:jc w:val="center"/>
              <w:rPr>
                <w:rFonts w:ascii="Calibri" w:eastAsia="Calibri" w:hAnsi="Calibri" w:cs="Calibri"/>
                <w:b/>
                <w:color w:val="FFFFFF"/>
                <w:sz w:val="20"/>
                <w:szCs w:val="18"/>
              </w:rPr>
            </w:pPr>
            <w:r w:rsidRPr="000763AE">
              <w:rPr>
                <w:rFonts w:ascii="Calibri" w:eastAsia="Calibri" w:hAnsi="Calibri" w:cs="Calibri"/>
                <w:b/>
                <w:color w:val="FFFFFF"/>
                <w:sz w:val="20"/>
                <w:szCs w:val="18"/>
              </w:rPr>
              <w:t>Diabetes type2</w:t>
            </w:r>
          </w:p>
        </w:tc>
        <w:tc>
          <w:tcPr>
            <w:tcW w:w="1620" w:type="dxa"/>
            <w:tcBorders>
              <w:top w:val="single" w:sz="4" w:space="0" w:color="auto"/>
              <w:left w:val="single" w:sz="8" w:space="0" w:color="E0E0E0"/>
              <w:bottom w:val="single" w:sz="8" w:space="0" w:color="152935"/>
              <w:right w:val="single" w:sz="4" w:space="0" w:color="auto"/>
            </w:tcBorders>
            <w:shd w:val="clear" w:color="auto" w:fill="7F7F7F"/>
            <w:vAlign w:val="center"/>
          </w:tcPr>
          <w:p w:rsidR="00C85FD7" w:rsidRPr="000763AE" w:rsidRDefault="00C85FD7" w:rsidP="00427236">
            <w:pPr>
              <w:autoSpaceDE w:val="0"/>
              <w:autoSpaceDN w:val="0"/>
              <w:adjustRightInd w:val="0"/>
              <w:ind w:left="60" w:right="60"/>
              <w:jc w:val="center"/>
              <w:rPr>
                <w:rFonts w:ascii="Calibri" w:eastAsia="Calibri" w:hAnsi="Calibri" w:cs="Calibri"/>
                <w:b/>
                <w:color w:val="FFFFFF"/>
                <w:sz w:val="20"/>
                <w:szCs w:val="18"/>
              </w:rPr>
            </w:pPr>
            <w:r w:rsidRPr="000763AE">
              <w:rPr>
                <w:rFonts w:ascii="Calibri" w:eastAsia="Calibri" w:hAnsi="Calibri" w:cs="Calibri"/>
                <w:b/>
                <w:color w:val="FFFFFF"/>
                <w:sz w:val="20"/>
                <w:szCs w:val="18"/>
              </w:rPr>
              <w:t>Diabetes Unspecified</w:t>
            </w:r>
          </w:p>
        </w:tc>
        <w:tc>
          <w:tcPr>
            <w:tcW w:w="1080" w:type="dxa"/>
            <w:tcBorders>
              <w:top w:val="single" w:sz="4" w:space="0" w:color="auto"/>
              <w:left w:val="single" w:sz="8" w:space="0" w:color="E0E0E0"/>
              <w:bottom w:val="single" w:sz="8" w:space="0" w:color="152935"/>
              <w:right w:val="single" w:sz="4" w:space="0" w:color="auto"/>
            </w:tcBorders>
            <w:shd w:val="clear" w:color="auto" w:fill="7F7F7F"/>
            <w:vAlign w:val="center"/>
          </w:tcPr>
          <w:p w:rsidR="00C85FD7" w:rsidRPr="000763AE" w:rsidRDefault="00C85FD7" w:rsidP="00427236">
            <w:pPr>
              <w:autoSpaceDE w:val="0"/>
              <w:autoSpaceDN w:val="0"/>
              <w:adjustRightInd w:val="0"/>
              <w:ind w:left="60" w:right="60"/>
              <w:jc w:val="center"/>
              <w:rPr>
                <w:rFonts w:ascii="Calibri" w:eastAsia="Calibri" w:hAnsi="Calibri" w:cs="Calibri"/>
                <w:b/>
                <w:color w:val="FFFFFF"/>
                <w:sz w:val="20"/>
                <w:szCs w:val="18"/>
              </w:rPr>
            </w:pPr>
            <w:r w:rsidRPr="000763AE">
              <w:rPr>
                <w:rFonts w:ascii="Calibri" w:eastAsia="Calibri" w:hAnsi="Calibri" w:cs="Calibri"/>
                <w:b/>
                <w:color w:val="FFFFFF"/>
                <w:sz w:val="20"/>
                <w:szCs w:val="18"/>
              </w:rPr>
              <w:t>Total</w:t>
            </w:r>
          </w:p>
        </w:tc>
      </w:tr>
      <w:tr w:rsidR="00C85FD7" w:rsidRPr="00C85FD7" w:rsidTr="000763AE">
        <w:trPr>
          <w:cantSplit/>
          <w:jc w:val="center"/>
        </w:trPr>
        <w:tc>
          <w:tcPr>
            <w:tcW w:w="630" w:type="dxa"/>
            <w:vMerge w:val="restart"/>
            <w:tcBorders>
              <w:top w:val="single" w:sz="8" w:space="0" w:color="152935"/>
              <w:left w:val="single" w:sz="4" w:space="0" w:color="auto"/>
              <w:bottom w:val="single" w:sz="8" w:space="0" w:color="152935"/>
              <w:right w:val="single" w:sz="4" w:space="0" w:color="auto"/>
            </w:tcBorders>
            <w:shd w:val="clear" w:color="auto" w:fill="7F7F7F"/>
          </w:tcPr>
          <w:p w:rsidR="00C85FD7" w:rsidRPr="000763AE" w:rsidRDefault="00C85FD7" w:rsidP="00427236">
            <w:pPr>
              <w:autoSpaceDE w:val="0"/>
              <w:autoSpaceDN w:val="0"/>
              <w:adjustRightInd w:val="0"/>
              <w:ind w:left="60" w:right="60"/>
              <w:jc w:val="both"/>
              <w:rPr>
                <w:rFonts w:ascii="Calibri" w:eastAsia="Calibri" w:hAnsi="Calibri" w:cs="Calibri"/>
                <w:b/>
                <w:color w:val="FFFFFF"/>
                <w:sz w:val="18"/>
                <w:szCs w:val="18"/>
              </w:rPr>
            </w:pPr>
            <w:r w:rsidRPr="000763AE">
              <w:rPr>
                <w:rFonts w:ascii="Calibri" w:eastAsia="Calibri" w:hAnsi="Calibri" w:cs="Calibri"/>
                <w:b/>
                <w:color w:val="FFFFFF"/>
                <w:sz w:val="18"/>
                <w:szCs w:val="18"/>
              </w:rPr>
              <w:t>Foot exam</w:t>
            </w:r>
          </w:p>
        </w:tc>
        <w:tc>
          <w:tcPr>
            <w:tcW w:w="474" w:type="dxa"/>
            <w:tcBorders>
              <w:top w:val="single" w:sz="4" w:space="0" w:color="auto"/>
              <w:left w:val="single" w:sz="4" w:space="0" w:color="auto"/>
              <w:bottom w:val="single" w:sz="4" w:space="0" w:color="auto"/>
              <w:right w:val="single" w:sz="4" w:space="0" w:color="auto"/>
            </w:tcBorders>
            <w:shd w:val="clear" w:color="auto" w:fill="7F7F7F"/>
          </w:tcPr>
          <w:p w:rsidR="00C85FD7" w:rsidRPr="000763AE" w:rsidRDefault="00C85FD7" w:rsidP="00427236">
            <w:pPr>
              <w:autoSpaceDE w:val="0"/>
              <w:autoSpaceDN w:val="0"/>
              <w:adjustRightInd w:val="0"/>
              <w:ind w:left="60" w:right="60"/>
              <w:jc w:val="both"/>
              <w:rPr>
                <w:rFonts w:ascii="Calibri" w:eastAsia="Calibri" w:hAnsi="Calibri" w:cs="Calibri"/>
                <w:b/>
                <w:color w:val="FFFFFF"/>
                <w:sz w:val="18"/>
                <w:szCs w:val="18"/>
              </w:rPr>
            </w:pPr>
            <w:r w:rsidRPr="000763AE">
              <w:rPr>
                <w:rFonts w:ascii="Calibri" w:eastAsia="Calibri" w:hAnsi="Calibri" w:cs="Calibri"/>
                <w:b/>
                <w:color w:val="FFFFFF"/>
                <w:sz w:val="18"/>
                <w:szCs w:val="18"/>
              </w:rPr>
              <w:t>No</w:t>
            </w:r>
          </w:p>
        </w:tc>
        <w:tc>
          <w:tcPr>
            <w:tcW w:w="1236" w:type="dxa"/>
            <w:tcBorders>
              <w:top w:val="single" w:sz="4" w:space="0" w:color="auto"/>
              <w:left w:val="single" w:sz="4" w:space="0" w:color="auto"/>
              <w:bottom w:val="nil"/>
              <w:right w:val="nil"/>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175(94%)</w:t>
            </w:r>
          </w:p>
        </w:tc>
        <w:tc>
          <w:tcPr>
            <w:tcW w:w="1260" w:type="dxa"/>
            <w:gridSpan w:val="2"/>
            <w:tcBorders>
              <w:top w:val="single" w:sz="4" w:space="0" w:color="auto"/>
              <w:left w:val="nil"/>
              <w:bottom w:val="nil"/>
              <w:right w:val="nil"/>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1677(93%)</w:t>
            </w:r>
          </w:p>
        </w:tc>
        <w:tc>
          <w:tcPr>
            <w:tcW w:w="1620" w:type="dxa"/>
            <w:tcBorders>
              <w:top w:val="single" w:sz="4" w:space="0" w:color="auto"/>
              <w:left w:val="nil"/>
              <w:bottom w:val="nil"/>
              <w:right w:val="single" w:sz="4" w:space="0" w:color="auto"/>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1428(96%)</w:t>
            </w:r>
          </w:p>
        </w:tc>
        <w:tc>
          <w:tcPr>
            <w:tcW w:w="1080" w:type="dxa"/>
            <w:tcBorders>
              <w:top w:val="single" w:sz="4" w:space="0" w:color="auto"/>
              <w:left w:val="nil"/>
              <w:bottom w:val="nil"/>
              <w:right w:val="single" w:sz="4" w:space="0" w:color="auto"/>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3280</w:t>
            </w:r>
          </w:p>
        </w:tc>
      </w:tr>
      <w:tr w:rsidR="00C85FD7" w:rsidRPr="00C85FD7" w:rsidTr="000763AE">
        <w:trPr>
          <w:cantSplit/>
          <w:jc w:val="center"/>
        </w:trPr>
        <w:tc>
          <w:tcPr>
            <w:tcW w:w="630" w:type="dxa"/>
            <w:vMerge/>
            <w:tcBorders>
              <w:top w:val="single" w:sz="8" w:space="0" w:color="152935"/>
              <w:left w:val="single" w:sz="4" w:space="0" w:color="auto"/>
              <w:bottom w:val="single" w:sz="8" w:space="0" w:color="152935"/>
              <w:right w:val="single" w:sz="4" w:space="0" w:color="auto"/>
            </w:tcBorders>
            <w:shd w:val="clear" w:color="auto" w:fill="7F7F7F"/>
          </w:tcPr>
          <w:p w:rsidR="00C85FD7" w:rsidRPr="000763AE" w:rsidRDefault="00C85FD7" w:rsidP="00427236">
            <w:pPr>
              <w:autoSpaceDE w:val="0"/>
              <w:autoSpaceDN w:val="0"/>
              <w:adjustRightInd w:val="0"/>
              <w:jc w:val="both"/>
              <w:rPr>
                <w:rFonts w:ascii="Calibri" w:eastAsia="Calibri" w:hAnsi="Calibri" w:cs="Calibri"/>
                <w:b/>
                <w:color w:val="FFFFFF"/>
                <w:sz w:val="18"/>
                <w:szCs w:val="18"/>
              </w:rPr>
            </w:pPr>
          </w:p>
        </w:tc>
        <w:tc>
          <w:tcPr>
            <w:tcW w:w="474" w:type="dxa"/>
            <w:tcBorders>
              <w:top w:val="single" w:sz="4" w:space="0" w:color="auto"/>
              <w:left w:val="single" w:sz="4" w:space="0" w:color="auto"/>
              <w:bottom w:val="single" w:sz="4" w:space="0" w:color="auto"/>
              <w:right w:val="single" w:sz="4" w:space="0" w:color="auto"/>
            </w:tcBorders>
            <w:shd w:val="clear" w:color="auto" w:fill="7F7F7F"/>
          </w:tcPr>
          <w:p w:rsidR="00C85FD7" w:rsidRPr="000763AE" w:rsidRDefault="00C85FD7" w:rsidP="00427236">
            <w:pPr>
              <w:autoSpaceDE w:val="0"/>
              <w:autoSpaceDN w:val="0"/>
              <w:adjustRightInd w:val="0"/>
              <w:ind w:left="60" w:right="60"/>
              <w:jc w:val="both"/>
              <w:rPr>
                <w:rFonts w:ascii="Calibri" w:eastAsia="Calibri" w:hAnsi="Calibri" w:cs="Calibri"/>
                <w:b/>
                <w:color w:val="FFFFFF"/>
                <w:sz w:val="18"/>
                <w:szCs w:val="18"/>
              </w:rPr>
            </w:pPr>
            <w:r w:rsidRPr="000763AE">
              <w:rPr>
                <w:rFonts w:ascii="Calibri" w:eastAsia="Calibri" w:hAnsi="Calibri" w:cs="Calibri"/>
                <w:b/>
                <w:color w:val="FFFFFF"/>
                <w:sz w:val="18"/>
                <w:szCs w:val="18"/>
              </w:rPr>
              <w:t>Yes</w:t>
            </w:r>
          </w:p>
        </w:tc>
        <w:tc>
          <w:tcPr>
            <w:tcW w:w="1236" w:type="dxa"/>
            <w:tcBorders>
              <w:top w:val="nil"/>
              <w:left w:val="single" w:sz="4" w:space="0" w:color="auto"/>
              <w:bottom w:val="single" w:sz="4" w:space="0" w:color="auto"/>
              <w:right w:val="nil"/>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13(7%)</w:t>
            </w:r>
          </w:p>
        </w:tc>
        <w:tc>
          <w:tcPr>
            <w:tcW w:w="1260" w:type="dxa"/>
            <w:gridSpan w:val="2"/>
            <w:tcBorders>
              <w:top w:val="nil"/>
              <w:left w:val="nil"/>
              <w:bottom w:val="single" w:sz="4" w:space="0" w:color="auto"/>
              <w:right w:val="nil"/>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134(7%)</w:t>
            </w:r>
          </w:p>
        </w:tc>
        <w:tc>
          <w:tcPr>
            <w:tcW w:w="1620" w:type="dxa"/>
            <w:tcBorders>
              <w:top w:val="nil"/>
              <w:left w:val="nil"/>
              <w:bottom w:val="single" w:sz="4" w:space="0" w:color="auto"/>
              <w:right w:val="single" w:sz="4" w:space="0" w:color="auto"/>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54(4%)</w:t>
            </w:r>
          </w:p>
        </w:tc>
        <w:tc>
          <w:tcPr>
            <w:tcW w:w="1080" w:type="dxa"/>
            <w:tcBorders>
              <w:top w:val="nil"/>
              <w:left w:val="nil"/>
              <w:bottom w:val="single" w:sz="4" w:space="0" w:color="auto"/>
              <w:right w:val="single" w:sz="4" w:space="0" w:color="auto"/>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201</w:t>
            </w:r>
          </w:p>
        </w:tc>
      </w:tr>
      <w:tr w:rsidR="00C85FD7" w:rsidRPr="00C85FD7" w:rsidTr="000763AE">
        <w:trPr>
          <w:cantSplit/>
          <w:jc w:val="center"/>
        </w:trPr>
        <w:tc>
          <w:tcPr>
            <w:tcW w:w="1104" w:type="dxa"/>
            <w:gridSpan w:val="2"/>
            <w:tcBorders>
              <w:top w:val="single" w:sz="4" w:space="0" w:color="auto"/>
              <w:left w:val="single" w:sz="4" w:space="0" w:color="auto"/>
              <w:bottom w:val="single" w:sz="4" w:space="0" w:color="auto"/>
              <w:right w:val="single" w:sz="4" w:space="0" w:color="auto"/>
            </w:tcBorders>
            <w:shd w:val="clear" w:color="auto" w:fill="7F7F7F"/>
          </w:tcPr>
          <w:p w:rsidR="00C85FD7" w:rsidRPr="000763AE" w:rsidRDefault="00C85FD7" w:rsidP="00427236">
            <w:pPr>
              <w:autoSpaceDE w:val="0"/>
              <w:autoSpaceDN w:val="0"/>
              <w:adjustRightInd w:val="0"/>
              <w:ind w:left="60" w:right="60"/>
              <w:jc w:val="both"/>
              <w:rPr>
                <w:rFonts w:ascii="Calibri" w:eastAsia="Calibri" w:hAnsi="Calibri" w:cs="Calibri"/>
                <w:b/>
                <w:color w:val="FFFFFF"/>
                <w:sz w:val="18"/>
                <w:szCs w:val="18"/>
              </w:rPr>
            </w:pPr>
            <w:r w:rsidRPr="000763AE">
              <w:rPr>
                <w:rFonts w:ascii="Calibri" w:eastAsia="Calibri" w:hAnsi="Calibri" w:cs="Calibri"/>
                <w:b/>
                <w:color w:val="FFFFFF"/>
                <w:sz w:val="18"/>
                <w:szCs w:val="18"/>
              </w:rPr>
              <w:t>Total</w:t>
            </w:r>
          </w:p>
        </w:tc>
        <w:tc>
          <w:tcPr>
            <w:tcW w:w="1236" w:type="dxa"/>
            <w:tcBorders>
              <w:top w:val="single" w:sz="4" w:space="0" w:color="auto"/>
              <w:left w:val="single" w:sz="4" w:space="0" w:color="auto"/>
              <w:bottom w:val="single" w:sz="4" w:space="0" w:color="auto"/>
              <w:right w:val="nil"/>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188(100%)</w:t>
            </w:r>
          </w:p>
        </w:tc>
        <w:tc>
          <w:tcPr>
            <w:tcW w:w="1260" w:type="dxa"/>
            <w:gridSpan w:val="2"/>
            <w:tcBorders>
              <w:top w:val="single" w:sz="4" w:space="0" w:color="auto"/>
              <w:left w:val="nil"/>
              <w:bottom w:val="single" w:sz="4" w:space="0" w:color="auto"/>
              <w:right w:val="nil"/>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1811(100%)</w:t>
            </w:r>
          </w:p>
        </w:tc>
        <w:tc>
          <w:tcPr>
            <w:tcW w:w="1620" w:type="dxa"/>
            <w:tcBorders>
              <w:top w:val="single" w:sz="4" w:space="0" w:color="auto"/>
              <w:left w:val="nil"/>
              <w:bottom w:val="single" w:sz="4" w:space="0" w:color="auto"/>
              <w:right w:val="single" w:sz="4" w:space="0" w:color="auto"/>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1482(100%)</w:t>
            </w:r>
          </w:p>
        </w:tc>
        <w:tc>
          <w:tcPr>
            <w:tcW w:w="1080" w:type="dxa"/>
            <w:tcBorders>
              <w:top w:val="single" w:sz="4" w:space="0" w:color="auto"/>
              <w:left w:val="nil"/>
              <w:bottom w:val="single" w:sz="4" w:space="0" w:color="auto"/>
              <w:right w:val="single" w:sz="4" w:space="0" w:color="auto"/>
            </w:tcBorders>
            <w:shd w:val="clear" w:color="auto" w:fill="FFFFFF"/>
          </w:tcPr>
          <w:p w:rsidR="00C85FD7" w:rsidRPr="000763AE" w:rsidRDefault="00C85FD7" w:rsidP="00427236">
            <w:pPr>
              <w:autoSpaceDE w:val="0"/>
              <w:autoSpaceDN w:val="0"/>
              <w:adjustRightInd w:val="0"/>
              <w:ind w:left="60" w:right="60"/>
              <w:jc w:val="center"/>
              <w:rPr>
                <w:rFonts w:ascii="Calibri" w:eastAsia="Calibri" w:hAnsi="Calibri" w:cs="Calibri"/>
                <w:color w:val="010205"/>
                <w:sz w:val="18"/>
                <w:szCs w:val="18"/>
              </w:rPr>
            </w:pPr>
            <w:r w:rsidRPr="000763AE">
              <w:rPr>
                <w:rFonts w:ascii="Calibri" w:eastAsia="Calibri" w:hAnsi="Calibri" w:cs="Calibri"/>
                <w:color w:val="010205"/>
                <w:sz w:val="18"/>
                <w:szCs w:val="18"/>
              </w:rPr>
              <w:t>3481</w:t>
            </w:r>
          </w:p>
        </w:tc>
      </w:tr>
    </w:tbl>
    <w:p w:rsidR="00C85FD7" w:rsidRPr="000763AE" w:rsidRDefault="00C85FD7" w:rsidP="00B11B34">
      <w:pPr>
        <w:autoSpaceDE w:val="0"/>
        <w:autoSpaceDN w:val="0"/>
        <w:adjustRightInd w:val="0"/>
        <w:spacing w:line="360" w:lineRule="auto"/>
        <w:jc w:val="both"/>
        <w:rPr>
          <w:rFonts w:eastAsia="Calibri"/>
          <w:b/>
        </w:rPr>
      </w:pPr>
    </w:p>
    <w:p w:rsidR="00C85FD7" w:rsidRPr="000763AE" w:rsidRDefault="00C85FD7" w:rsidP="00B11B34">
      <w:pPr>
        <w:autoSpaceDE w:val="0"/>
        <w:autoSpaceDN w:val="0"/>
        <w:adjustRightInd w:val="0"/>
        <w:spacing w:line="360" w:lineRule="auto"/>
        <w:jc w:val="both"/>
        <w:rPr>
          <w:rFonts w:eastAsia="Calibri"/>
          <w:b/>
        </w:rPr>
      </w:pPr>
    </w:p>
    <w:p w:rsidR="00C85FD7" w:rsidRPr="000763AE" w:rsidRDefault="00C8186A" w:rsidP="00427236">
      <w:pPr>
        <w:autoSpaceDE w:val="0"/>
        <w:autoSpaceDN w:val="0"/>
        <w:adjustRightInd w:val="0"/>
        <w:rPr>
          <w:rFonts w:eastAsia="Calibri"/>
        </w:rPr>
      </w:pPr>
      <w:proofErr w:type="gramStart"/>
      <w:r w:rsidRPr="000763AE">
        <w:rPr>
          <w:rFonts w:eastAsia="Calibri"/>
          <w:b/>
        </w:rPr>
        <w:t>Table 13</w:t>
      </w:r>
      <w:r w:rsidR="00C85FD7" w:rsidRPr="000763AE">
        <w:rPr>
          <w:rFonts w:eastAsia="Calibri"/>
          <w:b/>
        </w:rPr>
        <w:t>.</w:t>
      </w:r>
      <w:proofErr w:type="gramEnd"/>
      <w:r w:rsidR="00C85FD7" w:rsidRPr="000763AE">
        <w:rPr>
          <w:rFonts w:eastAsia="Calibri"/>
        </w:rPr>
        <w:t xml:space="preserve">  Phi coefficient for visits with diabetes based on type of diabetes from the NAMCS 2015 survey who received a foot exam.  </w:t>
      </w:r>
    </w:p>
    <w:p w:rsidR="00C85FD7" w:rsidRPr="000763AE" w:rsidRDefault="00C85FD7" w:rsidP="00427236">
      <w:pPr>
        <w:autoSpaceDE w:val="0"/>
        <w:autoSpaceDN w:val="0"/>
        <w:adjustRightInd w:val="0"/>
        <w:ind w:firstLine="720"/>
        <w:rPr>
          <w:rFonts w:eastAsia="Calibr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4"/>
        <w:gridCol w:w="1404"/>
        <w:gridCol w:w="1350"/>
      </w:tblGrid>
      <w:tr w:rsidR="00C85FD7" w:rsidRPr="00C85FD7" w:rsidTr="000763AE">
        <w:trPr>
          <w:trHeight w:val="494"/>
          <w:jc w:val="center"/>
        </w:trPr>
        <w:tc>
          <w:tcPr>
            <w:tcW w:w="2214" w:type="dxa"/>
            <w:shd w:val="clear" w:color="auto" w:fill="7F7F7F"/>
            <w:vAlign w:val="center"/>
          </w:tcPr>
          <w:p w:rsidR="00C85FD7" w:rsidRPr="000763AE" w:rsidRDefault="00C85FD7" w:rsidP="000763AE">
            <w:pPr>
              <w:autoSpaceDE w:val="0"/>
              <w:autoSpaceDN w:val="0"/>
              <w:adjustRightInd w:val="0"/>
              <w:rPr>
                <w:rFonts w:ascii="Calibri" w:eastAsia="Calibri" w:hAnsi="Calibri" w:cs="Calibri"/>
                <w:b/>
                <w:color w:val="FFFFFF"/>
                <w:sz w:val="20"/>
                <w:szCs w:val="20"/>
              </w:rPr>
            </w:pPr>
            <w:r w:rsidRPr="000763AE">
              <w:rPr>
                <w:rFonts w:ascii="Calibri" w:eastAsia="Calibri" w:hAnsi="Calibri" w:cs="Calibri"/>
                <w:b/>
                <w:color w:val="FFFFFF"/>
                <w:sz w:val="20"/>
                <w:szCs w:val="20"/>
              </w:rPr>
              <w:t>Type of Diabetes</w:t>
            </w:r>
          </w:p>
        </w:tc>
        <w:tc>
          <w:tcPr>
            <w:tcW w:w="1404" w:type="dxa"/>
            <w:shd w:val="clear" w:color="auto" w:fill="7F7F7F"/>
            <w:vAlign w:val="center"/>
          </w:tcPr>
          <w:p w:rsidR="00C85FD7" w:rsidRPr="000763AE" w:rsidRDefault="00C85FD7" w:rsidP="000763AE">
            <w:pPr>
              <w:autoSpaceDE w:val="0"/>
              <w:autoSpaceDN w:val="0"/>
              <w:adjustRightInd w:val="0"/>
              <w:rPr>
                <w:rFonts w:ascii="Calibri" w:eastAsia="Calibri" w:hAnsi="Calibri" w:cs="Calibri"/>
                <w:b/>
                <w:color w:val="FFFFFF"/>
                <w:sz w:val="20"/>
                <w:szCs w:val="20"/>
              </w:rPr>
            </w:pPr>
            <w:r w:rsidRPr="000763AE">
              <w:rPr>
                <w:rFonts w:ascii="Calibri" w:eastAsia="Calibri" w:hAnsi="Calibri" w:cs="Calibri"/>
                <w:b/>
                <w:color w:val="FFFFFF"/>
                <w:sz w:val="20"/>
                <w:szCs w:val="20"/>
              </w:rPr>
              <w:t>Phi (ϕ)</w:t>
            </w:r>
          </w:p>
        </w:tc>
        <w:tc>
          <w:tcPr>
            <w:tcW w:w="1350" w:type="dxa"/>
            <w:shd w:val="clear" w:color="auto" w:fill="7F7F7F"/>
            <w:vAlign w:val="center"/>
          </w:tcPr>
          <w:p w:rsidR="00C85FD7" w:rsidRPr="000763AE" w:rsidRDefault="00C85FD7" w:rsidP="000763AE">
            <w:pPr>
              <w:autoSpaceDE w:val="0"/>
              <w:autoSpaceDN w:val="0"/>
              <w:adjustRightInd w:val="0"/>
              <w:rPr>
                <w:rFonts w:ascii="Calibri" w:eastAsia="Calibri" w:hAnsi="Calibri" w:cs="Calibri"/>
                <w:b/>
                <w:color w:val="FFFFFF"/>
                <w:sz w:val="20"/>
                <w:szCs w:val="20"/>
              </w:rPr>
            </w:pPr>
            <w:r w:rsidRPr="000763AE">
              <w:rPr>
                <w:rFonts w:ascii="Calibri" w:eastAsia="Calibri" w:hAnsi="Calibri" w:cs="Calibri"/>
                <w:b/>
                <w:color w:val="FFFFFF"/>
                <w:sz w:val="20"/>
                <w:szCs w:val="20"/>
              </w:rPr>
              <w:t>P-value</w:t>
            </w:r>
          </w:p>
        </w:tc>
      </w:tr>
      <w:tr w:rsidR="00C85FD7" w:rsidRPr="00C85FD7" w:rsidTr="000763AE">
        <w:trPr>
          <w:trHeight w:val="488"/>
          <w:jc w:val="center"/>
        </w:trPr>
        <w:tc>
          <w:tcPr>
            <w:tcW w:w="2214" w:type="dxa"/>
            <w:shd w:val="clear" w:color="auto" w:fill="7F7F7F"/>
            <w:vAlign w:val="center"/>
          </w:tcPr>
          <w:p w:rsidR="00C85FD7" w:rsidRPr="000763AE" w:rsidRDefault="00C85FD7" w:rsidP="000763AE">
            <w:pPr>
              <w:autoSpaceDE w:val="0"/>
              <w:autoSpaceDN w:val="0"/>
              <w:adjustRightInd w:val="0"/>
              <w:rPr>
                <w:rFonts w:ascii="Calibri" w:eastAsia="Calibri" w:hAnsi="Calibri" w:cs="Calibri"/>
                <w:b/>
                <w:color w:val="FFFFFF"/>
                <w:sz w:val="20"/>
                <w:szCs w:val="20"/>
              </w:rPr>
            </w:pPr>
            <w:r w:rsidRPr="000763AE">
              <w:rPr>
                <w:rFonts w:ascii="Calibri" w:eastAsia="Calibri" w:hAnsi="Calibri" w:cs="Calibri"/>
                <w:b/>
                <w:color w:val="FFFFFF"/>
                <w:sz w:val="20"/>
                <w:szCs w:val="20"/>
              </w:rPr>
              <w:t>Diabetes type 1</w:t>
            </w:r>
          </w:p>
        </w:tc>
        <w:tc>
          <w:tcPr>
            <w:tcW w:w="1404"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20"/>
                <w:szCs w:val="20"/>
              </w:rPr>
            </w:pPr>
            <w:r w:rsidRPr="000763AE">
              <w:rPr>
                <w:rFonts w:ascii="Calibri" w:eastAsia="Calibri" w:hAnsi="Calibri" w:cs="Calibri"/>
                <w:sz w:val="20"/>
                <w:szCs w:val="20"/>
              </w:rPr>
              <w:t>0.012</w:t>
            </w:r>
          </w:p>
        </w:tc>
        <w:tc>
          <w:tcPr>
            <w:tcW w:w="1350"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20"/>
                <w:szCs w:val="20"/>
              </w:rPr>
            </w:pPr>
            <w:r w:rsidRPr="000763AE">
              <w:rPr>
                <w:rFonts w:ascii="Calibri" w:eastAsia="Calibri" w:hAnsi="Calibri" w:cs="Calibri"/>
                <w:sz w:val="20"/>
                <w:szCs w:val="20"/>
              </w:rPr>
              <w:t>0.491</w:t>
            </w:r>
          </w:p>
        </w:tc>
      </w:tr>
      <w:tr w:rsidR="00C85FD7" w:rsidRPr="00C85FD7" w:rsidTr="000763AE">
        <w:trPr>
          <w:trHeight w:val="488"/>
          <w:jc w:val="center"/>
        </w:trPr>
        <w:tc>
          <w:tcPr>
            <w:tcW w:w="2214" w:type="dxa"/>
            <w:shd w:val="clear" w:color="auto" w:fill="7F7F7F"/>
            <w:vAlign w:val="center"/>
          </w:tcPr>
          <w:p w:rsidR="00C85FD7" w:rsidRPr="000763AE" w:rsidRDefault="00C85FD7" w:rsidP="000763AE">
            <w:pPr>
              <w:autoSpaceDE w:val="0"/>
              <w:autoSpaceDN w:val="0"/>
              <w:adjustRightInd w:val="0"/>
              <w:rPr>
                <w:rFonts w:ascii="Calibri" w:eastAsia="Calibri" w:hAnsi="Calibri" w:cs="Calibri"/>
                <w:b/>
                <w:color w:val="FFFFFF"/>
                <w:sz w:val="20"/>
                <w:szCs w:val="20"/>
              </w:rPr>
            </w:pPr>
            <w:r w:rsidRPr="000763AE">
              <w:rPr>
                <w:rFonts w:ascii="Calibri" w:eastAsia="Calibri" w:hAnsi="Calibri" w:cs="Calibri"/>
                <w:b/>
                <w:color w:val="FFFFFF"/>
                <w:sz w:val="20"/>
                <w:szCs w:val="20"/>
              </w:rPr>
              <w:t>Diabetes type 2</w:t>
            </w:r>
          </w:p>
        </w:tc>
        <w:tc>
          <w:tcPr>
            <w:tcW w:w="1404"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20"/>
                <w:szCs w:val="20"/>
              </w:rPr>
            </w:pPr>
            <w:r w:rsidRPr="000763AE">
              <w:rPr>
                <w:rFonts w:ascii="Calibri" w:eastAsia="Calibri" w:hAnsi="Calibri" w:cs="Calibri"/>
                <w:sz w:val="20"/>
                <w:szCs w:val="20"/>
              </w:rPr>
              <w:t>0.073</w:t>
            </w:r>
          </w:p>
        </w:tc>
        <w:tc>
          <w:tcPr>
            <w:tcW w:w="1350"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20"/>
                <w:szCs w:val="20"/>
              </w:rPr>
            </w:pPr>
            <w:r w:rsidRPr="000763AE">
              <w:rPr>
                <w:rFonts w:ascii="Calibri" w:eastAsia="Calibri" w:hAnsi="Calibri" w:cs="Calibri"/>
                <w:sz w:val="20"/>
                <w:szCs w:val="20"/>
              </w:rPr>
              <w:t>0.000</w:t>
            </w:r>
          </w:p>
        </w:tc>
      </w:tr>
      <w:tr w:rsidR="00C85FD7" w:rsidRPr="00C85FD7" w:rsidTr="000763AE">
        <w:trPr>
          <w:trHeight w:val="359"/>
          <w:jc w:val="center"/>
        </w:trPr>
        <w:tc>
          <w:tcPr>
            <w:tcW w:w="2214" w:type="dxa"/>
            <w:shd w:val="clear" w:color="auto" w:fill="7F7F7F"/>
            <w:vAlign w:val="center"/>
          </w:tcPr>
          <w:p w:rsidR="00C85FD7" w:rsidRPr="000763AE" w:rsidRDefault="00C85FD7" w:rsidP="000763AE">
            <w:pPr>
              <w:autoSpaceDE w:val="0"/>
              <w:autoSpaceDN w:val="0"/>
              <w:adjustRightInd w:val="0"/>
              <w:rPr>
                <w:rFonts w:ascii="Calibri" w:eastAsia="Calibri" w:hAnsi="Calibri" w:cs="Calibri"/>
                <w:b/>
                <w:color w:val="FFFFFF"/>
                <w:sz w:val="20"/>
                <w:szCs w:val="20"/>
              </w:rPr>
            </w:pPr>
            <w:r w:rsidRPr="000763AE">
              <w:rPr>
                <w:rFonts w:ascii="Calibri" w:eastAsia="Calibri" w:hAnsi="Calibri" w:cs="Calibri"/>
                <w:b/>
                <w:color w:val="FFFFFF"/>
                <w:sz w:val="20"/>
                <w:szCs w:val="20"/>
              </w:rPr>
              <w:t xml:space="preserve">Diabetes unspecified </w:t>
            </w:r>
          </w:p>
        </w:tc>
        <w:tc>
          <w:tcPr>
            <w:tcW w:w="1404"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20"/>
                <w:szCs w:val="20"/>
              </w:rPr>
            </w:pPr>
            <w:r w:rsidRPr="000763AE">
              <w:rPr>
                <w:rFonts w:ascii="Calibri" w:eastAsia="Calibri" w:hAnsi="Calibri" w:cs="Calibri"/>
                <w:sz w:val="20"/>
                <w:szCs w:val="20"/>
              </w:rPr>
              <w:t>-0.079</w:t>
            </w:r>
          </w:p>
        </w:tc>
        <w:tc>
          <w:tcPr>
            <w:tcW w:w="1350"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20"/>
                <w:szCs w:val="20"/>
              </w:rPr>
            </w:pPr>
            <w:r w:rsidRPr="000763AE">
              <w:rPr>
                <w:rFonts w:ascii="Calibri" w:eastAsia="Calibri" w:hAnsi="Calibri" w:cs="Calibri"/>
                <w:sz w:val="20"/>
                <w:szCs w:val="20"/>
              </w:rPr>
              <w:t>0.000</w:t>
            </w:r>
          </w:p>
        </w:tc>
      </w:tr>
      <w:tr w:rsidR="00C85FD7" w:rsidRPr="00C85FD7" w:rsidTr="000763AE">
        <w:trPr>
          <w:trHeight w:val="359"/>
          <w:jc w:val="center"/>
        </w:trPr>
        <w:tc>
          <w:tcPr>
            <w:tcW w:w="2214" w:type="dxa"/>
            <w:shd w:val="clear" w:color="auto" w:fill="808080"/>
            <w:vAlign w:val="center"/>
          </w:tcPr>
          <w:p w:rsidR="00C85FD7" w:rsidRPr="000763AE" w:rsidRDefault="00C85FD7" w:rsidP="000763AE">
            <w:pPr>
              <w:autoSpaceDE w:val="0"/>
              <w:autoSpaceDN w:val="0"/>
              <w:adjustRightInd w:val="0"/>
              <w:rPr>
                <w:rFonts w:ascii="Calibri" w:eastAsia="Calibri" w:hAnsi="Calibri" w:cs="Calibri"/>
                <w:b/>
                <w:color w:val="FFFFFF"/>
                <w:sz w:val="20"/>
                <w:szCs w:val="20"/>
              </w:rPr>
            </w:pPr>
            <w:r w:rsidRPr="000763AE">
              <w:rPr>
                <w:rFonts w:ascii="Calibri" w:eastAsia="Calibri" w:hAnsi="Calibri" w:cs="Calibri"/>
                <w:b/>
                <w:color w:val="FFFFFF"/>
                <w:sz w:val="20"/>
                <w:szCs w:val="20"/>
              </w:rPr>
              <w:t>Any diagnosis of diabetes</w:t>
            </w:r>
          </w:p>
        </w:tc>
        <w:tc>
          <w:tcPr>
            <w:tcW w:w="1404"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20"/>
                <w:szCs w:val="20"/>
              </w:rPr>
            </w:pPr>
            <w:r w:rsidRPr="000763AE">
              <w:rPr>
                <w:rFonts w:ascii="Calibri" w:eastAsia="Calibri" w:hAnsi="Calibri" w:cs="Calibri"/>
                <w:sz w:val="20"/>
                <w:szCs w:val="20"/>
              </w:rPr>
              <w:t>0.071</w:t>
            </w:r>
          </w:p>
        </w:tc>
        <w:tc>
          <w:tcPr>
            <w:tcW w:w="1350"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20"/>
                <w:szCs w:val="20"/>
              </w:rPr>
            </w:pPr>
            <w:r w:rsidRPr="000763AE">
              <w:rPr>
                <w:rFonts w:ascii="Calibri" w:eastAsia="Calibri" w:hAnsi="Calibri" w:cs="Calibri"/>
                <w:sz w:val="20"/>
                <w:szCs w:val="20"/>
              </w:rPr>
              <w:t>0.000</w:t>
            </w:r>
          </w:p>
        </w:tc>
      </w:tr>
    </w:tbl>
    <w:p w:rsidR="00427236" w:rsidRPr="000763AE" w:rsidRDefault="00427236" w:rsidP="00B11B34">
      <w:pPr>
        <w:autoSpaceDE w:val="0"/>
        <w:autoSpaceDN w:val="0"/>
        <w:adjustRightInd w:val="0"/>
        <w:spacing w:line="360" w:lineRule="auto"/>
        <w:jc w:val="both"/>
        <w:rPr>
          <w:rFonts w:eastAsia="Calibri"/>
          <w:b/>
        </w:rPr>
      </w:pPr>
    </w:p>
    <w:p w:rsidR="00C85FD7" w:rsidRPr="000763AE" w:rsidRDefault="00C85FD7" w:rsidP="00B11B34">
      <w:pPr>
        <w:autoSpaceDE w:val="0"/>
        <w:autoSpaceDN w:val="0"/>
        <w:adjustRightInd w:val="0"/>
        <w:spacing w:line="360" w:lineRule="auto"/>
        <w:jc w:val="both"/>
        <w:rPr>
          <w:rFonts w:eastAsia="Calibri"/>
          <w:b/>
        </w:rPr>
      </w:pPr>
      <w:r w:rsidRPr="000763AE">
        <w:rPr>
          <w:rFonts w:eastAsia="Calibri"/>
          <w:b/>
        </w:rPr>
        <w:t xml:space="preserve">Patient Characteristics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 bivariate analysis was performed to examine the first research question:</w:t>
      </w:r>
    </w:p>
    <w:p w:rsidR="00C85FD7" w:rsidRPr="000763AE" w:rsidRDefault="00C85FD7" w:rsidP="00B11B34">
      <w:pPr>
        <w:numPr>
          <w:ilvl w:val="0"/>
          <w:numId w:val="6"/>
        </w:numPr>
        <w:autoSpaceDE w:val="0"/>
        <w:autoSpaceDN w:val="0"/>
        <w:adjustRightInd w:val="0"/>
        <w:spacing w:after="200" w:line="360" w:lineRule="auto"/>
        <w:contextualSpacing/>
        <w:jc w:val="both"/>
        <w:rPr>
          <w:rFonts w:ascii="Calibri" w:eastAsia="Calibri" w:hAnsi="Calibri"/>
          <w:sz w:val="22"/>
          <w:szCs w:val="22"/>
        </w:rPr>
      </w:pPr>
      <w:r w:rsidRPr="000763AE">
        <w:rPr>
          <w:rFonts w:eastAsia="Calibri"/>
          <w:szCs w:val="22"/>
        </w:rPr>
        <w:t xml:space="preserve">Are there variations in delivery of diabetic foot exams associated with differences in patient characteristics? </w:t>
      </w:r>
    </w:p>
    <w:p w:rsidR="00C85FD7" w:rsidRPr="000763AE" w:rsidRDefault="00C85FD7" w:rsidP="00B11B34">
      <w:pPr>
        <w:autoSpaceDE w:val="0"/>
        <w:autoSpaceDN w:val="0"/>
        <w:adjustRightInd w:val="0"/>
        <w:spacing w:line="360" w:lineRule="auto"/>
        <w:ind w:left="720"/>
        <w:contextualSpacing/>
        <w:jc w:val="both"/>
        <w:rPr>
          <w:rFonts w:ascii="Calibri" w:eastAsia="Calibri" w:hAnsi="Calibri"/>
          <w:sz w:val="22"/>
          <w:szCs w:val="22"/>
        </w:rPr>
      </w:pPr>
    </w:p>
    <w:p w:rsidR="00C85FD7" w:rsidRPr="000763AE" w:rsidRDefault="00C85FD7" w:rsidP="00B11B34">
      <w:pPr>
        <w:autoSpaceDE w:val="0"/>
        <w:autoSpaceDN w:val="0"/>
        <w:adjustRightInd w:val="0"/>
        <w:spacing w:line="360" w:lineRule="auto"/>
        <w:jc w:val="both"/>
        <w:rPr>
          <w:rFonts w:eastAsia="Calibri"/>
          <w:b/>
        </w:rPr>
      </w:pPr>
      <w:r w:rsidRPr="000763AE">
        <w:rPr>
          <w:rFonts w:eastAsia="Calibri"/>
        </w:rPr>
        <w:t xml:space="preserve">Of 1,767 visits by females with a diagnosis of diabetes, 6% of them received a foot exam and of the 1,621 male visits, 5% received foots exams. Given that both males and females received a low percentage of foot exams, it appears that gender does not appear to influence whether a foot exam is performed during an ambulatory visit. Since the variables are nominal and only have two values, 0 or 1, a Phi correlation was used for the analysis.  The Phi correlation demonstrated a p-value of 0.386 which indicates that there is no statistical significance between receiving a foot exam and gender.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Of the 201 foot exams performed on the visits with a diabetes diagnosis, the majority of foot exams (118, 59%) were performed on visits for patients 65 and older.</w:t>
      </w:r>
      <w:r w:rsidRPr="000763AE">
        <w:rPr>
          <w:rFonts w:eastAsia="Calibri"/>
          <w:b/>
        </w:rPr>
        <w:t xml:space="preserve">  </w:t>
      </w:r>
      <w:r w:rsidRPr="000763AE">
        <w:rPr>
          <w:rFonts w:eastAsia="Calibri"/>
        </w:rPr>
        <w:lastRenderedPageBreak/>
        <w:t>Although there was a larger number of diabetes visits for in the 45-64 age group (1,259, 36%), only 6% received a documented foot exam as part of their visit.  The Rank-</w:t>
      </w:r>
      <w:proofErr w:type="spellStart"/>
      <w:r w:rsidRPr="000763AE">
        <w:rPr>
          <w:rFonts w:eastAsia="Calibri"/>
        </w:rPr>
        <w:t>Biserial</w:t>
      </w:r>
      <w:proofErr w:type="spellEnd"/>
      <w:r w:rsidRPr="000763AE">
        <w:rPr>
          <w:rFonts w:eastAsia="Calibri"/>
        </w:rPr>
        <w:t xml:space="preserve"> Correlation was 0.340, indicating no statistically significant association between </w:t>
      </w:r>
      <w:proofErr w:type="gramStart"/>
      <w:r w:rsidRPr="000763AE">
        <w:rPr>
          <w:rFonts w:eastAsia="Calibri"/>
        </w:rPr>
        <w:t>age</w:t>
      </w:r>
      <w:proofErr w:type="gramEnd"/>
      <w:r w:rsidRPr="000763AE">
        <w:rPr>
          <w:rFonts w:eastAsia="Calibri"/>
        </w:rPr>
        <w:t xml:space="preserve"> and receiving a foot exam for the overall population with diabetes; however, there does appear to be a higher association for those &gt; 65 based on the percentage who did receive a foot exam.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b/>
        </w:rPr>
        <w:tab/>
      </w:r>
      <w:r w:rsidRPr="000763AE">
        <w:rPr>
          <w:rFonts w:eastAsia="Calibri"/>
        </w:rPr>
        <w:t xml:space="preserve">The White category received the highest number of foot exams (167, 83%) when compared to the other races.  However, per the univariate analysis, the White category also had the largest number of visits with a diagnosis of diabetes (2,181, 63%).   Although Whites did have a higher number of foot exams performed than Blacks and other minority groups, the comparative rates among all race categories was around the same, between a 3 to 6% rate of receiving a foot exam during the 2015 NAMCS survey period.  The result of the Cramer’s Correlation was 0.393 indicating that no significant relationship is seen between the two variables.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 xml:space="preserve">The next variable explored to see if a relationship </w:t>
      </w:r>
      <w:r w:rsidR="006841B1" w:rsidRPr="000763AE">
        <w:rPr>
          <w:rFonts w:eastAsia="Calibri"/>
        </w:rPr>
        <w:t xml:space="preserve">exists with </w:t>
      </w:r>
      <w:r w:rsidRPr="000763AE">
        <w:rPr>
          <w:rFonts w:eastAsia="Calibri"/>
        </w:rPr>
        <w:t>whether or not a foot exam is performed</w:t>
      </w:r>
      <w:r w:rsidRPr="00C85FD7">
        <w:t xml:space="preserve"> </w:t>
      </w:r>
      <w:r w:rsidRPr="000763AE">
        <w:rPr>
          <w:rFonts w:eastAsia="Calibri"/>
        </w:rPr>
        <w:t>was ethnicity.  Of all diabetes visits for Hispanic patients, 8% (29) of visits received a foot exam. Of all visits with non-Hispanic patients, only 5% (171) of the total non-Hispanic volume received a foot exam.  The bivariate analysis indicates that a relationship is present between being Hispanic and receiving a foot exam</w:t>
      </w:r>
      <w:r w:rsidR="006841B1" w:rsidRPr="000763AE">
        <w:rPr>
          <w:rFonts w:eastAsia="Calibri"/>
        </w:rPr>
        <w:t>, but</w:t>
      </w:r>
      <w:r w:rsidRPr="000763AE">
        <w:rPr>
          <w:rFonts w:eastAsia="Calibri"/>
        </w:rPr>
        <w:t xml:space="preserve"> it is weak.  Even with the low overall numbers, the higher rate of foot exams on Hispanics with diabetes appears to be consistent with the previous finding in the literature review regarding a provider’s perception of a patient’s ethnicity and receipt of diabetes care. The result of the Phi Correlation was 0.025 indicating a statistically significant relationship seen between being ethnic</w:t>
      </w:r>
      <w:r w:rsidR="00BD0477" w:rsidRPr="000763AE">
        <w:rPr>
          <w:rFonts w:eastAsia="Calibri"/>
        </w:rPr>
        <w:t>ity</w:t>
      </w:r>
      <w:r w:rsidRPr="000763AE">
        <w:rPr>
          <w:rFonts w:eastAsia="Calibri"/>
        </w:rPr>
        <w:t xml:space="preserve"> and receiving a foot exam</w:t>
      </w:r>
      <w:r w:rsidR="00BD0477" w:rsidRPr="000763AE">
        <w:rPr>
          <w:rFonts w:eastAsia="Calibri"/>
        </w:rPr>
        <w:t>,</w:t>
      </w:r>
      <w:r w:rsidRPr="000763AE">
        <w:rPr>
          <w:rFonts w:eastAsia="Calibri"/>
        </w:rPr>
        <w:t xml:space="preserve"> however</w:t>
      </w:r>
      <w:r w:rsidR="00BD0477" w:rsidRPr="000763AE">
        <w:rPr>
          <w:rFonts w:eastAsia="Calibri"/>
        </w:rPr>
        <w:t>,</w:t>
      </w:r>
      <w:r w:rsidRPr="000763AE">
        <w:rPr>
          <w:rFonts w:eastAsia="Calibri"/>
        </w:rPr>
        <w:t xml:space="preserve"> the association is weak.  The results of the bivariate analysis and correlations based on patient characteristics are displayed in Table 14.  Overall, there does appear to be variation in the receipt of a foot exam for patients with diagnosed diabetes based on patient characteristics, specifically age, race, and ethnicity. </w:t>
      </w:r>
    </w:p>
    <w:p w:rsidR="00C85FD7" w:rsidRPr="000763AE" w:rsidRDefault="00427236" w:rsidP="00B11B34">
      <w:pPr>
        <w:autoSpaceDE w:val="0"/>
        <w:autoSpaceDN w:val="0"/>
        <w:adjustRightInd w:val="0"/>
        <w:spacing w:line="360" w:lineRule="auto"/>
        <w:jc w:val="both"/>
        <w:rPr>
          <w:rFonts w:eastAsia="Calibri"/>
          <w:b/>
        </w:rPr>
      </w:pPr>
      <w:r w:rsidRPr="000763AE">
        <w:rPr>
          <w:rFonts w:eastAsia="Calibri"/>
          <w:b/>
        </w:rPr>
        <w:br w:type="page"/>
      </w:r>
      <w:r w:rsidR="00C85FD7" w:rsidRPr="000763AE">
        <w:rPr>
          <w:rFonts w:eastAsia="Calibri"/>
          <w:b/>
        </w:rPr>
        <w:lastRenderedPageBreak/>
        <w:t xml:space="preserve">Provider Characteristics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The next research question that was examined in the bivariate analysis was</w:t>
      </w:r>
    </w:p>
    <w:p w:rsidR="00C85FD7" w:rsidRPr="000763AE" w:rsidRDefault="00C85FD7" w:rsidP="00B11B34">
      <w:pPr>
        <w:autoSpaceDE w:val="0"/>
        <w:autoSpaceDN w:val="0"/>
        <w:adjustRightInd w:val="0"/>
        <w:spacing w:line="360" w:lineRule="auto"/>
        <w:jc w:val="both"/>
        <w:rPr>
          <w:rFonts w:eastAsia="Calibri"/>
        </w:rPr>
      </w:pPr>
    </w:p>
    <w:p w:rsidR="00C85FD7" w:rsidRPr="00BD0477" w:rsidRDefault="00C85FD7" w:rsidP="00B11B34">
      <w:pPr>
        <w:pStyle w:val="ListParagraph"/>
        <w:numPr>
          <w:ilvl w:val="0"/>
          <w:numId w:val="6"/>
        </w:numPr>
        <w:spacing w:line="360" w:lineRule="auto"/>
        <w:jc w:val="both"/>
      </w:pPr>
      <w:r w:rsidRPr="00BD0477">
        <w:rPr>
          <w:rFonts w:ascii="Times New Roman" w:hAnsi="Times New Roman"/>
          <w:sz w:val="24"/>
          <w:szCs w:val="24"/>
        </w:rPr>
        <w:t>Are variations in delivery of diabetic foot exams associated with differences in provider characteristics?</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As part of this analysis, the relationship between a diabetic visit with a medical doctor or a doctor of osteopathy and receiving a foot exam was the next set of variables explored.  Based on the results, a medical doctor performed a foot exam on 65% of diabetes visits versus a doctor of osteopathy</w:t>
      </w:r>
      <w:r w:rsidR="00BD0477" w:rsidRPr="000763AE">
        <w:rPr>
          <w:rFonts w:eastAsia="Calibri"/>
        </w:rPr>
        <w:t xml:space="preserve"> which</w:t>
      </w:r>
      <w:r w:rsidRPr="000763AE">
        <w:rPr>
          <w:rFonts w:eastAsia="Calibri"/>
        </w:rPr>
        <w:t xml:space="preserve"> only performed foot exams 1% of the time.  The results are caveated by the fact that only a fraction of all diabetes visits (5%, 168) were performed by doctors of osteopathy. Given that the numbers of osteopathy visits are so low, the reliability and app</w:t>
      </w:r>
      <w:r w:rsidR="00EA00E7" w:rsidRPr="000763AE">
        <w:rPr>
          <w:rFonts w:eastAsia="Calibri"/>
        </w:rPr>
        <w:t>licability of these findings is</w:t>
      </w:r>
      <w:r w:rsidRPr="000763AE">
        <w:rPr>
          <w:rFonts w:eastAsia="Calibri"/>
        </w:rPr>
        <w:t xml:space="preserve"> suspect.</w:t>
      </w:r>
      <w:r w:rsidR="00285EA9" w:rsidRPr="000763AE">
        <w:rPr>
          <w:rFonts w:eastAsia="Calibri"/>
        </w:rPr>
        <w:t xml:space="preserve"> However, based on a 2015 report published by the Association of American Medical Colleges (AAMC), 67.4% of physicians in the US hold a MD degree, while 7.3% hold a DO degre</w:t>
      </w:r>
      <w:r w:rsidR="0067461C" w:rsidRPr="000763AE">
        <w:rPr>
          <w:rFonts w:eastAsia="Calibri"/>
        </w:rPr>
        <w:t>e. This</w:t>
      </w:r>
      <w:r w:rsidR="00285EA9" w:rsidRPr="000763AE">
        <w:rPr>
          <w:rFonts w:eastAsia="Calibri"/>
        </w:rPr>
        <w:t xml:space="preserve"> support</w:t>
      </w:r>
      <w:r w:rsidR="0067461C" w:rsidRPr="000763AE">
        <w:rPr>
          <w:rFonts w:eastAsia="Calibri"/>
        </w:rPr>
        <w:t>s</w:t>
      </w:r>
      <w:r w:rsidR="00285EA9" w:rsidRPr="000763AE">
        <w:rPr>
          <w:rFonts w:eastAsia="Calibri"/>
        </w:rPr>
        <w:t xml:space="preserve"> the generalizability of these finding on the broader population</w:t>
      </w:r>
      <w:r w:rsidR="00A975A8" w:rsidRPr="000763AE">
        <w:rPr>
          <w:rFonts w:eastAsia="Calibri"/>
        </w:rPr>
        <w:t xml:space="preserve"> since it reflective of the national ratio of MDs to DOs</w:t>
      </w:r>
      <w:r w:rsidR="00285EA9" w:rsidRPr="000763AE">
        <w:rPr>
          <w:rFonts w:eastAsia="Calibri"/>
        </w:rPr>
        <w:t xml:space="preserve">.  Additionally 24.2% are international medical graduates (AAMC, 2015). </w:t>
      </w:r>
      <w:r w:rsidRPr="000763AE">
        <w:rPr>
          <w:rFonts w:eastAsia="Calibri"/>
        </w:rPr>
        <w:t xml:space="preserve"> The Phi correlation value was 0.009 indicating a significant association between a physician and a foot exam being performed on a diabetic visit</w:t>
      </w:r>
      <w:r w:rsidR="00BD0477" w:rsidRPr="000763AE">
        <w:rPr>
          <w:rFonts w:eastAsia="Calibri"/>
        </w:rPr>
        <w:t>,</w:t>
      </w:r>
      <w:r w:rsidRPr="000763AE">
        <w:rPr>
          <w:rFonts w:eastAsia="Calibri"/>
        </w:rPr>
        <w:t xml:space="preserve"> however</w:t>
      </w:r>
      <w:r w:rsidR="00BD0477" w:rsidRPr="000763AE">
        <w:rPr>
          <w:rFonts w:eastAsia="Calibri"/>
        </w:rPr>
        <w:t>,</w:t>
      </w:r>
      <w:r w:rsidRPr="000763AE">
        <w:rPr>
          <w:rFonts w:eastAsia="Calibri"/>
        </w:rPr>
        <w:t xml:space="preserve"> the association is weak.</w:t>
      </w:r>
    </w:p>
    <w:p w:rsidR="000106AA" w:rsidRPr="000763AE" w:rsidRDefault="00C85FD7" w:rsidP="00B11B34">
      <w:pPr>
        <w:autoSpaceDE w:val="0"/>
        <w:autoSpaceDN w:val="0"/>
        <w:adjustRightInd w:val="0"/>
        <w:spacing w:line="360" w:lineRule="auto"/>
        <w:jc w:val="both"/>
        <w:rPr>
          <w:rFonts w:eastAsia="Calibri"/>
        </w:rPr>
      </w:pPr>
      <w:r w:rsidRPr="000763AE">
        <w:rPr>
          <w:rFonts w:eastAsia="Calibri"/>
        </w:rPr>
        <w:tab/>
        <w:t>Since the 2015 NAMCS data included visits to other care providers besides physicians, as previously mentioned, the PROVGROUP variable was created to provide insights on two additional provider types (physician assistant, nurse practitioner) as compared to physicians. Although the largest number of foot exams was performed by physicians (174), a diabetes visit with a nurse practitioner held the highest rate (26%) of a foot exam being completed.  Physician assistant</w:t>
      </w:r>
      <w:r w:rsidR="00BD0477" w:rsidRPr="000763AE">
        <w:rPr>
          <w:rFonts w:eastAsia="Calibri"/>
        </w:rPr>
        <w:t>s</w:t>
      </w:r>
      <w:r w:rsidRPr="000763AE">
        <w:rPr>
          <w:rFonts w:eastAsia="Calibri"/>
        </w:rPr>
        <w:t xml:space="preserve"> only performed 4 foot exams on the 151 diabetes visits seen during the 2015 survey period.  The Phi correlation indicates a statistically significant correlation with receiving a foot exam and provider type, however</w:t>
      </w:r>
      <w:r w:rsidR="00BD0477" w:rsidRPr="000763AE">
        <w:rPr>
          <w:rFonts w:eastAsia="Calibri"/>
        </w:rPr>
        <w:t>,</w:t>
      </w:r>
      <w:r w:rsidRPr="000763AE">
        <w:rPr>
          <w:rFonts w:eastAsia="Calibri"/>
        </w:rPr>
        <w:t xml:space="preserve"> the association is weak.  The results of the bivariate analysis and correlations based on provider character</w:t>
      </w:r>
      <w:r w:rsidR="00DD67DF" w:rsidRPr="000763AE">
        <w:rPr>
          <w:rFonts w:eastAsia="Calibri"/>
        </w:rPr>
        <w:t>istics are displayed in Table 15</w:t>
      </w:r>
      <w:r w:rsidRPr="000763AE">
        <w:rPr>
          <w:rFonts w:eastAsia="Calibri"/>
        </w:rPr>
        <w:t xml:space="preserve">.  Overall, there does appear to be variation in the delivery of a foot exam based on provider characteristics, specifically with respect to physician or care provider seen during the visit.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b/>
        </w:rPr>
        <w:lastRenderedPageBreak/>
        <w:t>Practice Characteristics</w:t>
      </w:r>
    </w:p>
    <w:p w:rsidR="00C85FD7" w:rsidRPr="000763AE" w:rsidRDefault="00C85FD7" w:rsidP="00B11B34">
      <w:pPr>
        <w:spacing w:line="360" w:lineRule="auto"/>
        <w:jc w:val="both"/>
        <w:rPr>
          <w:rFonts w:eastAsia="Calibri"/>
        </w:rPr>
      </w:pPr>
      <w:r w:rsidRPr="000763AE">
        <w:rPr>
          <w:rFonts w:eastAsia="Calibri"/>
        </w:rPr>
        <w:t xml:space="preserve">The third question examined as part of this research </w:t>
      </w:r>
      <w:r w:rsidR="00BD0477" w:rsidRPr="000763AE">
        <w:rPr>
          <w:rFonts w:eastAsia="Calibri"/>
        </w:rPr>
        <w:t>was</w:t>
      </w:r>
    </w:p>
    <w:p w:rsidR="00C85FD7" w:rsidRPr="000763AE" w:rsidRDefault="00C85FD7" w:rsidP="00B11B34">
      <w:pPr>
        <w:spacing w:line="360" w:lineRule="auto"/>
        <w:jc w:val="both"/>
        <w:rPr>
          <w:rFonts w:eastAsia="Calibri"/>
        </w:rPr>
      </w:pPr>
    </w:p>
    <w:p w:rsidR="00C85FD7" w:rsidRPr="000763AE" w:rsidRDefault="00C85FD7" w:rsidP="00B11B34">
      <w:pPr>
        <w:numPr>
          <w:ilvl w:val="0"/>
          <w:numId w:val="7"/>
        </w:numPr>
        <w:spacing w:after="200" w:line="360" w:lineRule="auto"/>
        <w:contextualSpacing/>
        <w:jc w:val="both"/>
        <w:rPr>
          <w:rFonts w:ascii="Calibri" w:eastAsia="Calibri" w:hAnsi="Calibri"/>
          <w:sz w:val="22"/>
          <w:szCs w:val="22"/>
        </w:rPr>
      </w:pPr>
      <w:r w:rsidRPr="000763AE">
        <w:rPr>
          <w:rFonts w:eastAsia="Calibri"/>
          <w:szCs w:val="22"/>
        </w:rPr>
        <w:t>Are variations in delivery of diabetic foot exams associated with differences in a clinical practice setting?</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According to the foot exam counts in Table 16 of the bivariate analysis for the 2015 NAMCS data set, 152 foot exams were performed as part of a diabetes visit in a multi-practice setting</w:t>
      </w:r>
      <w:r w:rsidR="00BD0477" w:rsidRPr="000763AE">
        <w:rPr>
          <w:rFonts w:eastAsia="Calibri"/>
        </w:rPr>
        <w:t>,</w:t>
      </w:r>
      <w:r w:rsidRPr="000763AE">
        <w:rPr>
          <w:rFonts w:eastAsia="Calibri"/>
        </w:rPr>
        <w:t xml:space="preserve"> as compared to a solo-practice setting where only 49 visits included a foot exam.  However, the Phi analysis implies that there is no significant association between receiving a foot exam and practice type.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Diabetes education is an important part of promoting self-care for those with diabetes.  The bivariate analysis showed that 27% of diabetes visits including a foot exam also had diabetes education as part of their visit.  A potential question raised is whether requiring diabetes education as a standard part of every diabetes visit may result in a higher rate of foot exams being performed by providers during the visit. The Phi correlation indicates a significant relationship</w:t>
      </w:r>
      <w:r w:rsidR="00BD0477" w:rsidRPr="000763AE">
        <w:rPr>
          <w:rFonts w:eastAsia="Calibri"/>
        </w:rPr>
        <w:t>,</w:t>
      </w:r>
      <w:r w:rsidRPr="000763AE">
        <w:rPr>
          <w:rFonts w:eastAsia="Calibri"/>
        </w:rPr>
        <w:t xml:space="preserve"> although the association is weak.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 xml:space="preserve">The next pair of variables that were evaluated as part of the bivariate analysis is diabetic visits with foot exams and region. The highest number of foot exams was seen in the Midwest (71) with 35% of all exams done for visits with a diabetes diagnosis being completed in this region. The West region had the second highest (55, 27%) and the Northeast and South both had equal percent (5%) of foot exams performed.  The Cramer correlation indicates that there is no statistical significance between having a foot exam during a visit with a diabetes diagnosis and the region in which it is performed.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 xml:space="preserve">The next set of variables analyzed was the amount of time spent with a provider and having a foot exam performed during a visit with a diabetes diagnosis. The Chi Square analysis shows that </w:t>
      </w:r>
      <w:r w:rsidR="00487CDF" w:rsidRPr="000763AE">
        <w:rPr>
          <w:rFonts w:eastAsia="Calibri"/>
        </w:rPr>
        <w:t>three</w:t>
      </w:r>
      <w:r w:rsidRPr="000763AE">
        <w:rPr>
          <w:rFonts w:eastAsia="Calibri"/>
        </w:rPr>
        <w:t xml:space="preserve"> cells have less than 5 reported visits which may indicate that the data may be unfit and result in a Type 1 error.  In order to address the potential issue of fitness, a new variable, TIMEMDGROUP, was created with the following ranges: &lt; 15 minutes, 16-40 minutes, and &gt; 41 minutes.  The bivariate analysis demonstrated that the largest number of foot exams was performed during diabetic visits lasting between 16-40 minutes time spent.  The Rank-</w:t>
      </w:r>
      <w:proofErr w:type="spellStart"/>
      <w:r w:rsidRPr="000763AE">
        <w:rPr>
          <w:rFonts w:eastAsia="Calibri"/>
        </w:rPr>
        <w:t>Biserial</w:t>
      </w:r>
      <w:proofErr w:type="spellEnd"/>
      <w:r w:rsidRPr="000763AE">
        <w:rPr>
          <w:rFonts w:eastAsia="Calibri"/>
        </w:rPr>
        <w:t xml:space="preserve"> Correlation was 0.001</w:t>
      </w:r>
      <w:r w:rsidR="00BD0477" w:rsidRPr="000763AE">
        <w:rPr>
          <w:rFonts w:eastAsia="Calibri"/>
        </w:rPr>
        <w:t>,</w:t>
      </w:r>
      <w:r w:rsidRPr="000763AE">
        <w:rPr>
          <w:rFonts w:eastAsia="Calibri"/>
        </w:rPr>
        <w:t xml:space="preserve"> </w:t>
      </w:r>
      <w:r w:rsidRPr="000763AE">
        <w:rPr>
          <w:rFonts w:eastAsia="Calibri"/>
        </w:rPr>
        <w:lastRenderedPageBreak/>
        <w:t>indicating a significant correlation between having a foot exam and the time spent with a provider</w:t>
      </w:r>
      <w:r w:rsidR="003E69C0" w:rsidRPr="000763AE">
        <w:rPr>
          <w:rFonts w:eastAsia="Calibri"/>
        </w:rPr>
        <w:t>,</w:t>
      </w:r>
      <w:r w:rsidRPr="000763AE">
        <w:rPr>
          <w:rFonts w:eastAsia="Calibri"/>
        </w:rPr>
        <w:t xml:space="preserve"> however</w:t>
      </w:r>
      <w:r w:rsidR="003E69C0" w:rsidRPr="000763AE">
        <w:rPr>
          <w:rFonts w:eastAsia="Calibri"/>
        </w:rPr>
        <w:t>,</w:t>
      </w:r>
      <w:r w:rsidRPr="000763AE">
        <w:rPr>
          <w:rFonts w:eastAsia="Calibri"/>
        </w:rPr>
        <w:t xml:space="preserve"> results showed the strength to be weak. </w:t>
      </w:r>
    </w:p>
    <w:p w:rsidR="00285EA9" w:rsidRPr="000763AE" w:rsidRDefault="00C85FD7" w:rsidP="00B11B34">
      <w:pPr>
        <w:autoSpaceDE w:val="0"/>
        <w:autoSpaceDN w:val="0"/>
        <w:adjustRightInd w:val="0"/>
        <w:spacing w:line="360" w:lineRule="auto"/>
        <w:jc w:val="both"/>
        <w:rPr>
          <w:rFonts w:eastAsia="Calibri"/>
          <w:b/>
        </w:rPr>
      </w:pPr>
      <w:r w:rsidRPr="000763AE">
        <w:rPr>
          <w:rFonts w:eastAsia="Calibri"/>
        </w:rPr>
        <w:tab/>
        <w:t>Similar to the “Time with Provider” variable,</w:t>
      </w:r>
      <w:r w:rsidRPr="00C85FD7">
        <w:t xml:space="preserve"> </w:t>
      </w:r>
      <w:r w:rsidRPr="000763AE">
        <w:rPr>
          <w:rFonts w:eastAsia="Calibri"/>
        </w:rPr>
        <w:t>the Chi Square analysis for the Payer Source variable showed several cells with less than 5 reported visits</w:t>
      </w:r>
      <w:r w:rsidR="00AC7A73" w:rsidRPr="000763AE">
        <w:rPr>
          <w:rFonts w:eastAsia="Calibri"/>
        </w:rPr>
        <w:t>,</w:t>
      </w:r>
      <w:r w:rsidRPr="000763AE">
        <w:rPr>
          <w:rFonts w:eastAsia="Calibri"/>
        </w:rPr>
        <w:t xml:space="preserve"> which may indicate that the data may be unfit and result in a Type 1 error.  In order to address the potential issue of fitness, a new variable, PAYERGROUP, was created with the following categories: </w:t>
      </w:r>
      <w:r w:rsidR="00C81BF7" w:rsidRPr="000763AE">
        <w:rPr>
          <w:rFonts w:eastAsia="Calibri"/>
        </w:rPr>
        <w:t>P</w:t>
      </w:r>
      <w:r w:rsidRPr="000763AE">
        <w:rPr>
          <w:rFonts w:eastAsia="Calibri"/>
        </w:rPr>
        <w:t xml:space="preserve">rivate insurance, Medicare, Medicaid, and </w:t>
      </w:r>
      <w:r w:rsidR="00C81BF7" w:rsidRPr="000763AE">
        <w:rPr>
          <w:rFonts w:eastAsia="Calibri"/>
        </w:rPr>
        <w:t>O</w:t>
      </w:r>
      <w:r w:rsidRPr="000763AE">
        <w:rPr>
          <w:rFonts w:eastAsia="Calibri"/>
        </w:rPr>
        <w:t>ther sources of payment.  The results of the bivariate analysis for diab</w:t>
      </w:r>
      <w:r w:rsidR="00AC7A73" w:rsidRPr="000763AE">
        <w:rPr>
          <w:rFonts w:eastAsia="Calibri"/>
        </w:rPr>
        <w:t>etes</w:t>
      </w:r>
      <w:r w:rsidRPr="000763AE">
        <w:rPr>
          <w:rFonts w:eastAsia="Calibri"/>
        </w:rPr>
        <w:t xml:space="preserve"> visits who received a foot exam by payment source showed that the largest percent of foot exams were performed on visits </w:t>
      </w:r>
      <w:r w:rsidR="00AC7A73" w:rsidRPr="000763AE">
        <w:rPr>
          <w:rFonts w:eastAsia="Calibri"/>
        </w:rPr>
        <w:t xml:space="preserve">where the </w:t>
      </w:r>
      <w:r w:rsidRPr="000763AE">
        <w:rPr>
          <w:rFonts w:eastAsia="Calibri"/>
        </w:rPr>
        <w:t>payment source was Medicare (113, 56%).  Of all the diabetes visits with Medicaid as the payment source, only 2% had a foot exam documented</w:t>
      </w:r>
      <w:r w:rsidR="00AC7A73" w:rsidRPr="000763AE">
        <w:rPr>
          <w:rFonts w:eastAsia="Calibri"/>
        </w:rPr>
        <w:t xml:space="preserve"> </w:t>
      </w:r>
      <w:r w:rsidRPr="000763AE">
        <w:rPr>
          <w:rFonts w:eastAsia="Calibri"/>
        </w:rPr>
        <w:t>which was the lowest rate when compared to other sources of payments. The Phi correlation indicates the presence of a correlation between payment source and receipt of a foot exam during a diabetic visit although the relationship is weak (Table 16). Overall, there does appear to be variation in the delivery of a foot exam based on practice characteristics specifically when it comes to the source of payment and location of the practice.  The bivariate analyses results are shown in the Tables 14 – 16.</w:t>
      </w:r>
    </w:p>
    <w:p w:rsidR="00427236" w:rsidRPr="000763AE" w:rsidRDefault="00427236" w:rsidP="00427236">
      <w:pPr>
        <w:autoSpaceDE w:val="0"/>
        <w:autoSpaceDN w:val="0"/>
        <w:adjustRightInd w:val="0"/>
        <w:jc w:val="both"/>
        <w:rPr>
          <w:rFonts w:eastAsia="Calibri"/>
          <w:b/>
        </w:rPr>
      </w:pPr>
    </w:p>
    <w:p w:rsidR="00C85FD7" w:rsidRPr="000C5643" w:rsidRDefault="00427236" w:rsidP="00427236">
      <w:pPr>
        <w:autoSpaceDE w:val="0"/>
        <w:autoSpaceDN w:val="0"/>
        <w:adjustRightInd w:val="0"/>
        <w:jc w:val="both"/>
        <w:rPr>
          <w:rFonts w:eastAsia="Calibri"/>
          <w:b/>
        </w:rPr>
      </w:pPr>
      <w:r w:rsidRPr="000763AE">
        <w:rPr>
          <w:rFonts w:eastAsia="Calibri"/>
          <w:b/>
        </w:rPr>
        <w:br w:type="page"/>
      </w:r>
      <w:proofErr w:type="gramStart"/>
      <w:r w:rsidR="00C85FD7" w:rsidRPr="000763AE">
        <w:rPr>
          <w:rFonts w:eastAsia="Calibri"/>
          <w:b/>
        </w:rPr>
        <w:lastRenderedPageBreak/>
        <w:t>Table 14.</w:t>
      </w:r>
      <w:proofErr w:type="gramEnd"/>
      <w:r w:rsidR="00C85FD7" w:rsidRPr="000763AE">
        <w:rPr>
          <w:rFonts w:eastAsia="Calibri"/>
        </w:rPr>
        <w:t xml:space="preserve">  Bivariate analysis results of 2015 NAMCS data for foot exams performed during an ambulatory visit for patients with diabetes based on patient characteristics.</w:t>
      </w:r>
    </w:p>
    <w:p w:rsidR="00427236" w:rsidRPr="000763AE" w:rsidRDefault="00427236" w:rsidP="00427236">
      <w:pPr>
        <w:autoSpaceDE w:val="0"/>
        <w:autoSpaceDN w:val="0"/>
        <w:adjustRightInd w:val="0"/>
        <w:jc w:val="both"/>
        <w:rPr>
          <w:rFonts w:eastAsia="Calibri"/>
          <w:b/>
        </w:rPr>
      </w:pPr>
    </w:p>
    <w:tbl>
      <w:tblPr>
        <w:tblW w:w="5000" w:type="pct"/>
        <w:tblLook w:val="04A0" w:firstRow="1" w:lastRow="0" w:firstColumn="1" w:lastColumn="0" w:noHBand="0" w:noVBand="1"/>
      </w:tblPr>
      <w:tblGrid>
        <w:gridCol w:w="1457"/>
        <w:gridCol w:w="1180"/>
        <w:gridCol w:w="1119"/>
        <w:gridCol w:w="672"/>
        <w:gridCol w:w="672"/>
        <w:gridCol w:w="1373"/>
        <w:gridCol w:w="1098"/>
        <w:gridCol w:w="1285"/>
      </w:tblGrid>
      <w:tr w:rsidR="00C85FD7" w:rsidRPr="00C85FD7" w:rsidTr="00F7075D">
        <w:trPr>
          <w:trHeight w:val="720"/>
        </w:trPr>
        <w:tc>
          <w:tcPr>
            <w:tcW w:w="823" w:type="pct"/>
            <w:tcBorders>
              <w:top w:val="single" w:sz="4" w:space="0" w:color="auto"/>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Patient Characteristics</w:t>
            </w:r>
          </w:p>
        </w:tc>
        <w:tc>
          <w:tcPr>
            <w:tcW w:w="666"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Foot Exam</w:t>
            </w:r>
          </w:p>
        </w:tc>
        <w:tc>
          <w:tcPr>
            <w:tcW w:w="632" w:type="pct"/>
            <w:tcBorders>
              <w:top w:val="single" w:sz="4" w:space="0" w:color="auto"/>
              <w:left w:val="nil"/>
              <w:bottom w:val="single" w:sz="4" w:space="0" w:color="auto"/>
              <w:right w:val="single" w:sz="4" w:space="0" w:color="auto"/>
            </w:tcBorders>
            <w:shd w:val="clear" w:color="000000" w:fill="7F7F7F"/>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379" w:type="pct"/>
            <w:tcBorders>
              <w:top w:val="single" w:sz="4" w:space="0" w:color="auto"/>
              <w:left w:val="nil"/>
              <w:bottom w:val="single" w:sz="4" w:space="0" w:color="auto"/>
              <w:right w:val="single" w:sz="4" w:space="0" w:color="auto"/>
            </w:tcBorders>
            <w:shd w:val="clear" w:color="000000" w:fill="808080"/>
            <w:noWrap/>
            <w:vAlign w:val="center"/>
            <w:hideMark/>
          </w:tcPr>
          <w:p w:rsidR="00C85FD7" w:rsidRPr="000763AE" w:rsidRDefault="00C85FD7" w:rsidP="00427236">
            <w:pPr>
              <w:jc w:val="center"/>
              <w:rPr>
                <w:rFonts w:ascii="Calibri" w:hAnsi="Calibri" w:cs="Calibri"/>
                <w:b/>
                <w:bCs/>
                <w:color w:val="FFFFFF"/>
                <w:sz w:val="20"/>
                <w:szCs w:val="20"/>
              </w:rPr>
            </w:pPr>
            <w:r w:rsidRPr="000763AE">
              <w:rPr>
                <w:rFonts w:ascii="Calibri" w:hAnsi="Calibri" w:cs="Calibri"/>
                <w:b/>
                <w:bCs/>
                <w:color w:val="FFFFFF"/>
                <w:sz w:val="20"/>
                <w:szCs w:val="20"/>
              </w:rPr>
              <w:t>ɸ</w:t>
            </w:r>
          </w:p>
        </w:tc>
        <w:tc>
          <w:tcPr>
            <w:tcW w:w="379"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P</w:t>
            </w:r>
          </w:p>
        </w:tc>
        <w:tc>
          <w:tcPr>
            <w:tcW w:w="775"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No Foot Exam</w:t>
            </w:r>
          </w:p>
        </w:tc>
        <w:tc>
          <w:tcPr>
            <w:tcW w:w="620" w:type="pct"/>
            <w:tcBorders>
              <w:top w:val="single" w:sz="4" w:space="0" w:color="auto"/>
              <w:left w:val="nil"/>
              <w:bottom w:val="single" w:sz="4" w:space="0" w:color="auto"/>
              <w:right w:val="single" w:sz="4" w:space="0" w:color="auto"/>
            </w:tcBorders>
            <w:shd w:val="clear" w:color="000000" w:fill="7F7F7F"/>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725"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Total (100%)</w:t>
            </w:r>
          </w:p>
        </w:tc>
      </w:tr>
      <w:tr w:rsidR="00C85FD7" w:rsidRPr="00C85FD7" w:rsidTr="00F7075D">
        <w:trPr>
          <w:trHeight w:val="215"/>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Sex</w:t>
            </w:r>
          </w:p>
        </w:tc>
        <w:tc>
          <w:tcPr>
            <w:tcW w:w="66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632"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0.15</w:t>
            </w:r>
          </w:p>
        </w:tc>
        <w:tc>
          <w:tcPr>
            <w:tcW w:w="379"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0.386</w:t>
            </w:r>
          </w:p>
        </w:tc>
        <w:tc>
          <w:tcPr>
            <w:tcW w:w="77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620"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427236">
            <w:pPr>
              <w:jc w:val="center"/>
              <w:rPr>
                <w:rFonts w:ascii="Calibri" w:hAnsi="Calibri" w:cs="Calibri"/>
                <w:color w:val="000000"/>
                <w:sz w:val="20"/>
                <w:szCs w:val="20"/>
              </w:rPr>
            </w:pPr>
          </w:p>
        </w:tc>
        <w:tc>
          <w:tcPr>
            <w:tcW w:w="72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r>
      <w:tr w:rsidR="00C85FD7" w:rsidRPr="00C85FD7" w:rsidTr="00F7075D">
        <w:trPr>
          <w:trHeight w:val="233"/>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 xml:space="preserve"> Male </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93</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AD16AD" w:rsidP="00427236">
            <w:pPr>
              <w:jc w:val="center"/>
              <w:rPr>
                <w:rFonts w:ascii="Calibri" w:hAnsi="Calibri" w:cs="Calibri"/>
                <w:strike/>
                <w:color w:val="000000"/>
                <w:sz w:val="20"/>
                <w:szCs w:val="20"/>
              </w:rPr>
            </w:pPr>
            <w:r w:rsidRPr="000763AE">
              <w:rPr>
                <w:rFonts w:ascii="Calibri" w:hAnsi="Calibri" w:cs="Calibri"/>
                <w:bCs/>
                <w:color w:val="000000"/>
                <w:sz w:val="20"/>
                <w:szCs w:val="20"/>
              </w:rPr>
              <w:t>5%</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1,621</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AD16AD" w:rsidP="00427236">
            <w:pPr>
              <w:jc w:val="center"/>
              <w:rPr>
                <w:rFonts w:ascii="Calibri" w:hAnsi="Calibri" w:cs="Calibri"/>
                <w:color w:val="000000"/>
                <w:sz w:val="20"/>
                <w:szCs w:val="20"/>
              </w:rPr>
            </w:pPr>
            <w:r w:rsidRPr="000763AE">
              <w:rPr>
                <w:rFonts w:ascii="Calibri" w:hAnsi="Calibri" w:cs="Calibri"/>
                <w:bCs/>
                <w:color w:val="000000"/>
                <w:sz w:val="20"/>
                <w:szCs w:val="20"/>
              </w:rPr>
              <w:t>95%</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1,714 (100%)</w:t>
            </w:r>
          </w:p>
        </w:tc>
      </w:tr>
      <w:tr w:rsidR="00C85FD7" w:rsidRPr="00C85FD7" w:rsidTr="00F7075D">
        <w:trPr>
          <w:trHeight w:val="242"/>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Female</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108</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AD16AD" w:rsidP="00427236">
            <w:pPr>
              <w:jc w:val="center"/>
              <w:rPr>
                <w:rFonts w:ascii="Calibri" w:hAnsi="Calibri" w:cs="Calibri"/>
                <w:strike/>
                <w:color w:val="000000"/>
                <w:sz w:val="20"/>
                <w:szCs w:val="20"/>
              </w:rPr>
            </w:pPr>
            <w:r w:rsidRPr="000763AE">
              <w:rPr>
                <w:rFonts w:ascii="Calibri" w:hAnsi="Calibri" w:cs="Calibri"/>
                <w:bCs/>
                <w:color w:val="000000"/>
                <w:sz w:val="20"/>
                <w:szCs w:val="20"/>
              </w:rPr>
              <w:t>6%</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1,659</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487CDF" w:rsidP="00427236">
            <w:pPr>
              <w:jc w:val="center"/>
              <w:rPr>
                <w:rFonts w:ascii="Calibri" w:hAnsi="Calibri" w:cs="Calibri"/>
                <w:strike/>
                <w:color w:val="000000"/>
                <w:sz w:val="20"/>
                <w:szCs w:val="20"/>
              </w:rPr>
            </w:pPr>
            <w:r w:rsidRPr="000763AE">
              <w:rPr>
                <w:rFonts w:ascii="Calibri" w:hAnsi="Calibri" w:cs="Calibri"/>
                <w:bCs/>
                <w:color w:val="000000"/>
                <w:sz w:val="20"/>
                <w:szCs w:val="20"/>
              </w:rPr>
              <w:t>94%</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1,767(100%)</w:t>
            </w:r>
          </w:p>
        </w:tc>
      </w:tr>
      <w:tr w:rsidR="00C85FD7" w:rsidRPr="00C85FD7" w:rsidTr="00F7075D">
        <w:trPr>
          <w:trHeight w:val="368"/>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Patient Ethnicity</w:t>
            </w:r>
          </w:p>
        </w:tc>
        <w:tc>
          <w:tcPr>
            <w:tcW w:w="66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632"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0.038</w:t>
            </w:r>
          </w:p>
        </w:tc>
        <w:tc>
          <w:tcPr>
            <w:tcW w:w="379"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0.025</w:t>
            </w:r>
          </w:p>
        </w:tc>
        <w:tc>
          <w:tcPr>
            <w:tcW w:w="77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620"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427236">
            <w:pPr>
              <w:jc w:val="center"/>
              <w:rPr>
                <w:rFonts w:ascii="Calibri" w:hAnsi="Calibri" w:cs="Calibri"/>
                <w:color w:val="000000"/>
                <w:sz w:val="20"/>
                <w:szCs w:val="20"/>
              </w:rPr>
            </w:pPr>
          </w:p>
        </w:tc>
        <w:tc>
          <w:tcPr>
            <w:tcW w:w="72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r>
      <w:tr w:rsidR="00C85FD7" w:rsidRPr="00C85FD7" w:rsidTr="00F7075D">
        <w:trPr>
          <w:trHeight w:val="26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F7075D" w:rsidP="00427236">
            <w:pPr>
              <w:jc w:val="both"/>
              <w:rPr>
                <w:rFonts w:ascii="Calibri" w:hAnsi="Calibri" w:cs="Calibri"/>
                <w:b/>
                <w:color w:val="FFFFFF"/>
                <w:sz w:val="20"/>
                <w:szCs w:val="20"/>
              </w:rPr>
            </w:pPr>
            <w:r w:rsidRPr="000763AE">
              <w:rPr>
                <w:rFonts w:ascii="Calibri" w:hAnsi="Calibri" w:cs="Calibri"/>
                <w:b/>
                <w:color w:val="FFFFFF"/>
                <w:sz w:val="20"/>
                <w:szCs w:val="20"/>
              </w:rPr>
              <w:t>Hispanic</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29</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8%</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314</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92%</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343(100%)</w:t>
            </w:r>
          </w:p>
        </w:tc>
      </w:tr>
      <w:tr w:rsidR="00C85FD7" w:rsidRPr="00C85FD7" w:rsidTr="00F7075D">
        <w:trPr>
          <w:trHeight w:val="233"/>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F7075D" w:rsidP="00427236">
            <w:pPr>
              <w:jc w:val="both"/>
              <w:rPr>
                <w:rFonts w:ascii="Calibri" w:hAnsi="Calibri" w:cs="Calibri"/>
                <w:b/>
                <w:color w:val="FFFFFF"/>
                <w:sz w:val="20"/>
                <w:szCs w:val="20"/>
              </w:rPr>
            </w:pPr>
            <w:r w:rsidRPr="000763AE">
              <w:rPr>
                <w:rFonts w:ascii="Calibri" w:hAnsi="Calibri" w:cs="Calibri"/>
                <w:b/>
                <w:color w:val="FFFFFF"/>
                <w:sz w:val="20"/>
                <w:szCs w:val="20"/>
              </w:rPr>
              <w:t>Not Hispanic</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171</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5%</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2,966</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95%</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3,137(100%)</w:t>
            </w:r>
          </w:p>
        </w:tc>
      </w:tr>
      <w:tr w:rsidR="00C85FD7" w:rsidRPr="00C85FD7" w:rsidTr="00F7075D">
        <w:trPr>
          <w:trHeight w:val="60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 </w:t>
            </w:r>
          </w:p>
        </w:tc>
        <w:tc>
          <w:tcPr>
            <w:tcW w:w="666"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Foot Exam</w:t>
            </w:r>
          </w:p>
        </w:tc>
        <w:tc>
          <w:tcPr>
            <w:tcW w:w="632"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379" w:type="pct"/>
            <w:tcBorders>
              <w:top w:val="nil"/>
              <w:left w:val="nil"/>
              <w:bottom w:val="single" w:sz="4" w:space="0" w:color="auto"/>
              <w:right w:val="single" w:sz="4" w:space="0" w:color="auto"/>
            </w:tcBorders>
            <w:shd w:val="clear" w:color="000000" w:fill="808080"/>
            <w:noWrap/>
            <w:vAlign w:val="center"/>
            <w:hideMark/>
          </w:tcPr>
          <w:p w:rsidR="00C85FD7" w:rsidRPr="000763AE" w:rsidRDefault="00C85FD7" w:rsidP="00427236">
            <w:pPr>
              <w:jc w:val="center"/>
              <w:rPr>
                <w:rFonts w:ascii="Calibri" w:hAnsi="Calibri" w:cs="Calibri"/>
                <w:b/>
                <w:bCs/>
                <w:i/>
                <w:iCs/>
                <w:color w:val="FFFFFF"/>
                <w:sz w:val="20"/>
                <w:szCs w:val="20"/>
              </w:rPr>
            </w:pPr>
            <w:r w:rsidRPr="000763AE">
              <w:rPr>
                <w:rFonts w:ascii="Calibri" w:hAnsi="Calibri" w:cs="Calibri"/>
                <w:b/>
                <w:bCs/>
                <w:i/>
                <w:iCs/>
                <w:color w:val="FFFFFF"/>
                <w:sz w:val="20"/>
                <w:szCs w:val="20"/>
              </w:rPr>
              <w:t>V</w:t>
            </w:r>
          </w:p>
        </w:tc>
        <w:tc>
          <w:tcPr>
            <w:tcW w:w="379"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P</w:t>
            </w:r>
          </w:p>
        </w:tc>
        <w:tc>
          <w:tcPr>
            <w:tcW w:w="775"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No Foot Exam</w:t>
            </w:r>
          </w:p>
        </w:tc>
        <w:tc>
          <w:tcPr>
            <w:tcW w:w="620"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725"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Total (100%)</w:t>
            </w:r>
          </w:p>
        </w:tc>
      </w:tr>
      <w:tr w:rsidR="00C85FD7" w:rsidRPr="00C85FD7" w:rsidTr="00F7075D">
        <w:trPr>
          <w:trHeight w:val="30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 xml:space="preserve">Race </w:t>
            </w:r>
          </w:p>
        </w:tc>
        <w:tc>
          <w:tcPr>
            <w:tcW w:w="66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FFFFFF"/>
                <w:sz w:val="20"/>
                <w:szCs w:val="20"/>
              </w:rPr>
            </w:pPr>
          </w:p>
        </w:tc>
        <w:tc>
          <w:tcPr>
            <w:tcW w:w="632"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427236">
            <w:pPr>
              <w:jc w:val="center"/>
              <w:rPr>
                <w:rFonts w:ascii="Calibri" w:hAnsi="Calibri" w:cs="Calibri"/>
                <w:color w:val="FFFFFF"/>
                <w:sz w:val="20"/>
                <w:szCs w:val="20"/>
              </w:rPr>
            </w:pPr>
          </w:p>
        </w:tc>
        <w:tc>
          <w:tcPr>
            <w:tcW w:w="379"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0.023</w:t>
            </w:r>
          </w:p>
        </w:tc>
        <w:tc>
          <w:tcPr>
            <w:tcW w:w="379"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0.393</w:t>
            </w:r>
          </w:p>
        </w:tc>
        <w:tc>
          <w:tcPr>
            <w:tcW w:w="77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FFFFFF"/>
                <w:sz w:val="20"/>
                <w:szCs w:val="20"/>
              </w:rPr>
            </w:pPr>
          </w:p>
        </w:tc>
        <w:tc>
          <w:tcPr>
            <w:tcW w:w="620"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427236">
            <w:pPr>
              <w:jc w:val="center"/>
              <w:rPr>
                <w:rFonts w:ascii="Calibri" w:hAnsi="Calibri" w:cs="Calibri"/>
                <w:color w:val="FFFFFF"/>
                <w:sz w:val="20"/>
                <w:szCs w:val="20"/>
              </w:rPr>
            </w:pPr>
          </w:p>
        </w:tc>
        <w:tc>
          <w:tcPr>
            <w:tcW w:w="72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FFFFFF"/>
                <w:sz w:val="20"/>
                <w:szCs w:val="20"/>
              </w:rPr>
            </w:pPr>
          </w:p>
        </w:tc>
      </w:tr>
      <w:tr w:rsidR="00C85FD7" w:rsidRPr="00C85FD7" w:rsidTr="00F7075D">
        <w:trPr>
          <w:trHeight w:val="30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White</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167</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6%</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b/>
                <w:bCs/>
                <w:i/>
                <w:iCs/>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2,668</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94%</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2,835(100%)</w:t>
            </w:r>
          </w:p>
        </w:tc>
      </w:tr>
      <w:tr w:rsidR="00C85FD7" w:rsidRPr="00C85FD7" w:rsidTr="00F7075D">
        <w:trPr>
          <w:trHeight w:val="30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 xml:space="preserve">Black </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28</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6%</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b/>
                <w:bCs/>
                <w:i/>
                <w:iCs/>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443</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94%</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471(100%)</w:t>
            </w:r>
          </w:p>
        </w:tc>
      </w:tr>
      <w:tr w:rsidR="00C85FD7" w:rsidRPr="00C85FD7" w:rsidTr="00F7075D">
        <w:trPr>
          <w:trHeight w:val="30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Other</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6</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3%</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b/>
                <w:bCs/>
                <w:i/>
                <w:iCs/>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169</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97%</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sz w:val="20"/>
                <w:szCs w:val="20"/>
              </w:rPr>
            </w:pPr>
            <w:r w:rsidRPr="000763AE">
              <w:rPr>
                <w:rFonts w:ascii="Calibri" w:hAnsi="Calibri" w:cs="Calibri"/>
                <w:sz w:val="20"/>
                <w:szCs w:val="20"/>
              </w:rPr>
              <w:t>175(100%)</w:t>
            </w:r>
          </w:p>
        </w:tc>
      </w:tr>
      <w:tr w:rsidR="00C85FD7" w:rsidRPr="00C85FD7" w:rsidTr="00F7075D">
        <w:trPr>
          <w:trHeight w:val="575"/>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 </w:t>
            </w:r>
          </w:p>
        </w:tc>
        <w:tc>
          <w:tcPr>
            <w:tcW w:w="666"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Foot Exam</w:t>
            </w:r>
          </w:p>
        </w:tc>
        <w:tc>
          <w:tcPr>
            <w:tcW w:w="632"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379" w:type="pct"/>
            <w:tcBorders>
              <w:top w:val="nil"/>
              <w:left w:val="nil"/>
              <w:bottom w:val="single" w:sz="4" w:space="0" w:color="auto"/>
              <w:right w:val="single" w:sz="4" w:space="0" w:color="auto"/>
            </w:tcBorders>
            <w:shd w:val="clear" w:color="000000" w:fill="808080"/>
            <w:noWrap/>
            <w:vAlign w:val="center"/>
            <w:hideMark/>
          </w:tcPr>
          <w:p w:rsidR="00C85FD7" w:rsidRPr="000763AE" w:rsidRDefault="00C85FD7" w:rsidP="00427236">
            <w:pPr>
              <w:jc w:val="center"/>
              <w:rPr>
                <w:rFonts w:ascii="Calibri" w:hAnsi="Calibri" w:cs="Calibri"/>
                <w:b/>
                <w:bCs/>
                <w:i/>
                <w:iCs/>
                <w:color w:val="FFFFFF"/>
                <w:sz w:val="20"/>
                <w:szCs w:val="20"/>
              </w:rPr>
            </w:pPr>
            <w:proofErr w:type="spellStart"/>
            <w:r w:rsidRPr="000763AE">
              <w:rPr>
                <w:rFonts w:ascii="Calibri" w:hAnsi="Calibri" w:cs="Calibri"/>
                <w:b/>
                <w:bCs/>
                <w:i/>
                <w:iCs/>
                <w:color w:val="FFFFFF"/>
                <w:szCs w:val="20"/>
              </w:rPr>
              <w:t>r</w:t>
            </w:r>
            <w:r w:rsidRPr="000763AE">
              <w:rPr>
                <w:rFonts w:ascii="Calibri" w:hAnsi="Calibri" w:cs="Calibri"/>
                <w:b/>
                <w:bCs/>
                <w:i/>
                <w:iCs/>
                <w:color w:val="FFFFFF"/>
                <w:sz w:val="20"/>
                <w:szCs w:val="20"/>
              </w:rPr>
              <w:t>rb</w:t>
            </w:r>
            <w:proofErr w:type="spellEnd"/>
          </w:p>
        </w:tc>
        <w:tc>
          <w:tcPr>
            <w:tcW w:w="379"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P</w:t>
            </w:r>
          </w:p>
        </w:tc>
        <w:tc>
          <w:tcPr>
            <w:tcW w:w="775"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No Foot Exam</w:t>
            </w:r>
          </w:p>
        </w:tc>
        <w:tc>
          <w:tcPr>
            <w:tcW w:w="620"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725"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427236">
            <w:pPr>
              <w:jc w:val="center"/>
              <w:rPr>
                <w:rFonts w:ascii="Calibri" w:hAnsi="Calibri" w:cs="Calibri"/>
                <w:b/>
                <w:color w:val="FFFFFF"/>
                <w:sz w:val="20"/>
                <w:szCs w:val="20"/>
              </w:rPr>
            </w:pPr>
            <w:r w:rsidRPr="000763AE">
              <w:rPr>
                <w:rFonts w:ascii="Calibri" w:hAnsi="Calibri" w:cs="Calibri"/>
                <w:b/>
                <w:color w:val="FFFFFF"/>
                <w:sz w:val="20"/>
                <w:szCs w:val="20"/>
              </w:rPr>
              <w:t>Total (100%)</w:t>
            </w:r>
          </w:p>
        </w:tc>
      </w:tr>
      <w:tr w:rsidR="00C85FD7" w:rsidRPr="00C85FD7" w:rsidTr="00F7075D">
        <w:trPr>
          <w:trHeight w:val="30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Age (years)</w:t>
            </w:r>
          </w:p>
        </w:tc>
        <w:tc>
          <w:tcPr>
            <w:tcW w:w="66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632"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0.016</w:t>
            </w:r>
          </w:p>
        </w:tc>
        <w:tc>
          <w:tcPr>
            <w:tcW w:w="379"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0.340</w:t>
            </w:r>
          </w:p>
        </w:tc>
        <w:tc>
          <w:tcPr>
            <w:tcW w:w="77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620"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427236">
            <w:pPr>
              <w:jc w:val="center"/>
              <w:rPr>
                <w:rFonts w:ascii="Calibri" w:hAnsi="Calibri" w:cs="Calibri"/>
                <w:color w:val="000000"/>
                <w:sz w:val="20"/>
                <w:szCs w:val="20"/>
              </w:rPr>
            </w:pPr>
          </w:p>
        </w:tc>
        <w:tc>
          <w:tcPr>
            <w:tcW w:w="72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r>
      <w:tr w:rsidR="00C85FD7" w:rsidRPr="00C85FD7" w:rsidTr="00F7075D">
        <w:trPr>
          <w:trHeight w:val="30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144</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7</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3%</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274</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97%</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281(100%)</w:t>
            </w:r>
          </w:p>
        </w:tc>
      </w:tr>
      <w:tr w:rsidR="00C85FD7" w:rsidRPr="00C85FD7" w:rsidTr="00F7075D">
        <w:trPr>
          <w:trHeight w:val="30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45-64</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76</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6%</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1,183</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94%</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1,259(100%)</w:t>
            </w:r>
          </w:p>
        </w:tc>
      </w:tr>
      <w:tr w:rsidR="00C85FD7" w:rsidRPr="00C85FD7" w:rsidTr="00F7075D">
        <w:trPr>
          <w:trHeight w:val="300"/>
        </w:trPr>
        <w:tc>
          <w:tcPr>
            <w:tcW w:w="823"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427236">
            <w:pPr>
              <w:jc w:val="both"/>
              <w:rPr>
                <w:rFonts w:ascii="Calibri" w:hAnsi="Calibri" w:cs="Calibri"/>
                <w:b/>
                <w:color w:val="FFFFFF"/>
                <w:sz w:val="20"/>
                <w:szCs w:val="20"/>
              </w:rPr>
            </w:pPr>
            <w:r w:rsidRPr="000763AE">
              <w:rPr>
                <w:rFonts w:ascii="Calibri" w:hAnsi="Calibri" w:cs="Calibri"/>
                <w:b/>
                <w:color w:val="FFFFFF"/>
                <w:sz w:val="20"/>
                <w:szCs w:val="20"/>
              </w:rPr>
              <w:t>&gt;65</w:t>
            </w:r>
          </w:p>
        </w:tc>
        <w:tc>
          <w:tcPr>
            <w:tcW w:w="6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118</w:t>
            </w:r>
          </w:p>
        </w:tc>
        <w:tc>
          <w:tcPr>
            <w:tcW w:w="632"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6%</w:t>
            </w: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379"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427236">
            <w:pPr>
              <w:jc w:val="center"/>
              <w:rPr>
                <w:rFonts w:ascii="Calibri" w:hAnsi="Calibri" w:cs="Calibri"/>
                <w:color w:val="000000"/>
                <w:sz w:val="20"/>
                <w:szCs w:val="20"/>
              </w:rPr>
            </w:pPr>
          </w:p>
        </w:tc>
        <w:tc>
          <w:tcPr>
            <w:tcW w:w="77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1,823</w:t>
            </w:r>
          </w:p>
        </w:tc>
        <w:tc>
          <w:tcPr>
            <w:tcW w:w="620"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94%</w:t>
            </w:r>
          </w:p>
        </w:tc>
        <w:tc>
          <w:tcPr>
            <w:tcW w:w="72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427236">
            <w:pPr>
              <w:jc w:val="center"/>
              <w:rPr>
                <w:rFonts w:ascii="Calibri" w:hAnsi="Calibri" w:cs="Calibri"/>
                <w:color w:val="000000"/>
                <w:sz w:val="20"/>
                <w:szCs w:val="20"/>
              </w:rPr>
            </w:pPr>
            <w:r w:rsidRPr="000763AE">
              <w:rPr>
                <w:rFonts w:ascii="Calibri" w:hAnsi="Calibri" w:cs="Calibri"/>
                <w:color w:val="000000"/>
                <w:sz w:val="20"/>
                <w:szCs w:val="20"/>
              </w:rPr>
              <w:t>1,941(100%)</w:t>
            </w:r>
          </w:p>
        </w:tc>
      </w:tr>
    </w:tbl>
    <w:p w:rsidR="00EC19E3" w:rsidRPr="000763AE" w:rsidRDefault="00EC19E3" w:rsidP="00EC19E3">
      <w:pPr>
        <w:spacing w:after="200" w:line="360" w:lineRule="auto"/>
        <w:jc w:val="both"/>
        <w:rPr>
          <w:rFonts w:eastAsia="Calibri"/>
          <w:b/>
        </w:rPr>
      </w:pPr>
    </w:p>
    <w:p w:rsidR="00C85FD7" w:rsidRPr="000763AE" w:rsidRDefault="00C85FD7" w:rsidP="00EC19E3">
      <w:pPr>
        <w:spacing w:after="200"/>
        <w:jc w:val="both"/>
        <w:rPr>
          <w:rFonts w:eastAsia="Calibri"/>
          <w:b/>
        </w:rPr>
      </w:pPr>
      <w:proofErr w:type="gramStart"/>
      <w:r w:rsidRPr="000763AE">
        <w:rPr>
          <w:rFonts w:eastAsia="Calibri"/>
          <w:b/>
        </w:rPr>
        <w:t>Table 15.</w:t>
      </w:r>
      <w:proofErr w:type="gramEnd"/>
      <w:r w:rsidRPr="000763AE">
        <w:rPr>
          <w:rFonts w:eastAsia="Calibri"/>
        </w:rPr>
        <w:t xml:space="preserve">  Bivariate analysis results of 2015 NAMCS data for foots exams performed during an ambulatory visit for patients with diabetes based on provider characteristics.</w:t>
      </w:r>
    </w:p>
    <w:tbl>
      <w:tblPr>
        <w:tblW w:w="5000" w:type="pct"/>
        <w:tblLayout w:type="fixed"/>
        <w:tblLook w:val="04A0" w:firstRow="1" w:lastRow="0" w:firstColumn="1" w:lastColumn="0" w:noHBand="0" w:noVBand="1"/>
      </w:tblPr>
      <w:tblGrid>
        <w:gridCol w:w="1818"/>
        <w:gridCol w:w="1003"/>
        <w:gridCol w:w="955"/>
        <w:gridCol w:w="832"/>
        <w:gridCol w:w="721"/>
        <w:gridCol w:w="1160"/>
        <w:gridCol w:w="1088"/>
        <w:gridCol w:w="1279"/>
      </w:tblGrid>
      <w:tr w:rsidR="007A1E93" w:rsidRPr="00C85FD7" w:rsidTr="00F7075D">
        <w:trPr>
          <w:trHeight w:val="755"/>
        </w:trPr>
        <w:tc>
          <w:tcPr>
            <w:tcW w:w="1026" w:type="pct"/>
            <w:tcBorders>
              <w:top w:val="single" w:sz="4" w:space="0" w:color="auto"/>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Provider Characteristics</w:t>
            </w:r>
          </w:p>
        </w:tc>
        <w:tc>
          <w:tcPr>
            <w:tcW w:w="566"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Foot Exam</w:t>
            </w:r>
          </w:p>
        </w:tc>
        <w:tc>
          <w:tcPr>
            <w:tcW w:w="539" w:type="pct"/>
            <w:tcBorders>
              <w:top w:val="single" w:sz="4" w:space="0" w:color="auto"/>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470" w:type="pct"/>
            <w:tcBorders>
              <w:top w:val="single" w:sz="4" w:space="0" w:color="auto"/>
              <w:left w:val="nil"/>
              <w:bottom w:val="single" w:sz="4" w:space="0" w:color="auto"/>
              <w:right w:val="single" w:sz="4" w:space="0" w:color="auto"/>
            </w:tcBorders>
            <w:shd w:val="clear" w:color="000000" w:fill="808080"/>
            <w:noWrap/>
            <w:vAlign w:val="center"/>
            <w:hideMark/>
          </w:tcPr>
          <w:p w:rsidR="00C85FD7" w:rsidRPr="000763AE" w:rsidRDefault="00C85FD7" w:rsidP="00EC19E3">
            <w:pPr>
              <w:jc w:val="center"/>
              <w:rPr>
                <w:rFonts w:ascii="Calibri" w:hAnsi="Calibri" w:cs="Calibri"/>
                <w:b/>
                <w:bCs/>
                <w:color w:val="FFFFFF"/>
                <w:sz w:val="20"/>
                <w:szCs w:val="20"/>
              </w:rPr>
            </w:pPr>
            <w:r w:rsidRPr="000763AE">
              <w:rPr>
                <w:rFonts w:ascii="Calibri" w:hAnsi="Calibri" w:cs="Calibri"/>
                <w:b/>
                <w:bCs/>
                <w:color w:val="FFFFFF"/>
                <w:sz w:val="20"/>
                <w:szCs w:val="20"/>
              </w:rPr>
              <w:t>ɸ</w:t>
            </w:r>
          </w:p>
        </w:tc>
        <w:tc>
          <w:tcPr>
            <w:tcW w:w="407"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P</w:t>
            </w:r>
          </w:p>
        </w:tc>
        <w:tc>
          <w:tcPr>
            <w:tcW w:w="655"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No Foot Exam</w:t>
            </w:r>
          </w:p>
        </w:tc>
        <w:tc>
          <w:tcPr>
            <w:tcW w:w="614" w:type="pct"/>
            <w:tcBorders>
              <w:top w:val="single" w:sz="4" w:space="0" w:color="auto"/>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722"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Total (100%)</w:t>
            </w:r>
          </w:p>
        </w:tc>
      </w:tr>
      <w:tr w:rsidR="007A1E93" w:rsidRPr="00C85FD7" w:rsidTr="00F7075D">
        <w:trPr>
          <w:trHeight w:val="260"/>
        </w:trPr>
        <w:tc>
          <w:tcPr>
            <w:tcW w:w="102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Physician type</w:t>
            </w:r>
          </w:p>
        </w:tc>
        <w:tc>
          <w:tcPr>
            <w:tcW w:w="56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539"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470"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0.044</w:t>
            </w:r>
          </w:p>
        </w:tc>
        <w:tc>
          <w:tcPr>
            <w:tcW w:w="407"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0.009</w:t>
            </w:r>
          </w:p>
        </w:tc>
        <w:tc>
          <w:tcPr>
            <w:tcW w:w="65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14"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722"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r>
      <w:tr w:rsidR="007A1E93" w:rsidRPr="00C85FD7" w:rsidTr="00F7075D">
        <w:trPr>
          <w:trHeight w:val="300"/>
        </w:trPr>
        <w:tc>
          <w:tcPr>
            <w:tcW w:w="102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MD</w:t>
            </w:r>
          </w:p>
        </w:tc>
        <w:tc>
          <w:tcPr>
            <w:tcW w:w="5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199</w:t>
            </w:r>
          </w:p>
        </w:tc>
        <w:tc>
          <w:tcPr>
            <w:tcW w:w="539"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65%</w:t>
            </w:r>
          </w:p>
        </w:tc>
        <w:tc>
          <w:tcPr>
            <w:tcW w:w="470"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407"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5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3,114</w:t>
            </w:r>
          </w:p>
        </w:tc>
        <w:tc>
          <w:tcPr>
            <w:tcW w:w="61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94%</w:t>
            </w:r>
          </w:p>
        </w:tc>
        <w:tc>
          <w:tcPr>
            <w:tcW w:w="722"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3,313(100%)</w:t>
            </w:r>
          </w:p>
        </w:tc>
      </w:tr>
      <w:tr w:rsidR="007A1E93" w:rsidRPr="00C85FD7" w:rsidTr="00F7075D">
        <w:trPr>
          <w:trHeight w:val="215"/>
        </w:trPr>
        <w:tc>
          <w:tcPr>
            <w:tcW w:w="102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DO</w:t>
            </w:r>
          </w:p>
        </w:tc>
        <w:tc>
          <w:tcPr>
            <w:tcW w:w="5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w:t>
            </w:r>
          </w:p>
        </w:tc>
        <w:tc>
          <w:tcPr>
            <w:tcW w:w="539"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w:t>
            </w:r>
          </w:p>
        </w:tc>
        <w:tc>
          <w:tcPr>
            <w:tcW w:w="470"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407"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5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166</w:t>
            </w:r>
          </w:p>
        </w:tc>
        <w:tc>
          <w:tcPr>
            <w:tcW w:w="61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99%</w:t>
            </w:r>
          </w:p>
        </w:tc>
        <w:tc>
          <w:tcPr>
            <w:tcW w:w="722"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168(100%)</w:t>
            </w:r>
          </w:p>
        </w:tc>
      </w:tr>
      <w:tr w:rsidR="007A1E93" w:rsidRPr="00C85FD7" w:rsidTr="00F7075D">
        <w:trPr>
          <w:trHeight w:val="620"/>
        </w:trPr>
        <w:tc>
          <w:tcPr>
            <w:tcW w:w="102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 </w:t>
            </w:r>
          </w:p>
        </w:tc>
        <w:tc>
          <w:tcPr>
            <w:tcW w:w="566"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Foot Exam</w:t>
            </w:r>
          </w:p>
        </w:tc>
        <w:tc>
          <w:tcPr>
            <w:tcW w:w="539"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470" w:type="pct"/>
            <w:tcBorders>
              <w:top w:val="nil"/>
              <w:left w:val="nil"/>
              <w:bottom w:val="single" w:sz="4" w:space="0" w:color="auto"/>
              <w:right w:val="single" w:sz="4" w:space="0" w:color="auto"/>
            </w:tcBorders>
            <w:shd w:val="clear" w:color="000000" w:fill="808080"/>
            <w:noWrap/>
            <w:vAlign w:val="center"/>
            <w:hideMark/>
          </w:tcPr>
          <w:p w:rsidR="00C85FD7" w:rsidRPr="000763AE" w:rsidRDefault="00C85FD7" w:rsidP="00EC19E3">
            <w:pPr>
              <w:jc w:val="center"/>
              <w:rPr>
                <w:rFonts w:ascii="Calibri" w:hAnsi="Calibri" w:cs="Calibri"/>
                <w:b/>
                <w:bCs/>
                <w:i/>
                <w:iCs/>
                <w:color w:val="FFFFFF"/>
                <w:sz w:val="20"/>
                <w:szCs w:val="20"/>
              </w:rPr>
            </w:pPr>
            <w:r w:rsidRPr="000763AE">
              <w:rPr>
                <w:rFonts w:ascii="Calibri" w:hAnsi="Calibri" w:cs="Calibri"/>
                <w:b/>
                <w:bCs/>
                <w:i/>
                <w:iCs/>
                <w:color w:val="FFFFFF"/>
                <w:sz w:val="20"/>
                <w:szCs w:val="20"/>
              </w:rPr>
              <w:t>V</w:t>
            </w:r>
          </w:p>
        </w:tc>
        <w:tc>
          <w:tcPr>
            <w:tcW w:w="407"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P</w:t>
            </w:r>
          </w:p>
        </w:tc>
        <w:tc>
          <w:tcPr>
            <w:tcW w:w="655"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No Foot Exam</w:t>
            </w:r>
          </w:p>
        </w:tc>
        <w:tc>
          <w:tcPr>
            <w:tcW w:w="614"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722"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Total (100%)</w:t>
            </w:r>
          </w:p>
        </w:tc>
      </w:tr>
      <w:tr w:rsidR="007A1E93" w:rsidRPr="00C85FD7" w:rsidTr="00F7075D">
        <w:trPr>
          <w:trHeight w:val="332"/>
        </w:trPr>
        <w:tc>
          <w:tcPr>
            <w:tcW w:w="102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Provider type</w:t>
            </w:r>
          </w:p>
        </w:tc>
        <w:tc>
          <w:tcPr>
            <w:tcW w:w="56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539"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470"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0.142</w:t>
            </w:r>
          </w:p>
        </w:tc>
        <w:tc>
          <w:tcPr>
            <w:tcW w:w="407"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0.000</w:t>
            </w:r>
          </w:p>
        </w:tc>
        <w:tc>
          <w:tcPr>
            <w:tcW w:w="65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14"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722"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r>
      <w:tr w:rsidR="007A1E93" w:rsidRPr="00C85FD7" w:rsidTr="00F7075D">
        <w:trPr>
          <w:trHeight w:val="300"/>
        </w:trPr>
        <w:tc>
          <w:tcPr>
            <w:tcW w:w="102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Physician</w:t>
            </w:r>
          </w:p>
        </w:tc>
        <w:tc>
          <w:tcPr>
            <w:tcW w:w="5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174</w:t>
            </w:r>
          </w:p>
        </w:tc>
        <w:tc>
          <w:tcPr>
            <w:tcW w:w="539"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6%</w:t>
            </w:r>
          </w:p>
        </w:tc>
        <w:tc>
          <w:tcPr>
            <w:tcW w:w="470"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407"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5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3,039</w:t>
            </w:r>
          </w:p>
        </w:tc>
        <w:tc>
          <w:tcPr>
            <w:tcW w:w="61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94%</w:t>
            </w:r>
          </w:p>
        </w:tc>
        <w:tc>
          <w:tcPr>
            <w:tcW w:w="722"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bCs/>
                <w:sz w:val="20"/>
                <w:szCs w:val="20"/>
              </w:rPr>
              <w:t>3,253</w:t>
            </w:r>
            <w:r w:rsidRPr="000763AE">
              <w:rPr>
                <w:rFonts w:ascii="Calibri" w:hAnsi="Calibri" w:cs="Calibri"/>
                <w:color w:val="000000"/>
                <w:sz w:val="20"/>
                <w:szCs w:val="20"/>
              </w:rPr>
              <w:t>(100%)</w:t>
            </w:r>
          </w:p>
        </w:tc>
      </w:tr>
      <w:tr w:rsidR="007A1E93" w:rsidRPr="00C85FD7" w:rsidTr="00F7075D">
        <w:trPr>
          <w:trHeight w:val="395"/>
        </w:trPr>
        <w:tc>
          <w:tcPr>
            <w:tcW w:w="102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Physician assistant</w:t>
            </w:r>
          </w:p>
        </w:tc>
        <w:tc>
          <w:tcPr>
            <w:tcW w:w="56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4</w:t>
            </w:r>
          </w:p>
        </w:tc>
        <w:tc>
          <w:tcPr>
            <w:tcW w:w="539"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3%</w:t>
            </w:r>
          </w:p>
        </w:tc>
        <w:tc>
          <w:tcPr>
            <w:tcW w:w="470"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407"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5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147</w:t>
            </w:r>
          </w:p>
        </w:tc>
        <w:tc>
          <w:tcPr>
            <w:tcW w:w="61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97%</w:t>
            </w:r>
          </w:p>
        </w:tc>
        <w:tc>
          <w:tcPr>
            <w:tcW w:w="722"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151(100%)</w:t>
            </w:r>
          </w:p>
        </w:tc>
      </w:tr>
      <w:tr w:rsidR="007A1E93" w:rsidRPr="00C85FD7" w:rsidTr="00F7075D">
        <w:trPr>
          <w:trHeight w:val="260"/>
        </w:trPr>
        <w:tc>
          <w:tcPr>
            <w:tcW w:w="102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 xml:space="preserve">Nurse Practitioner </w:t>
            </w:r>
          </w:p>
        </w:tc>
        <w:tc>
          <w:tcPr>
            <w:tcW w:w="566"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23</w:t>
            </w:r>
          </w:p>
        </w:tc>
        <w:tc>
          <w:tcPr>
            <w:tcW w:w="539"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26%</w:t>
            </w:r>
          </w:p>
        </w:tc>
        <w:tc>
          <w:tcPr>
            <w:tcW w:w="470" w:type="pct"/>
            <w:tcBorders>
              <w:top w:val="nil"/>
              <w:left w:val="nil"/>
              <w:bottom w:val="single" w:sz="4" w:space="0" w:color="auto"/>
              <w:right w:val="single" w:sz="4" w:space="0" w:color="auto"/>
            </w:tcBorders>
            <w:shd w:val="clear" w:color="000000" w:fill="D9D9D9"/>
            <w:noWrap/>
            <w:vAlign w:val="bottom"/>
            <w:hideMark/>
          </w:tcPr>
          <w:p w:rsidR="00C85FD7" w:rsidRPr="000763AE" w:rsidRDefault="00C85FD7" w:rsidP="00EC19E3">
            <w:pPr>
              <w:jc w:val="center"/>
              <w:rPr>
                <w:rFonts w:ascii="Calibri" w:hAnsi="Calibri" w:cs="Calibri"/>
                <w:color w:val="000000"/>
                <w:sz w:val="20"/>
                <w:szCs w:val="20"/>
              </w:rPr>
            </w:pPr>
          </w:p>
        </w:tc>
        <w:tc>
          <w:tcPr>
            <w:tcW w:w="407" w:type="pct"/>
            <w:tcBorders>
              <w:top w:val="nil"/>
              <w:left w:val="nil"/>
              <w:bottom w:val="single" w:sz="4" w:space="0" w:color="auto"/>
              <w:right w:val="single" w:sz="4" w:space="0" w:color="auto"/>
            </w:tcBorders>
            <w:shd w:val="clear" w:color="000000" w:fill="D9D9D9"/>
            <w:noWrap/>
            <w:vAlign w:val="bottom"/>
            <w:hideMark/>
          </w:tcPr>
          <w:p w:rsidR="00C85FD7" w:rsidRPr="000763AE" w:rsidRDefault="00C85FD7" w:rsidP="00EC19E3">
            <w:pPr>
              <w:jc w:val="center"/>
              <w:rPr>
                <w:rFonts w:ascii="Calibri" w:hAnsi="Calibri" w:cs="Calibri"/>
                <w:color w:val="000000"/>
                <w:sz w:val="20"/>
                <w:szCs w:val="20"/>
              </w:rPr>
            </w:pPr>
          </w:p>
        </w:tc>
        <w:tc>
          <w:tcPr>
            <w:tcW w:w="655"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67</w:t>
            </w:r>
          </w:p>
        </w:tc>
        <w:tc>
          <w:tcPr>
            <w:tcW w:w="614"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74%</w:t>
            </w:r>
          </w:p>
        </w:tc>
        <w:tc>
          <w:tcPr>
            <w:tcW w:w="722"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90(100%)</w:t>
            </w:r>
          </w:p>
        </w:tc>
      </w:tr>
      <w:tr w:rsidR="007A1E93" w:rsidRPr="00C85FD7" w:rsidTr="00F7075D">
        <w:trPr>
          <w:trHeight w:val="300"/>
        </w:trPr>
        <w:tc>
          <w:tcPr>
            <w:tcW w:w="102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jc w:val="both"/>
              <w:rPr>
                <w:rFonts w:ascii="Calibri" w:hAnsi="Calibri" w:cs="Calibri"/>
                <w:b/>
                <w:color w:val="FFFFFF"/>
                <w:sz w:val="20"/>
                <w:szCs w:val="20"/>
              </w:rPr>
            </w:pPr>
            <w:r w:rsidRPr="000763AE">
              <w:rPr>
                <w:rFonts w:ascii="Calibri" w:hAnsi="Calibri" w:cs="Calibri"/>
                <w:b/>
                <w:color w:val="FFFFFF"/>
                <w:sz w:val="20"/>
                <w:szCs w:val="20"/>
              </w:rPr>
              <w:t>Other</w:t>
            </w:r>
          </w:p>
        </w:tc>
        <w:tc>
          <w:tcPr>
            <w:tcW w:w="566"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w:t>
            </w:r>
          </w:p>
        </w:tc>
        <w:tc>
          <w:tcPr>
            <w:tcW w:w="539"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w:t>
            </w:r>
          </w:p>
        </w:tc>
        <w:tc>
          <w:tcPr>
            <w:tcW w:w="470" w:type="pct"/>
            <w:tcBorders>
              <w:top w:val="nil"/>
              <w:left w:val="nil"/>
              <w:bottom w:val="single" w:sz="4" w:space="0" w:color="auto"/>
              <w:right w:val="single" w:sz="4" w:space="0" w:color="auto"/>
            </w:tcBorders>
            <w:shd w:val="clear" w:color="000000" w:fill="D9D9D9"/>
            <w:noWrap/>
            <w:vAlign w:val="bottom"/>
            <w:hideMark/>
          </w:tcPr>
          <w:p w:rsidR="00C85FD7" w:rsidRPr="000763AE" w:rsidRDefault="00C85FD7" w:rsidP="00EC19E3">
            <w:pPr>
              <w:jc w:val="center"/>
              <w:rPr>
                <w:rFonts w:ascii="Calibri" w:hAnsi="Calibri" w:cs="Calibri"/>
                <w:color w:val="000000"/>
                <w:sz w:val="20"/>
                <w:szCs w:val="20"/>
              </w:rPr>
            </w:pPr>
          </w:p>
        </w:tc>
        <w:tc>
          <w:tcPr>
            <w:tcW w:w="407" w:type="pct"/>
            <w:tcBorders>
              <w:top w:val="nil"/>
              <w:left w:val="nil"/>
              <w:bottom w:val="single" w:sz="4" w:space="0" w:color="auto"/>
              <w:right w:val="single" w:sz="4" w:space="0" w:color="auto"/>
            </w:tcBorders>
            <w:shd w:val="clear" w:color="000000" w:fill="D9D9D9"/>
            <w:noWrap/>
            <w:vAlign w:val="bottom"/>
            <w:hideMark/>
          </w:tcPr>
          <w:p w:rsidR="00C85FD7" w:rsidRPr="000763AE" w:rsidRDefault="00C85FD7" w:rsidP="00EC19E3">
            <w:pPr>
              <w:jc w:val="center"/>
              <w:rPr>
                <w:rFonts w:ascii="Calibri" w:hAnsi="Calibri" w:cs="Calibri"/>
                <w:color w:val="000000"/>
                <w:sz w:val="20"/>
                <w:szCs w:val="20"/>
              </w:rPr>
            </w:pPr>
          </w:p>
        </w:tc>
        <w:tc>
          <w:tcPr>
            <w:tcW w:w="655"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27</w:t>
            </w:r>
          </w:p>
        </w:tc>
        <w:tc>
          <w:tcPr>
            <w:tcW w:w="614"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100%</w:t>
            </w:r>
          </w:p>
        </w:tc>
        <w:tc>
          <w:tcPr>
            <w:tcW w:w="722"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27(100%)</w:t>
            </w:r>
          </w:p>
        </w:tc>
      </w:tr>
    </w:tbl>
    <w:p w:rsidR="00C85FD7" w:rsidRPr="000763AE" w:rsidRDefault="00C85FD7" w:rsidP="00EC19E3">
      <w:pPr>
        <w:spacing w:after="200"/>
        <w:jc w:val="both"/>
        <w:rPr>
          <w:rFonts w:eastAsia="Calibri"/>
          <w:b/>
        </w:rPr>
      </w:pPr>
      <w:proofErr w:type="gramStart"/>
      <w:r w:rsidRPr="000763AE">
        <w:rPr>
          <w:rFonts w:eastAsia="Calibri"/>
          <w:b/>
        </w:rPr>
        <w:lastRenderedPageBreak/>
        <w:t>Table 16.</w:t>
      </w:r>
      <w:proofErr w:type="gramEnd"/>
      <w:r w:rsidRPr="000763AE">
        <w:rPr>
          <w:rFonts w:eastAsia="Calibri"/>
        </w:rPr>
        <w:t xml:space="preserve">  Bivariate analysis results of 2015 NAMCS data for foots exams performed during an ambulatory visit for patients with diabetes based on practice settings.</w:t>
      </w:r>
    </w:p>
    <w:p w:rsidR="00C85FD7" w:rsidRPr="000763AE" w:rsidRDefault="00C85FD7" w:rsidP="00EC19E3">
      <w:pPr>
        <w:autoSpaceDE w:val="0"/>
        <w:autoSpaceDN w:val="0"/>
        <w:adjustRightInd w:val="0"/>
        <w:jc w:val="both"/>
        <w:rPr>
          <w:rFonts w:eastAsia="Calibri"/>
          <w:b/>
        </w:rPr>
      </w:pPr>
    </w:p>
    <w:tbl>
      <w:tblPr>
        <w:tblW w:w="5000" w:type="pct"/>
        <w:tblLook w:val="04A0" w:firstRow="1" w:lastRow="0" w:firstColumn="1" w:lastColumn="0" w:noHBand="0" w:noVBand="1"/>
      </w:tblPr>
      <w:tblGrid>
        <w:gridCol w:w="1708"/>
        <w:gridCol w:w="1089"/>
        <w:gridCol w:w="934"/>
        <w:gridCol w:w="734"/>
        <w:gridCol w:w="672"/>
        <w:gridCol w:w="1373"/>
        <w:gridCol w:w="1086"/>
        <w:gridCol w:w="1260"/>
      </w:tblGrid>
      <w:tr w:rsidR="00C85FD7" w:rsidRPr="00C85FD7" w:rsidTr="00A377FD">
        <w:trPr>
          <w:trHeight w:val="600"/>
        </w:trPr>
        <w:tc>
          <w:tcPr>
            <w:tcW w:w="1056" w:type="pct"/>
            <w:tcBorders>
              <w:top w:val="single" w:sz="4" w:space="0" w:color="auto"/>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Practice  Characteristics</w:t>
            </w:r>
          </w:p>
        </w:tc>
        <w:tc>
          <w:tcPr>
            <w:tcW w:w="603"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Foot Exam</w:t>
            </w:r>
          </w:p>
        </w:tc>
        <w:tc>
          <w:tcPr>
            <w:tcW w:w="618" w:type="pct"/>
            <w:tcBorders>
              <w:top w:val="single" w:sz="4" w:space="0" w:color="auto"/>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376" w:type="pct"/>
            <w:tcBorders>
              <w:top w:val="single" w:sz="4" w:space="0" w:color="auto"/>
              <w:left w:val="nil"/>
              <w:bottom w:val="single" w:sz="4" w:space="0" w:color="auto"/>
              <w:right w:val="single" w:sz="4" w:space="0" w:color="auto"/>
            </w:tcBorders>
            <w:shd w:val="clear" w:color="000000" w:fill="808080"/>
            <w:noWrap/>
            <w:vAlign w:val="center"/>
            <w:hideMark/>
          </w:tcPr>
          <w:p w:rsidR="00C85FD7" w:rsidRPr="000763AE" w:rsidRDefault="00C85FD7" w:rsidP="00EC19E3">
            <w:pPr>
              <w:jc w:val="center"/>
              <w:rPr>
                <w:rFonts w:ascii="Calibri" w:hAnsi="Calibri" w:cs="Calibri"/>
                <w:b/>
                <w:bCs/>
                <w:color w:val="FFFFFF"/>
                <w:sz w:val="20"/>
                <w:szCs w:val="20"/>
              </w:rPr>
            </w:pPr>
            <w:r w:rsidRPr="000763AE">
              <w:rPr>
                <w:rFonts w:ascii="Calibri" w:hAnsi="Calibri" w:cs="Calibri"/>
                <w:b/>
                <w:bCs/>
                <w:color w:val="FFFFFF"/>
                <w:sz w:val="20"/>
                <w:szCs w:val="20"/>
              </w:rPr>
              <w:t>ɸ</w:t>
            </w:r>
          </w:p>
        </w:tc>
        <w:tc>
          <w:tcPr>
            <w:tcW w:w="376"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P</w:t>
            </w:r>
          </w:p>
        </w:tc>
        <w:tc>
          <w:tcPr>
            <w:tcW w:w="673"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No Foot Exam</w:t>
            </w:r>
          </w:p>
        </w:tc>
        <w:tc>
          <w:tcPr>
            <w:tcW w:w="704" w:type="pct"/>
            <w:tcBorders>
              <w:top w:val="single" w:sz="4" w:space="0" w:color="auto"/>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595" w:type="pct"/>
            <w:tcBorders>
              <w:top w:val="single" w:sz="4" w:space="0" w:color="auto"/>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Total (100%)</w:t>
            </w:r>
          </w:p>
        </w:tc>
      </w:tr>
      <w:tr w:rsidR="00C85FD7" w:rsidRPr="00C85FD7" w:rsidTr="00A377FD">
        <w:trPr>
          <w:trHeight w:val="39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Practice type</w:t>
            </w:r>
          </w:p>
        </w:tc>
        <w:tc>
          <w:tcPr>
            <w:tcW w:w="603"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18"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-0.026</w:t>
            </w:r>
          </w:p>
        </w:tc>
        <w:tc>
          <w:tcPr>
            <w:tcW w:w="37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0.118</w:t>
            </w:r>
          </w:p>
        </w:tc>
        <w:tc>
          <w:tcPr>
            <w:tcW w:w="673"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704"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59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r>
      <w:tr w:rsidR="00C85FD7" w:rsidRPr="00C85FD7" w:rsidTr="00A377FD">
        <w:trPr>
          <w:trHeight w:val="45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color w:val="FFFFFF"/>
                <w:sz w:val="20"/>
                <w:szCs w:val="20"/>
              </w:rPr>
            </w:pPr>
            <w:r w:rsidRPr="000763AE">
              <w:rPr>
                <w:rFonts w:ascii="Calibri" w:hAnsi="Calibri" w:cs="Calibri"/>
                <w:color w:val="FFFFFF"/>
                <w:sz w:val="20"/>
                <w:szCs w:val="20"/>
              </w:rPr>
              <w:t>Solo</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49</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5%</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969</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95%</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1,018(100%)</w:t>
            </w:r>
          </w:p>
        </w:tc>
      </w:tr>
      <w:tr w:rsidR="00C85FD7" w:rsidRPr="00C85FD7" w:rsidTr="00A377FD">
        <w:trPr>
          <w:trHeight w:val="435"/>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color w:val="FFFFFF"/>
                <w:sz w:val="20"/>
                <w:szCs w:val="20"/>
              </w:rPr>
            </w:pPr>
            <w:r w:rsidRPr="000763AE">
              <w:rPr>
                <w:rFonts w:ascii="Calibri" w:hAnsi="Calibri" w:cs="Calibri"/>
                <w:color w:val="FFFFFF"/>
                <w:sz w:val="20"/>
                <w:szCs w:val="20"/>
              </w:rPr>
              <w:t>Multi</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152</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6%</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2,311</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94%</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2,463(100%)</w:t>
            </w:r>
          </w:p>
        </w:tc>
      </w:tr>
      <w:tr w:rsidR="00C85FD7" w:rsidRPr="00C85FD7" w:rsidTr="00A377FD">
        <w:trPr>
          <w:trHeight w:val="495"/>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Diabetes Education</w:t>
            </w:r>
          </w:p>
        </w:tc>
        <w:tc>
          <w:tcPr>
            <w:tcW w:w="603"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18"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0.195</w:t>
            </w:r>
          </w:p>
        </w:tc>
        <w:tc>
          <w:tcPr>
            <w:tcW w:w="37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0.000</w:t>
            </w:r>
          </w:p>
        </w:tc>
        <w:tc>
          <w:tcPr>
            <w:tcW w:w="673"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704"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59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r>
      <w:tr w:rsidR="00C85FD7" w:rsidRPr="00C85FD7" w:rsidTr="00A377FD">
        <w:trPr>
          <w:trHeight w:val="525"/>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 xml:space="preserve">No education </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186</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6%</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3,094</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94%</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3,280(100%)</w:t>
            </w:r>
          </w:p>
        </w:tc>
      </w:tr>
      <w:tr w:rsidR="00C85FD7" w:rsidRPr="00C85FD7" w:rsidTr="00A377FD">
        <w:trPr>
          <w:trHeight w:val="3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Education</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54</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27%</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147</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73%</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201(100%)</w:t>
            </w:r>
          </w:p>
        </w:tc>
      </w:tr>
      <w:tr w:rsidR="00C85FD7" w:rsidRPr="00C85FD7" w:rsidTr="00A377FD">
        <w:trPr>
          <w:trHeight w:val="6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 </w:t>
            </w:r>
          </w:p>
        </w:tc>
        <w:tc>
          <w:tcPr>
            <w:tcW w:w="603"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Foot Exam</w:t>
            </w:r>
          </w:p>
        </w:tc>
        <w:tc>
          <w:tcPr>
            <w:tcW w:w="618"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376" w:type="pct"/>
            <w:tcBorders>
              <w:top w:val="nil"/>
              <w:left w:val="nil"/>
              <w:bottom w:val="single" w:sz="4" w:space="0" w:color="auto"/>
              <w:right w:val="single" w:sz="4" w:space="0" w:color="auto"/>
            </w:tcBorders>
            <w:shd w:val="clear" w:color="000000" w:fill="808080"/>
            <w:noWrap/>
            <w:vAlign w:val="center"/>
            <w:hideMark/>
          </w:tcPr>
          <w:p w:rsidR="00C85FD7" w:rsidRPr="000763AE" w:rsidRDefault="00C85FD7" w:rsidP="00EC19E3">
            <w:pPr>
              <w:jc w:val="center"/>
              <w:rPr>
                <w:rFonts w:ascii="Calibri" w:hAnsi="Calibri" w:cs="Calibri"/>
                <w:b/>
                <w:bCs/>
                <w:i/>
                <w:iCs/>
                <w:color w:val="FFFFFF"/>
                <w:sz w:val="20"/>
                <w:szCs w:val="20"/>
              </w:rPr>
            </w:pPr>
            <w:r w:rsidRPr="000763AE">
              <w:rPr>
                <w:rFonts w:ascii="Calibri" w:hAnsi="Calibri" w:cs="Calibri"/>
                <w:b/>
                <w:bCs/>
                <w:i/>
                <w:iCs/>
                <w:color w:val="FFFFFF"/>
                <w:sz w:val="20"/>
                <w:szCs w:val="20"/>
              </w:rPr>
              <w:t>V</w:t>
            </w:r>
          </w:p>
        </w:tc>
        <w:tc>
          <w:tcPr>
            <w:tcW w:w="376"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P</w:t>
            </w:r>
          </w:p>
        </w:tc>
        <w:tc>
          <w:tcPr>
            <w:tcW w:w="673"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No Foot Exam</w:t>
            </w:r>
          </w:p>
        </w:tc>
        <w:tc>
          <w:tcPr>
            <w:tcW w:w="704"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595"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Total (100%)</w:t>
            </w:r>
          </w:p>
        </w:tc>
      </w:tr>
      <w:tr w:rsidR="00C85FD7" w:rsidRPr="00C85FD7" w:rsidTr="00A377FD">
        <w:trPr>
          <w:trHeight w:val="405"/>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Payment type</w:t>
            </w:r>
          </w:p>
        </w:tc>
        <w:tc>
          <w:tcPr>
            <w:tcW w:w="603"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FFFFFF"/>
                <w:sz w:val="20"/>
                <w:szCs w:val="20"/>
              </w:rPr>
            </w:pPr>
          </w:p>
        </w:tc>
        <w:tc>
          <w:tcPr>
            <w:tcW w:w="618"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FFFFFF"/>
                <w:sz w:val="20"/>
                <w:szCs w:val="20"/>
              </w:rPr>
            </w:pPr>
          </w:p>
        </w:tc>
        <w:tc>
          <w:tcPr>
            <w:tcW w:w="37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sz w:val="20"/>
                <w:szCs w:val="20"/>
              </w:rPr>
            </w:pPr>
            <w:r w:rsidRPr="000763AE">
              <w:rPr>
                <w:rFonts w:ascii="Calibri" w:hAnsi="Calibri" w:cs="Calibri"/>
                <w:sz w:val="20"/>
                <w:szCs w:val="20"/>
              </w:rPr>
              <w:t>0.054</w:t>
            </w:r>
          </w:p>
        </w:tc>
        <w:tc>
          <w:tcPr>
            <w:tcW w:w="37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sz w:val="20"/>
                <w:szCs w:val="20"/>
              </w:rPr>
            </w:pPr>
            <w:r w:rsidRPr="000763AE">
              <w:rPr>
                <w:rFonts w:ascii="Calibri" w:hAnsi="Calibri" w:cs="Calibri"/>
                <w:sz w:val="20"/>
                <w:szCs w:val="20"/>
              </w:rPr>
              <w:t>0.018</w:t>
            </w:r>
          </w:p>
        </w:tc>
        <w:tc>
          <w:tcPr>
            <w:tcW w:w="673"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FFFFFF"/>
                <w:sz w:val="20"/>
                <w:szCs w:val="20"/>
              </w:rPr>
            </w:pPr>
          </w:p>
        </w:tc>
        <w:tc>
          <w:tcPr>
            <w:tcW w:w="704"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FFFFFF"/>
                <w:sz w:val="20"/>
                <w:szCs w:val="20"/>
              </w:rPr>
            </w:pPr>
          </w:p>
        </w:tc>
        <w:tc>
          <w:tcPr>
            <w:tcW w:w="59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FFFFFF"/>
                <w:sz w:val="20"/>
                <w:szCs w:val="20"/>
              </w:rPr>
            </w:pPr>
          </w:p>
        </w:tc>
      </w:tr>
      <w:tr w:rsidR="00C85FD7" w:rsidRPr="00C85FD7" w:rsidTr="00A377FD">
        <w:trPr>
          <w:trHeight w:val="375"/>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Private insurance</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65</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6%</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1,091</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94%</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1,156(100%)</w:t>
            </w:r>
          </w:p>
        </w:tc>
      </w:tr>
      <w:tr w:rsidR="00C85FD7" w:rsidRPr="00C85FD7" w:rsidTr="00A377FD">
        <w:trPr>
          <w:trHeight w:val="345"/>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Medicare</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113</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7%</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1,590</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93%</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1,703(100%)</w:t>
            </w:r>
          </w:p>
        </w:tc>
      </w:tr>
      <w:tr w:rsidR="00C85FD7" w:rsidRPr="00C85FD7" w:rsidTr="00A377FD">
        <w:trPr>
          <w:trHeight w:val="675"/>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Medicaid, CHIP or other state-based program</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7</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313</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98%</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320(100%)</w:t>
            </w:r>
          </w:p>
        </w:tc>
      </w:tr>
      <w:tr w:rsidR="00C85FD7" w:rsidRPr="00C85FD7" w:rsidTr="00A377FD">
        <w:trPr>
          <w:trHeight w:val="615"/>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Other source of payment or blank</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16</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5%</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286</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95%</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302(100%)</w:t>
            </w:r>
          </w:p>
        </w:tc>
      </w:tr>
      <w:tr w:rsidR="00C85FD7" w:rsidRPr="00C85FD7" w:rsidTr="00A377FD">
        <w:trPr>
          <w:trHeight w:val="3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Region</w:t>
            </w:r>
          </w:p>
        </w:tc>
        <w:tc>
          <w:tcPr>
            <w:tcW w:w="603"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18"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0.037</w:t>
            </w:r>
          </w:p>
        </w:tc>
        <w:tc>
          <w:tcPr>
            <w:tcW w:w="376"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0.181</w:t>
            </w:r>
          </w:p>
        </w:tc>
        <w:tc>
          <w:tcPr>
            <w:tcW w:w="673"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704" w:type="pct"/>
            <w:tcBorders>
              <w:top w:val="nil"/>
              <w:left w:val="nil"/>
              <w:bottom w:val="single" w:sz="4" w:space="0" w:color="auto"/>
              <w:right w:val="single" w:sz="4" w:space="0" w:color="auto"/>
            </w:tcBorders>
            <w:shd w:val="clear" w:color="000000" w:fill="D9D9D9"/>
            <w:vAlign w:val="center"/>
            <w:hideMark/>
          </w:tcPr>
          <w:p w:rsidR="00C85FD7" w:rsidRPr="000763AE" w:rsidRDefault="00C85FD7" w:rsidP="00EC19E3">
            <w:pPr>
              <w:jc w:val="center"/>
              <w:rPr>
                <w:rFonts w:ascii="Calibri" w:hAnsi="Calibri" w:cs="Calibri"/>
                <w:color w:val="000000"/>
                <w:sz w:val="20"/>
                <w:szCs w:val="20"/>
              </w:rPr>
            </w:pPr>
          </w:p>
        </w:tc>
        <w:tc>
          <w:tcPr>
            <w:tcW w:w="595"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r>
      <w:tr w:rsidR="00C85FD7" w:rsidRPr="00C85FD7" w:rsidTr="00A377FD">
        <w:trPr>
          <w:trHeight w:val="3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 xml:space="preserve">Northeast </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29</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5%</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573</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95%</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602(100%)</w:t>
            </w:r>
          </w:p>
        </w:tc>
      </w:tr>
      <w:tr w:rsidR="00C85FD7" w:rsidRPr="00C85FD7" w:rsidTr="00A377FD">
        <w:trPr>
          <w:trHeight w:val="3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Midwest</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71</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7%</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999</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93%</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1,070(100%)</w:t>
            </w:r>
          </w:p>
        </w:tc>
      </w:tr>
      <w:tr w:rsidR="00C85FD7" w:rsidRPr="00C85FD7" w:rsidTr="00A377FD">
        <w:trPr>
          <w:trHeight w:val="3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South</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46</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5%</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912</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95%</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958(100%)</w:t>
            </w:r>
          </w:p>
        </w:tc>
      </w:tr>
      <w:tr w:rsidR="00C85FD7" w:rsidRPr="00C85FD7" w:rsidTr="00A377FD">
        <w:trPr>
          <w:trHeight w:val="3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 xml:space="preserve">West </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55</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6%</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796</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94%</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851(100%)</w:t>
            </w:r>
          </w:p>
        </w:tc>
      </w:tr>
      <w:tr w:rsidR="00C85FD7" w:rsidRPr="00C85FD7" w:rsidTr="00A377FD">
        <w:trPr>
          <w:trHeight w:val="6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color w:val="FFFFFF"/>
                <w:sz w:val="20"/>
                <w:szCs w:val="20"/>
              </w:rPr>
            </w:pPr>
            <w:r w:rsidRPr="000763AE">
              <w:rPr>
                <w:rFonts w:ascii="Calibri" w:hAnsi="Calibri" w:cs="Calibri"/>
                <w:color w:val="FFFFFF"/>
                <w:sz w:val="20"/>
                <w:szCs w:val="20"/>
              </w:rPr>
              <w:t> </w:t>
            </w:r>
          </w:p>
        </w:tc>
        <w:tc>
          <w:tcPr>
            <w:tcW w:w="603"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Foot Exam</w:t>
            </w:r>
          </w:p>
        </w:tc>
        <w:tc>
          <w:tcPr>
            <w:tcW w:w="618"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376" w:type="pct"/>
            <w:tcBorders>
              <w:top w:val="nil"/>
              <w:left w:val="nil"/>
              <w:bottom w:val="single" w:sz="4" w:space="0" w:color="auto"/>
              <w:right w:val="single" w:sz="4" w:space="0" w:color="auto"/>
            </w:tcBorders>
            <w:shd w:val="clear" w:color="000000" w:fill="808080"/>
            <w:noWrap/>
            <w:vAlign w:val="center"/>
            <w:hideMark/>
          </w:tcPr>
          <w:p w:rsidR="00C85FD7" w:rsidRPr="000763AE" w:rsidRDefault="00C85FD7" w:rsidP="00EC19E3">
            <w:pPr>
              <w:jc w:val="center"/>
              <w:rPr>
                <w:rFonts w:ascii="Calibri" w:hAnsi="Calibri" w:cs="Calibri"/>
                <w:b/>
                <w:bCs/>
                <w:i/>
                <w:iCs/>
                <w:color w:val="FFFFFF"/>
                <w:sz w:val="20"/>
                <w:szCs w:val="20"/>
              </w:rPr>
            </w:pPr>
            <w:proofErr w:type="spellStart"/>
            <w:r w:rsidRPr="000763AE">
              <w:rPr>
                <w:rFonts w:ascii="Calibri" w:hAnsi="Calibri" w:cs="Calibri"/>
                <w:b/>
                <w:bCs/>
                <w:i/>
                <w:iCs/>
                <w:color w:val="FFFFFF"/>
                <w:szCs w:val="20"/>
              </w:rPr>
              <w:t>r</w:t>
            </w:r>
            <w:r w:rsidRPr="000763AE">
              <w:rPr>
                <w:rFonts w:ascii="Calibri" w:hAnsi="Calibri" w:cs="Calibri"/>
                <w:b/>
                <w:bCs/>
                <w:i/>
                <w:iCs/>
                <w:color w:val="FFFFFF"/>
                <w:sz w:val="20"/>
                <w:szCs w:val="20"/>
              </w:rPr>
              <w:t>rb</w:t>
            </w:r>
            <w:proofErr w:type="spellEnd"/>
          </w:p>
        </w:tc>
        <w:tc>
          <w:tcPr>
            <w:tcW w:w="376"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P</w:t>
            </w:r>
          </w:p>
        </w:tc>
        <w:tc>
          <w:tcPr>
            <w:tcW w:w="673"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No Foot Exam</w:t>
            </w:r>
          </w:p>
        </w:tc>
        <w:tc>
          <w:tcPr>
            <w:tcW w:w="704" w:type="pct"/>
            <w:tcBorders>
              <w:top w:val="nil"/>
              <w:left w:val="nil"/>
              <w:bottom w:val="single" w:sz="4" w:space="0" w:color="auto"/>
              <w:right w:val="single" w:sz="4" w:space="0" w:color="auto"/>
            </w:tcBorders>
            <w:shd w:val="clear" w:color="000000" w:fill="7F7F7F"/>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%of all diabetes visits</w:t>
            </w:r>
          </w:p>
        </w:tc>
        <w:tc>
          <w:tcPr>
            <w:tcW w:w="595" w:type="pct"/>
            <w:tcBorders>
              <w:top w:val="nil"/>
              <w:left w:val="nil"/>
              <w:bottom w:val="single" w:sz="4" w:space="0" w:color="auto"/>
              <w:right w:val="single" w:sz="4" w:space="0" w:color="auto"/>
            </w:tcBorders>
            <w:shd w:val="clear" w:color="000000" w:fill="7F7F7F"/>
            <w:noWrap/>
            <w:vAlign w:val="center"/>
            <w:hideMark/>
          </w:tcPr>
          <w:p w:rsidR="00C85FD7" w:rsidRPr="000763AE" w:rsidRDefault="00C85FD7" w:rsidP="00EC19E3">
            <w:pPr>
              <w:jc w:val="center"/>
              <w:rPr>
                <w:rFonts w:ascii="Calibri" w:hAnsi="Calibri" w:cs="Calibri"/>
                <w:b/>
                <w:color w:val="FFFFFF"/>
                <w:sz w:val="20"/>
                <w:szCs w:val="20"/>
              </w:rPr>
            </w:pPr>
            <w:r w:rsidRPr="000763AE">
              <w:rPr>
                <w:rFonts w:ascii="Calibri" w:hAnsi="Calibri" w:cs="Calibri"/>
                <w:b/>
                <w:color w:val="FFFFFF"/>
                <w:sz w:val="20"/>
                <w:szCs w:val="20"/>
              </w:rPr>
              <w:t>Total (100%)</w:t>
            </w:r>
          </w:p>
        </w:tc>
      </w:tr>
      <w:tr w:rsidR="00C85FD7" w:rsidRPr="00C85FD7" w:rsidTr="00A377FD">
        <w:trPr>
          <w:trHeight w:val="525"/>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0365EC" w:rsidP="00EC19E3">
            <w:pPr>
              <w:rPr>
                <w:rFonts w:ascii="Calibri" w:hAnsi="Calibri" w:cs="Calibri"/>
                <w:b/>
                <w:color w:val="FFFFFF"/>
                <w:sz w:val="20"/>
                <w:szCs w:val="20"/>
              </w:rPr>
            </w:pPr>
            <w:r w:rsidRPr="000763AE">
              <w:rPr>
                <w:rFonts w:ascii="Calibri" w:hAnsi="Calibri" w:cs="Calibri"/>
                <w:b/>
                <w:color w:val="FFFFFF"/>
                <w:sz w:val="20"/>
                <w:szCs w:val="20"/>
              </w:rPr>
              <w:t xml:space="preserve">Time </w:t>
            </w:r>
            <w:r w:rsidR="00C85FD7" w:rsidRPr="000763AE">
              <w:rPr>
                <w:rFonts w:ascii="Calibri" w:hAnsi="Calibri" w:cs="Calibri"/>
                <w:b/>
                <w:color w:val="FFFFFF"/>
                <w:sz w:val="20"/>
                <w:szCs w:val="20"/>
              </w:rPr>
              <w:t>with provider (minutes)</w:t>
            </w:r>
          </w:p>
        </w:tc>
        <w:tc>
          <w:tcPr>
            <w:tcW w:w="603" w:type="pct"/>
            <w:tcBorders>
              <w:top w:val="nil"/>
              <w:left w:val="nil"/>
              <w:bottom w:val="single" w:sz="4" w:space="0" w:color="auto"/>
              <w:right w:val="single" w:sz="4" w:space="0" w:color="auto"/>
            </w:tcBorders>
            <w:shd w:val="clear" w:color="000000" w:fill="D9D9D9"/>
            <w:noWrap/>
            <w:vAlign w:val="bottom"/>
            <w:hideMark/>
          </w:tcPr>
          <w:p w:rsidR="00C85FD7" w:rsidRPr="000763AE" w:rsidRDefault="00C85FD7" w:rsidP="00EC19E3">
            <w:pPr>
              <w:jc w:val="center"/>
              <w:rPr>
                <w:rFonts w:ascii="Calibri" w:hAnsi="Calibri" w:cs="Calibri"/>
                <w:color w:val="000000"/>
                <w:sz w:val="20"/>
                <w:szCs w:val="20"/>
              </w:rPr>
            </w:pPr>
          </w:p>
        </w:tc>
        <w:tc>
          <w:tcPr>
            <w:tcW w:w="618" w:type="pct"/>
            <w:tcBorders>
              <w:top w:val="nil"/>
              <w:left w:val="nil"/>
              <w:bottom w:val="single" w:sz="4" w:space="0" w:color="auto"/>
              <w:right w:val="single" w:sz="4" w:space="0" w:color="auto"/>
            </w:tcBorders>
            <w:shd w:val="clear" w:color="000000" w:fill="D9D9D9"/>
            <w:noWrap/>
            <w:vAlign w:val="bottom"/>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0.063</w:t>
            </w:r>
          </w:p>
        </w:tc>
        <w:tc>
          <w:tcPr>
            <w:tcW w:w="376" w:type="pct"/>
            <w:tcBorders>
              <w:top w:val="nil"/>
              <w:left w:val="nil"/>
              <w:bottom w:val="single" w:sz="4" w:space="0" w:color="auto"/>
              <w:right w:val="single" w:sz="4" w:space="0" w:color="auto"/>
            </w:tcBorders>
            <w:shd w:val="clear" w:color="auto" w:fill="auto"/>
            <w:noWrap/>
            <w:vAlign w:val="bottom"/>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0.000</w:t>
            </w:r>
          </w:p>
        </w:tc>
        <w:tc>
          <w:tcPr>
            <w:tcW w:w="673" w:type="pct"/>
            <w:tcBorders>
              <w:top w:val="nil"/>
              <w:left w:val="nil"/>
              <w:bottom w:val="single" w:sz="4" w:space="0" w:color="auto"/>
              <w:right w:val="single" w:sz="4" w:space="0" w:color="auto"/>
            </w:tcBorders>
            <w:shd w:val="clear" w:color="000000" w:fill="D9D9D9"/>
            <w:noWrap/>
            <w:vAlign w:val="bottom"/>
            <w:hideMark/>
          </w:tcPr>
          <w:p w:rsidR="00C85FD7" w:rsidRPr="000763AE" w:rsidRDefault="00C85FD7" w:rsidP="00EC19E3">
            <w:pPr>
              <w:jc w:val="center"/>
              <w:rPr>
                <w:rFonts w:ascii="Calibri" w:hAnsi="Calibri" w:cs="Calibri"/>
                <w:color w:val="000000"/>
                <w:sz w:val="20"/>
                <w:szCs w:val="20"/>
              </w:rPr>
            </w:pPr>
          </w:p>
        </w:tc>
        <w:tc>
          <w:tcPr>
            <w:tcW w:w="704" w:type="pct"/>
            <w:tcBorders>
              <w:top w:val="nil"/>
              <w:left w:val="nil"/>
              <w:bottom w:val="single" w:sz="4" w:space="0" w:color="auto"/>
              <w:right w:val="single" w:sz="4" w:space="0" w:color="auto"/>
            </w:tcBorders>
            <w:shd w:val="clear" w:color="000000" w:fill="D9D9D9"/>
            <w:noWrap/>
            <w:vAlign w:val="bottom"/>
            <w:hideMark/>
          </w:tcPr>
          <w:p w:rsidR="00C85FD7" w:rsidRPr="000763AE" w:rsidRDefault="00C85FD7" w:rsidP="00EC19E3">
            <w:pPr>
              <w:jc w:val="center"/>
              <w:rPr>
                <w:rFonts w:ascii="Calibri" w:hAnsi="Calibri" w:cs="Calibri"/>
                <w:color w:val="000000"/>
                <w:sz w:val="20"/>
                <w:szCs w:val="20"/>
              </w:rPr>
            </w:pPr>
          </w:p>
        </w:tc>
        <w:tc>
          <w:tcPr>
            <w:tcW w:w="595" w:type="pct"/>
            <w:tcBorders>
              <w:top w:val="nil"/>
              <w:left w:val="nil"/>
              <w:bottom w:val="single" w:sz="4" w:space="0" w:color="auto"/>
              <w:right w:val="single" w:sz="4" w:space="0" w:color="auto"/>
            </w:tcBorders>
            <w:shd w:val="clear" w:color="000000" w:fill="D9D9D9"/>
            <w:noWrap/>
            <w:vAlign w:val="bottom"/>
            <w:hideMark/>
          </w:tcPr>
          <w:p w:rsidR="00C85FD7" w:rsidRPr="000763AE" w:rsidRDefault="00C85FD7" w:rsidP="00EC19E3">
            <w:pPr>
              <w:jc w:val="center"/>
              <w:rPr>
                <w:rFonts w:ascii="Calibri" w:hAnsi="Calibri" w:cs="Calibri"/>
                <w:color w:val="000000"/>
                <w:sz w:val="20"/>
                <w:szCs w:val="20"/>
              </w:rPr>
            </w:pPr>
          </w:p>
        </w:tc>
      </w:tr>
      <w:tr w:rsidR="00C85FD7" w:rsidRPr="00C85FD7" w:rsidTr="00A377FD">
        <w:trPr>
          <w:trHeight w:val="3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 xml:space="preserve"> &lt;15</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59</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5%</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1,418</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96%</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1,477(100%)</w:t>
            </w:r>
          </w:p>
        </w:tc>
      </w:tr>
      <w:tr w:rsidR="00C85FD7" w:rsidRPr="00C85FD7" w:rsidTr="00A377FD">
        <w:trPr>
          <w:trHeight w:val="3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16-40</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121</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7%</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1,594</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93%</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1,715(100%)</w:t>
            </w:r>
          </w:p>
        </w:tc>
      </w:tr>
      <w:tr w:rsidR="00C85FD7" w:rsidRPr="00C85FD7" w:rsidTr="00A377FD">
        <w:trPr>
          <w:trHeight w:val="300"/>
        </w:trPr>
        <w:tc>
          <w:tcPr>
            <w:tcW w:w="1056" w:type="pct"/>
            <w:tcBorders>
              <w:top w:val="nil"/>
              <w:left w:val="single" w:sz="4" w:space="0" w:color="auto"/>
              <w:bottom w:val="single" w:sz="4" w:space="0" w:color="auto"/>
              <w:right w:val="single" w:sz="4" w:space="0" w:color="auto"/>
            </w:tcBorders>
            <w:shd w:val="clear" w:color="000000" w:fill="808080"/>
            <w:vAlign w:val="center"/>
            <w:hideMark/>
          </w:tcPr>
          <w:p w:rsidR="00C85FD7" w:rsidRPr="000763AE" w:rsidRDefault="00C85FD7" w:rsidP="00EC19E3">
            <w:pPr>
              <w:rPr>
                <w:rFonts w:ascii="Calibri" w:hAnsi="Calibri" w:cs="Calibri"/>
                <w:b/>
                <w:color w:val="FFFFFF"/>
                <w:sz w:val="20"/>
                <w:szCs w:val="20"/>
              </w:rPr>
            </w:pPr>
            <w:r w:rsidRPr="000763AE">
              <w:rPr>
                <w:rFonts w:ascii="Calibri" w:hAnsi="Calibri" w:cs="Calibri"/>
                <w:b/>
                <w:color w:val="FFFFFF"/>
                <w:sz w:val="20"/>
                <w:szCs w:val="20"/>
              </w:rPr>
              <w:t>&gt;41</w:t>
            </w:r>
          </w:p>
        </w:tc>
        <w:tc>
          <w:tcPr>
            <w:tcW w:w="60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21</w:t>
            </w:r>
          </w:p>
        </w:tc>
        <w:tc>
          <w:tcPr>
            <w:tcW w:w="618"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7%</w:t>
            </w: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376" w:type="pct"/>
            <w:tcBorders>
              <w:top w:val="nil"/>
              <w:left w:val="nil"/>
              <w:bottom w:val="single" w:sz="4" w:space="0" w:color="auto"/>
              <w:right w:val="single" w:sz="4" w:space="0" w:color="auto"/>
            </w:tcBorders>
            <w:shd w:val="clear" w:color="000000" w:fill="D9D9D9"/>
            <w:noWrap/>
            <w:vAlign w:val="center"/>
            <w:hideMark/>
          </w:tcPr>
          <w:p w:rsidR="00C85FD7" w:rsidRPr="000763AE" w:rsidRDefault="00C85FD7" w:rsidP="00EC19E3">
            <w:pPr>
              <w:jc w:val="center"/>
              <w:rPr>
                <w:rFonts w:ascii="Calibri" w:hAnsi="Calibri" w:cs="Calibri"/>
                <w:color w:val="000000"/>
                <w:sz w:val="20"/>
                <w:szCs w:val="20"/>
              </w:rPr>
            </w:pPr>
          </w:p>
        </w:tc>
        <w:tc>
          <w:tcPr>
            <w:tcW w:w="673"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268</w:t>
            </w:r>
          </w:p>
        </w:tc>
        <w:tc>
          <w:tcPr>
            <w:tcW w:w="704" w:type="pct"/>
            <w:tcBorders>
              <w:top w:val="nil"/>
              <w:left w:val="nil"/>
              <w:bottom w:val="single" w:sz="4" w:space="0" w:color="auto"/>
              <w:right w:val="single" w:sz="4" w:space="0" w:color="auto"/>
            </w:tcBorders>
            <w:shd w:val="clear" w:color="auto" w:fill="auto"/>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93%</w:t>
            </w:r>
          </w:p>
        </w:tc>
        <w:tc>
          <w:tcPr>
            <w:tcW w:w="595" w:type="pct"/>
            <w:tcBorders>
              <w:top w:val="nil"/>
              <w:left w:val="nil"/>
              <w:bottom w:val="single" w:sz="4" w:space="0" w:color="auto"/>
              <w:right w:val="single" w:sz="4" w:space="0" w:color="auto"/>
            </w:tcBorders>
            <w:shd w:val="clear" w:color="auto" w:fill="auto"/>
            <w:noWrap/>
            <w:vAlign w:val="center"/>
            <w:hideMark/>
          </w:tcPr>
          <w:p w:rsidR="00C85FD7" w:rsidRPr="000763AE" w:rsidRDefault="00C85FD7" w:rsidP="00EC19E3">
            <w:pPr>
              <w:jc w:val="center"/>
              <w:rPr>
                <w:rFonts w:ascii="Calibri" w:hAnsi="Calibri" w:cs="Calibri"/>
                <w:color w:val="000000"/>
                <w:sz w:val="20"/>
                <w:szCs w:val="20"/>
              </w:rPr>
            </w:pPr>
            <w:r w:rsidRPr="000763AE">
              <w:rPr>
                <w:rFonts w:ascii="Calibri" w:hAnsi="Calibri" w:cs="Calibri"/>
                <w:color w:val="000000"/>
                <w:sz w:val="20"/>
                <w:szCs w:val="20"/>
              </w:rPr>
              <w:t>289(100%)</w:t>
            </w:r>
          </w:p>
        </w:tc>
      </w:tr>
    </w:tbl>
    <w:p w:rsidR="00C85FD7" w:rsidRPr="000763AE" w:rsidRDefault="00C85FD7" w:rsidP="00EC19E3">
      <w:pPr>
        <w:autoSpaceDE w:val="0"/>
        <w:autoSpaceDN w:val="0"/>
        <w:adjustRightInd w:val="0"/>
        <w:jc w:val="both"/>
        <w:rPr>
          <w:rFonts w:eastAsia="Calibri"/>
          <w:b/>
        </w:rPr>
      </w:pPr>
    </w:p>
    <w:p w:rsidR="00744CA1" w:rsidRDefault="00744CA1" w:rsidP="00B11B34">
      <w:pPr>
        <w:spacing w:line="360" w:lineRule="auto"/>
      </w:pPr>
    </w:p>
    <w:p w:rsidR="00517CBD" w:rsidRDefault="000365EC" w:rsidP="00B11B34">
      <w:pPr>
        <w:spacing w:line="360" w:lineRule="auto"/>
      </w:pPr>
      <w:r>
        <w:lastRenderedPageBreak/>
        <w:tab/>
      </w:r>
      <w:r w:rsidR="00744CA1">
        <w:t xml:space="preserve">Lastly, a bivariate analysis was run to assess if there were any </w:t>
      </w:r>
      <w:r w:rsidR="00BF7346">
        <w:t>statistically</w:t>
      </w:r>
      <w:r w:rsidR="00744CA1">
        <w:t xml:space="preserve"> significant finding</w:t>
      </w:r>
      <w:r w:rsidR="00AC7A73">
        <w:t>s</w:t>
      </w:r>
      <w:r w:rsidR="00744CA1">
        <w:t xml:space="preserve"> </w:t>
      </w:r>
      <w:r w:rsidR="00744CA1" w:rsidRPr="00744CA1">
        <w:t>betwee</w:t>
      </w:r>
      <w:r w:rsidR="00744CA1">
        <w:t>n region</w:t>
      </w:r>
      <w:r w:rsidR="00BF7346">
        <w:t xml:space="preserve">, </w:t>
      </w:r>
      <w:r w:rsidR="00744CA1">
        <w:t xml:space="preserve">race, ethnicity, physician type, provider type, payment type, and diabetes education. </w:t>
      </w:r>
      <w:r w:rsidR="00B85E35">
        <w:t xml:space="preserve"> </w:t>
      </w:r>
      <w:r w:rsidR="00517CBD">
        <w:t xml:space="preserve">The results are shown in </w:t>
      </w:r>
      <w:r w:rsidR="00BF7346">
        <w:t>T</w:t>
      </w:r>
      <w:r w:rsidR="00517CBD">
        <w:t xml:space="preserve">able 17 below. </w:t>
      </w:r>
      <w:r w:rsidR="00B85E35">
        <w:t>The Cramer V</w:t>
      </w:r>
      <w:r w:rsidR="00517CBD">
        <w:t xml:space="preserve"> analysis indicates </w:t>
      </w:r>
      <w:r w:rsidR="00B85E35">
        <w:t>there is a significant correlation</w:t>
      </w:r>
      <w:r w:rsidR="00517CBD">
        <w:t xml:space="preserve"> between race</w:t>
      </w:r>
      <w:r w:rsidR="00B85E35">
        <w:t xml:space="preserve"> and region</w:t>
      </w:r>
      <w:r w:rsidR="00517CBD">
        <w:t>, provider type and region, and payer type and region</w:t>
      </w:r>
      <w:r w:rsidR="00B85E35">
        <w:t xml:space="preserve">.   The largest numbers of White visits were performed in the Midwest (33%).  The largest number of Blacks visits were seen in </w:t>
      </w:r>
      <w:r w:rsidR="00862C31">
        <w:t xml:space="preserve">that South (53%) and the largest number of visits that fell in the </w:t>
      </w:r>
      <w:proofErr w:type="gramStart"/>
      <w:r w:rsidR="00862C31">
        <w:t>Other</w:t>
      </w:r>
      <w:proofErr w:type="gramEnd"/>
      <w:r w:rsidR="00862C31">
        <w:t xml:space="preserve"> category were seen in the West. </w:t>
      </w:r>
      <w:r w:rsidR="00BD4D7D">
        <w:t xml:space="preserve"> </w:t>
      </w:r>
      <w:r w:rsidR="00446905">
        <w:t xml:space="preserve">For provider types, the largest number </w:t>
      </w:r>
      <w:r w:rsidR="00335DBD">
        <w:t>of</w:t>
      </w:r>
      <w:r w:rsidR="00446905">
        <w:t xml:space="preserve"> visits </w:t>
      </w:r>
      <w:r w:rsidR="00C81BF7">
        <w:t xml:space="preserve">where a physician was seen </w:t>
      </w:r>
      <w:r w:rsidR="00446905">
        <w:t>w</w:t>
      </w:r>
      <w:r w:rsidR="00C81BF7">
        <w:t>as</w:t>
      </w:r>
      <w:r w:rsidR="00446905">
        <w:t xml:space="preserve"> in the Midwest (31%)</w:t>
      </w:r>
      <w:r w:rsidR="00F83E93">
        <w:t>, physician assistant</w:t>
      </w:r>
      <w:r w:rsidR="00446905">
        <w:t xml:space="preserve"> in </w:t>
      </w:r>
      <w:r w:rsidR="008366C2">
        <w:t xml:space="preserve">the Northeast (65%), and nurse practitioners in the Midwest (57%). </w:t>
      </w:r>
      <w:r w:rsidR="00F83E93">
        <w:t xml:space="preserve"> With respect to payer </w:t>
      </w:r>
      <w:r w:rsidR="00BF7346">
        <w:t>type</w:t>
      </w:r>
      <w:r w:rsidR="00F83E93">
        <w:t>, the largest number of private insurance (30%, Medicare (32%)</w:t>
      </w:r>
      <w:r w:rsidR="00BF7346">
        <w:t xml:space="preserve"> </w:t>
      </w:r>
      <w:r w:rsidR="00F83E93">
        <w:t xml:space="preserve">and </w:t>
      </w:r>
      <w:proofErr w:type="gramStart"/>
      <w:r w:rsidR="00F83E93">
        <w:t>Other</w:t>
      </w:r>
      <w:proofErr w:type="gramEnd"/>
      <w:r w:rsidR="00F83E93">
        <w:t xml:space="preserve"> source of payments (34%) visits were seen in the Midwest. The largest number of visits with Medicaid (33%) </w:t>
      </w:r>
      <w:r w:rsidR="00CD7651">
        <w:t>as a source of payment occurred</w:t>
      </w:r>
      <w:r w:rsidR="00F83E93">
        <w:t xml:space="preserve"> in West</w:t>
      </w:r>
      <w:r w:rsidR="00817B9B">
        <w:t xml:space="preserve">. </w:t>
      </w:r>
    </w:p>
    <w:p w:rsidR="000106AA" w:rsidRDefault="00517CBD" w:rsidP="00B11B34">
      <w:pPr>
        <w:spacing w:line="360" w:lineRule="auto"/>
      </w:pPr>
      <w:r>
        <w:tab/>
      </w:r>
      <w:r w:rsidR="00BD4D7D">
        <w:t xml:space="preserve">Based on the Phi analysis, there is a significant correlation present between region and ethnicity. The largest number of visits for non-Hispanic patients were performed in the Midwest (33%) and </w:t>
      </w:r>
      <w:r w:rsidR="00BF7346">
        <w:t xml:space="preserve">in the West </w:t>
      </w:r>
      <w:r w:rsidR="00BD4D7D">
        <w:t xml:space="preserve">for Hispanics patients. </w:t>
      </w:r>
      <w:r>
        <w:t xml:space="preserve"> No statistically significant correlation was found between region and physic</w:t>
      </w:r>
      <w:r w:rsidR="000106AA">
        <w:t>ian types or diabetes education.</w:t>
      </w:r>
    </w:p>
    <w:p w:rsidR="00C85FD7" w:rsidRPr="000C7B26" w:rsidRDefault="000106AA" w:rsidP="000C5643">
      <w:pPr>
        <w:spacing w:after="200"/>
      </w:pPr>
      <w:r>
        <w:br w:type="page"/>
      </w:r>
      <w:proofErr w:type="gramStart"/>
      <w:r w:rsidR="00FB34B9" w:rsidRPr="000106AA">
        <w:rPr>
          <w:b/>
        </w:rPr>
        <w:lastRenderedPageBreak/>
        <w:t>Table 17</w:t>
      </w:r>
      <w:r>
        <w:t>.</w:t>
      </w:r>
      <w:proofErr w:type="gramEnd"/>
      <w:r w:rsidR="00C85FD7" w:rsidRPr="00C85FD7">
        <w:t xml:space="preserve"> Bivariate analysis results of 2015 NAMCS data based on regions during an ambulatory visit for patients with diabetes based on patient, provider</w:t>
      </w:r>
      <w:r w:rsidR="000C7B26">
        <w:t>, and practice characteristics.</w:t>
      </w:r>
    </w:p>
    <w:tbl>
      <w:tblPr>
        <w:tblW w:w="5000" w:type="pct"/>
        <w:tblLook w:val="04A0" w:firstRow="1" w:lastRow="0" w:firstColumn="1" w:lastColumn="0" w:noHBand="0" w:noVBand="1"/>
      </w:tblPr>
      <w:tblGrid>
        <w:gridCol w:w="1441"/>
        <w:gridCol w:w="1070"/>
        <w:gridCol w:w="1207"/>
        <w:gridCol w:w="963"/>
        <w:gridCol w:w="1088"/>
        <w:gridCol w:w="955"/>
        <w:gridCol w:w="955"/>
        <w:gridCol w:w="1177"/>
      </w:tblGrid>
      <w:tr w:rsidR="00C85FD7" w:rsidRPr="00C85FD7" w:rsidTr="000763AE">
        <w:trPr>
          <w:trHeight w:val="600"/>
        </w:trPr>
        <w:tc>
          <w:tcPr>
            <w:tcW w:w="855" w:type="pct"/>
            <w:vMerge w:val="restart"/>
            <w:tcBorders>
              <w:top w:val="single" w:sz="2" w:space="0" w:color="auto"/>
              <w:left w:val="single" w:sz="2" w:space="0" w:color="auto"/>
              <w:bottom w:val="single" w:sz="2" w:space="0" w:color="auto"/>
              <w:right w:val="single" w:sz="2" w:space="0" w:color="auto"/>
            </w:tcBorders>
            <w:shd w:val="clear" w:color="auto" w:fill="595959"/>
            <w:vAlign w:val="center"/>
            <w:hideMark/>
          </w:tcPr>
          <w:p w:rsidR="00B85E35" w:rsidRPr="000763AE" w:rsidRDefault="00C85FD7" w:rsidP="00EC19E3">
            <w:pPr>
              <w:jc w:val="center"/>
              <w:rPr>
                <w:rFonts w:ascii="Arial" w:hAnsi="Arial" w:cs="Arial"/>
                <w:b/>
                <w:color w:val="FFFFFF"/>
                <w:sz w:val="16"/>
                <w:szCs w:val="18"/>
              </w:rPr>
            </w:pPr>
            <w:r w:rsidRPr="000763AE">
              <w:rPr>
                <w:rFonts w:ascii="Arial" w:hAnsi="Arial" w:cs="Arial"/>
                <w:b/>
                <w:color w:val="FFFFFF"/>
                <w:sz w:val="16"/>
                <w:szCs w:val="18"/>
              </w:rPr>
              <w:t xml:space="preserve">Number </w:t>
            </w:r>
          </w:p>
          <w:p w:rsidR="00C85FD7" w:rsidRPr="00C85FD7" w:rsidRDefault="00C85FD7" w:rsidP="00EC19E3">
            <w:pPr>
              <w:jc w:val="center"/>
              <w:rPr>
                <w:rFonts w:ascii="Arial" w:hAnsi="Arial" w:cs="Arial"/>
                <w:b/>
                <w:color w:val="333399"/>
                <w:sz w:val="16"/>
                <w:szCs w:val="18"/>
              </w:rPr>
            </w:pPr>
            <w:r w:rsidRPr="000763AE">
              <w:rPr>
                <w:rFonts w:ascii="Arial" w:hAnsi="Arial" w:cs="Arial"/>
                <w:b/>
                <w:color w:val="FFFFFF"/>
                <w:sz w:val="16"/>
                <w:szCs w:val="18"/>
              </w:rPr>
              <w:t>(Row %s)</w:t>
            </w:r>
          </w:p>
        </w:tc>
        <w:tc>
          <w:tcPr>
            <w:tcW w:w="587" w:type="pct"/>
            <w:tcBorders>
              <w:top w:val="single" w:sz="4" w:space="0" w:color="auto"/>
              <w:left w:val="single" w:sz="2" w:space="0" w:color="auto"/>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 xml:space="preserve">Correlation </w:t>
            </w:r>
          </w:p>
        </w:tc>
        <w:tc>
          <w:tcPr>
            <w:tcW w:w="722" w:type="pct"/>
            <w:tcBorders>
              <w:top w:val="single" w:sz="4" w:space="0" w:color="auto"/>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P-Value</w:t>
            </w:r>
          </w:p>
        </w:tc>
        <w:tc>
          <w:tcPr>
            <w:tcW w:w="559" w:type="pct"/>
            <w:vMerge w:val="restart"/>
            <w:tcBorders>
              <w:top w:val="single" w:sz="4" w:space="0" w:color="auto"/>
              <w:left w:val="single" w:sz="4" w:space="0" w:color="auto"/>
              <w:bottom w:val="single" w:sz="4" w:space="0" w:color="000000"/>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Northeast</w:t>
            </w:r>
          </w:p>
        </w:tc>
        <w:tc>
          <w:tcPr>
            <w:tcW w:w="568" w:type="pct"/>
            <w:vMerge w:val="restart"/>
            <w:tcBorders>
              <w:top w:val="single" w:sz="4" w:space="0" w:color="auto"/>
              <w:left w:val="single" w:sz="4" w:space="0" w:color="auto"/>
              <w:bottom w:val="single" w:sz="4" w:space="0" w:color="000000"/>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Midwest</w:t>
            </w:r>
          </w:p>
        </w:tc>
        <w:tc>
          <w:tcPr>
            <w:tcW w:w="543" w:type="pct"/>
            <w:vMerge w:val="restart"/>
            <w:tcBorders>
              <w:top w:val="single" w:sz="4" w:space="0" w:color="auto"/>
              <w:left w:val="single" w:sz="4" w:space="0" w:color="auto"/>
              <w:bottom w:val="single" w:sz="4" w:space="0" w:color="000000"/>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South</w:t>
            </w:r>
          </w:p>
        </w:tc>
        <w:tc>
          <w:tcPr>
            <w:tcW w:w="543" w:type="pct"/>
            <w:vMerge w:val="restart"/>
            <w:tcBorders>
              <w:top w:val="single" w:sz="4" w:space="0" w:color="auto"/>
              <w:left w:val="single" w:sz="4" w:space="0" w:color="auto"/>
              <w:bottom w:val="single" w:sz="4" w:space="0" w:color="000000"/>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West</w:t>
            </w:r>
          </w:p>
        </w:tc>
        <w:tc>
          <w:tcPr>
            <w:tcW w:w="622" w:type="pct"/>
            <w:vMerge w:val="restart"/>
            <w:tcBorders>
              <w:top w:val="single" w:sz="4" w:space="0" w:color="auto"/>
              <w:left w:val="single" w:sz="4" w:space="0" w:color="auto"/>
              <w:bottom w:val="single" w:sz="4" w:space="0" w:color="000000"/>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 xml:space="preserve">Total </w:t>
            </w:r>
          </w:p>
        </w:tc>
      </w:tr>
      <w:tr w:rsidR="00C85FD7" w:rsidRPr="00C85FD7" w:rsidTr="00A377FD">
        <w:trPr>
          <w:trHeight w:val="300"/>
        </w:trPr>
        <w:tc>
          <w:tcPr>
            <w:tcW w:w="0" w:type="auto"/>
            <w:vMerge/>
            <w:tcBorders>
              <w:top w:val="single" w:sz="2" w:space="0" w:color="auto"/>
              <w:left w:val="single" w:sz="2" w:space="0" w:color="auto"/>
              <w:bottom w:val="single" w:sz="2" w:space="0" w:color="auto"/>
              <w:right w:val="single" w:sz="2" w:space="0" w:color="auto"/>
            </w:tcBorders>
            <w:vAlign w:val="center"/>
            <w:hideMark/>
          </w:tcPr>
          <w:p w:rsidR="00C85FD7" w:rsidRPr="00C85FD7" w:rsidRDefault="00C85FD7" w:rsidP="00EC19E3">
            <w:pPr>
              <w:rPr>
                <w:rFonts w:ascii="Arial" w:hAnsi="Arial" w:cs="Arial"/>
                <w:b/>
                <w:color w:val="333399"/>
                <w:sz w:val="16"/>
                <w:szCs w:val="18"/>
              </w:rPr>
            </w:pPr>
          </w:p>
        </w:tc>
        <w:tc>
          <w:tcPr>
            <w:tcW w:w="587" w:type="pct"/>
            <w:tcBorders>
              <w:top w:val="nil"/>
              <w:left w:val="single" w:sz="2" w:space="0" w:color="auto"/>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i/>
                <w:iCs/>
                <w:color w:val="FFFFFF"/>
                <w:sz w:val="16"/>
                <w:szCs w:val="18"/>
              </w:rPr>
            </w:pPr>
            <w:r w:rsidRPr="00C85FD7">
              <w:rPr>
                <w:rFonts w:ascii="Arial" w:hAnsi="Arial" w:cs="Arial"/>
                <w:b/>
                <w:bCs/>
                <w:i/>
                <w:iCs/>
                <w:color w:val="FFFFFF"/>
                <w:sz w:val="16"/>
                <w:szCs w:val="18"/>
              </w:rPr>
              <w:t>V</w:t>
            </w:r>
          </w:p>
        </w:tc>
        <w:tc>
          <w:tcPr>
            <w:tcW w:w="722"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P</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85FD7" w:rsidRPr="00C85FD7" w:rsidRDefault="00C85FD7" w:rsidP="00EC19E3">
            <w:pPr>
              <w:rPr>
                <w:rFonts w:ascii="Arial" w:hAnsi="Arial" w:cs="Arial"/>
                <w:b/>
                <w:bCs/>
                <w:color w:val="FFFFFF"/>
                <w:sz w:val="16"/>
                <w:szCs w:val="18"/>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85FD7" w:rsidRPr="00C85FD7" w:rsidRDefault="00C85FD7" w:rsidP="00EC19E3">
            <w:pPr>
              <w:rPr>
                <w:rFonts w:ascii="Arial" w:hAnsi="Arial" w:cs="Arial"/>
                <w:b/>
                <w:bCs/>
                <w:color w:val="FFFFFF"/>
                <w:sz w:val="16"/>
                <w:szCs w:val="18"/>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85FD7" w:rsidRPr="00C85FD7" w:rsidRDefault="00C85FD7" w:rsidP="00EC19E3">
            <w:pPr>
              <w:rPr>
                <w:rFonts w:ascii="Arial" w:hAnsi="Arial" w:cs="Arial"/>
                <w:b/>
                <w:bCs/>
                <w:color w:val="FFFFFF"/>
                <w:sz w:val="16"/>
                <w:szCs w:val="18"/>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85FD7" w:rsidRPr="00C85FD7" w:rsidRDefault="00C85FD7" w:rsidP="00EC19E3">
            <w:pPr>
              <w:rPr>
                <w:rFonts w:ascii="Arial" w:hAnsi="Arial" w:cs="Arial"/>
                <w:b/>
                <w:bCs/>
                <w:color w:val="FFFFFF"/>
                <w:sz w:val="16"/>
                <w:szCs w:val="18"/>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85FD7" w:rsidRPr="00C85FD7" w:rsidRDefault="00C85FD7" w:rsidP="00EC19E3">
            <w:pPr>
              <w:rPr>
                <w:rFonts w:ascii="Arial" w:hAnsi="Arial" w:cs="Arial"/>
                <w:b/>
                <w:bCs/>
                <w:color w:val="FFFFFF"/>
                <w:sz w:val="16"/>
                <w:szCs w:val="18"/>
              </w:rPr>
            </w:pPr>
          </w:p>
        </w:tc>
      </w:tr>
      <w:tr w:rsidR="00C85FD7" w:rsidRPr="00C85FD7" w:rsidTr="00A377FD">
        <w:trPr>
          <w:trHeight w:val="300"/>
        </w:trPr>
        <w:tc>
          <w:tcPr>
            <w:tcW w:w="855" w:type="pct"/>
            <w:tcBorders>
              <w:top w:val="single" w:sz="2" w:space="0" w:color="auto"/>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Race</w:t>
            </w:r>
          </w:p>
        </w:tc>
        <w:tc>
          <w:tcPr>
            <w:tcW w:w="587"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0.207</w:t>
            </w:r>
          </w:p>
        </w:tc>
        <w:tc>
          <w:tcPr>
            <w:tcW w:w="7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0.000</w:t>
            </w:r>
          </w:p>
        </w:tc>
        <w:tc>
          <w:tcPr>
            <w:tcW w:w="559" w:type="pct"/>
            <w:tcBorders>
              <w:top w:val="nil"/>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68" w:type="pct"/>
            <w:tcBorders>
              <w:top w:val="nil"/>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nil"/>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nil"/>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622" w:type="pct"/>
            <w:tcBorders>
              <w:top w:val="nil"/>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White</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499 (18%)</w:t>
            </w:r>
          </w:p>
        </w:tc>
        <w:tc>
          <w:tcPr>
            <w:tcW w:w="568"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941(33%)</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684(24%)</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711(25%)</w:t>
            </w:r>
          </w:p>
        </w:tc>
        <w:tc>
          <w:tcPr>
            <w:tcW w:w="622"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2,835 (100%)</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Black</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79 (17%)</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104(22%)</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249(53%)</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39(8%)</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471 (100%)</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Other</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24 (14%)</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25(14%)</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25(14%)</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101(58%)</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175 (100%)</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87"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ɸ</w:t>
            </w:r>
          </w:p>
        </w:tc>
        <w:tc>
          <w:tcPr>
            <w:tcW w:w="722"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P</w:t>
            </w:r>
          </w:p>
        </w:tc>
        <w:tc>
          <w:tcPr>
            <w:tcW w:w="559"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Northeast</w:t>
            </w:r>
          </w:p>
        </w:tc>
        <w:tc>
          <w:tcPr>
            <w:tcW w:w="568"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Midwest</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South</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West</w:t>
            </w:r>
          </w:p>
        </w:tc>
        <w:tc>
          <w:tcPr>
            <w:tcW w:w="622"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 xml:space="preserve">Total </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Ethnicity</w:t>
            </w:r>
          </w:p>
        </w:tc>
        <w:tc>
          <w:tcPr>
            <w:tcW w:w="587"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0.164</w:t>
            </w:r>
          </w:p>
        </w:tc>
        <w:tc>
          <w:tcPr>
            <w:tcW w:w="7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0.000</w:t>
            </w:r>
          </w:p>
        </w:tc>
        <w:tc>
          <w:tcPr>
            <w:tcW w:w="559" w:type="pct"/>
            <w:tcBorders>
              <w:top w:val="single" w:sz="4" w:space="0" w:color="auto"/>
              <w:left w:val="nil"/>
              <w:bottom w:val="single" w:sz="4" w:space="0" w:color="auto"/>
              <w:right w:val="single" w:sz="4" w:space="0" w:color="auto"/>
            </w:tcBorders>
            <w:shd w:val="clear" w:color="auto" w:fill="D9D9D9"/>
            <w:noWrap/>
            <w:vAlign w:val="center"/>
            <w:hideMark/>
          </w:tcPr>
          <w:p w:rsidR="00C85FD7" w:rsidRPr="00C85FD7" w:rsidRDefault="00C85FD7" w:rsidP="00EC19E3">
            <w:pPr>
              <w:jc w:val="center"/>
              <w:rPr>
                <w:rFonts w:ascii="Arial" w:hAnsi="Arial" w:cs="Arial"/>
                <w:color w:val="993300"/>
                <w:sz w:val="16"/>
                <w:szCs w:val="18"/>
              </w:rPr>
            </w:pPr>
            <w:r w:rsidRPr="00C85FD7">
              <w:rPr>
                <w:rFonts w:ascii="Arial" w:hAnsi="Arial" w:cs="Arial"/>
                <w:color w:val="993300"/>
                <w:sz w:val="16"/>
                <w:szCs w:val="18"/>
              </w:rPr>
              <w:t> </w:t>
            </w:r>
          </w:p>
        </w:tc>
        <w:tc>
          <w:tcPr>
            <w:tcW w:w="568" w:type="pct"/>
            <w:tcBorders>
              <w:top w:val="single" w:sz="4" w:space="0" w:color="auto"/>
              <w:left w:val="nil"/>
              <w:bottom w:val="single" w:sz="4" w:space="0" w:color="auto"/>
              <w:right w:val="single" w:sz="4" w:space="0" w:color="auto"/>
            </w:tcBorders>
            <w:shd w:val="clear" w:color="auto" w:fill="D9D9D9"/>
            <w:noWrap/>
            <w:vAlign w:val="center"/>
            <w:hideMark/>
          </w:tcPr>
          <w:p w:rsidR="00C85FD7" w:rsidRPr="00C85FD7" w:rsidRDefault="00C85FD7" w:rsidP="00EC19E3">
            <w:pPr>
              <w:jc w:val="center"/>
              <w:rPr>
                <w:rFonts w:ascii="Arial" w:hAnsi="Arial" w:cs="Arial"/>
                <w:color w:val="993300"/>
                <w:sz w:val="16"/>
                <w:szCs w:val="18"/>
              </w:rPr>
            </w:pPr>
            <w:r w:rsidRPr="00C85FD7">
              <w:rPr>
                <w:rFonts w:ascii="Arial" w:hAnsi="Arial" w:cs="Arial"/>
                <w:color w:val="993300"/>
                <w:sz w:val="16"/>
                <w:szCs w:val="18"/>
              </w:rPr>
              <w:t> </w:t>
            </w:r>
          </w:p>
        </w:tc>
        <w:tc>
          <w:tcPr>
            <w:tcW w:w="543" w:type="pct"/>
            <w:tcBorders>
              <w:top w:val="single" w:sz="4" w:space="0" w:color="auto"/>
              <w:left w:val="nil"/>
              <w:bottom w:val="single" w:sz="4" w:space="0" w:color="auto"/>
              <w:right w:val="single" w:sz="4" w:space="0" w:color="auto"/>
            </w:tcBorders>
            <w:shd w:val="clear" w:color="auto" w:fill="D9D9D9"/>
            <w:noWrap/>
            <w:vAlign w:val="center"/>
            <w:hideMark/>
          </w:tcPr>
          <w:p w:rsidR="00C85FD7" w:rsidRPr="00C85FD7" w:rsidRDefault="00C85FD7" w:rsidP="00EC19E3">
            <w:pPr>
              <w:jc w:val="center"/>
              <w:rPr>
                <w:rFonts w:ascii="Arial" w:hAnsi="Arial" w:cs="Arial"/>
                <w:color w:val="993300"/>
                <w:sz w:val="16"/>
                <w:szCs w:val="18"/>
              </w:rPr>
            </w:pPr>
            <w:r w:rsidRPr="00C85FD7">
              <w:rPr>
                <w:rFonts w:ascii="Arial" w:hAnsi="Arial" w:cs="Arial"/>
                <w:color w:val="993300"/>
                <w:sz w:val="16"/>
                <w:szCs w:val="18"/>
              </w:rPr>
              <w:t> </w:t>
            </w:r>
          </w:p>
        </w:tc>
        <w:tc>
          <w:tcPr>
            <w:tcW w:w="543" w:type="pct"/>
            <w:tcBorders>
              <w:top w:val="single" w:sz="4" w:space="0" w:color="auto"/>
              <w:left w:val="nil"/>
              <w:bottom w:val="single" w:sz="4" w:space="0" w:color="auto"/>
              <w:right w:val="single" w:sz="4" w:space="0" w:color="auto"/>
            </w:tcBorders>
            <w:shd w:val="clear" w:color="auto" w:fill="D9D9D9"/>
            <w:noWrap/>
            <w:vAlign w:val="center"/>
            <w:hideMark/>
          </w:tcPr>
          <w:p w:rsidR="00C85FD7" w:rsidRPr="00C85FD7" w:rsidRDefault="00C85FD7" w:rsidP="00EC19E3">
            <w:pPr>
              <w:jc w:val="center"/>
              <w:rPr>
                <w:rFonts w:ascii="Arial" w:hAnsi="Arial" w:cs="Arial"/>
                <w:color w:val="993300"/>
                <w:sz w:val="16"/>
                <w:szCs w:val="18"/>
              </w:rPr>
            </w:pPr>
            <w:r w:rsidRPr="00C85FD7">
              <w:rPr>
                <w:rFonts w:ascii="Arial" w:hAnsi="Arial" w:cs="Arial"/>
                <w:color w:val="993300"/>
                <w:sz w:val="16"/>
                <w:szCs w:val="18"/>
              </w:rPr>
              <w:t> </w:t>
            </w:r>
          </w:p>
        </w:tc>
        <w:tc>
          <w:tcPr>
            <w:tcW w:w="622" w:type="pct"/>
            <w:tcBorders>
              <w:top w:val="single" w:sz="4" w:space="0" w:color="auto"/>
              <w:left w:val="nil"/>
              <w:bottom w:val="single" w:sz="4" w:space="0" w:color="auto"/>
              <w:right w:val="single" w:sz="4" w:space="0" w:color="auto"/>
            </w:tcBorders>
            <w:shd w:val="clear" w:color="auto" w:fill="D9D9D9"/>
            <w:noWrap/>
            <w:vAlign w:val="center"/>
            <w:hideMark/>
          </w:tcPr>
          <w:p w:rsidR="00C85FD7" w:rsidRPr="00C85FD7" w:rsidRDefault="00C85FD7" w:rsidP="00EC19E3">
            <w:pPr>
              <w:jc w:val="center"/>
              <w:rPr>
                <w:rFonts w:ascii="Arial" w:hAnsi="Arial" w:cs="Arial"/>
                <w:color w:val="993300"/>
                <w:sz w:val="16"/>
                <w:szCs w:val="18"/>
              </w:rPr>
            </w:pPr>
            <w:r w:rsidRPr="00C85FD7">
              <w:rPr>
                <w:rFonts w:ascii="Arial" w:hAnsi="Arial" w:cs="Arial"/>
                <w:color w:val="993300"/>
                <w:sz w:val="16"/>
                <w:szCs w:val="18"/>
              </w:rPr>
              <w:t> </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xml:space="preserve">Not Hispanic </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542 (17%)</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1022 (33%)</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873 (28%)</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701 (22%)</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3,138 (100%)</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xml:space="preserve">Hispanic </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60 (18%)</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48 (14%)</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85 (25%)</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150 (44%)</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343 (100%)</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87"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ɸ</w:t>
            </w:r>
          </w:p>
        </w:tc>
        <w:tc>
          <w:tcPr>
            <w:tcW w:w="722"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P</w:t>
            </w:r>
          </w:p>
        </w:tc>
        <w:tc>
          <w:tcPr>
            <w:tcW w:w="559"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Northeast</w:t>
            </w:r>
          </w:p>
        </w:tc>
        <w:tc>
          <w:tcPr>
            <w:tcW w:w="568"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Midwest</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South</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West</w:t>
            </w:r>
          </w:p>
        </w:tc>
        <w:tc>
          <w:tcPr>
            <w:tcW w:w="622"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 xml:space="preserve">Total </w:t>
            </w:r>
          </w:p>
        </w:tc>
      </w:tr>
      <w:tr w:rsidR="00C85FD7" w:rsidRPr="00C85FD7" w:rsidTr="00A377FD">
        <w:trPr>
          <w:trHeight w:val="405"/>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Physician Type</w:t>
            </w:r>
          </w:p>
        </w:tc>
        <w:tc>
          <w:tcPr>
            <w:tcW w:w="587"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0.043</w:t>
            </w:r>
          </w:p>
        </w:tc>
        <w:tc>
          <w:tcPr>
            <w:tcW w:w="7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0.089</w:t>
            </w:r>
          </w:p>
        </w:tc>
        <w:tc>
          <w:tcPr>
            <w:tcW w:w="559"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68"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622"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r>
      <w:tr w:rsidR="00C85FD7" w:rsidRPr="00C85FD7" w:rsidTr="00A377FD">
        <w:trPr>
          <w:trHeight w:val="48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D.O. - Doctor of Osteopathy</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28 (17%)</w:t>
            </w:r>
          </w:p>
        </w:tc>
        <w:tc>
          <w:tcPr>
            <w:tcW w:w="568"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66 (39%)</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41 (24%)</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33 (20%)</w:t>
            </w:r>
          </w:p>
        </w:tc>
        <w:tc>
          <w:tcPr>
            <w:tcW w:w="622"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168 (100%)</w:t>
            </w:r>
          </w:p>
        </w:tc>
      </w:tr>
      <w:tr w:rsidR="00C85FD7" w:rsidRPr="00C85FD7" w:rsidTr="00A377FD">
        <w:trPr>
          <w:trHeight w:val="585"/>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M.D. - Doctor of Medicine</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574 (17%)</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1,004 (30%)</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917 (28%)</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818 (25%)</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3,313 (100%)</w:t>
            </w:r>
          </w:p>
        </w:tc>
      </w:tr>
      <w:tr w:rsidR="00C85FD7" w:rsidRPr="00C85FD7" w:rsidTr="00A377FD">
        <w:trPr>
          <w:trHeight w:val="332"/>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87"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i/>
                <w:iCs/>
                <w:color w:val="FFFFFF"/>
                <w:sz w:val="16"/>
                <w:szCs w:val="18"/>
              </w:rPr>
            </w:pPr>
            <w:r w:rsidRPr="00C85FD7">
              <w:rPr>
                <w:rFonts w:ascii="Arial" w:hAnsi="Arial" w:cs="Arial"/>
                <w:b/>
                <w:bCs/>
                <w:i/>
                <w:iCs/>
                <w:color w:val="FFFFFF"/>
                <w:sz w:val="16"/>
                <w:szCs w:val="18"/>
              </w:rPr>
              <w:t>V</w:t>
            </w:r>
          </w:p>
        </w:tc>
        <w:tc>
          <w:tcPr>
            <w:tcW w:w="722"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P</w:t>
            </w:r>
          </w:p>
        </w:tc>
        <w:tc>
          <w:tcPr>
            <w:tcW w:w="559"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Northeast</w:t>
            </w:r>
          </w:p>
        </w:tc>
        <w:tc>
          <w:tcPr>
            <w:tcW w:w="568"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Midwest</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South</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West</w:t>
            </w:r>
          </w:p>
        </w:tc>
        <w:tc>
          <w:tcPr>
            <w:tcW w:w="622"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 xml:space="preserve">Total </w:t>
            </w:r>
          </w:p>
        </w:tc>
      </w:tr>
      <w:tr w:rsidR="00C85FD7" w:rsidRPr="00C85FD7" w:rsidTr="00A377FD">
        <w:trPr>
          <w:trHeight w:val="368"/>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Provider Type</w:t>
            </w:r>
          </w:p>
        </w:tc>
        <w:tc>
          <w:tcPr>
            <w:tcW w:w="587"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0.108</w:t>
            </w:r>
          </w:p>
        </w:tc>
        <w:tc>
          <w:tcPr>
            <w:tcW w:w="7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0.000</w:t>
            </w:r>
          </w:p>
        </w:tc>
        <w:tc>
          <w:tcPr>
            <w:tcW w:w="559"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68"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622"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Physician</w:t>
            </w:r>
          </w:p>
        </w:tc>
        <w:tc>
          <w:tcPr>
            <w:tcW w:w="587" w:type="pct"/>
            <w:tcBorders>
              <w:top w:val="nil"/>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single" w:sz="4" w:space="0" w:color="auto"/>
              <w:left w:val="nil"/>
              <w:bottom w:val="nil"/>
              <w:right w:val="single" w:sz="4" w:space="0" w:color="auto"/>
            </w:tcBorders>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529 (17%)</w:t>
            </w:r>
          </w:p>
        </w:tc>
        <w:tc>
          <w:tcPr>
            <w:tcW w:w="568" w:type="pct"/>
            <w:tcBorders>
              <w:top w:val="single" w:sz="4" w:space="0" w:color="auto"/>
              <w:left w:val="nil"/>
              <w:bottom w:val="nil"/>
              <w:right w:val="single" w:sz="4" w:space="0" w:color="auto"/>
            </w:tcBorders>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982 (31%)</w:t>
            </w:r>
          </w:p>
        </w:tc>
        <w:tc>
          <w:tcPr>
            <w:tcW w:w="543" w:type="pct"/>
            <w:tcBorders>
              <w:top w:val="single" w:sz="4" w:space="0" w:color="auto"/>
              <w:left w:val="nil"/>
              <w:bottom w:val="nil"/>
              <w:right w:val="single" w:sz="4" w:space="0" w:color="auto"/>
            </w:tcBorders>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883 (27%)</w:t>
            </w:r>
          </w:p>
        </w:tc>
        <w:tc>
          <w:tcPr>
            <w:tcW w:w="543" w:type="pct"/>
            <w:tcBorders>
              <w:top w:val="single" w:sz="4" w:space="0" w:color="auto"/>
              <w:left w:val="nil"/>
              <w:bottom w:val="nil"/>
              <w:right w:val="single" w:sz="4" w:space="0" w:color="auto"/>
            </w:tcBorders>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819 (25%)</w:t>
            </w:r>
          </w:p>
        </w:tc>
        <w:tc>
          <w:tcPr>
            <w:tcW w:w="622" w:type="pct"/>
            <w:tcBorders>
              <w:top w:val="single" w:sz="4" w:space="0" w:color="auto"/>
              <w:left w:val="nil"/>
              <w:bottom w:val="nil"/>
              <w:right w:val="single" w:sz="4" w:space="0" w:color="auto"/>
            </w:tcBorders>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3213 (100%)</w:t>
            </w:r>
          </w:p>
        </w:tc>
      </w:tr>
      <w:tr w:rsidR="00C85FD7" w:rsidRPr="00C85FD7" w:rsidTr="00A377FD">
        <w:trPr>
          <w:trHeight w:val="467"/>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Physician Assistant</w:t>
            </w:r>
          </w:p>
        </w:tc>
        <w:tc>
          <w:tcPr>
            <w:tcW w:w="587" w:type="pct"/>
            <w:tcBorders>
              <w:top w:val="single" w:sz="4" w:space="0" w:color="auto"/>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single" w:sz="4" w:space="0" w:color="auto"/>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65 (43%)</w:t>
            </w:r>
          </w:p>
        </w:tc>
        <w:tc>
          <w:tcPr>
            <w:tcW w:w="568"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29 (19%)</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37 (25%)</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20 (13%)</w:t>
            </w:r>
          </w:p>
        </w:tc>
        <w:tc>
          <w:tcPr>
            <w:tcW w:w="622"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151 (100%)</w:t>
            </w:r>
          </w:p>
        </w:tc>
      </w:tr>
      <w:tr w:rsidR="00C85FD7" w:rsidRPr="00C85FD7" w:rsidTr="00A377FD">
        <w:trPr>
          <w:trHeight w:val="33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Nurse Practitioner</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 (9%)</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51 (57%)</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23 (26%)</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 (9%)</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90 (100%)</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Other</w:t>
            </w:r>
          </w:p>
        </w:tc>
        <w:tc>
          <w:tcPr>
            <w:tcW w:w="587" w:type="pct"/>
            <w:tcBorders>
              <w:top w:val="nil"/>
              <w:left w:val="nil"/>
              <w:bottom w:val="single" w:sz="4" w:space="0" w:color="auto"/>
              <w:right w:val="single" w:sz="4" w:space="0" w:color="auto"/>
            </w:tcBorders>
            <w:shd w:val="clear" w:color="auto" w:fill="D9D9D9"/>
            <w:noWrap/>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noWrap/>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0 (0%)</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 (30%)</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15 (56%)</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4 (15%)</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27 (100%)</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87"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i/>
                <w:iCs/>
                <w:color w:val="FFFFFF"/>
                <w:sz w:val="16"/>
                <w:szCs w:val="18"/>
              </w:rPr>
            </w:pPr>
            <w:r w:rsidRPr="00C85FD7">
              <w:rPr>
                <w:rFonts w:ascii="Arial" w:hAnsi="Arial" w:cs="Arial"/>
                <w:b/>
                <w:bCs/>
                <w:i/>
                <w:iCs/>
                <w:color w:val="FFFFFF"/>
                <w:sz w:val="16"/>
                <w:szCs w:val="18"/>
              </w:rPr>
              <w:t>V</w:t>
            </w:r>
          </w:p>
        </w:tc>
        <w:tc>
          <w:tcPr>
            <w:tcW w:w="722"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P</w:t>
            </w:r>
          </w:p>
        </w:tc>
        <w:tc>
          <w:tcPr>
            <w:tcW w:w="559"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Northeast</w:t>
            </w:r>
          </w:p>
        </w:tc>
        <w:tc>
          <w:tcPr>
            <w:tcW w:w="568"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Midwest</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South</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West</w:t>
            </w:r>
          </w:p>
        </w:tc>
        <w:tc>
          <w:tcPr>
            <w:tcW w:w="622"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 xml:space="preserve">Total </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Payer Type</w:t>
            </w:r>
          </w:p>
        </w:tc>
        <w:tc>
          <w:tcPr>
            <w:tcW w:w="587"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0.054</w:t>
            </w:r>
          </w:p>
        </w:tc>
        <w:tc>
          <w:tcPr>
            <w:tcW w:w="7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0.000</w:t>
            </w:r>
          </w:p>
        </w:tc>
        <w:tc>
          <w:tcPr>
            <w:tcW w:w="559"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68"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622"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r>
      <w:tr w:rsidR="00C85FD7" w:rsidRPr="00C85FD7" w:rsidTr="00A377FD">
        <w:trPr>
          <w:trHeight w:val="584"/>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Private Insurance</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230 (20%)</w:t>
            </w:r>
          </w:p>
        </w:tc>
        <w:tc>
          <w:tcPr>
            <w:tcW w:w="568"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341 (30%)</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325 (28%)</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260 (22%)</w:t>
            </w:r>
          </w:p>
        </w:tc>
        <w:tc>
          <w:tcPr>
            <w:tcW w:w="622"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1,156 (100%)</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Medicare</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263 (15%)</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541 (32%)</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472 (28%)</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427 (25%)</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1,703 (100%)</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Medicaid</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58 (18%)</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84 (26%)</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73 (23%)</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105 (33%)</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320 (100%)</w:t>
            </w:r>
          </w:p>
        </w:tc>
      </w:tr>
      <w:tr w:rsidR="00C85FD7" w:rsidRPr="00C85FD7" w:rsidTr="00A377FD">
        <w:trPr>
          <w:trHeight w:val="48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xml:space="preserve">Other </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51 (17%)</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104 (34%)</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88 (29%)</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59 (20%)</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302 (100%)</w:t>
            </w:r>
          </w:p>
        </w:tc>
      </w:tr>
      <w:tr w:rsidR="00C85FD7" w:rsidRPr="00C85FD7" w:rsidTr="00A377FD">
        <w:trPr>
          <w:trHeight w:val="359"/>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87"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Cs/>
                <w:color w:val="FFFFFF"/>
                <w:sz w:val="16"/>
                <w:szCs w:val="18"/>
              </w:rPr>
            </w:pPr>
            <w:r w:rsidRPr="00C85FD7">
              <w:rPr>
                <w:rFonts w:ascii="Arial" w:hAnsi="Arial" w:cs="Arial"/>
                <w:bCs/>
                <w:color w:val="FFFFFF"/>
                <w:sz w:val="16"/>
                <w:szCs w:val="18"/>
              </w:rPr>
              <w:t>ɸ</w:t>
            </w:r>
          </w:p>
        </w:tc>
        <w:tc>
          <w:tcPr>
            <w:tcW w:w="722" w:type="pct"/>
            <w:tcBorders>
              <w:top w:val="nil"/>
              <w:left w:val="nil"/>
              <w:bottom w:val="single" w:sz="4" w:space="0" w:color="auto"/>
              <w:right w:val="single" w:sz="4" w:space="0" w:color="auto"/>
            </w:tcBorders>
            <w:shd w:val="clear" w:color="auto" w:fill="595959"/>
            <w:noWrap/>
            <w:vAlign w:val="center"/>
            <w:hideMark/>
          </w:tcPr>
          <w:p w:rsidR="00C85FD7" w:rsidRPr="00C85FD7" w:rsidRDefault="00C85FD7" w:rsidP="00EC19E3">
            <w:pPr>
              <w:jc w:val="center"/>
              <w:rPr>
                <w:rFonts w:ascii="Arial" w:hAnsi="Arial" w:cs="Arial"/>
                <w:bCs/>
                <w:color w:val="FFFFFF"/>
                <w:sz w:val="16"/>
                <w:szCs w:val="18"/>
              </w:rPr>
            </w:pPr>
            <w:r w:rsidRPr="00C85FD7">
              <w:rPr>
                <w:rFonts w:ascii="Arial" w:hAnsi="Arial" w:cs="Arial"/>
                <w:bCs/>
                <w:color w:val="FFFFFF"/>
                <w:sz w:val="16"/>
                <w:szCs w:val="18"/>
              </w:rPr>
              <w:t>P</w:t>
            </w:r>
          </w:p>
        </w:tc>
        <w:tc>
          <w:tcPr>
            <w:tcW w:w="559"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Northeast</w:t>
            </w:r>
          </w:p>
        </w:tc>
        <w:tc>
          <w:tcPr>
            <w:tcW w:w="568"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Midwest</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South</w:t>
            </w:r>
          </w:p>
        </w:tc>
        <w:tc>
          <w:tcPr>
            <w:tcW w:w="543"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West</w:t>
            </w:r>
          </w:p>
        </w:tc>
        <w:tc>
          <w:tcPr>
            <w:tcW w:w="622" w:type="pct"/>
            <w:tcBorders>
              <w:top w:val="nil"/>
              <w:left w:val="nil"/>
              <w:bottom w:val="nil"/>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xml:space="preserve">Total </w:t>
            </w:r>
          </w:p>
        </w:tc>
      </w:tr>
      <w:tr w:rsidR="00C85FD7" w:rsidRPr="00C85FD7" w:rsidTr="00A377FD">
        <w:trPr>
          <w:trHeight w:val="30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b/>
                <w:bCs/>
                <w:color w:val="FFFFFF"/>
                <w:sz w:val="16"/>
                <w:szCs w:val="18"/>
              </w:rPr>
            </w:pPr>
            <w:r w:rsidRPr="00C85FD7">
              <w:rPr>
                <w:rFonts w:ascii="Arial" w:hAnsi="Arial" w:cs="Arial"/>
                <w:b/>
                <w:bCs/>
                <w:color w:val="FFFFFF"/>
                <w:sz w:val="16"/>
                <w:szCs w:val="18"/>
              </w:rPr>
              <w:t xml:space="preserve">Diabetes Education </w:t>
            </w:r>
          </w:p>
        </w:tc>
        <w:tc>
          <w:tcPr>
            <w:tcW w:w="587"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0.057</w:t>
            </w:r>
          </w:p>
        </w:tc>
        <w:tc>
          <w:tcPr>
            <w:tcW w:w="7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bCs/>
                <w:sz w:val="16"/>
                <w:szCs w:val="18"/>
              </w:rPr>
            </w:pPr>
            <w:r w:rsidRPr="00C85FD7">
              <w:rPr>
                <w:rFonts w:ascii="Arial" w:hAnsi="Arial" w:cs="Arial"/>
                <w:bCs/>
                <w:sz w:val="16"/>
                <w:szCs w:val="18"/>
              </w:rPr>
              <w:t>0.011</w:t>
            </w:r>
          </w:p>
        </w:tc>
        <w:tc>
          <w:tcPr>
            <w:tcW w:w="559"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68"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43"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622" w:type="pct"/>
            <w:tcBorders>
              <w:top w:val="single" w:sz="4" w:space="0" w:color="auto"/>
              <w:left w:val="nil"/>
              <w:bottom w:val="nil"/>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r>
      <w:tr w:rsidR="00C85FD7" w:rsidRPr="00C85FD7" w:rsidTr="00A377FD">
        <w:trPr>
          <w:trHeight w:val="48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xml:space="preserve">No Diabetes Education  </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553 (17%)</w:t>
            </w:r>
          </w:p>
        </w:tc>
        <w:tc>
          <w:tcPr>
            <w:tcW w:w="568"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1,001 (31%)</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877 (27%)</w:t>
            </w:r>
          </w:p>
        </w:tc>
        <w:tc>
          <w:tcPr>
            <w:tcW w:w="543"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810 (25%)</w:t>
            </w:r>
          </w:p>
        </w:tc>
        <w:tc>
          <w:tcPr>
            <w:tcW w:w="622" w:type="pct"/>
            <w:tcBorders>
              <w:top w:val="single" w:sz="4" w:space="0" w:color="auto"/>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3,241 (100%)</w:t>
            </w:r>
          </w:p>
        </w:tc>
      </w:tr>
      <w:tr w:rsidR="00C85FD7" w:rsidRPr="00C85FD7" w:rsidTr="00A377FD">
        <w:trPr>
          <w:trHeight w:val="540"/>
        </w:trPr>
        <w:tc>
          <w:tcPr>
            <w:tcW w:w="855" w:type="pct"/>
            <w:tcBorders>
              <w:top w:val="nil"/>
              <w:left w:val="single" w:sz="4" w:space="0" w:color="auto"/>
              <w:bottom w:val="single" w:sz="4" w:space="0" w:color="auto"/>
              <w:right w:val="single" w:sz="4" w:space="0" w:color="auto"/>
            </w:tcBorders>
            <w:shd w:val="clear" w:color="auto" w:fill="59595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xml:space="preserve">Yes Diabetes Education </w:t>
            </w:r>
          </w:p>
        </w:tc>
        <w:tc>
          <w:tcPr>
            <w:tcW w:w="587"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722" w:type="pct"/>
            <w:tcBorders>
              <w:top w:val="nil"/>
              <w:left w:val="nil"/>
              <w:bottom w:val="single" w:sz="4" w:space="0" w:color="auto"/>
              <w:right w:val="single" w:sz="4" w:space="0" w:color="auto"/>
            </w:tcBorders>
            <w:shd w:val="clear" w:color="auto" w:fill="D9D9D9"/>
            <w:vAlign w:val="center"/>
            <w:hideMark/>
          </w:tcPr>
          <w:p w:rsidR="00C85FD7" w:rsidRPr="00C85FD7" w:rsidRDefault="00C85FD7" w:rsidP="00EC19E3">
            <w:pPr>
              <w:jc w:val="center"/>
              <w:rPr>
                <w:rFonts w:ascii="Arial" w:hAnsi="Arial" w:cs="Arial"/>
                <w:color w:val="FFFFFF"/>
                <w:sz w:val="16"/>
                <w:szCs w:val="18"/>
              </w:rPr>
            </w:pPr>
            <w:r w:rsidRPr="00C85FD7">
              <w:rPr>
                <w:rFonts w:ascii="Arial" w:hAnsi="Arial" w:cs="Arial"/>
                <w:color w:val="FFFFFF"/>
                <w:sz w:val="16"/>
                <w:szCs w:val="18"/>
              </w:rPr>
              <w:t> </w:t>
            </w:r>
          </w:p>
        </w:tc>
        <w:tc>
          <w:tcPr>
            <w:tcW w:w="559"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49 (20%)</w:t>
            </w:r>
          </w:p>
        </w:tc>
        <w:tc>
          <w:tcPr>
            <w:tcW w:w="568"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69 (29%)</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81 (34%)</w:t>
            </w:r>
          </w:p>
        </w:tc>
        <w:tc>
          <w:tcPr>
            <w:tcW w:w="543"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41 (17%)</w:t>
            </w:r>
          </w:p>
        </w:tc>
        <w:tc>
          <w:tcPr>
            <w:tcW w:w="622" w:type="pct"/>
            <w:tcBorders>
              <w:top w:val="nil"/>
              <w:left w:val="nil"/>
              <w:bottom w:val="single" w:sz="4" w:space="0" w:color="auto"/>
              <w:right w:val="single" w:sz="4" w:space="0" w:color="auto"/>
            </w:tcBorders>
            <w:noWrap/>
            <w:vAlign w:val="center"/>
            <w:hideMark/>
          </w:tcPr>
          <w:p w:rsidR="00C85FD7" w:rsidRPr="00C85FD7" w:rsidRDefault="00C85FD7" w:rsidP="00EC19E3">
            <w:pPr>
              <w:jc w:val="center"/>
              <w:rPr>
                <w:rFonts w:ascii="Arial" w:hAnsi="Arial" w:cs="Arial"/>
                <w:sz w:val="16"/>
                <w:szCs w:val="18"/>
              </w:rPr>
            </w:pPr>
            <w:r w:rsidRPr="00C85FD7">
              <w:rPr>
                <w:rFonts w:ascii="Arial" w:hAnsi="Arial" w:cs="Arial"/>
                <w:sz w:val="16"/>
                <w:szCs w:val="18"/>
              </w:rPr>
              <w:t>240 (100%)</w:t>
            </w:r>
          </w:p>
        </w:tc>
      </w:tr>
    </w:tbl>
    <w:p w:rsidR="00C85FD7" w:rsidRPr="000763AE" w:rsidRDefault="00C85FD7" w:rsidP="00B11B34">
      <w:pPr>
        <w:autoSpaceDE w:val="0"/>
        <w:autoSpaceDN w:val="0"/>
        <w:adjustRightInd w:val="0"/>
        <w:spacing w:line="360" w:lineRule="auto"/>
        <w:jc w:val="center"/>
        <w:rPr>
          <w:rFonts w:eastAsia="Calibri"/>
          <w:b/>
        </w:rPr>
      </w:pPr>
    </w:p>
    <w:p w:rsidR="00F7075D" w:rsidRPr="000763AE" w:rsidRDefault="00F7075D" w:rsidP="00B11B34">
      <w:pPr>
        <w:autoSpaceDE w:val="0"/>
        <w:autoSpaceDN w:val="0"/>
        <w:adjustRightInd w:val="0"/>
        <w:spacing w:line="360" w:lineRule="auto"/>
        <w:jc w:val="center"/>
        <w:rPr>
          <w:rFonts w:eastAsia="Calibri"/>
          <w:b/>
        </w:rPr>
      </w:pPr>
      <w:r w:rsidRPr="000763AE">
        <w:rPr>
          <w:rFonts w:eastAsia="Calibri"/>
          <w:b/>
        </w:rPr>
        <w:lastRenderedPageBreak/>
        <w:t>MULTIVARIATE</w:t>
      </w:r>
      <w:r w:rsidR="00A80FBF" w:rsidRPr="000763AE">
        <w:rPr>
          <w:rFonts w:eastAsia="Calibri"/>
          <w:b/>
        </w:rPr>
        <w:t xml:space="preserve"> ANALYSIS</w:t>
      </w:r>
    </w:p>
    <w:p w:rsidR="00EC19E3" w:rsidRPr="000763AE" w:rsidRDefault="00EC19E3" w:rsidP="00B11B34">
      <w:pPr>
        <w:autoSpaceDE w:val="0"/>
        <w:autoSpaceDN w:val="0"/>
        <w:adjustRightInd w:val="0"/>
        <w:spacing w:line="360" w:lineRule="auto"/>
        <w:jc w:val="center"/>
        <w:rPr>
          <w:rFonts w:eastAsia="Calibri"/>
          <w:b/>
        </w:rPr>
      </w:pP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 xml:space="preserve">A multivariate analysis examines the likelihood or probability of an event or action occurring when a particular set of variables are present. A binary logistic regression is used when the outcome variable is dichotomous and the coefficients of the independent variables provide information on the odds of an event occurring. As it applies to this research, receipt of a foot exam is an indication of quality care during a visit with a diagnosis of diabetes when controlling for other variables. Consequently, the values for the foot exam variable were set to 1 for receipt and </w:t>
      </w:r>
      <w:r w:rsidR="00384332" w:rsidRPr="000763AE">
        <w:rPr>
          <w:rFonts w:eastAsia="Calibri"/>
        </w:rPr>
        <w:t xml:space="preserve">0 for </w:t>
      </w:r>
      <w:r w:rsidRPr="000763AE">
        <w:rPr>
          <w:rFonts w:eastAsia="Calibri"/>
        </w:rPr>
        <w:t>non-receip</w:t>
      </w:r>
      <w:r w:rsidR="00384332" w:rsidRPr="000763AE">
        <w:rPr>
          <w:rFonts w:eastAsia="Calibri"/>
        </w:rPr>
        <w:t>t.</w:t>
      </w:r>
      <w:r w:rsidRPr="000763AE">
        <w:rPr>
          <w:rFonts w:eastAsia="Calibri"/>
        </w:rPr>
        <w:t xml:space="preserve">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r>
      <w:r w:rsidRPr="00C85FD7">
        <w:t>When reviewing the sample size for the multivariate analysis, the fact that only 201 foot exams were performed across all visits with a diagnosis of diabetes raised concerns as to whether the sample size of observations for this research is too small. The most prevalent recommendation regarding sample size for a regression analysis is the 10 Rule which recommends that for every variable used there should be at least 10 observations.  Given that there are 11 independent variables and the dependent variable used for the logistic regression, for a total of 12 variables, a minimum of 120 observations would be required to reduce the risk of overfitting of data and</w:t>
      </w:r>
      <w:r w:rsidR="00272422">
        <w:t xml:space="preserve"> to</w:t>
      </w:r>
      <w:r w:rsidRPr="00C85FD7">
        <w:t xml:space="preserve"> improve the reliability of the model.  Overfitting results when a model matches a data set too closely and can no longer be generalized.  This renders the model unable to fit any other data or </w:t>
      </w:r>
      <w:r w:rsidR="007D4D05">
        <w:t>un</w:t>
      </w:r>
      <w:r w:rsidRPr="00C85FD7">
        <w:t>reliable to predict future observations.  Overfitting can create inaccuracies for key aspects of a logistic regression analysis</w:t>
      </w:r>
      <w:r w:rsidR="001F42C3">
        <w:t>,</w:t>
      </w:r>
      <w:r w:rsidRPr="00C85FD7">
        <w:t xml:space="preserve"> such as p-values and r-squared</w:t>
      </w:r>
      <w:r w:rsidR="001F42C3">
        <w:t>,</w:t>
      </w:r>
      <w:r w:rsidRPr="00C85FD7">
        <w:t xml:space="preserve"> rendering the model to perform poorly.  The 2015 NAMCS data contains 201 observations of visits with diabetes that had a foot exam performed which exceed </w:t>
      </w:r>
      <w:r w:rsidRPr="00C85FD7">
        <w:rPr>
          <w:color w:val="202122"/>
          <w:shd w:val="clear" w:color="auto" w:fill="FFFFFF"/>
        </w:rPr>
        <w:t xml:space="preserve">the </w:t>
      </w:r>
      <w:r w:rsidRPr="00C85FD7">
        <w:t>recommendation of 120 observations (</w:t>
      </w:r>
      <w:proofErr w:type="spellStart"/>
      <w:r w:rsidRPr="00C85FD7">
        <w:t>Rilet</w:t>
      </w:r>
      <w:proofErr w:type="spellEnd"/>
      <w:r w:rsidRPr="00C85FD7">
        <w:t xml:space="preserve"> et al., 2019).  </w:t>
      </w:r>
      <w:r w:rsidRPr="000763AE">
        <w:rPr>
          <w:rFonts w:eastAsia="Calibri"/>
        </w:rPr>
        <w:t>Below is the Full Model for the multivariable analysis</w:t>
      </w:r>
      <w:r w:rsidR="007511F5" w:rsidRPr="000763AE">
        <w:rPr>
          <w:rFonts w:eastAsia="Calibri"/>
        </w:rPr>
        <w:t>.</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 xml:space="preserve">Receipt of a Diabetic Foot Exam = </w:t>
      </w:r>
    </w:p>
    <w:p w:rsidR="00C85FD7" w:rsidRPr="000763AE" w:rsidRDefault="00C85FD7" w:rsidP="00B11B34">
      <w:pPr>
        <w:autoSpaceDE w:val="0"/>
        <w:autoSpaceDN w:val="0"/>
        <w:adjustRightInd w:val="0"/>
        <w:spacing w:after="120" w:line="360" w:lineRule="auto"/>
        <w:ind w:left="720"/>
        <w:jc w:val="both"/>
        <w:rPr>
          <w:rFonts w:eastAsia="Calibri"/>
        </w:rPr>
      </w:pPr>
      <w:r w:rsidRPr="000763AE">
        <w:rPr>
          <w:rFonts w:eastAsia="Calibri"/>
        </w:rPr>
        <w:t>f (Sex, Age, Race, Ethnicity, Provider type, Physician type,</w:t>
      </w:r>
      <w:r w:rsidRPr="00C85FD7">
        <w:t xml:space="preserve"> </w:t>
      </w:r>
      <w:r w:rsidRPr="000763AE">
        <w:rPr>
          <w:rFonts w:eastAsia="Calibri"/>
        </w:rPr>
        <w:t xml:space="preserve">Payer type, Time spent with physician, Practice type, </w:t>
      </w:r>
      <w:r w:rsidRPr="00C85FD7">
        <w:t>Diabetes education</w:t>
      </w:r>
      <w:r w:rsidRPr="000763AE">
        <w:rPr>
          <w:rFonts w:eastAsia="Calibri"/>
        </w:rPr>
        <w:t>, Region)</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The independent variables were entered into SPSS using the bivariate regression analysis to evaluate statistical significance.  The independent variables included in the full model for the</w:t>
      </w:r>
      <w:r w:rsidR="007511F5" w:rsidRPr="000763AE">
        <w:rPr>
          <w:rFonts w:eastAsia="Calibri"/>
        </w:rPr>
        <w:t xml:space="preserve"> following</w:t>
      </w:r>
      <w:r w:rsidRPr="000763AE">
        <w:rPr>
          <w:rFonts w:eastAsia="Calibri"/>
        </w:rPr>
        <w:t xml:space="preserve"> research question are below</w:t>
      </w:r>
      <w:r w:rsidR="007511F5" w:rsidRPr="000763AE">
        <w:rPr>
          <w:rFonts w:eastAsia="Calibri"/>
        </w:rPr>
        <w:t>.</w:t>
      </w:r>
    </w:p>
    <w:p w:rsidR="00C85FD7" w:rsidRPr="00C81BF7" w:rsidRDefault="00C85FD7" w:rsidP="00B11B34">
      <w:pPr>
        <w:pStyle w:val="ListParagraph"/>
        <w:numPr>
          <w:ilvl w:val="0"/>
          <w:numId w:val="6"/>
        </w:numPr>
        <w:autoSpaceDE w:val="0"/>
        <w:autoSpaceDN w:val="0"/>
        <w:adjustRightInd w:val="0"/>
        <w:spacing w:line="360" w:lineRule="auto"/>
        <w:jc w:val="both"/>
        <w:rPr>
          <w:rFonts w:ascii="Times New Roman" w:hAnsi="Times New Roman"/>
          <w:sz w:val="24"/>
        </w:rPr>
      </w:pPr>
      <w:r w:rsidRPr="00C81BF7">
        <w:rPr>
          <w:rFonts w:ascii="Times New Roman" w:hAnsi="Times New Roman"/>
          <w:sz w:val="24"/>
        </w:rPr>
        <w:lastRenderedPageBreak/>
        <w:t xml:space="preserve">Is there an association between a foot exam being performed during an office visit and patient’s sex, age, race, ethnicity, when controlling provider type, physician type, payer type, </w:t>
      </w:r>
      <w:proofErr w:type="gramStart"/>
      <w:r w:rsidRPr="00C81BF7">
        <w:rPr>
          <w:rFonts w:ascii="Times New Roman" w:hAnsi="Times New Roman"/>
          <w:sz w:val="24"/>
        </w:rPr>
        <w:t>time</w:t>
      </w:r>
      <w:proofErr w:type="gramEnd"/>
      <w:r w:rsidRPr="00C81BF7">
        <w:rPr>
          <w:rFonts w:ascii="Times New Roman" w:hAnsi="Times New Roman"/>
          <w:sz w:val="24"/>
        </w:rPr>
        <w:t xml:space="preserve"> spent with physician, practice type, diabetes education, and region?</w:t>
      </w:r>
    </w:p>
    <w:p w:rsidR="00C85FD7" w:rsidRPr="000763AE" w:rsidRDefault="007511F5" w:rsidP="00B11B34">
      <w:pPr>
        <w:autoSpaceDE w:val="0"/>
        <w:autoSpaceDN w:val="0"/>
        <w:adjustRightInd w:val="0"/>
        <w:spacing w:line="360" w:lineRule="auto"/>
        <w:jc w:val="both"/>
        <w:rPr>
          <w:rFonts w:eastAsia="Calibri"/>
          <w:b/>
        </w:rPr>
      </w:pPr>
      <w:r w:rsidRPr="000763AE">
        <w:rPr>
          <w:rFonts w:eastAsia="Calibri"/>
        </w:rPr>
        <w:tab/>
      </w:r>
      <w:r w:rsidR="00C85FD7" w:rsidRPr="000763AE">
        <w:rPr>
          <w:rFonts w:eastAsia="Calibri"/>
        </w:rPr>
        <w:t>The first output of the binary logistic regression analysis provides descriptive information for the dataset if no additional variables were added. The results of the sample size were 3,481</w:t>
      </w:r>
      <w:r w:rsidR="005776FB" w:rsidRPr="000763AE">
        <w:rPr>
          <w:rFonts w:eastAsia="Calibri"/>
        </w:rPr>
        <w:t>,</w:t>
      </w:r>
      <w:r w:rsidR="00C85FD7" w:rsidRPr="000763AE">
        <w:rPr>
          <w:rFonts w:eastAsia="Calibri"/>
        </w:rPr>
        <w:t xml:space="preserve"> which match the sample size of diabetes visits seen in the univariate and bivariate analysis.  In addition, no missing cases were found.  The encoding for the dependent variable was the next segment in the analysis which coded foot exam completed as 1= Yes in this analysis and no receipt of a foot exam as 0= No. The Categorical Variable Coding </w:t>
      </w:r>
      <w:r w:rsidR="005776FB" w:rsidRPr="000763AE">
        <w:rPr>
          <w:rFonts w:eastAsia="Calibri"/>
        </w:rPr>
        <w:t>followed</w:t>
      </w:r>
      <w:r w:rsidR="00C85FD7" w:rsidRPr="000763AE">
        <w:rPr>
          <w:rFonts w:eastAsia="Calibri"/>
        </w:rPr>
        <w:t xml:space="preserve"> in the descriptive section of the output. It provides the reference variable for each independent variable use</w:t>
      </w:r>
      <w:r w:rsidR="00562F59" w:rsidRPr="000763AE">
        <w:rPr>
          <w:rFonts w:eastAsia="Calibri"/>
        </w:rPr>
        <w:t>d</w:t>
      </w:r>
      <w:r w:rsidR="00C85FD7" w:rsidRPr="000763AE">
        <w:rPr>
          <w:rFonts w:eastAsia="Calibri"/>
        </w:rPr>
        <w:t xml:space="preserve"> in the full model.  T</w:t>
      </w:r>
      <w:r w:rsidR="00FB34B9" w:rsidRPr="000763AE">
        <w:rPr>
          <w:rFonts w:eastAsia="Calibri"/>
        </w:rPr>
        <w:t>hese are represented in Table 18</w:t>
      </w:r>
      <w:r w:rsidR="00C85FD7" w:rsidRPr="000763AE">
        <w:rPr>
          <w:rFonts w:eastAsia="Calibri"/>
        </w:rPr>
        <w:t xml:space="preserve">. </w:t>
      </w:r>
    </w:p>
    <w:p w:rsidR="00C85FD7" w:rsidRPr="000763AE" w:rsidRDefault="000106AA" w:rsidP="000C5643">
      <w:pPr>
        <w:spacing w:after="200" w:line="360" w:lineRule="auto"/>
        <w:rPr>
          <w:rFonts w:eastAsia="Calibri"/>
          <w:b/>
        </w:rPr>
      </w:pPr>
      <w:r w:rsidRPr="000763AE">
        <w:rPr>
          <w:rFonts w:eastAsia="Calibri"/>
          <w:b/>
        </w:rPr>
        <w:br w:type="page"/>
      </w:r>
      <w:proofErr w:type="gramStart"/>
      <w:r w:rsidR="00FB34B9" w:rsidRPr="000763AE">
        <w:rPr>
          <w:rFonts w:eastAsia="Calibri"/>
          <w:b/>
        </w:rPr>
        <w:lastRenderedPageBreak/>
        <w:t>Table 18</w:t>
      </w:r>
      <w:r w:rsidR="00C85FD7" w:rsidRPr="000763AE">
        <w:rPr>
          <w:rFonts w:eastAsia="Calibri"/>
        </w:rPr>
        <w:t>.</w:t>
      </w:r>
      <w:proofErr w:type="gramEnd"/>
      <w:r w:rsidR="00C85FD7" w:rsidRPr="000763AE">
        <w:rPr>
          <w:rFonts w:eastAsia="Calibri"/>
        </w:rPr>
        <w:t xml:space="preserve"> </w:t>
      </w:r>
      <w:proofErr w:type="gramStart"/>
      <w:r w:rsidR="00C85FD7" w:rsidRPr="000763AE">
        <w:rPr>
          <w:rFonts w:eastAsia="Calibri"/>
        </w:rPr>
        <w:t>Categorical Variables with definitions and reference variables for the full logit model and likelihood ratio analysis.</w:t>
      </w:r>
      <w:proofErr w:type="gramEnd"/>
      <w:r w:rsidR="00C85FD7" w:rsidRPr="000763AE">
        <w:rPr>
          <w:rFonts w:eastAsia="Calibri"/>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8"/>
        <w:gridCol w:w="4410"/>
        <w:gridCol w:w="2898"/>
      </w:tblGrid>
      <w:tr w:rsidR="00C85FD7" w:rsidRPr="00C85FD7" w:rsidTr="000763AE">
        <w:trPr>
          <w:trHeight w:val="521"/>
        </w:trPr>
        <w:tc>
          <w:tcPr>
            <w:tcW w:w="1548" w:type="dxa"/>
            <w:shd w:val="clear" w:color="auto" w:fill="595959"/>
            <w:vAlign w:val="center"/>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 xml:space="preserve"> Variable</w:t>
            </w:r>
          </w:p>
        </w:tc>
        <w:tc>
          <w:tcPr>
            <w:tcW w:w="4410" w:type="dxa"/>
            <w:shd w:val="clear" w:color="auto" w:fill="595959"/>
            <w:vAlign w:val="center"/>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Description</w:t>
            </w:r>
          </w:p>
        </w:tc>
        <w:tc>
          <w:tcPr>
            <w:tcW w:w="2898" w:type="dxa"/>
            <w:shd w:val="clear" w:color="auto" w:fill="595959"/>
            <w:vAlign w:val="center"/>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Categories &amp; Reference Variable</w:t>
            </w:r>
          </w:p>
        </w:tc>
      </w:tr>
      <w:tr w:rsidR="00C85FD7" w:rsidRPr="00C85FD7" w:rsidTr="000763AE">
        <w:trPr>
          <w:trHeight w:val="458"/>
        </w:trPr>
        <w:tc>
          <w:tcPr>
            <w:tcW w:w="1548" w:type="dxa"/>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Patient sex</w:t>
            </w:r>
          </w:p>
        </w:tc>
        <w:tc>
          <w:tcPr>
            <w:tcW w:w="4410"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Sex</w:t>
            </w: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Male</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Female (Reference)</w:t>
            </w:r>
          </w:p>
        </w:tc>
      </w:tr>
      <w:tr w:rsidR="00C85FD7" w:rsidRPr="00C85FD7" w:rsidTr="000763AE">
        <w:trPr>
          <w:trHeight w:val="620"/>
        </w:trPr>
        <w:tc>
          <w:tcPr>
            <w:tcW w:w="1548" w:type="dxa"/>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Patient age by range</w:t>
            </w:r>
          </w:p>
        </w:tc>
        <w:tc>
          <w:tcPr>
            <w:tcW w:w="4410"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reported in years or derived from date of visit</w:t>
            </w: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1-44</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45-64</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&gt;65 (Reference)</w:t>
            </w:r>
          </w:p>
        </w:tc>
      </w:tr>
      <w:tr w:rsidR="00C85FD7" w:rsidRPr="00C85FD7" w:rsidTr="000763AE">
        <w:trPr>
          <w:trHeight w:val="1070"/>
        </w:trPr>
        <w:tc>
          <w:tcPr>
            <w:tcW w:w="1548" w:type="dxa"/>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Patient race – imputed*</w:t>
            </w:r>
          </w:p>
        </w:tc>
        <w:tc>
          <w:tcPr>
            <w:tcW w:w="4410"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 xml:space="preserve">White-A person having origins in any of the original peoples of Europe, the Middle East, or North Africa. Black- A person having origins in any of the black racial groups of Africa. Other-A person having origins in any of the original peoples of the Far East, Southeast Asia, or the Indian subcontinent including, for example, Cambodia, China, India, Japan, Korea, Malaysia, Pakistan, the Philippine Islands, Thailand, and Vietnam, Native Hawaiian or Other Pacific Islander, A person having origins in any of the original peoples of North America, and who maintains cultural identification through tribal affiliation or community recognition. </w:t>
            </w: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 xml:space="preserve">Black                                          </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 xml:space="preserve"> Other</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White (Reference)</w:t>
            </w:r>
          </w:p>
        </w:tc>
      </w:tr>
      <w:tr w:rsidR="00C85FD7" w:rsidRPr="00C85FD7" w:rsidTr="000763AE">
        <w:trPr>
          <w:trHeight w:val="530"/>
        </w:trPr>
        <w:tc>
          <w:tcPr>
            <w:tcW w:w="1548" w:type="dxa"/>
            <w:vMerge w:val="restart"/>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Patient ethnicity – imputed**</w:t>
            </w:r>
          </w:p>
        </w:tc>
        <w:tc>
          <w:tcPr>
            <w:tcW w:w="4410" w:type="dxa"/>
            <w:vMerge w:val="restart"/>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5"/>
                <w:szCs w:val="15"/>
              </w:rPr>
            </w:pPr>
            <w:r w:rsidRPr="000763AE">
              <w:rPr>
                <w:rFonts w:ascii="Calibri" w:eastAsia="Calibri" w:hAnsi="Calibri" w:cs="Calibri"/>
                <w:sz w:val="15"/>
                <w:szCs w:val="15"/>
              </w:rPr>
              <w:t>Patient ethnicity - Hispanic or Latino A person of Cuban, Mexican, Puerto Rican, South or Central American or other Spanish culture or origin regardless of race. Not Hispanic or Latino-All other persons. Missing data for ethnicity were imputed for this variable</w:t>
            </w: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Not Hispanic or Latino</w:t>
            </w:r>
          </w:p>
        </w:tc>
      </w:tr>
      <w:tr w:rsidR="00C85FD7" w:rsidRPr="00C85FD7" w:rsidTr="000763AE">
        <w:trPr>
          <w:trHeight w:val="197"/>
        </w:trPr>
        <w:tc>
          <w:tcPr>
            <w:tcW w:w="1548" w:type="dxa"/>
            <w:vMerge/>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p>
        </w:tc>
        <w:tc>
          <w:tcPr>
            <w:tcW w:w="4410" w:type="dxa"/>
            <w:vMerge/>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Hispanic or Latino (Reference)</w:t>
            </w:r>
          </w:p>
        </w:tc>
      </w:tr>
      <w:tr w:rsidR="00C85FD7" w:rsidRPr="00C85FD7" w:rsidTr="000763AE">
        <w:trPr>
          <w:trHeight w:val="440"/>
        </w:trPr>
        <w:tc>
          <w:tcPr>
            <w:tcW w:w="1548" w:type="dxa"/>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Type of provider</w:t>
            </w:r>
          </w:p>
        </w:tc>
        <w:tc>
          <w:tcPr>
            <w:tcW w:w="4410"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Other provider. Select this box, if health care was provided by other than a physician, physician’s assistant, or nurse practitioner. Exclude those who provided ancillary services, e.g., x-ray technician, phlebotomist, and respiratory therapist.</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Physician. A physician is a person who has graduated from medical school and is licensed to practice medicine. Include both MDs and DOs.</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Physician assistant. A physician assistant (PA) is a medical professional who is nationally certified and state-licensed to practice medicine.</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Nurse practitioner/Midwife. A nurse practitioner (NP) is an Advanced Practice Registered Nurse (APRN) who has acquired the knowledge base, decision-making skills, and clinical competencies for expanded practice beyond that of an RN.</w:t>
            </w: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Other</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Physician</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Physician Assistant</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Nurse Practitioner (Reference)</w:t>
            </w:r>
          </w:p>
        </w:tc>
      </w:tr>
      <w:tr w:rsidR="00C85FD7" w:rsidRPr="00C85FD7" w:rsidTr="000763AE">
        <w:trPr>
          <w:trHeight w:val="395"/>
        </w:trPr>
        <w:tc>
          <w:tcPr>
            <w:tcW w:w="1548" w:type="dxa"/>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 xml:space="preserve">Type of doctor </w:t>
            </w:r>
          </w:p>
          <w:p w:rsidR="00C85FD7" w:rsidRPr="000763AE" w:rsidRDefault="00C85FD7" w:rsidP="000763AE">
            <w:pPr>
              <w:autoSpaceDE w:val="0"/>
              <w:autoSpaceDN w:val="0"/>
              <w:adjustRightInd w:val="0"/>
              <w:rPr>
                <w:rFonts w:ascii="Calibri" w:eastAsia="Calibri" w:hAnsi="Calibri" w:cs="Calibri"/>
                <w:b/>
                <w:color w:val="FFFFFF"/>
                <w:sz w:val="16"/>
                <w:szCs w:val="20"/>
              </w:rPr>
            </w:pPr>
          </w:p>
        </w:tc>
        <w:tc>
          <w:tcPr>
            <w:tcW w:w="4410"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MD or DO</w:t>
            </w: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Doctor of Osteopathy</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Doctor of Medicine (Reference)</w:t>
            </w:r>
          </w:p>
        </w:tc>
      </w:tr>
      <w:tr w:rsidR="00C85FD7" w:rsidRPr="00C85FD7" w:rsidTr="000763AE">
        <w:trPr>
          <w:trHeight w:val="674"/>
        </w:trPr>
        <w:tc>
          <w:tcPr>
            <w:tcW w:w="1548" w:type="dxa"/>
            <w:shd w:val="clear" w:color="auto" w:fill="595959"/>
            <w:vAlign w:val="center"/>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Type of payment</w:t>
            </w:r>
          </w:p>
        </w:tc>
        <w:tc>
          <w:tcPr>
            <w:tcW w:w="4410"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Payment for this Visit’ using this hierarchy of payment categories: Medicare, Medicaid or CHIP or other state-based program, Private Insurance, Worker’s Compensation, Self-Pay, No Charge/Charity, Other, Unknown)</w:t>
            </w:r>
          </w:p>
        </w:tc>
        <w:tc>
          <w:tcPr>
            <w:tcW w:w="2898"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Medicare</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Medicaid</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Other</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Private Insurance (Reference)</w:t>
            </w:r>
          </w:p>
        </w:tc>
      </w:tr>
      <w:tr w:rsidR="00C85FD7" w:rsidRPr="00C85FD7" w:rsidTr="000763AE">
        <w:trPr>
          <w:trHeight w:val="674"/>
        </w:trPr>
        <w:tc>
          <w:tcPr>
            <w:tcW w:w="1548" w:type="dxa"/>
            <w:shd w:val="clear" w:color="auto" w:fill="595959"/>
            <w:vAlign w:val="center"/>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Time spent with physician by range</w:t>
            </w:r>
          </w:p>
        </w:tc>
        <w:tc>
          <w:tcPr>
            <w:tcW w:w="4410"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Time spent with MD has been top coded in accordance with NCHS</w:t>
            </w:r>
            <w:r w:rsidRPr="000763AE">
              <w:rPr>
                <w:rFonts w:ascii="Calibri" w:eastAsia="Calibri" w:hAnsi="Calibri" w:cs="Calibri"/>
                <w:sz w:val="16"/>
                <w:szCs w:val="20"/>
              </w:rPr>
              <w:br/>
              <w:t>confidentiality requirements</w:t>
            </w:r>
          </w:p>
        </w:tc>
        <w:tc>
          <w:tcPr>
            <w:tcW w:w="2898" w:type="dxa"/>
            <w:shd w:val="clear" w:color="auto" w:fill="auto"/>
            <w:vAlign w:val="center"/>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&lt;15 min</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16-40 min</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&gt;41 min (Reference)</w:t>
            </w:r>
          </w:p>
        </w:tc>
      </w:tr>
      <w:tr w:rsidR="00C85FD7" w:rsidRPr="00C85FD7" w:rsidTr="000763AE">
        <w:trPr>
          <w:trHeight w:val="413"/>
        </w:trPr>
        <w:tc>
          <w:tcPr>
            <w:tcW w:w="1548" w:type="dxa"/>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Type of practice (solo/</w:t>
            </w:r>
            <w:proofErr w:type="spellStart"/>
            <w:r w:rsidRPr="000763AE">
              <w:rPr>
                <w:rFonts w:ascii="Calibri" w:eastAsia="Calibri" w:hAnsi="Calibri" w:cs="Calibri"/>
                <w:b/>
                <w:color w:val="FFFFFF"/>
                <w:sz w:val="16"/>
                <w:szCs w:val="20"/>
              </w:rPr>
              <w:t>nonsolo</w:t>
            </w:r>
            <w:proofErr w:type="spellEnd"/>
            <w:r w:rsidRPr="000763AE">
              <w:rPr>
                <w:rFonts w:ascii="Calibri" w:eastAsia="Calibri" w:hAnsi="Calibri" w:cs="Calibri"/>
                <w:b/>
                <w:color w:val="FFFFFF"/>
                <w:sz w:val="16"/>
                <w:szCs w:val="20"/>
              </w:rPr>
              <w:t>)</w:t>
            </w:r>
          </w:p>
        </w:tc>
        <w:tc>
          <w:tcPr>
            <w:tcW w:w="4410"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Solo practice or multi physician practice, group practice, or other group setting</w:t>
            </w: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Non-solo</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Solo (Reference)</w:t>
            </w:r>
          </w:p>
        </w:tc>
      </w:tr>
      <w:tr w:rsidR="00C85FD7" w:rsidRPr="00C85FD7" w:rsidTr="000763AE">
        <w:trPr>
          <w:trHeight w:val="422"/>
        </w:trPr>
        <w:tc>
          <w:tcPr>
            <w:tcW w:w="1548" w:type="dxa"/>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 xml:space="preserve"> Diabetes education</w:t>
            </w:r>
          </w:p>
        </w:tc>
        <w:tc>
          <w:tcPr>
            <w:tcW w:w="4410"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Diabetes education</w:t>
            </w: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Yes</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No (Reference)</w:t>
            </w:r>
          </w:p>
        </w:tc>
      </w:tr>
      <w:tr w:rsidR="00C85FD7" w:rsidRPr="00C85FD7" w:rsidTr="000763AE">
        <w:trPr>
          <w:trHeight w:val="548"/>
        </w:trPr>
        <w:tc>
          <w:tcPr>
            <w:tcW w:w="1548" w:type="dxa"/>
            <w:shd w:val="clear" w:color="auto" w:fill="595959"/>
            <w:vAlign w:val="center"/>
            <w:hideMark/>
          </w:tcPr>
          <w:p w:rsidR="00C85FD7" w:rsidRPr="000763AE" w:rsidRDefault="00C85FD7" w:rsidP="000763AE">
            <w:pPr>
              <w:autoSpaceDE w:val="0"/>
              <w:autoSpaceDN w:val="0"/>
              <w:adjustRightInd w:val="0"/>
              <w:rPr>
                <w:rFonts w:ascii="Calibri" w:eastAsia="Calibri" w:hAnsi="Calibri" w:cs="Calibri"/>
                <w:b/>
                <w:color w:val="FFFFFF"/>
                <w:sz w:val="16"/>
                <w:szCs w:val="20"/>
              </w:rPr>
            </w:pPr>
            <w:r w:rsidRPr="000763AE">
              <w:rPr>
                <w:rFonts w:ascii="Calibri" w:eastAsia="Calibri" w:hAnsi="Calibri" w:cs="Calibri"/>
                <w:b/>
                <w:color w:val="FFFFFF"/>
                <w:sz w:val="16"/>
                <w:szCs w:val="20"/>
              </w:rPr>
              <w:t>Region</w:t>
            </w:r>
          </w:p>
        </w:tc>
        <w:tc>
          <w:tcPr>
            <w:tcW w:w="4410"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Region where majority of physician's sampled visits occurred</w:t>
            </w:r>
          </w:p>
        </w:tc>
        <w:tc>
          <w:tcPr>
            <w:tcW w:w="2898" w:type="dxa"/>
            <w:shd w:val="clear" w:color="auto" w:fill="auto"/>
            <w:vAlign w:val="center"/>
            <w:hideMark/>
          </w:tcPr>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Northeast</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 xml:space="preserve">Midwest                                     </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 xml:space="preserve">South                                          </w:t>
            </w:r>
          </w:p>
          <w:p w:rsidR="00C85FD7" w:rsidRPr="000763AE" w:rsidRDefault="00C85FD7" w:rsidP="000763AE">
            <w:pPr>
              <w:autoSpaceDE w:val="0"/>
              <w:autoSpaceDN w:val="0"/>
              <w:adjustRightInd w:val="0"/>
              <w:rPr>
                <w:rFonts w:ascii="Calibri" w:eastAsia="Calibri" w:hAnsi="Calibri" w:cs="Calibri"/>
                <w:sz w:val="16"/>
                <w:szCs w:val="20"/>
              </w:rPr>
            </w:pPr>
            <w:r w:rsidRPr="000763AE">
              <w:rPr>
                <w:rFonts w:ascii="Calibri" w:eastAsia="Calibri" w:hAnsi="Calibri" w:cs="Calibri"/>
                <w:sz w:val="16"/>
                <w:szCs w:val="20"/>
              </w:rPr>
              <w:t>West (Reference)</w:t>
            </w:r>
          </w:p>
        </w:tc>
      </w:tr>
    </w:tbl>
    <w:p w:rsidR="00C85FD7" w:rsidRPr="000763AE" w:rsidRDefault="00C85FD7" w:rsidP="00EC19E3">
      <w:pPr>
        <w:autoSpaceDE w:val="0"/>
        <w:autoSpaceDN w:val="0"/>
        <w:adjustRightInd w:val="0"/>
        <w:jc w:val="both"/>
        <w:rPr>
          <w:rFonts w:ascii="Calibri" w:eastAsia="Calibri" w:hAnsi="Calibri" w:cs="Calibri"/>
          <w:b/>
          <w:color w:val="FF0000"/>
          <w:sz w:val="16"/>
          <w:szCs w:val="16"/>
        </w:rPr>
      </w:pPr>
    </w:p>
    <w:p w:rsidR="00C85FD7" w:rsidRPr="000763AE" w:rsidRDefault="00C85FD7" w:rsidP="00EC19E3">
      <w:pPr>
        <w:autoSpaceDE w:val="0"/>
        <w:autoSpaceDN w:val="0"/>
        <w:adjustRightInd w:val="0"/>
        <w:jc w:val="both"/>
        <w:rPr>
          <w:rFonts w:ascii="Calibri" w:eastAsia="Calibri" w:hAnsi="Calibri" w:cs="Calibri"/>
          <w:color w:val="262626"/>
          <w:sz w:val="16"/>
          <w:szCs w:val="16"/>
        </w:rPr>
      </w:pPr>
      <w:r w:rsidRPr="000763AE">
        <w:rPr>
          <w:rFonts w:ascii="Calibri" w:eastAsia="Calibri" w:hAnsi="Calibri" w:cs="Calibri"/>
          <w:color w:val="262626"/>
          <w:sz w:val="16"/>
          <w:szCs w:val="16"/>
        </w:rPr>
        <w:t>*</w:t>
      </w:r>
      <w:r w:rsidRPr="000763AE">
        <w:rPr>
          <w:rFonts w:ascii="Calibri" w:hAnsi="Calibri" w:cs="Calibri"/>
          <w:color w:val="262626"/>
          <w:sz w:val="16"/>
          <w:szCs w:val="16"/>
        </w:rPr>
        <w:t xml:space="preserve"> </w:t>
      </w:r>
      <w:r w:rsidRPr="000763AE">
        <w:rPr>
          <w:rFonts w:ascii="Calibri" w:eastAsia="Calibri" w:hAnsi="Calibri" w:cs="Calibri"/>
          <w:color w:val="262626"/>
          <w:sz w:val="16"/>
          <w:szCs w:val="16"/>
        </w:rPr>
        <w:t>RACE- Missing data for race were imputed for this variable. Race data were missing for 25.8 of NAMCS visit records.</w:t>
      </w:r>
    </w:p>
    <w:p w:rsidR="00C85FD7" w:rsidRPr="000763AE" w:rsidRDefault="00C85FD7" w:rsidP="00EC19E3">
      <w:pPr>
        <w:autoSpaceDE w:val="0"/>
        <w:autoSpaceDN w:val="0"/>
        <w:adjustRightInd w:val="0"/>
        <w:jc w:val="both"/>
        <w:rPr>
          <w:rFonts w:ascii="Calibri" w:eastAsia="Calibri" w:hAnsi="Calibri" w:cs="Calibri"/>
          <w:color w:val="262626"/>
          <w:sz w:val="16"/>
          <w:szCs w:val="16"/>
        </w:rPr>
      </w:pPr>
      <w:r w:rsidRPr="000763AE">
        <w:rPr>
          <w:rFonts w:ascii="Calibri" w:eastAsia="Calibri" w:hAnsi="Calibri" w:cs="Calibri"/>
          <w:color w:val="262626"/>
          <w:sz w:val="16"/>
          <w:szCs w:val="16"/>
        </w:rPr>
        <w:t xml:space="preserve">** ETHNICITY-Missing data for ethnicity were imputed for this variable.  Ethnicity data were missing for 25.8 of NAMCS visit records. </w:t>
      </w:r>
    </w:p>
    <w:p w:rsidR="00C85FD7" w:rsidRPr="00C85FD7" w:rsidRDefault="00C85FD7" w:rsidP="00EC19E3">
      <w:pPr>
        <w:autoSpaceDE w:val="0"/>
        <w:autoSpaceDN w:val="0"/>
        <w:adjustRightInd w:val="0"/>
        <w:jc w:val="both"/>
        <w:rPr>
          <w:b/>
        </w:rPr>
      </w:pPr>
    </w:p>
    <w:p w:rsidR="00C85FD7" w:rsidRPr="00C85FD7" w:rsidRDefault="00EC19E3" w:rsidP="00B11B34">
      <w:pPr>
        <w:autoSpaceDE w:val="0"/>
        <w:autoSpaceDN w:val="0"/>
        <w:adjustRightInd w:val="0"/>
        <w:spacing w:line="360" w:lineRule="auto"/>
        <w:jc w:val="both"/>
        <w:rPr>
          <w:b/>
        </w:rPr>
      </w:pPr>
      <w:r>
        <w:rPr>
          <w:b/>
        </w:rPr>
        <w:br w:type="page"/>
      </w:r>
      <w:r w:rsidR="00C85FD7" w:rsidRPr="00C85FD7">
        <w:rPr>
          <w:b/>
        </w:rPr>
        <w:lastRenderedPageBreak/>
        <w:t>Null Model</w:t>
      </w:r>
    </w:p>
    <w:p w:rsidR="00C85FD7" w:rsidRPr="000763AE" w:rsidRDefault="00C85FD7" w:rsidP="00B11B34">
      <w:pPr>
        <w:autoSpaceDE w:val="0"/>
        <w:autoSpaceDN w:val="0"/>
        <w:adjustRightInd w:val="0"/>
        <w:spacing w:line="360" w:lineRule="auto"/>
        <w:jc w:val="both"/>
        <w:rPr>
          <w:rFonts w:ascii="Calibri" w:eastAsia="Calibri" w:hAnsi="Calibri" w:cs="Calibri"/>
          <w:color w:val="262626"/>
          <w:sz w:val="16"/>
          <w:szCs w:val="16"/>
        </w:rPr>
      </w:pPr>
    </w:p>
    <w:p w:rsidR="00C85FD7" w:rsidRPr="00C85FD7" w:rsidRDefault="00C85FD7" w:rsidP="00B11B34">
      <w:pPr>
        <w:spacing w:line="360" w:lineRule="auto"/>
        <w:jc w:val="both"/>
      </w:pPr>
      <w:r w:rsidRPr="00C85FD7">
        <w:tab/>
        <w:t xml:space="preserve">The Null Model section, Block 0 of the full model analysis, presents the model without any predictive variable added, </w:t>
      </w:r>
      <w:proofErr w:type="spellStart"/>
      <w:r w:rsidRPr="00C85FD7">
        <w:t>i</w:t>
      </w:r>
      <w:proofErr w:type="spellEnd"/>
      <w:r w:rsidRPr="00C85FD7">
        <w:t xml:space="preserve">. e. the odds of having a foot exam perform during a 2015 NAMCS visit with a diagnosis of diabetes with no additional variable added to the model. The </w:t>
      </w:r>
      <w:r w:rsidR="00883AF7">
        <w:t>c</w:t>
      </w:r>
      <w:r w:rsidR="00DD67DF">
        <w:t>lassification (Table 19</w:t>
      </w:r>
      <w:r w:rsidRPr="00C85FD7">
        <w:t>) provides the base rates for receiving a foot exam and not receiving a foot exam during a 2015 NAMCS visits with a diagnosis of diabetes.  With no additional variables introduced, the null model predicts that a foot exam will not be performed 94% of the time. The nul</w:t>
      </w:r>
      <w:r w:rsidR="00DD67DF">
        <w:t>l model is Y= 0.061 Bₒ (Table 20</w:t>
      </w:r>
      <w:r w:rsidRPr="00C85FD7">
        <w:t>) and only includes the intercept (Y) - no predictive variables (X=0).  The coefficient (B) for the null model is -2.792, which is the log odds of having a foot exam with no addition</w:t>
      </w:r>
      <w:r w:rsidR="00883AF7">
        <w:t>al</w:t>
      </w:r>
      <w:r w:rsidRPr="00C85FD7">
        <w:t xml:space="preserve"> predictors added (odds ratio = 0.061).  This constant is used as a baseline to examine how the predictive odds change as additional independent variables are introduced to the model.  </w:t>
      </w:r>
    </w:p>
    <w:p w:rsidR="00C85FD7" w:rsidRPr="00C85FD7" w:rsidRDefault="000365EC" w:rsidP="00EC19E3">
      <w:pPr>
        <w:spacing w:after="200"/>
        <w:jc w:val="both"/>
      </w:pPr>
      <w:proofErr w:type="gramStart"/>
      <w:r>
        <w:rPr>
          <w:b/>
        </w:rPr>
        <w:t>Table 19</w:t>
      </w:r>
      <w:r w:rsidR="00C85FD7" w:rsidRPr="00C85FD7">
        <w:t>.</w:t>
      </w:r>
      <w:proofErr w:type="gramEnd"/>
      <w:r w:rsidR="00C85FD7" w:rsidRPr="00C85FD7">
        <w:t xml:space="preserve">  Classification table for the SPSS output of binary regression analysis for prediction of foot exam on a 2015 NAMCS visits with diabetes diagnosis for the null model.</w:t>
      </w:r>
    </w:p>
    <w:p w:rsidR="00C85FD7" w:rsidRPr="00C85FD7" w:rsidRDefault="00C85FD7" w:rsidP="00EC19E3">
      <w:pPr>
        <w:jc w:val="both"/>
      </w:pPr>
    </w:p>
    <w:tbl>
      <w:tblPr>
        <w:tblW w:w="57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80"/>
        <w:gridCol w:w="961"/>
        <w:gridCol w:w="1039"/>
        <w:gridCol w:w="1039"/>
        <w:gridCol w:w="1490"/>
      </w:tblGrid>
      <w:tr w:rsidR="00C85FD7" w:rsidRPr="00C85FD7" w:rsidTr="000763AE">
        <w:trPr>
          <w:cantSplit/>
          <w:jc w:val="center"/>
        </w:trPr>
        <w:tc>
          <w:tcPr>
            <w:tcW w:w="2141" w:type="dxa"/>
            <w:gridSpan w:val="2"/>
            <w:vMerge w:val="restart"/>
            <w:tcBorders>
              <w:lef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Observed</w:t>
            </w:r>
          </w:p>
        </w:tc>
        <w:tc>
          <w:tcPr>
            <w:tcW w:w="3568" w:type="dxa"/>
            <w:gridSpan w:val="3"/>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Predicted</w:t>
            </w:r>
          </w:p>
        </w:tc>
      </w:tr>
      <w:tr w:rsidR="00C85FD7" w:rsidRPr="00C85FD7" w:rsidTr="000763AE">
        <w:trPr>
          <w:cantSplit/>
          <w:jc w:val="center"/>
        </w:trPr>
        <w:tc>
          <w:tcPr>
            <w:tcW w:w="2141" w:type="dxa"/>
            <w:gridSpan w:val="2"/>
            <w:vMerge/>
            <w:tcBorders>
              <w:left w:val="single" w:sz="4" w:space="0" w:color="auto"/>
            </w:tcBorders>
            <w:shd w:val="clear" w:color="auto" w:fill="595959"/>
            <w:vAlign w:val="center"/>
          </w:tcPr>
          <w:p w:rsidR="00C85FD7" w:rsidRPr="000763AE" w:rsidRDefault="00C85FD7" w:rsidP="00EC19E3">
            <w:pPr>
              <w:widowControl w:val="0"/>
              <w:autoSpaceDE w:val="0"/>
              <w:autoSpaceDN w:val="0"/>
              <w:adjustRightInd w:val="0"/>
              <w:jc w:val="center"/>
              <w:rPr>
                <w:rFonts w:ascii="Arial" w:hAnsi="Arial" w:cs="Arial"/>
                <w:b/>
                <w:color w:val="FFFFFF"/>
                <w:sz w:val="18"/>
                <w:szCs w:val="18"/>
              </w:rPr>
            </w:pPr>
          </w:p>
        </w:tc>
        <w:tc>
          <w:tcPr>
            <w:tcW w:w="2078" w:type="dxa"/>
            <w:gridSpan w:val="2"/>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Foot exam</w:t>
            </w:r>
          </w:p>
        </w:tc>
        <w:tc>
          <w:tcPr>
            <w:tcW w:w="1490" w:type="dxa"/>
            <w:vMerge w:val="restart"/>
            <w:shd w:val="clear" w:color="auto" w:fill="595959"/>
            <w:vAlign w:val="center"/>
          </w:tcPr>
          <w:p w:rsidR="00C85FD7" w:rsidRPr="000763AE" w:rsidRDefault="00C85FD7" w:rsidP="00EC19E3">
            <w:pPr>
              <w:widowControl w:val="0"/>
              <w:autoSpaceDE w:val="0"/>
              <w:autoSpaceDN w:val="0"/>
              <w:adjustRightInd w:val="0"/>
              <w:ind w:left="58" w:right="58"/>
              <w:jc w:val="center"/>
              <w:rPr>
                <w:rFonts w:ascii="Arial" w:hAnsi="Arial" w:cs="Arial"/>
                <w:b/>
                <w:color w:val="FFFFFF"/>
                <w:sz w:val="18"/>
                <w:szCs w:val="18"/>
              </w:rPr>
            </w:pPr>
            <w:r w:rsidRPr="000763AE">
              <w:rPr>
                <w:rFonts w:ascii="Arial" w:hAnsi="Arial" w:cs="Arial"/>
                <w:b/>
                <w:color w:val="FFFFFF"/>
                <w:sz w:val="18"/>
                <w:szCs w:val="18"/>
              </w:rPr>
              <w:t>Percentage Correct</w:t>
            </w:r>
          </w:p>
        </w:tc>
      </w:tr>
      <w:tr w:rsidR="00C85FD7" w:rsidRPr="00C85FD7" w:rsidTr="000763AE">
        <w:trPr>
          <w:cantSplit/>
          <w:jc w:val="center"/>
        </w:trPr>
        <w:tc>
          <w:tcPr>
            <w:tcW w:w="2141" w:type="dxa"/>
            <w:gridSpan w:val="2"/>
            <w:vMerge/>
            <w:tcBorders>
              <w:left w:val="single" w:sz="4" w:space="0" w:color="auto"/>
            </w:tcBorders>
            <w:shd w:val="clear" w:color="auto" w:fill="404040"/>
            <w:vAlign w:val="bottom"/>
          </w:tcPr>
          <w:p w:rsidR="00C85FD7" w:rsidRPr="000763AE" w:rsidRDefault="00C85FD7" w:rsidP="00EC19E3">
            <w:pPr>
              <w:widowControl w:val="0"/>
              <w:autoSpaceDE w:val="0"/>
              <w:autoSpaceDN w:val="0"/>
              <w:adjustRightInd w:val="0"/>
              <w:jc w:val="center"/>
              <w:rPr>
                <w:rFonts w:ascii="Arial" w:hAnsi="Arial" w:cs="Arial"/>
                <w:b/>
                <w:color w:val="264A60"/>
                <w:sz w:val="18"/>
                <w:szCs w:val="18"/>
              </w:rPr>
            </w:pPr>
          </w:p>
        </w:tc>
        <w:tc>
          <w:tcPr>
            <w:tcW w:w="1039" w:type="dxa"/>
            <w:shd w:val="clear" w:color="auto" w:fill="595959"/>
            <w:vAlign w:val="bottom"/>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No</w:t>
            </w:r>
          </w:p>
        </w:tc>
        <w:tc>
          <w:tcPr>
            <w:tcW w:w="1039" w:type="dxa"/>
            <w:shd w:val="clear" w:color="auto" w:fill="595959"/>
            <w:vAlign w:val="bottom"/>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Yes</w:t>
            </w:r>
          </w:p>
        </w:tc>
        <w:tc>
          <w:tcPr>
            <w:tcW w:w="1490" w:type="dxa"/>
            <w:vMerge/>
            <w:shd w:val="clear" w:color="auto" w:fill="FFFFFF"/>
            <w:vAlign w:val="bottom"/>
          </w:tcPr>
          <w:p w:rsidR="00C85FD7" w:rsidRPr="000763AE" w:rsidRDefault="00C85FD7" w:rsidP="00EC19E3">
            <w:pPr>
              <w:widowControl w:val="0"/>
              <w:autoSpaceDE w:val="0"/>
              <w:autoSpaceDN w:val="0"/>
              <w:adjustRightInd w:val="0"/>
              <w:jc w:val="both"/>
              <w:rPr>
                <w:rFonts w:ascii="Arial" w:hAnsi="Arial" w:cs="Arial"/>
                <w:b/>
                <w:color w:val="264A60"/>
                <w:sz w:val="18"/>
                <w:szCs w:val="18"/>
              </w:rPr>
            </w:pPr>
          </w:p>
        </w:tc>
      </w:tr>
      <w:tr w:rsidR="00C85FD7" w:rsidRPr="00C85FD7" w:rsidTr="000763AE">
        <w:trPr>
          <w:cantSplit/>
          <w:jc w:val="center"/>
        </w:trPr>
        <w:tc>
          <w:tcPr>
            <w:tcW w:w="1180" w:type="dxa"/>
            <w:vMerge w:val="restart"/>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Foot exam</w:t>
            </w:r>
          </w:p>
        </w:tc>
        <w:tc>
          <w:tcPr>
            <w:tcW w:w="961" w:type="dxa"/>
            <w:shd w:val="clear" w:color="auto" w:fill="595959"/>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No</w:t>
            </w:r>
          </w:p>
        </w:tc>
        <w:tc>
          <w:tcPr>
            <w:tcW w:w="1039" w:type="dxa"/>
            <w:shd w:val="clear" w:color="auto" w:fill="FFFFFF"/>
          </w:tcPr>
          <w:p w:rsidR="00C85FD7" w:rsidRPr="000763AE" w:rsidRDefault="00C85FD7" w:rsidP="00EC19E3">
            <w:pPr>
              <w:widowControl w:val="0"/>
              <w:autoSpaceDE w:val="0"/>
              <w:autoSpaceDN w:val="0"/>
              <w:adjustRightInd w:val="0"/>
              <w:ind w:left="60" w:right="60"/>
              <w:jc w:val="center"/>
              <w:rPr>
                <w:rFonts w:ascii="Calibri" w:hAnsi="Calibri" w:cs="Calibri"/>
                <w:color w:val="262626"/>
                <w:sz w:val="20"/>
                <w:szCs w:val="20"/>
              </w:rPr>
            </w:pPr>
            <w:r w:rsidRPr="000763AE">
              <w:rPr>
                <w:rFonts w:ascii="Calibri" w:hAnsi="Calibri" w:cs="Calibri"/>
                <w:color w:val="262626"/>
                <w:sz w:val="20"/>
                <w:szCs w:val="20"/>
              </w:rPr>
              <w:t>3,280</w:t>
            </w:r>
          </w:p>
        </w:tc>
        <w:tc>
          <w:tcPr>
            <w:tcW w:w="1039" w:type="dxa"/>
            <w:shd w:val="clear" w:color="auto" w:fill="FFFFFF"/>
          </w:tcPr>
          <w:p w:rsidR="00C85FD7" w:rsidRPr="000763AE" w:rsidRDefault="00C85FD7" w:rsidP="00EC19E3">
            <w:pPr>
              <w:widowControl w:val="0"/>
              <w:autoSpaceDE w:val="0"/>
              <w:autoSpaceDN w:val="0"/>
              <w:adjustRightInd w:val="0"/>
              <w:ind w:left="60" w:right="60"/>
              <w:jc w:val="center"/>
              <w:rPr>
                <w:rFonts w:ascii="Calibri" w:hAnsi="Calibri" w:cs="Calibri"/>
                <w:color w:val="262626"/>
                <w:sz w:val="20"/>
                <w:szCs w:val="20"/>
              </w:rPr>
            </w:pPr>
            <w:r w:rsidRPr="000763AE">
              <w:rPr>
                <w:rFonts w:ascii="Calibri" w:hAnsi="Calibri" w:cs="Calibri"/>
                <w:color w:val="262626"/>
                <w:sz w:val="20"/>
                <w:szCs w:val="20"/>
              </w:rPr>
              <w:t>0</w:t>
            </w:r>
          </w:p>
        </w:tc>
        <w:tc>
          <w:tcPr>
            <w:tcW w:w="1490" w:type="dxa"/>
            <w:shd w:val="clear" w:color="auto" w:fill="FFFFFF"/>
          </w:tcPr>
          <w:p w:rsidR="00C85FD7" w:rsidRPr="000763AE" w:rsidRDefault="00C85FD7" w:rsidP="00EC19E3">
            <w:pPr>
              <w:widowControl w:val="0"/>
              <w:autoSpaceDE w:val="0"/>
              <w:autoSpaceDN w:val="0"/>
              <w:adjustRightInd w:val="0"/>
              <w:ind w:left="60" w:right="60"/>
              <w:jc w:val="center"/>
              <w:rPr>
                <w:rFonts w:ascii="Calibri" w:hAnsi="Calibri" w:cs="Calibri"/>
                <w:color w:val="262626"/>
                <w:sz w:val="20"/>
                <w:szCs w:val="20"/>
              </w:rPr>
            </w:pPr>
            <w:r w:rsidRPr="000763AE">
              <w:rPr>
                <w:rFonts w:ascii="Calibri" w:hAnsi="Calibri" w:cs="Calibri"/>
                <w:color w:val="262626"/>
                <w:sz w:val="20"/>
                <w:szCs w:val="20"/>
              </w:rPr>
              <w:t>100.0</w:t>
            </w:r>
          </w:p>
        </w:tc>
      </w:tr>
      <w:tr w:rsidR="00C85FD7" w:rsidRPr="00C85FD7" w:rsidTr="000763AE">
        <w:trPr>
          <w:cantSplit/>
          <w:jc w:val="center"/>
        </w:trPr>
        <w:tc>
          <w:tcPr>
            <w:tcW w:w="1180" w:type="dxa"/>
            <w:vMerge/>
            <w:shd w:val="clear" w:color="auto" w:fill="595959"/>
          </w:tcPr>
          <w:p w:rsidR="00C85FD7" w:rsidRPr="000763AE" w:rsidRDefault="00C85FD7" w:rsidP="00EC19E3">
            <w:pPr>
              <w:widowControl w:val="0"/>
              <w:autoSpaceDE w:val="0"/>
              <w:autoSpaceDN w:val="0"/>
              <w:adjustRightInd w:val="0"/>
              <w:jc w:val="center"/>
              <w:rPr>
                <w:rFonts w:ascii="Arial" w:hAnsi="Arial" w:cs="Arial"/>
                <w:color w:val="FFFFFF"/>
                <w:sz w:val="18"/>
                <w:szCs w:val="18"/>
              </w:rPr>
            </w:pPr>
          </w:p>
        </w:tc>
        <w:tc>
          <w:tcPr>
            <w:tcW w:w="961" w:type="dxa"/>
            <w:shd w:val="clear" w:color="auto" w:fill="595959"/>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Yes</w:t>
            </w:r>
          </w:p>
        </w:tc>
        <w:tc>
          <w:tcPr>
            <w:tcW w:w="1039" w:type="dxa"/>
            <w:shd w:val="clear" w:color="auto" w:fill="FFFFFF"/>
          </w:tcPr>
          <w:p w:rsidR="00C85FD7" w:rsidRPr="000763AE" w:rsidRDefault="00C85FD7" w:rsidP="00EC19E3">
            <w:pPr>
              <w:widowControl w:val="0"/>
              <w:autoSpaceDE w:val="0"/>
              <w:autoSpaceDN w:val="0"/>
              <w:adjustRightInd w:val="0"/>
              <w:ind w:left="60" w:right="60"/>
              <w:jc w:val="center"/>
              <w:rPr>
                <w:rFonts w:ascii="Calibri" w:hAnsi="Calibri" w:cs="Calibri"/>
                <w:color w:val="262626"/>
                <w:sz w:val="20"/>
                <w:szCs w:val="20"/>
              </w:rPr>
            </w:pPr>
            <w:r w:rsidRPr="000763AE">
              <w:rPr>
                <w:rFonts w:ascii="Calibri" w:hAnsi="Calibri" w:cs="Calibri"/>
                <w:color w:val="262626"/>
                <w:sz w:val="20"/>
                <w:szCs w:val="20"/>
              </w:rPr>
              <w:t>201</w:t>
            </w:r>
          </w:p>
        </w:tc>
        <w:tc>
          <w:tcPr>
            <w:tcW w:w="1039" w:type="dxa"/>
            <w:shd w:val="clear" w:color="auto" w:fill="FFFFFF"/>
          </w:tcPr>
          <w:p w:rsidR="00C85FD7" w:rsidRPr="000763AE" w:rsidRDefault="00C85FD7" w:rsidP="00EC19E3">
            <w:pPr>
              <w:widowControl w:val="0"/>
              <w:autoSpaceDE w:val="0"/>
              <w:autoSpaceDN w:val="0"/>
              <w:adjustRightInd w:val="0"/>
              <w:ind w:left="60" w:right="60"/>
              <w:jc w:val="center"/>
              <w:rPr>
                <w:rFonts w:ascii="Calibri" w:hAnsi="Calibri" w:cs="Calibri"/>
                <w:color w:val="262626"/>
                <w:sz w:val="20"/>
                <w:szCs w:val="20"/>
              </w:rPr>
            </w:pPr>
            <w:r w:rsidRPr="000763AE">
              <w:rPr>
                <w:rFonts w:ascii="Calibri" w:hAnsi="Calibri" w:cs="Calibri"/>
                <w:color w:val="262626"/>
                <w:sz w:val="20"/>
                <w:szCs w:val="20"/>
              </w:rPr>
              <w:t>0</w:t>
            </w:r>
          </w:p>
        </w:tc>
        <w:tc>
          <w:tcPr>
            <w:tcW w:w="1490" w:type="dxa"/>
            <w:shd w:val="clear" w:color="auto" w:fill="FFFFFF"/>
          </w:tcPr>
          <w:p w:rsidR="00C85FD7" w:rsidRPr="000763AE" w:rsidRDefault="00C85FD7" w:rsidP="00EC19E3">
            <w:pPr>
              <w:widowControl w:val="0"/>
              <w:autoSpaceDE w:val="0"/>
              <w:autoSpaceDN w:val="0"/>
              <w:adjustRightInd w:val="0"/>
              <w:ind w:left="60" w:right="60"/>
              <w:jc w:val="center"/>
              <w:rPr>
                <w:rFonts w:ascii="Calibri" w:hAnsi="Calibri" w:cs="Calibri"/>
                <w:color w:val="262626"/>
                <w:sz w:val="20"/>
                <w:szCs w:val="20"/>
              </w:rPr>
            </w:pPr>
            <w:r w:rsidRPr="000763AE">
              <w:rPr>
                <w:rFonts w:ascii="Calibri" w:hAnsi="Calibri" w:cs="Calibri"/>
                <w:color w:val="262626"/>
                <w:sz w:val="20"/>
                <w:szCs w:val="20"/>
              </w:rPr>
              <w:t>.0</w:t>
            </w:r>
          </w:p>
        </w:tc>
      </w:tr>
      <w:tr w:rsidR="00C85FD7" w:rsidRPr="00C85FD7" w:rsidTr="000763AE">
        <w:trPr>
          <w:cantSplit/>
          <w:jc w:val="center"/>
        </w:trPr>
        <w:tc>
          <w:tcPr>
            <w:tcW w:w="2141" w:type="dxa"/>
            <w:gridSpan w:val="2"/>
            <w:shd w:val="clear" w:color="auto" w:fill="595959"/>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Overall Percentage</w:t>
            </w:r>
          </w:p>
        </w:tc>
        <w:tc>
          <w:tcPr>
            <w:tcW w:w="1039" w:type="dxa"/>
            <w:shd w:val="clear" w:color="auto" w:fill="FFFFFF"/>
            <w:vAlign w:val="center"/>
          </w:tcPr>
          <w:p w:rsidR="00C85FD7" w:rsidRPr="000763AE" w:rsidRDefault="00C85FD7" w:rsidP="00EC19E3">
            <w:pPr>
              <w:widowControl w:val="0"/>
              <w:autoSpaceDE w:val="0"/>
              <w:autoSpaceDN w:val="0"/>
              <w:adjustRightInd w:val="0"/>
              <w:jc w:val="center"/>
              <w:rPr>
                <w:rFonts w:ascii="Calibri" w:hAnsi="Calibri" w:cs="Calibri"/>
                <w:color w:val="262626"/>
                <w:sz w:val="20"/>
                <w:szCs w:val="20"/>
              </w:rPr>
            </w:pPr>
            <w:r w:rsidRPr="000763AE">
              <w:rPr>
                <w:rFonts w:ascii="Calibri" w:hAnsi="Calibri" w:cs="Calibri"/>
                <w:color w:val="262626"/>
                <w:sz w:val="20"/>
                <w:szCs w:val="20"/>
              </w:rPr>
              <w:t>-</w:t>
            </w:r>
          </w:p>
        </w:tc>
        <w:tc>
          <w:tcPr>
            <w:tcW w:w="1039" w:type="dxa"/>
            <w:shd w:val="clear" w:color="auto" w:fill="FFFFFF"/>
            <w:vAlign w:val="center"/>
          </w:tcPr>
          <w:p w:rsidR="00C85FD7" w:rsidRPr="000763AE" w:rsidRDefault="00C85FD7" w:rsidP="00EC19E3">
            <w:pPr>
              <w:widowControl w:val="0"/>
              <w:autoSpaceDE w:val="0"/>
              <w:autoSpaceDN w:val="0"/>
              <w:adjustRightInd w:val="0"/>
              <w:jc w:val="center"/>
              <w:rPr>
                <w:rFonts w:ascii="Calibri" w:hAnsi="Calibri" w:cs="Calibri"/>
                <w:color w:val="262626"/>
                <w:sz w:val="20"/>
                <w:szCs w:val="20"/>
              </w:rPr>
            </w:pPr>
            <w:r w:rsidRPr="000763AE">
              <w:rPr>
                <w:rFonts w:ascii="Calibri" w:hAnsi="Calibri" w:cs="Calibri"/>
                <w:color w:val="262626"/>
                <w:sz w:val="20"/>
                <w:szCs w:val="20"/>
              </w:rPr>
              <w:t>-</w:t>
            </w:r>
          </w:p>
        </w:tc>
        <w:tc>
          <w:tcPr>
            <w:tcW w:w="1490" w:type="dxa"/>
            <w:shd w:val="clear" w:color="auto" w:fill="FFFFFF"/>
          </w:tcPr>
          <w:p w:rsidR="00C85FD7" w:rsidRPr="000763AE" w:rsidRDefault="00C85FD7" w:rsidP="00EC19E3">
            <w:pPr>
              <w:widowControl w:val="0"/>
              <w:autoSpaceDE w:val="0"/>
              <w:autoSpaceDN w:val="0"/>
              <w:adjustRightInd w:val="0"/>
              <w:ind w:left="60" w:right="60"/>
              <w:jc w:val="center"/>
              <w:rPr>
                <w:rFonts w:ascii="Calibri" w:hAnsi="Calibri" w:cs="Calibri"/>
                <w:color w:val="262626"/>
                <w:sz w:val="20"/>
                <w:szCs w:val="20"/>
              </w:rPr>
            </w:pPr>
            <w:r w:rsidRPr="000763AE">
              <w:rPr>
                <w:rFonts w:ascii="Calibri" w:hAnsi="Calibri" w:cs="Calibri"/>
                <w:color w:val="262626"/>
                <w:sz w:val="20"/>
                <w:szCs w:val="20"/>
              </w:rPr>
              <w:t>94.2</w:t>
            </w:r>
          </w:p>
        </w:tc>
      </w:tr>
    </w:tbl>
    <w:p w:rsidR="00C85FD7" w:rsidRPr="00C85FD7" w:rsidRDefault="00C85FD7" w:rsidP="00EC19E3">
      <w:pPr>
        <w:jc w:val="both"/>
      </w:pPr>
    </w:p>
    <w:p w:rsidR="00C85FD7" w:rsidRPr="00C85FD7" w:rsidRDefault="000365EC" w:rsidP="00EC19E3">
      <w:pPr>
        <w:jc w:val="both"/>
      </w:pPr>
      <w:proofErr w:type="gramStart"/>
      <w:r>
        <w:rPr>
          <w:b/>
        </w:rPr>
        <w:t>Table 20</w:t>
      </w:r>
      <w:r w:rsidR="00C85FD7" w:rsidRPr="00C85FD7">
        <w:t>.</w:t>
      </w:r>
      <w:proofErr w:type="gramEnd"/>
      <w:r w:rsidR="00C85FD7" w:rsidRPr="00C85FD7">
        <w:t xml:space="preserve">  </w:t>
      </w:r>
      <w:proofErr w:type="gramStart"/>
      <w:r w:rsidR="00C85FD7" w:rsidRPr="00C85FD7">
        <w:t>SPSS Output for Binary Logistic Regression to Predict Foot Exam on a 2015 NAMCS Visit with Diabetes Diagnosis for the Null Model.</w:t>
      </w:r>
      <w:proofErr w:type="gramEnd"/>
      <w:r w:rsidR="00C85FD7" w:rsidRPr="00C85FD7">
        <w:t xml:space="preserve"> </w:t>
      </w:r>
    </w:p>
    <w:p w:rsidR="00C85FD7" w:rsidRPr="00C85FD7" w:rsidRDefault="00C85FD7" w:rsidP="00EC19E3">
      <w:pPr>
        <w:jc w:val="both"/>
      </w:pPr>
    </w:p>
    <w:tbl>
      <w:tblPr>
        <w:tblW w:w="8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26"/>
        <w:gridCol w:w="1055"/>
        <w:gridCol w:w="1024"/>
        <w:gridCol w:w="1025"/>
        <w:gridCol w:w="1087"/>
        <w:gridCol w:w="1025"/>
        <w:gridCol w:w="1025"/>
        <w:gridCol w:w="1025"/>
      </w:tblGrid>
      <w:tr w:rsidR="00C85FD7" w:rsidRPr="00C85FD7" w:rsidTr="000763AE">
        <w:trPr>
          <w:cantSplit/>
        </w:trPr>
        <w:tc>
          <w:tcPr>
            <w:tcW w:w="1881" w:type="dxa"/>
            <w:gridSpan w:val="2"/>
            <w:tcBorders>
              <w:top w:val="nil"/>
              <w:left w:val="nil"/>
              <w:bottom w:val="single" w:sz="4" w:space="0" w:color="auto"/>
              <w:right w:val="single" w:sz="4" w:space="0" w:color="auto"/>
            </w:tcBorders>
            <w:shd w:val="clear" w:color="auto" w:fill="FFFFFF"/>
            <w:vAlign w:val="bottom"/>
          </w:tcPr>
          <w:p w:rsidR="00C85FD7" w:rsidRPr="000763AE" w:rsidRDefault="00C85FD7" w:rsidP="00EC19E3">
            <w:pPr>
              <w:autoSpaceDE w:val="0"/>
              <w:autoSpaceDN w:val="0"/>
              <w:adjustRightInd w:val="0"/>
              <w:jc w:val="both"/>
              <w:rPr>
                <w:rFonts w:eastAsia="Calibri"/>
                <w:sz w:val="20"/>
                <w:szCs w:val="20"/>
              </w:rPr>
            </w:pPr>
          </w:p>
        </w:tc>
        <w:tc>
          <w:tcPr>
            <w:tcW w:w="1024" w:type="dxa"/>
            <w:tcBorders>
              <w:left w:val="single" w:sz="4" w:space="0" w:color="auto"/>
            </w:tcBorders>
            <w:shd w:val="clear" w:color="auto" w:fill="595959"/>
            <w:vAlign w:val="bottom"/>
          </w:tcPr>
          <w:p w:rsidR="00C85FD7" w:rsidRPr="000763AE" w:rsidRDefault="00C85FD7" w:rsidP="00EC19E3">
            <w:pPr>
              <w:autoSpaceDE w:val="0"/>
              <w:autoSpaceDN w:val="0"/>
              <w:adjustRightInd w:val="0"/>
              <w:ind w:left="60" w:right="60"/>
              <w:jc w:val="center"/>
              <w:rPr>
                <w:rFonts w:ascii="Calibri" w:eastAsia="Calibri" w:hAnsi="Calibri" w:cs="Calibri"/>
                <w:b/>
                <w:color w:val="FFFFFF"/>
                <w:sz w:val="20"/>
                <w:szCs w:val="20"/>
              </w:rPr>
            </w:pPr>
            <w:r w:rsidRPr="000763AE">
              <w:rPr>
                <w:rFonts w:ascii="Calibri" w:eastAsia="Calibri" w:hAnsi="Calibri" w:cs="Calibri"/>
                <w:b/>
                <w:color w:val="FFFFFF"/>
                <w:sz w:val="20"/>
                <w:szCs w:val="20"/>
              </w:rPr>
              <w:t>B</w:t>
            </w:r>
          </w:p>
        </w:tc>
        <w:tc>
          <w:tcPr>
            <w:tcW w:w="1025" w:type="dxa"/>
            <w:shd w:val="clear" w:color="auto" w:fill="595959"/>
            <w:vAlign w:val="bottom"/>
          </w:tcPr>
          <w:p w:rsidR="00C85FD7" w:rsidRPr="000763AE" w:rsidRDefault="00C85FD7" w:rsidP="00EC19E3">
            <w:pPr>
              <w:autoSpaceDE w:val="0"/>
              <w:autoSpaceDN w:val="0"/>
              <w:adjustRightInd w:val="0"/>
              <w:ind w:left="60" w:right="60"/>
              <w:jc w:val="center"/>
              <w:rPr>
                <w:rFonts w:ascii="Calibri" w:eastAsia="Calibri" w:hAnsi="Calibri" w:cs="Calibri"/>
                <w:b/>
                <w:color w:val="FFFFFF"/>
                <w:sz w:val="20"/>
                <w:szCs w:val="20"/>
              </w:rPr>
            </w:pPr>
            <w:r w:rsidRPr="000763AE">
              <w:rPr>
                <w:rFonts w:ascii="Calibri" w:eastAsia="Calibri" w:hAnsi="Calibri" w:cs="Calibri"/>
                <w:b/>
                <w:color w:val="FFFFFF"/>
                <w:sz w:val="20"/>
                <w:szCs w:val="20"/>
              </w:rPr>
              <w:t>S.E.</w:t>
            </w:r>
          </w:p>
        </w:tc>
        <w:tc>
          <w:tcPr>
            <w:tcW w:w="1087" w:type="dxa"/>
            <w:shd w:val="clear" w:color="auto" w:fill="595959"/>
            <w:vAlign w:val="bottom"/>
          </w:tcPr>
          <w:p w:rsidR="00C85FD7" w:rsidRPr="000763AE" w:rsidRDefault="00C85FD7" w:rsidP="00EC19E3">
            <w:pPr>
              <w:autoSpaceDE w:val="0"/>
              <w:autoSpaceDN w:val="0"/>
              <w:adjustRightInd w:val="0"/>
              <w:ind w:left="60" w:right="60"/>
              <w:jc w:val="center"/>
              <w:rPr>
                <w:rFonts w:ascii="Calibri" w:eastAsia="Calibri" w:hAnsi="Calibri" w:cs="Calibri"/>
                <w:b/>
                <w:color w:val="FFFFFF"/>
                <w:sz w:val="20"/>
                <w:szCs w:val="20"/>
              </w:rPr>
            </w:pPr>
            <w:r w:rsidRPr="000763AE">
              <w:rPr>
                <w:rFonts w:ascii="Calibri" w:eastAsia="Calibri" w:hAnsi="Calibri" w:cs="Calibri"/>
                <w:b/>
                <w:color w:val="FFFFFF"/>
                <w:sz w:val="20"/>
                <w:szCs w:val="20"/>
              </w:rPr>
              <w:t>Wald</w:t>
            </w:r>
          </w:p>
        </w:tc>
        <w:tc>
          <w:tcPr>
            <w:tcW w:w="1025" w:type="dxa"/>
            <w:shd w:val="clear" w:color="auto" w:fill="595959"/>
            <w:vAlign w:val="bottom"/>
          </w:tcPr>
          <w:p w:rsidR="00C85FD7" w:rsidRPr="000763AE" w:rsidRDefault="00A80FBF" w:rsidP="00EC19E3">
            <w:pPr>
              <w:autoSpaceDE w:val="0"/>
              <w:autoSpaceDN w:val="0"/>
              <w:adjustRightInd w:val="0"/>
              <w:ind w:left="60" w:right="60"/>
              <w:jc w:val="center"/>
              <w:rPr>
                <w:rFonts w:ascii="Calibri" w:eastAsia="Calibri" w:hAnsi="Calibri" w:cs="Calibri"/>
                <w:b/>
                <w:color w:val="FFFFFF"/>
                <w:sz w:val="20"/>
                <w:szCs w:val="20"/>
              </w:rPr>
            </w:pPr>
            <w:proofErr w:type="spellStart"/>
            <w:r w:rsidRPr="000763AE">
              <w:rPr>
                <w:rFonts w:ascii="Calibri" w:eastAsia="Calibri" w:hAnsi="Calibri" w:cs="Calibri"/>
                <w:b/>
                <w:color w:val="FFFFFF"/>
                <w:sz w:val="20"/>
                <w:szCs w:val="20"/>
              </w:rPr>
              <w:t>D</w:t>
            </w:r>
            <w:r w:rsidR="00C85FD7" w:rsidRPr="000763AE">
              <w:rPr>
                <w:rFonts w:ascii="Calibri" w:eastAsia="Calibri" w:hAnsi="Calibri" w:cs="Calibri"/>
                <w:b/>
                <w:color w:val="FFFFFF"/>
                <w:sz w:val="20"/>
                <w:szCs w:val="20"/>
              </w:rPr>
              <w:t>f</w:t>
            </w:r>
            <w:proofErr w:type="spellEnd"/>
          </w:p>
        </w:tc>
        <w:tc>
          <w:tcPr>
            <w:tcW w:w="1025" w:type="dxa"/>
            <w:shd w:val="clear" w:color="auto" w:fill="595959"/>
            <w:vAlign w:val="bottom"/>
          </w:tcPr>
          <w:p w:rsidR="00C85FD7" w:rsidRPr="000763AE" w:rsidRDefault="00C85FD7" w:rsidP="00EC19E3">
            <w:pPr>
              <w:autoSpaceDE w:val="0"/>
              <w:autoSpaceDN w:val="0"/>
              <w:adjustRightInd w:val="0"/>
              <w:ind w:left="60" w:right="60"/>
              <w:jc w:val="center"/>
              <w:rPr>
                <w:rFonts w:ascii="Calibri" w:eastAsia="Calibri" w:hAnsi="Calibri" w:cs="Calibri"/>
                <w:b/>
                <w:color w:val="FFFFFF"/>
                <w:sz w:val="20"/>
                <w:szCs w:val="20"/>
              </w:rPr>
            </w:pPr>
            <w:r w:rsidRPr="000763AE">
              <w:rPr>
                <w:rFonts w:ascii="Calibri" w:eastAsia="Calibri" w:hAnsi="Calibri" w:cs="Calibri"/>
                <w:b/>
                <w:color w:val="FFFFFF"/>
                <w:sz w:val="20"/>
                <w:szCs w:val="20"/>
              </w:rPr>
              <w:t>Sig.</w:t>
            </w:r>
          </w:p>
        </w:tc>
        <w:tc>
          <w:tcPr>
            <w:tcW w:w="1025" w:type="dxa"/>
            <w:shd w:val="clear" w:color="auto" w:fill="595959"/>
            <w:vAlign w:val="bottom"/>
          </w:tcPr>
          <w:p w:rsidR="00C85FD7" w:rsidRPr="000763AE" w:rsidRDefault="00C85FD7" w:rsidP="00EC19E3">
            <w:pPr>
              <w:autoSpaceDE w:val="0"/>
              <w:autoSpaceDN w:val="0"/>
              <w:adjustRightInd w:val="0"/>
              <w:ind w:left="60" w:right="60"/>
              <w:jc w:val="center"/>
              <w:rPr>
                <w:rFonts w:ascii="Calibri" w:eastAsia="Calibri" w:hAnsi="Calibri" w:cs="Calibri"/>
                <w:b/>
                <w:color w:val="FFFFFF"/>
                <w:sz w:val="20"/>
                <w:szCs w:val="20"/>
              </w:rPr>
            </w:pPr>
            <w:proofErr w:type="spellStart"/>
            <w:r w:rsidRPr="000763AE">
              <w:rPr>
                <w:rFonts w:ascii="Calibri" w:eastAsia="Calibri" w:hAnsi="Calibri" w:cs="Calibri"/>
                <w:b/>
                <w:color w:val="FFFFFF"/>
                <w:sz w:val="20"/>
                <w:szCs w:val="20"/>
              </w:rPr>
              <w:t>Exp</w:t>
            </w:r>
            <w:proofErr w:type="spellEnd"/>
            <w:r w:rsidRPr="000763AE">
              <w:rPr>
                <w:rFonts w:ascii="Calibri" w:eastAsia="Calibri" w:hAnsi="Calibri" w:cs="Calibri"/>
                <w:b/>
                <w:color w:val="FFFFFF"/>
                <w:sz w:val="20"/>
                <w:szCs w:val="20"/>
              </w:rPr>
              <w:t>(B)</w:t>
            </w:r>
          </w:p>
        </w:tc>
      </w:tr>
      <w:tr w:rsidR="00C85FD7" w:rsidRPr="00C85FD7" w:rsidTr="000763AE">
        <w:trPr>
          <w:cantSplit/>
        </w:trPr>
        <w:tc>
          <w:tcPr>
            <w:tcW w:w="826" w:type="dxa"/>
            <w:tcBorders>
              <w:top w:val="single" w:sz="4" w:space="0" w:color="auto"/>
            </w:tcBorders>
            <w:shd w:val="clear" w:color="auto" w:fill="595959"/>
          </w:tcPr>
          <w:p w:rsidR="00C85FD7" w:rsidRPr="000763AE" w:rsidRDefault="00C85FD7" w:rsidP="00EC19E3">
            <w:pPr>
              <w:autoSpaceDE w:val="0"/>
              <w:autoSpaceDN w:val="0"/>
              <w:adjustRightInd w:val="0"/>
              <w:ind w:left="60" w:right="60"/>
              <w:jc w:val="both"/>
              <w:rPr>
                <w:rFonts w:ascii="Calibri" w:eastAsia="Calibri" w:hAnsi="Calibri" w:cs="Calibri"/>
                <w:b/>
                <w:color w:val="FFFFFF"/>
                <w:sz w:val="20"/>
                <w:szCs w:val="20"/>
              </w:rPr>
            </w:pPr>
            <w:r w:rsidRPr="000763AE">
              <w:rPr>
                <w:rFonts w:ascii="Calibri" w:eastAsia="Calibri" w:hAnsi="Calibri" w:cs="Calibri"/>
                <w:b/>
                <w:color w:val="FFFFFF"/>
                <w:sz w:val="20"/>
                <w:szCs w:val="20"/>
              </w:rPr>
              <w:t>Step 0</w:t>
            </w:r>
          </w:p>
        </w:tc>
        <w:tc>
          <w:tcPr>
            <w:tcW w:w="1055" w:type="dxa"/>
            <w:tcBorders>
              <w:top w:val="single" w:sz="4" w:space="0" w:color="auto"/>
            </w:tcBorders>
            <w:shd w:val="clear" w:color="auto" w:fill="595959"/>
          </w:tcPr>
          <w:p w:rsidR="00C85FD7" w:rsidRPr="000763AE" w:rsidRDefault="00C85FD7" w:rsidP="00EC19E3">
            <w:pPr>
              <w:autoSpaceDE w:val="0"/>
              <w:autoSpaceDN w:val="0"/>
              <w:adjustRightInd w:val="0"/>
              <w:ind w:left="60" w:right="60"/>
              <w:jc w:val="both"/>
              <w:rPr>
                <w:rFonts w:ascii="Calibri" w:eastAsia="Calibri" w:hAnsi="Calibri" w:cs="Calibri"/>
                <w:b/>
                <w:color w:val="FFFFFF"/>
                <w:sz w:val="20"/>
                <w:szCs w:val="20"/>
              </w:rPr>
            </w:pPr>
            <w:r w:rsidRPr="000763AE">
              <w:rPr>
                <w:rFonts w:ascii="Calibri" w:eastAsia="Calibri" w:hAnsi="Calibri" w:cs="Calibri"/>
                <w:b/>
                <w:color w:val="FFFFFF"/>
                <w:sz w:val="20"/>
                <w:szCs w:val="20"/>
              </w:rPr>
              <w:t>Constant</w:t>
            </w:r>
          </w:p>
        </w:tc>
        <w:tc>
          <w:tcPr>
            <w:tcW w:w="1024" w:type="dxa"/>
            <w:shd w:val="clear" w:color="auto" w:fill="FFFFFF"/>
          </w:tcPr>
          <w:p w:rsidR="00C85FD7" w:rsidRPr="000763AE" w:rsidRDefault="00C85FD7" w:rsidP="00EC19E3">
            <w:pPr>
              <w:autoSpaceDE w:val="0"/>
              <w:autoSpaceDN w:val="0"/>
              <w:adjustRightInd w:val="0"/>
              <w:ind w:left="60" w:right="60"/>
              <w:jc w:val="center"/>
              <w:rPr>
                <w:rFonts w:ascii="Calibri" w:eastAsia="Calibri" w:hAnsi="Calibri" w:cs="Calibri"/>
                <w:color w:val="010205"/>
                <w:sz w:val="18"/>
                <w:szCs w:val="20"/>
              </w:rPr>
            </w:pPr>
            <w:r w:rsidRPr="000763AE">
              <w:rPr>
                <w:rFonts w:ascii="Calibri" w:eastAsia="Calibri" w:hAnsi="Calibri" w:cs="Calibri"/>
                <w:color w:val="010205"/>
                <w:sz w:val="18"/>
                <w:szCs w:val="20"/>
              </w:rPr>
              <w:t>-2.792</w:t>
            </w:r>
          </w:p>
        </w:tc>
        <w:tc>
          <w:tcPr>
            <w:tcW w:w="1025" w:type="dxa"/>
            <w:shd w:val="clear" w:color="auto" w:fill="FFFFFF"/>
          </w:tcPr>
          <w:p w:rsidR="00C85FD7" w:rsidRPr="000763AE" w:rsidRDefault="00C85FD7" w:rsidP="00EC19E3">
            <w:pPr>
              <w:autoSpaceDE w:val="0"/>
              <w:autoSpaceDN w:val="0"/>
              <w:adjustRightInd w:val="0"/>
              <w:ind w:left="60" w:right="60"/>
              <w:jc w:val="center"/>
              <w:rPr>
                <w:rFonts w:ascii="Calibri" w:eastAsia="Calibri" w:hAnsi="Calibri" w:cs="Calibri"/>
                <w:color w:val="010205"/>
                <w:sz w:val="18"/>
                <w:szCs w:val="20"/>
              </w:rPr>
            </w:pPr>
            <w:r w:rsidRPr="000763AE">
              <w:rPr>
                <w:rFonts w:ascii="Calibri" w:eastAsia="Calibri" w:hAnsi="Calibri" w:cs="Calibri"/>
                <w:color w:val="010205"/>
                <w:sz w:val="18"/>
                <w:szCs w:val="20"/>
              </w:rPr>
              <w:t>0.073</w:t>
            </w:r>
          </w:p>
        </w:tc>
        <w:tc>
          <w:tcPr>
            <w:tcW w:w="1087" w:type="dxa"/>
            <w:shd w:val="clear" w:color="auto" w:fill="FFFFFF"/>
          </w:tcPr>
          <w:p w:rsidR="00C85FD7" w:rsidRPr="000763AE" w:rsidRDefault="00C85FD7" w:rsidP="00EC19E3">
            <w:pPr>
              <w:autoSpaceDE w:val="0"/>
              <w:autoSpaceDN w:val="0"/>
              <w:adjustRightInd w:val="0"/>
              <w:ind w:left="60" w:right="60"/>
              <w:jc w:val="center"/>
              <w:rPr>
                <w:rFonts w:ascii="Calibri" w:eastAsia="Calibri" w:hAnsi="Calibri" w:cs="Calibri"/>
                <w:color w:val="010205"/>
                <w:sz w:val="18"/>
                <w:szCs w:val="20"/>
              </w:rPr>
            </w:pPr>
            <w:r w:rsidRPr="000763AE">
              <w:rPr>
                <w:rFonts w:ascii="Calibri" w:eastAsia="Calibri" w:hAnsi="Calibri" w:cs="Calibri"/>
                <w:color w:val="010205"/>
                <w:sz w:val="18"/>
                <w:szCs w:val="20"/>
              </w:rPr>
              <w:t>1476.686</w:t>
            </w:r>
          </w:p>
        </w:tc>
        <w:tc>
          <w:tcPr>
            <w:tcW w:w="1025" w:type="dxa"/>
            <w:shd w:val="clear" w:color="auto" w:fill="FFFFFF"/>
          </w:tcPr>
          <w:p w:rsidR="00C85FD7" w:rsidRPr="000763AE" w:rsidRDefault="00C85FD7" w:rsidP="00EC19E3">
            <w:pPr>
              <w:autoSpaceDE w:val="0"/>
              <w:autoSpaceDN w:val="0"/>
              <w:adjustRightInd w:val="0"/>
              <w:ind w:left="60" w:right="60"/>
              <w:jc w:val="center"/>
              <w:rPr>
                <w:rFonts w:ascii="Calibri" w:eastAsia="Calibri" w:hAnsi="Calibri" w:cs="Calibri"/>
                <w:color w:val="010205"/>
                <w:sz w:val="18"/>
                <w:szCs w:val="20"/>
              </w:rPr>
            </w:pPr>
            <w:r w:rsidRPr="000763AE">
              <w:rPr>
                <w:rFonts w:ascii="Calibri" w:eastAsia="Calibri" w:hAnsi="Calibri" w:cs="Calibri"/>
                <w:color w:val="010205"/>
                <w:sz w:val="18"/>
                <w:szCs w:val="20"/>
              </w:rPr>
              <w:t>1</w:t>
            </w:r>
          </w:p>
        </w:tc>
        <w:tc>
          <w:tcPr>
            <w:tcW w:w="1025" w:type="dxa"/>
            <w:shd w:val="clear" w:color="auto" w:fill="FFFFFF"/>
          </w:tcPr>
          <w:p w:rsidR="00C85FD7" w:rsidRPr="000763AE" w:rsidRDefault="00C85FD7" w:rsidP="00EC19E3">
            <w:pPr>
              <w:autoSpaceDE w:val="0"/>
              <w:autoSpaceDN w:val="0"/>
              <w:adjustRightInd w:val="0"/>
              <w:ind w:left="60" w:right="60"/>
              <w:jc w:val="center"/>
              <w:rPr>
                <w:rFonts w:ascii="Calibri" w:eastAsia="Calibri" w:hAnsi="Calibri" w:cs="Calibri"/>
                <w:color w:val="010205"/>
                <w:sz w:val="18"/>
                <w:szCs w:val="20"/>
              </w:rPr>
            </w:pPr>
            <w:r w:rsidRPr="000763AE">
              <w:rPr>
                <w:rFonts w:ascii="Calibri" w:eastAsia="Calibri" w:hAnsi="Calibri" w:cs="Calibri"/>
                <w:color w:val="010205"/>
                <w:sz w:val="18"/>
                <w:szCs w:val="20"/>
              </w:rPr>
              <w:t>.000</w:t>
            </w:r>
          </w:p>
        </w:tc>
        <w:tc>
          <w:tcPr>
            <w:tcW w:w="1025" w:type="dxa"/>
            <w:shd w:val="clear" w:color="auto" w:fill="FFFFFF"/>
          </w:tcPr>
          <w:p w:rsidR="00C85FD7" w:rsidRPr="000763AE" w:rsidRDefault="00C85FD7" w:rsidP="00EC19E3">
            <w:pPr>
              <w:autoSpaceDE w:val="0"/>
              <w:autoSpaceDN w:val="0"/>
              <w:adjustRightInd w:val="0"/>
              <w:ind w:left="60" w:right="60"/>
              <w:jc w:val="center"/>
              <w:rPr>
                <w:rFonts w:ascii="Calibri" w:eastAsia="Calibri" w:hAnsi="Calibri" w:cs="Calibri"/>
                <w:color w:val="010205"/>
                <w:sz w:val="18"/>
                <w:szCs w:val="20"/>
              </w:rPr>
            </w:pPr>
            <w:r w:rsidRPr="000763AE">
              <w:rPr>
                <w:rFonts w:ascii="Calibri" w:eastAsia="Calibri" w:hAnsi="Calibri" w:cs="Calibri"/>
                <w:color w:val="010205"/>
                <w:sz w:val="18"/>
                <w:szCs w:val="20"/>
              </w:rPr>
              <w:t>0.061</w:t>
            </w:r>
          </w:p>
        </w:tc>
      </w:tr>
    </w:tbl>
    <w:p w:rsidR="00EC19E3" w:rsidRPr="000763AE" w:rsidRDefault="00EC19E3" w:rsidP="00EC19E3">
      <w:pPr>
        <w:autoSpaceDE w:val="0"/>
        <w:autoSpaceDN w:val="0"/>
        <w:adjustRightInd w:val="0"/>
        <w:jc w:val="both"/>
        <w:rPr>
          <w:rFonts w:eastAsia="Calibri"/>
          <w:b/>
        </w:rPr>
      </w:pPr>
    </w:p>
    <w:p w:rsidR="00EC19E3" w:rsidRPr="000763AE" w:rsidRDefault="00EC19E3" w:rsidP="00EC19E3">
      <w:pPr>
        <w:autoSpaceDE w:val="0"/>
        <w:autoSpaceDN w:val="0"/>
        <w:adjustRightInd w:val="0"/>
        <w:jc w:val="both"/>
        <w:rPr>
          <w:rFonts w:eastAsia="Calibri"/>
          <w:b/>
        </w:rPr>
      </w:pPr>
    </w:p>
    <w:p w:rsidR="00C85FD7" w:rsidRPr="000763AE" w:rsidRDefault="00C85FD7" w:rsidP="00EC19E3">
      <w:pPr>
        <w:autoSpaceDE w:val="0"/>
        <w:autoSpaceDN w:val="0"/>
        <w:adjustRightInd w:val="0"/>
        <w:jc w:val="both"/>
        <w:rPr>
          <w:rFonts w:eastAsia="Calibri"/>
          <w:b/>
        </w:rPr>
      </w:pPr>
      <w:r w:rsidRPr="000763AE">
        <w:rPr>
          <w:rFonts w:eastAsia="Calibri"/>
          <w:b/>
        </w:rPr>
        <w:t>The Full Model</w:t>
      </w:r>
    </w:p>
    <w:p w:rsidR="00C85FD7" w:rsidRPr="000763AE" w:rsidRDefault="00C85FD7" w:rsidP="00EC19E3">
      <w:pPr>
        <w:autoSpaceDE w:val="0"/>
        <w:autoSpaceDN w:val="0"/>
        <w:adjustRightInd w:val="0"/>
        <w:jc w:val="both"/>
        <w:rPr>
          <w:rFonts w:eastAsia="Calibri"/>
        </w:rPr>
      </w:pPr>
    </w:p>
    <w:p w:rsidR="00C85FD7" w:rsidRPr="000763AE" w:rsidRDefault="00C85FD7" w:rsidP="00B11B34">
      <w:pPr>
        <w:spacing w:line="360" w:lineRule="auto"/>
        <w:jc w:val="both"/>
        <w:rPr>
          <w:rFonts w:eastAsia="Calibri"/>
        </w:rPr>
      </w:pPr>
      <w:r w:rsidRPr="000763AE">
        <w:rPr>
          <w:rFonts w:eastAsia="Calibri"/>
        </w:rPr>
        <w:tab/>
        <w:t>Block 1 of the Full Model was the next section analyzed of the SPSS output.  Review of the Omnibus Tests</w:t>
      </w:r>
      <w:r w:rsidR="000365EC" w:rsidRPr="000763AE">
        <w:rPr>
          <w:rFonts w:eastAsia="Calibri"/>
        </w:rPr>
        <w:t xml:space="preserve"> of Model Coefficients (Table 21</w:t>
      </w:r>
      <w:r w:rsidRPr="000763AE">
        <w:rPr>
          <w:rFonts w:eastAsia="Calibri"/>
        </w:rPr>
        <w:t>) provided a</w:t>
      </w:r>
      <w:r w:rsidRPr="000763AE">
        <w:rPr>
          <w:rFonts w:eastAsia="Calibri"/>
          <w:color w:val="FF0000"/>
        </w:rPr>
        <w:t xml:space="preserve"> </w:t>
      </w:r>
      <w:r w:rsidRPr="000763AE">
        <w:rPr>
          <w:rFonts w:eastAsia="Calibri"/>
        </w:rPr>
        <w:t>Wald</w:t>
      </w:r>
      <w:r w:rsidRPr="000763AE">
        <w:rPr>
          <w:rFonts w:eastAsia="Calibri"/>
          <w:color w:val="FF0000"/>
        </w:rPr>
        <w:t xml:space="preserve"> </w:t>
      </w:r>
      <w:r w:rsidRPr="000763AE">
        <w:rPr>
          <w:rFonts w:eastAsia="Calibri"/>
        </w:rPr>
        <w:t xml:space="preserve">Chi-square of 194.585 on 20 degrees of freedom and a p-value of 0.000.  There are 20 degrees of freedom because there are 20 predictors in the model. These predictors include </w:t>
      </w:r>
      <w:r w:rsidRPr="000763AE">
        <w:rPr>
          <w:rFonts w:eastAsia="Calibri"/>
        </w:rPr>
        <w:lastRenderedPageBreak/>
        <w:t>variables plus their sub-categorical values</w:t>
      </w:r>
      <w:r w:rsidR="00883AF7" w:rsidRPr="000763AE">
        <w:rPr>
          <w:rFonts w:eastAsia="Calibri"/>
        </w:rPr>
        <w:t>,</w:t>
      </w:r>
      <w:r w:rsidRPr="000763AE">
        <w:rPr>
          <w:rFonts w:eastAsia="Calibri"/>
        </w:rPr>
        <w:t xml:space="preserve"> such </w:t>
      </w:r>
      <w:r w:rsidR="00883AF7" w:rsidRPr="000763AE">
        <w:rPr>
          <w:rFonts w:eastAsia="Calibri"/>
        </w:rPr>
        <w:t xml:space="preserve">as </w:t>
      </w:r>
      <w:r w:rsidRPr="000763AE">
        <w:rPr>
          <w:rFonts w:eastAsia="Calibri"/>
        </w:rPr>
        <w:t>race</w:t>
      </w:r>
      <w:r w:rsidR="00883AF7" w:rsidRPr="000763AE">
        <w:rPr>
          <w:rFonts w:eastAsia="Calibri"/>
        </w:rPr>
        <w:t>,</w:t>
      </w:r>
      <w:r w:rsidRPr="000763AE">
        <w:rPr>
          <w:rFonts w:eastAsia="Calibri"/>
        </w:rPr>
        <w:t xml:space="preserve"> which is subdivided into three category values of white, black, and other.  The focus of this analysis is evaluating the full model so only the Chi-square for Model column was relevant, although the Step and Block columns had the same results since a stepwise analysis was not performed. Lastly, since the p-value was statistically significant (Sig. 0.000), the null</w:t>
      </w:r>
      <w:r w:rsidR="00883AF7" w:rsidRPr="000763AE">
        <w:rPr>
          <w:rFonts w:eastAsia="Calibri"/>
        </w:rPr>
        <w:t xml:space="preserve"> hypothesis</w:t>
      </w:r>
      <w:r w:rsidRPr="000763AE">
        <w:rPr>
          <w:rFonts w:eastAsia="Calibri"/>
        </w:rPr>
        <w:t xml:space="preserve"> was rejected and the predictor variables significantly increased the explanatory power of the model for the odds of receiving a foot exam during a 2015 NAMCS visit with a diagnosis of diabetes.   </w:t>
      </w:r>
    </w:p>
    <w:p w:rsidR="00C85FD7" w:rsidRPr="000763AE" w:rsidRDefault="00C85FD7" w:rsidP="00B11B34">
      <w:pPr>
        <w:spacing w:line="360" w:lineRule="auto"/>
        <w:jc w:val="both"/>
        <w:rPr>
          <w:color w:val="262626"/>
        </w:rPr>
      </w:pPr>
      <w:r w:rsidRPr="000763AE">
        <w:rPr>
          <w:rFonts w:eastAsia="Calibri"/>
        </w:rPr>
        <w:tab/>
        <w:t xml:space="preserve">The fit of a logistic regression model with the data being modeled is measured by </w:t>
      </w:r>
      <w:proofErr w:type="gramStart"/>
      <w:r w:rsidR="00082D29" w:rsidRPr="000763AE">
        <w:rPr>
          <w:rFonts w:eastAsia="Calibri"/>
        </w:rPr>
        <w:t xml:space="preserve">a </w:t>
      </w:r>
      <w:r w:rsidRPr="000763AE">
        <w:rPr>
          <w:rFonts w:eastAsia="Calibri"/>
        </w:rPr>
        <w:t>Log</w:t>
      </w:r>
      <w:proofErr w:type="gramEnd"/>
      <w:r w:rsidRPr="000763AE">
        <w:rPr>
          <w:rFonts w:eastAsia="Calibri"/>
        </w:rPr>
        <w:t xml:space="preserve"> likelihood.  As new variables are introduced, improvements in the model are measured by the change</w:t>
      </w:r>
      <w:r w:rsidRPr="000763AE">
        <w:rPr>
          <w:rFonts w:eastAsia="Calibri"/>
        </w:rPr>
        <w:softHyphen/>
      </w:r>
      <w:r w:rsidRPr="000763AE">
        <w:rPr>
          <w:rFonts w:eastAsia="Calibri"/>
        </w:rPr>
        <w:softHyphen/>
      </w:r>
      <w:r w:rsidRPr="000763AE">
        <w:rPr>
          <w:rFonts w:eastAsia="Calibri"/>
        </w:rPr>
        <w:softHyphen/>
      </w:r>
      <w:r w:rsidRPr="000763AE">
        <w:rPr>
          <w:rFonts w:eastAsia="Calibri"/>
        </w:rPr>
        <w:softHyphen/>
      </w:r>
      <w:r w:rsidRPr="000763AE">
        <w:rPr>
          <w:rFonts w:eastAsia="Calibri"/>
        </w:rPr>
        <w:softHyphen/>
        <w:t xml:space="preserve"> in the Log likelihood. </w:t>
      </w:r>
      <w:r w:rsidRPr="00C85FD7">
        <w:t xml:space="preserve">The Log Likelihood is a measurement of how well the model will predict an outcome.  </w:t>
      </w:r>
      <w:r w:rsidRPr="000763AE">
        <w:rPr>
          <w:rFonts w:eastAsia="Calibri"/>
        </w:rPr>
        <w:t>The smaller</w:t>
      </w:r>
      <w:r w:rsidR="008537C9" w:rsidRPr="000763AE">
        <w:rPr>
          <w:rFonts w:eastAsia="Calibri"/>
        </w:rPr>
        <w:t xml:space="preserve"> the</w:t>
      </w:r>
      <w:r w:rsidRPr="000763AE">
        <w:rPr>
          <w:rFonts w:eastAsia="Calibri"/>
        </w:rPr>
        <w:t xml:space="preserve"> Log likelihood values, the better the model will perform (Warner, 2008).  </w:t>
      </w:r>
      <w:r w:rsidR="000365EC">
        <w:t>The model summary, Table 22</w:t>
      </w:r>
      <w:r w:rsidRPr="00C85FD7">
        <w:t xml:space="preserve">, provides the Log </w:t>
      </w:r>
      <w:r w:rsidR="008537C9">
        <w:t>l</w:t>
      </w:r>
      <w:r w:rsidRPr="00C85FD7">
        <w:t xml:space="preserve">ikelihood for the Full Model which was 1341.991. The Log </w:t>
      </w:r>
      <w:r w:rsidR="008537C9">
        <w:t>l</w:t>
      </w:r>
      <w:r w:rsidRPr="00C85FD7">
        <w:t>ikelihood for the Full Model</w:t>
      </w:r>
      <w:r w:rsidR="008537C9">
        <w:t>,</w:t>
      </w:r>
      <w:r w:rsidRPr="00C85FD7">
        <w:t xml:space="preserve"> including all predictive variables for patient, provider, and practice characteristics</w:t>
      </w:r>
      <w:r w:rsidR="008537C9">
        <w:t>,</w:t>
      </w:r>
      <w:r w:rsidRPr="00C85FD7">
        <w:t xml:space="preserve"> served as the comparative model for the subsequent analysis of the subset characteristics in this research.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 xml:space="preserve">The Hosmer and </w:t>
      </w:r>
      <w:proofErr w:type="spellStart"/>
      <w:r w:rsidRPr="000763AE">
        <w:rPr>
          <w:rFonts w:eastAsia="Calibri"/>
        </w:rPr>
        <w:t>Lemeshow</w:t>
      </w:r>
      <w:proofErr w:type="spellEnd"/>
      <w:r w:rsidRPr="000763AE">
        <w:rPr>
          <w:rFonts w:eastAsia="Calibri"/>
        </w:rPr>
        <w:t xml:space="preserve"> test, </w:t>
      </w:r>
      <w:r w:rsidR="008537C9" w:rsidRPr="000763AE">
        <w:rPr>
          <w:rFonts w:eastAsia="Calibri"/>
        </w:rPr>
        <w:t xml:space="preserve">shown in </w:t>
      </w:r>
      <w:r w:rsidR="000365EC" w:rsidRPr="000763AE">
        <w:rPr>
          <w:rFonts w:eastAsia="Calibri"/>
        </w:rPr>
        <w:t>Table 23</w:t>
      </w:r>
      <w:r w:rsidRPr="000763AE">
        <w:rPr>
          <w:rFonts w:eastAsia="Calibri"/>
        </w:rPr>
        <w:t xml:space="preserve">, is a goodness-of-fit test used for logistic regression.  It is a Chi-square distribution however the results are interpreted in the opposite manner than that of the typical significance value.  The null hypothesis interpretation for the Homer and </w:t>
      </w:r>
      <w:proofErr w:type="spellStart"/>
      <w:r w:rsidRPr="000763AE">
        <w:rPr>
          <w:rFonts w:eastAsia="Calibri"/>
        </w:rPr>
        <w:t>Lemeshow</w:t>
      </w:r>
      <w:proofErr w:type="spellEnd"/>
      <w:r w:rsidRPr="000763AE">
        <w:rPr>
          <w:rFonts w:eastAsia="Calibri"/>
        </w:rPr>
        <w:t xml:space="preserve"> is that if it has a p-value of &lt; 0.05 the model does not fit the data.   The Hosmer and </w:t>
      </w:r>
      <w:proofErr w:type="spellStart"/>
      <w:r w:rsidRPr="000763AE">
        <w:rPr>
          <w:rFonts w:eastAsia="Calibri"/>
        </w:rPr>
        <w:t>Lemeshow</w:t>
      </w:r>
      <w:proofErr w:type="spellEnd"/>
      <w:r w:rsidRPr="000763AE">
        <w:rPr>
          <w:rFonts w:eastAsia="Calibri"/>
        </w:rPr>
        <w:t xml:space="preserve"> test for the full model in this research has a p-value of 0.381, which means that the model is a reasonable fit for the data. </w:t>
      </w: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The classification table, Tabl</w:t>
      </w:r>
      <w:r w:rsidR="000365EC" w:rsidRPr="000763AE">
        <w:rPr>
          <w:rFonts w:eastAsia="Calibri"/>
        </w:rPr>
        <w:t>e 24</w:t>
      </w:r>
      <w:r w:rsidRPr="000763AE">
        <w:rPr>
          <w:rFonts w:eastAsia="Calibri"/>
        </w:rPr>
        <w:t xml:space="preserve">, provides data on the accuracy results for the model.  Of the 3,280 observations not having a foot exam, the model predicted 3275 accurately of not having a foot exam performed and 5 inaccurately as having a foot exam done when in fact the visit did not include one.  Based on these results, the rate of predicting a visit with a diagnosis of diabetes not obtaining a foot exam is 99.8% which is considered to be a strong accuracy rate. In turn, the predictive accuracy of having a foot exam performed was nowhere nearly as strong as that of not obtaining a foot exam.  Of the 201 observations for having a foot exam performed, only 5 were predicted accurately </w:t>
      </w:r>
      <w:r w:rsidRPr="000763AE">
        <w:rPr>
          <w:rFonts w:eastAsia="Calibri"/>
        </w:rPr>
        <w:lastRenderedPageBreak/>
        <w:t xml:space="preserve">as having a foot exam performed and 196 were inaccurately predicted as not having a foot exam done when in fact it was, making accuracy rate for this prediction was only 2.5%.  However, the overall accuracy rate was 94.2% indicating the model performs well overall. </w:t>
      </w:r>
    </w:p>
    <w:p w:rsidR="00EC19E3" w:rsidRPr="000763AE" w:rsidRDefault="00EC19E3" w:rsidP="00B11B34">
      <w:pPr>
        <w:autoSpaceDE w:val="0"/>
        <w:autoSpaceDN w:val="0"/>
        <w:adjustRightInd w:val="0"/>
        <w:spacing w:line="360" w:lineRule="auto"/>
        <w:jc w:val="both"/>
        <w:rPr>
          <w:rFonts w:eastAsia="Calibri"/>
        </w:rPr>
      </w:pPr>
    </w:p>
    <w:p w:rsidR="00C85FD7" w:rsidRPr="000763AE" w:rsidRDefault="000365EC" w:rsidP="00EC19E3">
      <w:pPr>
        <w:autoSpaceDE w:val="0"/>
        <w:autoSpaceDN w:val="0"/>
        <w:adjustRightInd w:val="0"/>
        <w:jc w:val="both"/>
        <w:rPr>
          <w:rFonts w:eastAsia="Calibri"/>
        </w:rPr>
      </w:pPr>
      <w:proofErr w:type="gramStart"/>
      <w:r w:rsidRPr="000763AE">
        <w:rPr>
          <w:rFonts w:eastAsia="Calibri"/>
          <w:b/>
        </w:rPr>
        <w:t>Table 21</w:t>
      </w:r>
      <w:r w:rsidR="00C85FD7" w:rsidRPr="000763AE">
        <w:rPr>
          <w:rFonts w:eastAsia="Calibri"/>
          <w:b/>
        </w:rPr>
        <w:t>.</w:t>
      </w:r>
      <w:proofErr w:type="gramEnd"/>
      <w:r w:rsidR="00C85FD7" w:rsidRPr="000763AE">
        <w:rPr>
          <w:rFonts w:eastAsia="Calibri"/>
          <w:b/>
        </w:rPr>
        <w:t xml:space="preserve"> </w:t>
      </w:r>
      <w:r w:rsidR="00C85FD7" w:rsidRPr="000763AE">
        <w:rPr>
          <w:rFonts w:eastAsia="Calibri"/>
        </w:rPr>
        <w:t>SPSS Output of the Omnibus tests of model coefficients for the full model of the binary logistic regression for predicting a foot exam bring performed on a 2015 NAMCS visit with diabetes diagnosis.</w:t>
      </w:r>
    </w:p>
    <w:tbl>
      <w:tblPr>
        <w:tblW w:w="500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2"/>
        <w:gridCol w:w="810"/>
        <w:gridCol w:w="1262"/>
        <w:gridCol w:w="1044"/>
        <w:gridCol w:w="1044"/>
      </w:tblGrid>
      <w:tr w:rsidR="00C85FD7" w:rsidRPr="00C85FD7" w:rsidTr="00EC19E3">
        <w:trPr>
          <w:cantSplit/>
          <w:jc w:val="center"/>
        </w:trPr>
        <w:tc>
          <w:tcPr>
            <w:tcW w:w="5001" w:type="dxa"/>
            <w:gridSpan w:val="5"/>
            <w:tcBorders>
              <w:top w:val="nil"/>
              <w:left w:val="nil"/>
              <w:bottom w:val="nil"/>
              <w:right w:val="nil"/>
            </w:tcBorders>
            <w:shd w:val="clear" w:color="auto" w:fill="FFFFFF"/>
            <w:vAlign w:val="center"/>
          </w:tcPr>
          <w:p w:rsidR="00C85FD7" w:rsidRPr="000763AE" w:rsidRDefault="00C85FD7" w:rsidP="00EC19E3">
            <w:pPr>
              <w:widowControl w:val="0"/>
              <w:autoSpaceDE w:val="0"/>
              <w:autoSpaceDN w:val="0"/>
              <w:adjustRightInd w:val="0"/>
              <w:ind w:left="60" w:right="60"/>
              <w:rPr>
                <w:rFonts w:ascii="Arial" w:hAnsi="Arial" w:cs="Arial"/>
                <w:color w:val="010205"/>
                <w:sz w:val="22"/>
                <w:szCs w:val="22"/>
              </w:rPr>
            </w:pPr>
          </w:p>
        </w:tc>
      </w:tr>
      <w:tr w:rsidR="00C85FD7" w:rsidRPr="00C85FD7" w:rsidTr="000763AE">
        <w:trPr>
          <w:cantSplit/>
          <w:jc w:val="center"/>
        </w:trPr>
        <w:tc>
          <w:tcPr>
            <w:tcW w:w="1651" w:type="dxa"/>
            <w:gridSpan w:val="2"/>
            <w:tcBorders>
              <w:top w:val="nil"/>
              <w:left w:val="nil"/>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pPr>
          </w:p>
        </w:tc>
        <w:tc>
          <w:tcPr>
            <w:tcW w:w="1262"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Chi-square</w:t>
            </w:r>
          </w:p>
        </w:tc>
        <w:tc>
          <w:tcPr>
            <w:tcW w:w="1044"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proofErr w:type="spellStart"/>
            <w:r w:rsidRPr="000763AE">
              <w:rPr>
                <w:rFonts w:ascii="Arial" w:hAnsi="Arial" w:cs="Arial"/>
                <w:b/>
                <w:color w:val="FFFFFF"/>
                <w:sz w:val="18"/>
                <w:szCs w:val="18"/>
              </w:rPr>
              <w:t>df</w:t>
            </w:r>
            <w:proofErr w:type="spellEnd"/>
          </w:p>
        </w:tc>
        <w:tc>
          <w:tcPr>
            <w:tcW w:w="1044"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Sig.</w:t>
            </w:r>
          </w:p>
        </w:tc>
      </w:tr>
      <w:tr w:rsidR="00C85FD7" w:rsidRPr="00C85FD7" w:rsidTr="000763AE">
        <w:trPr>
          <w:cantSplit/>
          <w:jc w:val="center"/>
        </w:trPr>
        <w:tc>
          <w:tcPr>
            <w:tcW w:w="841" w:type="dxa"/>
            <w:vMerge w:val="restart"/>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rPr>
                <w:rFonts w:ascii="Arial" w:hAnsi="Arial" w:cs="Arial"/>
                <w:b/>
                <w:color w:val="FFFFFF"/>
                <w:sz w:val="18"/>
                <w:szCs w:val="18"/>
              </w:rPr>
            </w:pPr>
            <w:r w:rsidRPr="000763AE">
              <w:rPr>
                <w:rFonts w:ascii="Arial" w:hAnsi="Arial" w:cs="Arial"/>
                <w:b/>
                <w:color w:val="FFFFFF"/>
                <w:sz w:val="18"/>
                <w:szCs w:val="18"/>
              </w:rPr>
              <w:t>Step 1</w:t>
            </w:r>
          </w:p>
        </w:tc>
        <w:tc>
          <w:tcPr>
            <w:tcW w:w="810"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rPr>
                <w:rFonts w:ascii="Arial" w:hAnsi="Arial" w:cs="Arial"/>
                <w:b/>
                <w:color w:val="FFFFFF"/>
                <w:sz w:val="18"/>
                <w:szCs w:val="18"/>
              </w:rPr>
            </w:pPr>
            <w:r w:rsidRPr="000763AE">
              <w:rPr>
                <w:rFonts w:ascii="Arial" w:hAnsi="Arial" w:cs="Arial"/>
                <w:b/>
                <w:color w:val="FFFFFF"/>
                <w:sz w:val="18"/>
                <w:szCs w:val="18"/>
              </w:rPr>
              <w:t>Step</w:t>
            </w:r>
          </w:p>
        </w:tc>
        <w:tc>
          <w:tcPr>
            <w:tcW w:w="1262"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194.585</w:t>
            </w:r>
          </w:p>
        </w:tc>
        <w:tc>
          <w:tcPr>
            <w:tcW w:w="1044"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20</w:t>
            </w:r>
          </w:p>
        </w:tc>
        <w:tc>
          <w:tcPr>
            <w:tcW w:w="1044"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.000</w:t>
            </w:r>
          </w:p>
        </w:tc>
      </w:tr>
      <w:tr w:rsidR="00C85FD7" w:rsidRPr="00C85FD7" w:rsidTr="000763AE">
        <w:trPr>
          <w:cantSplit/>
          <w:jc w:val="center"/>
        </w:trPr>
        <w:tc>
          <w:tcPr>
            <w:tcW w:w="841" w:type="dxa"/>
            <w:vMerge/>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rPr>
                <w:rFonts w:ascii="Arial" w:hAnsi="Arial" w:cs="Arial"/>
                <w:b/>
                <w:color w:val="FFFFFF"/>
                <w:sz w:val="18"/>
                <w:szCs w:val="18"/>
              </w:rPr>
            </w:pPr>
          </w:p>
        </w:tc>
        <w:tc>
          <w:tcPr>
            <w:tcW w:w="810"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rPr>
                <w:rFonts w:ascii="Arial" w:hAnsi="Arial" w:cs="Arial"/>
                <w:b/>
                <w:color w:val="FFFFFF"/>
                <w:sz w:val="18"/>
                <w:szCs w:val="18"/>
              </w:rPr>
            </w:pPr>
            <w:r w:rsidRPr="000763AE">
              <w:rPr>
                <w:rFonts w:ascii="Arial" w:hAnsi="Arial" w:cs="Arial"/>
                <w:b/>
                <w:color w:val="FFFFFF"/>
                <w:sz w:val="18"/>
                <w:szCs w:val="18"/>
              </w:rPr>
              <w:t>Block</w:t>
            </w:r>
          </w:p>
        </w:tc>
        <w:tc>
          <w:tcPr>
            <w:tcW w:w="1262"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194.585</w:t>
            </w:r>
          </w:p>
        </w:tc>
        <w:tc>
          <w:tcPr>
            <w:tcW w:w="1044"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20</w:t>
            </w:r>
          </w:p>
        </w:tc>
        <w:tc>
          <w:tcPr>
            <w:tcW w:w="1044"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.000</w:t>
            </w:r>
          </w:p>
        </w:tc>
      </w:tr>
      <w:tr w:rsidR="00C85FD7" w:rsidRPr="00C85FD7" w:rsidTr="000763AE">
        <w:trPr>
          <w:cantSplit/>
          <w:jc w:val="center"/>
        </w:trPr>
        <w:tc>
          <w:tcPr>
            <w:tcW w:w="841" w:type="dxa"/>
            <w:vMerge/>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rPr>
                <w:rFonts w:ascii="Arial" w:hAnsi="Arial" w:cs="Arial"/>
                <w:b/>
                <w:color w:val="FFFFFF"/>
                <w:sz w:val="18"/>
                <w:szCs w:val="18"/>
              </w:rPr>
            </w:pPr>
          </w:p>
        </w:tc>
        <w:tc>
          <w:tcPr>
            <w:tcW w:w="810"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rPr>
                <w:rFonts w:ascii="Arial" w:hAnsi="Arial" w:cs="Arial"/>
                <w:b/>
                <w:color w:val="FFFFFF"/>
                <w:sz w:val="18"/>
                <w:szCs w:val="18"/>
              </w:rPr>
            </w:pPr>
            <w:r w:rsidRPr="000763AE">
              <w:rPr>
                <w:rFonts w:ascii="Arial" w:hAnsi="Arial" w:cs="Arial"/>
                <w:b/>
                <w:color w:val="FFFFFF"/>
                <w:sz w:val="18"/>
                <w:szCs w:val="18"/>
              </w:rPr>
              <w:t>Model</w:t>
            </w:r>
          </w:p>
        </w:tc>
        <w:tc>
          <w:tcPr>
            <w:tcW w:w="1262"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194.585</w:t>
            </w:r>
          </w:p>
        </w:tc>
        <w:tc>
          <w:tcPr>
            <w:tcW w:w="1044"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20</w:t>
            </w:r>
          </w:p>
        </w:tc>
        <w:tc>
          <w:tcPr>
            <w:tcW w:w="1044"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.000</w:t>
            </w:r>
          </w:p>
        </w:tc>
      </w:tr>
    </w:tbl>
    <w:p w:rsidR="00C85FD7" w:rsidRPr="000763AE" w:rsidRDefault="00C85FD7" w:rsidP="00EC19E3">
      <w:pPr>
        <w:autoSpaceDE w:val="0"/>
        <w:autoSpaceDN w:val="0"/>
        <w:adjustRightInd w:val="0"/>
        <w:spacing w:before="120"/>
        <w:jc w:val="both"/>
        <w:rPr>
          <w:rFonts w:eastAsia="Calibri"/>
        </w:rPr>
      </w:pPr>
    </w:p>
    <w:p w:rsidR="00C85FD7" w:rsidRPr="000763AE" w:rsidRDefault="000365EC" w:rsidP="00EC19E3">
      <w:pPr>
        <w:autoSpaceDE w:val="0"/>
        <w:autoSpaceDN w:val="0"/>
        <w:adjustRightInd w:val="0"/>
        <w:spacing w:before="120"/>
        <w:jc w:val="both"/>
        <w:rPr>
          <w:rFonts w:eastAsia="Calibri"/>
        </w:rPr>
      </w:pPr>
      <w:proofErr w:type="gramStart"/>
      <w:r w:rsidRPr="000763AE">
        <w:rPr>
          <w:rFonts w:eastAsia="Calibri"/>
          <w:b/>
        </w:rPr>
        <w:t>Table 22</w:t>
      </w:r>
      <w:r w:rsidR="00C85FD7" w:rsidRPr="000763AE">
        <w:rPr>
          <w:rFonts w:eastAsia="Calibri"/>
          <w:b/>
        </w:rPr>
        <w:t>.</w:t>
      </w:r>
      <w:proofErr w:type="gramEnd"/>
      <w:r w:rsidR="00C85FD7" w:rsidRPr="000763AE">
        <w:rPr>
          <w:rFonts w:eastAsia="Calibri"/>
          <w:b/>
        </w:rPr>
        <w:t xml:space="preserve">  </w:t>
      </w:r>
      <w:r w:rsidR="00C85FD7" w:rsidRPr="000763AE">
        <w:rPr>
          <w:rFonts w:eastAsia="Calibri"/>
        </w:rPr>
        <w:t>SPSS Output of the Model Summary for Binary Logistic Regression to Predict Foot Exam on a 2015 NAMCS Visit with Diabetes Diagnosis Full Model.</w:t>
      </w:r>
      <w:r w:rsidR="00C85FD7" w:rsidRPr="000763AE" w:rsidDel="002B589C">
        <w:rPr>
          <w:rFonts w:ascii="Calibri" w:eastAsia="Calibri" w:hAnsi="Calibri"/>
          <w:sz w:val="18"/>
          <w:szCs w:val="18"/>
        </w:rPr>
        <w:t xml:space="preserve"> </w:t>
      </w:r>
    </w:p>
    <w:p w:rsidR="00C85FD7" w:rsidRPr="000763AE" w:rsidRDefault="00C85FD7" w:rsidP="00EC19E3">
      <w:pPr>
        <w:autoSpaceDE w:val="0"/>
        <w:autoSpaceDN w:val="0"/>
        <w:adjustRightInd w:val="0"/>
        <w:spacing w:before="120"/>
        <w:jc w:val="both"/>
        <w:rPr>
          <w:rFonts w:eastAsia="Calibri"/>
        </w:rPr>
      </w:pPr>
    </w:p>
    <w:tbl>
      <w:tblPr>
        <w:tblW w:w="22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46"/>
        <w:gridCol w:w="1495"/>
      </w:tblGrid>
      <w:tr w:rsidR="00C85FD7" w:rsidRPr="00C85FD7" w:rsidTr="000763AE">
        <w:trPr>
          <w:cantSplit/>
          <w:jc w:val="center"/>
        </w:trPr>
        <w:tc>
          <w:tcPr>
            <w:tcW w:w="746" w:type="dxa"/>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Step</w:t>
            </w:r>
          </w:p>
        </w:tc>
        <w:tc>
          <w:tcPr>
            <w:tcW w:w="1495" w:type="dxa"/>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-2 Log likelihood</w:t>
            </w:r>
          </w:p>
        </w:tc>
      </w:tr>
      <w:tr w:rsidR="00C85FD7" w:rsidRPr="00C85FD7" w:rsidTr="000763AE">
        <w:trPr>
          <w:cantSplit/>
          <w:jc w:val="center"/>
        </w:trPr>
        <w:tc>
          <w:tcPr>
            <w:tcW w:w="746" w:type="dxa"/>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264A60"/>
                <w:sz w:val="18"/>
                <w:szCs w:val="18"/>
              </w:rPr>
            </w:pPr>
            <w:r w:rsidRPr="000763AE">
              <w:rPr>
                <w:rFonts w:ascii="Arial" w:hAnsi="Arial" w:cs="Arial"/>
                <w:b/>
                <w:color w:val="FFFFFF"/>
                <w:sz w:val="18"/>
                <w:szCs w:val="18"/>
              </w:rPr>
              <w:t>1</w:t>
            </w:r>
          </w:p>
        </w:tc>
        <w:tc>
          <w:tcPr>
            <w:tcW w:w="1495" w:type="dxa"/>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1341.991</w:t>
            </w:r>
          </w:p>
        </w:tc>
      </w:tr>
    </w:tbl>
    <w:p w:rsidR="00C85FD7" w:rsidRPr="000763AE" w:rsidRDefault="00C85FD7" w:rsidP="00B11B34">
      <w:pPr>
        <w:autoSpaceDE w:val="0"/>
        <w:autoSpaceDN w:val="0"/>
        <w:adjustRightInd w:val="0"/>
        <w:spacing w:before="240" w:line="360" w:lineRule="auto"/>
        <w:jc w:val="both"/>
        <w:rPr>
          <w:rFonts w:eastAsia="Calibri"/>
          <w:b/>
        </w:rPr>
      </w:pPr>
    </w:p>
    <w:p w:rsidR="00C85FD7" w:rsidRPr="000763AE" w:rsidRDefault="000365EC" w:rsidP="00EC19E3">
      <w:pPr>
        <w:autoSpaceDE w:val="0"/>
        <w:autoSpaceDN w:val="0"/>
        <w:adjustRightInd w:val="0"/>
        <w:spacing w:before="240"/>
        <w:jc w:val="both"/>
        <w:rPr>
          <w:rFonts w:eastAsia="Calibri"/>
          <w:b/>
        </w:rPr>
      </w:pPr>
      <w:proofErr w:type="gramStart"/>
      <w:r w:rsidRPr="000763AE">
        <w:rPr>
          <w:rFonts w:eastAsia="Calibri"/>
          <w:b/>
        </w:rPr>
        <w:t>Table 23</w:t>
      </w:r>
      <w:r w:rsidR="00C85FD7" w:rsidRPr="000763AE">
        <w:rPr>
          <w:rFonts w:eastAsia="Calibri"/>
          <w:b/>
        </w:rPr>
        <w:t>.</w:t>
      </w:r>
      <w:proofErr w:type="gramEnd"/>
      <w:r w:rsidR="00C85FD7" w:rsidRPr="000763AE">
        <w:rPr>
          <w:rFonts w:eastAsia="Calibri"/>
          <w:b/>
        </w:rPr>
        <w:t xml:space="preserve">  </w:t>
      </w:r>
      <w:r w:rsidR="00C85FD7" w:rsidRPr="000763AE">
        <w:rPr>
          <w:rFonts w:eastAsia="Calibri"/>
        </w:rPr>
        <w:t>SPSS Output</w:t>
      </w:r>
      <w:r w:rsidR="00C85FD7" w:rsidRPr="00C85FD7">
        <w:t xml:space="preserve"> </w:t>
      </w:r>
      <w:r w:rsidR="00C85FD7" w:rsidRPr="000763AE">
        <w:rPr>
          <w:rFonts w:eastAsia="Calibri"/>
        </w:rPr>
        <w:t xml:space="preserve">for Hosmer and </w:t>
      </w:r>
      <w:proofErr w:type="spellStart"/>
      <w:r w:rsidR="00C85FD7" w:rsidRPr="000763AE">
        <w:rPr>
          <w:rFonts w:eastAsia="Calibri"/>
        </w:rPr>
        <w:t>Lemeshow</w:t>
      </w:r>
      <w:proofErr w:type="spellEnd"/>
      <w:r w:rsidR="00C85FD7" w:rsidRPr="000763AE">
        <w:rPr>
          <w:rFonts w:eastAsia="Calibri"/>
        </w:rPr>
        <w:t xml:space="preserve"> test of the Full model of the binary logistic regression analysis for predicting a foot exam on a 2015 NAMCS visit with a diabetes diagnosis.</w:t>
      </w:r>
      <w:r w:rsidR="00C85FD7" w:rsidRPr="000763AE" w:rsidDel="002B589C">
        <w:rPr>
          <w:rFonts w:ascii="Calibri" w:eastAsia="Calibri" w:hAnsi="Calibri"/>
          <w:sz w:val="18"/>
          <w:szCs w:val="18"/>
        </w:rPr>
        <w:t xml:space="preserve"> </w:t>
      </w:r>
    </w:p>
    <w:tbl>
      <w:tblPr>
        <w:tblW w:w="402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40"/>
        <w:gridCol w:w="1025"/>
        <w:gridCol w:w="1025"/>
      </w:tblGrid>
      <w:tr w:rsidR="00C85FD7" w:rsidRPr="00C85FD7" w:rsidTr="00A377FD">
        <w:trPr>
          <w:cantSplit/>
          <w:jc w:val="center"/>
        </w:trPr>
        <w:tc>
          <w:tcPr>
            <w:tcW w:w="4023" w:type="dxa"/>
            <w:gridSpan w:val="4"/>
            <w:tcBorders>
              <w:top w:val="nil"/>
              <w:left w:val="nil"/>
              <w:bottom w:val="single" w:sz="4" w:space="0" w:color="auto"/>
              <w:right w:val="nil"/>
            </w:tcBorders>
            <w:shd w:val="clear" w:color="auto" w:fill="FFFFFF"/>
            <w:vAlign w:val="center"/>
          </w:tcPr>
          <w:p w:rsidR="00C85FD7" w:rsidRPr="000763AE" w:rsidRDefault="00C85FD7" w:rsidP="00EC19E3">
            <w:pPr>
              <w:autoSpaceDE w:val="0"/>
              <w:autoSpaceDN w:val="0"/>
              <w:adjustRightInd w:val="0"/>
              <w:jc w:val="both"/>
              <w:rPr>
                <w:rFonts w:eastAsia="Calibri"/>
              </w:rPr>
            </w:pPr>
          </w:p>
        </w:tc>
      </w:tr>
      <w:tr w:rsidR="00C85FD7" w:rsidRPr="00C85FD7" w:rsidTr="000763AE">
        <w:trPr>
          <w:cantSplit/>
          <w:jc w:val="center"/>
        </w:trPr>
        <w:tc>
          <w:tcPr>
            <w:tcW w:w="733" w:type="dxa"/>
            <w:tcBorders>
              <w:top w:val="single" w:sz="4" w:space="0" w:color="auto"/>
              <w:left w:val="single" w:sz="4" w:space="0" w:color="auto"/>
              <w:bottom w:val="single" w:sz="4" w:space="0" w:color="auto"/>
              <w:right w:val="single" w:sz="4" w:space="0" w:color="auto"/>
            </w:tcBorders>
            <w:shd w:val="clear" w:color="auto" w:fill="595959"/>
            <w:vAlign w:val="bottom"/>
          </w:tcPr>
          <w:p w:rsidR="00C85FD7" w:rsidRPr="000763AE" w:rsidRDefault="00C85FD7" w:rsidP="00EC19E3">
            <w:pPr>
              <w:autoSpaceDE w:val="0"/>
              <w:autoSpaceDN w:val="0"/>
              <w:adjustRightInd w:val="0"/>
              <w:jc w:val="center"/>
              <w:rPr>
                <w:rFonts w:ascii="Calibri" w:eastAsia="Calibri" w:hAnsi="Calibri" w:cs="Calibri"/>
                <w:b/>
                <w:color w:val="FFFFFF"/>
                <w:sz w:val="22"/>
                <w:szCs w:val="22"/>
              </w:rPr>
            </w:pPr>
            <w:r w:rsidRPr="000763AE">
              <w:rPr>
                <w:rFonts w:ascii="Calibri" w:eastAsia="Calibri" w:hAnsi="Calibri" w:cs="Calibri"/>
                <w:b/>
                <w:color w:val="FFFFFF"/>
                <w:sz w:val="22"/>
                <w:szCs w:val="22"/>
              </w:rPr>
              <w:t>Step</w:t>
            </w:r>
          </w:p>
        </w:tc>
        <w:tc>
          <w:tcPr>
            <w:tcW w:w="1240" w:type="dxa"/>
            <w:tcBorders>
              <w:top w:val="single" w:sz="4" w:space="0" w:color="auto"/>
              <w:left w:val="single" w:sz="4" w:space="0" w:color="auto"/>
              <w:bottom w:val="single" w:sz="4" w:space="0" w:color="auto"/>
              <w:right w:val="single" w:sz="4" w:space="0" w:color="auto"/>
            </w:tcBorders>
            <w:shd w:val="clear" w:color="auto" w:fill="595959"/>
            <w:vAlign w:val="bottom"/>
          </w:tcPr>
          <w:p w:rsidR="00C85FD7" w:rsidRPr="000763AE" w:rsidRDefault="00C85FD7" w:rsidP="00EC19E3">
            <w:pPr>
              <w:autoSpaceDE w:val="0"/>
              <w:autoSpaceDN w:val="0"/>
              <w:adjustRightInd w:val="0"/>
              <w:jc w:val="center"/>
              <w:rPr>
                <w:rFonts w:ascii="Calibri" w:eastAsia="Calibri" w:hAnsi="Calibri" w:cs="Calibri"/>
                <w:b/>
                <w:color w:val="FFFFFF"/>
                <w:sz w:val="22"/>
                <w:szCs w:val="22"/>
              </w:rPr>
            </w:pPr>
            <w:r w:rsidRPr="000763AE">
              <w:rPr>
                <w:rFonts w:ascii="Calibri" w:eastAsia="Calibri" w:hAnsi="Calibri" w:cs="Calibri"/>
                <w:b/>
                <w:color w:val="FFFFFF"/>
                <w:sz w:val="22"/>
                <w:szCs w:val="22"/>
              </w:rPr>
              <w:t>Chi-square</w:t>
            </w:r>
          </w:p>
        </w:tc>
        <w:tc>
          <w:tcPr>
            <w:tcW w:w="1025" w:type="dxa"/>
            <w:tcBorders>
              <w:top w:val="single" w:sz="4" w:space="0" w:color="auto"/>
              <w:left w:val="single" w:sz="4" w:space="0" w:color="auto"/>
              <w:bottom w:val="single" w:sz="4" w:space="0" w:color="auto"/>
              <w:right w:val="single" w:sz="4" w:space="0" w:color="auto"/>
            </w:tcBorders>
            <w:shd w:val="clear" w:color="auto" w:fill="595959"/>
            <w:vAlign w:val="bottom"/>
          </w:tcPr>
          <w:p w:rsidR="00C85FD7" w:rsidRPr="000763AE" w:rsidRDefault="00C85FD7" w:rsidP="00EC19E3">
            <w:pPr>
              <w:autoSpaceDE w:val="0"/>
              <w:autoSpaceDN w:val="0"/>
              <w:adjustRightInd w:val="0"/>
              <w:jc w:val="center"/>
              <w:rPr>
                <w:rFonts w:ascii="Calibri" w:eastAsia="Calibri" w:hAnsi="Calibri" w:cs="Calibri"/>
                <w:b/>
                <w:color w:val="FFFFFF"/>
                <w:sz w:val="22"/>
                <w:szCs w:val="22"/>
              </w:rPr>
            </w:pPr>
            <w:proofErr w:type="spellStart"/>
            <w:r w:rsidRPr="000763AE">
              <w:rPr>
                <w:rFonts w:ascii="Calibri" w:eastAsia="Calibri" w:hAnsi="Calibri" w:cs="Calibri"/>
                <w:b/>
                <w:color w:val="FFFFFF"/>
                <w:sz w:val="22"/>
                <w:szCs w:val="22"/>
              </w:rPr>
              <w:t>df</w:t>
            </w:r>
            <w:proofErr w:type="spellEnd"/>
          </w:p>
        </w:tc>
        <w:tc>
          <w:tcPr>
            <w:tcW w:w="1025" w:type="dxa"/>
            <w:tcBorders>
              <w:top w:val="single" w:sz="4" w:space="0" w:color="auto"/>
              <w:left w:val="single" w:sz="4" w:space="0" w:color="auto"/>
              <w:bottom w:val="single" w:sz="4" w:space="0" w:color="auto"/>
              <w:right w:val="single" w:sz="4" w:space="0" w:color="auto"/>
            </w:tcBorders>
            <w:shd w:val="clear" w:color="auto" w:fill="595959"/>
            <w:vAlign w:val="bottom"/>
          </w:tcPr>
          <w:p w:rsidR="00C85FD7" w:rsidRPr="000763AE" w:rsidRDefault="00C85FD7" w:rsidP="00EC19E3">
            <w:pPr>
              <w:autoSpaceDE w:val="0"/>
              <w:autoSpaceDN w:val="0"/>
              <w:adjustRightInd w:val="0"/>
              <w:jc w:val="center"/>
              <w:rPr>
                <w:rFonts w:ascii="Calibri" w:eastAsia="Calibri" w:hAnsi="Calibri" w:cs="Calibri"/>
                <w:b/>
                <w:color w:val="FFFFFF"/>
                <w:sz w:val="22"/>
                <w:szCs w:val="22"/>
              </w:rPr>
            </w:pPr>
            <w:r w:rsidRPr="000763AE">
              <w:rPr>
                <w:rFonts w:ascii="Calibri" w:eastAsia="Calibri" w:hAnsi="Calibri" w:cs="Calibri"/>
                <w:b/>
                <w:color w:val="FFFFFF"/>
                <w:sz w:val="22"/>
                <w:szCs w:val="22"/>
              </w:rPr>
              <w:t>Sig.</w:t>
            </w:r>
          </w:p>
        </w:tc>
      </w:tr>
      <w:tr w:rsidR="00C85FD7" w:rsidRPr="00C85FD7" w:rsidTr="000763AE">
        <w:trPr>
          <w:cantSplit/>
          <w:jc w:val="center"/>
        </w:trPr>
        <w:tc>
          <w:tcPr>
            <w:tcW w:w="733" w:type="dxa"/>
            <w:tcBorders>
              <w:top w:val="single" w:sz="4" w:space="0" w:color="auto"/>
              <w:left w:val="single" w:sz="4" w:space="0" w:color="auto"/>
              <w:bottom w:val="single" w:sz="4" w:space="0" w:color="auto"/>
              <w:right w:val="single" w:sz="4" w:space="0" w:color="auto"/>
            </w:tcBorders>
            <w:shd w:val="clear" w:color="auto" w:fill="595959"/>
          </w:tcPr>
          <w:p w:rsidR="00C85FD7" w:rsidRPr="000763AE" w:rsidRDefault="00C85FD7" w:rsidP="00EC19E3">
            <w:pPr>
              <w:autoSpaceDE w:val="0"/>
              <w:autoSpaceDN w:val="0"/>
              <w:adjustRightInd w:val="0"/>
              <w:jc w:val="center"/>
              <w:rPr>
                <w:rFonts w:ascii="Calibri" w:eastAsia="Calibri" w:hAnsi="Calibri" w:cs="Calibri"/>
                <w:b/>
                <w:sz w:val="22"/>
                <w:szCs w:val="22"/>
              </w:rPr>
            </w:pPr>
            <w:r w:rsidRPr="000763AE">
              <w:rPr>
                <w:rFonts w:ascii="Calibri" w:eastAsia="Calibri" w:hAnsi="Calibri" w:cs="Calibri"/>
                <w:b/>
                <w:color w:val="FFFFFF"/>
                <w:sz w:val="22"/>
                <w:szCs w:val="22"/>
              </w:rPr>
              <w:t>1</w:t>
            </w:r>
          </w:p>
        </w:tc>
        <w:tc>
          <w:tcPr>
            <w:tcW w:w="1240"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EC19E3">
            <w:pPr>
              <w:autoSpaceDE w:val="0"/>
              <w:autoSpaceDN w:val="0"/>
              <w:adjustRightInd w:val="0"/>
              <w:jc w:val="center"/>
              <w:rPr>
                <w:rFonts w:ascii="Calibri" w:eastAsia="Calibri" w:hAnsi="Calibri" w:cs="Calibri"/>
                <w:sz w:val="22"/>
                <w:szCs w:val="22"/>
              </w:rPr>
            </w:pPr>
            <w:r w:rsidRPr="000763AE">
              <w:rPr>
                <w:rFonts w:ascii="Calibri" w:eastAsia="Calibri" w:hAnsi="Calibri" w:cs="Calibri"/>
                <w:sz w:val="22"/>
                <w:szCs w:val="22"/>
              </w:rPr>
              <w:t>8.561</w:t>
            </w:r>
          </w:p>
        </w:tc>
        <w:tc>
          <w:tcPr>
            <w:tcW w:w="1025"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EC19E3">
            <w:pPr>
              <w:autoSpaceDE w:val="0"/>
              <w:autoSpaceDN w:val="0"/>
              <w:adjustRightInd w:val="0"/>
              <w:jc w:val="center"/>
              <w:rPr>
                <w:rFonts w:ascii="Calibri" w:eastAsia="Calibri" w:hAnsi="Calibri" w:cs="Calibri"/>
                <w:sz w:val="22"/>
                <w:szCs w:val="22"/>
              </w:rPr>
            </w:pPr>
            <w:r w:rsidRPr="000763AE">
              <w:rPr>
                <w:rFonts w:ascii="Calibri" w:eastAsia="Calibri" w:hAnsi="Calibri" w:cs="Calibri"/>
                <w:sz w:val="22"/>
                <w:szCs w:val="22"/>
              </w:rPr>
              <w:t>8</w:t>
            </w:r>
          </w:p>
        </w:tc>
        <w:tc>
          <w:tcPr>
            <w:tcW w:w="1025" w:type="dxa"/>
            <w:tcBorders>
              <w:top w:val="single" w:sz="4" w:space="0" w:color="auto"/>
              <w:left w:val="single" w:sz="4" w:space="0" w:color="auto"/>
              <w:bottom w:val="single" w:sz="4" w:space="0" w:color="auto"/>
              <w:right w:val="single" w:sz="4" w:space="0" w:color="auto"/>
            </w:tcBorders>
            <w:shd w:val="clear" w:color="auto" w:fill="FFFFFF"/>
          </w:tcPr>
          <w:p w:rsidR="00C85FD7" w:rsidRPr="000763AE" w:rsidRDefault="00C85FD7" w:rsidP="00EC19E3">
            <w:pPr>
              <w:autoSpaceDE w:val="0"/>
              <w:autoSpaceDN w:val="0"/>
              <w:adjustRightInd w:val="0"/>
              <w:jc w:val="center"/>
              <w:rPr>
                <w:rFonts w:ascii="Calibri" w:eastAsia="Calibri" w:hAnsi="Calibri" w:cs="Calibri"/>
                <w:sz w:val="22"/>
                <w:szCs w:val="22"/>
              </w:rPr>
            </w:pPr>
            <w:r w:rsidRPr="000763AE">
              <w:rPr>
                <w:rFonts w:ascii="Calibri" w:eastAsia="Calibri" w:hAnsi="Calibri" w:cs="Calibri"/>
                <w:sz w:val="22"/>
                <w:szCs w:val="22"/>
              </w:rPr>
              <w:t>0.381</w:t>
            </w:r>
          </w:p>
        </w:tc>
      </w:tr>
    </w:tbl>
    <w:p w:rsidR="00C85FD7" w:rsidRPr="000763AE" w:rsidRDefault="00C85FD7" w:rsidP="00EC19E3">
      <w:pPr>
        <w:autoSpaceDE w:val="0"/>
        <w:autoSpaceDN w:val="0"/>
        <w:adjustRightInd w:val="0"/>
        <w:jc w:val="both"/>
        <w:rPr>
          <w:rFonts w:eastAsia="Calibri"/>
          <w:b/>
        </w:rPr>
      </w:pPr>
    </w:p>
    <w:p w:rsidR="00C85FD7" w:rsidRPr="000763AE" w:rsidRDefault="00C85FD7" w:rsidP="00EC19E3">
      <w:pPr>
        <w:autoSpaceDE w:val="0"/>
        <w:autoSpaceDN w:val="0"/>
        <w:adjustRightInd w:val="0"/>
        <w:jc w:val="both"/>
        <w:rPr>
          <w:rFonts w:eastAsia="Calibri"/>
          <w:b/>
        </w:rPr>
      </w:pPr>
    </w:p>
    <w:p w:rsidR="00C85FD7" w:rsidRPr="000763AE" w:rsidRDefault="000365EC" w:rsidP="00EC19E3">
      <w:pPr>
        <w:autoSpaceDE w:val="0"/>
        <w:autoSpaceDN w:val="0"/>
        <w:adjustRightInd w:val="0"/>
        <w:jc w:val="both"/>
        <w:rPr>
          <w:rFonts w:ascii="Calibri" w:eastAsia="Calibri" w:hAnsi="Calibri"/>
          <w:sz w:val="18"/>
          <w:szCs w:val="18"/>
        </w:rPr>
      </w:pPr>
      <w:proofErr w:type="gramStart"/>
      <w:r w:rsidRPr="000763AE">
        <w:rPr>
          <w:rFonts w:eastAsia="Calibri"/>
          <w:b/>
        </w:rPr>
        <w:t>Table 24</w:t>
      </w:r>
      <w:r w:rsidR="00C85FD7" w:rsidRPr="000763AE">
        <w:rPr>
          <w:rFonts w:eastAsia="Calibri"/>
          <w:b/>
        </w:rPr>
        <w:t>.</w:t>
      </w:r>
      <w:proofErr w:type="gramEnd"/>
      <w:r w:rsidR="00C85FD7" w:rsidRPr="000763AE">
        <w:rPr>
          <w:rFonts w:eastAsia="Calibri"/>
          <w:b/>
        </w:rPr>
        <w:t xml:space="preserve">  </w:t>
      </w:r>
      <w:r w:rsidR="00C85FD7" w:rsidRPr="000763AE">
        <w:rPr>
          <w:rFonts w:eastAsia="Calibri"/>
        </w:rPr>
        <w:t>SPSS Output</w:t>
      </w:r>
      <w:r w:rsidR="00C85FD7" w:rsidRPr="00C85FD7">
        <w:t xml:space="preserve"> </w:t>
      </w:r>
      <w:r w:rsidR="00C85FD7" w:rsidRPr="000763AE">
        <w:rPr>
          <w:rFonts w:eastAsia="Calibri"/>
        </w:rPr>
        <w:t>for classification table of the Full model of the binary logistic regression analysis for predicting a foot exam on a 2015 NAMCS visit with a diabetes diagnosis.</w:t>
      </w:r>
      <w:r w:rsidR="00C85FD7" w:rsidRPr="000763AE" w:rsidDel="002B589C">
        <w:rPr>
          <w:rFonts w:ascii="Calibri" w:eastAsia="Calibri" w:hAnsi="Calibri"/>
          <w:sz w:val="18"/>
          <w:szCs w:val="18"/>
        </w:rPr>
        <w:t xml:space="preserve"> </w:t>
      </w:r>
    </w:p>
    <w:p w:rsidR="00C85FD7" w:rsidRPr="000763AE" w:rsidRDefault="00C85FD7" w:rsidP="00EC19E3">
      <w:pPr>
        <w:autoSpaceDE w:val="0"/>
        <w:autoSpaceDN w:val="0"/>
        <w:adjustRightInd w:val="0"/>
        <w:jc w:val="both"/>
        <w:rPr>
          <w:rFonts w:ascii="Calibri" w:eastAsia="Calibri" w:hAnsi="Calibri"/>
          <w:sz w:val="18"/>
          <w:szCs w:val="18"/>
        </w:rPr>
      </w:pPr>
    </w:p>
    <w:tbl>
      <w:tblPr>
        <w:tblW w:w="654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8"/>
        <w:gridCol w:w="1180"/>
        <w:gridCol w:w="961"/>
        <w:gridCol w:w="1039"/>
        <w:gridCol w:w="1039"/>
        <w:gridCol w:w="1490"/>
      </w:tblGrid>
      <w:tr w:rsidR="00C85FD7" w:rsidRPr="00C85FD7" w:rsidTr="000763AE">
        <w:trPr>
          <w:cantSplit/>
          <w:jc w:val="center"/>
        </w:trPr>
        <w:tc>
          <w:tcPr>
            <w:tcW w:w="838" w:type="dxa"/>
            <w:vMerge w:val="restart"/>
            <w:tcBorders>
              <w:top w:val="nil"/>
              <w:left w:val="nil"/>
              <w:bottom w:val="nil"/>
              <w:right w:val="single" w:sz="4" w:space="0" w:color="auto"/>
            </w:tcBorders>
            <w:shd w:val="clear" w:color="auto" w:fill="FFFFFF"/>
            <w:vAlign w:val="center"/>
          </w:tcPr>
          <w:p w:rsidR="00C85FD7" w:rsidRPr="000763AE" w:rsidRDefault="00C85FD7" w:rsidP="00EC19E3">
            <w:pPr>
              <w:widowControl w:val="0"/>
              <w:autoSpaceDE w:val="0"/>
              <w:autoSpaceDN w:val="0"/>
              <w:adjustRightInd w:val="0"/>
              <w:jc w:val="center"/>
            </w:pPr>
          </w:p>
        </w:tc>
        <w:tc>
          <w:tcPr>
            <w:tcW w:w="2141" w:type="dxa"/>
            <w:gridSpan w:val="2"/>
            <w:vMerge w:val="restart"/>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Observed</w:t>
            </w:r>
          </w:p>
        </w:tc>
        <w:tc>
          <w:tcPr>
            <w:tcW w:w="3568" w:type="dxa"/>
            <w:gridSpan w:val="3"/>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Predicted</w:t>
            </w:r>
          </w:p>
        </w:tc>
      </w:tr>
      <w:tr w:rsidR="00C85FD7" w:rsidRPr="00C85FD7" w:rsidTr="000763AE">
        <w:trPr>
          <w:cantSplit/>
          <w:jc w:val="center"/>
        </w:trPr>
        <w:tc>
          <w:tcPr>
            <w:tcW w:w="838" w:type="dxa"/>
            <w:vMerge/>
            <w:tcBorders>
              <w:top w:val="nil"/>
              <w:left w:val="nil"/>
              <w:bottom w:val="nil"/>
              <w:right w:val="single" w:sz="4" w:space="0" w:color="auto"/>
            </w:tcBorders>
            <w:shd w:val="clear" w:color="auto" w:fill="FFFFFF"/>
            <w:vAlign w:val="center"/>
          </w:tcPr>
          <w:p w:rsidR="00C85FD7" w:rsidRPr="000763AE" w:rsidRDefault="00C85FD7" w:rsidP="00EC19E3">
            <w:pPr>
              <w:widowControl w:val="0"/>
              <w:autoSpaceDE w:val="0"/>
              <w:autoSpaceDN w:val="0"/>
              <w:adjustRightInd w:val="0"/>
              <w:jc w:val="center"/>
              <w:rPr>
                <w:rFonts w:ascii="Arial" w:hAnsi="Arial" w:cs="Arial"/>
                <w:color w:val="264A60"/>
                <w:sz w:val="18"/>
                <w:szCs w:val="18"/>
              </w:rPr>
            </w:pPr>
          </w:p>
        </w:tc>
        <w:tc>
          <w:tcPr>
            <w:tcW w:w="2141" w:type="dxa"/>
            <w:gridSpan w:val="2"/>
            <w:vMerge/>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jc w:val="center"/>
              <w:rPr>
                <w:rFonts w:ascii="Arial" w:hAnsi="Arial" w:cs="Arial"/>
                <w:b/>
                <w:color w:val="FFFFFF"/>
                <w:sz w:val="18"/>
                <w:szCs w:val="18"/>
              </w:rPr>
            </w:pPr>
          </w:p>
        </w:tc>
        <w:tc>
          <w:tcPr>
            <w:tcW w:w="2078" w:type="dxa"/>
            <w:gridSpan w:val="2"/>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Foot exam</w:t>
            </w:r>
          </w:p>
        </w:tc>
        <w:tc>
          <w:tcPr>
            <w:tcW w:w="1490" w:type="dxa"/>
            <w:vMerge w:val="restart"/>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58" w:right="58"/>
              <w:jc w:val="center"/>
              <w:rPr>
                <w:rFonts w:ascii="Arial" w:hAnsi="Arial" w:cs="Arial"/>
                <w:b/>
                <w:color w:val="FFFFFF"/>
                <w:sz w:val="18"/>
                <w:szCs w:val="18"/>
              </w:rPr>
            </w:pPr>
          </w:p>
          <w:p w:rsidR="00C85FD7" w:rsidRPr="000763AE" w:rsidRDefault="00C85FD7" w:rsidP="00EC19E3">
            <w:pPr>
              <w:widowControl w:val="0"/>
              <w:autoSpaceDE w:val="0"/>
              <w:autoSpaceDN w:val="0"/>
              <w:adjustRightInd w:val="0"/>
              <w:ind w:left="58" w:right="58"/>
              <w:jc w:val="center"/>
              <w:rPr>
                <w:rFonts w:ascii="Arial" w:hAnsi="Arial" w:cs="Arial"/>
                <w:b/>
                <w:color w:val="FFFFFF"/>
                <w:sz w:val="18"/>
                <w:szCs w:val="18"/>
              </w:rPr>
            </w:pPr>
            <w:r w:rsidRPr="000763AE">
              <w:rPr>
                <w:rFonts w:ascii="Arial" w:hAnsi="Arial" w:cs="Arial"/>
                <w:b/>
                <w:color w:val="FFFFFF"/>
                <w:sz w:val="18"/>
                <w:szCs w:val="18"/>
              </w:rPr>
              <w:t>Percentage Correct</w:t>
            </w:r>
          </w:p>
        </w:tc>
      </w:tr>
      <w:tr w:rsidR="00C85FD7" w:rsidRPr="00C85FD7" w:rsidTr="000763AE">
        <w:trPr>
          <w:cantSplit/>
          <w:jc w:val="center"/>
        </w:trPr>
        <w:tc>
          <w:tcPr>
            <w:tcW w:w="838" w:type="dxa"/>
            <w:vMerge/>
            <w:tcBorders>
              <w:top w:val="nil"/>
              <w:left w:val="nil"/>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jc w:val="center"/>
              <w:rPr>
                <w:rFonts w:ascii="Arial" w:hAnsi="Arial" w:cs="Arial"/>
                <w:color w:val="264A60"/>
                <w:sz w:val="18"/>
                <w:szCs w:val="18"/>
              </w:rPr>
            </w:pPr>
          </w:p>
        </w:tc>
        <w:tc>
          <w:tcPr>
            <w:tcW w:w="2141" w:type="dxa"/>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jc w:val="center"/>
              <w:rPr>
                <w:rFonts w:ascii="Arial" w:hAnsi="Arial" w:cs="Arial"/>
                <w:color w:val="264A60"/>
                <w:sz w:val="18"/>
                <w:szCs w:val="18"/>
              </w:rPr>
            </w:pPr>
          </w:p>
        </w:tc>
        <w:tc>
          <w:tcPr>
            <w:tcW w:w="1039"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No</w:t>
            </w:r>
          </w:p>
        </w:tc>
        <w:tc>
          <w:tcPr>
            <w:tcW w:w="1039"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Yes</w:t>
            </w:r>
          </w:p>
        </w:tc>
        <w:tc>
          <w:tcPr>
            <w:tcW w:w="1490" w:type="dxa"/>
            <w:vMerge/>
            <w:tcBorders>
              <w:top w:val="single" w:sz="4" w:space="0" w:color="auto"/>
              <w:left w:val="single" w:sz="4" w:space="0" w:color="auto"/>
              <w:bottom w:val="single" w:sz="4" w:space="0" w:color="auto"/>
              <w:right w:val="single" w:sz="4" w:space="0" w:color="auto"/>
            </w:tcBorders>
            <w:shd w:val="clear" w:color="auto" w:fill="404040"/>
            <w:vAlign w:val="center"/>
          </w:tcPr>
          <w:p w:rsidR="00C85FD7" w:rsidRPr="000763AE" w:rsidRDefault="00C85FD7" w:rsidP="00EC19E3">
            <w:pPr>
              <w:widowControl w:val="0"/>
              <w:autoSpaceDE w:val="0"/>
              <w:autoSpaceDN w:val="0"/>
              <w:adjustRightInd w:val="0"/>
              <w:jc w:val="center"/>
              <w:rPr>
                <w:rFonts w:ascii="Arial" w:hAnsi="Arial" w:cs="Arial"/>
                <w:color w:val="264A60"/>
                <w:sz w:val="18"/>
                <w:szCs w:val="18"/>
              </w:rPr>
            </w:pPr>
          </w:p>
        </w:tc>
      </w:tr>
      <w:tr w:rsidR="00C85FD7" w:rsidRPr="00C85FD7" w:rsidTr="000763AE">
        <w:trPr>
          <w:cantSplit/>
          <w:trHeight w:val="278"/>
          <w:jc w:val="center"/>
        </w:trPr>
        <w:tc>
          <w:tcPr>
            <w:tcW w:w="838" w:type="dxa"/>
            <w:vMerge w:val="restart"/>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Step 1</w:t>
            </w:r>
          </w:p>
        </w:tc>
        <w:tc>
          <w:tcPr>
            <w:tcW w:w="1180" w:type="dxa"/>
            <w:vMerge w:val="restart"/>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Foot exam</w:t>
            </w:r>
          </w:p>
        </w:tc>
        <w:tc>
          <w:tcPr>
            <w:tcW w:w="961"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No</w:t>
            </w:r>
          </w:p>
        </w:tc>
        <w:tc>
          <w:tcPr>
            <w:tcW w:w="1039"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3275</w:t>
            </w:r>
          </w:p>
        </w:tc>
        <w:tc>
          <w:tcPr>
            <w:tcW w:w="1039"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5</w:t>
            </w:r>
          </w:p>
        </w:tc>
        <w:tc>
          <w:tcPr>
            <w:tcW w:w="1490"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99.8</w:t>
            </w:r>
          </w:p>
        </w:tc>
      </w:tr>
      <w:tr w:rsidR="00C85FD7" w:rsidRPr="00C85FD7" w:rsidTr="000763AE">
        <w:trPr>
          <w:cantSplit/>
          <w:jc w:val="center"/>
        </w:trPr>
        <w:tc>
          <w:tcPr>
            <w:tcW w:w="838" w:type="dxa"/>
            <w:vMerge/>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jc w:val="center"/>
              <w:rPr>
                <w:rFonts w:ascii="Arial" w:hAnsi="Arial" w:cs="Arial"/>
                <w:b/>
                <w:color w:val="FFFFFF"/>
                <w:sz w:val="18"/>
                <w:szCs w:val="18"/>
              </w:rPr>
            </w:pPr>
          </w:p>
        </w:tc>
        <w:tc>
          <w:tcPr>
            <w:tcW w:w="1180" w:type="dxa"/>
            <w:vMerge/>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jc w:val="center"/>
              <w:rPr>
                <w:rFonts w:ascii="Arial" w:hAnsi="Arial" w:cs="Arial"/>
                <w:b/>
                <w:color w:val="FFFFFF"/>
                <w:sz w:val="18"/>
                <w:szCs w:val="18"/>
              </w:rPr>
            </w:pPr>
          </w:p>
        </w:tc>
        <w:tc>
          <w:tcPr>
            <w:tcW w:w="961" w:type="dxa"/>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Yes</w:t>
            </w:r>
          </w:p>
        </w:tc>
        <w:tc>
          <w:tcPr>
            <w:tcW w:w="1039"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196</w:t>
            </w:r>
          </w:p>
        </w:tc>
        <w:tc>
          <w:tcPr>
            <w:tcW w:w="1039"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5</w:t>
            </w:r>
          </w:p>
        </w:tc>
        <w:tc>
          <w:tcPr>
            <w:tcW w:w="1490"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2.5</w:t>
            </w:r>
          </w:p>
        </w:tc>
      </w:tr>
      <w:tr w:rsidR="00C85FD7" w:rsidRPr="00C85FD7" w:rsidTr="000763AE">
        <w:trPr>
          <w:cantSplit/>
          <w:jc w:val="center"/>
        </w:trPr>
        <w:tc>
          <w:tcPr>
            <w:tcW w:w="838" w:type="dxa"/>
            <w:vMerge/>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jc w:val="center"/>
              <w:rPr>
                <w:rFonts w:ascii="Arial" w:hAnsi="Arial" w:cs="Arial"/>
                <w:b/>
                <w:color w:val="FFFFFF"/>
                <w:sz w:val="18"/>
                <w:szCs w:val="18"/>
              </w:rPr>
            </w:pPr>
          </w:p>
        </w:tc>
        <w:tc>
          <w:tcPr>
            <w:tcW w:w="2141" w:type="dxa"/>
            <w:gridSpan w:val="2"/>
            <w:tcBorders>
              <w:top w:val="single" w:sz="4" w:space="0" w:color="auto"/>
              <w:left w:val="single" w:sz="4" w:space="0" w:color="auto"/>
              <w:bottom w:val="single" w:sz="4" w:space="0" w:color="auto"/>
              <w:right w:val="single" w:sz="4" w:space="0" w:color="auto"/>
            </w:tcBorders>
            <w:shd w:val="clear" w:color="auto" w:fill="595959"/>
            <w:vAlign w:val="center"/>
          </w:tcPr>
          <w:p w:rsidR="00C85FD7" w:rsidRPr="000763AE" w:rsidRDefault="00C85FD7" w:rsidP="00EC19E3">
            <w:pPr>
              <w:widowControl w:val="0"/>
              <w:autoSpaceDE w:val="0"/>
              <w:autoSpaceDN w:val="0"/>
              <w:adjustRightInd w:val="0"/>
              <w:ind w:left="60" w:right="60"/>
              <w:jc w:val="center"/>
              <w:rPr>
                <w:rFonts w:ascii="Arial" w:hAnsi="Arial" w:cs="Arial"/>
                <w:b/>
                <w:color w:val="FFFFFF"/>
                <w:sz w:val="18"/>
                <w:szCs w:val="18"/>
              </w:rPr>
            </w:pPr>
            <w:r w:rsidRPr="000763AE">
              <w:rPr>
                <w:rFonts w:ascii="Arial" w:hAnsi="Arial" w:cs="Arial"/>
                <w:b/>
                <w:color w:val="FFFFFF"/>
                <w:sz w:val="18"/>
                <w:szCs w:val="18"/>
              </w:rPr>
              <w:t>Overall Percentage</w:t>
            </w:r>
          </w:p>
        </w:tc>
        <w:tc>
          <w:tcPr>
            <w:tcW w:w="1039"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jc w:val="center"/>
            </w:pPr>
          </w:p>
        </w:tc>
        <w:tc>
          <w:tcPr>
            <w:tcW w:w="1039"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jc w:val="center"/>
            </w:pPr>
          </w:p>
        </w:tc>
        <w:tc>
          <w:tcPr>
            <w:tcW w:w="1490" w:type="dxa"/>
            <w:tcBorders>
              <w:top w:val="single" w:sz="4" w:space="0" w:color="auto"/>
              <w:left w:val="single" w:sz="4" w:space="0" w:color="auto"/>
              <w:bottom w:val="single" w:sz="4" w:space="0" w:color="auto"/>
              <w:right w:val="single" w:sz="4" w:space="0" w:color="auto"/>
            </w:tcBorders>
            <w:shd w:val="clear" w:color="auto" w:fill="FFFFFF"/>
            <w:vAlign w:val="center"/>
          </w:tcPr>
          <w:p w:rsidR="00C85FD7" w:rsidRPr="000763AE" w:rsidRDefault="00C85FD7" w:rsidP="00EC19E3">
            <w:pPr>
              <w:widowControl w:val="0"/>
              <w:autoSpaceDE w:val="0"/>
              <w:autoSpaceDN w:val="0"/>
              <w:adjustRightInd w:val="0"/>
              <w:ind w:left="60" w:right="60"/>
              <w:jc w:val="center"/>
              <w:rPr>
                <w:rFonts w:ascii="Arial" w:hAnsi="Arial" w:cs="Arial"/>
                <w:color w:val="010205"/>
                <w:sz w:val="18"/>
                <w:szCs w:val="18"/>
              </w:rPr>
            </w:pPr>
            <w:r w:rsidRPr="000763AE">
              <w:rPr>
                <w:rFonts w:ascii="Arial" w:hAnsi="Arial" w:cs="Arial"/>
                <w:color w:val="010205"/>
                <w:sz w:val="18"/>
                <w:szCs w:val="18"/>
              </w:rPr>
              <w:t>94.2</w:t>
            </w:r>
          </w:p>
        </w:tc>
      </w:tr>
    </w:tbl>
    <w:p w:rsidR="00C85FD7" w:rsidRPr="00C85FD7" w:rsidRDefault="00C85FD7" w:rsidP="00EC19E3">
      <w:pPr>
        <w:jc w:val="both"/>
        <w:rPr>
          <w:b/>
          <w:lang w:eastAsia="ja-JP"/>
        </w:rPr>
      </w:pPr>
    </w:p>
    <w:p w:rsidR="00C85FD7" w:rsidRPr="00C85FD7" w:rsidRDefault="00C85FD7" w:rsidP="00B11B34">
      <w:pPr>
        <w:spacing w:line="360" w:lineRule="auto"/>
        <w:jc w:val="both"/>
        <w:rPr>
          <w:b/>
          <w:lang w:eastAsia="ja-JP"/>
        </w:rPr>
      </w:pPr>
      <w:r w:rsidRPr="00C85FD7">
        <w:rPr>
          <w:b/>
          <w:lang w:eastAsia="ja-JP"/>
        </w:rPr>
        <w:t xml:space="preserve">Odds Ratios </w:t>
      </w:r>
    </w:p>
    <w:p w:rsidR="00C85FD7" w:rsidRPr="00C85FD7" w:rsidRDefault="00C85FD7" w:rsidP="00B11B34">
      <w:pPr>
        <w:spacing w:line="360" w:lineRule="auto"/>
        <w:jc w:val="both"/>
        <w:rPr>
          <w:lang w:eastAsia="ja-JP"/>
        </w:rPr>
      </w:pPr>
    </w:p>
    <w:p w:rsidR="00C85FD7" w:rsidRPr="000763AE" w:rsidRDefault="00C85FD7" w:rsidP="00B11B34">
      <w:pPr>
        <w:spacing w:line="360" w:lineRule="auto"/>
        <w:jc w:val="both"/>
        <w:rPr>
          <w:rFonts w:eastAsia="Calibri"/>
        </w:rPr>
      </w:pPr>
      <w:r w:rsidRPr="00C85FD7">
        <w:rPr>
          <w:lang w:eastAsia="ja-JP"/>
        </w:rPr>
        <w:tab/>
        <w:t xml:space="preserve">The odds ratio analysis provides insight on the strength of association between categories of an independent variable with the outcome of receiving a foot exam. </w:t>
      </w:r>
      <w:r w:rsidRPr="000763AE">
        <w:rPr>
          <w:rFonts w:eastAsia="Calibri"/>
        </w:rPr>
        <w:t>Interpretation of analysis values fall into three categories</w:t>
      </w:r>
      <w:r w:rsidR="008537C9" w:rsidRPr="000763AE">
        <w:rPr>
          <w:rFonts w:eastAsia="Calibri"/>
        </w:rPr>
        <w:t>.</w:t>
      </w:r>
      <w:r w:rsidRPr="000763AE">
        <w:rPr>
          <w:rFonts w:eastAsia="Calibri"/>
        </w:rPr>
        <w:t xml:space="preserve"> </w:t>
      </w:r>
      <w:r w:rsidR="008537C9" w:rsidRPr="000763AE">
        <w:rPr>
          <w:rFonts w:eastAsia="Calibri"/>
        </w:rPr>
        <w:t>G</w:t>
      </w:r>
      <w:r w:rsidRPr="000763AE">
        <w:rPr>
          <w:rFonts w:eastAsia="Calibri"/>
        </w:rPr>
        <w:t>reater than 1</w:t>
      </w:r>
      <w:r w:rsidR="008537C9" w:rsidRPr="000763AE">
        <w:rPr>
          <w:rFonts w:eastAsia="Calibri"/>
        </w:rPr>
        <w:t xml:space="preserve">, </w:t>
      </w:r>
      <w:r w:rsidRPr="000763AE">
        <w:rPr>
          <w:rFonts w:eastAsia="Calibri"/>
        </w:rPr>
        <w:t>when compared to the omitted reference category</w:t>
      </w:r>
      <w:r w:rsidR="008537C9" w:rsidRPr="000763AE">
        <w:rPr>
          <w:rFonts w:eastAsia="Calibri"/>
        </w:rPr>
        <w:t>,</w:t>
      </w:r>
      <w:r w:rsidRPr="000763AE">
        <w:rPr>
          <w:rFonts w:eastAsia="Calibri"/>
        </w:rPr>
        <w:t xml:space="preserve"> </w:t>
      </w:r>
      <w:r w:rsidR="008537C9" w:rsidRPr="000763AE">
        <w:rPr>
          <w:rFonts w:eastAsia="Calibri"/>
        </w:rPr>
        <w:t xml:space="preserve">indicates </w:t>
      </w:r>
      <w:r w:rsidRPr="000763AE">
        <w:rPr>
          <w:rFonts w:eastAsia="Calibri"/>
        </w:rPr>
        <w:t xml:space="preserve">that the value would have greater odds than the alternative to receive a foot exam.  If the value is equal or close to 1, the odds would be equal for both values to receive a foot exam.  Lastly, if the value is less than 1 then the event (foot exam) is less likely to occur (Warner, 2008).  </w:t>
      </w:r>
    </w:p>
    <w:p w:rsidR="00C85FD7" w:rsidRPr="000763AE" w:rsidRDefault="000365EC" w:rsidP="00B11B34">
      <w:pPr>
        <w:spacing w:line="360" w:lineRule="auto"/>
        <w:ind w:firstLine="720"/>
        <w:jc w:val="both"/>
        <w:rPr>
          <w:rFonts w:eastAsia="Calibri"/>
        </w:rPr>
      </w:pPr>
      <w:r>
        <w:rPr>
          <w:lang w:eastAsia="ja-JP"/>
        </w:rPr>
        <w:t>Table 25</w:t>
      </w:r>
      <w:r w:rsidR="00C85FD7" w:rsidRPr="00C85FD7">
        <w:rPr>
          <w:lang w:eastAsia="ja-JP"/>
        </w:rPr>
        <w:t xml:space="preserve"> provides the results for the odds ratios of the full model analysis. All of the discussions of odds ratios that follow are to be understood as the value obtained when all of the other variables were included in the model at the same time.  Only </w:t>
      </w:r>
      <w:r w:rsidR="008537C9">
        <w:rPr>
          <w:lang w:eastAsia="ja-JP"/>
        </w:rPr>
        <w:t>10</w:t>
      </w:r>
      <w:r w:rsidR="008537C9" w:rsidRPr="00C85FD7">
        <w:rPr>
          <w:lang w:eastAsia="ja-JP"/>
        </w:rPr>
        <w:t xml:space="preserve"> </w:t>
      </w:r>
      <w:r w:rsidR="00C85FD7" w:rsidRPr="00C85FD7">
        <w:rPr>
          <w:lang w:eastAsia="ja-JP"/>
        </w:rPr>
        <w:t xml:space="preserve">values of all the variables included in the analysis had statistical significance. The variables with statistical significance are highlighted in orange.  The analysis showed that for non-Hispanics relative to Hispanics, the odds of having a foot exam are 0.53 (CI = 0.338 - 0.847), meaning that non-Hispanics are less likely to receive a foot exam.  It also showed that for Blacks relative to Whites, the odds of having a foot exam are 1.61 (CI = 1.022 - 2.527), </w:t>
      </w:r>
      <w:r w:rsidR="008537C9">
        <w:rPr>
          <w:lang w:eastAsia="ja-JP"/>
        </w:rPr>
        <w:t>showing</w:t>
      </w:r>
      <w:r w:rsidR="008537C9" w:rsidRPr="00C85FD7">
        <w:rPr>
          <w:lang w:eastAsia="ja-JP"/>
        </w:rPr>
        <w:t xml:space="preserve"> </w:t>
      </w:r>
      <w:r w:rsidR="00C85FD7" w:rsidRPr="00C85FD7">
        <w:rPr>
          <w:lang w:eastAsia="ja-JP"/>
        </w:rPr>
        <w:t>that Blacks are more likely to receive a foot exam</w:t>
      </w:r>
      <w:r w:rsidR="00C85FD7" w:rsidRPr="00EE28FE">
        <w:rPr>
          <w:lang w:eastAsia="ja-JP"/>
        </w:rPr>
        <w:t>. This is a surprising finding based on substantial work on health care disparities by race.</w:t>
      </w:r>
      <w:r w:rsidR="005E385E" w:rsidRPr="00EE28FE">
        <w:rPr>
          <w:lang w:eastAsia="ja-JP"/>
        </w:rPr>
        <w:t xml:space="preserve"> It is unexpected finding because it would seem counter-intuitive that Black relative to their White counterparts would be more likely to recei</w:t>
      </w:r>
      <w:r w:rsidR="00B52EDD" w:rsidRPr="00EE28FE">
        <w:rPr>
          <w:lang w:eastAsia="ja-JP"/>
        </w:rPr>
        <w:t xml:space="preserve">ve more comprehensive care. </w:t>
      </w:r>
      <w:r w:rsidR="005E385E" w:rsidRPr="00EE28FE">
        <w:rPr>
          <w:lang w:eastAsia="ja-JP"/>
        </w:rPr>
        <w:t xml:space="preserve">  </w:t>
      </w:r>
      <w:r w:rsidR="00C85FD7" w:rsidRPr="00EE28FE">
        <w:rPr>
          <w:lang w:eastAsia="ja-JP"/>
        </w:rPr>
        <w:t xml:space="preserve"> </w:t>
      </w:r>
    </w:p>
    <w:p w:rsidR="00C85FD7" w:rsidRPr="00C85FD7" w:rsidRDefault="00C85FD7" w:rsidP="00B11B34">
      <w:pPr>
        <w:spacing w:line="360" w:lineRule="auto"/>
        <w:jc w:val="both"/>
        <w:rPr>
          <w:lang w:eastAsia="ja-JP"/>
        </w:rPr>
      </w:pPr>
      <w:r w:rsidRPr="00C85FD7">
        <w:rPr>
          <w:lang w:eastAsia="ja-JP"/>
        </w:rPr>
        <w:tab/>
        <w:t xml:space="preserve">For visits where a doctor of osteopathy was seen, the odds of having a foot exam were 0.17 (CI = 0.041 - 0.704) relative to a visit where a medical doctor was seen, </w:t>
      </w:r>
      <w:r w:rsidR="008537C9">
        <w:rPr>
          <w:lang w:eastAsia="ja-JP"/>
        </w:rPr>
        <w:t>so</w:t>
      </w:r>
      <w:r w:rsidRPr="00C85FD7">
        <w:rPr>
          <w:lang w:eastAsia="ja-JP"/>
        </w:rPr>
        <w:t xml:space="preserve"> patients seeing an osteopath were less likely to receive a foot exam.   With respect to region, there was only a statistical significance seen for visits performed in the South. The reference category for region was the East and in relativity to the visits in the East region, the visits in the South region had 0.59 (CI=0.378- 0.918) odds of having a foot exam performed. That i</w:t>
      </w:r>
      <w:r w:rsidR="008537C9">
        <w:rPr>
          <w:lang w:eastAsia="ja-JP"/>
        </w:rPr>
        <w:t>s</w:t>
      </w:r>
      <w:r w:rsidRPr="00C85FD7">
        <w:rPr>
          <w:lang w:eastAsia="ja-JP"/>
        </w:rPr>
        <w:t>, patients in the South who had diagnosed diabetes were only about half as likely to receive a foot exam compared to similar patients in the East.</w:t>
      </w:r>
    </w:p>
    <w:p w:rsidR="000106AA" w:rsidRDefault="00C85FD7" w:rsidP="00B11B34">
      <w:pPr>
        <w:spacing w:line="360" w:lineRule="auto"/>
        <w:jc w:val="both"/>
        <w:rPr>
          <w:lang w:eastAsia="ja-JP"/>
        </w:rPr>
      </w:pPr>
      <w:r w:rsidRPr="00C85FD7">
        <w:rPr>
          <w:lang w:eastAsia="ja-JP"/>
        </w:rPr>
        <w:tab/>
        <w:t xml:space="preserve">With respect to the type of provider variable, nurse practitioner was used as reference category.  As it relates to a visit </w:t>
      </w:r>
      <w:r w:rsidR="00446C41">
        <w:rPr>
          <w:lang w:eastAsia="ja-JP"/>
        </w:rPr>
        <w:t>with</w:t>
      </w:r>
      <w:r w:rsidR="00446C41" w:rsidRPr="00C85FD7">
        <w:rPr>
          <w:lang w:eastAsia="ja-JP"/>
        </w:rPr>
        <w:t xml:space="preserve"> </w:t>
      </w:r>
      <w:r w:rsidRPr="00C85FD7">
        <w:rPr>
          <w:lang w:eastAsia="ja-JP"/>
        </w:rPr>
        <w:t xml:space="preserve">a nurse practitioner, those who saw a physician had 0.17 (CI = 0.096 - 0.293) odds of receiving a foot exam and 0.05 odds (CI </w:t>
      </w:r>
      <w:r w:rsidRPr="00C85FD7">
        <w:rPr>
          <w:lang w:eastAsia="ja-JP"/>
        </w:rPr>
        <w:lastRenderedPageBreak/>
        <w:t>= 0.014-0.149) for those seeing a physician’s assistant. This means that seeing a nurse practitioner is associated with greater odds of having a foot exam than a visit with a physician or a physician’s assistant</w:t>
      </w:r>
      <w:r w:rsidRPr="00EE28FE">
        <w:rPr>
          <w:lang w:eastAsia="ja-JP"/>
        </w:rPr>
        <w:t xml:space="preserve">. </w:t>
      </w:r>
      <w:r w:rsidR="005E385E" w:rsidRPr="00EE28FE">
        <w:rPr>
          <w:lang w:eastAsia="ja-JP"/>
        </w:rPr>
        <w:t xml:space="preserve">This is an unexpected finding given that one would expect physicians to provide the highest and most throughout level of care given their credentialing level. </w:t>
      </w:r>
      <w:r w:rsidRPr="00EE28FE">
        <w:rPr>
          <w:lang w:eastAsia="ja-JP"/>
        </w:rPr>
        <w:t>Private insurance was the</w:t>
      </w:r>
      <w:r w:rsidRPr="00C85FD7">
        <w:rPr>
          <w:lang w:eastAsia="ja-JP"/>
        </w:rPr>
        <w:t xml:space="preserve"> reference category used for payer type. Visits with Medicaid as a payer ha</w:t>
      </w:r>
      <w:r w:rsidR="00446C41">
        <w:rPr>
          <w:lang w:eastAsia="ja-JP"/>
        </w:rPr>
        <w:t>d</w:t>
      </w:r>
      <w:r w:rsidRPr="00C85FD7">
        <w:rPr>
          <w:lang w:eastAsia="ja-JP"/>
        </w:rPr>
        <w:t xml:space="preserve"> 0.29 odds (CI = 0.126 - 0.654) of receiving a foot exam relative to a visit with private insurance.  </w:t>
      </w:r>
      <w:r w:rsidR="00B52EDD">
        <w:rPr>
          <w:lang w:eastAsia="ja-JP"/>
        </w:rPr>
        <w:t>It may provide insight on</w:t>
      </w:r>
      <w:r w:rsidR="00B52EDD" w:rsidRPr="00B52EDD">
        <w:rPr>
          <w:lang w:eastAsia="ja-JP"/>
        </w:rPr>
        <w:t xml:space="preserve"> the importance of the type of health insurance a patient has or the type of provider seen </w:t>
      </w:r>
      <w:r w:rsidR="00B52EDD">
        <w:rPr>
          <w:lang w:eastAsia="ja-JP"/>
        </w:rPr>
        <w:t xml:space="preserve">may have implications on whether or not a foot exam is performed during a visit.  </w:t>
      </w:r>
      <w:r w:rsidRPr="00C85FD7">
        <w:rPr>
          <w:lang w:eastAsia="ja-JP"/>
        </w:rPr>
        <w:t>Relative to a visit with a physician lasting longer greater than 40 minutes, those with visits lasting less than 15 minutes had 0.55 odds (CI= 0.316 - 0.936) of receiving a foot exam.  This means that short visits were less likely to include a foot exam than were longer visits. Lastly, relative to visits that received diabetes education, a visit that did not receive diabetes education had 0.13 odds of having a foot exam performed</w:t>
      </w:r>
      <w:r w:rsidR="00446C41">
        <w:rPr>
          <w:lang w:eastAsia="ja-JP"/>
        </w:rPr>
        <w:t>, showing</w:t>
      </w:r>
      <w:r w:rsidRPr="00C85FD7">
        <w:rPr>
          <w:lang w:eastAsia="ja-JP"/>
        </w:rPr>
        <w:t xml:space="preserve"> that visits during which the patient did not receive diabetes education were less likely to include a foot exam.</w:t>
      </w:r>
    </w:p>
    <w:p w:rsidR="00C85FD7" w:rsidRPr="00C85FD7" w:rsidRDefault="000106AA" w:rsidP="006D1C17">
      <w:pPr>
        <w:spacing w:after="200" w:line="360" w:lineRule="auto"/>
        <w:rPr>
          <w:lang w:eastAsia="ja-JP"/>
        </w:rPr>
      </w:pPr>
      <w:r>
        <w:rPr>
          <w:lang w:eastAsia="ja-JP"/>
        </w:rPr>
        <w:br w:type="page"/>
      </w:r>
      <w:proofErr w:type="gramStart"/>
      <w:r w:rsidR="000365EC">
        <w:rPr>
          <w:b/>
          <w:lang w:eastAsia="ja-JP"/>
        </w:rPr>
        <w:lastRenderedPageBreak/>
        <w:t>Table 25</w:t>
      </w:r>
      <w:r w:rsidR="00C85FD7" w:rsidRPr="00C85FD7">
        <w:rPr>
          <w:b/>
          <w:lang w:eastAsia="ja-JP"/>
        </w:rPr>
        <w:t>.</w:t>
      </w:r>
      <w:proofErr w:type="gramEnd"/>
      <w:r w:rsidR="00C85FD7" w:rsidRPr="00C85FD7">
        <w:rPr>
          <w:b/>
          <w:lang w:eastAsia="ja-JP"/>
        </w:rPr>
        <w:t xml:space="preserve"> </w:t>
      </w:r>
      <w:r w:rsidR="00C85FD7" w:rsidRPr="00C85FD7">
        <w:rPr>
          <w:lang w:eastAsia="ja-JP"/>
        </w:rPr>
        <w:t>Full regression model for odds ratios of having a foot exam performed during the 2015 NAMCS survey period with statistically significant variables highlights in orange.</w:t>
      </w:r>
    </w:p>
    <w:p w:rsidR="00C85FD7" w:rsidRPr="00C85FD7" w:rsidRDefault="00C85FD7" w:rsidP="00EC19E3">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4"/>
        <w:gridCol w:w="1890"/>
        <w:gridCol w:w="1628"/>
        <w:gridCol w:w="1345"/>
        <w:gridCol w:w="11"/>
      </w:tblGrid>
      <w:tr w:rsidR="00C85FD7" w:rsidRPr="00C85FD7" w:rsidTr="000763AE">
        <w:trPr>
          <w:trHeight w:val="300"/>
          <w:jc w:val="center"/>
        </w:trPr>
        <w:tc>
          <w:tcPr>
            <w:tcW w:w="7588" w:type="dxa"/>
            <w:gridSpan w:val="5"/>
            <w:shd w:val="clear" w:color="auto" w:fill="595959"/>
            <w:noWrap/>
            <w:hideMark/>
          </w:tcPr>
          <w:p w:rsidR="00C85FD7" w:rsidRPr="000763AE" w:rsidRDefault="00C85FD7" w:rsidP="000763AE">
            <w:pPr>
              <w:jc w:val="both"/>
              <w:rPr>
                <w:rFonts w:ascii="Calibri" w:hAnsi="Calibri" w:cs="Calibri"/>
                <w:b/>
                <w:bCs/>
                <w:color w:val="FFFFFF"/>
                <w:sz w:val="22"/>
                <w:szCs w:val="22"/>
                <w:lang w:eastAsia="ja-JP"/>
              </w:rPr>
            </w:pPr>
            <w:r w:rsidRPr="000763AE">
              <w:rPr>
                <w:rFonts w:ascii="Calibri" w:hAnsi="Calibri" w:cs="Calibri"/>
                <w:b/>
                <w:bCs/>
                <w:color w:val="FFFFFF"/>
                <w:sz w:val="22"/>
                <w:szCs w:val="22"/>
                <w:lang w:eastAsia="ja-JP"/>
              </w:rPr>
              <w:t>Full Model</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b/>
                <w:bCs/>
                <w:color w:val="FFFFFF"/>
                <w:sz w:val="22"/>
                <w:szCs w:val="22"/>
                <w:lang w:eastAsia="ja-JP"/>
              </w:rPr>
            </w:pPr>
            <w:r w:rsidRPr="000763AE">
              <w:rPr>
                <w:rFonts w:ascii="Calibri" w:hAnsi="Calibri" w:cs="Calibri"/>
                <w:b/>
                <w:bCs/>
                <w:color w:val="FFFFFF"/>
                <w:sz w:val="22"/>
                <w:szCs w:val="22"/>
                <w:lang w:eastAsia="ja-JP"/>
              </w:rPr>
              <w:t>Risk Factor</w:t>
            </w:r>
          </w:p>
        </w:tc>
        <w:tc>
          <w:tcPr>
            <w:tcW w:w="1890" w:type="dxa"/>
            <w:shd w:val="clear" w:color="auto" w:fill="595959"/>
            <w:noWrap/>
            <w:hideMark/>
          </w:tcPr>
          <w:p w:rsidR="00C85FD7" w:rsidRPr="000763AE" w:rsidRDefault="00C85FD7" w:rsidP="000763AE">
            <w:pPr>
              <w:jc w:val="both"/>
              <w:rPr>
                <w:rFonts w:ascii="Calibri" w:hAnsi="Calibri" w:cs="Calibri"/>
                <w:b/>
                <w:bCs/>
                <w:color w:val="FFFFFF"/>
                <w:sz w:val="22"/>
                <w:szCs w:val="22"/>
                <w:lang w:eastAsia="ja-JP"/>
              </w:rPr>
            </w:pPr>
            <w:r w:rsidRPr="000763AE">
              <w:rPr>
                <w:rFonts w:ascii="Calibri" w:hAnsi="Calibri" w:cs="Calibri"/>
                <w:b/>
                <w:bCs/>
                <w:color w:val="FFFFFF"/>
                <w:sz w:val="22"/>
                <w:szCs w:val="22"/>
                <w:lang w:eastAsia="ja-JP"/>
              </w:rPr>
              <w:t>Odds Ratio</w:t>
            </w:r>
          </w:p>
        </w:tc>
        <w:tc>
          <w:tcPr>
            <w:tcW w:w="1628" w:type="dxa"/>
            <w:shd w:val="clear" w:color="auto" w:fill="595959"/>
          </w:tcPr>
          <w:p w:rsidR="00C85FD7" w:rsidRPr="000763AE" w:rsidRDefault="00C85FD7" w:rsidP="000763AE">
            <w:pPr>
              <w:jc w:val="center"/>
              <w:rPr>
                <w:rFonts w:ascii="Calibri" w:hAnsi="Calibri" w:cs="Calibri"/>
                <w:b/>
                <w:bCs/>
                <w:color w:val="FFFFFF"/>
                <w:sz w:val="22"/>
                <w:szCs w:val="22"/>
                <w:lang w:eastAsia="ja-JP"/>
              </w:rPr>
            </w:pPr>
            <w:r w:rsidRPr="000763AE">
              <w:rPr>
                <w:rFonts w:ascii="Calibri" w:hAnsi="Calibri" w:cs="Calibri"/>
                <w:b/>
                <w:bCs/>
                <w:color w:val="FFFFFF"/>
                <w:sz w:val="22"/>
                <w:szCs w:val="22"/>
                <w:lang w:eastAsia="ja-JP"/>
              </w:rPr>
              <w:t>95% CI</w:t>
            </w:r>
          </w:p>
        </w:tc>
        <w:tc>
          <w:tcPr>
            <w:tcW w:w="1356" w:type="dxa"/>
            <w:gridSpan w:val="2"/>
            <w:shd w:val="clear" w:color="auto" w:fill="595959"/>
          </w:tcPr>
          <w:p w:rsidR="00C85FD7" w:rsidRPr="000763AE" w:rsidRDefault="00C85FD7" w:rsidP="000763AE">
            <w:pPr>
              <w:jc w:val="center"/>
              <w:rPr>
                <w:rFonts w:ascii="Calibri" w:hAnsi="Calibri" w:cs="Calibri"/>
                <w:b/>
                <w:bCs/>
                <w:color w:val="FFFFFF"/>
                <w:sz w:val="22"/>
                <w:szCs w:val="22"/>
                <w:lang w:eastAsia="ja-JP"/>
              </w:rPr>
            </w:pPr>
            <w:r w:rsidRPr="000763AE">
              <w:rPr>
                <w:rFonts w:ascii="Calibri" w:hAnsi="Calibri" w:cs="Calibri"/>
                <w:b/>
                <w:bCs/>
                <w:color w:val="FFFFFF"/>
                <w:sz w:val="22"/>
                <w:szCs w:val="22"/>
                <w:lang w:eastAsia="ja-JP"/>
              </w:rPr>
              <w:t>P value</w:t>
            </w:r>
          </w:p>
        </w:tc>
      </w:tr>
      <w:tr w:rsidR="00C85FD7" w:rsidRPr="00C85FD7" w:rsidTr="000763AE">
        <w:trPr>
          <w:gridAfter w:val="1"/>
          <w:wAfter w:w="11" w:type="dxa"/>
          <w:trHeight w:val="300"/>
          <w:jc w:val="center"/>
        </w:trPr>
        <w:tc>
          <w:tcPr>
            <w:tcW w:w="2714" w:type="dxa"/>
            <w:shd w:val="clear" w:color="auto" w:fill="595959"/>
            <w:noWrap/>
            <w:hideMark/>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Gender- Male</w:t>
            </w:r>
          </w:p>
        </w:tc>
        <w:tc>
          <w:tcPr>
            <w:tcW w:w="1890" w:type="dxa"/>
            <w:shd w:val="clear" w:color="auto" w:fill="auto"/>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0.868</w:t>
            </w:r>
          </w:p>
        </w:tc>
        <w:tc>
          <w:tcPr>
            <w:tcW w:w="1628"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0.643-1.172</w:t>
            </w:r>
          </w:p>
        </w:tc>
        <w:tc>
          <w:tcPr>
            <w:tcW w:w="1345"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0.356</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 xml:space="preserve">Not Hispanic </w:t>
            </w:r>
          </w:p>
        </w:tc>
        <w:tc>
          <w:tcPr>
            <w:tcW w:w="1890" w:type="dxa"/>
            <w:shd w:val="clear" w:color="auto" w:fill="FFC000"/>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0.535</w:t>
            </w:r>
          </w:p>
        </w:tc>
        <w:tc>
          <w:tcPr>
            <w:tcW w:w="1628" w:type="dxa"/>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0.338-0.847</w:t>
            </w:r>
          </w:p>
        </w:tc>
        <w:tc>
          <w:tcPr>
            <w:tcW w:w="1356" w:type="dxa"/>
            <w:gridSpan w:val="2"/>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0.008</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 xml:space="preserve">Patient Race </w:t>
            </w:r>
          </w:p>
        </w:tc>
        <w:tc>
          <w:tcPr>
            <w:tcW w:w="1890" w:type="dxa"/>
            <w:shd w:val="clear" w:color="auto" w:fill="BFBFBF"/>
            <w:noWrap/>
            <w:hideMark/>
          </w:tcPr>
          <w:p w:rsidR="00C85FD7" w:rsidRPr="000763AE" w:rsidRDefault="00C85FD7" w:rsidP="000763AE">
            <w:pPr>
              <w:jc w:val="center"/>
              <w:rPr>
                <w:rFonts w:ascii="Calibri" w:hAnsi="Calibri" w:cs="Calibri"/>
                <w:sz w:val="22"/>
                <w:szCs w:val="22"/>
                <w:lang w:eastAsia="ja-JP"/>
              </w:rPr>
            </w:pPr>
          </w:p>
        </w:tc>
        <w:tc>
          <w:tcPr>
            <w:tcW w:w="1628" w:type="dxa"/>
            <w:shd w:val="clear" w:color="auto" w:fill="BFBFBF"/>
          </w:tcPr>
          <w:p w:rsidR="00C85FD7" w:rsidRPr="000763AE" w:rsidRDefault="00C85FD7" w:rsidP="000763AE">
            <w:pPr>
              <w:jc w:val="center"/>
              <w:rPr>
                <w:rFonts w:ascii="Calibri" w:hAnsi="Calibri" w:cs="Calibri"/>
                <w:sz w:val="22"/>
                <w:szCs w:val="22"/>
                <w:lang w:eastAsia="ja-JP"/>
              </w:rPr>
            </w:pPr>
          </w:p>
        </w:tc>
        <w:tc>
          <w:tcPr>
            <w:tcW w:w="1356" w:type="dxa"/>
            <w:gridSpan w:val="2"/>
            <w:shd w:val="clear" w:color="auto" w:fill="BFBFBF"/>
          </w:tcPr>
          <w:p w:rsidR="00C85FD7" w:rsidRPr="000763AE" w:rsidRDefault="00C85FD7" w:rsidP="000763AE">
            <w:pPr>
              <w:jc w:val="center"/>
              <w:rPr>
                <w:rFonts w:ascii="Calibri" w:hAnsi="Calibri" w:cs="Calibri"/>
                <w:sz w:val="22"/>
                <w:szCs w:val="22"/>
                <w:lang w:eastAsia="ja-JP"/>
              </w:rPr>
            </w:pP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Black</w:t>
            </w:r>
          </w:p>
        </w:tc>
        <w:tc>
          <w:tcPr>
            <w:tcW w:w="1890" w:type="dxa"/>
            <w:shd w:val="clear" w:color="auto" w:fill="FFC000"/>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1.607</w:t>
            </w:r>
          </w:p>
        </w:tc>
        <w:tc>
          <w:tcPr>
            <w:tcW w:w="1628" w:type="dxa"/>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1.022-2.527</w:t>
            </w:r>
          </w:p>
        </w:tc>
        <w:tc>
          <w:tcPr>
            <w:tcW w:w="1356" w:type="dxa"/>
            <w:gridSpan w:val="2"/>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0.040</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Other </w:t>
            </w:r>
          </w:p>
        </w:tc>
        <w:tc>
          <w:tcPr>
            <w:tcW w:w="1890" w:type="dxa"/>
            <w:shd w:val="clear" w:color="auto" w:fill="auto"/>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0.746</w:t>
            </w:r>
          </w:p>
        </w:tc>
        <w:tc>
          <w:tcPr>
            <w:tcW w:w="1628"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0.318-1.749</w:t>
            </w:r>
          </w:p>
        </w:tc>
        <w:tc>
          <w:tcPr>
            <w:tcW w:w="1356" w:type="dxa"/>
            <w:gridSpan w:val="2"/>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0.500</w:t>
            </w:r>
          </w:p>
        </w:tc>
      </w:tr>
      <w:tr w:rsidR="00C85FD7" w:rsidRPr="00C85FD7" w:rsidTr="000763AE">
        <w:trPr>
          <w:trHeight w:val="300"/>
          <w:jc w:val="center"/>
        </w:trPr>
        <w:tc>
          <w:tcPr>
            <w:tcW w:w="2714" w:type="dxa"/>
            <w:shd w:val="clear" w:color="auto" w:fill="595959"/>
            <w:noWrap/>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Age</w:t>
            </w:r>
          </w:p>
        </w:tc>
        <w:tc>
          <w:tcPr>
            <w:tcW w:w="1890" w:type="dxa"/>
            <w:shd w:val="clear" w:color="auto" w:fill="BFBFBF"/>
            <w:noWrap/>
          </w:tcPr>
          <w:p w:rsidR="00C85FD7" w:rsidRPr="000763AE" w:rsidRDefault="00C85FD7" w:rsidP="000763AE">
            <w:pPr>
              <w:jc w:val="center"/>
              <w:rPr>
                <w:rFonts w:ascii="Calibri" w:hAnsi="Calibri" w:cs="Calibri"/>
                <w:sz w:val="22"/>
                <w:szCs w:val="22"/>
                <w:lang w:eastAsia="ja-JP"/>
              </w:rPr>
            </w:pPr>
          </w:p>
        </w:tc>
        <w:tc>
          <w:tcPr>
            <w:tcW w:w="1628" w:type="dxa"/>
            <w:shd w:val="clear" w:color="auto" w:fill="BFBFBF"/>
          </w:tcPr>
          <w:p w:rsidR="00C85FD7" w:rsidRPr="000763AE" w:rsidRDefault="00C85FD7" w:rsidP="000763AE">
            <w:pPr>
              <w:jc w:val="center"/>
              <w:rPr>
                <w:rFonts w:ascii="Calibri" w:hAnsi="Calibri" w:cs="Calibri"/>
                <w:sz w:val="22"/>
                <w:szCs w:val="22"/>
                <w:lang w:eastAsia="ja-JP"/>
              </w:rPr>
            </w:pPr>
          </w:p>
        </w:tc>
        <w:tc>
          <w:tcPr>
            <w:tcW w:w="1356" w:type="dxa"/>
            <w:gridSpan w:val="2"/>
            <w:shd w:val="clear" w:color="auto" w:fill="BFBFBF"/>
          </w:tcPr>
          <w:p w:rsidR="00C85FD7" w:rsidRPr="000763AE" w:rsidRDefault="00C85FD7" w:rsidP="000763AE">
            <w:pPr>
              <w:jc w:val="center"/>
              <w:rPr>
                <w:rFonts w:ascii="Calibri" w:hAnsi="Calibri" w:cs="Calibri"/>
                <w:sz w:val="22"/>
                <w:szCs w:val="22"/>
                <w:lang w:eastAsia="ja-JP"/>
              </w:rPr>
            </w:pPr>
          </w:p>
        </w:tc>
      </w:tr>
      <w:tr w:rsidR="00C85FD7" w:rsidRPr="00C85FD7" w:rsidTr="000763AE">
        <w:trPr>
          <w:trHeight w:val="300"/>
          <w:jc w:val="center"/>
        </w:trPr>
        <w:tc>
          <w:tcPr>
            <w:tcW w:w="2714" w:type="dxa"/>
            <w:shd w:val="clear" w:color="auto" w:fill="595959"/>
            <w:noWrap/>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color w:val="FFFFFF"/>
                <w:sz w:val="22"/>
                <w:szCs w:val="22"/>
              </w:rPr>
              <w:t>Patient age by range 1-44</w:t>
            </w:r>
          </w:p>
        </w:tc>
        <w:tc>
          <w:tcPr>
            <w:tcW w:w="1890" w:type="dxa"/>
            <w:shd w:val="clear" w:color="auto" w:fill="auto"/>
            <w:noWrap/>
          </w:tcPr>
          <w:p w:rsidR="00C85FD7" w:rsidRPr="000763AE" w:rsidRDefault="00C85FD7" w:rsidP="000763AE">
            <w:pPr>
              <w:jc w:val="center"/>
              <w:rPr>
                <w:rFonts w:ascii="Calibri" w:hAnsi="Calibri" w:cs="Calibri"/>
                <w:sz w:val="22"/>
                <w:szCs w:val="22"/>
                <w:lang w:eastAsia="ja-JP"/>
              </w:rPr>
            </w:pPr>
            <w:r w:rsidRPr="000763AE">
              <w:rPr>
                <w:rFonts w:ascii="Calibri" w:hAnsi="Calibri" w:cs="Calibri"/>
                <w:color w:val="010205"/>
                <w:sz w:val="22"/>
                <w:szCs w:val="22"/>
              </w:rPr>
              <w:t>0.000</w:t>
            </w:r>
          </w:p>
        </w:tc>
        <w:tc>
          <w:tcPr>
            <w:tcW w:w="1628"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0.000</w:t>
            </w:r>
          </w:p>
        </w:tc>
        <w:tc>
          <w:tcPr>
            <w:tcW w:w="1356" w:type="dxa"/>
            <w:gridSpan w:val="2"/>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0.998</w:t>
            </w:r>
          </w:p>
        </w:tc>
      </w:tr>
      <w:tr w:rsidR="00C85FD7" w:rsidRPr="00C85FD7" w:rsidTr="000763AE">
        <w:trPr>
          <w:trHeight w:val="300"/>
          <w:jc w:val="center"/>
        </w:trPr>
        <w:tc>
          <w:tcPr>
            <w:tcW w:w="2714" w:type="dxa"/>
            <w:shd w:val="clear" w:color="auto" w:fill="595959"/>
            <w:noWrap/>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color w:val="FFFFFF"/>
                <w:sz w:val="22"/>
                <w:szCs w:val="22"/>
              </w:rPr>
              <w:t>Patient age by range 45-64</w:t>
            </w:r>
          </w:p>
        </w:tc>
        <w:tc>
          <w:tcPr>
            <w:tcW w:w="1890" w:type="dxa"/>
            <w:shd w:val="clear" w:color="auto" w:fill="auto"/>
            <w:noWrap/>
          </w:tcPr>
          <w:p w:rsidR="00C85FD7" w:rsidRPr="000763AE" w:rsidRDefault="00C85FD7" w:rsidP="000763AE">
            <w:pPr>
              <w:jc w:val="center"/>
              <w:rPr>
                <w:rFonts w:ascii="Calibri" w:hAnsi="Calibri" w:cs="Calibri"/>
                <w:sz w:val="22"/>
                <w:szCs w:val="22"/>
                <w:lang w:eastAsia="ja-JP"/>
              </w:rPr>
            </w:pPr>
            <w:r w:rsidRPr="000763AE">
              <w:rPr>
                <w:rFonts w:ascii="Calibri" w:hAnsi="Calibri" w:cs="Calibri"/>
                <w:color w:val="010205"/>
                <w:sz w:val="22"/>
                <w:szCs w:val="22"/>
              </w:rPr>
              <w:t>1.063</w:t>
            </w:r>
          </w:p>
        </w:tc>
        <w:tc>
          <w:tcPr>
            <w:tcW w:w="1628"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0.728-1.552</w:t>
            </w:r>
          </w:p>
        </w:tc>
        <w:tc>
          <w:tcPr>
            <w:tcW w:w="1356" w:type="dxa"/>
            <w:gridSpan w:val="2"/>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0.752</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 xml:space="preserve">Doctor of Osteopathy </w:t>
            </w:r>
          </w:p>
        </w:tc>
        <w:tc>
          <w:tcPr>
            <w:tcW w:w="1890" w:type="dxa"/>
            <w:shd w:val="clear" w:color="auto" w:fill="FFC000"/>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0.170</w:t>
            </w:r>
          </w:p>
        </w:tc>
        <w:tc>
          <w:tcPr>
            <w:tcW w:w="1628" w:type="dxa"/>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0.041-0.704</w:t>
            </w:r>
          </w:p>
        </w:tc>
        <w:tc>
          <w:tcPr>
            <w:tcW w:w="1356" w:type="dxa"/>
            <w:gridSpan w:val="2"/>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0.015</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Practice Type-Multi</w:t>
            </w:r>
          </w:p>
        </w:tc>
        <w:tc>
          <w:tcPr>
            <w:tcW w:w="1890" w:type="dxa"/>
            <w:shd w:val="clear" w:color="auto" w:fill="auto"/>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1.371</w:t>
            </w:r>
          </w:p>
        </w:tc>
        <w:tc>
          <w:tcPr>
            <w:tcW w:w="1628"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0.965-1.949</w:t>
            </w:r>
          </w:p>
        </w:tc>
        <w:tc>
          <w:tcPr>
            <w:tcW w:w="1356" w:type="dxa"/>
            <w:gridSpan w:val="2"/>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0.078</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 xml:space="preserve">Region </w:t>
            </w:r>
          </w:p>
        </w:tc>
        <w:tc>
          <w:tcPr>
            <w:tcW w:w="1890" w:type="dxa"/>
            <w:shd w:val="clear" w:color="auto" w:fill="BFBFBF"/>
            <w:noWrap/>
            <w:hideMark/>
          </w:tcPr>
          <w:p w:rsidR="00C85FD7" w:rsidRPr="000763AE" w:rsidRDefault="00C85FD7" w:rsidP="000763AE">
            <w:pPr>
              <w:jc w:val="center"/>
              <w:rPr>
                <w:rFonts w:ascii="Calibri" w:hAnsi="Calibri" w:cs="Calibri"/>
                <w:sz w:val="22"/>
                <w:szCs w:val="22"/>
                <w:lang w:eastAsia="ja-JP"/>
              </w:rPr>
            </w:pPr>
          </w:p>
        </w:tc>
        <w:tc>
          <w:tcPr>
            <w:tcW w:w="1628" w:type="dxa"/>
            <w:shd w:val="clear" w:color="auto" w:fill="BFBFBF"/>
          </w:tcPr>
          <w:p w:rsidR="00C85FD7" w:rsidRPr="000763AE" w:rsidRDefault="00C85FD7" w:rsidP="000763AE">
            <w:pPr>
              <w:jc w:val="center"/>
              <w:rPr>
                <w:rFonts w:ascii="Calibri" w:hAnsi="Calibri" w:cs="Calibri"/>
                <w:sz w:val="22"/>
                <w:szCs w:val="22"/>
                <w:lang w:eastAsia="ja-JP"/>
              </w:rPr>
            </w:pPr>
          </w:p>
        </w:tc>
        <w:tc>
          <w:tcPr>
            <w:tcW w:w="1356" w:type="dxa"/>
            <w:gridSpan w:val="2"/>
            <w:shd w:val="clear" w:color="auto" w:fill="BFBFBF"/>
          </w:tcPr>
          <w:p w:rsidR="00C85FD7" w:rsidRPr="000763AE" w:rsidRDefault="00C85FD7" w:rsidP="000763AE">
            <w:pPr>
              <w:jc w:val="center"/>
              <w:rPr>
                <w:rFonts w:ascii="Calibri" w:hAnsi="Calibri" w:cs="Calibri"/>
                <w:sz w:val="22"/>
                <w:szCs w:val="22"/>
                <w:lang w:eastAsia="ja-JP"/>
              </w:rPr>
            </w:pP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Northeast</w:t>
            </w:r>
          </w:p>
        </w:tc>
        <w:tc>
          <w:tcPr>
            <w:tcW w:w="1890" w:type="dxa"/>
            <w:shd w:val="clear" w:color="auto" w:fill="auto"/>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0.711</w:t>
            </w:r>
          </w:p>
        </w:tc>
        <w:tc>
          <w:tcPr>
            <w:tcW w:w="1628"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0.433-1.168</w:t>
            </w:r>
          </w:p>
        </w:tc>
        <w:tc>
          <w:tcPr>
            <w:tcW w:w="1356" w:type="dxa"/>
            <w:gridSpan w:val="2"/>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0.178</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Midwest</w:t>
            </w:r>
          </w:p>
        </w:tc>
        <w:tc>
          <w:tcPr>
            <w:tcW w:w="1890" w:type="dxa"/>
            <w:shd w:val="clear" w:color="auto" w:fill="auto"/>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0.912</w:t>
            </w:r>
          </w:p>
        </w:tc>
        <w:tc>
          <w:tcPr>
            <w:tcW w:w="1628"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0.610-1.362</w:t>
            </w:r>
          </w:p>
        </w:tc>
        <w:tc>
          <w:tcPr>
            <w:tcW w:w="1356" w:type="dxa"/>
            <w:gridSpan w:val="2"/>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0.651</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South</w:t>
            </w:r>
          </w:p>
        </w:tc>
        <w:tc>
          <w:tcPr>
            <w:tcW w:w="1890" w:type="dxa"/>
            <w:shd w:val="clear" w:color="auto" w:fill="FFC000"/>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0.590</w:t>
            </w:r>
          </w:p>
        </w:tc>
        <w:tc>
          <w:tcPr>
            <w:tcW w:w="1628" w:type="dxa"/>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0.378-0.918</w:t>
            </w:r>
          </w:p>
        </w:tc>
        <w:tc>
          <w:tcPr>
            <w:tcW w:w="1356" w:type="dxa"/>
            <w:gridSpan w:val="2"/>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0.019</w:t>
            </w:r>
          </w:p>
        </w:tc>
      </w:tr>
      <w:tr w:rsidR="00C85FD7" w:rsidRPr="00C85FD7" w:rsidTr="000763AE">
        <w:trPr>
          <w:trHeight w:val="287"/>
          <w:jc w:val="center"/>
        </w:trPr>
        <w:tc>
          <w:tcPr>
            <w:tcW w:w="2714" w:type="dxa"/>
            <w:shd w:val="clear" w:color="auto" w:fill="595959"/>
            <w:noWrap/>
            <w:hideMark/>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 xml:space="preserve">Type of Provider </w:t>
            </w:r>
          </w:p>
        </w:tc>
        <w:tc>
          <w:tcPr>
            <w:tcW w:w="1890" w:type="dxa"/>
            <w:shd w:val="clear" w:color="auto" w:fill="BFBFBF"/>
            <w:noWrap/>
            <w:hideMark/>
          </w:tcPr>
          <w:p w:rsidR="00C85FD7" w:rsidRPr="000763AE" w:rsidRDefault="00C85FD7" w:rsidP="000763AE">
            <w:pPr>
              <w:jc w:val="center"/>
              <w:rPr>
                <w:rFonts w:ascii="Calibri" w:hAnsi="Calibri" w:cs="Calibri"/>
                <w:sz w:val="22"/>
                <w:szCs w:val="22"/>
                <w:lang w:eastAsia="ja-JP"/>
              </w:rPr>
            </w:pPr>
          </w:p>
        </w:tc>
        <w:tc>
          <w:tcPr>
            <w:tcW w:w="1628" w:type="dxa"/>
            <w:shd w:val="clear" w:color="auto" w:fill="BFBFBF"/>
          </w:tcPr>
          <w:p w:rsidR="00C85FD7" w:rsidRPr="000763AE" w:rsidRDefault="00C85FD7" w:rsidP="000763AE">
            <w:pPr>
              <w:jc w:val="center"/>
              <w:rPr>
                <w:rFonts w:ascii="Calibri" w:hAnsi="Calibri" w:cs="Calibri"/>
                <w:sz w:val="22"/>
                <w:szCs w:val="22"/>
                <w:lang w:eastAsia="ja-JP"/>
              </w:rPr>
            </w:pPr>
          </w:p>
        </w:tc>
        <w:tc>
          <w:tcPr>
            <w:tcW w:w="1356" w:type="dxa"/>
            <w:gridSpan w:val="2"/>
            <w:shd w:val="clear" w:color="auto" w:fill="BFBFBF"/>
          </w:tcPr>
          <w:p w:rsidR="00C85FD7" w:rsidRPr="000763AE" w:rsidRDefault="00C85FD7" w:rsidP="000763AE">
            <w:pPr>
              <w:jc w:val="center"/>
              <w:rPr>
                <w:rFonts w:ascii="Calibri" w:hAnsi="Calibri" w:cs="Calibri"/>
                <w:sz w:val="22"/>
                <w:szCs w:val="22"/>
                <w:lang w:eastAsia="ja-JP"/>
              </w:rPr>
            </w:pPr>
          </w:p>
        </w:tc>
      </w:tr>
      <w:tr w:rsidR="00C85FD7" w:rsidRPr="00C85FD7" w:rsidTr="000763AE">
        <w:trPr>
          <w:trHeight w:val="350"/>
          <w:jc w:val="center"/>
        </w:trPr>
        <w:tc>
          <w:tcPr>
            <w:tcW w:w="2714" w:type="dxa"/>
            <w:shd w:val="clear" w:color="auto" w:fill="595959"/>
            <w:noWrap/>
            <w:vAlign w:val="center"/>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Other</w:t>
            </w:r>
          </w:p>
        </w:tc>
        <w:tc>
          <w:tcPr>
            <w:tcW w:w="1890" w:type="dxa"/>
            <w:shd w:val="clear" w:color="auto" w:fill="auto"/>
            <w:noWrap/>
            <w:vAlign w:val="center"/>
            <w:hideMark/>
          </w:tcPr>
          <w:p w:rsidR="00C85FD7" w:rsidRPr="000763AE" w:rsidRDefault="00C85FD7" w:rsidP="000763AE">
            <w:pPr>
              <w:ind w:left="60"/>
              <w:jc w:val="center"/>
              <w:rPr>
                <w:rFonts w:ascii="Calibri" w:hAnsi="Calibri" w:cs="Calibri"/>
                <w:sz w:val="22"/>
                <w:szCs w:val="22"/>
                <w:lang w:eastAsia="ja-JP"/>
              </w:rPr>
            </w:pPr>
            <w:r w:rsidRPr="000763AE">
              <w:rPr>
                <w:rFonts w:ascii="Calibri" w:hAnsi="Calibri" w:cs="Calibri"/>
                <w:sz w:val="22"/>
                <w:szCs w:val="22"/>
                <w:lang w:eastAsia="ja-JP"/>
              </w:rPr>
              <w:t>0.000</w:t>
            </w:r>
          </w:p>
        </w:tc>
        <w:tc>
          <w:tcPr>
            <w:tcW w:w="1628" w:type="dxa"/>
            <w:shd w:val="clear" w:color="auto" w:fill="auto"/>
            <w:vAlign w:val="center"/>
          </w:tcPr>
          <w:p w:rsidR="00C85FD7" w:rsidRPr="000763AE" w:rsidDel="00356B58" w:rsidRDefault="00C85FD7" w:rsidP="000763AE">
            <w:pPr>
              <w:ind w:left="420"/>
              <w:contextualSpacing/>
              <w:jc w:val="center"/>
              <w:rPr>
                <w:rFonts w:ascii="Calibri" w:eastAsia="Calibri" w:hAnsi="Calibri" w:cs="Calibri"/>
                <w:sz w:val="22"/>
                <w:szCs w:val="22"/>
                <w:lang w:eastAsia="ja-JP"/>
              </w:rPr>
            </w:pPr>
            <w:r w:rsidRPr="000763AE">
              <w:rPr>
                <w:rFonts w:ascii="Calibri" w:eastAsia="Calibri" w:hAnsi="Calibri" w:cs="Calibri"/>
                <w:sz w:val="22"/>
                <w:szCs w:val="22"/>
                <w:lang w:eastAsia="ja-JP"/>
              </w:rPr>
              <w:t>0.000</w:t>
            </w:r>
          </w:p>
        </w:tc>
        <w:tc>
          <w:tcPr>
            <w:tcW w:w="1356" w:type="dxa"/>
            <w:gridSpan w:val="2"/>
            <w:shd w:val="clear" w:color="auto" w:fill="auto"/>
          </w:tcPr>
          <w:p w:rsidR="00C85FD7" w:rsidRPr="000763AE" w:rsidRDefault="00C85FD7" w:rsidP="000763AE">
            <w:pPr>
              <w:contextualSpacing/>
              <w:jc w:val="center"/>
              <w:rPr>
                <w:rFonts w:ascii="Calibri" w:eastAsia="Calibri" w:hAnsi="Calibri" w:cs="Calibri"/>
                <w:sz w:val="22"/>
                <w:szCs w:val="22"/>
                <w:lang w:eastAsia="ja-JP"/>
              </w:rPr>
            </w:pPr>
            <w:r w:rsidRPr="000763AE">
              <w:rPr>
                <w:rFonts w:ascii="Calibri" w:eastAsia="Calibri" w:hAnsi="Calibri" w:cs="Calibri"/>
                <w:sz w:val="22"/>
                <w:szCs w:val="22"/>
                <w:lang w:eastAsia="ja-JP"/>
              </w:rPr>
              <w:t>0.000</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Physician</w:t>
            </w:r>
          </w:p>
        </w:tc>
        <w:tc>
          <w:tcPr>
            <w:tcW w:w="1890" w:type="dxa"/>
            <w:shd w:val="clear" w:color="auto" w:fill="FFC000"/>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0.168</w:t>
            </w:r>
          </w:p>
        </w:tc>
        <w:tc>
          <w:tcPr>
            <w:tcW w:w="1628" w:type="dxa"/>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0.096-0.293</w:t>
            </w:r>
          </w:p>
        </w:tc>
        <w:tc>
          <w:tcPr>
            <w:tcW w:w="1356" w:type="dxa"/>
            <w:gridSpan w:val="2"/>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0.000</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Physician Assistant</w:t>
            </w:r>
          </w:p>
        </w:tc>
        <w:tc>
          <w:tcPr>
            <w:tcW w:w="1890" w:type="dxa"/>
            <w:shd w:val="clear" w:color="auto" w:fill="FFC000"/>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0.046</w:t>
            </w:r>
          </w:p>
        </w:tc>
        <w:tc>
          <w:tcPr>
            <w:tcW w:w="1628" w:type="dxa"/>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0.014-0.149</w:t>
            </w:r>
          </w:p>
        </w:tc>
        <w:tc>
          <w:tcPr>
            <w:tcW w:w="1356" w:type="dxa"/>
            <w:gridSpan w:val="2"/>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0.000</w:t>
            </w:r>
          </w:p>
        </w:tc>
      </w:tr>
      <w:tr w:rsidR="00C85FD7" w:rsidRPr="00C85FD7" w:rsidTr="000763AE">
        <w:trPr>
          <w:trHeight w:val="215"/>
          <w:jc w:val="center"/>
        </w:trPr>
        <w:tc>
          <w:tcPr>
            <w:tcW w:w="2714" w:type="dxa"/>
            <w:shd w:val="clear" w:color="auto" w:fill="595959"/>
            <w:noWrap/>
            <w:hideMark/>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Type of Payment</w:t>
            </w:r>
          </w:p>
        </w:tc>
        <w:tc>
          <w:tcPr>
            <w:tcW w:w="1890" w:type="dxa"/>
            <w:shd w:val="clear" w:color="auto" w:fill="BFBFBF"/>
            <w:noWrap/>
            <w:hideMark/>
          </w:tcPr>
          <w:p w:rsidR="00C85FD7" w:rsidRPr="000763AE" w:rsidRDefault="00C85FD7" w:rsidP="000763AE">
            <w:pPr>
              <w:jc w:val="center"/>
              <w:rPr>
                <w:rFonts w:ascii="Calibri" w:hAnsi="Calibri" w:cs="Calibri"/>
                <w:sz w:val="22"/>
                <w:szCs w:val="22"/>
                <w:lang w:eastAsia="ja-JP"/>
              </w:rPr>
            </w:pPr>
          </w:p>
        </w:tc>
        <w:tc>
          <w:tcPr>
            <w:tcW w:w="1628" w:type="dxa"/>
            <w:shd w:val="clear" w:color="auto" w:fill="BFBFBF"/>
          </w:tcPr>
          <w:p w:rsidR="00C85FD7" w:rsidRPr="000763AE" w:rsidRDefault="00C85FD7" w:rsidP="000763AE">
            <w:pPr>
              <w:jc w:val="center"/>
              <w:rPr>
                <w:rFonts w:ascii="Calibri" w:hAnsi="Calibri" w:cs="Calibri"/>
                <w:sz w:val="22"/>
                <w:szCs w:val="22"/>
                <w:lang w:eastAsia="ja-JP"/>
              </w:rPr>
            </w:pPr>
          </w:p>
        </w:tc>
        <w:tc>
          <w:tcPr>
            <w:tcW w:w="1356" w:type="dxa"/>
            <w:gridSpan w:val="2"/>
            <w:shd w:val="clear" w:color="auto" w:fill="BFBFBF"/>
          </w:tcPr>
          <w:p w:rsidR="00C85FD7" w:rsidRPr="000763AE" w:rsidRDefault="00C85FD7" w:rsidP="000763AE">
            <w:pPr>
              <w:jc w:val="center"/>
              <w:rPr>
                <w:rFonts w:ascii="Calibri" w:hAnsi="Calibri" w:cs="Calibri"/>
                <w:sz w:val="22"/>
                <w:szCs w:val="22"/>
                <w:lang w:eastAsia="ja-JP"/>
              </w:rPr>
            </w:pP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Medicare </w:t>
            </w:r>
          </w:p>
        </w:tc>
        <w:tc>
          <w:tcPr>
            <w:tcW w:w="1890" w:type="dxa"/>
            <w:shd w:val="clear" w:color="auto" w:fill="auto"/>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1.323</w:t>
            </w:r>
          </w:p>
        </w:tc>
        <w:tc>
          <w:tcPr>
            <w:tcW w:w="1628"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0.882-1.984</w:t>
            </w:r>
          </w:p>
        </w:tc>
        <w:tc>
          <w:tcPr>
            <w:tcW w:w="1356" w:type="dxa"/>
            <w:gridSpan w:val="2"/>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0.175</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Medicaid</w:t>
            </w:r>
          </w:p>
        </w:tc>
        <w:tc>
          <w:tcPr>
            <w:tcW w:w="1890" w:type="dxa"/>
            <w:shd w:val="clear" w:color="auto" w:fill="FFC000"/>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0.287</w:t>
            </w:r>
          </w:p>
        </w:tc>
        <w:tc>
          <w:tcPr>
            <w:tcW w:w="1628" w:type="dxa"/>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0.126-0.654</w:t>
            </w:r>
          </w:p>
        </w:tc>
        <w:tc>
          <w:tcPr>
            <w:tcW w:w="1356" w:type="dxa"/>
            <w:gridSpan w:val="2"/>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0.003</w:t>
            </w:r>
          </w:p>
        </w:tc>
      </w:tr>
      <w:tr w:rsidR="00C85FD7" w:rsidRPr="00C85FD7" w:rsidTr="000763AE">
        <w:trPr>
          <w:trHeight w:val="278"/>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b/>
                <w:color w:val="FFFFFF"/>
                <w:sz w:val="22"/>
                <w:szCs w:val="22"/>
                <w:lang w:eastAsia="ja-JP"/>
              </w:rPr>
              <w:t>Time Spent with</w:t>
            </w:r>
            <w:r w:rsidRPr="000763AE">
              <w:rPr>
                <w:rFonts w:ascii="Calibri" w:hAnsi="Calibri" w:cs="Calibri"/>
                <w:color w:val="FFFFFF"/>
                <w:sz w:val="22"/>
                <w:szCs w:val="22"/>
                <w:lang w:eastAsia="ja-JP"/>
              </w:rPr>
              <w:t xml:space="preserve"> </w:t>
            </w:r>
            <w:r w:rsidRPr="000763AE">
              <w:rPr>
                <w:rFonts w:ascii="Calibri" w:hAnsi="Calibri" w:cs="Calibri"/>
                <w:b/>
                <w:color w:val="FFFFFF"/>
                <w:sz w:val="22"/>
                <w:szCs w:val="22"/>
                <w:lang w:eastAsia="ja-JP"/>
              </w:rPr>
              <w:t xml:space="preserve">Physician </w:t>
            </w:r>
          </w:p>
        </w:tc>
        <w:tc>
          <w:tcPr>
            <w:tcW w:w="1890" w:type="dxa"/>
            <w:shd w:val="clear" w:color="auto" w:fill="BFBFBF"/>
            <w:noWrap/>
            <w:hideMark/>
          </w:tcPr>
          <w:p w:rsidR="00C85FD7" w:rsidRPr="000763AE" w:rsidRDefault="00C85FD7" w:rsidP="000763AE">
            <w:pPr>
              <w:jc w:val="center"/>
              <w:rPr>
                <w:rFonts w:ascii="Calibri" w:hAnsi="Calibri" w:cs="Calibri"/>
                <w:sz w:val="22"/>
                <w:szCs w:val="22"/>
                <w:lang w:eastAsia="ja-JP"/>
              </w:rPr>
            </w:pPr>
          </w:p>
        </w:tc>
        <w:tc>
          <w:tcPr>
            <w:tcW w:w="1628" w:type="dxa"/>
            <w:shd w:val="clear" w:color="auto" w:fill="BFBFBF"/>
          </w:tcPr>
          <w:p w:rsidR="00C85FD7" w:rsidRPr="000763AE" w:rsidRDefault="00C85FD7" w:rsidP="000763AE">
            <w:pPr>
              <w:jc w:val="center"/>
              <w:rPr>
                <w:rFonts w:ascii="Calibri" w:hAnsi="Calibri" w:cs="Calibri"/>
                <w:sz w:val="22"/>
                <w:szCs w:val="22"/>
                <w:lang w:eastAsia="ja-JP"/>
              </w:rPr>
            </w:pPr>
          </w:p>
        </w:tc>
        <w:tc>
          <w:tcPr>
            <w:tcW w:w="1356" w:type="dxa"/>
            <w:gridSpan w:val="2"/>
            <w:shd w:val="clear" w:color="auto" w:fill="BFBFBF"/>
          </w:tcPr>
          <w:p w:rsidR="00C85FD7" w:rsidRPr="000763AE" w:rsidRDefault="00C85FD7" w:rsidP="000763AE">
            <w:pPr>
              <w:jc w:val="center"/>
              <w:rPr>
                <w:rFonts w:ascii="Calibri" w:hAnsi="Calibri" w:cs="Calibri"/>
                <w:sz w:val="22"/>
                <w:szCs w:val="22"/>
                <w:lang w:eastAsia="ja-JP"/>
              </w:rPr>
            </w:pP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&lt;15 minutes </w:t>
            </w:r>
          </w:p>
        </w:tc>
        <w:tc>
          <w:tcPr>
            <w:tcW w:w="1890" w:type="dxa"/>
            <w:shd w:val="clear" w:color="auto" w:fill="FFC000"/>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0.544</w:t>
            </w:r>
          </w:p>
        </w:tc>
        <w:tc>
          <w:tcPr>
            <w:tcW w:w="1628" w:type="dxa"/>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0.316-0.936</w:t>
            </w:r>
          </w:p>
        </w:tc>
        <w:tc>
          <w:tcPr>
            <w:tcW w:w="1356" w:type="dxa"/>
            <w:gridSpan w:val="2"/>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0.028</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color w:val="FFFFFF"/>
                <w:sz w:val="22"/>
                <w:szCs w:val="22"/>
                <w:lang w:eastAsia="ja-JP"/>
              </w:rPr>
            </w:pPr>
            <w:r w:rsidRPr="000763AE">
              <w:rPr>
                <w:rFonts w:ascii="Calibri" w:hAnsi="Calibri" w:cs="Calibri"/>
                <w:color w:val="FFFFFF"/>
                <w:sz w:val="22"/>
                <w:szCs w:val="22"/>
                <w:lang w:eastAsia="ja-JP"/>
              </w:rPr>
              <w:t xml:space="preserve">    16-40 minutes </w:t>
            </w:r>
          </w:p>
        </w:tc>
        <w:tc>
          <w:tcPr>
            <w:tcW w:w="1890" w:type="dxa"/>
            <w:shd w:val="clear" w:color="auto" w:fill="auto"/>
            <w:noWrap/>
            <w:hideMark/>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0.941</w:t>
            </w:r>
          </w:p>
        </w:tc>
        <w:tc>
          <w:tcPr>
            <w:tcW w:w="1628" w:type="dxa"/>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0.566-1.564</w:t>
            </w:r>
          </w:p>
        </w:tc>
        <w:tc>
          <w:tcPr>
            <w:tcW w:w="1356" w:type="dxa"/>
            <w:gridSpan w:val="2"/>
            <w:shd w:val="clear" w:color="auto" w:fill="auto"/>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0.814</w:t>
            </w:r>
          </w:p>
        </w:tc>
      </w:tr>
      <w:tr w:rsidR="00C85FD7" w:rsidRPr="00C85FD7" w:rsidTr="000763AE">
        <w:trPr>
          <w:trHeight w:val="300"/>
          <w:jc w:val="center"/>
        </w:trPr>
        <w:tc>
          <w:tcPr>
            <w:tcW w:w="2714" w:type="dxa"/>
            <w:shd w:val="clear" w:color="auto" w:fill="595959"/>
            <w:noWrap/>
            <w:hideMark/>
          </w:tcPr>
          <w:p w:rsidR="00C85FD7" w:rsidRPr="000763AE" w:rsidRDefault="00C85FD7" w:rsidP="000763AE">
            <w:pPr>
              <w:jc w:val="both"/>
              <w:rPr>
                <w:rFonts w:ascii="Calibri" w:hAnsi="Calibri" w:cs="Calibri"/>
                <w:b/>
                <w:color w:val="FFFFFF"/>
                <w:sz w:val="22"/>
                <w:szCs w:val="22"/>
                <w:lang w:eastAsia="ja-JP"/>
              </w:rPr>
            </w:pPr>
            <w:r w:rsidRPr="000763AE">
              <w:rPr>
                <w:rFonts w:ascii="Calibri" w:hAnsi="Calibri" w:cs="Calibri"/>
                <w:b/>
                <w:color w:val="FFFFFF"/>
                <w:sz w:val="22"/>
                <w:szCs w:val="22"/>
                <w:lang w:eastAsia="ja-JP"/>
              </w:rPr>
              <w:t xml:space="preserve">No Diabetes Education </w:t>
            </w:r>
          </w:p>
        </w:tc>
        <w:tc>
          <w:tcPr>
            <w:tcW w:w="1890" w:type="dxa"/>
            <w:shd w:val="clear" w:color="auto" w:fill="FFC000"/>
            <w:noWrap/>
            <w:hideMark/>
          </w:tcPr>
          <w:p w:rsidR="00C85FD7" w:rsidRPr="000763AE" w:rsidRDefault="00C85FD7" w:rsidP="000763AE">
            <w:pPr>
              <w:jc w:val="both"/>
              <w:rPr>
                <w:rFonts w:ascii="Calibri" w:hAnsi="Calibri" w:cs="Calibri"/>
                <w:sz w:val="22"/>
                <w:szCs w:val="22"/>
                <w:lang w:eastAsia="ja-JP"/>
              </w:rPr>
            </w:pPr>
            <w:r w:rsidRPr="000763AE">
              <w:rPr>
                <w:rFonts w:ascii="Calibri" w:hAnsi="Calibri" w:cs="Calibri"/>
                <w:sz w:val="22"/>
                <w:szCs w:val="22"/>
                <w:lang w:eastAsia="ja-JP"/>
              </w:rPr>
              <w:t>0.125</w:t>
            </w:r>
          </w:p>
        </w:tc>
        <w:tc>
          <w:tcPr>
            <w:tcW w:w="1628" w:type="dxa"/>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0.086-0.183</w:t>
            </w:r>
          </w:p>
        </w:tc>
        <w:tc>
          <w:tcPr>
            <w:tcW w:w="1356" w:type="dxa"/>
            <w:gridSpan w:val="2"/>
            <w:shd w:val="clear" w:color="auto" w:fill="FFC000"/>
          </w:tcPr>
          <w:p w:rsidR="00C85FD7" w:rsidRPr="000763AE" w:rsidRDefault="00C85FD7" w:rsidP="000763AE">
            <w:pPr>
              <w:jc w:val="center"/>
              <w:rPr>
                <w:rFonts w:ascii="Calibri" w:hAnsi="Calibri" w:cs="Calibri"/>
                <w:sz w:val="22"/>
                <w:szCs w:val="22"/>
                <w:lang w:eastAsia="ja-JP"/>
              </w:rPr>
            </w:pPr>
            <w:r w:rsidRPr="000763AE">
              <w:rPr>
                <w:rFonts w:ascii="Calibri" w:hAnsi="Calibri" w:cs="Calibri"/>
                <w:sz w:val="22"/>
                <w:szCs w:val="22"/>
                <w:lang w:eastAsia="ja-JP"/>
              </w:rPr>
              <w:t>0.000</w:t>
            </w:r>
          </w:p>
        </w:tc>
      </w:tr>
    </w:tbl>
    <w:p w:rsidR="00C85FD7" w:rsidRPr="00C85FD7" w:rsidRDefault="00C85FD7" w:rsidP="00EC19E3">
      <w:pPr>
        <w:autoSpaceDE w:val="0"/>
        <w:autoSpaceDN w:val="0"/>
        <w:adjustRightInd w:val="0"/>
        <w:spacing w:before="60"/>
        <w:jc w:val="both"/>
        <w:rPr>
          <w:lang w:eastAsia="ja-JP"/>
        </w:rPr>
      </w:pPr>
    </w:p>
    <w:p w:rsidR="00C85FD7" w:rsidRPr="00C85FD7" w:rsidRDefault="00C85FD7" w:rsidP="00EC19E3">
      <w:pPr>
        <w:autoSpaceDE w:val="0"/>
        <w:autoSpaceDN w:val="0"/>
        <w:adjustRightInd w:val="0"/>
        <w:spacing w:before="60"/>
        <w:jc w:val="both"/>
        <w:rPr>
          <w:lang w:eastAsia="ja-JP"/>
        </w:rPr>
      </w:pPr>
    </w:p>
    <w:p w:rsidR="00C85FD7" w:rsidRPr="000763AE" w:rsidRDefault="00C85FD7" w:rsidP="00B11B34">
      <w:pPr>
        <w:autoSpaceDE w:val="0"/>
        <w:autoSpaceDN w:val="0"/>
        <w:adjustRightInd w:val="0"/>
        <w:spacing w:line="360" w:lineRule="auto"/>
        <w:jc w:val="both"/>
        <w:rPr>
          <w:rFonts w:eastAsia="Calibri"/>
          <w:b/>
        </w:rPr>
      </w:pPr>
      <w:r w:rsidRPr="000763AE">
        <w:rPr>
          <w:rFonts w:eastAsia="Calibri"/>
          <w:b/>
        </w:rPr>
        <w:t>Interaction Variables</w:t>
      </w:r>
    </w:p>
    <w:p w:rsidR="00C85FD7" w:rsidRPr="000763AE" w:rsidRDefault="00C85FD7" w:rsidP="00B11B34">
      <w:pPr>
        <w:autoSpaceDE w:val="0"/>
        <w:autoSpaceDN w:val="0"/>
        <w:adjustRightInd w:val="0"/>
        <w:spacing w:line="360" w:lineRule="auto"/>
        <w:jc w:val="both"/>
        <w:rPr>
          <w:rFonts w:eastAsia="Calibri"/>
          <w:b/>
        </w:rPr>
      </w:pPr>
    </w:p>
    <w:p w:rsidR="00C85FD7" w:rsidRPr="000763AE" w:rsidRDefault="00C85FD7" w:rsidP="00B11B34">
      <w:pPr>
        <w:autoSpaceDE w:val="0"/>
        <w:autoSpaceDN w:val="0"/>
        <w:adjustRightInd w:val="0"/>
        <w:spacing w:line="360" w:lineRule="auto"/>
        <w:jc w:val="both"/>
        <w:rPr>
          <w:rFonts w:eastAsia="Calibri"/>
        </w:rPr>
      </w:pPr>
      <w:r w:rsidRPr="000763AE">
        <w:rPr>
          <w:rFonts w:eastAsia="Calibri"/>
        </w:rPr>
        <w:tab/>
        <w:t xml:space="preserve">Based on the results seen in the odds ratios and a few key points discovered during the literature review, two additional variables were created to evaluate the impact of their interactions on the full model.  The first interaction variable, MDDO*ETHIM, </w:t>
      </w:r>
      <w:r w:rsidRPr="000763AE">
        <w:rPr>
          <w:rFonts w:eastAsia="Calibri"/>
        </w:rPr>
        <w:lastRenderedPageBreak/>
        <w:t xml:space="preserve">combined the </w:t>
      </w:r>
      <w:r w:rsidR="00864194" w:rsidRPr="000763AE">
        <w:rPr>
          <w:rFonts w:eastAsia="Calibri"/>
        </w:rPr>
        <w:t>t</w:t>
      </w:r>
      <w:r w:rsidRPr="000763AE">
        <w:rPr>
          <w:rFonts w:eastAsia="Calibri"/>
        </w:rPr>
        <w:t xml:space="preserve">ype of </w:t>
      </w:r>
      <w:r w:rsidR="00864194" w:rsidRPr="000763AE">
        <w:rPr>
          <w:rFonts w:eastAsia="Calibri"/>
        </w:rPr>
        <w:t>p</w:t>
      </w:r>
      <w:r w:rsidRPr="000763AE">
        <w:rPr>
          <w:rFonts w:eastAsia="Calibri"/>
        </w:rPr>
        <w:t xml:space="preserve">hysician, which includes medical doctor and doctor of osteopathy, and </w:t>
      </w:r>
      <w:r w:rsidR="00864194" w:rsidRPr="000763AE">
        <w:rPr>
          <w:rFonts w:eastAsia="Calibri"/>
        </w:rPr>
        <w:t>e</w:t>
      </w:r>
      <w:r w:rsidRPr="000763AE">
        <w:rPr>
          <w:rFonts w:eastAsia="Calibri"/>
        </w:rPr>
        <w:t>thnicity, which is broken into Hispanic and non-Hispanic.  During the literature review, one study showed that a provider’s perception of race and/or ethnicity can impact a patient’s care management (</w:t>
      </w:r>
      <w:proofErr w:type="spellStart"/>
      <w:r w:rsidRPr="000763AE">
        <w:rPr>
          <w:rFonts w:eastAsia="Calibri"/>
        </w:rPr>
        <w:t>McKinlay</w:t>
      </w:r>
      <w:proofErr w:type="spellEnd"/>
      <w:r w:rsidRPr="000763AE">
        <w:rPr>
          <w:rFonts w:eastAsia="Calibri"/>
        </w:rPr>
        <w:t xml:space="preserve">, 2013).  The odds ratio analysis also indicated a statistical significance in both with the ethnicity and type of physician.  When the full model analysis was rerun including the MDDO*ETHIM variable, the Log </w:t>
      </w:r>
      <w:r w:rsidR="00864194" w:rsidRPr="000763AE">
        <w:rPr>
          <w:rFonts w:eastAsia="Calibri"/>
        </w:rPr>
        <w:t>l</w:t>
      </w:r>
      <w:r w:rsidRPr="000763AE">
        <w:rPr>
          <w:rFonts w:eastAsia="Calibri"/>
        </w:rPr>
        <w:t>ikelihood has a negligible change from 1341.991 to 1341.780 and is therefore not included in the final model.</w:t>
      </w:r>
    </w:p>
    <w:p w:rsidR="006E0406" w:rsidRDefault="00C85FD7" w:rsidP="00FF6E0E">
      <w:pPr>
        <w:autoSpaceDE w:val="0"/>
        <w:autoSpaceDN w:val="0"/>
        <w:adjustRightInd w:val="0"/>
        <w:spacing w:line="360" w:lineRule="auto"/>
        <w:jc w:val="both"/>
        <w:rPr>
          <w:rFonts w:eastAsia="Calibri"/>
          <w:b/>
          <w:sz w:val="28"/>
        </w:rPr>
      </w:pPr>
      <w:r w:rsidRPr="000763AE">
        <w:rPr>
          <w:rFonts w:eastAsia="Calibri"/>
        </w:rPr>
        <w:t xml:space="preserve">The second interaction variable that was created was between diabetes education and practice type, DIAEDUC*SOLO.  This new variable evaluated the interaction between having diabetes education included as part of a 2015 NAMCS visit or not having diabetes education and a visit in a solo practice versus a multi-physician or group practices. Visits with diabetic education had statistically significant higher odds of receiving a foot exam.  The interaction between diabetic education and type of practice was evaluated to see if an improvement in the model was seen based on the hypothesis that larger physician groups may have more time and staff to provide the diabetes education and/or establish more effective clinical policies. When the full model was rerun including the new DIAEDUC*SOLO, the Log </w:t>
      </w:r>
      <w:r w:rsidR="00864194" w:rsidRPr="000763AE">
        <w:rPr>
          <w:rFonts w:eastAsia="Calibri"/>
        </w:rPr>
        <w:t>L</w:t>
      </w:r>
      <w:r w:rsidRPr="000763AE">
        <w:rPr>
          <w:rFonts w:eastAsia="Calibri"/>
        </w:rPr>
        <w:t xml:space="preserve">ikelihood showed </w:t>
      </w:r>
      <w:r w:rsidR="00864194" w:rsidRPr="000763AE">
        <w:rPr>
          <w:rFonts w:eastAsia="Calibri"/>
        </w:rPr>
        <w:t xml:space="preserve">minimal </w:t>
      </w:r>
      <w:r w:rsidRPr="000763AE">
        <w:rPr>
          <w:rFonts w:eastAsia="Calibri"/>
        </w:rPr>
        <w:t>improvement from 1341.991 to 1341.951.  The full model was rerun then including both the newly created variables, MDDO*ETHIM and DIAEDUC*SOLO</w:t>
      </w:r>
      <w:r w:rsidR="00A34E25" w:rsidRPr="000763AE">
        <w:rPr>
          <w:rFonts w:eastAsia="Calibri"/>
        </w:rPr>
        <w:t>,</w:t>
      </w:r>
      <w:r w:rsidRPr="000763AE">
        <w:rPr>
          <w:rFonts w:eastAsia="Calibri"/>
        </w:rPr>
        <w:t xml:space="preserve"> and the Log Likelihood   improved from 1341.991 to 1341.745 which was not a material improvement. Consequently, no interaction terms were included or interpreted in the final mod</w:t>
      </w:r>
      <w:bookmarkStart w:id="6" w:name="_GoBack"/>
      <w:bookmarkEnd w:id="6"/>
      <w:r w:rsidRPr="000763AE">
        <w:rPr>
          <w:rFonts w:eastAsia="Calibri"/>
        </w:rPr>
        <w:t>el for this research.</w:t>
      </w:r>
      <w:r w:rsidR="001B31CA" w:rsidRPr="000763AE">
        <w:rPr>
          <w:rFonts w:eastAsia="Calibri"/>
          <w:b/>
          <w:sz w:val="28"/>
        </w:rPr>
        <w:br w:type="page"/>
      </w:r>
      <w:r w:rsidR="006E0406" w:rsidRPr="000763AE">
        <w:rPr>
          <w:rFonts w:eastAsia="Calibri"/>
          <w:b/>
          <w:sz w:val="28"/>
        </w:rPr>
        <w:lastRenderedPageBreak/>
        <w:t>CHAPTER 5- DISCUSSION</w:t>
      </w:r>
    </w:p>
    <w:p w:rsidR="006D1C17" w:rsidRPr="000C5643" w:rsidRDefault="006D1C17" w:rsidP="006D1C17">
      <w:pPr>
        <w:autoSpaceDE w:val="0"/>
        <w:autoSpaceDN w:val="0"/>
        <w:adjustRightInd w:val="0"/>
        <w:spacing w:line="360" w:lineRule="auto"/>
        <w:jc w:val="center"/>
        <w:rPr>
          <w:rFonts w:eastAsia="Calibri"/>
        </w:rPr>
      </w:pPr>
    </w:p>
    <w:p w:rsidR="006E0406" w:rsidRPr="000763AE" w:rsidRDefault="006E0406" w:rsidP="00B11B34">
      <w:pPr>
        <w:autoSpaceDE w:val="0"/>
        <w:autoSpaceDN w:val="0"/>
        <w:adjustRightInd w:val="0"/>
        <w:spacing w:after="120" w:line="360" w:lineRule="auto"/>
        <w:jc w:val="center"/>
        <w:rPr>
          <w:rFonts w:eastAsia="Calibri"/>
          <w:b/>
        </w:rPr>
      </w:pPr>
      <w:r w:rsidRPr="000763AE">
        <w:rPr>
          <w:rFonts w:eastAsia="Calibri"/>
          <w:b/>
        </w:rPr>
        <w:t>ANALYTICAL FINDINGS AND SOCIAL EQUITY THEORY</w:t>
      </w:r>
    </w:p>
    <w:p w:rsidR="006E0406" w:rsidRPr="006E0406" w:rsidRDefault="006E0406" w:rsidP="00B11B34">
      <w:pPr>
        <w:spacing w:line="360" w:lineRule="auto"/>
        <w:contextualSpacing/>
        <w:jc w:val="both"/>
      </w:pPr>
      <w:r w:rsidRPr="000763AE">
        <w:rPr>
          <w:rFonts w:eastAsia="Calibri"/>
        </w:rPr>
        <w:tab/>
        <w:t>Based on the analytical finding of this research, the overall rate of foot exams documented during the 2015 NAMCS for diabetic visits was found to be low</w:t>
      </w:r>
      <w:r w:rsidR="00443A40" w:rsidRPr="000763AE">
        <w:rPr>
          <w:rFonts w:eastAsia="Calibri"/>
        </w:rPr>
        <w:t>,</w:t>
      </w:r>
      <w:r w:rsidRPr="000763AE">
        <w:rPr>
          <w:rFonts w:eastAsia="Calibri"/>
        </w:rPr>
        <w:t xml:space="preserve"> with only 201 visits with a foot exam when compared to the overall 3,481 visits with diabetes. The findings raise questions as to whether or not U</w:t>
      </w:r>
      <w:r w:rsidR="00443A40" w:rsidRPr="000763AE">
        <w:rPr>
          <w:rFonts w:eastAsia="Calibri"/>
        </w:rPr>
        <w:t>.</w:t>
      </w:r>
      <w:r w:rsidRPr="000763AE">
        <w:rPr>
          <w:rFonts w:eastAsia="Calibri"/>
        </w:rPr>
        <w:t>S</w:t>
      </w:r>
      <w:r w:rsidR="00443A40" w:rsidRPr="000763AE">
        <w:rPr>
          <w:rFonts w:eastAsia="Calibri"/>
        </w:rPr>
        <w:t>.</w:t>
      </w:r>
      <w:r w:rsidRPr="000763AE">
        <w:rPr>
          <w:rFonts w:eastAsia="Calibri"/>
        </w:rPr>
        <w:t xml:space="preserve"> patients with diabetes </w:t>
      </w:r>
      <w:r w:rsidR="00986B5F" w:rsidRPr="000763AE">
        <w:rPr>
          <w:rFonts w:eastAsia="Calibri"/>
        </w:rPr>
        <w:t xml:space="preserve">of </w:t>
      </w:r>
      <w:r w:rsidRPr="000763AE">
        <w:rPr>
          <w:rFonts w:eastAsia="Calibri"/>
        </w:rPr>
        <w:t>certain characteristics</w:t>
      </w:r>
      <w:r w:rsidR="00C70389" w:rsidRPr="000763AE">
        <w:rPr>
          <w:rFonts w:eastAsia="Calibri"/>
        </w:rPr>
        <w:t>,</w:t>
      </w:r>
      <w:r w:rsidRPr="000763AE">
        <w:rPr>
          <w:rFonts w:eastAsia="Calibri"/>
        </w:rPr>
        <w:t xml:space="preserve"> such as race, payment types, and region in which they reside</w:t>
      </w:r>
      <w:r w:rsidR="00C70389" w:rsidRPr="000763AE">
        <w:rPr>
          <w:rFonts w:eastAsia="Calibri"/>
        </w:rPr>
        <w:t>,</w:t>
      </w:r>
      <w:r w:rsidRPr="000763AE">
        <w:rPr>
          <w:rFonts w:eastAsia="Calibri"/>
        </w:rPr>
        <w:t xml:space="preserve"> are receiving and/or have access to the appropriate recommended quality preventative care. The analytical findings were evaluated through the lens of the four components of social equity to identify potential deviations and opportunities for improvement that could result in patients with diabetes having equal access to quality, evidence-based diabetes care irrespective of socio-demographics, provider</w:t>
      </w:r>
      <w:r w:rsidR="00A96635" w:rsidRPr="000763AE">
        <w:rPr>
          <w:rFonts w:eastAsia="Calibri"/>
        </w:rPr>
        <w:t xml:space="preserve"> characteristics</w:t>
      </w:r>
      <w:r w:rsidRPr="000763AE">
        <w:rPr>
          <w:rFonts w:eastAsia="Calibri"/>
        </w:rPr>
        <w:t xml:space="preserve">, or practice characteristics. </w:t>
      </w:r>
    </w:p>
    <w:p w:rsidR="006E0406" w:rsidRPr="006E0406" w:rsidRDefault="006E0406" w:rsidP="00B11B34">
      <w:pPr>
        <w:spacing w:before="120" w:line="360" w:lineRule="auto"/>
        <w:jc w:val="both"/>
        <w:rPr>
          <w:b/>
        </w:rPr>
      </w:pPr>
      <w:r w:rsidRPr="006E0406">
        <w:rPr>
          <w:b/>
        </w:rPr>
        <w:t xml:space="preserve">Procedural </w:t>
      </w:r>
      <w:r w:rsidR="00AB318E">
        <w:rPr>
          <w:b/>
        </w:rPr>
        <w:t>F</w:t>
      </w:r>
      <w:r w:rsidRPr="006E0406">
        <w:rPr>
          <w:b/>
        </w:rPr>
        <w:t>airness</w:t>
      </w:r>
    </w:p>
    <w:p w:rsidR="006E0406" w:rsidRPr="000763AE" w:rsidRDefault="006E0406" w:rsidP="00B11B34">
      <w:pPr>
        <w:autoSpaceDE w:val="0"/>
        <w:autoSpaceDN w:val="0"/>
        <w:adjustRightInd w:val="0"/>
        <w:spacing w:line="360" w:lineRule="auto"/>
        <w:jc w:val="both"/>
        <w:rPr>
          <w:rFonts w:eastAsia="Calibri"/>
          <w:color w:val="000000"/>
        </w:rPr>
      </w:pPr>
      <w:r w:rsidRPr="000763AE">
        <w:rPr>
          <w:rFonts w:eastAsia="Calibri"/>
          <w:color w:val="000000"/>
        </w:rPr>
        <w:tab/>
        <w:t xml:space="preserve">As described in Chapter 3, procedural fairness is the responsibility of public administrators to ensure that development of programs and policies result in all recipients being treated fairly and equally. The ACA was an attempt to address inequities including procedural fairness by requiring coverage to patients with preexisting conditions such as diabetes.  Prior to the enactment of the ACA, coverage could be denied or excluded for individuals with chronic diseases.  However, just because coverage is legally available to everyone does not guarantee it will be delivered equally.  Ultimately, both lawmakers and public administrators should collaborate to ensure that the right services are available and that all populations obtain the same level of care.  Based on the findings in this research, not everyone with diabetes that would have benefited from having a foot exam received one, which resulted in a violation of the procedural fairness element of the social equity theory. </w:t>
      </w:r>
    </w:p>
    <w:p w:rsidR="006E0406" w:rsidRPr="000763AE" w:rsidRDefault="006E0406" w:rsidP="00B11B34">
      <w:pPr>
        <w:autoSpaceDE w:val="0"/>
        <w:autoSpaceDN w:val="0"/>
        <w:adjustRightInd w:val="0"/>
        <w:spacing w:line="360" w:lineRule="auto"/>
        <w:jc w:val="both"/>
        <w:rPr>
          <w:rFonts w:eastAsia="Calibri"/>
          <w:color w:val="000000"/>
          <w:lang w:eastAsia="ja-JP"/>
        </w:rPr>
      </w:pPr>
      <w:r w:rsidRPr="000763AE">
        <w:rPr>
          <w:rFonts w:eastAsia="Calibri"/>
          <w:color w:val="000000"/>
        </w:rPr>
        <w:tab/>
        <w:t xml:space="preserve">In addition to delivery inequalities, there are two areas where procedural fairness could be improved to equally deliver foot exams. Development of a systematic approach to ensuring consistency among care providers is a potential opportunity. Based on the odds ratios findings, diabetes visits with a nurse practitioner resulted in much higher odds </w:t>
      </w:r>
      <w:r w:rsidRPr="000763AE">
        <w:rPr>
          <w:rFonts w:eastAsia="Calibri"/>
          <w:color w:val="000000"/>
        </w:rPr>
        <w:lastRenderedPageBreak/>
        <w:t>of receiving a foot exam relative those visits with</w:t>
      </w:r>
      <w:r w:rsidRPr="000763AE">
        <w:rPr>
          <w:rFonts w:eastAsia="Calibri"/>
          <w:color w:val="000000"/>
          <w:lang w:eastAsia="ja-JP"/>
        </w:rPr>
        <w:t xml:space="preserve"> a physician (0.17, CI = 0.096-0.293) or a physician’s assistant (0.05, CI = 0.014 - 0.149).  </w:t>
      </w:r>
      <w:r w:rsidRPr="000763AE">
        <w:rPr>
          <w:rFonts w:eastAsia="Calibri"/>
          <w:lang w:eastAsia="ja-JP"/>
        </w:rPr>
        <w:t xml:space="preserve">Similarly, for a visit with a doctor of osteopathy relative to a doctor of medicine, the odds of having a foot exam were 0.17 (CI = 0.041 - 0.704).  Special </w:t>
      </w:r>
      <w:r w:rsidRPr="000763AE">
        <w:rPr>
          <w:rFonts w:eastAsia="Calibri"/>
          <w:color w:val="000000"/>
          <w:lang w:eastAsia="ja-JP"/>
        </w:rPr>
        <w:t xml:space="preserve">attention should be paid to how the decision is made as to who sees the patient given the results above.  If addressed, this may be a way to improve the completion rate for foot exams. </w:t>
      </w:r>
    </w:p>
    <w:p w:rsidR="00EC19E3" w:rsidRDefault="006E0406" w:rsidP="00EC19E3">
      <w:pPr>
        <w:autoSpaceDE w:val="0"/>
        <w:autoSpaceDN w:val="0"/>
        <w:adjustRightInd w:val="0"/>
        <w:spacing w:line="360" w:lineRule="auto"/>
        <w:jc w:val="both"/>
        <w:rPr>
          <w:b/>
        </w:rPr>
      </w:pPr>
      <w:r w:rsidRPr="000763AE">
        <w:rPr>
          <w:rFonts w:eastAsia="Calibri"/>
          <w:color w:val="000000"/>
          <w:lang w:eastAsia="ja-JP"/>
        </w:rPr>
        <w:tab/>
        <w:t>The second area of opportunities was around diabetes education. Similarly, the receipt of diabetes education was found to be associated with greater odds of receiving a foot exam. When compared to those who received diabetes education, diabetic visits that did not include diabetes education had only a 0.13 (CI = 0.086-0.183) odds of receiving a foot exam.  Since part of diabetes education includes sharing best practices for self-management</w:t>
      </w:r>
      <w:r w:rsidR="00DA46BA" w:rsidRPr="000763AE">
        <w:rPr>
          <w:rFonts w:eastAsia="Calibri"/>
          <w:color w:val="000000"/>
          <w:lang w:eastAsia="ja-JP"/>
        </w:rPr>
        <w:t>,</w:t>
      </w:r>
      <w:r w:rsidRPr="000763AE">
        <w:rPr>
          <w:rFonts w:eastAsia="Calibri"/>
          <w:color w:val="000000"/>
          <w:lang w:eastAsia="ja-JP"/>
        </w:rPr>
        <w:t xml:space="preserve"> which includes daily foot checks, requiring a reinforcement of diabetes education as part of every diabetes visit may be an opportunity to indirectly increase the number of foot exams performed as it may serve as a reminder to providers that one is needed as part of the visit.  </w:t>
      </w:r>
    </w:p>
    <w:p w:rsidR="006E0406" w:rsidRPr="006E0406" w:rsidRDefault="006E0406" w:rsidP="00B11B34">
      <w:pPr>
        <w:spacing w:before="120" w:line="360" w:lineRule="auto"/>
        <w:jc w:val="both"/>
        <w:rPr>
          <w:b/>
        </w:rPr>
      </w:pPr>
      <w:r w:rsidRPr="006E0406">
        <w:rPr>
          <w:b/>
        </w:rPr>
        <w:t xml:space="preserve">Distributional </w:t>
      </w:r>
      <w:r w:rsidR="001C1544">
        <w:rPr>
          <w:b/>
        </w:rPr>
        <w:t>E</w:t>
      </w:r>
      <w:r w:rsidRPr="006E0406">
        <w:rPr>
          <w:b/>
        </w:rPr>
        <w:t>quity</w:t>
      </w:r>
    </w:p>
    <w:p w:rsidR="006E0406" w:rsidRPr="006E0406" w:rsidRDefault="006E0406" w:rsidP="00B11B34">
      <w:pPr>
        <w:spacing w:line="360" w:lineRule="auto"/>
        <w:contextualSpacing/>
        <w:jc w:val="both"/>
        <w:rPr>
          <w:szCs w:val="20"/>
        </w:rPr>
      </w:pPr>
      <w:r w:rsidRPr="006E0406">
        <w:tab/>
        <w:t>Distributional equity requires that public services be equally accessible and available to all.  However, distributional equity may be difficult for public administrators to quantify and measure if a particular segment of the population is under-represented as was the case on the 2015 NAMCS survey.  Based on the univariate analytical findings, of the 3,481 visits with the diagnosis of diabetes</w:t>
      </w:r>
      <w:r w:rsidR="00125BCB">
        <w:t>,</w:t>
      </w:r>
      <w:r w:rsidRPr="006E0406">
        <w:t xml:space="preserve"> 63% (2,181) were for white patients but only 12 % (471) were with black patients and 5% (175) were representative of all other races including </w:t>
      </w:r>
      <w:r w:rsidR="00125BCB">
        <w:t>Asian</w:t>
      </w:r>
      <w:r w:rsidRPr="006E0406">
        <w:t xml:space="preserve">, </w:t>
      </w:r>
      <w:r w:rsidRPr="006E0406">
        <w:rPr>
          <w:szCs w:val="20"/>
        </w:rPr>
        <w:t>Pakistani</w:t>
      </w:r>
      <w:r w:rsidRPr="000763AE">
        <w:rPr>
          <w:rFonts w:eastAsia="Calibri"/>
          <w:szCs w:val="20"/>
        </w:rPr>
        <w:t xml:space="preserve">, </w:t>
      </w:r>
      <w:r w:rsidRPr="006E0406">
        <w:rPr>
          <w:szCs w:val="20"/>
        </w:rPr>
        <w:t xml:space="preserve">Native American, Native Hawaiian or </w:t>
      </w:r>
      <w:r w:rsidR="00125BCB">
        <w:rPr>
          <w:szCs w:val="20"/>
        </w:rPr>
        <w:t>o</w:t>
      </w:r>
      <w:r w:rsidRPr="006E0406">
        <w:rPr>
          <w:szCs w:val="20"/>
        </w:rPr>
        <w:t>ther Pacific Islander</w:t>
      </w:r>
      <w:r w:rsidRPr="000763AE">
        <w:rPr>
          <w:rFonts w:eastAsia="Calibri"/>
          <w:szCs w:val="20"/>
        </w:rPr>
        <w:t>.</w:t>
      </w:r>
      <w:r w:rsidRPr="006E0406">
        <w:rPr>
          <w:szCs w:val="20"/>
        </w:rPr>
        <w:t xml:space="preserve"> Although the percentage of foot exams performed for White and Black during diabetic visits was the same (6%), could the percentage have been higher for Blacks if there were more equal representation among the races?  Additionally, the Phi coefficient showed that there is no association between having Type 1 diabetes and receipt of a foot exam during a visit which could be a result of </w:t>
      </w:r>
      <w:r w:rsidR="004F7AEB">
        <w:rPr>
          <w:szCs w:val="20"/>
        </w:rPr>
        <w:t>having</w:t>
      </w:r>
      <w:r w:rsidRPr="006E0406">
        <w:rPr>
          <w:szCs w:val="20"/>
        </w:rPr>
        <w:t xml:space="preserve"> low statistical power arising from the small number of persons with Type 1 diabetes represented in the survey.   </w:t>
      </w:r>
    </w:p>
    <w:p w:rsidR="006E0406" w:rsidRPr="000763AE" w:rsidRDefault="006E0406" w:rsidP="00B11B34">
      <w:pPr>
        <w:spacing w:line="360" w:lineRule="auto"/>
        <w:contextualSpacing/>
        <w:jc w:val="both"/>
        <w:rPr>
          <w:rFonts w:eastAsia="Calibri"/>
        </w:rPr>
      </w:pPr>
      <w:r w:rsidRPr="006E0406">
        <w:rPr>
          <w:szCs w:val="20"/>
        </w:rPr>
        <w:tab/>
      </w:r>
      <w:r w:rsidRPr="006E0406">
        <w:t>The bivariate analysis showed that</w:t>
      </w:r>
      <w:r w:rsidRPr="006E0406">
        <w:rPr>
          <w:b/>
        </w:rPr>
        <w:t xml:space="preserve"> </w:t>
      </w:r>
      <w:r w:rsidRPr="000763AE">
        <w:rPr>
          <w:rFonts w:eastAsia="Calibri"/>
        </w:rPr>
        <w:t xml:space="preserve">of those with Type 2 diabetes, only 7% received a foot exam.  As previously noted, the count of diabetes visits with Type 2 </w:t>
      </w:r>
      <w:r w:rsidRPr="000763AE">
        <w:rPr>
          <w:rFonts w:eastAsia="Calibri"/>
        </w:rPr>
        <w:lastRenderedPageBreak/>
        <w:t>(1,677) and diabetes unspecified (1,428) were somewhat comparable, however, only 4% of those with diabetes unspecified had a foot exam performed. Given the percentage differen</w:t>
      </w:r>
      <w:r w:rsidR="00125BCB" w:rsidRPr="000763AE">
        <w:rPr>
          <w:rFonts w:eastAsia="Calibri"/>
        </w:rPr>
        <w:t>ce</w:t>
      </w:r>
      <w:r w:rsidRPr="000763AE">
        <w:rPr>
          <w:rFonts w:eastAsia="Calibri"/>
        </w:rPr>
        <w:t xml:space="preserve"> between the two diabetes groups, the lack of a formal diabetes type diagnosis may be associate</w:t>
      </w:r>
      <w:r w:rsidR="00603AFF" w:rsidRPr="000763AE">
        <w:rPr>
          <w:rFonts w:eastAsia="Calibri"/>
        </w:rPr>
        <w:t>d</w:t>
      </w:r>
      <w:r w:rsidRPr="000763AE">
        <w:rPr>
          <w:rFonts w:eastAsia="Calibri"/>
        </w:rPr>
        <w:t xml:space="preserve"> with the odds </w:t>
      </w:r>
      <w:r w:rsidR="00FC75B9" w:rsidRPr="000763AE">
        <w:rPr>
          <w:rFonts w:eastAsia="Calibri"/>
        </w:rPr>
        <w:t xml:space="preserve">of </w:t>
      </w:r>
      <w:r w:rsidRPr="000763AE">
        <w:rPr>
          <w:rFonts w:eastAsia="Calibri"/>
        </w:rPr>
        <w:t xml:space="preserve">delivery of a foot exam during a diabetes visit. This raises concerns that a process equity issue in foot care delivery and quality may be present for patients with diabetes </w:t>
      </w:r>
      <w:r w:rsidR="004F7AEB" w:rsidRPr="000763AE">
        <w:rPr>
          <w:rFonts w:eastAsia="Calibri"/>
        </w:rPr>
        <w:t xml:space="preserve">diagnosis </w:t>
      </w:r>
      <w:r w:rsidRPr="000763AE">
        <w:rPr>
          <w:rFonts w:eastAsia="Calibri"/>
        </w:rPr>
        <w:t xml:space="preserve">left unspecified. </w:t>
      </w:r>
    </w:p>
    <w:p w:rsidR="006E0406" w:rsidRPr="000763AE" w:rsidRDefault="006E0406" w:rsidP="00B11B34">
      <w:pPr>
        <w:spacing w:line="360" w:lineRule="auto"/>
        <w:contextualSpacing/>
        <w:jc w:val="both"/>
        <w:rPr>
          <w:rFonts w:eastAsia="Calibri"/>
        </w:rPr>
      </w:pPr>
      <w:r w:rsidRPr="000763AE">
        <w:rPr>
          <w:rFonts w:eastAsia="Calibri"/>
        </w:rPr>
        <w:tab/>
        <w:t>As previously mention</w:t>
      </w:r>
      <w:r w:rsidR="00FC75B9" w:rsidRPr="000763AE">
        <w:rPr>
          <w:rFonts w:eastAsia="Calibri"/>
        </w:rPr>
        <w:t>ed</w:t>
      </w:r>
      <w:r w:rsidRPr="000763AE">
        <w:rPr>
          <w:rFonts w:eastAsia="Calibri"/>
        </w:rPr>
        <w:t xml:space="preserve"> in the literature review section, the types of services and access to care patients received may often be related to funding, </w:t>
      </w:r>
      <w:r w:rsidR="00FC75B9" w:rsidRPr="000763AE">
        <w:rPr>
          <w:rFonts w:eastAsia="Calibri"/>
        </w:rPr>
        <w:t xml:space="preserve">so </w:t>
      </w:r>
      <w:r w:rsidRPr="000763AE">
        <w:rPr>
          <w:rFonts w:eastAsia="Calibri"/>
        </w:rPr>
        <w:t>two subsequent bivariate analyses were run to look at</w:t>
      </w:r>
      <w:r w:rsidRPr="006E0406">
        <w:t xml:space="preserve"> </w:t>
      </w:r>
      <w:r w:rsidRPr="000763AE">
        <w:rPr>
          <w:rFonts w:eastAsia="Calibri"/>
        </w:rPr>
        <w:t>funding as it relates to race a</w:t>
      </w:r>
      <w:r w:rsidR="00A65B00" w:rsidRPr="000763AE">
        <w:rPr>
          <w:rFonts w:eastAsia="Calibri"/>
        </w:rPr>
        <w:t>nd ethnicity (Ashford, 2017). Figure</w:t>
      </w:r>
      <w:r w:rsidR="00BE2004" w:rsidRPr="000763AE">
        <w:rPr>
          <w:rFonts w:eastAsia="Calibri"/>
        </w:rPr>
        <w:t>s</w:t>
      </w:r>
      <w:r w:rsidR="00A65B00" w:rsidRPr="000763AE">
        <w:rPr>
          <w:rFonts w:eastAsia="Calibri"/>
        </w:rPr>
        <w:t xml:space="preserve"> </w:t>
      </w:r>
      <w:r w:rsidR="00D029B5" w:rsidRPr="000763AE">
        <w:rPr>
          <w:rFonts w:eastAsia="Calibri"/>
        </w:rPr>
        <w:t>6</w:t>
      </w:r>
      <w:r w:rsidR="00A65B00" w:rsidRPr="000763AE">
        <w:rPr>
          <w:rFonts w:eastAsia="Calibri"/>
        </w:rPr>
        <w:t xml:space="preserve"> and </w:t>
      </w:r>
      <w:r w:rsidR="00D029B5" w:rsidRPr="000763AE">
        <w:rPr>
          <w:rFonts w:eastAsia="Calibri"/>
        </w:rPr>
        <w:t>7</w:t>
      </w:r>
      <w:r w:rsidRPr="000763AE">
        <w:rPr>
          <w:rFonts w:eastAsia="Calibri"/>
        </w:rPr>
        <w:t xml:space="preserve"> present the findings.  Across all funding categories included in the 2015 NAMCS survey, Whites held the highest percentage of visits (</w:t>
      </w:r>
      <w:r w:rsidR="004330C1" w:rsidRPr="000763AE">
        <w:rPr>
          <w:rFonts w:eastAsia="Calibri"/>
        </w:rPr>
        <w:t>P</w:t>
      </w:r>
      <w:r w:rsidRPr="000763AE">
        <w:rPr>
          <w:rFonts w:eastAsia="Calibri"/>
        </w:rPr>
        <w:t xml:space="preserve">rivate insurance 80.6%, Medicare 83.3%, Medicaid 72.5%, other sources 83.4%) when compared to their counterparts.  This raises the concern that distributional inequities may be a result of disparities of insurance coverage based on race. </w:t>
      </w:r>
    </w:p>
    <w:p w:rsidR="006E0406" w:rsidRPr="000763AE" w:rsidRDefault="006E0406" w:rsidP="00B11B34">
      <w:pPr>
        <w:spacing w:line="360" w:lineRule="auto"/>
        <w:contextualSpacing/>
        <w:jc w:val="both"/>
        <w:rPr>
          <w:rFonts w:eastAsia="Calibri"/>
        </w:rPr>
      </w:pPr>
      <w:r w:rsidRPr="000763AE">
        <w:rPr>
          <w:rFonts w:eastAsia="Calibri"/>
        </w:rPr>
        <w:tab/>
        <w:t xml:space="preserve">With respect to ethnicity, non-Hispanic led in payment sources </w:t>
      </w:r>
      <w:r w:rsidR="0059191B" w:rsidRPr="000763AE">
        <w:rPr>
          <w:rFonts w:eastAsia="Calibri"/>
        </w:rPr>
        <w:t xml:space="preserve">versus Hispanic </w:t>
      </w:r>
      <w:r w:rsidRPr="000763AE">
        <w:rPr>
          <w:rFonts w:eastAsia="Calibri"/>
        </w:rPr>
        <w:t xml:space="preserve">for </w:t>
      </w:r>
      <w:r w:rsidR="004330C1" w:rsidRPr="000763AE">
        <w:rPr>
          <w:rFonts w:eastAsia="Calibri"/>
        </w:rPr>
        <w:t>P</w:t>
      </w:r>
      <w:r w:rsidRPr="000763AE">
        <w:rPr>
          <w:rFonts w:eastAsia="Calibri"/>
        </w:rPr>
        <w:t>rivate Insurance (33.7%) and Medicare (49.6%).  In contract, Hispanic had the highe</w:t>
      </w:r>
      <w:r w:rsidR="0059191B" w:rsidRPr="000763AE">
        <w:rPr>
          <w:rFonts w:eastAsia="Calibri"/>
        </w:rPr>
        <w:t>r</w:t>
      </w:r>
      <w:r w:rsidRPr="000763AE">
        <w:rPr>
          <w:rFonts w:eastAsia="Calibri"/>
        </w:rPr>
        <w:t xml:space="preserve"> source of payment for Medicaid (20.7%)</w:t>
      </w:r>
      <w:r w:rsidR="008E1CA6" w:rsidRPr="000763AE">
        <w:rPr>
          <w:rFonts w:eastAsia="Calibri"/>
        </w:rPr>
        <w:t xml:space="preserve">, indicating </w:t>
      </w:r>
      <w:r w:rsidRPr="000763AE">
        <w:rPr>
          <w:rFonts w:eastAsia="Calibri"/>
        </w:rPr>
        <w:t xml:space="preserve">that a larger portion of the Hispanic population was low income when compared to non-Hispanics.  </w:t>
      </w:r>
      <w:r w:rsidR="0059191B" w:rsidRPr="000763AE">
        <w:rPr>
          <w:rFonts w:eastAsia="Calibri"/>
        </w:rPr>
        <w:t>This is a</w:t>
      </w:r>
      <w:r w:rsidRPr="000763AE">
        <w:rPr>
          <w:rFonts w:eastAsia="Calibri"/>
        </w:rPr>
        <w:t xml:space="preserve">n additional data point could potentially be useful for future evaluation </w:t>
      </w:r>
      <w:r w:rsidR="0059191B" w:rsidRPr="000763AE">
        <w:rPr>
          <w:rFonts w:eastAsia="Calibri"/>
        </w:rPr>
        <w:t>using</w:t>
      </w:r>
      <w:r w:rsidRPr="000763AE">
        <w:rPr>
          <w:rFonts w:eastAsia="Calibri"/>
        </w:rPr>
        <w:t xml:space="preserve"> income level.  This could provide further insight on those within the Hispanic population that may be of greatest risk for health disparities based on insurance coverage and income level.  Both Hispanic and Non-Hispanic visits with </w:t>
      </w:r>
      <w:proofErr w:type="gramStart"/>
      <w:r w:rsidRPr="000763AE">
        <w:rPr>
          <w:rFonts w:eastAsia="Calibri"/>
        </w:rPr>
        <w:t>Other</w:t>
      </w:r>
      <w:proofErr w:type="gramEnd"/>
      <w:r w:rsidRPr="000763AE">
        <w:rPr>
          <w:rFonts w:eastAsia="Calibri"/>
        </w:rPr>
        <w:t xml:space="preserve"> as </w:t>
      </w:r>
      <w:r w:rsidR="00C83B28" w:rsidRPr="000763AE">
        <w:rPr>
          <w:rFonts w:eastAsia="Calibri"/>
        </w:rPr>
        <w:t>the</w:t>
      </w:r>
      <w:r w:rsidRPr="000763AE">
        <w:rPr>
          <w:rFonts w:eastAsia="Calibri"/>
        </w:rPr>
        <w:t xml:space="preserve"> source of payment were approximately 8% of the overall payment source within each respective category.  </w:t>
      </w:r>
    </w:p>
    <w:p w:rsidR="006E0406" w:rsidRPr="000763AE" w:rsidRDefault="000106AA" w:rsidP="000C5643">
      <w:pPr>
        <w:spacing w:after="200" w:line="360" w:lineRule="auto"/>
        <w:rPr>
          <w:rFonts w:eastAsia="Calibri"/>
        </w:rPr>
      </w:pPr>
      <w:r w:rsidRPr="000763AE">
        <w:rPr>
          <w:rFonts w:eastAsia="Calibri"/>
        </w:rPr>
        <w:br w:type="page"/>
      </w:r>
      <w:proofErr w:type="gramStart"/>
      <w:r w:rsidR="00A65B00" w:rsidRPr="000763AE">
        <w:rPr>
          <w:rFonts w:eastAsia="Calibri"/>
          <w:b/>
        </w:rPr>
        <w:lastRenderedPageBreak/>
        <w:t xml:space="preserve">Figure </w:t>
      </w:r>
      <w:r w:rsidR="00D029B5" w:rsidRPr="000763AE">
        <w:rPr>
          <w:rFonts w:eastAsia="Calibri"/>
          <w:b/>
        </w:rPr>
        <w:t>6</w:t>
      </w:r>
      <w:r w:rsidR="006E0406" w:rsidRPr="000763AE">
        <w:rPr>
          <w:rFonts w:eastAsia="Calibri"/>
        </w:rPr>
        <w:t>.</w:t>
      </w:r>
      <w:proofErr w:type="gramEnd"/>
      <w:r w:rsidR="006E0406" w:rsidRPr="000763AE">
        <w:rPr>
          <w:rFonts w:eastAsia="Calibri"/>
        </w:rPr>
        <w:t xml:space="preserve"> Descriptive percentages for Insurance Coverage Sources using the NAMCS 2015 office visits for patients with diabetes based on race.</w:t>
      </w:r>
    </w:p>
    <w:p w:rsidR="006E0406" w:rsidRPr="000763AE" w:rsidRDefault="006E0406" w:rsidP="00EC19E3">
      <w:pPr>
        <w:contextualSpacing/>
        <w:jc w:val="both"/>
        <w:rPr>
          <w:rFonts w:eastAsia="Calibri"/>
          <w:color w:val="FF0000"/>
        </w:rPr>
      </w:pPr>
    </w:p>
    <w:p w:rsidR="006E0406" w:rsidRPr="000763AE" w:rsidRDefault="008252AC" w:rsidP="00EC19E3">
      <w:pPr>
        <w:contextualSpacing/>
        <w:jc w:val="both"/>
        <w:rPr>
          <w:rFonts w:eastAsia="Calibri"/>
          <w:color w:val="FF0000"/>
        </w:rPr>
      </w:pPr>
      <w:r>
        <w:rPr>
          <w:rFonts w:eastAsia="Calibri"/>
          <w:noProof/>
          <w:color w:val="FF0000"/>
        </w:rPr>
        <w:drawing>
          <wp:inline distT="0" distB="0" distL="0" distR="0">
            <wp:extent cx="5486400" cy="2313305"/>
            <wp:effectExtent l="0" t="0" r="0" b="0"/>
            <wp:docPr id="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2313305"/>
                    </a:xfrm>
                    <a:prstGeom prst="rect">
                      <a:avLst/>
                    </a:prstGeom>
                    <a:noFill/>
                    <a:ln>
                      <a:noFill/>
                    </a:ln>
                  </pic:spPr>
                </pic:pic>
              </a:graphicData>
            </a:graphic>
          </wp:inline>
        </w:drawing>
      </w:r>
    </w:p>
    <w:p w:rsidR="006E0406" w:rsidRPr="000763AE" w:rsidRDefault="006E0406" w:rsidP="00EC19E3">
      <w:pPr>
        <w:contextualSpacing/>
        <w:jc w:val="both"/>
        <w:rPr>
          <w:rFonts w:eastAsia="Calibri"/>
          <w:i/>
          <w:color w:val="FF0000"/>
        </w:rPr>
      </w:pPr>
    </w:p>
    <w:p w:rsidR="006E0406" w:rsidRPr="000763AE" w:rsidRDefault="00A65B00" w:rsidP="00EC19E3">
      <w:pPr>
        <w:contextualSpacing/>
        <w:jc w:val="both"/>
        <w:rPr>
          <w:rFonts w:eastAsia="Calibri"/>
        </w:rPr>
      </w:pPr>
      <w:proofErr w:type="gramStart"/>
      <w:r w:rsidRPr="000763AE">
        <w:rPr>
          <w:rFonts w:eastAsia="Calibri"/>
          <w:b/>
        </w:rPr>
        <w:t xml:space="preserve">Figure </w:t>
      </w:r>
      <w:r w:rsidR="00D029B5" w:rsidRPr="000763AE">
        <w:rPr>
          <w:rFonts w:eastAsia="Calibri"/>
          <w:b/>
        </w:rPr>
        <w:t>7</w:t>
      </w:r>
      <w:r w:rsidR="006E0406" w:rsidRPr="000763AE">
        <w:rPr>
          <w:rFonts w:eastAsia="Calibri"/>
        </w:rPr>
        <w:t>.</w:t>
      </w:r>
      <w:proofErr w:type="gramEnd"/>
      <w:r w:rsidR="006E0406" w:rsidRPr="000763AE">
        <w:rPr>
          <w:rFonts w:eastAsia="Calibri"/>
        </w:rPr>
        <w:t xml:space="preserve"> Descriptive percentages for Insurance Coverage Sources using the NAMCS 2015 office visits for patients with diabetes based on </w:t>
      </w:r>
      <w:r w:rsidR="0059191B" w:rsidRPr="000763AE">
        <w:rPr>
          <w:rFonts w:eastAsia="Calibri"/>
        </w:rPr>
        <w:t xml:space="preserve">Hispanic versus Non-Hispanic </w:t>
      </w:r>
      <w:r w:rsidR="006E0406" w:rsidRPr="000763AE">
        <w:rPr>
          <w:rFonts w:eastAsia="Calibri"/>
        </w:rPr>
        <w:t>ethnicity.</w:t>
      </w:r>
    </w:p>
    <w:p w:rsidR="006E0406" w:rsidRPr="000763AE" w:rsidRDefault="006E0406" w:rsidP="00EC19E3">
      <w:pPr>
        <w:contextualSpacing/>
        <w:jc w:val="both"/>
        <w:rPr>
          <w:rFonts w:eastAsia="Calibri"/>
          <w:color w:val="FF0000"/>
        </w:rPr>
      </w:pPr>
    </w:p>
    <w:p w:rsidR="006E0406" w:rsidRPr="000763AE" w:rsidRDefault="008252AC" w:rsidP="00EC19E3">
      <w:pPr>
        <w:contextualSpacing/>
        <w:jc w:val="both"/>
        <w:rPr>
          <w:rFonts w:eastAsia="Calibri"/>
        </w:rPr>
      </w:pPr>
      <w:r>
        <w:rPr>
          <w:rFonts w:eastAsia="Calibri"/>
          <w:noProof/>
        </w:rPr>
        <w:drawing>
          <wp:inline distT="0" distB="0" distL="0" distR="0">
            <wp:extent cx="5233035" cy="2391410"/>
            <wp:effectExtent l="0" t="0" r="5715" b="8890"/>
            <wp:docPr id="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33035" cy="2391410"/>
                    </a:xfrm>
                    <a:prstGeom prst="rect">
                      <a:avLst/>
                    </a:prstGeom>
                    <a:noFill/>
                    <a:ln>
                      <a:noFill/>
                    </a:ln>
                  </pic:spPr>
                </pic:pic>
              </a:graphicData>
            </a:graphic>
          </wp:inline>
        </w:drawing>
      </w:r>
    </w:p>
    <w:p w:rsidR="00CB43C7" w:rsidRPr="000763AE" w:rsidRDefault="00CB43C7" w:rsidP="00EC19E3">
      <w:pPr>
        <w:autoSpaceDE w:val="0"/>
        <w:autoSpaceDN w:val="0"/>
        <w:adjustRightInd w:val="0"/>
        <w:spacing w:before="120"/>
        <w:jc w:val="both"/>
        <w:rPr>
          <w:rFonts w:eastAsia="Calibri"/>
        </w:rPr>
      </w:pPr>
    </w:p>
    <w:p w:rsidR="006E0406" w:rsidRPr="000763AE" w:rsidRDefault="006E0406" w:rsidP="00B11B34">
      <w:pPr>
        <w:autoSpaceDE w:val="0"/>
        <w:autoSpaceDN w:val="0"/>
        <w:adjustRightInd w:val="0"/>
        <w:spacing w:before="120" w:line="360" w:lineRule="auto"/>
        <w:jc w:val="both"/>
        <w:rPr>
          <w:rFonts w:eastAsia="Calibri"/>
          <w:color w:val="000000"/>
          <w:sz w:val="16"/>
        </w:rPr>
      </w:pPr>
      <w:r w:rsidRPr="000763AE">
        <w:rPr>
          <w:rFonts w:eastAsia="Calibri"/>
          <w:b/>
          <w:color w:val="000000"/>
        </w:rPr>
        <w:t xml:space="preserve">Process </w:t>
      </w:r>
      <w:r w:rsidR="0020742F" w:rsidRPr="000763AE">
        <w:rPr>
          <w:rFonts w:eastAsia="Calibri"/>
          <w:b/>
          <w:color w:val="000000"/>
        </w:rPr>
        <w:t>E</w:t>
      </w:r>
      <w:r w:rsidRPr="000763AE">
        <w:rPr>
          <w:rFonts w:eastAsia="Calibri"/>
          <w:b/>
          <w:color w:val="000000"/>
        </w:rPr>
        <w:t>quity</w:t>
      </w:r>
    </w:p>
    <w:p w:rsidR="006E0406" w:rsidRPr="000763AE" w:rsidRDefault="006E0406" w:rsidP="00B11B34">
      <w:pPr>
        <w:autoSpaceDE w:val="0"/>
        <w:autoSpaceDN w:val="0"/>
        <w:adjustRightInd w:val="0"/>
        <w:spacing w:line="360" w:lineRule="auto"/>
        <w:jc w:val="both"/>
        <w:rPr>
          <w:rFonts w:eastAsia="Calibri"/>
          <w:szCs w:val="20"/>
        </w:rPr>
      </w:pPr>
      <w:r w:rsidRPr="000763AE">
        <w:rPr>
          <w:rFonts w:eastAsia="Calibri"/>
          <w:color w:val="000000"/>
        </w:rPr>
        <w:tab/>
        <w:t>Per the definition provided in Chapter 3, process equity is the guarantee of consistency in the services delivered across all populations.  This means that regardless of where, when, or from who the services</w:t>
      </w:r>
      <w:r w:rsidR="00F81C13" w:rsidRPr="000763AE">
        <w:rPr>
          <w:rFonts w:eastAsia="Calibri"/>
          <w:color w:val="000000"/>
        </w:rPr>
        <w:t xml:space="preserve"> are delivered</w:t>
      </w:r>
      <w:r w:rsidRPr="000763AE">
        <w:rPr>
          <w:rFonts w:eastAsia="Calibri"/>
          <w:color w:val="000000"/>
        </w:rPr>
        <w:t xml:space="preserve">, the quality, access, and levels of care should be consistent across all providers. </w:t>
      </w:r>
      <w:r w:rsidRPr="000763AE">
        <w:rPr>
          <w:rFonts w:eastAsia="Calibri"/>
          <w:color w:val="000000"/>
          <w:szCs w:val="20"/>
        </w:rPr>
        <w:t xml:space="preserve">Prior to the enactment of the ACA, a </w:t>
      </w:r>
      <w:r w:rsidRPr="000763AE">
        <w:rPr>
          <w:rFonts w:eastAsia="Calibri"/>
          <w:color w:val="000000"/>
          <w:szCs w:val="20"/>
        </w:rPr>
        <w:lastRenderedPageBreak/>
        <w:t>quarter</w:t>
      </w:r>
      <w:r w:rsidR="00F81C13" w:rsidRPr="000763AE">
        <w:rPr>
          <w:rFonts w:eastAsia="Calibri"/>
          <w:color w:val="000000"/>
          <w:szCs w:val="20"/>
        </w:rPr>
        <w:t xml:space="preserve"> of the population</w:t>
      </w:r>
      <w:r w:rsidRPr="000763AE">
        <w:rPr>
          <w:rFonts w:eastAsia="Calibri"/>
          <w:color w:val="000000"/>
          <w:szCs w:val="20"/>
        </w:rPr>
        <w:t xml:space="preserve"> living in the sout</w:t>
      </w:r>
      <w:r w:rsidR="00D43FF8" w:rsidRPr="000763AE">
        <w:rPr>
          <w:rFonts w:eastAsia="Calibri"/>
          <w:color w:val="000000"/>
          <w:szCs w:val="20"/>
        </w:rPr>
        <w:t xml:space="preserve">hern region and under 65 years of age, lacked </w:t>
      </w:r>
      <w:r w:rsidRPr="000763AE">
        <w:rPr>
          <w:rFonts w:eastAsia="Calibri"/>
          <w:color w:val="000000"/>
          <w:szCs w:val="20"/>
        </w:rPr>
        <w:t>health insurance (</w:t>
      </w:r>
      <w:proofErr w:type="spellStart"/>
      <w:r w:rsidRPr="000763AE">
        <w:rPr>
          <w:rFonts w:eastAsia="Calibri"/>
          <w:color w:val="000000"/>
          <w:szCs w:val="20"/>
        </w:rPr>
        <w:t>Ziller</w:t>
      </w:r>
      <w:proofErr w:type="spellEnd"/>
      <w:r w:rsidRPr="000763AE">
        <w:rPr>
          <w:rFonts w:eastAsia="Calibri"/>
          <w:color w:val="000000"/>
          <w:szCs w:val="20"/>
        </w:rPr>
        <w:t>, 2018).  The ACA gave all states the option of raising the qualification for Medicaid to 1</w:t>
      </w:r>
      <w:r w:rsidRPr="000763AE">
        <w:rPr>
          <w:rFonts w:eastAsia="Calibri"/>
          <w:shd w:val="clear" w:color="auto" w:fill="FFFFFF"/>
        </w:rPr>
        <w:t xml:space="preserve">38% of the federal poverty level (KFF, 2012). </w:t>
      </w:r>
      <w:r w:rsidRPr="000763AE">
        <w:rPr>
          <w:rFonts w:eastAsia="Calibri"/>
          <w:szCs w:val="20"/>
        </w:rPr>
        <w:t xml:space="preserve"> However, two years after its enactment, the Supreme Court (National Federation of Independent Business et al v. </w:t>
      </w:r>
      <w:proofErr w:type="spellStart"/>
      <w:r w:rsidRPr="000763AE">
        <w:rPr>
          <w:rFonts w:eastAsia="Calibri"/>
          <w:szCs w:val="20"/>
        </w:rPr>
        <w:t>Sebelius</w:t>
      </w:r>
      <w:proofErr w:type="spellEnd"/>
      <w:r w:rsidR="004330C1" w:rsidRPr="000763AE">
        <w:rPr>
          <w:rFonts w:eastAsia="Calibri"/>
          <w:szCs w:val="20"/>
        </w:rPr>
        <w:t>,</w:t>
      </w:r>
      <w:r w:rsidRPr="000763AE">
        <w:rPr>
          <w:rFonts w:eastAsia="Calibri"/>
          <w:szCs w:val="20"/>
        </w:rPr>
        <w:t xml:space="preserve"> 2012) allowed states to opt out of expansion and</w:t>
      </w:r>
      <w:r w:rsidR="009416CE" w:rsidRPr="000763AE">
        <w:rPr>
          <w:rFonts w:eastAsia="Calibri"/>
          <w:szCs w:val="20"/>
        </w:rPr>
        <w:t>,</w:t>
      </w:r>
      <w:r w:rsidRPr="000763AE">
        <w:rPr>
          <w:rFonts w:eastAsia="Calibri"/>
          <w:szCs w:val="20"/>
        </w:rPr>
        <w:t xml:space="preserve"> as a result, many of the states primarily in the South chose to opt out </w:t>
      </w:r>
      <w:r w:rsidR="00013674" w:rsidRPr="000763AE">
        <w:rPr>
          <w:rFonts w:eastAsia="Calibri"/>
          <w:szCs w:val="20"/>
        </w:rPr>
        <w:t xml:space="preserve">(Figure </w:t>
      </w:r>
      <w:r w:rsidR="00D029B5" w:rsidRPr="000763AE">
        <w:rPr>
          <w:rFonts w:eastAsia="Calibri"/>
          <w:szCs w:val="20"/>
        </w:rPr>
        <w:t>8</w:t>
      </w:r>
      <w:r w:rsidRPr="000763AE">
        <w:rPr>
          <w:rFonts w:eastAsia="Calibri"/>
          <w:szCs w:val="20"/>
        </w:rPr>
        <w:t>).  This disproportionally impacted minority and low-income communities as many of the southern states have large populations of both</w:t>
      </w:r>
      <w:r w:rsidR="0028203B" w:rsidRPr="000763AE">
        <w:rPr>
          <w:rFonts w:eastAsia="Calibri"/>
          <w:szCs w:val="20"/>
        </w:rPr>
        <w:t>. This was also seen in the 2015 NAMCS survey bivariate results that showed the largest amount of visit with diabetes as a diagnosis for Medicaid and Black populations were seen in the S</w:t>
      </w:r>
      <w:r w:rsidR="00435403" w:rsidRPr="000763AE">
        <w:rPr>
          <w:rFonts w:eastAsia="Calibri"/>
          <w:szCs w:val="20"/>
        </w:rPr>
        <w:t>ou</w:t>
      </w:r>
      <w:r w:rsidR="0028203B" w:rsidRPr="000763AE">
        <w:rPr>
          <w:rFonts w:eastAsia="Calibri"/>
          <w:szCs w:val="20"/>
        </w:rPr>
        <w:t>th.</w:t>
      </w:r>
    </w:p>
    <w:p w:rsidR="006E0406" w:rsidRPr="000763AE" w:rsidRDefault="006E0406" w:rsidP="00B11B34">
      <w:pPr>
        <w:autoSpaceDE w:val="0"/>
        <w:autoSpaceDN w:val="0"/>
        <w:adjustRightInd w:val="0"/>
        <w:spacing w:line="360" w:lineRule="auto"/>
        <w:jc w:val="both"/>
        <w:rPr>
          <w:rFonts w:eastAsia="Calibri"/>
          <w:color w:val="000000"/>
          <w:szCs w:val="20"/>
        </w:rPr>
      </w:pPr>
      <w:r w:rsidRPr="000763AE">
        <w:rPr>
          <w:rFonts w:eastAsia="Calibri"/>
          <w:szCs w:val="20"/>
        </w:rPr>
        <w:tab/>
        <w:t>Many low socioeconomic communities may lack basic resources to healthy nutrition options due to food desserts,</w:t>
      </w:r>
      <w:r w:rsidR="002E0F20" w:rsidRPr="000763AE">
        <w:rPr>
          <w:rFonts w:eastAsia="Calibri"/>
          <w:szCs w:val="20"/>
        </w:rPr>
        <w:t xml:space="preserve"> access to </w:t>
      </w:r>
      <w:r w:rsidRPr="000763AE">
        <w:rPr>
          <w:rFonts w:eastAsia="Calibri"/>
          <w:szCs w:val="20"/>
        </w:rPr>
        <w:t xml:space="preserve">support group services, and transportation </w:t>
      </w:r>
      <w:r w:rsidR="002E0F20" w:rsidRPr="000763AE">
        <w:rPr>
          <w:rFonts w:eastAsia="Calibri"/>
          <w:szCs w:val="20"/>
        </w:rPr>
        <w:t xml:space="preserve">availability </w:t>
      </w:r>
      <w:r w:rsidRPr="000763AE">
        <w:rPr>
          <w:rFonts w:eastAsia="Calibri"/>
          <w:szCs w:val="20"/>
        </w:rPr>
        <w:t xml:space="preserve">(Gaskin, 2014).  The challenges do not just stop with these community-based resources but </w:t>
      </w:r>
      <w:r w:rsidR="00486FBC" w:rsidRPr="000763AE">
        <w:rPr>
          <w:rFonts w:eastAsia="Calibri"/>
          <w:szCs w:val="20"/>
        </w:rPr>
        <w:t xml:space="preserve">also </w:t>
      </w:r>
      <w:r w:rsidR="00AB2814" w:rsidRPr="000763AE">
        <w:rPr>
          <w:rFonts w:eastAsia="Calibri"/>
          <w:szCs w:val="20"/>
        </w:rPr>
        <w:t xml:space="preserve">apply </w:t>
      </w:r>
      <w:r w:rsidRPr="000763AE">
        <w:rPr>
          <w:rFonts w:eastAsia="Calibri"/>
          <w:szCs w:val="20"/>
        </w:rPr>
        <w:t>to basic access to providers as well (Gaffney, 2017).  Providers tend to concentrate around major cities with health systems and affluent neighborhoods, limiting the access to health services or mean</w:t>
      </w:r>
      <w:r w:rsidR="00105D0F" w:rsidRPr="000763AE">
        <w:rPr>
          <w:rFonts w:eastAsia="Calibri"/>
          <w:szCs w:val="20"/>
        </w:rPr>
        <w:t>s</w:t>
      </w:r>
      <w:r w:rsidRPr="000763AE">
        <w:rPr>
          <w:rFonts w:eastAsia="Calibri"/>
          <w:szCs w:val="20"/>
        </w:rPr>
        <w:t xml:space="preserve"> to travel for those in rural areas who often have transportation constraints (</w:t>
      </w:r>
      <w:proofErr w:type="spellStart"/>
      <w:r w:rsidRPr="000763AE">
        <w:rPr>
          <w:rFonts w:eastAsia="Calibri"/>
          <w:szCs w:val="20"/>
        </w:rPr>
        <w:t>Dickman</w:t>
      </w:r>
      <w:proofErr w:type="spellEnd"/>
      <w:r w:rsidRPr="000763AE">
        <w:rPr>
          <w:rFonts w:eastAsia="Calibri"/>
          <w:szCs w:val="20"/>
        </w:rPr>
        <w:t xml:space="preserve">, 2017).  </w:t>
      </w:r>
      <w:r w:rsidRPr="000763AE">
        <w:rPr>
          <w:rFonts w:eastAsia="Calibri"/>
          <w:color w:val="000000"/>
          <w:szCs w:val="20"/>
        </w:rPr>
        <w:t>The odds ratio from the multivariate analysis indicate</w:t>
      </w:r>
      <w:r w:rsidR="001B31CA" w:rsidRPr="000763AE">
        <w:rPr>
          <w:rFonts w:eastAsia="Calibri"/>
          <w:color w:val="000000"/>
          <w:szCs w:val="20"/>
        </w:rPr>
        <w:t>s</w:t>
      </w:r>
      <w:r w:rsidRPr="000763AE">
        <w:rPr>
          <w:rFonts w:eastAsia="Calibri"/>
          <w:color w:val="000000"/>
          <w:szCs w:val="20"/>
        </w:rPr>
        <w:t xml:space="preserve"> that visits for patients located in the South had the lowest odds of receiving a foot exam, which could have exacerbated the process equity challenges mentioned above.</w:t>
      </w:r>
    </w:p>
    <w:p w:rsidR="006E0406" w:rsidRPr="000763AE" w:rsidRDefault="006E0406" w:rsidP="00B11B34">
      <w:pPr>
        <w:autoSpaceDE w:val="0"/>
        <w:autoSpaceDN w:val="0"/>
        <w:adjustRightInd w:val="0"/>
        <w:spacing w:line="360" w:lineRule="auto"/>
        <w:jc w:val="both"/>
        <w:rPr>
          <w:rFonts w:eastAsia="Calibri"/>
          <w:color w:val="000000"/>
          <w:szCs w:val="20"/>
        </w:rPr>
      </w:pPr>
      <w:r w:rsidRPr="000763AE">
        <w:rPr>
          <w:rFonts w:eastAsia="Calibri"/>
          <w:color w:val="000000"/>
          <w:szCs w:val="20"/>
        </w:rPr>
        <w:tab/>
      </w:r>
      <w:r w:rsidRPr="000763AE">
        <w:rPr>
          <w:rFonts w:eastAsia="Calibri"/>
          <w:szCs w:val="20"/>
        </w:rPr>
        <w:t>Additionally, some providers may not be willing to accept Medicaid as form of payment as these payments tend to be lower than those of private insurances (</w:t>
      </w:r>
      <w:proofErr w:type="spellStart"/>
      <w:r w:rsidRPr="000763AE">
        <w:rPr>
          <w:rFonts w:eastAsia="Calibri"/>
          <w:szCs w:val="20"/>
        </w:rPr>
        <w:t>Ziller</w:t>
      </w:r>
      <w:proofErr w:type="spellEnd"/>
      <w:r w:rsidRPr="000763AE">
        <w:rPr>
          <w:rFonts w:eastAsia="Calibri"/>
          <w:szCs w:val="20"/>
        </w:rPr>
        <w:t>, 2018).  Th</w:t>
      </w:r>
      <w:r w:rsidR="0066713C" w:rsidRPr="000763AE">
        <w:rPr>
          <w:rFonts w:eastAsia="Calibri"/>
          <w:szCs w:val="20"/>
        </w:rPr>
        <w:t>e</w:t>
      </w:r>
      <w:r w:rsidRPr="000763AE">
        <w:rPr>
          <w:rFonts w:eastAsia="Calibri"/>
          <w:szCs w:val="20"/>
        </w:rPr>
        <w:t xml:space="preserve"> low number of foot exams for Medicaid patients is consistent with the literature review findings around an equity issue faced by individuals with low income</w:t>
      </w:r>
      <w:r w:rsidR="0066713C" w:rsidRPr="000763AE">
        <w:rPr>
          <w:rFonts w:eastAsia="Calibri"/>
          <w:szCs w:val="20"/>
        </w:rPr>
        <w:t>,</w:t>
      </w:r>
      <w:r w:rsidRPr="000763AE">
        <w:rPr>
          <w:rFonts w:eastAsia="Calibri"/>
          <w:szCs w:val="20"/>
        </w:rPr>
        <w:t xml:space="preserve"> including increased rates for lower extremity amputations. </w:t>
      </w:r>
      <w:r w:rsidRPr="000763AE">
        <w:rPr>
          <w:rFonts w:eastAsia="Calibri"/>
          <w:color w:val="000000"/>
          <w:szCs w:val="20"/>
        </w:rPr>
        <w:t xml:space="preserve">Per the analytical findings in the multivariate analysis, diabetes visits that had Medicaid as a form of payment had a 0.59 odds </w:t>
      </w:r>
      <w:r w:rsidRPr="000763AE">
        <w:rPr>
          <w:rFonts w:eastAsia="Calibri"/>
          <w:color w:val="000000"/>
          <w:lang w:eastAsia="ja-JP"/>
        </w:rPr>
        <w:t xml:space="preserve">(CI = 0.378 - 0.918) </w:t>
      </w:r>
      <w:r w:rsidRPr="000763AE">
        <w:rPr>
          <w:rFonts w:eastAsia="Calibri"/>
          <w:color w:val="000000"/>
          <w:szCs w:val="20"/>
        </w:rPr>
        <w:t>of receiving a foot exam relative to those visits with private insurance as a source of payment. These challenges create social inequities and place low</w:t>
      </w:r>
      <w:r w:rsidR="005946D6" w:rsidRPr="000763AE">
        <w:rPr>
          <w:rFonts w:eastAsia="Calibri"/>
          <w:color w:val="000000"/>
          <w:szCs w:val="20"/>
        </w:rPr>
        <w:t>-</w:t>
      </w:r>
      <w:r w:rsidRPr="000763AE">
        <w:rPr>
          <w:rFonts w:eastAsia="Calibri"/>
          <w:color w:val="000000"/>
          <w:szCs w:val="20"/>
        </w:rPr>
        <w:t xml:space="preserve">income minorities under 65 at </w:t>
      </w:r>
      <w:r w:rsidR="0066713C" w:rsidRPr="000763AE">
        <w:rPr>
          <w:rFonts w:eastAsia="Calibri"/>
          <w:color w:val="000000"/>
          <w:szCs w:val="20"/>
        </w:rPr>
        <w:t xml:space="preserve">a </w:t>
      </w:r>
      <w:r w:rsidRPr="000763AE">
        <w:rPr>
          <w:rFonts w:eastAsia="Calibri"/>
          <w:color w:val="000000"/>
          <w:szCs w:val="20"/>
        </w:rPr>
        <w:t xml:space="preserve">greater risk for poor quality care and ultimately at higher risk of amputation.  </w:t>
      </w:r>
    </w:p>
    <w:p w:rsidR="006E0406" w:rsidRPr="00816B46" w:rsidRDefault="00A42051" w:rsidP="00816B46">
      <w:pPr>
        <w:spacing w:after="200" w:line="276" w:lineRule="auto"/>
        <w:rPr>
          <w:rFonts w:eastAsia="Calibri"/>
          <w:b/>
          <w:color w:val="000000"/>
          <w:szCs w:val="20"/>
        </w:rPr>
      </w:pPr>
      <w:r w:rsidRPr="000763AE">
        <w:rPr>
          <w:rFonts w:eastAsia="Calibri"/>
          <w:b/>
          <w:color w:val="000000"/>
          <w:szCs w:val="20"/>
        </w:rPr>
        <w:br w:type="page"/>
      </w:r>
      <w:proofErr w:type="gramStart"/>
      <w:r w:rsidR="00013674" w:rsidRPr="000763AE">
        <w:rPr>
          <w:rFonts w:eastAsia="Calibri"/>
          <w:b/>
          <w:color w:val="000000"/>
          <w:szCs w:val="20"/>
        </w:rPr>
        <w:lastRenderedPageBreak/>
        <w:t xml:space="preserve">Figure </w:t>
      </w:r>
      <w:r w:rsidR="00D029B5" w:rsidRPr="000763AE">
        <w:rPr>
          <w:rFonts w:eastAsia="Calibri"/>
          <w:b/>
          <w:color w:val="000000"/>
          <w:szCs w:val="20"/>
        </w:rPr>
        <w:t>8</w:t>
      </w:r>
      <w:r w:rsidR="006E0406" w:rsidRPr="000763AE">
        <w:rPr>
          <w:rFonts w:eastAsia="Calibri"/>
          <w:b/>
          <w:color w:val="000000"/>
          <w:szCs w:val="20"/>
        </w:rPr>
        <w:t>.</w:t>
      </w:r>
      <w:proofErr w:type="gramEnd"/>
      <w:r w:rsidR="006E0406" w:rsidRPr="000763AE">
        <w:rPr>
          <w:rFonts w:eastAsia="Calibri"/>
          <w:color w:val="000000"/>
          <w:szCs w:val="20"/>
        </w:rPr>
        <w:t xml:space="preserve"> </w:t>
      </w:r>
      <w:r w:rsidR="00816B46">
        <w:rPr>
          <w:rFonts w:eastAsia="Calibri"/>
          <w:color w:val="000000"/>
          <w:szCs w:val="20"/>
        </w:rPr>
        <w:t xml:space="preserve"> </w:t>
      </w:r>
      <w:proofErr w:type="gramStart"/>
      <w:r w:rsidR="006E0406" w:rsidRPr="000763AE">
        <w:rPr>
          <w:rFonts w:eastAsia="Calibri"/>
          <w:color w:val="000000"/>
          <w:szCs w:val="20"/>
        </w:rPr>
        <w:t>Status of state action for Medicaid expansion.</w:t>
      </w:r>
      <w:proofErr w:type="gramEnd"/>
    </w:p>
    <w:p w:rsidR="006E0406" w:rsidRPr="000763AE" w:rsidRDefault="008252AC" w:rsidP="00B11B34">
      <w:pPr>
        <w:autoSpaceDE w:val="0"/>
        <w:autoSpaceDN w:val="0"/>
        <w:adjustRightInd w:val="0"/>
        <w:spacing w:line="360" w:lineRule="auto"/>
        <w:jc w:val="center"/>
        <w:rPr>
          <w:rFonts w:eastAsia="Calibri"/>
          <w:color w:val="000000"/>
          <w:szCs w:val="20"/>
        </w:rPr>
      </w:pPr>
      <w:r>
        <w:rPr>
          <w:rFonts w:eastAsia="Calibri"/>
          <w:noProof/>
          <w:color w:val="000000"/>
        </w:rPr>
        <w:drawing>
          <wp:inline distT="0" distB="0" distL="0" distR="0">
            <wp:extent cx="5387340" cy="2876550"/>
            <wp:effectExtent l="0" t="0" r="3810" b="0"/>
            <wp:docPr id="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1">
                      <a:extLst>
                        <a:ext uri="{28A0092B-C50C-407E-A947-70E740481C1C}">
                          <a14:useLocalDpi xmlns:a14="http://schemas.microsoft.com/office/drawing/2010/main" val="0"/>
                        </a:ext>
                      </a:extLst>
                    </a:blip>
                    <a:srcRect t="2914"/>
                    <a:stretch>
                      <a:fillRect/>
                    </a:stretch>
                  </pic:blipFill>
                  <pic:spPr bwMode="auto">
                    <a:xfrm>
                      <a:off x="0" y="0"/>
                      <a:ext cx="5387340" cy="2876550"/>
                    </a:xfrm>
                    <a:prstGeom prst="rect">
                      <a:avLst/>
                    </a:prstGeom>
                    <a:noFill/>
                    <a:ln>
                      <a:noFill/>
                    </a:ln>
                  </pic:spPr>
                </pic:pic>
              </a:graphicData>
            </a:graphic>
          </wp:inline>
        </w:drawing>
      </w:r>
    </w:p>
    <w:p w:rsidR="006E0406" w:rsidRPr="000763AE" w:rsidRDefault="006E0406" w:rsidP="00B11B34">
      <w:pPr>
        <w:autoSpaceDE w:val="0"/>
        <w:autoSpaceDN w:val="0"/>
        <w:adjustRightInd w:val="0"/>
        <w:spacing w:line="360" w:lineRule="auto"/>
        <w:jc w:val="both"/>
        <w:rPr>
          <w:rFonts w:eastAsia="Calibri"/>
          <w:color w:val="000000"/>
          <w:szCs w:val="20"/>
        </w:rPr>
      </w:pPr>
    </w:p>
    <w:p w:rsidR="006E0406" w:rsidRPr="000763AE" w:rsidRDefault="0003598B" w:rsidP="00B11B34">
      <w:pPr>
        <w:autoSpaceDE w:val="0"/>
        <w:autoSpaceDN w:val="0"/>
        <w:adjustRightInd w:val="0"/>
        <w:spacing w:line="360" w:lineRule="auto"/>
        <w:jc w:val="both"/>
        <w:rPr>
          <w:rFonts w:eastAsia="Calibri"/>
          <w:color w:val="000000"/>
          <w:sz w:val="16"/>
        </w:rPr>
      </w:pPr>
      <w:hyperlink r:id="rId22" w:history="1">
        <w:r w:rsidR="006E0406" w:rsidRPr="000763AE">
          <w:rPr>
            <w:rFonts w:eastAsia="Calibri"/>
            <w:color w:val="0000FF"/>
            <w:sz w:val="16"/>
            <w:u w:val="single"/>
          </w:rPr>
          <w:t>https://www.kff.org/uninsured/issue-brief/how-many-uninsured-adults-could-be-reached-if-all-states-expanded-medicaid/</w:t>
        </w:r>
      </w:hyperlink>
    </w:p>
    <w:p w:rsidR="006E0406" w:rsidRPr="000763AE" w:rsidRDefault="006E0406" w:rsidP="00B11B34">
      <w:pPr>
        <w:autoSpaceDE w:val="0"/>
        <w:autoSpaceDN w:val="0"/>
        <w:adjustRightInd w:val="0"/>
        <w:spacing w:before="120" w:line="360" w:lineRule="auto"/>
        <w:jc w:val="both"/>
        <w:rPr>
          <w:rFonts w:eastAsia="Calibri"/>
          <w:b/>
          <w:color w:val="000000"/>
        </w:rPr>
      </w:pPr>
    </w:p>
    <w:p w:rsidR="006E0406" w:rsidRPr="000763AE" w:rsidRDefault="006E0406" w:rsidP="00B11B34">
      <w:pPr>
        <w:autoSpaceDE w:val="0"/>
        <w:autoSpaceDN w:val="0"/>
        <w:adjustRightInd w:val="0"/>
        <w:spacing w:before="120" w:line="360" w:lineRule="auto"/>
        <w:jc w:val="both"/>
        <w:rPr>
          <w:rFonts w:eastAsia="Calibri"/>
          <w:color w:val="000000"/>
        </w:rPr>
      </w:pPr>
      <w:r w:rsidRPr="000763AE">
        <w:rPr>
          <w:rFonts w:eastAsia="Calibri"/>
          <w:b/>
          <w:color w:val="000000"/>
        </w:rPr>
        <w:t xml:space="preserve">Outcome </w:t>
      </w:r>
      <w:r w:rsidR="00A42051" w:rsidRPr="000763AE">
        <w:rPr>
          <w:rFonts w:eastAsia="Calibri"/>
          <w:b/>
          <w:color w:val="000000"/>
        </w:rPr>
        <w:t>D</w:t>
      </w:r>
      <w:r w:rsidRPr="000763AE">
        <w:rPr>
          <w:rFonts w:eastAsia="Calibri"/>
          <w:b/>
          <w:color w:val="000000"/>
        </w:rPr>
        <w:t xml:space="preserve">isparities </w:t>
      </w:r>
    </w:p>
    <w:p w:rsidR="006E0406" w:rsidRPr="000763AE" w:rsidRDefault="006E0406" w:rsidP="00B11B34">
      <w:pPr>
        <w:autoSpaceDE w:val="0"/>
        <w:autoSpaceDN w:val="0"/>
        <w:adjustRightInd w:val="0"/>
        <w:spacing w:line="360" w:lineRule="auto"/>
        <w:jc w:val="both"/>
        <w:rPr>
          <w:rFonts w:eastAsia="Calibri"/>
          <w:color w:val="000000"/>
        </w:rPr>
      </w:pPr>
      <w:r w:rsidRPr="000763AE">
        <w:rPr>
          <w:rFonts w:eastAsia="Calibri"/>
          <w:color w:val="000000"/>
        </w:rPr>
        <w:tab/>
        <w:t xml:space="preserve">The outcome disparities lens is the final element of social equity theory by which the analytical findings are evaluated.  As previously stated, an outcome disparity exists when patients with similar characteristics have different outcomes secondary to disparities.  </w:t>
      </w:r>
      <w:r w:rsidRPr="000763AE">
        <w:rPr>
          <w:rFonts w:eastAsia="Calibri"/>
          <w:color w:val="000000"/>
          <w:lang w:eastAsia="ja-JP"/>
        </w:rPr>
        <w:t xml:space="preserve">Provider’s perception of race and/or ethnicity was highlighted in the literature review as a variable that can impact a patient’s care management. Subsequently, </w:t>
      </w:r>
      <w:r w:rsidRPr="000763AE">
        <w:rPr>
          <w:rFonts w:eastAsia="Calibri"/>
        </w:rPr>
        <w:t>the care provided at the primary care level tends to set the course for a patient’s disease management and future outcomes (</w:t>
      </w:r>
      <w:proofErr w:type="spellStart"/>
      <w:r w:rsidRPr="000763AE">
        <w:rPr>
          <w:rFonts w:eastAsia="Calibri"/>
        </w:rPr>
        <w:t>McKinlay</w:t>
      </w:r>
      <w:proofErr w:type="spellEnd"/>
      <w:r w:rsidRPr="000763AE">
        <w:rPr>
          <w:rFonts w:eastAsia="Calibri"/>
        </w:rPr>
        <w:t xml:space="preserve">, 2013). </w:t>
      </w:r>
      <w:r w:rsidRPr="000763AE">
        <w:rPr>
          <w:rFonts w:eastAsia="Calibri"/>
          <w:color w:val="000000"/>
          <w:lang w:eastAsia="ja-JP"/>
        </w:rPr>
        <w:t>One study showed that providers were more likely to diagnose Hispanics with diabetes simply based on ethnicity and without additional testing to confirm the diagnosis (</w:t>
      </w:r>
      <w:proofErr w:type="spellStart"/>
      <w:r w:rsidRPr="000763AE">
        <w:rPr>
          <w:rFonts w:eastAsia="Calibri"/>
          <w:color w:val="000000"/>
          <w:lang w:eastAsia="ja-JP"/>
        </w:rPr>
        <w:t>McKinlay</w:t>
      </w:r>
      <w:proofErr w:type="spellEnd"/>
      <w:r w:rsidRPr="000763AE">
        <w:rPr>
          <w:rFonts w:eastAsia="Calibri"/>
          <w:color w:val="000000"/>
          <w:lang w:eastAsia="ja-JP"/>
        </w:rPr>
        <w:t xml:space="preserve">, 2013).  The analytical findings in this research further support the previous finding as non-Hispanics relative to Hispanics only had 0.53 odds (CI = 0.338 - 0.847) of receiving a foot exam during a 2015 NAMCS visit.  This could result as future outcome disparities related to diabetic foot care for non-Hispanic individuals with diabetes as providers may not be as aggressive with treatments due to their perception of their lower risk when compared to Hispanics. </w:t>
      </w:r>
      <w:r w:rsidRPr="000763AE">
        <w:rPr>
          <w:rFonts w:eastAsia="Calibri"/>
          <w:color w:val="000000"/>
        </w:rPr>
        <w:t xml:space="preserve">The </w:t>
      </w:r>
      <w:r w:rsidRPr="000763AE">
        <w:rPr>
          <w:rFonts w:eastAsia="Calibri"/>
          <w:color w:val="000000"/>
        </w:rPr>
        <w:lastRenderedPageBreak/>
        <w:t xml:space="preserve">literature review found that older African-Americans with diabetes were more likely to receive a foot examination than their white counterparts which raised the question as to whether age, in addition to race, may play a factor as to whether or not a foot examination is performed once a diagnosis of diabetes is officially made (Kim, et al., 2012).  Consideration also needs to be given to how implicit bias may play a role </w:t>
      </w:r>
      <w:r w:rsidR="00C63BA2" w:rsidRPr="000763AE">
        <w:rPr>
          <w:rFonts w:eastAsia="Calibri"/>
          <w:color w:val="000000"/>
        </w:rPr>
        <w:t xml:space="preserve">in </w:t>
      </w:r>
      <w:r w:rsidRPr="000763AE">
        <w:rPr>
          <w:rFonts w:eastAsia="Calibri"/>
          <w:color w:val="000000"/>
        </w:rPr>
        <w:t>providers treating more or less aggressively due to stereotyping particularly when it comes to marginalized populations (</w:t>
      </w:r>
      <w:proofErr w:type="spellStart"/>
      <w:r w:rsidRPr="000763AE">
        <w:rPr>
          <w:rFonts w:eastAsia="Calibri"/>
          <w:color w:val="000000"/>
        </w:rPr>
        <w:t>Joszt</w:t>
      </w:r>
      <w:proofErr w:type="spellEnd"/>
      <w:r w:rsidRPr="000763AE">
        <w:rPr>
          <w:rFonts w:eastAsia="Calibri"/>
          <w:color w:val="000000"/>
        </w:rPr>
        <w:t>, 2018).  As previously mentioned in the literature review, implicit bias can result in disparities in preventative care, treatment plans, and additional healthcare costs.  In recent years, there has been an increase</w:t>
      </w:r>
      <w:r w:rsidR="005151E2" w:rsidRPr="000763AE">
        <w:rPr>
          <w:rFonts w:eastAsia="Calibri"/>
          <w:color w:val="000000"/>
        </w:rPr>
        <w:t>d</w:t>
      </w:r>
      <w:r w:rsidRPr="000763AE">
        <w:rPr>
          <w:rFonts w:eastAsia="Calibri"/>
          <w:color w:val="000000"/>
        </w:rPr>
        <w:t xml:space="preserve"> focus on provider training by professional medical societies like the Association of American Medical Colleges (AAMC) and the American Academy of Family Physicians (AAFP) on implicit bias to raise awareness and as an attempt to mitigate unconscious bias (Crawford, 2020).</w:t>
      </w:r>
    </w:p>
    <w:p w:rsidR="006E0406" w:rsidRPr="000763AE" w:rsidRDefault="006E0406" w:rsidP="00B11B34">
      <w:pPr>
        <w:autoSpaceDE w:val="0"/>
        <w:autoSpaceDN w:val="0"/>
        <w:adjustRightInd w:val="0"/>
        <w:spacing w:line="360" w:lineRule="auto"/>
        <w:jc w:val="both"/>
        <w:rPr>
          <w:rFonts w:eastAsia="Calibri"/>
          <w:color w:val="000000"/>
        </w:rPr>
      </w:pPr>
      <w:r w:rsidRPr="000763AE">
        <w:rPr>
          <w:rFonts w:eastAsia="Calibri"/>
          <w:color w:val="000000"/>
        </w:rPr>
        <w:tab/>
        <w:t xml:space="preserve">Another opportunity to improve patient outcomes may be to promote patient-provider concordance to increase trust and compliance with treatment plans as evident in </w:t>
      </w:r>
      <w:r w:rsidR="00AA74A0" w:rsidRPr="000763AE">
        <w:rPr>
          <w:rFonts w:eastAsia="Calibri"/>
          <w:color w:val="000000"/>
        </w:rPr>
        <w:t xml:space="preserve">the </w:t>
      </w:r>
      <w:r w:rsidRPr="000763AE">
        <w:rPr>
          <w:rFonts w:eastAsia="Calibri"/>
          <w:color w:val="000000"/>
        </w:rPr>
        <w:t xml:space="preserve">literature review section. In a recent publication, </w:t>
      </w:r>
      <w:r w:rsidR="00AA74A0" w:rsidRPr="000763AE">
        <w:rPr>
          <w:rFonts w:eastAsia="Calibri"/>
          <w:color w:val="000000"/>
        </w:rPr>
        <w:t>“</w:t>
      </w:r>
      <w:r w:rsidRPr="000763AE">
        <w:rPr>
          <w:rFonts w:eastAsia="Calibri"/>
          <w:color w:val="000000"/>
        </w:rPr>
        <w:t>The Impact of Patient-Provider Race/Ethnicity Concordance on Provider Visits: Updated Evidence from the Medical Expenditure Panel Survey</w:t>
      </w:r>
      <w:r w:rsidR="00AA74A0" w:rsidRPr="000763AE">
        <w:rPr>
          <w:rFonts w:eastAsia="Calibri"/>
          <w:color w:val="000000"/>
        </w:rPr>
        <w:t>”</w:t>
      </w:r>
      <w:r w:rsidRPr="000763AE">
        <w:rPr>
          <w:rFonts w:eastAsia="Calibri"/>
          <w:i/>
          <w:color w:val="000000"/>
        </w:rPr>
        <w:t>,</w:t>
      </w:r>
      <w:r w:rsidRPr="000763AE">
        <w:rPr>
          <w:rFonts w:eastAsia="Calibri"/>
          <w:color w:val="000000"/>
        </w:rPr>
        <w:t xml:space="preserve"> researchers found that Hispanic, African-American, and Asian patients relative to White patients were more likely to seek preventative care </w:t>
      </w:r>
      <w:r w:rsidR="00D17C95" w:rsidRPr="000763AE">
        <w:rPr>
          <w:rFonts w:eastAsia="Calibri"/>
          <w:color w:val="000000"/>
        </w:rPr>
        <w:t xml:space="preserve">for </w:t>
      </w:r>
      <w:r w:rsidRPr="000763AE">
        <w:rPr>
          <w:rFonts w:eastAsia="Calibri"/>
          <w:color w:val="000000"/>
        </w:rPr>
        <w:t xml:space="preserve">new health issues if there was provider-patient concordance. They were also more likely to comply with long-term management of chronic disease if concordance was present (Ma, 2019).   Lastly, the research found statistically significant evidence that a correlation is present between a race/ethnicity concordance and disparities in healthcare utilization (Ma, 2019). </w:t>
      </w:r>
    </w:p>
    <w:p w:rsidR="000106AA" w:rsidRPr="000763AE" w:rsidRDefault="006E0406" w:rsidP="00B11B34">
      <w:pPr>
        <w:autoSpaceDE w:val="0"/>
        <w:autoSpaceDN w:val="0"/>
        <w:adjustRightInd w:val="0"/>
        <w:spacing w:line="360" w:lineRule="auto"/>
        <w:jc w:val="both"/>
        <w:rPr>
          <w:rFonts w:eastAsia="Calibri"/>
          <w:color w:val="000000"/>
        </w:rPr>
      </w:pPr>
      <w:r w:rsidRPr="000763AE">
        <w:rPr>
          <w:rFonts w:eastAsia="Calibri"/>
          <w:color w:val="000000"/>
        </w:rPr>
        <w:tab/>
        <w:t>Although the multivariate analysis did show that for Blacks relative to Whites the odds of having a foot exam are 1.61 (CI = 1.022 - 2.527), no significant finding was seen related to age.  Low income and minority populations are already at risk for poor outcomes but for those in the Southern region, outcome disparities</w:t>
      </w:r>
      <w:r w:rsidR="00D17C95" w:rsidRPr="000763AE">
        <w:rPr>
          <w:rFonts w:eastAsia="Calibri"/>
          <w:color w:val="000000"/>
        </w:rPr>
        <w:t xml:space="preserve"> and the risk for diabetes foot complications due to lower foot screening rates</w:t>
      </w:r>
      <w:r w:rsidRPr="000763AE">
        <w:rPr>
          <w:rFonts w:eastAsia="Calibri"/>
          <w:color w:val="000000"/>
        </w:rPr>
        <w:t xml:space="preserve"> could be much greater when compared to other regions.  Additionally, length of office visit could potentially impact future outcomes if certain elements of preventative care</w:t>
      </w:r>
      <w:r w:rsidR="00D17C95" w:rsidRPr="000763AE">
        <w:rPr>
          <w:rFonts w:eastAsia="Calibri"/>
          <w:color w:val="000000"/>
        </w:rPr>
        <w:t>,</w:t>
      </w:r>
      <w:r w:rsidRPr="000763AE">
        <w:rPr>
          <w:rFonts w:eastAsia="Calibri"/>
          <w:color w:val="000000"/>
        </w:rPr>
        <w:t xml:space="preserve"> such as a foot exam</w:t>
      </w:r>
      <w:r w:rsidR="00D17C95" w:rsidRPr="000763AE">
        <w:rPr>
          <w:rFonts w:eastAsia="Calibri"/>
          <w:color w:val="000000"/>
        </w:rPr>
        <w:t>,</w:t>
      </w:r>
      <w:r w:rsidRPr="000763AE">
        <w:rPr>
          <w:rFonts w:eastAsia="Calibri"/>
          <w:color w:val="000000"/>
        </w:rPr>
        <w:t xml:space="preserve"> are not </w:t>
      </w:r>
      <w:r w:rsidRPr="000763AE">
        <w:rPr>
          <w:rFonts w:eastAsia="Calibri"/>
          <w:color w:val="000000"/>
        </w:rPr>
        <w:lastRenderedPageBreak/>
        <w:t>administered due to time constraints.  The odds ratio findings further support this as diabetics visits lasting less than 15 minutes, relative to those greater than 40 minutes, had a 0.54 (CI=0.316-0.936) odds of receiving a foot exam.  Consideration could be given when scheduling</w:t>
      </w:r>
      <w:r w:rsidR="00D17C95" w:rsidRPr="000763AE">
        <w:rPr>
          <w:rFonts w:eastAsia="Calibri"/>
          <w:color w:val="000000"/>
        </w:rPr>
        <w:t xml:space="preserve"> a</w:t>
      </w:r>
      <w:r w:rsidRPr="000763AE">
        <w:rPr>
          <w:rFonts w:eastAsia="Calibri"/>
          <w:color w:val="000000"/>
        </w:rPr>
        <w:t xml:space="preserve"> diabet</w:t>
      </w:r>
      <w:r w:rsidR="00D17C95" w:rsidRPr="000763AE">
        <w:rPr>
          <w:rFonts w:eastAsia="Calibri"/>
          <w:color w:val="000000"/>
        </w:rPr>
        <w:t>es</w:t>
      </w:r>
      <w:r w:rsidRPr="000763AE">
        <w:rPr>
          <w:rFonts w:eastAsia="Calibri"/>
          <w:color w:val="000000"/>
        </w:rPr>
        <w:t xml:space="preserve"> visit to allot sufficient time to perform a foot exam routinely for early detection of any issues</w:t>
      </w:r>
      <w:r w:rsidR="006A0B28" w:rsidRPr="000763AE">
        <w:rPr>
          <w:rFonts w:eastAsia="Calibri"/>
          <w:color w:val="000000"/>
        </w:rPr>
        <w:t xml:space="preserve">, which would </w:t>
      </w:r>
      <w:r w:rsidRPr="000763AE">
        <w:rPr>
          <w:rFonts w:eastAsia="Calibri"/>
          <w:color w:val="000000"/>
        </w:rPr>
        <w:t>ultimately impro</w:t>
      </w:r>
      <w:r w:rsidR="009C0929" w:rsidRPr="000763AE">
        <w:rPr>
          <w:rFonts w:eastAsia="Calibri"/>
          <w:color w:val="000000"/>
        </w:rPr>
        <w:t>ve</w:t>
      </w:r>
      <w:r w:rsidRPr="000763AE">
        <w:rPr>
          <w:rFonts w:eastAsia="Calibri"/>
          <w:color w:val="000000"/>
        </w:rPr>
        <w:t xml:space="preserve"> outcomes. </w:t>
      </w:r>
    </w:p>
    <w:p w:rsidR="00EC19E3" w:rsidRPr="000763AE" w:rsidRDefault="000106AA" w:rsidP="00816B46">
      <w:pPr>
        <w:spacing w:after="200" w:line="360" w:lineRule="auto"/>
        <w:jc w:val="center"/>
        <w:rPr>
          <w:rFonts w:eastAsia="Calibri"/>
          <w:color w:val="000000"/>
        </w:rPr>
      </w:pPr>
      <w:r w:rsidRPr="000763AE">
        <w:rPr>
          <w:rFonts w:eastAsia="Calibri"/>
          <w:color w:val="000000"/>
        </w:rPr>
        <w:br w:type="page"/>
      </w:r>
      <w:r w:rsidR="006E0406" w:rsidRPr="000763AE">
        <w:rPr>
          <w:rFonts w:eastAsia="Calibri"/>
          <w:b/>
          <w:color w:val="000000"/>
        </w:rPr>
        <w:lastRenderedPageBreak/>
        <w:t>PUBLIC ADMINISTRATION SIGNIFICANCE</w:t>
      </w:r>
    </w:p>
    <w:p w:rsidR="006E0406" w:rsidRPr="006E0406" w:rsidRDefault="006E0406" w:rsidP="00B11B34">
      <w:pPr>
        <w:spacing w:line="360" w:lineRule="auto"/>
        <w:contextualSpacing/>
        <w:jc w:val="both"/>
      </w:pPr>
      <w:r w:rsidRPr="006E0406">
        <w:tab/>
        <w:t>Disparities do not only impact those with the disparities</w:t>
      </w:r>
      <w:r w:rsidR="00B77903">
        <w:t>.</w:t>
      </w:r>
      <w:r w:rsidRPr="006E0406">
        <w:t xml:space="preserve"> </w:t>
      </w:r>
      <w:r w:rsidR="00B77903">
        <w:t>T</w:t>
      </w:r>
      <w:r w:rsidRPr="006E0406">
        <w:t>hey</w:t>
      </w:r>
      <w:r w:rsidR="00B77903">
        <w:t xml:space="preserve"> also</w:t>
      </w:r>
      <w:r w:rsidRPr="006E0406">
        <w:t xml:space="preserve"> have economic impacts to society as a whole. As such, increased healthcare costs as a result of poorly managed chronic conditions drive up costs for all.  It is the role of public administrators to uphold the public’s interests </w:t>
      </w:r>
      <w:r w:rsidR="00B77903">
        <w:t>by</w:t>
      </w:r>
      <w:r w:rsidR="00B77903" w:rsidRPr="006E0406">
        <w:t xml:space="preserve"> </w:t>
      </w:r>
      <w:r w:rsidRPr="006E0406">
        <w:t>addressing opportunities to improve quality and reduce costs. This research provides empiric</w:t>
      </w:r>
      <w:r w:rsidR="00B77903">
        <w:t>al</w:t>
      </w:r>
      <w:r w:rsidRPr="006E0406">
        <w:t xml:space="preserve"> evidence from a national representative sample on variations in ambulatory diabetes care quality on unaccounted factors that may put a patient at risk of a diabetes foot ulcer or possibly even amputation.  By addressing these variations in quality that arise secondary to patient, provider, and practice characteristics and result in disparities, patient outcomes and health care costs could be significantly improved. </w:t>
      </w:r>
    </w:p>
    <w:p w:rsidR="006E0406" w:rsidRPr="00EE28FE" w:rsidRDefault="006E0406" w:rsidP="00B11B34">
      <w:pPr>
        <w:spacing w:line="360" w:lineRule="auto"/>
        <w:contextualSpacing/>
        <w:jc w:val="both"/>
        <w:rPr>
          <w:color w:val="1A1A1A"/>
          <w:shd w:val="clear" w:color="auto" w:fill="FFFFFF"/>
        </w:rPr>
      </w:pPr>
      <w:r w:rsidRPr="006E0406">
        <w:tab/>
        <w:t xml:space="preserve">Although evidence-based diabetes guidelines are publicly available and public administrators have created programs such as </w:t>
      </w:r>
      <w:proofErr w:type="spellStart"/>
      <w:r w:rsidRPr="006E0406">
        <w:t>HealthyPeople</w:t>
      </w:r>
      <w:proofErr w:type="spellEnd"/>
      <w:r w:rsidRPr="006E0406">
        <w:t xml:space="preserve"> 2020 to raise awareness, disparities still remain. Part of the challenge is the speed at which these practice guidelines are adopted, or not, by care providers.  </w:t>
      </w:r>
      <w:bookmarkStart w:id="7" w:name="_Hlk54254331"/>
      <w:r w:rsidRPr="006E0406">
        <w:t xml:space="preserve">On average, it takes </w:t>
      </w:r>
      <w:r w:rsidR="00B77903">
        <w:t>17</w:t>
      </w:r>
      <w:r w:rsidR="00B77903" w:rsidRPr="006E0406">
        <w:t xml:space="preserve"> </w:t>
      </w:r>
      <w:r w:rsidRPr="006E0406">
        <w:t>years for evidence-based research to be adopted into practice (Munro, 2016).  I</w:t>
      </w:r>
      <w:bookmarkEnd w:id="7"/>
      <w:r w:rsidRPr="006E0406">
        <w:t xml:space="preserve">n 2012, the National Institute of Health (NIH), an agency within the Department of Health and Human Services, founded the </w:t>
      </w:r>
      <w:r w:rsidRPr="006E0406">
        <w:rPr>
          <w:color w:val="1A1A1A"/>
          <w:shd w:val="clear" w:color="auto" w:fill="FFFFFF"/>
        </w:rPr>
        <w:t xml:space="preserve">National Center for Advancing Translational Sciences (NCATS) to focus on accelerating scientific interventions to clinical practice by providing grant funding access to expertise and resources for researchers.  In 1998, the ADA released its position paper highlighting the importance of </w:t>
      </w:r>
      <w:r w:rsidR="00A50ABD">
        <w:rPr>
          <w:color w:val="1A1A1A"/>
          <w:shd w:val="clear" w:color="auto" w:fill="FFFFFF"/>
        </w:rPr>
        <w:t>administering</w:t>
      </w:r>
      <w:r w:rsidR="00A50ABD" w:rsidRPr="006E0406">
        <w:rPr>
          <w:color w:val="1A1A1A"/>
          <w:shd w:val="clear" w:color="auto" w:fill="FFFFFF"/>
        </w:rPr>
        <w:t xml:space="preserve"> </w:t>
      </w:r>
      <w:r w:rsidRPr="006E0406">
        <w:rPr>
          <w:color w:val="1A1A1A"/>
          <w:shd w:val="clear" w:color="auto" w:fill="FFFFFF"/>
        </w:rPr>
        <w:t xml:space="preserve">a foot exam as part of the preventative foot care for individual with </w:t>
      </w:r>
      <w:r w:rsidRPr="00EE28FE">
        <w:rPr>
          <w:color w:val="1A1A1A"/>
          <w:shd w:val="clear" w:color="auto" w:fill="FFFFFF"/>
        </w:rPr>
        <w:t>diabetes.  Yet, the finding</w:t>
      </w:r>
      <w:r w:rsidR="004B7FEA" w:rsidRPr="00EE28FE">
        <w:rPr>
          <w:color w:val="1A1A1A"/>
          <w:shd w:val="clear" w:color="auto" w:fill="FFFFFF"/>
        </w:rPr>
        <w:t>s</w:t>
      </w:r>
      <w:r w:rsidRPr="00EE28FE">
        <w:rPr>
          <w:color w:val="1A1A1A"/>
          <w:shd w:val="clear" w:color="auto" w:fill="FFFFFF"/>
        </w:rPr>
        <w:t xml:space="preserve"> from the 2015 NAMCS data set, a survey performed </w:t>
      </w:r>
      <w:r w:rsidR="004B7FEA" w:rsidRPr="00EE28FE">
        <w:rPr>
          <w:color w:val="1A1A1A"/>
          <w:shd w:val="clear" w:color="auto" w:fill="FFFFFF"/>
        </w:rPr>
        <w:t xml:space="preserve">17 </w:t>
      </w:r>
      <w:r w:rsidRPr="00EE28FE">
        <w:rPr>
          <w:color w:val="1A1A1A"/>
          <w:shd w:val="clear" w:color="auto" w:fill="FFFFFF"/>
        </w:rPr>
        <w:t>years after the ADA’s recommendation was release</w:t>
      </w:r>
      <w:r w:rsidR="004B7FEA" w:rsidRPr="00EE28FE">
        <w:rPr>
          <w:color w:val="1A1A1A"/>
          <w:shd w:val="clear" w:color="auto" w:fill="FFFFFF"/>
        </w:rPr>
        <w:t>d</w:t>
      </w:r>
      <w:r w:rsidRPr="00EE28FE">
        <w:rPr>
          <w:color w:val="1A1A1A"/>
          <w:shd w:val="clear" w:color="auto" w:fill="FFFFFF"/>
        </w:rPr>
        <w:t xml:space="preserve">, showed that the administration of foot exams still remained low.  Although the establishment of NCATS was a great start to accelerating the adoption of guidelines, </w:t>
      </w:r>
      <w:r w:rsidR="00904621" w:rsidRPr="00EE28FE">
        <w:rPr>
          <w:color w:val="1A1A1A"/>
          <w:shd w:val="clear" w:color="auto" w:fill="FFFFFF"/>
        </w:rPr>
        <w:t xml:space="preserve">unexpectedly, </w:t>
      </w:r>
      <w:r w:rsidRPr="00EE28FE">
        <w:rPr>
          <w:color w:val="1A1A1A"/>
          <w:shd w:val="clear" w:color="auto" w:fill="FFFFFF"/>
        </w:rPr>
        <w:t>the analytical findings in this research demonstrated that public administrators still have significant gaps to close on diabetic foot care administered by frontline providers.</w:t>
      </w:r>
    </w:p>
    <w:p w:rsidR="006E0406" w:rsidRPr="006E0406" w:rsidRDefault="006E0406" w:rsidP="00B11B34">
      <w:pPr>
        <w:spacing w:line="360" w:lineRule="auto"/>
        <w:contextualSpacing/>
        <w:jc w:val="both"/>
        <w:rPr>
          <w:color w:val="1A1A1A"/>
          <w:shd w:val="clear" w:color="auto" w:fill="FFFFFF"/>
        </w:rPr>
      </w:pPr>
      <w:r w:rsidRPr="00EE28FE">
        <w:rPr>
          <w:color w:val="1A1A1A"/>
          <w:shd w:val="clear" w:color="auto" w:fill="FFFFFF"/>
        </w:rPr>
        <w:tab/>
        <w:t>There are two additional public administration opportunities specific to providers and care teams when looking to mitigate social equity disparities in diabetes foot care</w:t>
      </w:r>
      <w:r w:rsidR="003E636A">
        <w:rPr>
          <w:color w:val="1A1A1A"/>
          <w:shd w:val="clear" w:color="auto" w:fill="FFFFFF"/>
        </w:rPr>
        <w:t xml:space="preserve">, namely </w:t>
      </w:r>
      <w:r w:rsidRPr="006E0406">
        <w:rPr>
          <w:color w:val="1A1A1A"/>
          <w:shd w:val="clear" w:color="auto" w:fill="FFFFFF"/>
        </w:rPr>
        <w:t xml:space="preserve">additional training on implicit bias and an increase in hiring of a more diverse </w:t>
      </w:r>
      <w:r w:rsidRPr="006E0406">
        <w:rPr>
          <w:color w:val="1A1A1A"/>
          <w:shd w:val="clear" w:color="auto" w:fill="FFFFFF"/>
        </w:rPr>
        <w:lastRenderedPageBreak/>
        <w:t xml:space="preserve">healthcare workforce to promote provider–patient concordance.  Professional societies like the AAFP have launched programs such as The </w:t>
      </w:r>
      <w:proofErr w:type="spellStart"/>
      <w:r w:rsidRPr="006E0406">
        <w:rPr>
          <w:color w:val="1A1A1A"/>
          <w:shd w:val="clear" w:color="auto" w:fill="FFFFFF"/>
        </w:rPr>
        <w:t>EveryONE</w:t>
      </w:r>
      <w:proofErr w:type="spellEnd"/>
      <w:r w:rsidRPr="006E0406">
        <w:rPr>
          <w:color w:val="1A1A1A"/>
          <w:shd w:val="clear" w:color="auto" w:fill="FFFFFF"/>
        </w:rPr>
        <w:t xml:space="preserve"> Project</w:t>
      </w:r>
      <w:r w:rsidR="003E636A">
        <w:rPr>
          <w:color w:val="1A1A1A"/>
          <w:shd w:val="clear" w:color="auto" w:fill="FFFFFF"/>
        </w:rPr>
        <w:t xml:space="preserve">, </w:t>
      </w:r>
      <w:r w:rsidRPr="006E0406">
        <w:rPr>
          <w:color w:val="1A1A1A"/>
          <w:shd w:val="clear" w:color="auto" w:fill="FFFFFF"/>
        </w:rPr>
        <w:t>a comprehensive training guide geared at raising awareness of implicit bias for providers and their care teams. It provides resources and information on how to reduce the impact that implicit bias may have on patients (Crawford, 2020).  However, these trainings are still optional and depend on providers being willing</w:t>
      </w:r>
      <w:r w:rsidR="003E636A">
        <w:rPr>
          <w:color w:val="1A1A1A"/>
          <w:shd w:val="clear" w:color="auto" w:fill="FFFFFF"/>
        </w:rPr>
        <w:t xml:space="preserve"> to</w:t>
      </w:r>
      <w:r w:rsidRPr="006E0406">
        <w:rPr>
          <w:color w:val="1A1A1A"/>
          <w:shd w:val="clear" w:color="auto" w:fill="FFFFFF"/>
        </w:rPr>
        <w:t xml:space="preserve"> proactively take them, although more healthcare organizations like Stanford Medicine are now offering continuing medical education credits to incentivize providers to complete the training. There may be a need for additional incentives or regulatory requirements</w:t>
      </w:r>
      <w:r w:rsidR="003E636A">
        <w:rPr>
          <w:color w:val="1A1A1A"/>
          <w:shd w:val="clear" w:color="auto" w:fill="FFFFFF"/>
        </w:rPr>
        <w:t xml:space="preserve"> to</w:t>
      </w:r>
      <w:r w:rsidRPr="006E0406">
        <w:rPr>
          <w:color w:val="1A1A1A"/>
          <w:shd w:val="clear" w:color="auto" w:fill="FFFFFF"/>
        </w:rPr>
        <w:t xml:space="preserve"> accelerate the rate at which healthcare providers obtain this training.</w:t>
      </w:r>
    </w:p>
    <w:p w:rsidR="006E0406" w:rsidRPr="006E0406" w:rsidRDefault="006E0406" w:rsidP="00B11B34">
      <w:pPr>
        <w:spacing w:line="360" w:lineRule="auto"/>
        <w:contextualSpacing/>
        <w:jc w:val="both"/>
        <w:rPr>
          <w:color w:val="1A1A1A"/>
          <w:shd w:val="clear" w:color="auto" w:fill="FFFFFF"/>
        </w:rPr>
      </w:pPr>
      <w:r w:rsidRPr="006E0406">
        <w:rPr>
          <w:color w:val="1A1A1A"/>
          <w:shd w:val="clear" w:color="auto" w:fill="FFFFFF"/>
        </w:rPr>
        <w:tab/>
        <w:t>Provider-patient concordance is an additional area of opportunity for focus by public administrator</w:t>
      </w:r>
      <w:r w:rsidR="00151B2F">
        <w:rPr>
          <w:color w:val="1A1A1A"/>
          <w:shd w:val="clear" w:color="auto" w:fill="FFFFFF"/>
        </w:rPr>
        <w:t>s</w:t>
      </w:r>
      <w:r w:rsidRPr="006E0406">
        <w:rPr>
          <w:color w:val="1A1A1A"/>
          <w:shd w:val="clear" w:color="auto" w:fill="FFFFFF"/>
        </w:rPr>
        <w:t xml:space="preserve"> to help reduce disparities in diabetes care and other chronic disease.  As previously mentioned, research has shown that when a provider and patient have shared traits</w:t>
      </w:r>
      <w:r w:rsidR="00151B2F">
        <w:rPr>
          <w:color w:val="1A1A1A"/>
          <w:shd w:val="clear" w:color="auto" w:fill="FFFFFF"/>
        </w:rPr>
        <w:t>,</w:t>
      </w:r>
      <w:r w:rsidRPr="006E0406">
        <w:rPr>
          <w:color w:val="1A1A1A"/>
          <w:shd w:val="clear" w:color="auto" w:fill="FFFFFF"/>
        </w:rPr>
        <w:t xml:space="preserve"> such as race, ethnicity, or even gender, there is a higher level of trust and compliance with care plans.  There may also be a high level of understanding by a provider based on cultural norms and customs that can help tailor their messaging to improve health literacy and identify key risks that are specific to certain population group</w:t>
      </w:r>
      <w:r w:rsidR="00151B2F">
        <w:rPr>
          <w:color w:val="1A1A1A"/>
          <w:shd w:val="clear" w:color="auto" w:fill="FFFFFF"/>
        </w:rPr>
        <w:t>s</w:t>
      </w:r>
      <w:r w:rsidRPr="006E0406">
        <w:rPr>
          <w:color w:val="1A1A1A"/>
          <w:shd w:val="clear" w:color="auto" w:fill="FFFFFF"/>
        </w:rPr>
        <w:t xml:space="preserve">. </w:t>
      </w:r>
      <w:r w:rsidRPr="006E0406">
        <w:rPr>
          <w:shd w:val="clear" w:color="auto" w:fill="FFFFFF"/>
        </w:rPr>
        <w:t>Public administrator</w:t>
      </w:r>
      <w:r w:rsidR="00151B2F">
        <w:rPr>
          <w:shd w:val="clear" w:color="auto" w:fill="FFFFFF"/>
        </w:rPr>
        <w:t>s</w:t>
      </w:r>
      <w:r w:rsidRPr="006E0406">
        <w:rPr>
          <w:shd w:val="clear" w:color="auto" w:fill="FFFFFF"/>
        </w:rPr>
        <w:t xml:space="preserve"> could focus funding efforts and incentivize healthcare organizations to support more diverse recruitment practices to match their population demographics</w:t>
      </w:r>
      <w:r w:rsidR="00151B2F">
        <w:rPr>
          <w:shd w:val="clear" w:color="auto" w:fill="FFFFFF"/>
        </w:rPr>
        <w:t>,</w:t>
      </w:r>
      <w:r w:rsidRPr="006E0406">
        <w:rPr>
          <w:shd w:val="clear" w:color="auto" w:fill="FFFFFF"/>
        </w:rPr>
        <w:t xml:space="preserve"> similar to what occurred with Medicare and </w:t>
      </w:r>
      <w:r w:rsidR="00151B2F">
        <w:rPr>
          <w:shd w:val="clear" w:color="auto" w:fill="FFFFFF"/>
        </w:rPr>
        <w:t>T</w:t>
      </w:r>
      <w:r w:rsidRPr="006E0406">
        <w:rPr>
          <w:shd w:val="clear" w:color="auto" w:fill="FFFFFF"/>
        </w:rPr>
        <w:t>itle VI with segregation (</w:t>
      </w:r>
      <w:proofErr w:type="spellStart"/>
      <w:r w:rsidRPr="006E0406">
        <w:rPr>
          <w:shd w:val="clear" w:color="auto" w:fill="FFFFFF"/>
        </w:rPr>
        <w:t>Powe</w:t>
      </w:r>
      <w:proofErr w:type="spellEnd"/>
      <w:r w:rsidRPr="006E0406">
        <w:rPr>
          <w:shd w:val="clear" w:color="auto" w:fill="FFFFFF"/>
        </w:rPr>
        <w:t>, 2004).</w:t>
      </w:r>
    </w:p>
    <w:p w:rsidR="000106AA" w:rsidRDefault="006E0406" w:rsidP="00B11B34">
      <w:pPr>
        <w:spacing w:line="360" w:lineRule="auto"/>
        <w:contextualSpacing/>
        <w:jc w:val="both"/>
        <w:rPr>
          <w:color w:val="FF0000"/>
        </w:rPr>
      </w:pPr>
      <w:r w:rsidRPr="006E0406">
        <w:rPr>
          <w:color w:val="1A1A1A"/>
          <w:shd w:val="clear" w:color="auto" w:fill="FFFFFF"/>
        </w:rPr>
        <w:tab/>
      </w:r>
      <w:r w:rsidRPr="006E0406">
        <w:rPr>
          <w:lang w:eastAsia="ja-JP"/>
        </w:rPr>
        <w:t>Lastly, access to quality diabetes care remain</w:t>
      </w:r>
      <w:r w:rsidR="00DD3175">
        <w:rPr>
          <w:lang w:eastAsia="ja-JP"/>
        </w:rPr>
        <w:t>s</w:t>
      </w:r>
      <w:r w:rsidRPr="006E0406">
        <w:rPr>
          <w:lang w:eastAsia="ja-JP"/>
        </w:rPr>
        <w:t xml:space="preserve"> an issue even with passage of the ACA which was intended to bridge the gaps in coverage and provide the closest thing to universal care thus far in U</w:t>
      </w:r>
      <w:r w:rsidR="00DD3175">
        <w:rPr>
          <w:lang w:eastAsia="ja-JP"/>
        </w:rPr>
        <w:t>.</w:t>
      </w:r>
      <w:r w:rsidRPr="006E0406">
        <w:rPr>
          <w:lang w:eastAsia="ja-JP"/>
        </w:rPr>
        <w:t>S</w:t>
      </w:r>
      <w:r w:rsidR="00DD3175">
        <w:rPr>
          <w:lang w:eastAsia="ja-JP"/>
        </w:rPr>
        <w:t>.</w:t>
      </w:r>
      <w:r w:rsidRPr="006E0406">
        <w:rPr>
          <w:lang w:eastAsia="ja-JP"/>
        </w:rPr>
        <w:t xml:space="preserve"> healthcare history.  The opportunity still remains for public administrators to address the street level politics that may derail equitable care</w:t>
      </w:r>
      <w:r w:rsidR="00DD3175">
        <w:rPr>
          <w:lang w:eastAsia="ja-JP"/>
        </w:rPr>
        <w:t>,</w:t>
      </w:r>
      <w:r w:rsidRPr="006E0406">
        <w:rPr>
          <w:lang w:eastAsia="ja-JP"/>
        </w:rPr>
        <w:t xml:space="preserve"> like what occurred with the Medicaid expansion in Southern states resulting in rural communities continuing to have access </w:t>
      </w:r>
      <w:r w:rsidR="003C7BE7">
        <w:rPr>
          <w:lang w:eastAsia="ja-JP"/>
        </w:rPr>
        <w:t>barriers</w:t>
      </w:r>
      <w:r w:rsidRPr="006E0406">
        <w:rPr>
          <w:lang w:eastAsia="ja-JP"/>
        </w:rPr>
        <w:t>. A simple first step that public administrators could consider would be to launch a public service announcement or education campaign in key communities and rural areas with high concentrations of individuals with diabetes on the important of diabetic foot care and annual checkups to raise awareness</w:t>
      </w:r>
      <w:r w:rsidR="00DD3175">
        <w:rPr>
          <w:b/>
          <w:color w:val="FF0000"/>
          <w:lang w:eastAsia="ja-JP"/>
        </w:rPr>
        <w:t>.</w:t>
      </w:r>
    </w:p>
    <w:p w:rsidR="00816B46" w:rsidRPr="00816B46" w:rsidRDefault="000106AA" w:rsidP="00A42051">
      <w:pPr>
        <w:spacing w:after="200" w:line="360" w:lineRule="auto"/>
        <w:jc w:val="center"/>
        <w:rPr>
          <w:b/>
          <w:lang w:eastAsia="ja-JP"/>
        </w:rPr>
      </w:pPr>
      <w:r>
        <w:rPr>
          <w:color w:val="FF0000"/>
        </w:rPr>
        <w:br w:type="page"/>
      </w:r>
      <w:r w:rsidR="006E0406" w:rsidRPr="006E0406">
        <w:rPr>
          <w:b/>
          <w:lang w:eastAsia="ja-JP"/>
        </w:rPr>
        <w:lastRenderedPageBreak/>
        <w:t>STRENGTHS AND LIMITATIONS OF STUDY</w:t>
      </w:r>
    </w:p>
    <w:p w:rsidR="006E0406" w:rsidRPr="006E0406" w:rsidRDefault="00816B46" w:rsidP="00B11B34">
      <w:pPr>
        <w:spacing w:line="360" w:lineRule="auto"/>
        <w:jc w:val="both"/>
        <w:rPr>
          <w:lang w:eastAsia="ja-JP"/>
        </w:rPr>
      </w:pPr>
      <w:r>
        <w:rPr>
          <w:color w:val="FF0000"/>
        </w:rPr>
        <w:tab/>
      </w:r>
      <w:r w:rsidR="006E0406" w:rsidRPr="006E0406">
        <w:rPr>
          <w:lang w:eastAsia="ja-JP"/>
        </w:rPr>
        <w:t>It is important to highlight that there are limitations with using the 2015 NAMCS dataset. First, the data is de-identified data and was collected via medical records and</w:t>
      </w:r>
      <w:r w:rsidR="0024750C">
        <w:rPr>
          <w:lang w:eastAsia="ja-JP"/>
        </w:rPr>
        <w:t>,</w:t>
      </w:r>
      <w:r w:rsidR="006E0406" w:rsidRPr="006E0406">
        <w:rPr>
          <w:lang w:eastAsia="ja-JP"/>
        </w:rPr>
        <w:t xml:space="preserve"> in some cases, by the individual provider and practice staff. There is a risk of error in collection and the findings are generalized so direct changes to care of an individual would not be possible.  In addition, this research is limited to patient visits in which the question regarding the presence or lack of diabetes diagnosis was noted at the specific time of that visit.  There is a possibility that a patient may have been previously diagnosed with diabetes but failed to respond to the question correctly or that the document recorded the incorrect response.  Secondly, the most significant limitation of the NAMCS dataset is that it only represents a snapshot of visits in a designated weeks’ time, raising the possibility that a patient may have received a foot exam as part of another visit or a limited foot exam was performed that did not meet the billing criteria.  </w:t>
      </w:r>
    </w:p>
    <w:p w:rsidR="006E0406" w:rsidRPr="006E0406" w:rsidRDefault="006E0406" w:rsidP="00B11B34">
      <w:pPr>
        <w:spacing w:line="360" w:lineRule="auto"/>
        <w:jc w:val="both"/>
        <w:rPr>
          <w:lang w:eastAsia="ja-JP"/>
        </w:rPr>
      </w:pPr>
      <w:r w:rsidRPr="006E0406">
        <w:rPr>
          <w:lang w:eastAsia="ja-JP"/>
        </w:rPr>
        <w:t xml:space="preserve"> </w:t>
      </w:r>
      <w:r w:rsidR="0024750C">
        <w:rPr>
          <w:lang w:eastAsia="ja-JP"/>
        </w:rPr>
        <w:tab/>
      </w:r>
      <w:r w:rsidRPr="006E0406">
        <w:rPr>
          <w:lang w:eastAsia="ja-JP"/>
        </w:rPr>
        <w:t>Next, as a result of excluding in-home visits, there may be a missed opportunity to capture foot exams or care provided in this setting and begs the question as to whether there are additional foot exams being performed but not to the standards that warrant documentation. In order to bill for a comprehensive foot exam, the reimbursement regulations require a provider</w:t>
      </w:r>
      <w:r w:rsidR="0024750C">
        <w:rPr>
          <w:lang w:eastAsia="ja-JP"/>
        </w:rPr>
        <w:t>,</w:t>
      </w:r>
      <w:r w:rsidRPr="006E0406">
        <w:rPr>
          <w:lang w:eastAsia="ja-JP"/>
        </w:rPr>
        <w:t xml:space="preserve"> such as </w:t>
      </w:r>
      <w:r w:rsidR="0024750C">
        <w:rPr>
          <w:lang w:eastAsia="ja-JP"/>
        </w:rPr>
        <w:t xml:space="preserve">a </w:t>
      </w:r>
      <w:r w:rsidRPr="006E0406">
        <w:rPr>
          <w:lang w:eastAsia="ja-JP"/>
        </w:rPr>
        <w:t>physician, nurse practitioner, or physician assistant</w:t>
      </w:r>
      <w:r w:rsidR="0024750C">
        <w:rPr>
          <w:lang w:eastAsia="ja-JP"/>
        </w:rPr>
        <w:t>,</w:t>
      </w:r>
      <w:r w:rsidRPr="006E0406">
        <w:rPr>
          <w:lang w:eastAsia="ja-JP"/>
        </w:rPr>
        <w:t xml:space="preserve"> to perform the exam in the home setting, creating logistical challenges and requir</w:t>
      </w:r>
      <w:r w:rsidR="00CA3DAB">
        <w:rPr>
          <w:lang w:eastAsia="ja-JP"/>
        </w:rPr>
        <w:t>ing</w:t>
      </w:r>
      <w:r w:rsidRPr="006E0406">
        <w:rPr>
          <w:lang w:eastAsia="ja-JP"/>
        </w:rPr>
        <w:t xml:space="preserve"> a high-level provider to make a house call (United Healthcare, 2018). </w:t>
      </w:r>
    </w:p>
    <w:p w:rsidR="006E0406" w:rsidRPr="006E0406" w:rsidRDefault="006E0406" w:rsidP="00B11B34">
      <w:pPr>
        <w:spacing w:line="360" w:lineRule="auto"/>
        <w:jc w:val="both"/>
        <w:rPr>
          <w:lang w:eastAsia="ja-JP"/>
        </w:rPr>
      </w:pPr>
      <w:r w:rsidRPr="006E0406">
        <w:rPr>
          <w:lang w:eastAsia="ja-JP"/>
        </w:rPr>
        <w:tab/>
        <w:t>Finally, the underrepresentation of certain populations</w:t>
      </w:r>
      <w:r w:rsidR="00CA3DAB">
        <w:rPr>
          <w:lang w:eastAsia="ja-JP"/>
        </w:rPr>
        <w:t xml:space="preserve">’ </w:t>
      </w:r>
      <w:r w:rsidRPr="006E0406">
        <w:rPr>
          <w:lang w:eastAsia="ja-JP"/>
        </w:rPr>
        <w:t xml:space="preserve">visit is another limitation of this study that may impact the generalizability of the findings.  The univariate portion revealed that the majority of diabetes visit were for white, non-Hispanic individuals with either private insurance or Medicare as primary forms of payment. The underrepresented visits were for Black individuals and those individuals that fell under the </w:t>
      </w:r>
      <w:proofErr w:type="gramStart"/>
      <w:r w:rsidRPr="006E0406">
        <w:rPr>
          <w:lang w:eastAsia="ja-JP"/>
        </w:rPr>
        <w:t>Other</w:t>
      </w:r>
      <w:proofErr w:type="gramEnd"/>
      <w:r w:rsidRPr="006E0406">
        <w:rPr>
          <w:lang w:eastAsia="ja-JP"/>
        </w:rPr>
        <w:t xml:space="preserve"> category which included Asian, Pakistani, Native American, Native Hawaiian or Other Pacific Islander</w:t>
      </w:r>
      <w:r w:rsidR="006A5456">
        <w:rPr>
          <w:lang w:eastAsia="ja-JP"/>
        </w:rPr>
        <w:t>s,</w:t>
      </w:r>
      <w:r w:rsidRPr="006E0406">
        <w:rPr>
          <w:lang w:eastAsia="ja-JP"/>
        </w:rPr>
        <w:t xml:space="preserve"> so applicability of </w:t>
      </w:r>
      <w:r w:rsidR="006A5456">
        <w:rPr>
          <w:lang w:eastAsia="ja-JP"/>
        </w:rPr>
        <w:t xml:space="preserve">the </w:t>
      </w:r>
      <w:r w:rsidRPr="006E0406">
        <w:rPr>
          <w:lang w:eastAsia="ja-JP"/>
        </w:rPr>
        <w:t>finding</w:t>
      </w:r>
      <w:r w:rsidR="006A5456">
        <w:rPr>
          <w:lang w:eastAsia="ja-JP"/>
        </w:rPr>
        <w:t>s</w:t>
      </w:r>
      <w:r w:rsidRPr="006E0406">
        <w:rPr>
          <w:lang w:eastAsia="ja-JP"/>
        </w:rPr>
        <w:t xml:space="preserve"> may change if these populations were more equally represented. As previously noted, only 8% of Hispanics were diagnosed as having any type of diabetes yet the ADA estimates that the prevalence rate among the Hispanic population is closer to 16% (ADA, 2014).  In that same token, 20% of the visits did not contain a response for ethnicity. This could present an opportunity for future </w:t>
      </w:r>
      <w:r w:rsidRPr="006E0406">
        <w:rPr>
          <w:lang w:eastAsia="ja-JP"/>
        </w:rPr>
        <w:lastRenderedPageBreak/>
        <w:t>exploration to see if the non-responses may perhaps be a result of undocumented Hispanics not disclosing their ethnicity due to fears of deportation.   Additionally, visits with Medicaid as a primary source of payment and visit</w:t>
      </w:r>
      <w:r w:rsidR="00BB5EE8">
        <w:rPr>
          <w:lang w:eastAsia="ja-JP"/>
        </w:rPr>
        <w:t>s</w:t>
      </w:r>
      <w:r w:rsidRPr="006E0406">
        <w:rPr>
          <w:lang w:eastAsia="ja-JP"/>
        </w:rPr>
        <w:t xml:space="preserve"> involving a doctor of osteopathy we also underrepresented in the NAMCS 2015 data set. The final limitation of this study is that it is a study of </w:t>
      </w:r>
      <w:r w:rsidRPr="006E0406">
        <w:t xml:space="preserve">correlation. To determine anything beyond correlation would require having data on the time sequence of events and greater control of confounding variables that are not possible with a cross-sectional national data set like the NAMCS survey. </w:t>
      </w:r>
    </w:p>
    <w:p w:rsidR="000106AA" w:rsidRDefault="006E0406" w:rsidP="00B11B34">
      <w:pPr>
        <w:spacing w:line="360" w:lineRule="auto"/>
        <w:jc w:val="both"/>
        <w:rPr>
          <w:lang w:eastAsia="ja-JP"/>
        </w:rPr>
      </w:pPr>
      <w:r w:rsidRPr="006E0406">
        <w:rPr>
          <w:lang w:eastAsia="ja-JP"/>
        </w:rPr>
        <w:tab/>
        <w:t xml:space="preserve">The major strength of this study is that although many studies were found during the literature review regarding diabetes, the impact that patients, provider, or practice </w:t>
      </w:r>
      <w:r w:rsidRPr="00EE28FE">
        <w:rPr>
          <w:lang w:eastAsia="ja-JP"/>
        </w:rPr>
        <w:t>characteristics play into the delivery of quality foot care has not been a highly explored area.  Even with the underrepresentation of certain populations, this research used national data which does mirror that of general U</w:t>
      </w:r>
      <w:r w:rsidR="006A17CC" w:rsidRPr="00EE28FE">
        <w:rPr>
          <w:lang w:eastAsia="ja-JP"/>
        </w:rPr>
        <w:t>.</w:t>
      </w:r>
      <w:r w:rsidRPr="00EE28FE">
        <w:rPr>
          <w:lang w:eastAsia="ja-JP"/>
        </w:rPr>
        <w:t>S</w:t>
      </w:r>
      <w:r w:rsidR="006A17CC" w:rsidRPr="00EE28FE">
        <w:rPr>
          <w:lang w:eastAsia="ja-JP"/>
        </w:rPr>
        <w:t>.</w:t>
      </w:r>
      <w:r w:rsidRPr="00EE28FE">
        <w:rPr>
          <w:lang w:eastAsia="ja-JP"/>
        </w:rPr>
        <w:t xml:space="preserve"> population,</w:t>
      </w:r>
      <w:r w:rsidR="006A17CC" w:rsidRPr="00EE28FE">
        <w:rPr>
          <w:lang w:eastAsia="ja-JP"/>
        </w:rPr>
        <w:t xml:space="preserve"> so</w:t>
      </w:r>
      <w:r w:rsidRPr="00EE28FE">
        <w:rPr>
          <w:lang w:eastAsia="ja-JP"/>
        </w:rPr>
        <w:t xml:space="preserve"> the findings can be used to raise awareness around the low rates of foots exams performed on diabetes and help inform development of policies and/or interventions to address quality issues in diabetic care and disparities particularly for low income and minority groups and for those living in the Southern region.</w:t>
      </w:r>
      <w:r w:rsidRPr="006E0406">
        <w:rPr>
          <w:lang w:eastAsia="ja-JP"/>
        </w:rPr>
        <w:t xml:space="preserve"> </w:t>
      </w:r>
    </w:p>
    <w:p w:rsidR="00EC19E3" w:rsidRPr="000106AA" w:rsidRDefault="000106AA" w:rsidP="00816B46">
      <w:pPr>
        <w:spacing w:after="200" w:line="360" w:lineRule="auto"/>
        <w:jc w:val="center"/>
        <w:rPr>
          <w:lang w:eastAsia="ja-JP"/>
        </w:rPr>
      </w:pPr>
      <w:r>
        <w:rPr>
          <w:lang w:eastAsia="ja-JP"/>
        </w:rPr>
        <w:br w:type="page"/>
      </w:r>
      <w:r w:rsidR="006E0406" w:rsidRPr="006E0406">
        <w:rPr>
          <w:b/>
          <w:lang w:eastAsia="ja-JP"/>
        </w:rPr>
        <w:lastRenderedPageBreak/>
        <w:t>FUTURE AREAS OF RESEARCH</w:t>
      </w:r>
    </w:p>
    <w:p w:rsidR="006E0406" w:rsidRPr="000763AE" w:rsidRDefault="006E0406" w:rsidP="00B11B34">
      <w:pPr>
        <w:autoSpaceDE w:val="0"/>
        <w:autoSpaceDN w:val="0"/>
        <w:adjustRightInd w:val="0"/>
        <w:spacing w:line="360" w:lineRule="auto"/>
        <w:ind w:firstLine="720"/>
        <w:jc w:val="both"/>
        <w:rPr>
          <w:rFonts w:eastAsia="Calibri"/>
          <w:b/>
        </w:rPr>
      </w:pPr>
      <w:r w:rsidRPr="006E0406">
        <w:rPr>
          <w:lang w:eastAsia="ja-JP"/>
        </w:rPr>
        <w:t>The findings in this research provide insight on some potential future areas for exploration regarding diabetes diagnosis, diabetic care, guidelines adherence, underrepresentation of certain populations in national data sets, implicit bias and barriers to access due to policies such as the impact of Medicaid expansion on diabetic care.  In the bivariate section of this study, it was noted that for</w:t>
      </w:r>
      <w:r w:rsidRPr="000763AE">
        <w:rPr>
          <w:rFonts w:eastAsia="Calibri"/>
        </w:rPr>
        <w:t xml:space="preserve"> diabetes unspecified, there was a negative association between having an unspecified diagnosis of diabetes, meaning not being formally classified as either Type 1 or Type 2, and receiving a foot exam as part of the diabetes care.  It was found that as diabetes unspecified visits increase, the number of foot exams performed decrease</w:t>
      </w:r>
      <w:r w:rsidR="00944C3E" w:rsidRPr="000763AE">
        <w:rPr>
          <w:rFonts w:eastAsia="Calibri"/>
        </w:rPr>
        <w:t>s</w:t>
      </w:r>
      <w:r w:rsidRPr="000763AE">
        <w:rPr>
          <w:rFonts w:eastAsia="Calibri"/>
        </w:rPr>
        <w:t>. Further exploration of the potential impact that an unspecified categorization of diabetes may have on an individual’s care may provide insight on areas of focus for policy enhancements to help reduce</w:t>
      </w:r>
      <w:r w:rsidR="0081141D" w:rsidRPr="000763AE">
        <w:rPr>
          <w:rFonts w:eastAsia="Calibri"/>
        </w:rPr>
        <w:t xml:space="preserve"> </w:t>
      </w:r>
      <w:r w:rsidRPr="000763AE">
        <w:rPr>
          <w:rFonts w:eastAsia="Calibri"/>
        </w:rPr>
        <w:t xml:space="preserve">disparities. </w:t>
      </w:r>
    </w:p>
    <w:p w:rsidR="006E0406" w:rsidRPr="006E0406" w:rsidRDefault="006E0406" w:rsidP="00B11B34">
      <w:pPr>
        <w:spacing w:line="360" w:lineRule="auto"/>
        <w:contextualSpacing/>
        <w:jc w:val="both"/>
        <w:rPr>
          <w:lang w:eastAsia="ja-JP"/>
        </w:rPr>
      </w:pPr>
      <w:r w:rsidRPr="006E0406">
        <w:rPr>
          <w:lang w:eastAsia="ja-JP"/>
        </w:rPr>
        <w:tab/>
        <w:t xml:space="preserve">Guideline adherence by care providers was another area identified for potential future analysis. As highlighted in the discussion section, the average length of adoption from research to clinical practice is </w:t>
      </w:r>
      <w:r w:rsidR="002629A3">
        <w:rPr>
          <w:lang w:eastAsia="ja-JP"/>
        </w:rPr>
        <w:t>17</w:t>
      </w:r>
      <w:r w:rsidR="002629A3" w:rsidRPr="006E0406">
        <w:rPr>
          <w:lang w:eastAsia="ja-JP"/>
        </w:rPr>
        <w:t xml:space="preserve"> </w:t>
      </w:r>
      <w:r w:rsidRPr="006E0406">
        <w:rPr>
          <w:lang w:eastAsia="ja-JP"/>
        </w:rPr>
        <w:t xml:space="preserve">years. Further study of incentives and clinical models that can assist in the acceleration of practice adoption could assist public administration in program design to improve the quality of diabetes care and management.  This may provide significant opportunities to reduce downstream costs and have overall societal benefits. Another area of future exploration relevant to providers is evaluating the impact </w:t>
      </w:r>
      <w:r w:rsidR="002629A3">
        <w:rPr>
          <w:lang w:eastAsia="ja-JP"/>
        </w:rPr>
        <w:t>of</w:t>
      </w:r>
      <w:r w:rsidR="002629A3" w:rsidRPr="006E0406">
        <w:rPr>
          <w:lang w:eastAsia="ja-JP"/>
        </w:rPr>
        <w:t xml:space="preserve"> </w:t>
      </w:r>
      <w:r w:rsidRPr="006E0406">
        <w:rPr>
          <w:lang w:eastAsia="ja-JP"/>
        </w:rPr>
        <w:t>racial concordance</w:t>
      </w:r>
      <w:r w:rsidR="002629A3">
        <w:rPr>
          <w:lang w:eastAsia="ja-JP"/>
        </w:rPr>
        <w:t xml:space="preserve"> </w:t>
      </w:r>
      <w:r w:rsidRPr="006E0406">
        <w:rPr>
          <w:lang w:eastAsia="ja-JP"/>
        </w:rPr>
        <w:t>on receipt of a foot exam. Is there a link with higher odds of receiving a foot exam during a diabetic visit when the provider and patient are of the same race?</w:t>
      </w:r>
    </w:p>
    <w:p w:rsidR="006E0406" w:rsidRPr="006E0406" w:rsidRDefault="006E0406" w:rsidP="00B11B34">
      <w:pPr>
        <w:spacing w:line="360" w:lineRule="auto"/>
        <w:contextualSpacing/>
        <w:jc w:val="both"/>
        <w:rPr>
          <w:lang w:eastAsia="ja-JP"/>
        </w:rPr>
      </w:pPr>
      <w:r w:rsidRPr="006E0406">
        <w:rPr>
          <w:lang w:eastAsia="ja-JP"/>
        </w:rPr>
        <w:tab/>
        <w:t xml:space="preserve">As noted in the literature review findings and in </w:t>
      </w:r>
      <w:proofErr w:type="spellStart"/>
      <w:r w:rsidRPr="006E0406">
        <w:rPr>
          <w:lang w:eastAsia="ja-JP"/>
        </w:rPr>
        <w:t>Skrepnek’s</w:t>
      </w:r>
      <w:proofErr w:type="spellEnd"/>
      <w:r w:rsidRPr="006E0406">
        <w:rPr>
          <w:lang w:eastAsia="ja-JP"/>
        </w:rPr>
        <w:t xml:space="preserve"> previous research, further exploration as to what barriers may exist for care teams to provide patients with diabetes education including self-foot checks may be an opportunity for future study.  Given the limited amount of time that individuals actually spend with a care provider, self-management, particularly for chronic disease such as diabetes, can greatly improve disease progression, reduce complication</w:t>
      </w:r>
      <w:r w:rsidR="002629A3">
        <w:rPr>
          <w:lang w:eastAsia="ja-JP"/>
        </w:rPr>
        <w:t>s</w:t>
      </w:r>
      <w:r w:rsidRPr="006E0406">
        <w:rPr>
          <w:lang w:eastAsia="ja-JP"/>
        </w:rPr>
        <w:t xml:space="preserve">, and provide </w:t>
      </w:r>
      <w:r w:rsidR="002629A3">
        <w:rPr>
          <w:lang w:eastAsia="ja-JP"/>
        </w:rPr>
        <w:t xml:space="preserve">a </w:t>
      </w:r>
      <w:r w:rsidRPr="006E0406">
        <w:rPr>
          <w:lang w:eastAsia="ja-JP"/>
        </w:rPr>
        <w:t>better quality of life. Future studies on allotment of time and frequency need</w:t>
      </w:r>
      <w:r w:rsidR="002629A3">
        <w:rPr>
          <w:lang w:eastAsia="ja-JP"/>
        </w:rPr>
        <w:t>ed</w:t>
      </w:r>
      <w:r w:rsidRPr="006E0406">
        <w:rPr>
          <w:lang w:eastAsia="ja-JP"/>
        </w:rPr>
        <w:t xml:space="preserve"> for diabetes education could help practices and providers who may have limited resources quantify the return investment either economically </w:t>
      </w:r>
      <w:r w:rsidR="007F0826">
        <w:rPr>
          <w:lang w:eastAsia="ja-JP"/>
        </w:rPr>
        <w:t>for</w:t>
      </w:r>
      <w:r w:rsidR="007F0826" w:rsidRPr="006E0406">
        <w:rPr>
          <w:lang w:eastAsia="ja-JP"/>
        </w:rPr>
        <w:t xml:space="preserve"> </w:t>
      </w:r>
      <w:r w:rsidRPr="006E0406">
        <w:rPr>
          <w:lang w:eastAsia="ja-JP"/>
        </w:rPr>
        <w:t xml:space="preserve">adding staff or prioritizing diabetes education as part of the </w:t>
      </w:r>
      <w:r w:rsidRPr="006E0406">
        <w:rPr>
          <w:lang w:eastAsia="ja-JP"/>
        </w:rPr>
        <w:lastRenderedPageBreak/>
        <w:t xml:space="preserve">patient care.  This could also assist public administrators in reimbursement model design </w:t>
      </w:r>
      <w:r w:rsidR="007F0826">
        <w:rPr>
          <w:lang w:eastAsia="ja-JP"/>
        </w:rPr>
        <w:t>by</w:t>
      </w:r>
      <w:r w:rsidR="007F0826" w:rsidRPr="006E0406">
        <w:rPr>
          <w:lang w:eastAsia="ja-JP"/>
        </w:rPr>
        <w:t xml:space="preserve"> </w:t>
      </w:r>
      <w:r w:rsidRPr="006E0406">
        <w:rPr>
          <w:lang w:eastAsia="ja-JP"/>
        </w:rPr>
        <w:t xml:space="preserve">incentivizing providers to deliver diabetes education, specifically daily foot screens and care. Another important area for future exploration is the topic implicit bias and its relationship to healthcare outcomes. Implicit bias may contribute to health disparities for many patients particularly those of color and different sexual orientation (Hall et Al, 2015).  This could present an opportunity for public administrators to raise awareness of the need for policies and provider training to reduce the impact that implicit bias may have on health outcomes as it relates to social equity. </w:t>
      </w:r>
    </w:p>
    <w:p w:rsidR="006E0406" w:rsidRPr="006E0406" w:rsidRDefault="006E0406" w:rsidP="00B11B34">
      <w:pPr>
        <w:spacing w:line="360" w:lineRule="auto"/>
        <w:contextualSpacing/>
        <w:jc w:val="both"/>
        <w:rPr>
          <w:lang w:eastAsia="ja-JP"/>
        </w:rPr>
      </w:pPr>
      <w:r w:rsidRPr="006E0406">
        <w:rPr>
          <w:szCs w:val="20"/>
        </w:rPr>
        <w:tab/>
        <w:t>The final suggestion for future exploration based on the findings of this study is on the challenges and barriers to ensuring equal representation of minority groups in national surveys. The majority of visits that were included in the NAMCS survey were for white individuals with either private insurance or Medicare as a form of payment.  Given that the N</w:t>
      </w:r>
      <w:r w:rsidRPr="006E0406">
        <w:rPr>
          <w:lang w:eastAsia="ja-JP"/>
        </w:rPr>
        <w:t xml:space="preserve">AMCS is intended to be a national survey representative of the US population, new methodologies for provider selections should be explored. Currently, providers are randomly selected and must be non-federally employed and have office-based practices to participate. Participation is voluntary which means that a provider needs to have sufficient time and staff to support responding and submission of necessary data for inclusion in the survey. Underrepresentation of low income and minority populations may be a challenge given that these cohorts of patients often see providers at federally qualified health centers (FQHCs) and/or office-based practices that potentially lack the additional infrastructure needed for participation.  Public administrators may want to consider exploring the impact these barriers may have on a more reflective representation of the US population when it comes to ambulatory care. </w:t>
      </w:r>
    </w:p>
    <w:p w:rsidR="006E0406" w:rsidRPr="006E0406" w:rsidRDefault="006E0406" w:rsidP="00B11B34">
      <w:pPr>
        <w:spacing w:line="360" w:lineRule="auto"/>
        <w:contextualSpacing/>
        <w:jc w:val="both"/>
        <w:rPr>
          <w:lang w:eastAsia="ja-JP"/>
        </w:rPr>
      </w:pPr>
    </w:p>
    <w:p w:rsidR="006E0406" w:rsidRPr="006E0406" w:rsidRDefault="006E0406" w:rsidP="00B11B34">
      <w:pPr>
        <w:spacing w:line="360" w:lineRule="auto"/>
        <w:contextualSpacing/>
        <w:jc w:val="both"/>
        <w:rPr>
          <w:lang w:eastAsia="ja-JP"/>
        </w:rPr>
      </w:pPr>
    </w:p>
    <w:p w:rsidR="006E0406" w:rsidRPr="006E0406" w:rsidRDefault="006E0406" w:rsidP="00B11B34">
      <w:pPr>
        <w:spacing w:line="360" w:lineRule="auto"/>
        <w:contextualSpacing/>
        <w:jc w:val="both"/>
        <w:rPr>
          <w:lang w:eastAsia="ja-JP"/>
        </w:rPr>
      </w:pPr>
    </w:p>
    <w:p w:rsidR="006E0406" w:rsidRPr="006E0406" w:rsidRDefault="006E0406" w:rsidP="00B11B34">
      <w:pPr>
        <w:spacing w:line="360" w:lineRule="auto"/>
        <w:contextualSpacing/>
        <w:jc w:val="both"/>
        <w:rPr>
          <w:lang w:eastAsia="ja-JP"/>
        </w:rPr>
      </w:pPr>
    </w:p>
    <w:p w:rsidR="004330C1" w:rsidRPr="000106AA" w:rsidRDefault="006E0406" w:rsidP="00B11B34">
      <w:pPr>
        <w:spacing w:after="200" w:line="360" w:lineRule="auto"/>
        <w:jc w:val="center"/>
        <w:rPr>
          <w:lang w:eastAsia="ja-JP"/>
        </w:rPr>
      </w:pPr>
      <w:r w:rsidRPr="006E0406">
        <w:rPr>
          <w:b/>
          <w:lang w:eastAsia="ja-JP"/>
        </w:rPr>
        <w:br w:type="page"/>
      </w:r>
      <w:r w:rsidR="004330C1" w:rsidRPr="0075331B">
        <w:rPr>
          <w:b/>
          <w:bCs/>
          <w:sz w:val="28"/>
          <w:lang w:eastAsia="ja-JP"/>
        </w:rPr>
        <w:lastRenderedPageBreak/>
        <w:t>CONCLUSION</w:t>
      </w:r>
    </w:p>
    <w:p w:rsidR="000365EC" w:rsidRPr="006E0406" w:rsidRDefault="006E0406" w:rsidP="00B11B34">
      <w:pPr>
        <w:spacing w:after="240" w:line="360" w:lineRule="auto"/>
        <w:jc w:val="both"/>
        <w:rPr>
          <w:bCs/>
          <w:lang w:eastAsia="ja-JP"/>
        </w:rPr>
      </w:pPr>
      <w:r w:rsidRPr="006E0406">
        <w:rPr>
          <w:bCs/>
          <w:lang w:eastAsia="ja-JP"/>
        </w:rPr>
        <w:t>“If politics is all about majority rules - and it is - then public administration should be all about seeing after the interests of minorities and the poor.” Joe Walton</w:t>
      </w:r>
    </w:p>
    <w:p w:rsidR="006E0406" w:rsidRPr="000763AE" w:rsidRDefault="006E0406" w:rsidP="00B11B34">
      <w:pPr>
        <w:autoSpaceDE w:val="0"/>
        <w:autoSpaceDN w:val="0"/>
        <w:adjustRightInd w:val="0"/>
        <w:spacing w:line="360" w:lineRule="auto"/>
        <w:jc w:val="both"/>
        <w:rPr>
          <w:rFonts w:eastAsia="Calibri"/>
          <w:color w:val="000000"/>
        </w:rPr>
      </w:pPr>
      <w:r w:rsidRPr="000763AE">
        <w:rPr>
          <w:rFonts w:eastAsia="Calibri"/>
          <w:color w:val="000000"/>
        </w:rPr>
        <w:tab/>
        <w:t>The aim of this research was to explore health services disparities in diabetic fo</w:t>
      </w:r>
      <w:r w:rsidR="006D1845" w:rsidRPr="000763AE">
        <w:rPr>
          <w:rFonts w:eastAsia="Calibri"/>
          <w:color w:val="000000"/>
        </w:rPr>
        <w:t>ot care and answer the question if variations were present in delivery of diabetic foot exams associated with differences in patient, providers, and practice</w:t>
      </w:r>
      <w:r w:rsidR="00086F51" w:rsidRPr="000763AE">
        <w:rPr>
          <w:rFonts w:eastAsia="Calibri"/>
          <w:color w:val="000000"/>
        </w:rPr>
        <w:t xml:space="preserve"> </w:t>
      </w:r>
      <w:r w:rsidR="006D1845" w:rsidRPr="000763AE">
        <w:rPr>
          <w:rFonts w:eastAsia="Calibri"/>
          <w:color w:val="000000"/>
        </w:rPr>
        <w:t xml:space="preserve">characteristics.  </w:t>
      </w:r>
      <w:r w:rsidRPr="000763AE">
        <w:rPr>
          <w:rFonts w:eastAsia="Calibri"/>
          <w:color w:val="000000"/>
        </w:rPr>
        <w:t>Based on the 2015 NAMCS data set, variations were identified that correlated with certain patient, provider, and/or practice characteristics. The</w:t>
      </w:r>
      <w:r w:rsidR="00116206" w:rsidRPr="000763AE">
        <w:rPr>
          <w:rFonts w:eastAsia="Calibri"/>
          <w:color w:val="000000"/>
        </w:rPr>
        <w:t xml:space="preserve"> bivariate and mult</w:t>
      </w:r>
      <w:r w:rsidR="004C37C0" w:rsidRPr="000763AE">
        <w:rPr>
          <w:rFonts w:eastAsia="Calibri"/>
          <w:color w:val="000000"/>
        </w:rPr>
        <w:t>ivariate</w:t>
      </w:r>
      <w:r w:rsidRPr="000763AE">
        <w:rPr>
          <w:rFonts w:eastAsia="Calibri"/>
          <w:color w:val="000000"/>
        </w:rPr>
        <w:t xml:space="preserve"> </w:t>
      </w:r>
      <w:r w:rsidR="004C37C0" w:rsidRPr="000763AE">
        <w:rPr>
          <w:rFonts w:eastAsia="Calibri"/>
          <w:color w:val="000000"/>
        </w:rPr>
        <w:t>analyse</w:t>
      </w:r>
      <w:r w:rsidRPr="000763AE">
        <w:rPr>
          <w:rFonts w:eastAsia="Calibri"/>
          <w:color w:val="000000"/>
        </w:rPr>
        <w:t>s showed health disparities in the quality and delivery of foot exams resulting in social equity issues specifically for minorities, Medicaid populations, and t</w:t>
      </w:r>
      <w:r w:rsidR="004C37C0" w:rsidRPr="000763AE">
        <w:rPr>
          <w:rFonts w:eastAsia="Calibri"/>
          <w:color w:val="000000"/>
        </w:rPr>
        <w:t xml:space="preserve">hose living in Southern states. </w:t>
      </w:r>
      <w:r w:rsidR="0028203B" w:rsidRPr="000763AE">
        <w:rPr>
          <w:rFonts w:eastAsia="Calibri"/>
          <w:color w:val="000000"/>
        </w:rPr>
        <w:t xml:space="preserve"> </w:t>
      </w:r>
      <w:r w:rsidRPr="000763AE">
        <w:rPr>
          <w:rFonts w:eastAsia="Calibri"/>
          <w:color w:val="000000"/>
        </w:rPr>
        <w:t>Despite significant attempts historically by public administrators, efforts to close gaps in diabetic care by making evidence-based guidelines publicly available, publishing quality measures aimed at improving care</w:t>
      </w:r>
      <w:r w:rsidR="00CE1C68" w:rsidRPr="000763AE">
        <w:rPr>
          <w:rFonts w:eastAsia="Calibri"/>
          <w:color w:val="000000"/>
        </w:rPr>
        <w:t>,</w:t>
      </w:r>
      <w:r w:rsidRPr="000763AE">
        <w:rPr>
          <w:rFonts w:eastAsia="Calibri"/>
          <w:color w:val="000000"/>
        </w:rPr>
        <w:t xml:space="preserve"> such as the Healthy</w:t>
      </w:r>
      <w:r w:rsidR="00CE1C68" w:rsidRPr="000763AE">
        <w:rPr>
          <w:rFonts w:eastAsia="Calibri"/>
          <w:color w:val="000000"/>
        </w:rPr>
        <w:t xml:space="preserve"> </w:t>
      </w:r>
      <w:r w:rsidRPr="000763AE">
        <w:rPr>
          <w:rFonts w:eastAsia="Calibri"/>
          <w:color w:val="000000"/>
        </w:rPr>
        <w:t xml:space="preserve">People 2020 and 2030 goals, and assisting in the execution of policies such as the ACA to expand access to health services for lower income populations to name a few, disparities still remain.  </w:t>
      </w:r>
    </w:p>
    <w:p w:rsidR="000106AA" w:rsidRPr="000763AE" w:rsidRDefault="006E0406" w:rsidP="00B11B34">
      <w:pPr>
        <w:autoSpaceDE w:val="0"/>
        <w:autoSpaceDN w:val="0"/>
        <w:adjustRightInd w:val="0"/>
        <w:spacing w:line="360" w:lineRule="auto"/>
        <w:jc w:val="both"/>
        <w:rPr>
          <w:rFonts w:eastAsia="Calibri"/>
          <w:color w:val="000000"/>
          <w:lang w:eastAsia="ja-JP"/>
        </w:rPr>
      </w:pPr>
      <w:r w:rsidRPr="000763AE">
        <w:rPr>
          <w:rFonts w:eastAsia="Calibri"/>
          <w:color w:val="000000"/>
        </w:rPr>
        <w:tab/>
      </w:r>
      <w:r w:rsidRPr="000763AE">
        <w:rPr>
          <w:rFonts w:eastAsia="Calibri"/>
          <w:color w:val="000000"/>
          <w:lang w:eastAsia="ja-JP"/>
        </w:rPr>
        <w:t xml:space="preserve">However, new opportunities are on the horizon as health care continues to shift from the traditional fee-for-services model to a value-based care approach.  Incentives for providers such as shared savings, </w:t>
      </w:r>
      <w:r w:rsidR="005D1133" w:rsidRPr="000763AE">
        <w:rPr>
          <w:rFonts w:eastAsia="Calibri"/>
          <w:color w:val="000000"/>
          <w:lang w:eastAsia="ja-JP"/>
        </w:rPr>
        <w:t xml:space="preserve">Medicare </w:t>
      </w:r>
      <w:r w:rsidRPr="000763AE">
        <w:rPr>
          <w:rFonts w:eastAsia="Calibri"/>
          <w:color w:val="000000"/>
          <w:lang w:eastAsia="ja-JP"/>
        </w:rPr>
        <w:t>pay-for-performance, and bundled payments will present new opportunities for program design that reward</w:t>
      </w:r>
      <w:r w:rsidR="00763671" w:rsidRPr="000763AE">
        <w:rPr>
          <w:rFonts w:eastAsia="Calibri"/>
          <w:color w:val="000000"/>
          <w:lang w:eastAsia="ja-JP"/>
        </w:rPr>
        <w:t xml:space="preserve"> </w:t>
      </w:r>
      <w:r w:rsidRPr="000763AE">
        <w:rPr>
          <w:rFonts w:eastAsia="Calibri"/>
          <w:color w:val="000000"/>
          <w:lang w:eastAsia="ja-JP"/>
        </w:rPr>
        <w:t>cost avoidance and hitting key measures</w:t>
      </w:r>
      <w:r w:rsidR="005D1133" w:rsidRPr="000763AE">
        <w:rPr>
          <w:rFonts w:eastAsia="Calibri"/>
          <w:color w:val="000000"/>
          <w:lang w:eastAsia="ja-JP"/>
        </w:rPr>
        <w:t xml:space="preserve"> such as glucose control, retinal screening, and foot exams</w:t>
      </w:r>
      <w:r w:rsidRPr="000763AE">
        <w:rPr>
          <w:rFonts w:eastAsia="Calibri"/>
          <w:color w:val="000000"/>
          <w:lang w:eastAsia="ja-JP"/>
        </w:rPr>
        <w:t xml:space="preserve"> for condition like diabetes that will hopefully result in better care for the US population. Additionally, provider</w:t>
      </w:r>
      <w:r w:rsidR="00763671" w:rsidRPr="000763AE">
        <w:rPr>
          <w:rFonts w:eastAsia="Calibri"/>
          <w:color w:val="000000"/>
          <w:lang w:eastAsia="ja-JP"/>
        </w:rPr>
        <w:t>s</w:t>
      </w:r>
      <w:r w:rsidRPr="000763AE">
        <w:rPr>
          <w:rFonts w:eastAsia="Calibri"/>
          <w:color w:val="000000"/>
          <w:lang w:eastAsia="ja-JP"/>
        </w:rPr>
        <w:t xml:space="preserve"> could be incentivized to pay special attention to patient characteristics such as race, ethnicity, and ensuring health literacy is accounted for in the delivery of diabetes education.  Another opportunity might be to increase private and public partnerships and promote focusing on supporting more community-based care. Campaigns between local health centers and payers targeting high risk communities with large diabetes concentrations could be a way for improving access to quality foot care.  Lastly, the growing use of digital technology in healthcare will present new opportunities for expanding access to care, particularity in rural areas, by providing remote care options </w:t>
      </w:r>
      <w:r w:rsidRPr="000763AE">
        <w:rPr>
          <w:rFonts w:eastAsia="Calibri"/>
          <w:color w:val="000000"/>
          <w:lang w:eastAsia="ja-JP"/>
        </w:rPr>
        <w:lastRenderedPageBreak/>
        <w:t xml:space="preserve">and allowing for specialty care to be brought in for early intervention and treatment of foot ulcers to prevent the future loss of limbs. </w:t>
      </w:r>
    </w:p>
    <w:p w:rsidR="00EC19E3" w:rsidRPr="000763AE" w:rsidRDefault="000106AA" w:rsidP="00816B46">
      <w:pPr>
        <w:spacing w:after="200" w:line="360" w:lineRule="auto"/>
        <w:jc w:val="center"/>
        <w:rPr>
          <w:rFonts w:eastAsia="Calibri"/>
          <w:color w:val="000000"/>
          <w:lang w:eastAsia="ja-JP"/>
        </w:rPr>
      </w:pPr>
      <w:r w:rsidRPr="000763AE">
        <w:rPr>
          <w:rFonts w:eastAsia="Calibri"/>
          <w:color w:val="000000"/>
          <w:lang w:eastAsia="ja-JP"/>
        </w:rPr>
        <w:br w:type="page"/>
      </w:r>
      <w:r w:rsidR="00A80FBF">
        <w:rPr>
          <w:b/>
          <w:sz w:val="28"/>
          <w:szCs w:val="28"/>
        </w:rPr>
        <w:lastRenderedPageBreak/>
        <w:t>REFERENCES</w:t>
      </w:r>
    </w:p>
    <w:p w:rsidR="006E0406" w:rsidRPr="006E0406" w:rsidRDefault="006E0406" w:rsidP="00B11B34">
      <w:proofErr w:type="gramStart"/>
      <w:r w:rsidRPr="006E0406">
        <w:t>Agency for Healthcare Research and Quality.</w:t>
      </w:r>
      <w:proofErr w:type="gramEnd"/>
      <w:r w:rsidRPr="006E0406">
        <w:t xml:space="preserve"> </w:t>
      </w:r>
      <w:proofErr w:type="gramStart"/>
      <w:r w:rsidRPr="006E0406">
        <w:t xml:space="preserve">(2016). </w:t>
      </w:r>
      <w:proofErr w:type="spellStart"/>
      <w:r w:rsidRPr="006E0406">
        <w:t>Chartbook</w:t>
      </w:r>
      <w:proofErr w:type="spellEnd"/>
      <w:r w:rsidRPr="006E0406">
        <w:t xml:space="preserve"> on Care Coordination.</w:t>
      </w:r>
      <w:proofErr w:type="gramEnd"/>
      <w:r w:rsidRPr="006E0406">
        <w:t xml:space="preserve"> </w:t>
      </w:r>
      <w:hyperlink r:id="rId23" w:history="1">
        <w:r w:rsidRPr="000763AE">
          <w:rPr>
            <w:color w:val="0000FF"/>
            <w:u w:val="single"/>
          </w:rPr>
          <w:t>https://www.ahrq.gov/research/findings/nhqrdr/chartbooks/carecoordination/measure1.html</w:t>
        </w:r>
      </w:hyperlink>
    </w:p>
    <w:p w:rsidR="006E0406" w:rsidRPr="006E0406" w:rsidRDefault="006E0406" w:rsidP="00B11B34"/>
    <w:p w:rsidR="006E0406" w:rsidRPr="006E0406" w:rsidRDefault="006E0406" w:rsidP="00B11B34">
      <w:proofErr w:type="spellStart"/>
      <w:r w:rsidRPr="006E0406">
        <w:t>Almerkinder</w:t>
      </w:r>
      <w:proofErr w:type="spellEnd"/>
      <w:r w:rsidRPr="006E0406">
        <w:t xml:space="preserve">, E. (2020). Diabetes and Amputation: Everything You Need To Know To Avoid Amputation.  </w:t>
      </w:r>
      <w:proofErr w:type="gramStart"/>
      <w:r w:rsidRPr="006E0406">
        <w:t>The Diabetes Council.</w:t>
      </w:r>
      <w:proofErr w:type="gramEnd"/>
      <w:r w:rsidRPr="006E0406">
        <w:t xml:space="preserve"> </w:t>
      </w:r>
    </w:p>
    <w:p w:rsidR="006E0406" w:rsidRPr="006E0406" w:rsidRDefault="006E0406" w:rsidP="00B11B34">
      <w:r w:rsidRPr="006E0406">
        <w:fldChar w:fldCharType="begin"/>
      </w:r>
      <w:r w:rsidRPr="006E0406">
        <w:instrText xml:space="preserve"> HYPERLINK "https://www.thediabetescouncil.com/diabetes-and-amputation-everything-you-need-to-know-to</w:instrText>
      </w:r>
    </w:p>
    <w:p w:rsidR="006E0406" w:rsidRPr="000763AE" w:rsidRDefault="006E0406" w:rsidP="00B11B34">
      <w:pPr>
        <w:rPr>
          <w:color w:val="0000FF"/>
          <w:u w:val="single"/>
        </w:rPr>
      </w:pPr>
      <w:r w:rsidRPr="006E0406">
        <w:instrText xml:space="preserve">avoidamputation/#:~:text=For%20those%20under%20the%20age%20of%2065%2C%203.9,were%2050%20percent%20higher%20for%20men%20than%20women" </w:instrText>
      </w:r>
      <w:r w:rsidRPr="006E0406">
        <w:fldChar w:fldCharType="separate"/>
      </w:r>
      <w:r w:rsidRPr="000763AE">
        <w:rPr>
          <w:color w:val="0000FF"/>
          <w:u w:val="single"/>
        </w:rPr>
        <w:t>https://www.thediabetescouncil.com/diabetes-and-amputation-everything-you-need-to-know-to</w:t>
      </w:r>
    </w:p>
    <w:p w:rsidR="006E0406" w:rsidRPr="006E0406" w:rsidRDefault="006E0406" w:rsidP="00B11B34">
      <w:r w:rsidRPr="000763AE">
        <w:rPr>
          <w:color w:val="0000FF"/>
          <w:u w:val="single"/>
        </w:rPr>
        <w:t>avoidamputation/#:~:text=For%20those%20under%20the%20age%20of%2065%2C%203.9,were%2050%20percent%20higher%20for%20men%20than%20women</w:t>
      </w:r>
      <w:r w:rsidRPr="006E0406">
        <w:fldChar w:fldCharType="end"/>
      </w:r>
      <w:r w:rsidRPr="006E0406">
        <w:t xml:space="preserve">. </w:t>
      </w:r>
    </w:p>
    <w:p w:rsidR="006E0406" w:rsidRPr="006E0406" w:rsidRDefault="006E0406" w:rsidP="00B11B34"/>
    <w:p w:rsidR="006E0406" w:rsidRPr="006E0406" w:rsidRDefault="006E0406" w:rsidP="00B11B34">
      <w:proofErr w:type="spellStart"/>
      <w:r w:rsidRPr="006E0406">
        <w:t>Amadeo</w:t>
      </w:r>
      <w:proofErr w:type="spellEnd"/>
      <w:r w:rsidRPr="006E0406">
        <w:t xml:space="preserve">, K. (2018). The Budget Components and Impact on the US Economy </w:t>
      </w:r>
    </w:p>
    <w:p w:rsidR="006E0406" w:rsidRPr="006E0406" w:rsidRDefault="006E0406" w:rsidP="00B11B34">
      <w:r w:rsidRPr="006E0406">
        <w:t>https://www.thebalance.com/u-s-federal-budget-breakdown-3305789</w:t>
      </w:r>
    </w:p>
    <w:p w:rsidR="006E0406" w:rsidRPr="006E0406" w:rsidRDefault="006E0406" w:rsidP="00B11B34"/>
    <w:p w:rsidR="006E0406" w:rsidRPr="006E0406" w:rsidRDefault="006E0406" w:rsidP="00B11B34">
      <w:proofErr w:type="gramStart"/>
      <w:r w:rsidRPr="006E0406">
        <w:t>American Diabetes Association (ADA).</w:t>
      </w:r>
      <w:proofErr w:type="gramEnd"/>
      <w:r w:rsidRPr="006E0406">
        <w:t xml:space="preserve"> (2017). American Diabetes Association Expresses Deep Concerns with Affordable Care Act Repeal Legislation and Impact on Millions with Diabetes. (</w:t>
      </w:r>
      <w:proofErr w:type="spellStart"/>
      <w:r w:rsidRPr="006E0406">
        <w:t>n.d</w:t>
      </w:r>
      <w:proofErr w:type="spellEnd"/>
      <w:r w:rsidRPr="006E0406">
        <w:t xml:space="preserve">). Retrieved from </w:t>
      </w:r>
      <w:hyperlink r:id="rId24" w:history="1">
        <w:r w:rsidRPr="000763AE">
          <w:rPr>
            <w:color w:val="0000FF"/>
            <w:u w:val="single"/>
          </w:rPr>
          <w:t>http://www.diabetes.org/newsroom/press-releases/2017/american-diabetes-association-continues-commitment-to-protecting-health-care-needs-1-1.html</w:t>
        </w:r>
      </w:hyperlink>
      <w:r w:rsidRPr="006E0406">
        <w:t xml:space="preserve"> </w:t>
      </w:r>
    </w:p>
    <w:p w:rsidR="006E0406" w:rsidRPr="006E0406" w:rsidRDefault="006E0406" w:rsidP="00B11B34"/>
    <w:p w:rsidR="006E0406" w:rsidRPr="006E0406" w:rsidRDefault="006E0406" w:rsidP="00B11B34">
      <w:pPr>
        <w:textAlignment w:val="baseline"/>
      </w:pPr>
      <w:proofErr w:type="gramStart"/>
      <w:r w:rsidRPr="006E0406">
        <w:t>American Diabetes Association.</w:t>
      </w:r>
      <w:proofErr w:type="gramEnd"/>
      <w:r w:rsidRPr="006E0406">
        <w:t xml:space="preserve"> (2018). Economic Costs of Diabetes in the U.S. in 2017</w:t>
      </w:r>
    </w:p>
    <w:p w:rsidR="006E0406" w:rsidRPr="006E0406" w:rsidRDefault="006E0406" w:rsidP="00B11B34">
      <w:pPr>
        <w:textAlignment w:val="baseline"/>
      </w:pPr>
      <w:r w:rsidRPr="006E0406">
        <w:t>Diabetes Care Mar 2018, dci180007; DOI: 10.2337/dci18-0007</w:t>
      </w:r>
    </w:p>
    <w:p w:rsidR="006E0406" w:rsidRPr="006E0406" w:rsidRDefault="006E0406" w:rsidP="00B11B34">
      <w:pPr>
        <w:textAlignment w:val="baseline"/>
      </w:pPr>
    </w:p>
    <w:p w:rsidR="006E0406" w:rsidRPr="006E0406" w:rsidRDefault="006E0406" w:rsidP="00B11B34">
      <w:pPr>
        <w:textAlignment w:val="baseline"/>
        <w:rPr>
          <w:color w:val="000000"/>
        </w:rPr>
      </w:pPr>
      <w:proofErr w:type="gramStart"/>
      <w:r w:rsidRPr="006E0406">
        <w:t>American Diabetes Association (ADA).</w:t>
      </w:r>
      <w:proofErr w:type="gramEnd"/>
      <w:r w:rsidRPr="006E0406">
        <w:t xml:space="preserve"> (2008). </w:t>
      </w:r>
      <w:r w:rsidRPr="006E0406">
        <w:rPr>
          <w:color w:val="000000"/>
        </w:rPr>
        <w:t xml:space="preserve">Preventive Foot Care in People </w:t>
      </w:r>
      <w:proofErr w:type="gramStart"/>
      <w:r w:rsidRPr="006E0406">
        <w:rPr>
          <w:color w:val="000000"/>
        </w:rPr>
        <w:t>With</w:t>
      </w:r>
      <w:proofErr w:type="gramEnd"/>
      <w:r w:rsidRPr="006E0406">
        <w:rPr>
          <w:color w:val="000000"/>
        </w:rPr>
        <w:t xml:space="preserve"> Diabetes. </w:t>
      </w:r>
      <w:r w:rsidRPr="006E0406">
        <w:rPr>
          <w:color w:val="000000"/>
          <w:bdr w:val="none" w:sz="0" w:space="0" w:color="auto" w:frame="1"/>
        </w:rPr>
        <w:t xml:space="preserve">Diabetes Care Dec 1998, 21 (12) 2178-2179; </w:t>
      </w:r>
      <w:r w:rsidRPr="006E0406">
        <w:rPr>
          <w:bCs/>
          <w:color w:val="000000"/>
          <w:bdr w:val="none" w:sz="0" w:space="0" w:color="auto" w:frame="1"/>
        </w:rPr>
        <w:t>DOI</w:t>
      </w:r>
      <w:r w:rsidRPr="006E0406">
        <w:rPr>
          <w:b/>
          <w:bCs/>
          <w:color w:val="000000"/>
          <w:bdr w:val="none" w:sz="0" w:space="0" w:color="auto" w:frame="1"/>
        </w:rPr>
        <w:t>:</w:t>
      </w:r>
      <w:r w:rsidRPr="006E0406">
        <w:rPr>
          <w:color w:val="000000"/>
          <w:bdr w:val="none" w:sz="0" w:space="0" w:color="auto" w:frame="1"/>
        </w:rPr>
        <w:t xml:space="preserve"> 10.2337/diacare.21.12.2178</w:t>
      </w:r>
    </w:p>
    <w:p w:rsidR="006E0406" w:rsidRPr="006E0406" w:rsidRDefault="006E0406" w:rsidP="00B11B34">
      <w:pPr>
        <w:contextualSpacing/>
      </w:pPr>
    </w:p>
    <w:p w:rsidR="006E0406" w:rsidRPr="000763AE" w:rsidRDefault="006E0406" w:rsidP="00B11B34">
      <w:pPr>
        <w:autoSpaceDE w:val="0"/>
        <w:autoSpaceDN w:val="0"/>
        <w:adjustRightInd w:val="0"/>
        <w:rPr>
          <w:rFonts w:eastAsia="Calibri"/>
        </w:rPr>
      </w:pPr>
      <w:proofErr w:type="gramStart"/>
      <w:r w:rsidRPr="000763AE">
        <w:rPr>
          <w:rFonts w:eastAsia="Calibri"/>
        </w:rPr>
        <w:t>American Diabetes Association (ADA).</w:t>
      </w:r>
      <w:proofErr w:type="gramEnd"/>
      <w:r w:rsidRPr="000763AE">
        <w:rPr>
          <w:rFonts w:eastAsia="Calibri"/>
        </w:rPr>
        <w:t xml:space="preserve"> </w:t>
      </w:r>
      <w:proofErr w:type="gramStart"/>
      <w:r w:rsidRPr="000763AE">
        <w:rPr>
          <w:rFonts w:eastAsia="Calibri"/>
        </w:rPr>
        <w:t>Standards of Medical Care in Diabetes, 2018.</w:t>
      </w:r>
      <w:proofErr w:type="gramEnd"/>
      <w:r w:rsidRPr="000763AE">
        <w:rPr>
          <w:rFonts w:eastAsia="Calibri"/>
        </w:rPr>
        <w:t xml:space="preserve"> </w:t>
      </w:r>
      <w:proofErr w:type="gramStart"/>
      <w:r w:rsidRPr="000763AE">
        <w:rPr>
          <w:rFonts w:eastAsia="Calibri"/>
        </w:rPr>
        <w:t>Journal of Clinical and Applied Research and Education.</w:t>
      </w:r>
      <w:proofErr w:type="gramEnd"/>
      <w:r w:rsidRPr="000763AE">
        <w:rPr>
          <w:rFonts w:eastAsia="Calibri"/>
        </w:rPr>
        <w:t xml:space="preserve"> January 2018, Volume 41, Supplement 1.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American Diabetes Association (ADA).</w:t>
      </w:r>
      <w:proofErr w:type="gramEnd"/>
      <w:r w:rsidRPr="000763AE">
        <w:rPr>
          <w:rFonts w:eastAsia="Calibri"/>
        </w:rPr>
        <w:t xml:space="preserve"> (2014). Diabetes </w:t>
      </w:r>
      <w:proofErr w:type="gramStart"/>
      <w:r w:rsidRPr="000763AE">
        <w:rPr>
          <w:rFonts w:eastAsia="Calibri"/>
        </w:rPr>
        <w:t>Among</w:t>
      </w:r>
      <w:proofErr w:type="gramEnd"/>
      <w:r w:rsidRPr="000763AE">
        <w:rPr>
          <w:rFonts w:eastAsia="Calibri"/>
        </w:rPr>
        <w:t xml:space="preserve"> Hispanics: All Are Not Equal.</w:t>
      </w:r>
    </w:p>
    <w:p w:rsidR="006E0406" w:rsidRPr="000763AE" w:rsidRDefault="0003598B" w:rsidP="00B11B34">
      <w:pPr>
        <w:autoSpaceDE w:val="0"/>
        <w:autoSpaceDN w:val="0"/>
        <w:adjustRightInd w:val="0"/>
        <w:rPr>
          <w:rFonts w:eastAsia="Calibri"/>
        </w:rPr>
      </w:pPr>
      <w:hyperlink r:id="rId25" w:history="1">
        <w:r w:rsidR="006E0406" w:rsidRPr="000763AE">
          <w:rPr>
            <w:rFonts w:eastAsia="Calibri"/>
            <w:color w:val="0000FF"/>
            <w:u w:val="single"/>
          </w:rPr>
          <w:t>http://www.diabetes.org/newsroom/press-releases/2014/diabetes-among-hispanics-all-are-not-equal.html</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American Diabetes Association.</w:t>
      </w:r>
      <w:proofErr w:type="gramEnd"/>
      <w:r w:rsidRPr="000763AE">
        <w:rPr>
          <w:rFonts w:eastAsia="Calibri"/>
        </w:rPr>
        <w:t xml:space="preserve"> </w:t>
      </w:r>
      <w:proofErr w:type="gramStart"/>
      <w:r w:rsidRPr="000763AE">
        <w:rPr>
          <w:rFonts w:eastAsia="Calibri"/>
        </w:rPr>
        <w:t>(2017). 1.</w:t>
      </w:r>
      <w:proofErr w:type="gramEnd"/>
      <w:r w:rsidRPr="000763AE">
        <w:rPr>
          <w:rFonts w:eastAsia="Calibri"/>
        </w:rPr>
        <w:t xml:space="preserve"> Promoting Health and Reducing Disparities in Populations. Diabetes Care, 40(Supplement 1). </w:t>
      </w:r>
      <w:proofErr w:type="gramStart"/>
      <w:r w:rsidRPr="000763AE">
        <w:rPr>
          <w:rFonts w:eastAsia="Calibri"/>
        </w:rPr>
        <w:t>doi:</w:t>
      </w:r>
      <w:proofErr w:type="gramEnd"/>
      <w:r w:rsidRPr="000763AE">
        <w:rPr>
          <w:rFonts w:eastAsia="Calibri"/>
        </w:rPr>
        <w:t>10.2337/dc17-s004</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Amin L, Shah BR, </w:t>
      </w:r>
      <w:proofErr w:type="spellStart"/>
      <w:r w:rsidRPr="000763AE">
        <w:rPr>
          <w:rFonts w:eastAsia="Calibri"/>
        </w:rPr>
        <w:t>Bierman</w:t>
      </w:r>
      <w:proofErr w:type="spellEnd"/>
      <w:r w:rsidRPr="000763AE">
        <w:rPr>
          <w:rFonts w:eastAsia="Calibri"/>
        </w:rPr>
        <w:t xml:space="preserve"> AS, </w:t>
      </w:r>
      <w:proofErr w:type="spellStart"/>
      <w:r w:rsidRPr="000763AE">
        <w:rPr>
          <w:rFonts w:eastAsia="Calibri"/>
        </w:rPr>
        <w:t>Lipscombe</w:t>
      </w:r>
      <w:proofErr w:type="spellEnd"/>
      <w:r w:rsidRPr="000763AE">
        <w:rPr>
          <w:rFonts w:eastAsia="Calibri"/>
        </w:rPr>
        <w:t xml:space="preserve"> LL, Wu CF, Feig DS, Booth GL. Gender</w:t>
      </w:r>
    </w:p>
    <w:p w:rsidR="006E0406" w:rsidRPr="000763AE" w:rsidRDefault="006E0406" w:rsidP="00B11B34">
      <w:pPr>
        <w:autoSpaceDE w:val="0"/>
        <w:autoSpaceDN w:val="0"/>
        <w:adjustRightInd w:val="0"/>
        <w:rPr>
          <w:rFonts w:eastAsia="Calibri"/>
        </w:rPr>
      </w:pPr>
      <w:proofErr w:type="gramStart"/>
      <w:r w:rsidRPr="000763AE">
        <w:rPr>
          <w:rFonts w:eastAsia="Calibri"/>
        </w:rPr>
        <w:t>differences</w:t>
      </w:r>
      <w:proofErr w:type="gramEnd"/>
      <w:r w:rsidRPr="000763AE">
        <w:rPr>
          <w:rFonts w:eastAsia="Calibri"/>
        </w:rPr>
        <w:t xml:space="preserve"> in the impact of poverty on health: disparities in risk of</w:t>
      </w:r>
    </w:p>
    <w:p w:rsidR="006E0406" w:rsidRPr="000763AE" w:rsidRDefault="006E0406" w:rsidP="00B11B34">
      <w:pPr>
        <w:autoSpaceDE w:val="0"/>
        <w:autoSpaceDN w:val="0"/>
        <w:adjustRightInd w:val="0"/>
        <w:rPr>
          <w:rFonts w:eastAsia="Calibri"/>
        </w:rPr>
      </w:pPr>
      <w:proofErr w:type="gramStart"/>
      <w:r w:rsidRPr="000763AE">
        <w:rPr>
          <w:rFonts w:eastAsia="Calibri"/>
        </w:rPr>
        <w:t>diabetes-related</w:t>
      </w:r>
      <w:proofErr w:type="gramEnd"/>
      <w:r w:rsidRPr="000763AE">
        <w:rPr>
          <w:rFonts w:eastAsia="Calibri"/>
        </w:rPr>
        <w:t xml:space="preserve"> amputation. Diabetes Med. 2014 Nov</w:t>
      </w:r>
      <w:proofErr w:type="gramStart"/>
      <w:r w:rsidRPr="000763AE">
        <w:rPr>
          <w:rFonts w:eastAsia="Calibri"/>
        </w:rPr>
        <w:t>;31</w:t>
      </w:r>
      <w:proofErr w:type="gramEnd"/>
      <w:r w:rsidRPr="000763AE">
        <w:rPr>
          <w:rFonts w:eastAsia="Calibri"/>
        </w:rPr>
        <w:t xml:space="preserve">(11):1410-7. </w:t>
      </w:r>
      <w:proofErr w:type="spellStart"/>
      <w:proofErr w:type="gramStart"/>
      <w:r w:rsidRPr="000763AE">
        <w:rPr>
          <w:rFonts w:eastAsia="Calibri"/>
        </w:rPr>
        <w:t>doi</w:t>
      </w:r>
      <w:proofErr w:type="spellEnd"/>
      <w:proofErr w:type="gramEnd"/>
      <w:r w:rsidRPr="000763AE">
        <w:rPr>
          <w:rFonts w:eastAsia="Calibri"/>
        </w:rPr>
        <w:t>:</w:t>
      </w:r>
    </w:p>
    <w:p w:rsidR="006E0406" w:rsidRPr="000763AE" w:rsidRDefault="006E0406" w:rsidP="00B11B34">
      <w:pPr>
        <w:autoSpaceDE w:val="0"/>
        <w:autoSpaceDN w:val="0"/>
        <w:adjustRightInd w:val="0"/>
        <w:rPr>
          <w:rFonts w:eastAsia="Calibri"/>
        </w:rPr>
      </w:pPr>
      <w:r w:rsidRPr="000763AE">
        <w:rPr>
          <w:rFonts w:eastAsia="Calibri"/>
        </w:rPr>
        <w:t xml:space="preserve">10.1111/dme.12507. </w:t>
      </w:r>
      <w:proofErr w:type="spellStart"/>
      <w:r w:rsidRPr="000763AE">
        <w:rPr>
          <w:rFonts w:eastAsia="Calibri"/>
        </w:rPr>
        <w:t>Epub</w:t>
      </w:r>
      <w:proofErr w:type="spellEnd"/>
      <w:r w:rsidRPr="000763AE">
        <w:rPr>
          <w:rFonts w:eastAsia="Calibri"/>
        </w:rPr>
        <w:t xml:space="preserve"> 2014 Jun 7. PubMed PMID: 24863747.</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lastRenderedPageBreak/>
        <w:t xml:space="preserve">Ashford, A., Walls, J.L., Brown, C.P. and </w:t>
      </w:r>
      <w:proofErr w:type="spellStart"/>
      <w:r w:rsidRPr="000763AE">
        <w:rPr>
          <w:rFonts w:eastAsia="Calibri"/>
        </w:rPr>
        <w:t>Tawk</w:t>
      </w:r>
      <w:proofErr w:type="spellEnd"/>
      <w:r w:rsidRPr="000763AE">
        <w:rPr>
          <w:rFonts w:eastAsia="Calibri"/>
        </w:rPr>
        <w:t>, R. (2017).</w:t>
      </w:r>
      <w:proofErr w:type="gramEnd"/>
      <w:r w:rsidRPr="000763AE">
        <w:rPr>
          <w:rFonts w:eastAsia="Calibri"/>
        </w:rPr>
        <w:t xml:space="preserve"> </w:t>
      </w:r>
      <w:proofErr w:type="gramStart"/>
      <w:r w:rsidRPr="000763AE">
        <w:rPr>
          <w:rFonts w:eastAsia="Calibri"/>
        </w:rPr>
        <w:t>Role of Insurance Coverage on Diabetes Preventive Care.</w:t>
      </w:r>
      <w:proofErr w:type="gramEnd"/>
      <w:r w:rsidRPr="000763AE">
        <w:rPr>
          <w:rFonts w:eastAsia="Calibri"/>
        </w:rPr>
        <w:t xml:space="preserve"> European Journal of Environment and Public Health, 1(1), 02.doi: 10.20897/ejeph.201702</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color w:val="000000"/>
        </w:rPr>
        <w:t xml:space="preserve">Ashman JJ, Talwalkar A, Taylor SA. Age differences in visits to office-based physicians by patients with diabetes: United States, 2010. NCHS data brief, no 161. Hyattsville, MD: National Center for Health Statistics. 2014. </w:t>
      </w:r>
    </w:p>
    <w:p w:rsidR="006E0406" w:rsidRPr="000763AE" w:rsidRDefault="006E0406" w:rsidP="00B11B34">
      <w:pPr>
        <w:autoSpaceDE w:val="0"/>
        <w:autoSpaceDN w:val="0"/>
        <w:adjustRightInd w:val="0"/>
        <w:rPr>
          <w:rFonts w:eastAsia="Calibri"/>
        </w:rPr>
      </w:pPr>
    </w:p>
    <w:p w:rsidR="0075331B" w:rsidRPr="000763AE" w:rsidRDefault="0075331B" w:rsidP="00B11B34">
      <w:pPr>
        <w:autoSpaceDE w:val="0"/>
        <w:autoSpaceDN w:val="0"/>
        <w:adjustRightInd w:val="0"/>
        <w:rPr>
          <w:rFonts w:eastAsia="Calibri"/>
        </w:rPr>
      </w:pPr>
      <w:proofErr w:type="gramStart"/>
      <w:r w:rsidRPr="000763AE">
        <w:rPr>
          <w:rFonts w:eastAsia="Calibri"/>
        </w:rPr>
        <w:t>Association of American Medical Colleges.</w:t>
      </w:r>
      <w:proofErr w:type="gramEnd"/>
      <w:r w:rsidRPr="000763AE">
        <w:rPr>
          <w:rFonts w:eastAsia="Calibri"/>
        </w:rPr>
        <w:t xml:space="preserve"> </w:t>
      </w:r>
      <w:proofErr w:type="gramStart"/>
      <w:r w:rsidRPr="000763AE">
        <w:rPr>
          <w:rFonts w:eastAsia="Calibri"/>
        </w:rPr>
        <w:t>(2015). 2014 Physician Specialty Data Book.</w:t>
      </w:r>
      <w:proofErr w:type="gramEnd"/>
    </w:p>
    <w:p w:rsidR="0075331B" w:rsidRPr="000763AE" w:rsidRDefault="0003598B" w:rsidP="00B11B34">
      <w:pPr>
        <w:autoSpaceDE w:val="0"/>
        <w:autoSpaceDN w:val="0"/>
        <w:adjustRightInd w:val="0"/>
        <w:rPr>
          <w:rFonts w:eastAsia="Calibri"/>
        </w:rPr>
      </w:pPr>
      <w:hyperlink r:id="rId26" w:history="1">
        <w:r w:rsidR="0075331B" w:rsidRPr="000763AE">
          <w:rPr>
            <w:rStyle w:val="Hyperlink"/>
            <w:rFonts w:eastAsia="Calibri"/>
          </w:rPr>
          <w:t>https://www.aamc.org/system/files/reports/1/2014physicianspecialtydatabook.pdf</w:t>
        </w:r>
      </w:hyperlink>
      <w:r w:rsidR="0075331B" w:rsidRPr="000763AE">
        <w:rPr>
          <w:rFonts w:eastAsia="Calibri"/>
        </w:rPr>
        <w:t xml:space="preserve"> </w:t>
      </w:r>
    </w:p>
    <w:p w:rsidR="0075331B" w:rsidRPr="000763AE" w:rsidRDefault="0075331B"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Association of American Medical Colleges.</w:t>
      </w:r>
      <w:proofErr w:type="gramEnd"/>
      <w:r w:rsidRPr="000763AE">
        <w:rPr>
          <w:rFonts w:eastAsia="Calibri"/>
        </w:rPr>
        <w:t xml:space="preserve"> (2020) Unconscious Bias Resources for Health Professionals</w:t>
      </w:r>
    </w:p>
    <w:p w:rsidR="006E0406" w:rsidRPr="000763AE" w:rsidRDefault="0003598B" w:rsidP="00B11B34">
      <w:pPr>
        <w:autoSpaceDE w:val="0"/>
        <w:autoSpaceDN w:val="0"/>
        <w:adjustRightInd w:val="0"/>
        <w:rPr>
          <w:rFonts w:eastAsia="Calibri"/>
        </w:rPr>
      </w:pPr>
      <w:hyperlink r:id="rId27" w:history="1">
        <w:r w:rsidR="006E0406" w:rsidRPr="000763AE">
          <w:rPr>
            <w:rFonts w:eastAsia="Calibri"/>
            <w:color w:val="0000FF"/>
            <w:u w:val="single"/>
          </w:rPr>
          <w:t>https://www.aamc.org/what-we-do/diversity-inclusion/unconscious-bias-training</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 xml:space="preserve">Bates, M., </w:t>
      </w:r>
      <w:proofErr w:type="spellStart"/>
      <w:r w:rsidRPr="000763AE">
        <w:rPr>
          <w:rFonts w:eastAsia="Calibri"/>
        </w:rPr>
        <w:t>Aurelien</w:t>
      </w:r>
      <w:proofErr w:type="spellEnd"/>
      <w:r w:rsidRPr="000763AE">
        <w:rPr>
          <w:rFonts w:eastAsia="Calibri"/>
        </w:rPr>
        <w:t>, L., Phillips, J. Nurses: Leading to Reduce Health Disparities in an Era of Healthcare Reform.</w:t>
      </w:r>
      <w:proofErr w:type="gramEnd"/>
      <w:r w:rsidRPr="000763AE">
        <w:rPr>
          <w:rFonts w:eastAsia="Calibri"/>
        </w:rPr>
        <w:t xml:space="preserve"> </w:t>
      </w:r>
      <w:proofErr w:type="gramStart"/>
      <w:r w:rsidRPr="000763AE">
        <w:rPr>
          <w:rFonts w:eastAsia="Calibri"/>
        </w:rPr>
        <w:t>Journal of Black Nurses Association.</w:t>
      </w:r>
      <w:proofErr w:type="gramEnd"/>
      <w:r w:rsidRPr="000763AE">
        <w:rPr>
          <w:rFonts w:eastAsia="Calibri"/>
        </w:rPr>
        <w:t xml:space="preserve"> 2015 Dec</w:t>
      </w:r>
      <w:proofErr w:type="gramStart"/>
      <w:r w:rsidRPr="000763AE">
        <w:rPr>
          <w:rFonts w:eastAsia="Calibri"/>
        </w:rPr>
        <w:t>;26</w:t>
      </w:r>
      <w:proofErr w:type="gramEnd"/>
      <w:r w:rsidRPr="000763AE">
        <w:rPr>
          <w:rFonts w:eastAsia="Calibri"/>
        </w:rPr>
        <w:t xml:space="preserve">(2):73-8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Blessett</w:t>
      </w:r>
      <w:proofErr w:type="spellEnd"/>
      <w:r w:rsidRPr="000763AE">
        <w:rPr>
          <w:rFonts w:eastAsia="Calibri"/>
        </w:rPr>
        <w:t>, B., Dodge, J</w:t>
      </w:r>
      <w:proofErr w:type="gramStart"/>
      <w:r w:rsidRPr="000763AE">
        <w:rPr>
          <w:rFonts w:eastAsia="Calibri"/>
        </w:rPr>
        <w:t>. ,</w:t>
      </w:r>
      <w:proofErr w:type="gramEnd"/>
      <w:r w:rsidRPr="000763AE">
        <w:rPr>
          <w:rFonts w:eastAsia="Calibri"/>
        </w:rPr>
        <w:t xml:space="preserve"> Edmond, B., et </w:t>
      </w:r>
      <w:r w:rsidR="002D66D5" w:rsidRPr="000763AE">
        <w:rPr>
          <w:rFonts w:eastAsia="Calibri"/>
        </w:rPr>
        <w:t>al</w:t>
      </w:r>
      <w:r w:rsidRPr="000763AE">
        <w:rPr>
          <w:rFonts w:eastAsia="Calibri"/>
        </w:rPr>
        <w:t xml:space="preserve">., Social Equity in Public Administration: A Call to Action, Perspectives on Public Management and Governance, Volume 2, Issue 4, December 2019, Pages 283–299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Braveman</w:t>
      </w:r>
      <w:proofErr w:type="spellEnd"/>
      <w:r w:rsidRPr="000763AE">
        <w:rPr>
          <w:rFonts w:eastAsia="Calibri"/>
        </w:rPr>
        <w:t xml:space="preserve"> P. What are health disparities and health equity? We need to be clear. Public Health Rep. 2014; (</w:t>
      </w:r>
      <w:proofErr w:type="spellStart"/>
      <w:r w:rsidRPr="000763AE">
        <w:rPr>
          <w:rFonts w:eastAsia="Calibri"/>
        </w:rPr>
        <w:t>Suppl</w:t>
      </w:r>
      <w:proofErr w:type="spellEnd"/>
      <w:r w:rsidRPr="000763AE">
        <w:rPr>
          <w:rFonts w:eastAsia="Calibri"/>
        </w:rPr>
        <w:t xml:space="preserve"> 2):5-8. </w:t>
      </w:r>
      <w:proofErr w:type="gramStart"/>
      <w:r w:rsidRPr="000763AE">
        <w:rPr>
          <w:rFonts w:eastAsia="Calibri"/>
        </w:rPr>
        <w:t>doi:</w:t>
      </w:r>
      <w:proofErr w:type="gramEnd"/>
      <w:r w:rsidRPr="000763AE">
        <w:rPr>
          <w:rFonts w:eastAsia="Calibri"/>
        </w:rPr>
        <w:t>10.1177/00333549141291S203</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proofErr w:type="gramStart"/>
      <w:r w:rsidRPr="000763AE">
        <w:rPr>
          <w:rFonts w:eastAsia="Calibri"/>
        </w:rPr>
        <w:t>Boulton</w:t>
      </w:r>
      <w:proofErr w:type="spellEnd"/>
      <w:r w:rsidRPr="000763AE">
        <w:rPr>
          <w:rFonts w:eastAsia="Calibri"/>
        </w:rPr>
        <w:t xml:space="preserve"> AJM, Armstrong DG, </w:t>
      </w:r>
      <w:proofErr w:type="spellStart"/>
      <w:r w:rsidRPr="000763AE">
        <w:rPr>
          <w:rFonts w:eastAsia="Calibri"/>
        </w:rPr>
        <w:t>Kirsner</w:t>
      </w:r>
      <w:proofErr w:type="spellEnd"/>
      <w:r w:rsidRPr="000763AE">
        <w:rPr>
          <w:rFonts w:eastAsia="Calibri"/>
        </w:rPr>
        <w:t xml:space="preserve"> RS, et al. Diagnosis and Management of Diabetic Foot Complications.</w:t>
      </w:r>
      <w:proofErr w:type="gramEnd"/>
      <w:r w:rsidRPr="000763AE">
        <w:rPr>
          <w:rFonts w:eastAsia="Calibri"/>
        </w:rPr>
        <w:t xml:space="preserve"> Arlington (VA): American Diabetes Association; 2018 Oct.</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Burstin</w:t>
      </w:r>
      <w:proofErr w:type="spellEnd"/>
      <w:r w:rsidRPr="000763AE">
        <w:rPr>
          <w:rFonts w:eastAsia="Calibri"/>
        </w:rPr>
        <w:t xml:space="preserve">, H., Leatherman, S., &amp; </w:t>
      </w:r>
      <w:proofErr w:type="spellStart"/>
      <w:r w:rsidRPr="000763AE">
        <w:rPr>
          <w:rFonts w:eastAsia="Calibri"/>
        </w:rPr>
        <w:t>Goldmann</w:t>
      </w:r>
      <w:proofErr w:type="spellEnd"/>
      <w:r w:rsidRPr="000763AE">
        <w:rPr>
          <w:rFonts w:eastAsia="Calibri"/>
        </w:rPr>
        <w:t xml:space="preserve">, D. (2016). </w:t>
      </w:r>
      <w:proofErr w:type="gramStart"/>
      <w:r w:rsidRPr="000763AE">
        <w:rPr>
          <w:rFonts w:eastAsia="Calibri"/>
        </w:rPr>
        <w:t>The evolution of healthcare quality measurement in the United States.</w:t>
      </w:r>
      <w:proofErr w:type="gramEnd"/>
      <w:r w:rsidRPr="000763AE">
        <w:rPr>
          <w:rFonts w:eastAsia="Calibri"/>
        </w:rPr>
        <w:t xml:space="preserve"> Journal of Internal Medicine, 279(2), 154-159. doi:10.1111/joim.12471</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Business Credit and Assistance, Title 13, CFR 124.103. (2016)</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color w:val="000000"/>
        </w:rPr>
        <w:t>Centers for Disease Control and Prevention.</w:t>
      </w:r>
      <w:proofErr w:type="gramEnd"/>
      <w:r w:rsidRPr="000763AE">
        <w:rPr>
          <w:rFonts w:eastAsia="Calibri"/>
          <w:color w:val="000000"/>
        </w:rPr>
        <w:t xml:space="preserve"> (2011). National diabetes fact sheet: National estimates and general information on diabetes and prediabetes in the United States, 2011. Atlanta, GA: Centers for Disease Control and Prevention, U.S. Department of Health and Human Services.</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Center for Disease Control and Prevention</w:t>
      </w:r>
      <w:proofErr w:type="gramStart"/>
      <w:r w:rsidRPr="000763AE">
        <w:rPr>
          <w:rFonts w:eastAsia="Calibri"/>
        </w:rPr>
        <w:t>.(</w:t>
      </w:r>
      <w:proofErr w:type="gramEnd"/>
      <w:r w:rsidRPr="000763AE">
        <w:rPr>
          <w:rFonts w:eastAsia="Calibri"/>
        </w:rPr>
        <w:t>2017) National Center for Health Stati</w:t>
      </w:r>
      <w:r w:rsidR="002D66D5" w:rsidRPr="000763AE">
        <w:rPr>
          <w:rFonts w:eastAsia="Calibri"/>
        </w:rPr>
        <w:t>s</w:t>
      </w:r>
      <w:r w:rsidRPr="000763AE">
        <w:rPr>
          <w:rFonts w:eastAsia="Calibri"/>
        </w:rPr>
        <w:t>tics.</w:t>
      </w:r>
    </w:p>
    <w:p w:rsidR="006E0406" w:rsidRPr="000763AE" w:rsidRDefault="0003598B" w:rsidP="00B11B34">
      <w:pPr>
        <w:autoSpaceDE w:val="0"/>
        <w:autoSpaceDN w:val="0"/>
        <w:adjustRightInd w:val="0"/>
        <w:rPr>
          <w:rFonts w:eastAsia="Calibri"/>
        </w:rPr>
      </w:pPr>
      <w:hyperlink r:id="rId28" w:anchor="NAMCS" w:history="1">
        <w:r w:rsidR="006E0406" w:rsidRPr="000763AE">
          <w:rPr>
            <w:rFonts w:eastAsia="Calibri"/>
            <w:color w:val="0000FF"/>
            <w:u w:val="single"/>
          </w:rPr>
          <w:t>https://www.cdc.gov/nchs/ahcd/about_ahcd.htm#NAMCS</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Center for Disease Control and Prevention.</w:t>
      </w:r>
      <w:proofErr w:type="gramEnd"/>
      <w:r w:rsidRPr="000763AE">
        <w:rPr>
          <w:rFonts w:eastAsia="Calibri"/>
        </w:rPr>
        <w:t xml:space="preserve"> </w:t>
      </w:r>
      <w:proofErr w:type="gramStart"/>
      <w:r w:rsidRPr="000763AE">
        <w:rPr>
          <w:rFonts w:eastAsia="Calibri"/>
        </w:rPr>
        <w:t>(2018). National Diabetes Prevention Program.</w:t>
      </w:r>
      <w:proofErr w:type="gramEnd"/>
      <w:r w:rsidRPr="000763AE">
        <w:rPr>
          <w:rFonts w:eastAsia="Calibri"/>
        </w:rPr>
        <w:t xml:space="preserve"> </w:t>
      </w:r>
      <w:hyperlink r:id="rId29" w:history="1">
        <w:r w:rsidRPr="000763AE">
          <w:rPr>
            <w:rFonts w:eastAsia="Calibri"/>
            <w:color w:val="0000FF"/>
            <w:u w:val="single"/>
          </w:rPr>
          <w:t>https://www.cdc.gov/diabetes/prevention/index.html</w:t>
        </w:r>
      </w:hyperlink>
      <w:r w:rsidRPr="000763AE">
        <w:rPr>
          <w:rFonts w:eastAsia="Calibri"/>
        </w:rPr>
        <w:t xml:space="preserve"> </w:t>
      </w:r>
    </w:p>
    <w:p w:rsidR="006E0406" w:rsidRPr="000763AE" w:rsidRDefault="006E0406" w:rsidP="00B11B34">
      <w:pPr>
        <w:autoSpaceDE w:val="0"/>
        <w:autoSpaceDN w:val="0"/>
        <w:adjustRightInd w:val="0"/>
        <w:rPr>
          <w:rFonts w:eastAsia="Calibri"/>
        </w:rPr>
      </w:pPr>
    </w:p>
    <w:p w:rsidR="000C7B26" w:rsidRPr="000763AE" w:rsidRDefault="000C7B2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lastRenderedPageBreak/>
        <w:t>Center for Medicare and Medicaid Services (CMS).</w:t>
      </w:r>
      <w:proofErr w:type="gramEnd"/>
      <w:r w:rsidRPr="000763AE">
        <w:rPr>
          <w:rFonts w:eastAsia="Calibri"/>
        </w:rPr>
        <w:t xml:space="preserve"> </w:t>
      </w:r>
    </w:p>
    <w:p w:rsidR="006E0406" w:rsidRPr="000763AE" w:rsidRDefault="0003598B" w:rsidP="00B11B34">
      <w:pPr>
        <w:autoSpaceDE w:val="0"/>
        <w:autoSpaceDN w:val="0"/>
        <w:adjustRightInd w:val="0"/>
        <w:rPr>
          <w:rFonts w:eastAsia="Calibri"/>
        </w:rPr>
      </w:pPr>
      <w:hyperlink r:id="rId30" w:history="1">
        <w:r w:rsidR="006E0406" w:rsidRPr="000763AE">
          <w:rPr>
            <w:rFonts w:eastAsia="Calibri"/>
            <w:color w:val="0000FF"/>
            <w:u w:val="single"/>
          </w:rPr>
          <w:t>https://www.cms.gov/research-statistics-data-and-systems/statistics-trends-and-reports/nationalhealthexpenddata/nhe-fact-sheet.html</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Chen LM, Farwell WR, </w:t>
      </w:r>
      <w:proofErr w:type="spellStart"/>
      <w:r w:rsidRPr="000763AE">
        <w:rPr>
          <w:rFonts w:eastAsia="Calibri"/>
        </w:rPr>
        <w:t>Jha</w:t>
      </w:r>
      <w:proofErr w:type="spellEnd"/>
      <w:r w:rsidRPr="000763AE">
        <w:rPr>
          <w:rFonts w:eastAsia="Calibri"/>
        </w:rPr>
        <w:t xml:space="preserve"> AK. Primary Care Visit Duration and Quality: Does Good Care Take Longer? Arch Intern Med. 2009</w:t>
      </w:r>
      <w:proofErr w:type="gramStart"/>
      <w:r w:rsidRPr="000763AE">
        <w:rPr>
          <w:rFonts w:eastAsia="Calibri"/>
        </w:rPr>
        <w:t>;169</w:t>
      </w:r>
      <w:proofErr w:type="gramEnd"/>
      <w:r w:rsidRPr="000763AE">
        <w:rPr>
          <w:rFonts w:eastAsia="Calibri"/>
        </w:rPr>
        <w:t>(20):1866–1872. doi:10.1001/archinternmed.2009.341</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Code of Federal Regulation (CFR).</w:t>
      </w:r>
      <w:proofErr w:type="gramEnd"/>
      <w:r w:rsidRPr="000763AE">
        <w:rPr>
          <w:rFonts w:eastAsia="Calibri"/>
        </w:rPr>
        <w:t xml:space="preserve"> </w:t>
      </w:r>
      <w:proofErr w:type="gramStart"/>
      <w:r w:rsidRPr="000763AE">
        <w:rPr>
          <w:rFonts w:eastAsia="Calibri"/>
        </w:rPr>
        <w:t>Title 13.</w:t>
      </w:r>
      <w:proofErr w:type="gramEnd"/>
      <w:r w:rsidRPr="000763AE">
        <w:rPr>
          <w:rFonts w:eastAsia="Calibri"/>
        </w:rPr>
        <w:t xml:space="preserve"> </w:t>
      </w:r>
      <w:proofErr w:type="gramStart"/>
      <w:r w:rsidRPr="000763AE">
        <w:rPr>
          <w:rFonts w:eastAsia="Calibri"/>
        </w:rPr>
        <w:t>Chapter I. Part 124.</w:t>
      </w:r>
      <w:proofErr w:type="gramEnd"/>
      <w:r w:rsidRPr="000763AE">
        <w:rPr>
          <w:rFonts w:eastAsia="Calibri"/>
        </w:rPr>
        <w:t xml:space="preserve"> Subpart A. Section 124.103.</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Congressional Budget Office.</w:t>
      </w:r>
      <w:proofErr w:type="gramEnd"/>
      <w:r w:rsidRPr="000763AE">
        <w:rPr>
          <w:rFonts w:eastAsia="Calibri"/>
        </w:rPr>
        <w:t xml:space="preserve"> The Federal Budget in 2019: An Infographic. April 15, 2020 </w:t>
      </w:r>
      <w:hyperlink r:id="rId31" w:history="1">
        <w:r w:rsidRPr="000763AE">
          <w:rPr>
            <w:rFonts w:eastAsia="Calibri"/>
            <w:color w:val="0000FF"/>
            <w:u w:val="single"/>
          </w:rPr>
          <w:t>https://www.cbo.gov/publication/56324</w:t>
        </w:r>
      </w:hyperlink>
      <w:r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Crawford, C</w:t>
      </w:r>
      <w:proofErr w:type="gramStart"/>
      <w:r w:rsidRPr="000763AE">
        <w:rPr>
          <w:rFonts w:eastAsia="Calibri"/>
        </w:rPr>
        <w:t>.(</w:t>
      </w:r>
      <w:proofErr w:type="gramEnd"/>
      <w:r w:rsidRPr="000763AE">
        <w:rPr>
          <w:rFonts w:eastAsia="Calibri"/>
        </w:rPr>
        <w:t xml:space="preserve">2020) The </w:t>
      </w:r>
      <w:proofErr w:type="spellStart"/>
      <w:r w:rsidRPr="000763AE">
        <w:rPr>
          <w:rFonts w:eastAsia="Calibri"/>
        </w:rPr>
        <w:t>EveryONE</w:t>
      </w:r>
      <w:proofErr w:type="spellEnd"/>
      <w:r w:rsidRPr="000763AE">
        <w:rPr>
          <w:rFonts w:eastAsia="Calibri"/>
        </w:rPr>
        <w:t xml:space="preserve"> Project Unveils Implicit Bias Training Guide.</w:t>
      </w:r>
      <w:r w:rsidRPr="000763AE">
        <w:rPr>
          <w:rFonts w:eastAsia="Calibri"/>
          <w:color w:val="000000"/>
        </w:rPr>
        <w:t xml:space="preserve"> </w:t>
      </w:r>
      <w:proofErr w:type="gramStart"/>
      <w:r w:rsidRPr="000763AE">
        <w:rPr>
          <w:rFonts w:eastAsia="Calibri"/>
        </w:rPr>
        <w:t>American Academy of Family Physicians.</w:t>
      </w:r>
      <w:proofErr w:type="gramEnd"/>
    </w:p>
    <w:p w:rsidR="006E0406" w:rsidRPr="000763AE" w:rsidRDefault="0003598B" w:rsidP="00B11B34">
      <w:pPr>
        <w:autoSpaceDE w:val="0"/>
        <w:autoSpaceDN w:val="0"/>
        <w:adjustRightInd w:val="0"/>
        <w:rPr>
          <w:rFonts w:eastAsia="Calibri"/>
        </w:rPr>
      </w:pPr>
      <w:hyperlink r:id="rId32" w:history="1">
        <w:r w:rsidR="006E0406" w:rsidRPr="000763AE">
          <w:rPr>
            <w:rFonts w:eastAsia="Calibri"/>
            <w:color w:val="0000FF"/>
            <w:u w:val="single"/>
          </w:rPr>
          <w:t>https://www.aafp.org/news/practice-professional-issues/20200115implicitbias.html</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DeMeester</w:t>
      </w:r>
      <w:proofErr w:type="spellEnd"/>
      <w:r w:rsidRPr="000763AE">
        <w:rPr>
          <w:rFonts w:eastAsia="Calibri"/>
        </w:rPr>
        <w:t xml:space="preserve"> RH, Xu LJ, </w:t>
      </w:r>
      <w:proofErr w:type="spellStart"/>
      <w:r w:rsidRPr="000763AE">
        <w:rPr>
          <w:rFonts w:eastAsia="Calibri"/>
        </w:rPr>
        <w:t>Nocon</w:t>
      </w:r>
      <w:proofErr w:type="spellEnd"/>
      <w:r w:rsidRPr="000763AE">
        <w:rPr>
          <w:rFonts w:eastAsia="Calibri"/>
        </w:rPr>
        <w:t xml:space="preserve"> RS, Cook SC, </w:t>
      </w:r>
      <w:proofErr w:type="spellStart"/>
      <w:r w:rsidRPr="000763AE">
        <w:rPr>
          <w:rFonts w:eastAsia="Calibri"/>
        </w:rPr>
        <w:t>Ducas</w:t>
      </w:r>
      <w:proofErr w:type="spellEnd"/>
      <w:r w:rsidRPr="000763AE">
        <w:rPr>
          <w:rFonts w:eastAsia="Calibri"/>
        </w:rPr>
        <w:t xml:space="preserve"> AM, Chin MH. Solving Disparities</w:t>
      </w:r>
    </w:p>
    <w:p w:rsidR="006E0406" w:rsidRPr="000763AE" w:rsidRDefault="006E0406" w:rsidP="00B11B34">
      <w:pPr>
        <w:autoSpaceDE w:val="0"/>
        <w:autoSpaceDN w:val="0"/>
        <w:adjustRightInd w:val="0"/>
        <w:rPr>
          <w:rFonts w:eastAsia="Calibri"/>
        </w:rPr>
      </w:pPr>
      <w:r w:rsidRPr="000763AE">
        <w:rPr>
          <w:rFonts w:eastAsia="Calibri"/>
        </w:rPr>
        <w:t xml:space="preserve">Through Payment and Delivery System Reform: A Program </w:t>
      </w:r>
      <w:proofErr w:type="gramStart"/>
      <w:r w:rsidRPr="000763AE">
        <w:rPr>
          <w:rFonts w:eastAsia="Calibri"/>
        </w:rPr>
        <w:t>To</w:t>
      </w:r>
      <w:proofErr w:type="gramEnd"/>
      <w:r w:rsidRPr="000763AE">
        <w:rPr>
          <w:rFonts w:eastAsia="Calibri"/>
        </w:rPr>
        <w:t xml:space="preserve"> Achieve Health Equity.</w:t>
      </w:r>
    </w:p>
    <w:p w:rsidR="006E0406" w:rsidRPr="000763AE" w:rsidRDefault="006E0406" w:rsidP="00B11B34">
      <w:pPr>
        <w:autoSpaceDE w:val="0"/>
        <w:autoSpaceDN w:val="0"/>
        <w:adjustRightInd w:val="0"/>
        <w:rPr>
          <w:rFonts w:eastAsia="Calibri"/>
        </w:rPr>
      </w:pPr>
      <w:proofErr w:type="gramStart"/>
      <w:r w:rsidRPr="000763AE">
        <w:rPr>
          <w:rFonts w:eastAsia="Calibri"/>
        </w:rPr>
        <w:t xml:space="preserve">Health </w:t>
      </w:r>
      <w:proofErr w:type="spellStart"/>
      <w:r w:rsidRPr="000763AE">
        <w:rPr>
          <w:rFonts w:eastAsia="Calibri"/>
        </w:rPr>
        <w:t>Aff</w:t>
      </w:r>
      <w:proofErr w:type="spellEnd"/>
      <w:r w:rsidRPr="000763AE">
        <w:rPr>
          <w:rFonts w:eastAsia="Calibri"/>
        </w:rPr>
        <w:t xml:space="preserve"> (Millwood).</w:t>
      </w:r>
      <w:proofErr w:type="gramEnd"/>
      <w:r w:rsidRPr="000763AE">
        <w:rPr>
          <w:rFonts w:eastAsia="Calibri"/>
        </w:rPr>
        <w:t xml:space="preserve"> 2017 Jun 1</w:t>
      </w:r>
      <w:proofErr w:type="gramStart"/>
      <w:r w:rsidRPr="000763AE">
        <w:rPr>
          <w:rFonts w:eastAsia="Calibri"/>
        </w:rPr>
        <w:t>;36</w:t>
      </w:r>
      <w:proofErr w:type="gramEnd"/>
      <w:r w:rsidRPr="000763AE">
        <w:rPr>
          <w:rFonts w:eastAsia="Calibri"/>
        </w:rPr>
        <w:t xml:space="preserve">(6):1133-1139. </w:t>
      </w:r>
      <w:proofErr w:type="spellStart"/>
      <w:proofErr w:type="gramStart"/>
      <w:r w:rsidRPr="000763AE">
        <w:rPr>
          <w:rFonts w:eastAsia="Calibri"/>
        </w:rPr>
        <w:t>doi</w:t>
      </w:r>
      <w:proofErr w:type="spellEnd"/>
      <w:proofErr w:type="gramEnd"/>
      <w:r w:rsidRPr="000763AE">
        <w:rPr>
          <w:rFonts w:eastAsia="Calibri"/>
        </w:rPr>
        <w:t>: 10.1377/hlthaff.2016.0979. PubMed PMID: 28583973</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Dickman</w:t>
      </w:r>
      <w:proofErr w:type="spellEnd"/>
      <w:r w:rsidRPr="000763AE">
        <w:rPr>
          <w:rFonts w:eastAsia="Calibri"/>
        </w:rPr>
        <w:t xml:space="preserve">, S., </w:t>
      </w:r>
      <w:proofErr w:type="spellStart"/>
      <w:r w:rsidRPr="000763AE">
        <w:rPr>
          <w:rFonts w:eastAsia="Calibri"/>
        </w:rPr>
        <w:t>Himmelstein</w:t>
      </w:r>
      <w:proofErr w:type="spellEnd"/>
      <w:r w:rsidRPr="000763AE">
        <w:rPr>
          <w:rFonts w:eastAsia="Calibri"/>
        </w:rPr>
        <w:t xml:space="preserve">, D., </w:t>
      </w:r>
      <w:proofErr w:type="spellStart"/>
      <w:r w:rsidRPr="000763AE">
        <w:rPr>
          <w:rFonts w:eastAsia="Calibri"/>
        </w:rPr>
        <w:t>Woolhandler</w:t>
      </w:r>
      <w:proofErr w:type="spellEnd"/>
      <w:r w:rsidRPr="000763AE">
        <w:rPr>
          <w:rFonts w:eastAsia="Calibri"/>
        </w:rPr>
        <w:t xml:space="preserve">, S. (2017). America: Equity and Equality in Health 1. </w:t>
      </w:r>
      <w:proofErr w:type="gramStart"/>
      <w:r w:rsidRPr="000763AE">
        <w:rPr>
          <w:rFonts w:eastAsia="Calibri"/>
        </w:rPr>
        <w:t>Inequality and the health-care system in the USA.</w:t>
      </w:r>
      <w:proofErr w:type="gramEnd"/>
      <w:r w:rsidRPr="000763AE">
        <w:rPr>
          <w:rFonts w:eastAsia="Calibri"/>
        </w:rPr>
        <w:t xml:space="preserve"> </w:t>
      </w:r>
      <w:proofErr w:type="gramStart"/>
      <w:r w:rsidRPr="000763AE">
        <w:rPr>
          <w:rFonts w:eastAsia="Calibri"/>
        </w:rPr>
        <w:t>The Lancet.</w:t>
      </w:r>
      <w:proofErr w:type="gramEnd"/>
      <w:r w:rsidRPr="000763AE">
        <w:rPr>
          <w:rFonts w:eastAsia="Calibri"/>
        </w:rPr>
        <w:t xml:space="preserve"> </w:t>
      </w:r>
      <w:proofErr w:type="gramStart"/>
      <w:r w:rsidRPr="000763AE">
        <w:rPr>
          <w:rFonts w:eastAsia="Calibri"/>
        </w:rPr>
        <w:t>Vol. 389.</w:t>
      </w:r>
      <w:proofErr w:type="gramEnd"/>
      <w:r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Dooley, S. (2016).</w:t>
      </w:r>
      <w:proofErr w:type="gramEnd"/>
      <w:r w:rsidRPr="000763AE">
        <w:rPr>
          <w:rFonts w:eastAsia="Calibri"/>
        </w:rPr>
        <w:t xml:space="preserve"> Follow The Guidelines for Diabetic Foot Care.</w:t>
      </w:r>
    </w:p>
    <w:p w:rsidR="006E0406" w:rsidRPr="000763AE" w:rsidRDefault="0003598B" w:rsidP="00B11B34">
      <w:pPr>
        <w:autoSpaceDE w:val="0"/>
        <w:autoSpaceDN w:val="0"/>
        <w:adjustRightInd w:val="0"/>
        <w:rPr>
          <w:rFonts w:eastAsia="Calibri"/>
        </w:rPr>
      </w:pPr>
      <w:hyperlink r:id="rId33" w:history="1">
        <w:r w:rsidR="006E0406" w:rsidRPr="000763AE">
          <w:rPr>
            <w:rFonts w:eastAsia="Calibri"/>
            <w:color w:val="0000FF"/>
            <w:u w:val="single"/>
          </w:rPr>
          <w:t>https://blog.supercoder.com/billing-and-collections-2/follow-the-guidelines-for-diabetic-foot-care-coding/</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Fredrickson, H.G. (1980). </w:t>
      </w:r>
      <w:proofErr w:type="gramStart"/>
      <w:r w:rsidRPr="000763AE">
        <w:rPr>
          <w:rFonts w:eastAsia="Calibri"/>
        </w:rPr>
        <w:t>New Public Administration.</w:t>
      </w:r>
      <w:proofErr w:type="gramEnd"/>
      <w:r w:rsidRPr="000763AE">
        <w:rPr>
          <w:rFonts w:eastAsia="Calibri"/>
        </w:rPr>
        <w:t xml:space="preserve"> </w:t>
      </w:r>
      <w:proofErr w:type="gramStart"/>
      <w:r w:rsidRPr="000763AE">
        <w:rPr>
          <w:rFonts w:eastAsia="Calibri"/>
        </w:rPr>
        <w:t>The University of Alabama Press.</w:t>
      </w:r>
      <w:proofErr w:type="gramEnd"/>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Frederickson, H. G. (2005). </w:t>
      </w:r>
      <w:proofErr w:type="gramStart"/>
      <w:r w:rsidRPr="000763AE">
        <w:rPr>
          <w:rFonts w:eastAsia="Calibri"/>
        </w:rPr>
        <w:t>The state of social equity in American public administration.</w:t>
      </w:r>
      <w:proofErr w:type="gramEnd"/>
      <w:r w:rsidRPr="000763AE">
        <w:rPr>
          <w:rFonts w:eastAsia="Calibri"/>
        </w:rPr>
        <w:t xml:space="preserve"> Nat Civic Rev, 94: 31-38. doi:10.1002/ncr.117</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Gaffney, A., McCormick, D. (2017). America:</w:t>
      </w:r>
      <w:r w:rsidR="002D66D5" w:rsidRPr="000763AE">
        <w:rPr>
          <w:rFonts w:eastAsia="Calibri"/>
        </w:rPr>
        <w:t xml:space="preserve"> </w:t>
      </w:r>
      <w:r w:rsidRPr="000763AE">
        <w:rPr>
          <w:rFonts w:eastAsia="Calibri"/>
        </w:rPr>
        <w:t xml:space="preserve">Equity and Equity Health 2. The Affordable Care Act: implications for health-care equity. </w:t>
      </w:r>
      <w:proofErr w:type="gramStart"/>
      <w:r w:rsidRPr="000763AE">
        <w:rPr>
          <w:rFonts w:eastAsia="Calibri"/>
        </w:rPr>
        <w:t>The Lancet.</w:t>
      </w:r>
      <w:proofErr w:type="gramEnd"/>
      <w:r w:rsidRPr="000763AE">
        <w:rPr>
          <w:rFonts w:eastAsia="Calibri"/>
        </w:rPr>
        <w:t xml:space="preserve"> Volume 389, April 8, 2017.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Garfield, R, </w:t>
      </w:r>
      <w:proofErr w:type="spellStart"/>
      <w:r w:rsidRPr="000763AE">
        <w:rPr>
          <w:rFonts w:eastAsia="Calibri"/>
        </w:rPr>
        <w:t>Rudowitz</w:t>
      </w:r>
      <w:proofErr w:type="spellEnd"/>
      <w:r w:rsidRPr="000763AE">
        <w:rPr>
          <w:rFonts w:eastAsia="Calibri"/>
        </w:rPr>
        <w:t xml:space="preserve">, R, </w:t>
      </w:r>
      <w:proofErr w:type="spellStart"/>
      <w:r w:rsidRPr="000763AE">
        <w:rPr>
          <w:rFonts w:eastAsia="Calibri"/>
        </w:rPr>
        <w:t>Dacimo</w:t>
      </w:r>
      <w:proofErr w:type="gramStart"/>
      <w:r w:rsidRPr="000763AE">
        <w:rPr>
          <w:rFonts w:eastAsia="Calibri"/>
        </w:rPr>
        <w:t>,A</w:t>
      </w:r>
      <w:proofErr w:type="spellEnd"/>
      <w:proofErr w:type="gramEnd"/>
      <w:r w:rsidRPr="000763AE">
        <w:rPr>
          <w:rFonts w:eastAsia="Calibri"/>
        </w:rPr>
        <w:t>. (2020). How Many Uninsured Adults Could Be Reached If All States Expanded Medicaid? Henry J. Kaiser Family Foundation.</w:t>
      </w:r>
    </w:p>
    <w:p w:rsidR="006E0406" w:rsidRPr="000763AE" w:rsidRDefault="0003598B" w:rsidP="00B11B34">
      <w:pPr>
        <w:autoSpaceDE w:val="0"/>
        <w:autoSpaceDN w:val="0"/>
        <w:adjustRightInd w:val="0"/>
        <w:rPr>
          <w:rFonts w:eastAsia="Calibri"/>
        </w:rPr>
      </w:pPr>
      <w:hyperlink r:id="rId34" w:history="1">
        <w:r w:rsidR="006E0406" w:rsidRPr="000763AE">
          <w:rPr>
            <w:rFonts w:eastAsia="Calibri"/>
            <w:color w:val="0000FF"/>
            <w:u w:val="single"/>
          </w:rPr>
          <w:t>https://www.kff.org/uninsured/issue-brief/how-many-uninsured-adults-could-be-reached-if-all-states-expanded-medicaid/</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lastRenderedPageBreak/>
        <w:t xml:space="preserve">Gaskin, D. J., Thorpe, R. J., </w:t>
      </w:r>
      <w:proofErr w:type="spellStart"/>
      <w:r w:rsidRPr="000763AE">
        <w:rPr>
          <w:rFonts w:eastAsia="Calibri"/>
        </w:rPr>
        <w:t>McGinty</w:t>
      </w:r>
      <w:proofErr w:type="spellEnd"/>
      <w:r w:rsidRPr="000763AE">
        <w:rPr>
          <w:rFonts w:eastAsia="Calibri"/>
        </w:rPr>
        <w:t xml:space="preserve">, E. E., Bower, K., Rohde, C., Young, J. H., </w:t>
      </w:r>
      <w:proofErr w:type="spellStart"/>
      <w:r w:rsidRPr="000763AE">
        <w:rPr>
          <w:rFonts w:eastAsia="Calibri"/>
        </w:rPr>
        <w:t>LaVeist</w:t>
      </w:r>
      <w:proofErr w:type="spellEnd"/>
      <w:r w:rsidRPr="000763AE">
        <w:rPr>
          <w:rFonts w:eastAsia="Calibri"/>
        </w:rPr>
        <w:t xml:space="preserve">, T. A., </w:t>
      </w:r>
      <w:proofErr w:type="spellStart"/>
      <w:r w:rsidRPr="000763AE">
        <w:rPr>
          <w:rFonts w:eastAsia="Calibri"/>
        </w:rPr>
        <w:t>Dubay</w:t>
      </w:r>
      <w:proofErr w:type="spellEnd"/>
      <w:r w:rsidRPr="000763AE">
        <w:rPr>
          <w:rFonts w:eastAsia="Calibri"/>
        </w:rPr>
        <w:t>, L. (2014). Disparities in diabetes: the nexus of race, poverty, and place. </w:t>
      </w:r>
      <w:proofErr w:type="gramStart"/>
      <w:r w:rsidRPr="000763AE">
        <w:rPr>
          <w:rFonts w:eastAsia="Calibri"/>
          <w:iCs/>
        </w:rPr>
        <w:t>American journal of public health</w:t>
      </w:r>
      <w:r w:rsidRPr="000763AE">
        <w:rPr>
          <w:rFonts w:eastAsia="Calibri"/>
        </w:rPr>
        <w:t>, </w:t>
      </w:r>
      <w:r w:rsidRPr="000763AE">
        <w:rPr>
          <w:rFonts w:eastAsia="Calibri"/>
          <w:iCs/>
        </w:rPr>
        <w:t>104</w:t>
      </w:r>
      <w:r w:rsidRPr="000763AE">
        <w:rPr>
          <w:rFonts w:eastAsia="Calibri"/>
        </w:rPr>
        <w:t>(11), 2147-55.</w:t>
      </w:r>
      <w:proofErr w:type="gramEnd"/>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Gilson L. (2015) </w:t>
      </w:r>
      <w:proofErr w:type="spellStart"/>
      <w:r w:rsidRPr="000763AE">
        <w:rPr>
          <w:rFonts w:eastAsia="Calibri"/>
        </w:rPr>
        <w:t>Lipsky’s</w:t>
      </w:r>
      <w:proofErr w:type="spellEnd"/>
      <w:r w:rsidRPr="000763AE">
        <w:rPr>
          <w:rFonts w:eastAsia="Calibri"/>
        </w:rPr>
        <w:t xml:space="preserve"> Street Level Bureaucracy. Chapter in Page E., Lodge M</w:t>
      </w:r>
    </w:p>
    <w:p w:rsidR="006E0406" w:rsidRPr="000763AE" w:rsidRDefault="006E0406" w:rsidP="00B11B34">
      <w:pPr>
        <w:autoSpaceDE w:val="0"/>
        <w:autoSpaceDN w:val="0"/>
        <w:adjustRightInd w:val="0"/>
        <w:rPr>
          <w:rFonts w:eastAsia="Calibri"/>
        </w:rPr>
      </w:pPr>
      <w:proofErr w:type="gramStart"/>
      <w:r w:rsidRPr="000763AE">
        <w:rPr>
          <w:rFonts w:eastAsia="Calibri"/>
        </w:rPr>
        <w:t>and</w:t>
      </w:r>
      <w:proofErr w:type="gramEnd"/>
      <w:r w:rsidRPr="000763AE">
        <w:rPr>
          <w:rFonts w:eastAsia="Calibri"/>
        </w:rPr>
        <w:t xml:space="preserve"> </w:t>
      </w:r>
      <w:proofErr w:type="spellStart"/>
      <w:r w:rsidRPr="000763AE">
        <w:rPr>
          <w:rFonts w:eastAsia="Calibri"/>
        </w:rPr>
        <w:t>Balla</w:t>
      </w:r>
      <w:proofErr w:type="spellEnd"/>
      <w:r w:rsidRPr="000763AE">
        <w:rPr>
          <w:rFonts w:eastAsia="Calibri"/>
        </w:rPr>
        <w:t xml:space="preserve"> S (</w:t>
      </w:r>
      <w:proofErr w:type="spellStart"/>
      <w:r w:rsidRPr="000763AE">
        <w:rPr>
          <w:rFonts w:eastAsia="Calibri"/>
        </w:rPr>
        <w:t>eds</w:t>
      </w:r>
      <w:proofErr w:type="spellEnd"/>
      <w:r w:rsidRPr="000763AE">
        <w:rPr>
          <w:rFonts w:eastAsia="Calibri"/>
        </w:rPr>
        <w:t>) Oxford Handbook of the Classics of Public Policy. Oxford: Oxford</w:t>
      </w:r>
    </w:p>
    <w:p w:rsidR="006E0406" w:rsidRPr="000763AE" w:rsidRDefault="006E0406" w:rsidP="00B11B34">
      <w:pPr>
        <w:autoSpaceDE w:val="0"/>
        <w:autoSpaceDN w:val="0"/>
        <w:adjustRightInd w:val="0"/>
        <w:rPr>
          <w:rFonts w:eastAsia="Calibri"/>
        </w:rPr>
      </w:pPr>
      <w:r w:rsidRPr="000763AE">
        <w:rPr>
          <w:rFonts w:eastAsia="Calibri"/>
        </w:rPr>
        <w:t>University Press</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sz w:val="28"/>
        </w:rPr>
      </w:pPr>
      <w:proofErr w:type="gramStart"/>
      <w:r w:rsidRPr="006E0406">
        <w:rPr>
          <w:color w:val="000000"/>
          <w:szCs w:val="22"/>
          <w:shd w:val="clear" w:color="auto" w:fill="FFFFFF"/>
        </w:rPr>
        <w:t>Guy, M. E., &amp; McCandless, S. A. (2012).</w:t>
      </w:r>
      <w:proofErr w:type="gramEnd"/>
      <w:r w:rsidRPr="006E0406">
        <w:rPr>
          <w:color w:val="000000"/>
          <w:szCs w:val="22"/>
          <w:shd w:val="clear" w:color="auto" w:fill="FFFFFF"/>
        </w:rPr>
        <w:t xml:space="preserve"> Social equity: Its legacy, its promise. </w:t>
      </w:r>
      <w:proofErr w:type="gramStart"/>
      <w:r w:rsidRPr="006E0406">
        <w:rPr>
          <w:color w:val="000000"/>
          <w:szCs w:val="22"/>
          <w:shd w:val="clear" w:color="auto" w:fill="FFFFFF"/>
        </w:rPr>
        <w:t>Public Administrative Review, 72(</w:t>
      </w:r>
      <w:proofErr w:type="spellStart"/>
      <w:r w:rsidRPr="006E0406">
        <w:rPr>
          <w:color w:val="000000"/>
          <w:szCs w:val="22"/>
          <w:shd w:val="clear" w:color="auto" w:fill="FFFFFF"/>
        </w:rPr>
        <w:t>Supp</w:t>
      </w:r>
      <w:proofErr w:type="spellEnd"/>
      <w:r w:rsidRPr="006E0406">
        <w:rPr>
          <w:color w:val="000000"/>
          <w:szCs w:val="22"/>
          <w:shd w:val="clear" w:color="auto" w:fill="FFFFFF"/>
        </w:rPr>
        <w:t>), S5–S13.</w:t>
      </w:r>
      <w:proofErr w:type="gramEnd"/>
      <w:r w:rsidRPr="006E0406">
        <w:rPr>
          <w:color w:val="000000"/>
          <w:szCs w:val="22"/>
          <w:shd w:val="clear" w:color="auto" w:fill="FFFFFF"/>
        </w:rPr>
        <w:t> </w:t>
      </w:r>
      <w:r w:rsidRPr="000763AE" w:rsidDel="0092442F">
        <w:rPr>
          <w:rFonts w:eastAsia="Calibri"/>
          <w:sz w:val="28"/>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Hall, W. J., Chapman, M. V., Lee, K. M., Merino, Y. M., Thomas, T. W., Payne, B. K., </w:t>
      </w:r>
      <w:proofErr w:type="spellStart"/>
      <w:r w:rsidRPr="000763AE">
        <w:rPr>
          <w:rFonts w:eastAsia="Calibri"/>
        </w:rPr>
        <w:t>Eng</w:t>
      </w:r>
      <w:proofErr w:type="spellEnd"/>
      <w:r w:rsidRPr="000763AE">
        <w:rPr>
          <w:rFonts w:eastAsia="Calibri"/>
        </w:rPr>
        <w:t xml:space="preserve">, E., Day, S. H., &amp; Coyne-Beasley, T. (2015). Implicit Racial/Ethnic Bias </w:t>
      </w:r>
      <w:proofErr w:type="gramStart"/>
      <w:r w:rsidRPr="000763AE">
        <w:rPr>
          <w:rFonts w:eastAsia="Calibri"/>
        </w:rPr>
        <w:t>Among</w:t>
      </w:r>
      <w:proofErr w:type="gramEnd"/>
      <w:r w:rsidRPr="000763AE">
        <w:rPr>
          <w:rFonts w:eastAsia="Calibri"/>
        </w:rPr>
        <w:t xml:space="preserve"> Health Care Professionals and Its Influence on Health Care Outcomes: A Systematic Review. </w:t>
      </w:r>
      <w:proofErr w:type="gramStart"/>
      <w:r w:rsidRPr="000763AE">
        <w:rPr>
          <w:rFonts w:eastAsia="Calibri"/>
        </w:rPr>
        <w:t>American journal of public health, 105(12), e60–e76.</w:t>
      </w:r>
      <w:proofErr w:type="gramEnd"/>
      <w:r w:rsidRPr="000763AE">
        <w:rPr>
          <w:rFonts w:eastAsia="Calibri"/>
        </w:rPr>
        <w:t xml:space="preserve"> </w:t>
      </w:r>
      <w:hyperlink r:id="rId35" w:history="1">
        <w:r w:rsidRPr="000763AE">
          <w:rPr>
            <w:rFonts w:eastAsia="Calibri"/>
            <w:color w:val="0000FF"/>
            <w:u w:val="single"/>
          </w:rPr>
          <w:t>https://doi.org/10.2105/AJPH.2015.302903</w:t>
        </w:r>
      </w:hyperlink>
      <w:r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Holtzclaw</w:t>
      </w:r>
      <w:proofErr w:type="spellEnd"/>
      <w:r w:rsidRPr="000763AE">
        <w:rPr>
          <w:rFonts w:eastAsia="Calibri"/>
        </w:rPr>
        <w:t xml:space="preserve"> Williams, Pamela. 2011. Policy framework for rare disease health disparities. Policy, politics &amp; nursing practice 12 (2): 114-118.</w:t>
      </w:r>
    </w:p>
    <w:p w:rsidR="006E0406" w:rsidRPr="000763AE" w:rsidRDefault="006E0406" w:rsidP="00B11B34">
      <w:pPr>
        <w:autoSpaceDE w:val="0"/>
        <w:autoSpaceDN w:val="0"/>
        <w:adjustRightInd w:val="0"/>
        <w:rPr>
          <w:rFonts w:eastAsia="Calibri"/>
        </w:rPr>
      </w:pPr>
    </w:p>
    <w:p w:rsidR="006E0406" w:rsidRPr="006E0406" w:rsidRDefault="006E0406" w:rsidP="00B11B34">
      <w:pPr>
        <w:autoSpaceDE w:val="0"/>
        <w:autoSpaceDN w:val="0"/>
        <w:adjustRightInd w:val="0"/>
        <w:rPr>
          <w:b/>
        </w:rPr>
      </w:pPr>
      <w:proofErr w:type="gramStart"/>
      <w:r w:rsidRPr="000763AE">
        <w:rPr>
          <w:rFonts w:eastAsia="Calibri"/>
          <w:color w:val="000000"/>
        </w:rPr>
        <w:t>IBM SPSS Statistics for Windows, Version 26.0.</w:t>
      </w:r>
      <w:proofErr w:type="gramEnd"/>
      <w:r w:rsidRPr="000763AE">
        <w:rPr>
          <w:rFonts w:eastAsia="Calibri"/>
          <w:color w:val="000000"/>
        </w:rPr>
        <w:t xml:space="preserve"> Armonk, NY: IBM Corp. Released 2019.</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proofErr w:type="gramStart"/>
      <w:r w:rsidRPr="000763AE">
        <w:rPr>
          <w:rFonts w:eastAsia="Calibri"/>
        </w:rPr>
        <w:t>Jeffcoate</w:t>
      </w:r>
      <w:proofErr w:type="spellEnd"/>
      <w:r w:rsidRPr="000763AE">
        <w:rPr>
          <w:rFonts w:eastAsia="Calibri"/>
        </w:rPr>
        <w:t xml:space="preserve">, W. J., </w:t>
      </w:r>
      <w:proofErr w:type="spellStart"/>
      <w:r w:rsidRPr="000763AE">
        <w:rPr>
          <w:rFonts w:eastAsia="Calibri"/>
        </w:rPr>
        <w:t>Vileikyte</w:t>
      </w:r>
      <w:proofErr w:type="spellEnd"/>
      <w:r w:rsidRPr="000763AE">
        <w:rPr>
          <w:rFonts w:eastAsia="Calibri"/>
        </w:rPr>
        <w:t xml:space="preserve">, L., </w:t>
      </w:r>
      <w:proofErr w:type="spellStart"/>
      <w:r w:rsidRPr="000763AE">
        <w:rPr>
          <w:rFonts w:eastAsia="Calibri"/>
        </w:rPr>
        <w:t>Boyko</w:t>
      </w:r>
      <w:proofErr w:type="spellEnd"/>
      <w:r w:rsidRPr="000763AE">
        <w:rPr>
          <w:rFonts w:eastAsia="Calibri"/>
        </w:rPr>
        <w:t xml:space="preserve">, E. J., Armstrong, D. G., &amp; </w:t>
      </w:r>
      <w:proofErr w:type="spellStart"/>
      <w:r w:rsidRPr="000763AE">
        <w:rPr>
          <w:rFonts w:eastAsia="Calibri"/>
        </w:rPr>
        <w:t>Boulton</w:t>
      </w:r>
      <w:proofErr w:type="spellEnd"/>
      <w:r w:rsidRPr="000763AE">
        <w:rPr>
          <w:rFonts w:eastAsia="Calibri"/>
        </w:rPr>
        <w:t>, A. J. (2018).</w:t>
      </w:r>
      <w:proofErr w:type="gramEnd"/>
      <w:r w:rsidRPr="000763AE">
        <w:rPr>
          <w:rFonts w:eastAsia="Calibri"/>
        </w:rPr>
        <w:t xml:space="preserve"> </w:t>
      </w:r>
      <w:proofErr w:type="gramStart"/>
      <w:r w:rsidRPr="000763AE">
        <w:rPr>
          <w:rFonts w:eastAsia="Calibri"/>
        </w:rPr>
        <w:t>Current Challenges and Opportunities in the Prevention and Management of Diabetic Foot Ulcers.</w:t>
      </w:r>
      <w:proofErr w:type="gramEnd"/>
      <w:r w:rsidRPr="000763AE">
        <w:rPr>
          <w:rFonts w:eastAsia="Calibri"/>
        </w:rPr>
        <w:t xml:space="preserve"> Diabetes Care, 41(4), 645-652. </w:t>
      </w:r>
      <w:proofErr w:type="gramStart"/>
      <w:r w:rsidRPr="000763AE">
        <w:rPr>
          <w:rFonts w:eastAsia="Calibri"/>
        </w:rPr>
        <w:t>doi:</w:t>
      </w:r>
      <w:proofErr w:type="gramEnd"/>
      <w:r w:rsidRPr="000763AE">
        <w:rPr>
          <w:rFonts w:eastAsia="Calibri"/>
        </w:rPr>
        <w:t>10.2337/dc17-1836</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Joszt</w:t>
      </w:r>
      <w:proofErr w:type="spellEnd"/>
      <w:r w:rsidRPr="000763AE">
        <w:rPr>
          <w:rFonts w:eastAsia="Calibri"/>
        </w:rPr>
        <w:t xml:space="preserve">, L. (2018). Implicit Biases Have an Explicit Impact on Healthcare Outcomes. </w:t>
      </w:r>
      <w:proofErr w:type="gramStart"/>
      <w:r w:rsidRPr="000763AE">
        <w:rPr>
          <w:rFonts w:eastAsia="Calibri"/>
        </w:rPr>
        <w:t>American Journal of Managed Care.</w:t>
      </w:r>
      <w:proofErr w:type="gramEnd"/>
      <w:r w:rsidRPr="000763AE">
        <w:rPr>
          <w:rFonts w:eastAsia="Calibri"/>
        </w:rPr>
        <w:t xml:space="preserve"> </w:t>
      </w:r>
    </w:p>
    <w:p w:rsidR="006E0406" w:rsidRPr="000763AE" w:rsidRDefault="0003598B" w:rsidP="00B11B34">
      <w:pPr>
        <w:autoSpaceDE w:val="0"/>
        <w:autoSpaceDN w:val="0"/>
        <w:adjustRightInd w:val="0"/>
        <w:rPr>
          <w:rFonts w:eastAsia="Calibri"/>
        </w:rPr>
      </w:pPr>
      <w:hyperlink r:id="rId36" w:history="1">
        <w:r w:rsidR="006E0406" w:rsidRPr="000763AE">
          <w:rPr>
            <w:rFonts w:eastAsia="Calibri"/>
            <w:color w:val="0000FF"/>
            <w:u w:val="single"/>
          </w:rPr>
          <w:t>https://www.ajmc.com/view/implicit-biases-have-an-explicit-impact-on-healthcare-outcomes</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proofErr w:type="gramStart"/>
      <w:r w:rsidRPr="000763AE">
        <w:rPr>
          <w:rFonts w:eastAsia="Calibri"/>
        </w:rPr>
        <w:t>Kangovi</w:t>
      </w:r>
      <w:proofErr w:type="spellEnd"/>
      <w:r w:rsidRPr="000763AE">
        <w:rPr>
          <w:rFonts w:eastAsia="Calibri"/>
        </w:rPr>
        <w:t xml:space="preserve">, S., </w:t>
      </w:r>
      <w:proofErr w:type="spellStart"/>
      <w:r w:rsidRPr="000763AE">
        <w:rPr>
          <w:rFonts w:eastAsia="Calibri"/>
        </w:rPr>
        <w:t>Barg</w:t>
      </w:r>
      <w:proofErr w:type="spellEnd"/>
      <w:r w:rsidRPr="000763AE">
        <w:rPr>
          <w:rFonts w:eastAsia="Calibri"/>
        </w:rPr>
        <w:t>, F. K., Carter, T., Long, J. A., Shannon, R., &amp; Grande, D. (2013).</w:t>
      </w:r>
      <w:proofErr w:type="gramEnd"/>
      <w:r w:rsidRPr="000763AE">
        <w:rPr>
          <w:rFonts w:eastAsia="Calibri"/>
        </w:rPr>
        <w:t xml:space="preserve"> Understanding Why Patients Of Low Socioeconomic Status Prefer Hospitals Over Ambulatory Care. Health Affairs, 32(7), 1196-1203. doi:10.1377/hlthaff.2012.0825</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Khademian</w:t>
      </w:r>
      <w:proofErr w:type="spellEnd"/>
      <w:r w:rsidRPr="000763AE">
        <w:rPr>
          <w:rFonts w:eastAsia="Calibri"/>
        </w:rPr>
        <w:t>, Anne M. (2002). Working with culture: how the job gets done in public programs. Washington, D.C.</w:t>
      </w:r>
      <w:proofErr w:type="gramStart"/>
      <w:r w:rsidRPr="000763AE">
        <w:rPr>
          <w:rFonts w:eastAsia="Calibri"/>
        </w:rPr>
        <w:t>:CQ</w:t>
      </w:r>
      <w:proofErr w:type="gramEnd"/>
      <w:r w:rsidRPr="000763AE">
        <w:rPr>
          <w:rFonts w:eastAsia="Calibri"/>
        </w:rPr>
        <w:t xml:space="preserve"> Press,</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 xml:space="preserve">Kim, G., Ford, K. L., </w:t>
      </w:r>
      <w:proofErr w:type="spellStart"/>
      <w:r w:rsidRPr="000763AE">
        <w:rPr>
          <w:rFonts w:eastAsia="Calibri"/>
        </w:rPr>
        <w:t>Chiriboga</w:t>
      </w:r>
      <w:proofErr w:type="spellEnd"/>
      <w:r w:rsidRPr="000763AE">
        <w:rPr>
          <w:rFonts w:eastAsia="Calibri"/>
        </w:rPr>
        <w:t>, D. A., &amp; Sorkin, D. H. (2012).</w:t>
      </w:r>
      <w:proofErr w:type="gramEnd"/>
      <w:r w:rsidRPr="000763AE">
        <w:rPr>
          <w:rFonts w:eastAsia="Calibri"/>
        </w:rPr>
        <w:t xml:space="preserve"> </w:t>
      </w:r>
      <w:proofErr w:type="gramStart"/>
      <w:r w:rsidRPr="000763AE">
        <w:rPr>
          <w:rFonts w:eastAsia="Calibri"/>
        </w:rPr>
        <w:t>Racial and Ethnic Disparities in Healthcare Use, Delayed Care, and Management of Diabetes Mellitus in Older Adults in California.</w:t>
      </w:r>
      <w:proofErr w:type="gramEnd"/>
      <w:r w:rsidRPr="000763AE">
        <w:rPr>
          <w:rFonts w:eastAsia="Calibri"/>
        </w:rPr>
        <w:t xml:space="preserve"> Journal of the American Geriatrics Society, 60(12), 2319-2325. doi:10.1111/jgs.12003</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lastRenderedPageBreak/>
        <w:t>Kwiatkowska</w:t>
      </w:r>
      <w:proofErr w:type="spellEnd"/>
      <w:r w:rsidRPr="000763AE">
        <w:rPr>
          <w:rFonts w:eastAsia="Calibri"/>
        </w:rPr>
        <w:t xml:space="preserve">, R. (2017, May 31). </w:t>
      </w:r>
      <w:proofErr w:type="gramStart"/>
      <w:r w:rsidRPr="000763AE">
        <w:rPr>
          <w:rFonts w:eastAsia="Calibri"/>
        </w:rPr>
        <w:t>Balancing Equity and Efficiency.</w:t>
      </w:r>
      <w:proofErr w:type="gramEnd"/>
      <w:r w:rsidRPr="000763AE">
        <w:rPr>
          <w:rFonts w:eastAsia="Calibri"/>
        </w:rPr>
        <w:t xml:space="preserve"> Retrieved December 09, 2020, from https://www.healthknowledge.org.uk/public-health-textbook/medical-sociology-policy-economics/4c-equality-equity-policy/balancing-equity-efficiency</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Laiteerapong</w:t>
      </w:r>
      <w:proofErr w:type="spellEnd"/>
      <w:r w:rsidRPr="000763AE">
        <w:rPr>
          <w:rFonts w:eastAsia="Calibri"/>
        </w:rPr>
        <w:t xml:space="preserve"> N, Fairchild PC, Chou CH, Chin MH, Huang ES. Revisiting</w:t>
      </w:r>
    </w:p>
    <w:p w:rsidR="006E0406" w:rsidRPr="000763AE" w:rsidRDefault="006E0406" w:rsidP="00B11B34">
      <w:pPr>
        <w:autoSpaceDE w:val="0"/>
        <w:autoSpaceDN w:val="0"/>
        <w:adjustRightInd w:val="0"/>
        <w:rPr>
          <w:rFonts w:eastAsia="Calibri"/>
        </w:rPr>
      </w:pPr>
      <w:r w:rsidRPr="000763AE">
        <w:rPr>
          <w:rFonts w:eastAsia="Calibri"/>
        </w:rPr>
        <w:t xml:space="preserve">Disparities in Quality of Care </w:t>
      </w:r>
      <w:proofErr w:type="gramStart"/>
      <w:r w:rsidRPr="000763AE">
        <w:rPr>
          <w:rFonts w:eastAsia="Calibri"/>
        </w:rPr>
        <w:t>Among</w:t>
      </w:r>
      <w:proofErr w:type="gramEnd"/>
      <w:r w:rsidRPr="000763AE">
        <w:rPr>
          <w:rFonts w:eastAsia="Calibri"/>
        </w:rPr>
        <w:t xml:space="preserve"> US Adults With Diabetes in the Era of</w:t>
      </w:r>
    </w:p>
    <w:p w:rsidR="006E0406" w:rsidRPr="000763AE" w:rsidRDefault="006E0406" w:rsidP="00B11B34">
      <w:pPr>
        <w:autoSpaceDE w:val="0"/>
        <w:autoSpaceDN w:val="0"/>
        <w:adjustRightInd w:val="0"/>
        <w:rPr>
          <w:rFonts w:eastAsia="Calibri"/>
        </w:rPr>
      </w:pPr>
      <w:r w:rsidRPr="000763AE">
        <w:rPr>
          <w:rFonts w:eastAsia="Calibri"/>
        </w:rPr>
        <w:t xml:space="preserve">Individualized Care, NHANES 2007-2010. </w:t>
      </w:r>
      <w:proofErr w:type="gramStart"/>
      <w:r w:rsidRPr="000763AE">
        <w:rPr>
          <w:rFonts w:eastAsia="Calibri"/>
        </w:rPr>
        <w:t>Med Care.</w:t>
      </w:r>
      <w:proofErr w:type="gramEnd"/>
      <w:r w:rsidRPr="000763AE">
        <w:rPr>
          <w:rFonts w:eastAsia="Calibri"/>
        </w:rPr>
        <w:t xml:space="preserve"> 2015 Jan</w:t>
      </w:r>
      <w:proofErr w:type="gramStart"/>
      <w:r w:rsidRPr="000763AE">
        <w:rPr>
          <w:rFonts w:eastAsia="Calibri"/>
        </w:rPr>
        <w:t>;53</w:t>
      </w:r>
      <w:proofErr w:type="gramEnd"/>
      <w:r w:rsidRPr="000763AE">
        <w:rPr>
          <w:rFonts w:eastAsia="Calibri"/>
        </w:rPr>
        <w:t xml:space="preserve">(1):25-31. </w:t>
      </w:r>
      <w:proofErr w:type="spellStart"/>
      <w:proofErr w:type="gramStart"/>
      <w:r w:rsidRPr="000763AE">
        <w:rPr>
          <w:rFonts w:eastAsia="Calibri"/>
        </w:rPr>
        <w:t>doi</w:t>
      </w:r>
      <w:proofErr w:type="spellEnd"/>
      <w:proofErr w:type="gramEnd"/>
      <w:r w:rsidRPr="000763AE">
        <w:rPr>
          <w:rFonts w:eastAsia="Calibri"/>
        </w:rPr>
        <w:t>:</w:t>
      </w:r>
    </w:p>
    <w:p w:rsidR="000365EC" w:rsidRPr="000763AE" w:rsidRDefault="006E0406" w:rsidP="00B11B34">
      <w:pPr>
        <w:autoSpaceDE w:val="0"/>
        <w:autoSpaceDN w:val="0"/>
        <w:adjustRightInd w:val="0"/>
        <w:rPr>
          <w:rFonts w:eastAsia="Calibri"/>
        </w:rPr>
      </w:pPr>
      <w:r w:rsidRPr="000763AE">
        <w:rPr>
          <w:rFonts w:eastAsia="Calibri"/>
        </w:rPr>
        <w:t>10.1097/MLR.0000000000000255. PubMed PMID: 25373405</w:t>
      </w:r>
    </w:p>
    <w:p w:rsidR="00EC19E3" w:rsidRPr="000763AE" w:rsidRDefault="00EC19E3"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Lewis MA, Bann CM, </w:t>
      </w:r>
      <w:proofErr w:type="spellStart"/>
      <w:r w:rsidRPr="000763AE">
        <w:rPr>
          <w:rFonts w:eastAsia="Calibri"/>
        </w:rPr>
        <w:t>Karns</w:t>
      </w:r>
      <w:proofErr w:type="spellEnd"/>
      <w:r w:rsidRPr="000763AE">
        <w:rPr>
          <w:rFonts w:eastAsia="Calibri"/>
        </w:rPr>
        <w:t xml:space="preserve"> SA, Hobbs CL, Holt S, Brenner J, Fleming N, Johnson </w:t>
      </w:r>
    </w:p>
    <w:p w:rsidR="006E0406" w:rsidRPr="000763AE" w:rsidRDefault="006E0406" w:rsidP="00B11B34">
      <w:pPr>
        <w:autoSpaceDE w:val="0"/>
        <w:autoSpaceDN w:val="0"/>
        <w:adjustRightInd w:val="0"/>
        <w:rPr>
          <w:rFonts w:eastAsia="Calibri"/>
        </w:rPr>
      </w:pPr>
      <w:r w:rsidRPr="000763AE">
        <w:rPr>
          <w:rFonts w:eastAsia="Calibri"/>
        </w:rPr>
        <w:t xml:space="preserve">P, </w:t>
      </w:r>
      <w:proofErr w:type="spellStart"/>
      <w:r w:rsidRPr="000763AE">
        <w:rPr>
          <w:rFonts w:eastAsia="Calibri"/>
        </w:rPr>
        <w:t>Langwell</w:t>
      </w:r>
      <w:proofErr w:type="spellEnd"/>
      <w:r w:rsidRPr="000763AE">
        <w:rPr>
          <w:rFonts w:eastAsia="Calibri"/>
        </w:rPr>
        <w:t xml:space="preserve"> K, Peek ME, Burton JA, </w:t>
      </w:r>
      <w:proofErr w:type="spellStart"/>
      <w:r w:rsidRPr="000763AE">
        <w:rPr>
          <w:rFonts w:eastAsia="Calibri"/>
        </w:rPr>
        <w:t>Hoerger</w:t>
      </w:r>
      <w:proofErr w:type="spellEnd"/>
      <w:r w:rsidRPr="000763AE">
        <w:rPr>
          <w:rFonts w:eastAsia="Calibri"/>
        </w:rPr>
        <w:t xml:space="preserve"> TJ, Clark NM, </w:t>
      </w:r>
      <w:proofErr w:type="spellStart"/>
      <w:r w:rsidRPr="000763AE">
        <w:rPr>
          <w:rFonts w:eastAsia="Calibri"/>
        </w:rPr>
        <w:t>Kamerow</w:t>
      </w:r>
      <w:proofErr w:type="spellEnd"/>
      <w:r w:rsidRPr="000763AE">
        <w:rPr>
          <w:rFonts w:eastAsia="Calibri"/>
        </w:rPr>
        <w:t xml:space="preserve"> DB. Cross-site</w:t>
      </w:r>
    </w:p>
    <w:p w:rsidR="006E0406" w:rsidRPr="000763AE" w:rsidRDefault="006E0406" w:rsidP="00B11B34">
      <w:pPr>
        <w:autoSpaceDE w:val="0"/>
        <w:autoSpaceDN w:val="0"/>
        <w:adjustRightInd w:val="0"/>
        <w:rPr>
          <w:rFonts w:eastAsia="Calibri"/>
        </w:rPr>
      </w:pPr>
      <w:proofErr w:type="gramStart"/>
      <w:r w:rsidRPr="000763AE">
        <w:rPr>
          <w:rFonts w:eastAsia="Calibri"/>
        </w:rPr>
        <w:t>evaluation</w:t>
      </w:r>
      <w:proofErr w:type="gramEnd"/>
      <w:r w:rsidRPr="000763AE">
        <w:rPr>
          <w:rFonts w:eastAsia="Calibri"/>
        </w:rPr>
        <w:t xml:space="preserve"> of the Alliance to Reduce Disparities in Diabetes: clinical and</w:t>
      </w:r>
    </w:p>
    <w:p w:rsidR="006E0406" w:rsidRPr="000763AE" w:rsidRDefault="006E0406" w:rsidP="00B11B34">
      <w:pPr>
        <w:autoSpaceDE w:val="0"/>
        <w:autoSpaceDN w:val="0"/>
        <w:adjustRightInd w:val="0"/>
        <w:rPr>
          <w:rFonts w:eastAsia="Calibri"/>
        </w:rPr>
      </w:pPr>
      <w:proofErr w:type="gramStart"/>
      <w:r w:rsidRPr="000763AE">
        <w:rPr>
          <w:rFonts w:eastAsia="Calibri"/>
        </w:rPr>
        <w:t>patient-reported</w:t>
      </w:r>
      <w:proofErr w:type="gramEnd"/>
      <w:r w:rsidRPr="000763AE">
        <w:rPr>
          <w:rFonts w:eastAsia="Calibri"/>
        </w:rPr>
        <w:t xml:space="preserve"> outcomes. </w:t>
      </w:r>
      <w:proofErr w:type="gramStart"/>
      <w:r w:rsidRPr="000763AE">
        <w:rPr>
          <w:rFonts w:eastAsia="Calibri"/>
        </w:rPr>
        <w:t xml:space="preserve">Health </w:t>
      </w:r>
      <w:proofErr w:type="spellStart"/>
      <w:r w:rsidRPr="000763AE">
        <w:rPr>
          <w:rFonts w:eastAsia="Calibri"/>
        </w:rPr>
        <w:t>Promot</w:t>
      </w:r>
      <w:proofErr w:type="spellEnd"/>
      <w:r w:rsidRPr="000763AE">
        <w:rPr>
          <w:rFonts w:eastAsia="Calibri"/>
        </w:rPr>
        <w:t xml:space="preserve"> </w:t>
      </w:r>
      <w:proofErr w:type="spellStart"/>
      <w:r w:rsidRPr="000763AE">
        <w:rPr>
          <w:rFonts w:eastAsia="Calibri"/>
        </w:rPr>
        <w:t>Pract</w:t>
      </w:r>
      <w:proofErr w:type="spellEnd"/>
      <w:r w:rsidRPr="000763AE">
        <w:rPr>
          <w:rFonts w:eastAsia="Calibri"/>
        </w:rPr>
        <w:t>.</w:t>
      </w:r>
      <w:proofErr w:type="gramEnd"/>
      <w:r w:rsidRPr="000763AE">
        <w:rPr>
          <w:rFonts w:eastAsia="Calibri"/>
        </w:rPr>
        <w:t xml:space="preserve"> 2014 Nov</w:t>
      </w:r>
      <w:proofErr w:type="gramStart"/>
      <w:r w:rsidRPr="000763AE">
        <w:rPr>
          <w:rFonts w:eastAsia="Calibri"/>
        </w:rPr>
        <w:t>;15</w:t>
      </w:r>
      <w:proofErr w:type="gramEnd"/>
      <w:r w:rsidRPr="000763AE">
        <w:rPr>
          <w:rFonts w:eastAsia="Calibri"/>
        </w:rPr>
        <w:t xml:space="preserve">(2 </w:t>
      </w:r>
      <w:proofErr w:type="spellStart"/>
      <w:r w:rsidRPr="000763AE">
        <w:rPr>
          <w:rFonts w:eastAsia="Calibri"/>
        </w:rPr>
        <w:t>Suppl</w:t>
      </w:r>
      <w:proofErr w:type="spellEnd"/>
      <w:r w:rsidRPr="000763AE">
        <w:rPr>
          <w:rFonts w:eastAsia="Calibri"/>
        </w:rPr>
        <w:t>):92S-102S.</w:t>
      </w:r>
    </w:p>
    <w:p w:rsidR="006E0406" w:rsidRPr="000763AE" w:rsidRDefault="006E0406" w:rsidP="00B11B34">
      <w:pPr>
        <w:autoSpaceDE w:val="0"/>
        <w:autoSpaceDN w:val="0"/>
        <w:adjustRightInd w:val="0"/>
        <w:rPr>
          <w:rFonts w:eastAsia="Calibri"/>
        </w:rPr>
      </w:pPr>
      <w:proofErr w:type="spellStart"/>
      <w:proofErr w:type="gramStart"/>
      <w:r w:rsidRPr="000763AE">
        <w:rPr>
          <w:rFonts w:eastAsia="Calibri"/>
        </w:rPr>
        <w:t>doi</w:t>
      </w:r>
      <w:proofErr w:type="spellEnd"/>
      <w:proofErr w:type="gramEnd"/>
      <w:r w:rsidRPr="000763AE">
        <w:rPr>
          <w:rFonts w:eastAsia="Calibri"/>
        </w:rPr>
        <w:t>: 10.1177/1524839914545168. PubMed PMID: 25359255</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Ma, A., Sanchez, A. &amp; Ma, M.</w:t>
      </w:r>
      <w:proofErr w:type="gramEnd"/>
      <w:r w:rsidRPr="000763AE">
        <w:rPr>
          <w:rFonts w:eastAsia="Calibri"/>
        </w:rPr>
        <w:t xml:space="preserve"> The Impact of Patient-Provider Race/Ethnicity Concordance on Provider Visits: Updated Evidence from the Medical Expenditure Panel Survey. J. Racial and Ethnic Health Disparities 6, 1011–1020 (2019). https://doi.org/10.1007/s40615-019-00602-y</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McKinlay</w:t>
      </w:r>
      <w:proofErr w:type="spellEnd"/>
      <w:r w:rsidRPr="000763AE">
        <w:rPr>
          <w:rFonts w:eastAsia="Calibri"/>
        </w:rPr>
        <w:t xml:space="preserve"> J, Piccolo R, Marceau L. An additional cause of health care</w:t>
      </w:r>
    </w:p>
    <w:p w:rsidR="006E0406" w:rsidRPr="000763AE" w:rsidRDefault="006E0406" w:rsidP="00B11B34">
      <w:pPr>
        <w:autoSpaceDE w:val="0"/>
        <w:autoSpaceDN w:val="0"/>
        <w:adjustRightInd w:val="0"/>
        <w:rPr>
          <w:rFonts w:eastAsia="Calibri"/>
        </w:rPr>
      </w:pPr>
      <w:proofErr w:type="gramStart"/>
      <w:r w:rsidRPr="000763AE">
        <w:rPr>
          <w:rFonts w:eastAsia="Calibri"/>
        </w:rPr>
        <w:t>disparities</w:t>
      </w:r>
      <w:proofErr w:type="gramEnd"/>
      <w:r w:rsidRPr="000763AE">
        <w:rPr>
          <w:rFonts w:eastAsia="Calibri"/>
        </w:rPr>
        <w:t xml:space="preserve">: the variable clinical decisions of primary care doctors. J </w:t>
      </w:r>
      <w:proofErr w:type="spellStart"/>
      <w:r w:rsidRPr="000763AE">
        <w:rPr>
          <w:rFonts w:eastAsia="Calibri"/>
        </w:rPr>
        <w:t>Eval</w:t>
      </w:r>
      <w:proofErr w:type="spellEnd"/>
      <w:r w:rsidRPr="000763AE">
        <w:rPr>
          <w:rFonts w:eastAsia="Calibri"/>
        </w:rPr>
        <w:t xml:space="preserve"> </w:t>
      </w:r>
      <w:proofErr w:type="spellStart"/>
      <w:r w:rsidRPr="000763AE">
        <w:rPr>
          <w:rFonts w:eastAsia="Calibri"/>
        </w:rPr>
        <w:t>Clin</w:t>
      </w:r>
      <w:proofErr w:type="spellEnd"/>
    </w:p>
    <w:p w:rsidR="006E0406" w:rsidRPr="000763AE" w:rsidRDefault="006E0406" w:rsidP="00B11B34">
      <w:pPr>
        <w:autoSpaceDE w:val="0"/>
        <w:autoSpaceDN w:val="0"/>
        <w:adjustRightInd w:val="0"/>
        <w:rPr>
          <w:rFonts w:eastAsia="Calibri"/>
        </w:rPr>
      </w:pPr>
      <w:proofErr w:type="spellStart"/>
      <w:proofErr w:type="gramStart"/>
      <w:r w:rsidRPr="000763AE">
        <w:rPr>
          <w:rFonts w:eastAsia="Calibri"/>
        </w:rPr>
        <w:t>Pract</w:t>
      </w:r>
      <w:proofErr w:type="spellEnd"/>
      <w:r w:rsidRPr="000763AE">
        <w:rPr>
          <w:rFonts w:eastAsia="Calibri"/>
        </w:rPr>
        <w:t>.</w:t>
      </w:r>
      <w:proofErr w:type="gramEnd"/>
      <w:r w:rsidRPr="000763AE">
        <w:rPr>
          <w:rFonts w:eastAsia="Calibri"/>
        </w:rPr>
        <w:t xml:space="preserve"> 2013 Aug</w:t>
      </w:r>
      <w:proofErr w:type="gramStart"/>
      <w:r w:rsidRPr="000763AE">
        <w:rPr>
          <w:rFonts w:eastAsia="Calibri"/>
        </w:rPr>
        <w:t>;19</w:t>
      </w:r>
      <w:proofErr w:type="gramEnd"/>
      <w:r w:rsidRPr="000763AE">
        <w:rPr>
          <w:rFonts w:eastAsia="Calibri"/>
        </w:rPr>
        <w:t xml:space="preserve">(4):664-73. </w:t>
      </w:r>
      <w:proofErr w:type="spellStart"/>
      <w:proofErr w:type="gramStart"/>
      <w:r w:rsidRPr="000763AE">
        <w:rPr>
          <w:rFonts w:eastAsia="Calibri"/>
        </w:rPr>
        <w:t>doi</w:t>
      </w:r>
      <w:proofErr w:type="spellEnd"/>
      <w:proofErr w:type="gramEnd"/>
      <w:r w:rsidRPr="000763AE">
        <w:rPr>
          <w:rFonts w:eastAsia="Calibri"/>
        </w:rPr>
        <w:t xml:space="preserve">: 10.1111/jep.12015. </w:t>
      </w:r>
      <w:proofErr w:type="spellStart"/>
      <w:r w:rsidRPr="000763AE">
        <w:rPr>
          <w:rFonts w:eastAsia="Calibri"/>
        </w:rPr>
        <w:t>Epub</w:t>
      </w:r>
      <w:proofErr w:type="spellEnd"/>
      <w:r w:rsidRPr="000763AE">
        <w:rPr>
          <w:rFonts w:eastAsia="Calibri"/>
        </w:rPr>
        <w:t xml:space="preserve"> 2012 Dec 6. PubMed</w:t>
      </w:r>
    </w:p>
    <w:p w:rsidR="006E0406" w:rsidRPr="000763AE" w:rsidRDefault="006E0406" w:rsidP="00B11B34">
      <w:pPr>
        <w:autoSpaceDE w:val="0"/>
        <w:autoSpaceDN w:val="0"/>
        <w:adjustRightInd w:val="0"/>
        <w:rPr>
          <w:rFonts w:eastAsia="Calibri"/>
          <w:sz w:val="23"/>
          <w:szCs w:val="23"/>
          <w:shd w:val="clear" w:color="auto" w:fill="FFFFFF"/>
        </w:rPr>
      </w:pPr>
      <w:r w:rsidRPr="000763AE">
        <w:rPr>
          <w:rFonts w:eastAsia="Calibri"/>
        </w:rPr>
        <w:t>PMID: 23216876; PubMed Central PMCID: PMC3729756.</w:t>
      </w:r>
    </w:p>
    <w:p w:rsidR="006E0406" w:rsidRPr="000763AE" w:rsidRDefault="006E0406" w:rsidP="00B11B34">
      <w:pPr>
        <w:autoSpaceDE w:val="0"/>
        <w:autoSpaceDN w:val="0"/>
        <w:adjustRightInd w:val="0"/>
        <w:rPr>
          <w:rFonts w:eastAsia="Calibri"/>
          <w:sz w:val="23"/>
          <w:szCs w:val="23"/>
          <w:shd w:val="clear" w:color="auto" w:fill="FFFFFF"/>
        </w:rPr>
      </w:pPr>
    </w:p>
    <w:p w:rsidR="006E0406" w:rsidRPr="000763AE" w:rsidRDefault="006E0406" w:rsidP="00B11B34">
      <w:pPr>
        <w:autoSpaceDE w:val="0"/>
        <w:autoSpaceDN w:val="0"/>
        <w:adjustRightInd w:val="0"/>
        <w:rPr>
          <w:rFonts w:eastAsia="Calibri"/>
          <w:sz w:val="28"/>
        </w:rPr>
      </w:pPr>
      <w:r w:rsidRPr="000763AE">
        <w:rPr>
          <w:rFonts w:eastAsia="Calibri"/>
          <w:szCs w:val="23"/>
          <w:shd w:val="clear" w:color="auto" w:fill="FFFFFF"/>
        </w:rPr>
        <w:t xml:space="preserve">Mendelson A, Kondo K, </w:t>
      </w:r>
      <w:proofErr w:type="spellStart"/>
      <w:r w:rsidRPr="000763AE">
        <w:rPr>
          <w:rFonts w:eastAsia="Calibri"/>
          <w:szCs w:val="23"/>
          <w:shd w:val="clear" w:color="auto" w:fill="FFFFFF"/>
        </w:rPr>
        <w:t>Damberg</w:t>
      </w:r>
      <w:proofErr w:type="spellEnd"/>
      <w:r w:rsidRPr="000763AE">
        <w:rPr>
          <w:rFonts w:eastAsia="Calibri"/>
          <w:szCs w:val="23"/>
          <w:shd w:val="clear" w:color="auto" w:fill="FFFFFF"/>
        </w:rPr>
        <w:t xml:space="preserve"> C, Low A, </w:t>
      </w:r>
      <w:proofErr w:type="spellStart"/>
      <w:r w:rsidRPr="000763AE">
        <w:rPr>
          <w:rFonts w:eastAsia="Calibri"/>
          <w:szCs w:val="23"/>
          <w:shd w:val="clear" w:color="auto" w:fill="FFFFFF"/>
        </w:rPr>
        <w:t>Motúapuaka</w:t>
      </w:r>
      <w:proofErr w:type="spellEnd"/>
      <w:r w:rsidRPr="000763AE">
        <w:rPr>
          <w:rFonts w:eastAsia="Calibri"/>
          <w:szCs w:val="23"/>
          <w:shd w:val="clear" w:color="auto" w:fill="FFFFFF"/>
        </w:rPr>
        <w:t xml:space="preserve"> M, Freeman M, et al. The Effects of Pay-for-Performance Programs on Health, Health Care Use, and Processes of Care</w:t>
      </w:r>
      <w:r w:rsidRPr="000763AE">
        <w:rPr>
          <w:rFonts w:eastAsia="Calibri"/>
          <w:szCs w:val="23"/>
          <w:bdr w:val="none" w:sz="0" w:space="0" w:color="auto" w:frame="1"/>
          <w:shd w:val="clear" w:color="auto" w:fill="FFFFFF"/>
        </w:rPr>
        <w:t>: A Systematic Review</w:t>
      </w:r>
      <w:r w:rsidRPr="000763AE">
        <w:rPr>
          <w:rFonts w:eastAsia="Calibri"/>
          <w:szCs w:val="23"/>
          <w:shd w:val="clear" w:color="auto" w:fill="FFFFFF"/>
        </w:rPr>
        <w:t>. Ann Intern Med.</w:t>
      </w:r>
      <w:proofErr w:type="gramStart"/>
      <w:r w:rsidRPr="000763AE">
        <w:rPr>
          <w:rFonts w:eastAsia="Calibri"/>
          <w:szCs w:val="23"/>
          <w:shd w:val="clear" w:color="auto" w:fill="FFFFFF"/>
        </w:rPr>
        <w:t>;166</w:t>
      </w:r>
      <w:r w:rsidRPr="000763AE">
        <w:rPr>
          <w:rFonts w:eastAsia="Calibri"/>
          <w:szCs w:val="23"/>
          <w:bdr w:val="none" w:sz="0" w:space="0" w:color="auto" w:frame="1"/>
          <w:shd w:val="clear" w:color="auto" w:fill="FFFFFF"/>
        </w:rPr>
        <w:t>:341</w:t>
      </w:r>
      <w:proofErr w:type="gramEnd"/>
      <w:r w:rsidRPr="000763AE">
        <w:rPr>
          <w:rFonts w:eastAsia="Calibri"/>
          <w:szCs w:val="23"/>
          <w:bdr w:val="none" w:sz="0" w:space="0" w:color="auto" w:frame="1"/>
          <w:shd w:val="clear" w:color="auto" w:fill="FFFFFF"/>
        </w:rPr>
        <w:t>–353.</w:t>
      </w:r>
      <w:r w:rsidRPr="000763AE">
        <w:rPr>
          <w:rFonts w:eastAsia="Calibri"/>
          <w:szCs w:val="23"/>
          <w:shd w:val="clear" w:color="auto" w:fill="FFFFFF"/>
        </w:rPr>
        <w:t> </w:t>
      </w:r>
      <w:proofErr w:type="spellStart"/>
      <w:proofErr w:type="gramStart"/>
      <w:r w:rsidRPr="000763AE">
        <w:rPr>
          <w:rFonts w:eastAsia="Calibri"/>
          <w:szCs w:val="23"/>
          <w:shd w:val="clear" w:color="auto" w:fill="FFFFFF"/>
        </w:rPr>
        <w:t>doi</w:t>
      </w:r>
      <w:proofErr w:type="spellEnd"/>
      <w:proofErr w:type="gramEnd"/>
      <w:r w:rsidRPr="000763AE">
        <w:rPr>
          <w:rFonts w:eastAsia="Calibri"/>
          <w:szCs w:val="23"/>
          <w:shd w:val="clear" w:color="auto" w:fill="FFFFFF"/>
        </w:rPr>
        <w:t>: 10.7326/M16-1881</w:t>
      </w:r>
    </w:p>
    <w:p w:rsidR="006E0406" w:rsidRPr="000763AE" w:rsidRDefault="006E0406" w:rsidP="00B11B34">
      <w:pPr>
        <w:autoSpaceDE w:val="0"/>
        <w:autoSpaceDN w:val="0"/>
        <w:adjustRightInd w:val="0"/>
        <w:rPr>
          <w:rFonts w:eastAsia="Calibri"/>
        </w:rPr>
      </w:pPr>
    </w:p>
    <w:p w:rsidR="006E0406" w:rsidRPr="000763AE" w:rsidRDefault="006E0406" w:rsidP="00B11B34">
      <w:pPr>
        <w:rPr>
          <w:rFonts w:eastAsia="Calibri"/>
        </w:rPr>
      </w:pPr>
      <w:r w:rsidRPr="000763AE">
        <w:rPr>
          <w:rFonts w:eastAsia="Calibri"/>
        </w:rPr>
        <w:t xml:space="preserve">Miller JD, Carter E, Shih J, et al. How to do a 3-minute diabetic foot exam [published correction appears in J Fam </w:t>
      </w:r>
      <w:proofErr w:type="spellStart"/>
      <w:r w:rsidRPr="000763AE">
        <w:rPr>
          <w:rFonts w:eastAsia="Calibri"/>
        </w:rPr>
        <w:t>Pract</w:t>
      </w:r>
      <w:proofErr w:type="spellEnd"/>
      <w:r w:rsidRPr="000763AE">
        <w:rPr>
          <w:rFonts w:eastAsia="Calibri"/>
        </w:rPr>
        <w:t>. 2015 Aug</w:t>
      </w:r>
      <w:proofErr w:type="gramStart"/>
      <w:r w:rsidRPr="000763AE">
        <w:rPr>
          <w:rFonts w:eastAsia="Calibri"/>
        </w:rPr>
        <w:t>;64</w:t>
      </w:r>
      <w:proofErr w:type="gramEnd"/>
      <w:r w:rsidRPr="000763AE">
        <w:rPr>
          <w:rFonts w:eastAsia="Calibri"/>
        </w:rPr>
        <w:t xml:space="preserve">(8):452]. J </w:t>
      </w:r>
      <w:proofErr w:type="gramStart"/>
      <w:r w:rsidRPr="000763AE">
        <w:rPr>
          <w:rFonts w:eastAsia="Calibri"/>
        </w:rPr>
        <w:t>Fam</w:t>
      </w:r>
      <w:proofErr w:type="gramEnd"/>
      <w:r w:rsidRPr="000763AE">
        <w:rPr>
          <w:rFonts w:eastAsia="Calibri"/>
        </w:rPr>
        <w:t xml:space="preserve"> </w:t>
      </w:r>
      <w:proofErr w:type="spellStart"/>
      <w:r w:rsidRPr="000763AE">
        <w:rPr>
          <w:rFonts w:eastAsia="Calibri"/>
        </w:rPr>
        <w:t>Pract</w:t>
      </w:r>
      <w:proofErr w:type="spellEnd"/>
      <w:r w:rsidRPr="000763AE">
        <w:rPr>
          <w:rFonts w:eastAsia="Calibri"/>
        </w:rPr>
        <w:t>. 2014</w:t>
      </w:r>
      <w:proofErr w:type="gramStart"/>
      <w:r w:rsidRPr="000763AE">
        <w:rPr>
          <w:rFonts w:eastAsia="Calibri"/>
        </w:rPr>
        <w:t>;63</w:t>
      </w:r>
      <w:proofErr w:type="gramEnd"/>
      <w:r w:rsidRPr="000763AE">
        <w:rPr>
          <w:rFonts w:eastAsia="Calibri"/>
        </w:rPr>
        <w:t>(11):646-656.</w:t>
      </w:r>
    </w:p>
    <w:p w:rsidR="006E0406" w:rsidRPr="000763AE" w:rsidRDefault="006E0406" w:rsidP="00B11B34">
      <w:pPr>
        <w:rPr>
          <w:rFonts w:eastAsia="Calibri"/>
        </w:rPr>
      </w:pPr>
    </w:p>
    <w:p w:rsidR="006E0406" w:rsidRPr="000763AE" w:rsidRDefault="006E0406" w:rsidP="00B11B34">
      <w:pPr>
        <w:rPr>
          <w:rFonts w:eastAsia="Calibri"/>
        </w:rPr>
      </w:pPr>
      <w:r w:rsidRPr="000763AE">
        <w:rPr>
          <w:rFonts w:eastAsia="Calibri"/>
        </w:rPr>
        <w:t>Minitab18. What are the Goodman-</w:t>
      </w:r>
      <w:proofErr w:type="spellStart"/>
      <w:r w:rsidRPr="000763AE">
        <w:rPr>
          <w:rFonts w:eastAsia="Calibri"/>
        </w:rPr>
        <w:t>Kruskal</w:t>
      </w:r>
      <w:proofErr w:type="spellEnd"/>
      <w:r w:rsidRPr="000763AE">
        <w:rPr>
          <w:rFonts w:eastAsia="Calibri"/>
        </w:rPr>
        <w:t xml:space="preserve"> statistics?</w:t>
      </w:r>
    </w:p>
    <w:p w:rsidR="006E0406" w:rsidRPr="000763AE" w:rsidRDefault="0003598B" w:rsidP="00B11B34">
      <w:pPr>
        <w:rPr>
          <w:rFonts w:eastAsia="Calibri"/>
        </w:rPr>
      </w:pPr>
      <w:hyperlink r:id="rId37" w:history="1">
        <w:r w:rsidR="006E0406" w:rsidRPr="000763AE">
          <w:rPr>
            <w:rFonts w:eastAsia="Calibri"/>
            <w:color w:val="0000FF"/>
            <w:u w:val="single"/>
          </w:rPr>
          <w:t>https://support.minitab.com/en-us/minitab/18/help-and-how-to/statistics/tables/supporting-topics/other-statistics-and-tests/what-are-the-goodman-kruskal-statistics/</w:t>
        </w:r>
      </w:hyperlink>
      <w:r w:rsidR="006E0406" w:rsidRPr="000763AE">
        <w:rPr>
          <w:rFonts w:eastAsia="Calibri"/>
        </w:rPr>
        <w:t xml:space="preserve"> </w:t>
      </w:r>
    </w:p>
    <w:p w:rsidR="006E0406" w:rsidRPr="000763AE" w:rsidRDefault="006E0406" w:rsidP="00B11B34">
      <w:pPr>
        <w:rPr>
          <w:rFonts w:eastAsia="Calibri"/>
        </w:rPr>
      </w:pPr>
    </w:p>
    <w:p w:rsidR="006E0406" w:rsidRPr="000763AE" w:rsidRDefault="006E0406" w:rsidP="00B11B34">
      <w:pPr>
        <w:rPr>
          <w:rFonts w:eastAsia="Calibri"/>
        </w:rPr>
      </w:pPr>
      <w:r w:rsidRPr="000763AE">
        <w:rPr>
          <w:rFonts w:eastAsia="Calibri"/>
        </w:rPr>
        <w:t xml:space="preserve">Munro CL, Savel RH.  (2016) Narrowing the 17-Year Research to Practice Gap. Am J </w:t>
      </w:r>
      <w:proofErr w:type="spellStart"/>
      <w:r w:rsidRPr="000763AE">
        <w:rPr>
          <w:rFonts w:eastAsia="Calibri"/>
        </w:rPr>
        <w:t>Crit</w:t>
      </w:r>
      <w:proofErr w:type="spellEnd"/>
      <w:r w:rsidRPr="000763AE">
        <w:rPr>
          <w:rFonts w:eastAsia="Calibri"/>
        </w:rPr>
        <w:t xml:space="preserve"> Care.</w:t>
      </w:r>
      <w:proofErr w:type="gramStart"/>
      <w:r w:rsidRPr="000763AE">
        <w:rPr>
          <w:rFonts w:eastAsia="Calibri"/>
        </w:rPr>
        <w:t>;25</w:t>
      </w:r>
      <w:proofErr w:type="gramEnd"/>
      <w:r w:rsidRPr="000763AE">
        <w:rPr>
          <w:rFonts w:eastAsia="Calibri"/>
        </w:rPr>
        <w:t xml:space="preserve">(3):194-196. </w:t>
      </w:r>
      <w:proofErr w:type="gramStart"/>
      <w:r w:rsidRPr="000763AE">
        <w:rPr>
          <w:rFonts w:eastAsia="Calibri"/>
        </w:rPr>
        <w:t>doi:</w:t>
      </w:r>
      <w:proofErr w:type="gramEnd"/>
      <w:r w:rsidRPr="000763AE">
        <w:rPr>
          <w:rFonts w:eastAsia="Calibri"/>
        </w:rPr>
        <w:t>10.4037/ajcc2016449</w:t>
      </w:r>
    </w:p>
    <w:p w:rsidR="006E0406" w:rsidRPr="000763AE" w:rsidRDefault="006E0406" w:rsidP="00B11B34">
      <w:pPr>
        <w:rPr>
          <w:rFonts w:eastAsia="Calibri"/>
        </w:rPr>
      </w:pPr>
    </w:p>
    <w:p w:rsidR="006E0406" w:rsidRPr="000763AE" w:rsidRDefault="006E0406" w:rsidP="00B11B34">
      <w:pPr>
        <w:rPr>
          <w:rFonts w:eastAsia="Calibri"/>
        </w:rPr>
      </w:pPr>
      <w:proofErr w:type="spellStart"/>
      <w:proofErr w:type="gramStart"/>
      <w:r w:rsidRPr="000763AE">
        <w:rPr>
          <w:rFonts w:eastAsia="Calibri"/>
        </w:rPr>
        <w:t>Nabatchi</w:t>
      </w:r>
      <w:proofErr w:type="spellEnd"/>
      <w:r w:rsidRPr="000763AE">
        <w:rPr>
          <w:rFonts w:eastAsia="Calibri"/>
        </w:rPr>
        <w:t xml:space="preserve">, T. and </w:t>
      </w:r>
      <w:proofErr w:type="spellStart"/>
      <w:r w:rsidRPr="000763AE">
        <w:rPr>
          <w:rFonts w:eastAsia="Calibri"/>
        </w:rPr>
        <w:t>Carboni</w:t>
      </w:r>
      <w:proofErr w:type="spellEnd"/>
      <w:r w:rsidRPr="000763AE">
        <w:rPr>
          <w:rFonts w:eastAsia="Calibri"/>
        </w:rPr>
        <w:t>, J. (2019).</w:t>
      </w:r>
      <w:proofErr w:type="gramEnd"/>
      <w:r w:rsidRPr="000763AE">
        <w:rPr>
          <w:rFonts w:eastAsia="Calibri"/>
        </w:rPr>
        <w:t xml:space="preserve">  Assessing the Past and Future of Public Administration: Reflections from the </w:t>
      </w:r>
      <w:proofErr w:type="spellStart"/>
      <w:r w:rsidRPr="000763AE">
        <w:rPr>
          <w:rFonts w:eastAsia="Calibri"/>
        </w:rPr>
        <w:t>Minnowbrook</w:t>
      </w:r>
      <w:proofErr w:type="spellEnd"/>
      <w:r w:rsidRPr="000763AE">
        <w:rPr>
          <w:rFonts w:eastAsia="Calibri"/>
        </w:rPr>
        <w:t xml:space="preserve"> at 50 Conference.  IBM Center for </w:t>
      </w:r>
      <w:proofErr w:type="gramStart"/>
      <w:r w:rsidRPr="000763AE">
        <w:rPr>
          <w:rFonts w:eastAsia="Calibri"/>
        </w:rPr>
        <w:t>The</w:t>
      </w:r>
      <w:proofErr w:type="gramEnd"/>
      <w:r w:rsidRPr="000763AE">
        <w:rPr>
          <w:rFonts w:eastAsia="Calibri"/>
        </w:rPr>
        <w:t xml:space="preserve"> Business of Government</w:t>
      </w:r>
    </w:p>
    <w:p w:rsidR="006E0406" w:rsidRPr="000763AE" w:rsidRDefault="006E0406" w:rsidP="00B11B34">
      <w:pPr>
        <w:rPr>
          <w:rFonts w:eastAsia="Calibri"/>
        </w:rPr>
      </w:pPr>
    </w:p>
    <w:p w:rsidR="006162AE" w:rsidRPr="000763AE" w:rsidRDefault="006162AE" w:rsidP="00B11B34">
      <w:pPr>
        <w:rPr>
          <w:rFonts w:eastAsia="Calibri"/>
        </w:rPr>
      </w:pPr>
      <w:r w:rsidRPr="000763AE">
        <w:rPr>
          <w:rFonts w:eastAsia="Calibri"/>
        </w:rPr>
        <w:br w:type="page"/>
      </w:r>
    </w:p>
    <w:p w:rsidR="006E0406" w:rsidRPr="000763AE" w:rsidRDefault="006E0406" w:rsidP="00B11B34">
      <w:pPr>
        <w:rPr>
          <w:rFonts w:eastAsia="Calibri"/>
        </w:rPr>
      </w:pPr>
      <w:proofErr w:type="gramStart"/>
      <w:r w:rsidRPr="000763AE">
        <w:rPr>
          <w:rFonts w:eastAsia="Calibri"/>
        </w:rPr>
        <w:lastRenderedPageBreak/>
        <w:t>National Archives.</w:t>
      </w:r>
      <w:proofErr w:type="gramEnd"/>
      <w:r w:rsidRPr="000763AE">
        <w:rPr>
          <w:rFonts w:eastAsia="Calibri"/>
        </w:rPr>
        <w:t xml:space="preserve"> (2019)</w:t>
      </w:r>
      <w:proofErr w:type="gramStart"/>
      <w:r w:rsidRPr="000763AE">
        <w:rPr>
          <w:rFonts w:eastAsia="Calibri"/>
        </w:rPr>
        <w:t>.  The</w:t>
      </w:r>
      <w:proofErr w:type="gramEnd"/>
      <w:r w:rsidRPr="000763AE">
        <w:rPr>
          <w:rFonts w:eastAsia="Calibri"/>
        </w:rPr>
        <w:t xml:space="preserve"> Center of Legislative Archives. Congress and the Voting Rights Act of 1965</w:t>
      </w:r>
    </w:p>
    <w:p w:rsidR="006E0406" w:rsidRPr="000763AE" w:rsidRDefault="0003598B" w:rsidP="00B11B34">
      <w:pPr>
        <w:rPr>
          <w:rFonts w:eastAsia="Calibri"/>
        </w:rPr>
      </w:pPr>
      <w:hyperlink r:id="rId38" w:history="1">
        <w:r w:rsidR="006E0406" w:rsidRPr="000763AE">
          <w:rPr>
            <w:rFonts w:eastAsia="Calibri"/>
            <w:color w:val="0000FF"/>
            <w:u w:val="single"/>
          </w:rPr>
          <w:t>https://www.archives.gov/legislative/features/voting-rights-1965</w:t>
        </w:r>
      </w:hyperlink>
      <w:r w:rsidR="006E0406" w:rsidRPr="000763AE">
        <w:rPr>
          <w:rFonts w:eastAsia="Calibri"/>
        </w:rPr>
        <w:t xml:space="preserve"> </w:t>
      </w:r>
    </w:p>
    <w:p w:rsidR="006E0406" w:rsidRPr="000763AE" w:rsidRDefault="006E0406" w:rsidP="00B11B34">
      <w:pPr>
        <w:rPr>
          <w:rFonts w:eastAsia="Calibri"/>
        </w:rPr>
      </w:pPr>
    </w:p>
    <w:p w:rsidR="006E0406" w:rsidRPr="000763AE" w:rsidRDefault="006E0406" w:rsidP="00B11B34">
      <w:pPr>
        <w:rPr>
          <w:rFonts w:eastAsia="Calibri"/>
        </w:rPr>
      </w:pPr>
      <w:proofErr w:type="gramStart"/>
      <w:r w:rsidRPr="000763AE">
        <w:rPr>
          <w:rFonts w:eastAsia="Calibri"/>
        </w:rPr>
        <w:t>National Center for Health Statistics.</w:t>
      </w:r>
      <w:proofErr w:type="gramEnd"/>
      <w:r w:rsidRPr="000763AE">
        <w:rPr>
          <w:rFonts w:eastAsia="Calibri"/>
        </w:rPr>
        <w:t xml:space="preserve"> </w:t>
      </w:r>
      <w:proofErr w:type="gramStart"/>
      <w:r w:rsidRPr="000763AE">
        <w:rPr>
          <w:rFonts w:eastAsia="Calibri"/>
        </w:rPr>
        <w:t>National Ambulatory Medical Survey, 2015.</w:t>
      </w:r>
      <w:proofErr w:type="gramEnd"/>
      <w:r w:rsidRPr="000763AE">
        <w:rPr>
          <w:rFonts w:eastAsia="Calibri"/>
        </w:rPr>
        <w:t xml:space="preserve"> </w:t>
      </w:r>
      <w:proofErr w:type="gramStart"/>
      <w:r w:rsidRPr="000763AE">
        <w:rPr>
          <w:rFonts w:eastAsia="Calibri"/>
        </w:rPr>
        <w:t>Public-use data file and documentation.</w:t>
      </w:r>
      <w:proofErr w:type="gramEnd"/>
      <w:r w:rsidRPr="000763AE">
        <w:rPr>
          <w:rFonts w:eastAsia="Calibri"/>
        </w:rPr>
        <w:t xml:space="preserve"> ftp://ftp.cdc.gov/pub/Health_Statistics/nchs/. 2015.</w:t>
      </w:r>
    </w:p>
    <w:p w:rsidR="006E0406" w:rsidRPr="000763AE" w:rsidRDefault="006E0406" w:rsidP="00B11B34">
      <w:pPr>
        <w:rPr>
          <w:rFonts w:eastAsia="Calibri"/>
        </w:rPr>
      </w:pPr>
    </w:p>
    <w:p w:rsidR="006E0406" w:rsidRPr="000763AE" w:rsidRDefault="006E0406" w:rsidP="00B11B34">
      <w:pPr>
        <w:rPr>
          <w:rFonts w:eastAsia="Calibri"/>
        </w:rPr>
      </w:pPr>
      <w:r w:rsidRPr="000763AE">
        <w:rPr>
          <w:rFonts w:eastAsia="Calibri"/>
        </w:rPr>
        <w:t>NATIONAL FEDERATION OF INDEPENDENT BUSINESS ET AL. v. SEBELIUS, SECRETARY OF HEALTH AND HUMAN SERVICES, ET AL., Https://caselaw.findlaw.com/us-supreme-court/11-393.html (June 28, 2012).</w:t>
      </w:r>
    </w:p>
    <w:p w:rsidR="006E0406" w:rsidRPr="000763AE" w:rsidRDefault="006E0406" w:rsidP="00B11B34">
      <w:pPr>
        <w:autoSpaceDE w:val="0"/>
        <w:autoSpaceDN w:val="0"/>
        <w:adjustRightInd w:val="0"/>
        <w:rPr>
          <w:rFonts w:eastAsia="Calibri"/>
        </w:rPr>
      </w:pPr>
      <w:proofErr w:type="gramStart"/>
      <w:r w:rsidRPr="000763AE">
        <w:rPr>
          <w:rFonts w:eastAsia="Calibri"/>
        </w:rPr>
        <w:t>Norman-Major, K. 2011.</w:t>
      </w:r>
      <w:proofErr w:type="gramEnd"/>
      <w:r w:rsidRPr="000763AE">
        <w:rPr>
          <w:rFonts w:eastAsia="Calibri"/>
        </w:rPr>
        <w:t xml:space="preserve"> Balancing the Four </w:t>
      </w:r>
      <w:proofErr w:type="spellStart"/>
      <w:r w:rsidRPr="000763AE">
        <w:rPr>
          <w:rFonts w:eastAsia="Calibri"/>
        </w:rPr>
        <w:t>Es</w:t>
      </w:r>
      <w:proofErr w:type="spellEnd"/>
      <w:r w:rsidRPr="000763AE">
        <w:rPr>
          <w:rFonts w:eastAsia="Calibri"/>
        </w:rPr>
        <w:t>; or Can We Achieve Equity for Social Equity in Public Administration</w:t>
      </w:r>
      <w:proofErr w:type="gramStart"/>
      <w:r w:rsidRPr="000763AE">
        <w:rPr>
          <w:rFonts w:eastAsia="Calibri"/>
        </w:rPr>
        <w:t>?,</w:t>
      </w:r>
      <w:proofErr w:type="gramEnd"/>
      <w:r w:rsidRPr="000763AE">
        <w:rPr>
          <w:rFonts w:eastAsia="Calibri"/>
        </w:rPr>
        <w:t xml:space="preserve"> Journal of Public Affairs Education, 17:2,233-252</w:t>
      </w:r>
    </w:p>
    <w:p w:rsidR="006E0406" w:rsidRPr="000763AE" w:rsidRDefault="006E0406" w:rsidP="00B11B34">
      <w:pPr>
        <w:autoSpaceDE w:val="0"/>
        <w:autoSpaceDN w:val="0"/>
        <w:adjustRightInd w:val="0"/>
        <w:rPr>
          <w:rFonts w:eastAsia="Calibri"/>
          <w:color w:val="C00000"/>
        </w:rPr>
      </w:pPr>
    </w:p>
    <w:p w:rsidR="006E0406" w:rsidRPr="000763AE" w:rsidRDefault="006E0406" w:rsidP="00B11B34">
      <w:pPr>
        <w:autoSpaceDE w:val="0"/>
        <w:autoSpaceDN w:val="0"/>
        <w:adjustRightInd w:val="0"/>
        <w:rPr>
          <w:rFonts w:eastAsia="Calibri"/>
        </w:rPr>
      </w:pPr>
      <w:proofErr w:type="gramStart"/>
      <w:r w:rsidRPr="000763AE">
        <w:rPr>
          <w:rFonts w:eastAsia="Calibri"/>
        </w:rPr>
        <w:t>Office of Disease Prevention and Health Promotion.</w:t>
      </w:r>
      <w:proofErr w:type="gramEnd"/>
      <w:r w:rsidRPr="000763AE">
        <w:rPr>
          <w:rFonts w:eastAsia="Calibri"/>
        </w:rPr>
        <w:t xml:space="preserve"> </w:t>
      </w:r>
      <w:proofErr w:type="gramStart"/>
      <w:r w:rsidRPr="000763AE">
        <w:rPr>
          <w:rFonts w:eastAsia="Calibri"/>
        </w:rPr>
        <w:t>Diabetes.</w:t>
      </w:r>
      <w:proofErr w:type="gramEnd"/>
      <w:r w:rsidRPr="000763AE">
        <w:rPr>
          <w:rFonts w:eastAsia="Calibri"/>
        </w:rPr>
        <w:t xml:space="preserve"> </w:t>
      </w:r>
      <w:proofErr w:type="gramStart"/>
      <w:r w:rsidRPr="000763AE">
        <w:rPr>
          <w:rFonts w:eastAsia="Calibri"/>
        </w:rPr>
        <w:t>Healthy People.</w:t>
      </w:r>
      <w:proofErr w:type="gramEnd"/>
    </w:p>
    <w:p w:rsidR="006E0406" w:rsidRPr="000763AE" w:rsidRDefault="0003598B" w:rsidP="00B11B34">
      <w:pPr>
        <w:autoSpaceDE w:val="0"/>
        <w:autoSpaceDN w:val="0"/>
        <w:adjustRightInd w:val="0"/>
        <w:rPr>
          <w:rFonts w:eastAsia="Calibri"/>
        </w:rPr>
      </w:pPr>
      <w:hyperlink r:id="rId39" w:history="1">
        <w:r w:rsidR="00190CFD" w:rsidRPr="000763AE">
          <w:rPr>
            <w:rStyle w:val="Hyperlink"/>
            <w:rFonts w:eastAsia="Calibri"/>
          </w:rPr>
          <w:t>www.healthypeople.gov/</w:t>
        </w:r>
      </w:hyperlink>
      <w:r w:rsidR="00190CFD" w:rsidRPr="000763AE">
        <w:rPr>
          <w:rFonts w:eastAsia="Calibri"/>
          <w:color w:val="000000"/>
        </w:rPr>
        <w:t xml:space="preserve"> </w:t>
      </w:r>
    </w:p>
    <w:p w:rsidR="000365EC" w:rsidRPr="000763AE" w:rsidRDefault="000365EC"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proofErr w:type="gramStart"/>
      <w:r w:rsidRPr="000763AE">
        <w:rPr>
          <w:rFonts w:eastAsia="Calibri"/>
        </w:rPr>
        <w:t>Optum</w:t>
      </w:r>
      <w:proofErr w:type="spellEnd"/>
      <w:r w:rsidRPr="000763AE">
        <w:rPr>
          <w:rFonts w:eastAsia="Calibri"/>
        </w:rPr>
        <w:t xml:space="preserve"> 360.</w:t>
      </w:r>
      <w:proofErr w:type="gramEnd"/>
      <w:r w:rsidRPr="000763AE">
        <w:rPr>
          <w:rFonts w:eastAsia="Calibri"/>
        </w:rPr>
        <w:t xml:space="preserve"> (2018) 2019 Evaluation and Management Coding Advisor, Advanced guidance on E/M code selection for traditional documentation systems.</w:t>
      </w:r>
    </w:p>
    <w:p w:rsidR="006E0406" w:rsidRPr="000763AE" w:rsidRDefault="0003598B" w:rsidP="00B11B34">
      <w:pPr>
        <w:autoSpaceDE w:val="0"/>
        <w:autoSpaceDN w:val="0"/>
        <w:adjustRightInd w:val="0"/>
        <w:rPr>
          <w:rFonts w:eastAsia="Calibri"/>
        </w:rPr>
      </w:pPr>
      <w:hyperlink r:id="rId40" w:history="1">
        <w:r w:rsidR="006E0406" w:rsidRPr="000763AE">
          <w:rPr>
            <w:rFonts w:eastAsia="Calibri"/>
            <w:color w:val="0000FF"/>
            <w:u w:val="single"/>
          </w:rPr>
          <w:t>https://cdn.optumcoding.com/upload/pdf/EMCA19/EMCA_EMCA19%202019%20Sample%20Pages.pdf</w:t>
        </w:r>
      </w:hyperlink>
      <w:r w:rsidR="006E0406" w:rsidRPr="000763AE">
        <w:rPr>
          <w:rFonts w:eastAsia="Calibri"/>
        </w:rPr>
        <w:t xml:space="preserve"> </w:t>
      </w:r>
      <w:r w:rsidR="006E0406" w:rsidRPr="000763AE">
        <w:rPr>
          <w:rFonts w:eastAsia="Calibri"/>
        </w:rPr>
        <w:cr/>
      </w:r>
    </w:p>
    <w:p w:rsidR="006E0406" w:rsidRPr="000763AE" w:rsidRDefault="006E0406" w:rsidP="00B11B34">
      <w:pPr>
        <w:autoSpaceDE w:val="0"/>
        <w:autoSpaceDN w:val="0"/>
        <w:adjustRightInd w:val="0"/>
        <w:rPr>
          <w:rFonts w:eastAsia="Calibri"/>
        </w:rPr>
      </w:pPr>
      <w:proofErr w:type="gramStart"/>
      <w:r w:rsidRPr="000763AE">
        <w:rPr>
          <w:rFonts w:eastAsia="Calibri"/>
        </w:rPr>
        <w:t>Patient Protection and Affordable Care Act, 42 U.S.C. § 18001 (2010).</w:t>
      </w:r>
      <w:proofErr w:type="gramEnd"/>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Powe</w:t>
      </w:r>
      <w:proofErr w:type="spellEnd"/>
      <w:r w:rsidRPr="000763AE">
        <w:rPr>
          <w:rFonts w:eastAsia="Calibri"/>
        </w:rPr>
        <w:t xml:space="preserve">, N. Cooper, L. (2004). Disparities in Patient Experiences, Health Care Processes, and Outcomes: The Role of Patient-Provider Racial, Ethnic, and Language Concordance. </w:t>
      </w:r>
      <w:proofErr w:type="gramStart"/>
      <w:r w:rsidRPr="000763AE">
        <w:rPr>
          <w:rFonts w:eastAsia="Calibri"/>
        </w:rPr>
        <w:t>Common Wealth Fund.</w:t>
      </w:r>
      <w:proofErr w:type="gramEnd"/>
      <w:r w:rsidRPr="000763AE">
        <w:rPr>
          <w:rFonts w:eastAsia="Calibri"/>
        </w:rPr>
        <w:t xml:space="preserve"> </w:t>
      </w:r>
    </w:p>
    <w:p w:rsidR="006E0406" w:rsidRPr="000763AE" w:rsidRDefault="0003598B" w:rsidP="00B11B34">
      <w:pPr>
        <w:autoSpaceDE w:val="0"/>
        <w:autoSpaceDN w:val="0"/>
        <w:adjustRightInd w:val="0"/>
        <w:rPr>
          <w:rFonts w:eastAsia="Calibri"/>
        </w:rPr>
      </w:pPr>
      <w:hyperlink r:id="rId41" w:history="1">
        <w:r w:rsidR="006E0406" w:rsidRPr="000763AE">
          <w:rPr>
            <w:rFonts w:eastAsia="Calibri"/>
            <w:color w:val="0000FF"/>
            <w:u w:val="single"/>
          </w:rPr>
          <w:t>https://www.commonwealthfund.org/publications/fund-reports/2004/jul/disparities-patient-experiences-health-care-processes-and</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Pu J, </w:t>
      </w:r>
      <w:proofErr w:type="spellStart"/>
      <w:r w:rsidRPr="000763AE">
        <w:rPr>
          <w:rFonts w:eastAsia="Calibri"/>
        </w:rPr>
        <w:t>Chewning</w:t>
      </w:r>
      <w:proofErr w:type="spellEnd"/>
      <w:r w:rsidRPr="000763AE">
        <w:rPr>
          <w:rFonts w:eastAsia="Calibri"/>
        </w:rPr>
        <w:t xml:space="preserve"> B. Racial difference in diabetes preventive care. Res Social</w:t>
      </w:r>
    </w:p>
    <w:p w:rsidR="006E0406" w:rsidRPr="000763AE" w:rsidRDefault="006E0406" w:rsidP="00B11B34">
      <w:pPr>
        <w:autoSpaceDE w:val="0"/>
        <w:autoSpaceDN w:val="0"/>
        <w:adjustRightInd w:val="0"/>
        <w:rPr>
          <w:rFonts w:eastAsia="Calibri"/>
        </w:rPr>
      </w:pPr>
      <w:proofErr w:type="spellStart"/>
      <w:r w:rsidRPr="000763AE">
        <w:rPr>
          <w:rFonts w:eastAsia="Calibri"/>
        </w:rPr>
        <w:t>Adm</w:t>
      </w:r>
      <w:proofErr w:type="spellEnd"/>
      <w:r w:rsidRPr="000763AE">
        <w:rPr>
          <w:rFonts w:eastAsia="Calibri"/>
        </w:rPr>
        <w:t xml:space="preserve"> Pharm. 2013 Nov-Dec</w:t>
      </w:r>
      <w:proofErr w:type="gramStart"/>
      <w:r w:rsidRPr="000763AE">
        <w:rPr>
          <w:rFonts w:eastAsia="Calibri"/>
        </w:rPr>
        <w:t>;9</w:t>
      </w:r>
      <w:proofErr w:type="gramEnd"/>
      <w:r w:rsidRPr="000763AE">
        <w:rPr>
          <w:rFonts w:eastAsia="Calibri"/>
        </w:rPr>
        <w:t xml:space="preserve">(6):790-6. </w:t>
      </w:r>
      <w:proofErr w:type="spellStart"/>
      <w:proofErr w:type="gramStart"/>
      <w:r w:rsidRPr="000763AE">
        <w:rPr>
          <w:rFonts w:eastAsia="Calibri"/>
        </w:rPr>
        <w:t>doi</w:t>
      </w:r>
      <w:proofErr w:type="spellEnd"/>
      <w:proofErr w:type="gramEnd"/>
      <w:r w:rsidRPr="000763AE">
        <w:rPr>
          <w:rFonts w:eastAsia="Calibri"/>
        </w:rPr>
        <w:t xml:space="preserve">: 10.1016/j.sapharm.2012.11.005. </w:t>
      </w:r>
      <w:proofErr w:type="spellStart"/>
      <w:r w:rsidRPr="000763AE">
        <w:rPr>
          <w:rFonts w:eastAsia="Calibri"/>
        </w:rPr>
        <w:t>Epub</w:t>
      </w:r>
      <w:proofErr w:type="spellEnd"/>
      <w:r w:rsidRPr="000763AE">
        <w:rPr>
          <w:rFonts w:eastAsia="Calibri"/>
        </w:rPr>
        <w:t xml:space="preserve"> 2012</w:t>
      </w:r>
    </w:p>
    <w:p w:rsidR="006E0406" w:rsidRPr="000763AE" w:rsidRDefault="006E0406" w:rsidP="00B11B34">
      <w:pPr>
        <w:autoSpaceDE w:val="0"/>
        <w:autoSpaceDN w:val="0"/>
        <w:adjustRightInd w:val="0"/>
        <w:rPr>
          <w:rFonts w:eastAsia="Calibri"/>
        </w:rPr>
      </w:pPr>
      <w:r w:rsidRPr="000763AE">
        <w:rPr>
          <w:rFonts w:eastAsia="Calibri"/>
        </w:rPr>
        <w:t>Dec 13. PubMed PMID: 23246362.</w:t>
      </w:r>
    </w:p>
    <w:p w:rsidR="006E0406" w:rsidRPr="000763AE" w:rsidRDefault="006E0406" w:rsidP="00B11B34">
      <w:pPr>
        <w:autoSpaceDE w:val="0"/>
        <w:autoSpaceDN w:val="0"/>
        <w:adjustRightInd w:val="0"/>
        <w:rPr>
          <w:rFonts w:eastAsia="Calibri"/>
        </w:rPr>
      </w:pPr>
    </w:p>
    <w:p w:rsidR="000365EC" w:rsidRPr="000763AE" w:rsidRDefault="006E0406" w:rsidP="00B11B34">
      <w:pPr>
        <w:autoSpaceDE w:val="0"/>
        <w:autoSpaceDN w:val="0"/>
        <w:adjustRightInd w:val="0"/>
        <w:rPr>
          <w:rFonts w:eastAsia="Calibri"/>
        </w:rPr>
      </w:pPr>
      <w:r w:rsidRPr="000763AE">
        <w:rPr>
          <w:rFonts w:eastAsia="Calibri"/>
        </w:rPr>
        <w:t xml:space="preserve">Quinn, C. (2017). Implicit bias may account for a glaring disparity in health care screening. </w:t>
      </w:r>
    </w:p>
    <w:p w:rsidR="006E0406" w:rsidRPr="000763AE" w:rsidRDefault="0003598B" w:rsidP="00B11B34">
      <w:pPr>
        <w:autoSpaceDE w:val="0"/>
        <w:autoSpaceDN w:val="0"/>
        <w:adjustRightInd w:val="0"/>
        <w:rPr>
          <w:rFonts w:eastAsia="Calibri"/>
        </w:rPr>
      </w:pPr>
      <w:hyperlink r:id="rId42" w:history="1">
        <w:r w:rsidR="006E0406" w:rsidRPr="000763AE">
          <w:rPr>
            <w:rFonts w:eastAsia="Calibri"/>
            <w:color w:val="0000FF"/>
            <w:u w:val="single"/>
          </w:rPr>
          <w:t>https://www.pri.org/stories/2017-02-09/implicit-bias-may-account-glaring-disparity-health-care-screening</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Reynolds, P. P. (1997). </w:t>
      </w:r>
      <w:proofErr w:type="gramStart"/>
      <w:r w:rsidRPr="000763AE">
        <w:rPr>
          <w:rFonts w:eastAsia="Calibri"/>
        </w:rPr>
        <w:t>The federal government's use of Title VI and Medicare to racially integrate hospitals in the United States, 1963 through 1967.</w:t>
      </w:r>
      <w:proofErr w:type="gramEnd"/>
      <w:r w:rsidRPr="000763AE">
        <w:rPr>
          <w:rFonts w:eastAsia="Calibri"/>
        </w:rPr>
        <w:t xml:space="preserve"> American Journal of Public Health, 87(11), 1850-1858. doi:10.2105/ajph.87.11.1850</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Riley, Wayne. Health Disparities: Gaps in Access, Quality and Affordability of Medical Care. Transactions of </w:t>
      </w:r>
      <w:proofErr w:type="gramStart"/>
      <w:r w:rsidRPr="000763AE">
        <w:rPr>
          <w:rFonts w:eastAsia="Calibri"/>
        </w:rPr>
        <w:t>The</w:t>
      </w:r>
      <w:proofErr w:type="gramEnd"/>
      <w:r w:rsidRPr="000763AE">
        <w:rPr>
          <w:rFonts w:eastAsia="Calibri"/>
        </w:rPr>
        <w:t xml:space="preserve"> American Clinical and Climatological Association, Vol. 123, 2012</w:t>
      </w:r>
    </w:p>
    <w:p w:rsidR="000365EC" w:rsidRPr="000763AE" w:rsidRDefault="000365EC"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Riley RD, Snell KIE, Ensor J, et al. Minimum sample size for developing a multivariable prediction model: PART II - binary and time-to-event outcomes. </w:t>
      </w:r>
      <w:proofErr w:type="gramStart"/>
      <w:r w:rsidRPr="000763AE">
        <w:rPr>
          <w:rFonts w:eastAsia="Calibri"/>
        </w:rPr>
        <w:t>Statistics in Medicine.</w:t>
      </w:r>
      <w:proofErr w:type="gramEnd"/>
      <w:r w:rsidRPr="000763AE">
        <w:rPr>
          <w:rFonts w:eastAsia="Calibri"/>
        </w:rPr>
        <w:t xml:space="preserve"> 2019</w:t>
      </w:r>
      <w:proofErr w:type="gramStart"/>
      <w:r w:rsidRPr="000763AE">
        <w:rPr>
          <w:rFonts w:eastAsia="Calibri"/>
        </w:rPr>
        <w:t>;38:1276</w:t>
      </w:r>
      <w:proofErr w:type="gramEnd"/>
      <w:r w:rsidRPr="000763AE">
        <w:rPr>
          <w:rFonts w:eastAsia="Calibri"/>
        </w:rPr>
        <w:t xml:space="preserve">–1296. </w:t>
      </w:r>
      <w:hyperlink r:id="rId43" w:history="1">
        <w:r w:rsidRPr="000763AE">
          <w:rPr>
            <w:rFonts w:eastAsia="Calibri"/>
            <w:color w:val="0000FF"/>
            <w:u w:val="single"/>
          </w:rPr>
          <w:t>https://doi.org/10.1002/sim.7992</w:t>
        </w:r>
      </w:hyperlink>
    </w:p>
    <w:p w:rsidR="000365EC" w:rsidRPr="000763AE" w:rsidRDefault="000365EC"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Ruhl</w:t>
      </w:r>
      <w:proofErr w:type="spellEnd"/>
      <w:r w:rsidRPr="000763AE">
        <w:rPr>
          <w:rFonts w:eastAsia="Calibri"/>
        </w:rPr>
        <w:t xml:space="preserve">, C. (2020). </w:t>
      </w:r>
      <w:proofErr w:type="gramStart"/>
      <w:r w:rsidRPr="000763AE">
        <w:rPr>
          <w:rFonts w:eastAsia="Calibri"/>
        </w:rPr>
        <w:t>Implicit or unconscious bias.</w:t>
      </w:r>
      <w:proofErr w:type="gramEnd"/>
      <w:r w:rsidRPr="000763AE">
        <w:rPr>
          <w:rFonts w:eastAsia="Calibri"/>
        </w:rPr>
        <w:t xml:space="preserve">  </w:t>
      </w:r>
      <w:proofErr w:type="gramStart"/>
      <w:r w:rsidRPr="000763AE">
        <w:rPr>
          <w:rFonts w:eastAsia="Calibri"/>
        </w:rPr>
        <w:t>Simply Psychology.</w:t>
      </w:r>
      <w:proofErr w:type="gramEnd"/>
      <w:r w:rsidRPr="000763AE">
        <w:rPr>
          <w:rFonts w:eastAsia="Calibri"/>
        </w:rPr>
        <w:t xml:space="preserve"> </w:t>
      </w:r>
    </w:p>
    <w:p w:rsidR="006E0406" w:rsidRPr="000763AE" w:rsidRDefault="0003598B" w:rsidP="00B11B34">
      <w:pPr>
        <w:autoSpaceDE w:val="0"/>
        <w:autoSpaceDN w:val="0"/>
        <w:adjustRightInd w:val="0"/>
        <w:rPr>
          <w:rFonts w:eastAsia="Calibri"/>
        </w:rPr>
      </w:pPr>
      <w:hyperlink r:id="rId44" w:anchor=":~:text=Implicit%20bias%20(also%20called%20unconscious,Greenwald%20%26%20Krieger%2C%202006)" w:history="1">
        <w:r w:rsidR="006E0406" w:rsidRPr="000763AE">
          <w:rPr>
            <w:rFonts w:eastAsia="Calibri"/>
            <w:color w:val="0000FF"/>
            <w:u w:val="single"/>
          </w:rPr>
          <w:t>https://www.simplypsychology.org/implicit-bias.html#:~:text=Implicit%20bias%20(also%20called%20unconscious,Greenwald%20%26%20Krieger%2C%202006)</w:t>
        </w:r>
      </w:hyperlink>
      <w:r w:rsidR="006E0406" w:rsidRPr="000763AE">
        <w:rPr>
          <w:rFonts w:eastAsia="Calibri"/>
        </w:rPr>
        <w:t>.</w:t>
      </w:r>
      <w:r w:rsidR="004C1975" w:rsidRPr="000763AE">
        <w:rPr>
          <w:rFonts w:eastAsia="Calibri"/>
        </w:rPr>
        <w:t xml:space="preserve"> </w:t>
      </w:r>
    </w:p>
    <w:p w:rsidR="000365EC" w:rsidRPr="000763AE" w:rsidRDefault="000365EC"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Skrepnek</w:t>
      </w:r>
      <w:proofErr w:type="spellEnd"/>
      <w:r w:rsidRPr="000763AE">
        <w:rPr>
          <w:rFonts w:eastAsia="Calibri"/>
        </w:rPr>
        <w:t xml:space="preserve"> GH, Mills JL </w:t>
      </w:r>
      <w:proofErr w:type="spellStart"/>
      <w:r w:rsidRPr="000763AE">
        <w:rPr>
          <w:rFonts w:eastAsia="Calibri"/>
        </w:rPr>
        <w:t>Sr</w:t>
      </w:r>
      <w:proofErr w:type="spellEnd"/>
      <w:r w:rsidRPr="000763AE">
        <w:rPr>
          <w:rFonts w:eastAsia="Calibri"/>
        </w:rPr>
        <w:t>, Armstrong DG. A Diabetic Emergency One Million Feet</w:t>
      </w:r>
    </w:p>
    <w:p w:rsidR="006E0406" w:rsidRPr="000763AE" w:rsidRDefault="006E0406" w:rsidP="00B11B34">
      <w:pPr>
        <w:autoSpaceDE w:val="0"/>
        <w:autoSpaceDN w:val="0"/>
        <w:adjustRightInd w:val="0"/>
        <w:rPr>
          <w:rFonts w:eastAsia="Calibri"/>
        </w:rPr>
      </w:pPr>
      <w:r w:rsidRPr="000763AE">
        <w:rPr>
          <w:rFonts w:eastAsia="Calibri"/>
        </w:rPr>
        <w:t>Long: Disparities and Burdens of Illness among Diabetic Foot Ulcer Cases within</w:t>
      </w:r>
    </w:p>
    <w:p w:rsidR="006E0406" w:rsidRPr="000763AE" w:rsidRDefault="006E0406" w:rsidP="00B11B34">
      <w:pPr>
        <w:autoSpaceDE w:val="0"/>
        <w:autoSpaceDN w:val="0"/>
        <w:adjustRightInd w:val="0"/>
        <w:rPr>
          <w:rFonts w:eastAsia="Calibri"/>
        </w:rPr>
      </w:pPr>
      <w:proofErr w:type="gramStart"/>
      <w:r w:rsidRPr="000763AE">
        <w:rPr>
          <w:rFonts w:eastAsia="Calibri"/>
        </w:rPr>
        <w:t>Emergency Departments in the United States, 2006-2010.</w:t>
      </w:r>
      <w:proofErr w:type="gramEnd"/>
      <w:r w:rsidRPr="000763AE">
        <w:rPr>
          <w:rFonts w:eastAsia="Calibri"/>
        </w:rPr>
        <w:t xml:space="preserve"> </w:t>
      </w:r>
      <w:proofErr w:type="spellStart"/>
      <w:proofErr w:type="gramStart"/>
      <w:r w:rsidRPr="000763AE">
        <w:rPr>
          <w:rFonts w:eastAsia="Calibri"/>
        </w:rPr>
        <w:t>PLoS</w:t>
      </w:r>
      <w:proofErr w:type="spellEnd"/>
      <w:r w:rsidRPr="000763AE">
        <w:rPr>
          <w:rFonts w:eastAsia="Calibri"/>
        </w:rPr>
        <w:t xml:space="preserve"> One.</w:t>
      </w:r>
      <w:proofErr w:type="gramEnd"/>
      <w:r w:rsidRPr="000763AE">
        <w:rPr>
          <w:rFonts w:eastAsia="Calibri"/>
        </w:rPr>
        <w:t xml:space="preserve"> 2015 Aug</w:t>
      </w:r>
    </w:p>
    <w:p w:rsidR="006E0406" w:rsidRPr="000763AE" w:rsidRDefault="006E0406" w:rsidP="00B11B34">
      <w:pPr>
        <w:autoSpaceDE w:val="0"/>
        <w:autoSpaceDN w:val="0"/>
        <w:adjustRightInd w:val="0"/>
        <w:rPr>
          <w:rFonts w:eastAsia="Calibri"/>
        </w:rPr>
      </w:pPr>
      <w:r w:rsidRPr="000763AE">
        <w:rPr>
          <w:rFonts w:eastAsia="Calibri"/>
        </w:rPr>
        <w:t>6</w:t>
      </w:r>
      <w:proofErr w:type="gramStart"/>
      <w:r w:rsidRPr="000763AE">
        <w:rPr>
          <w:rFonts w:eastAsia="Calibri"/>
        </w:rPr>
        <w:t>;10</w:t>
      </w:r>
      <w:proofErr w:type="gramEnd"/>
      <w:r w:rsidRPr="000763AE">
        <w:rPr>
          <w:rFonts w:eastAsia="Calibri"/>
        </w:rPr>
        <w:t xml:space="preserve">(8):e0134914. </w:t>
      </w:r>
      <w:proofErr w:type="spellStart"/>
      <w:proofErr w:type="gramStart"/>
      <w:r w:rsidRPr="000763AE">
        <w:rPr>
          <w:rFonts w:eastAsia="Calibri"/>
        </w:rPr>
        <w:t>doi</w:t>
      </w:r>
      <w:proofErr w:type="spellEnd"/>
      <w:proofErr w:type="gramEnd"/>
      <w:r w:rsidRPr="000763AE">
        <w:rPr>
          <w:rFonts w:eastAsia="Calibri"/>
        </w:rPr>
        <w:t xml:space="preserve">: 10.1371/journal.pone.0134914. </w:t>
      </w:r>
      <w:proofErr w:type="spellStart"/>
      <w:proofErr w:type="gramStart"/>
      <w:r w:rsidRPr="000763AE">
        <w:rPr>
          <w:rFonts w:eastAsia="Calibri"/>
        </w:rPr>
        <w:t>eCollection</w:t>
      </w:r>
      <w:proofErr w:type="spellEnd"/>
      <w:proofErr w:type="gramEnd"/>
      <w:r w:rsidRPr="000763AE">
        <w:rPr>
          <w:rFonts w:eastAsia="Calibri"/>
        </w:rPr>
        <w:t xml:space="preserve"> 2015. PubMed</w:t>
      </w:r>
    </w:p>
    <w:p w:rsidR="006E0406" w:rsidRPr="000763AE" w:rsidRDefault="006E0406" w:rsidP="00B11B34">
      <w:pPr>
        <w:autoSpaceDE w:val="0"/>
        <w:autoSpaceDN w:val="0"/>
        <w:adjustRightInd w:val="0"/>
        <w:rPr>
          <w:rFonts w:eastAsia="Calibri"/>
        </w:rPr>
      </w:pPr>
      <w:r w:rsidRPr="000763AE">
        <w:rPr>
          <w:rFonts w:eastAsia="Calibri"/>
        </w:rPr>
        <w:t>PMID: 26248037; PubMed Central PMCID: PMC4527828.</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color w:val="303030"/>
          <w:shd w:val="clear" w:color="auto" w:fill="FFFFFF"/>
        </w:rPr>
      </w:pPr>
      <w:proofErr w:type="spellStart"/>
      <w:r w:rsidRPr="000763AE">
        <w:rPr>
          <w:rFonts w:eastAsia="Calibri"/>
          <w:color w:val="303030"/>
          <w:shd w:val="clear" w:color="auto" w:fill="FFFFFF"/>
        </w:rPr>
        <w:t>Soghomonyan</w:t>
      </w:r>
      <w:proofErr w:type="spellEnd"/>
      <w:r w:rsidRPr="000763AE">
        <w:rPr>
          <w:rFonts w:eastAsia="Calibri"/>
          <w:color w:val="303030"/>
          <w:shd w:val="clear" w:color="auto" w:fill="FFFFFF"/>
        </w:rPr>
        <w:t xml:space="preserve"> N. (2014). </w:t>
      </w:r>
      <w:proofErr w:type="gramStart"/>
      <w:r w:rsidRPr="000763AE">
        <w:rPr>
          <w:rFonts w:eastAsia="Calibri"/>
          <w:color w:val="303030"/>
          <w:shd w:val="clear" w:color="auto" w:fill="FFFFFF"/>
        </w:rPr>
        <w:t>Perioperative management of diabetic foot.</w:t>
      </w:r>
      <w:proofErr w:type="gramEnd"/>
      <w:r w:rsidRPr="000763AE">
        <w:rPr>
          <w:rFonts w:eastAsia="Calibri"/>
          <w:color w:val="303030"/>
          <w:shd w:val="clear" w:color="auto" w:fill="FFFFFF"/>
        </w:rPr>
        <w:t> </w:t>
      </w:r>
      <w:proofErr w:type="gramStart"/>
      <w:r w:rsidRPr="000763AE">
        <w:rPr>
          <w:rFonts w:eastAsia="Calibri"/>
          <w:iCs/>
          <w:color w:val="303030"/>
          <w:shd w:val="clear" w:color="auto" w:fill="FFFFFF"/>
        </w:rPr>
        <w:t>Frontiers in pharmacology</w:t>
      </w:r>
      <w:r w:rsidRPr="000763AE">
        <w:rPr>
          <w:rFonts w:eastAsia="Calibri"/>
          <w:color w:val="303030"/>
          <w:shd w:val="clear" w:color="auto" w:fill="FFFFFF"/>
        </w:rPr>
        <w:t>, </w:t>
      </w:r>
      <w:r w:rsidRPr="000763AE">
        <w:rPr>
          <w:rFonts w:eastAsia="Calibri"/>
          <w:i/>
          <w:iCs/>
          <w:color w:val="303030"/>
          <w:shd w:val="clear" w:color="auto" w:fill="FFFFFF"/>
        </w:rPr>
        <w:t>5</w:t>
      </w:r>
      <w:r w:rsidRPr="000763AE">
        <w:rPr>
          <w:rFonts w:eastAsia="Calibri"/>
          <w:color w:val="303030"/>
          <w:shd w:val="clear" w:color="auto" w:fill="FFFFFF"/>
        </w:rPr>
        <w:t>, 91.</w:t>
      </w:r>
      <w:proofErr w:type="gramEnd"/>
      <w:r w:rsidRPr="000763AE">
        <w:rPr>
          <w:rFonts w:eastAsia="Calibri"/>
          <w:color w:val="303030"/>
          <w:shd w:val="clear" w:color="auto" w:fill="FFFFFF"/>
        </w:rPr>
        <w:t xml:space="preserve"> doi:10.3389/fphar.2014.00091</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Stanford Medicine.</w:t>
      </w:r>
      <w:proofErr w:type="gramEnd"/>
      <w:r w:rsidRPr="000763AE">
        <w:rPr>
          <w:rFonts w:eastAsia="Calibri"/>
        </w:rPr>
        <w:t xml:space="preserve"> (2020). Unconscious Bias in Medicine</w:t>
      </w:r>
    </w:p>
    <w:p w:rsidR="006E0406" w:rsidRPr="000763AE" w:rsidRDefault="0003598B" w:rsidP="00B11B34">
      <w:pPr>
        <w:autoSpaceDE w:val="0"/>
        <w:autoSpaceDN w:val="0"/>
        <w:adjustRightInd w:val="0"/>
        <w:rPr>
          <w:rFonts w:eastAsia="Calibri"/>
        </w:rPr>
      </w:pPr>
      <w:hyperlink r:id="rId45" w:history="1">
        <w:r w:rsidR="006E0406" w:rsidRPr="000763AE">
          <w:rPr>
            <w:rFonts w:eastAsia="Calibri"/>
            <w:color w:val="0000FF"/>
            <w:u w:val="single"/>
          </w:rPr>
          <w:t>https://stanford.cloud-cme.com/course/courseoverview?P=0&amp;EID=20775</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Street</w:t>
      </w:r>
      <w:proofErr w:type="gramStart"/>
      <w:r w:rsidRPr="000763AE">
        <w:rPr>
          <w:rFonts w:eastAsia="Calibri"/>
        </w:rPr>
        <w:t>,R</w:t>
      </w:r>
      <w:proofErr w:type="gramEnd"/>
      <w:r w:rsidRPr="000763AE">
        <w:rPr>
          <w:rFonts w:eastAsia="Calibri"/>
        </w:rPr>
        <w:t>.,O’Malley</w:t>
      </w:r>
      <w:proofErr w:type="spellEnd"/>
      <w:r w:rsidRPr="000763AE">
        <w:rPr>
          <w:rFonts w:eastAsia="Calibri"/>
        </w:rPr>
        <w:t xml:space="preserve">, K., Cooper, L., </w:t>
      </w:r>
      <w:proofErr w:type="spellStart"/>
      <w:r w:rsidRPr="000763AE">
        <w:rPr>
          <w:rFonts w:eastAsia="Calibri"/>
        </w:rPr>
        <w:t>Haidet</w:t>
      </w:r>
      <w:proofErr w:type="spellEnd"/>
      <w:r w:rsidRPr="000763AE">
        <w:rPr>
          <w:rFonts w:eastAsia="Calibri"/>
        </w:rPr>
        <w:t xml:space="preserve">, P. (2008). Understanding Concordance in Patient-Physician Relationship: Personal and Ethnic Dimensions of Shared Identify. </w:t>
      </w:r>
      <w:proofErr w:type="spellStart"/>
      <w:proofErr w:type="gramStart"/>
      <w:r w:rsidRPr="000763AE">
        <w:rPr>
          <w:rFonts w:eastAsia="Calibri"/>
        </w:rPr>
        <w:t>Annal</w:t>
      </w:r>
      <w:proofErr w:type="spellEnd"/>
      <w:r w:rsidRPr="000763AE">
        <w:rPr>
          <w:rFonts w:eastAsia="Calibri"/>
        </w:rPr>
        <w:t xml:space="preserve"> of Family Medicine.</w:t>
      </w:r>
      <w:proofErr w:type="gramEnd"/>
      <w:r w:rsidRPr="000763AE">
        <w:rPr>
          <w:rFonts w:eastAsia="Calibri"/>
        </w:rPr>
        <w:t xml:space="preserve"> </w:t>
      </w:r>
      <w:proofErr w:type="gramStart"/>
      <w:r w:rsidRPr="000763AE">
        <w:rPr>
          <w:rFonts w:eastAsia="Calibri"/>
        </w:rPr>
        <w:t>Vol 6.</w:t>
      </w:r>
      <w:proofErr w:type="gramEnd"/>
      <w:r w:rsidR="00190CFD" w:rsidRPr="000763AE">
        <w:rPr>
          <w:rFonts w:eastAsia="Calibri"/>
        </w:rPr>
        <w:t xml:space="preserve"> </w:t>
      </w:r>
      <w:r w:rsidRPr="000763AE">
        <w:rPr>
          <w:rFonts w:eastAsia="Calibri"/>
        </w:rPr>
        <w:t>No.3. May/June 2008.</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proofErr w:type="gramStart"/>
      <w:r w:rsidRPr="000763AE">
        <w:rPr>
          <w:rFonts w:eastAsia="Calibri"/>
        </w:rPr>
        <w:t>Svara</w:t>
      </w:r>
      <w:proofErr w:type="spellEnd"/>
      <w:r w:rsidRPr="000763AE">
        <w:rPr>
          <w:rFonts w:eastAsia="Calibri"/>
        </w:rPr>
        <w:t>, J., &amp; Brunet, J. (2005).</w:t>
      </w:r>
      <w:proofErr w:type="gramEnd"/>
      <w:r w:rsidRPr="000763AE">
        <w:rPr>
          <w:rFonts w:eastAsia="Calibri"/>
        </w:rPr>
        <w:t xml:space="preserve"> Social Equity Is a Pillar of Public Administration. Journal of Public Affairs Education, 11(3), 253-258. Retrieved from </w:t>
      </w:r>
      <w:hyperlink r:id="rId46" w:history="1">
        <w:r w:rsidRPr="000763AE">
          <w:rPr>
            <w:rFonts w:eastAsia="Calibri"/>
            <w:color w:val="0000FF"/>
            <w:u w:val="single"/>
          </w:rPr>
          <w:t>http://www.jstor.org/stable/40215707</w:t>
        </w:r>
      </w:hyperlink>
      <w:r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Tai-Seale M, McGuire TG, Zhang W. Time allocation in primary care office visits.</w:t>
      </w:r>
      <w:proofErr w:type="gramEnd"/>
      <w:r w:rsidRPr="000763AE">
        <w:rPr>
          <w:rFonts w:eastAsia="Calibri"/>
        </w:rPr>
        <w:t xml:space="preserve"> Health </w:t>
      </w:r>
      <w:proofErr w:type="spellStart"/>
      <w:r w:rsidRPr="000763AE">
        <w:rPr>
          <w:rFonts w:eastAsia="Calibri"/>
        </w:rPr>
        <w:t>Serv</w:t>
      </w:r>
      <w:proofErr w:type="spellEnd"/>
      <w:r w:rsidRPr="000763AE">
        <w:rPr>
          <w:rFonts w:eastAsia="Calibri"/>
        </w:rPr>
        <w:t xml:space="preserve"> Res. 2007</w:t>
      </w:r>
      <w:proofErr w:type="gramStart"/>
      <w:r w:rsidRPr="000763AE">
        <w:rPr>
          <w:rFonts w:eastAsia="Calibri"/>
        </w:rPr>
        <w:t>;42</w:t>
      </w:r>
      <w:proofErr w:type="gramEnd"/>
      <w:r w:rsidRPr="000763AE">
        <w:rPr>
          <w:rFonts w:eastAsia="Calibri"/>
        </w:rPr>
        <w:t>(5):1871-1894. doi:10.1111/j.1475-6773.2006.00689.x</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The Kaiser Family Foundation.</w:t>
      </w:r>
      <w:proofErr w:type="gramEnd"/>
      <w:r w:rsidRPr="000763AE">
        <w:rPr>
          <w:rFonts w:eastAsia="Calibri"/>
        </w:rPr>
        <w:t xml:space="preserve"> Focus on Health Disparities. 2012</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sz w:val="32"/>
        </w:rPr>
      </w:pPr>
      <w:r w:rsidRPr="000763AE">
        <w:rPr>
          <w:rFonts w:eastAsia="Calibri"/>
          <w:szCs w:val="20"/>
          <w:shd w:val="clear" w:color="auto" w:fill="FFFFFF"/>
        </w:rPr>
        <w:t xml:space="preserve">Traylor, A. H., Subramanian, U., </w:t>
      </w:r>
      <w:proofErr w:type="spellStart"/>
      <w:r w:rsidRPr="000763AE">
        <w:rPr>
          <w:rFonts w:eastAsia="Calibri"/>
          <w:szCs w:val="20"/>
          <w:shd w:val="clear" w:color="auto" w:fill="FFFFFF"/>
        </w:rPr>
        <w:t>Uratsu</w:t>
      </w:r>
      <w:proofErr w:type="spellEnd"/>
      <w:r w:rsidRPr="000763AE">
        <w:rPr>
          <w:rFonts w:eastAsia="Calibri"/>
          <w:szCs w:val="20"/>
          <w:shd w:val="clear" w:color="auto" w:fill="FFFFFF"/>
        </w:rPr>
        <w:t xml:space="preserve">, C. S., </w:t>
      </w:r>
      <w:proofErr w:type="spellStart"/>
      <w:r w:rsidRPr="000763AE">
        <w:rPr>
          <w:rFonts w:eastAsia="Calibri"/>
          <w:szCs w:val="20"/>
          <w:shd w:val="clear" w:color="auto" w:fill="FFFFFF"/>
        </w:rPr>
        <w:t>Mangione</w:t>
      </w:r>
      <w:proofErr w:type="spellEnd"/>
      <w:r w:rsidRPr="000763AE">
        <w:rPr>
          <w:rFonts w:eastAsia="Calibri"/>
          <w:szCs w:val="20"/>
          <w:shd w:val="clear" w:color="auto" w:fill="FFFFFF"/>
        </w:rPr>
        <w:t xml:space="preserve">, C. M., Selby, J. V., &amp; </w:t>
      </w:r>
      <w:proofErr w:type="spellStart"/>
      <w:r w:rsidRPr="000763AE">
        <w:rPr>
          <w:rFonts w:eastAsia="Calibri"/>
          <w:szCs w:val="20"/>
          <w:shd w:val="clear" w:color="auto" w:fill="FFFFFF"/>
        </w:rPr>
        <w:t>Schmittdiel</w:t>
      </w:r>
      <w:proofErr w:type="spellEnd"/>
      <w:r w:rsidRPr="000763AE">
        <w:rPr>
          <w:rFonts w:eastAsia="Calibri"/>
          <w:szCs w:val="20"/>
          <w:shd w:val="clear" w:color="auto" w:fill="FFFFFF"/>
        </w:rPr>
        <w:t>, J. A. (2009). Patient race/ethnicity and patient-physician race/ethnicity concordance in the management of cardiovascular disease risk factors for patients with diabetes. </w:t>
      </w:r>
      <w:r w:rsidRPr="000763AE">
        <w:rPr>
          <w:rFonts w:eastAsia="Calibri"/>
          <w:iCs/>
          <w:szCs w:val="20"/>
          <w:shd w:val="clear" w:color="auto" w:fill="FFFFFF"/>
        </w:rPr>
        <w:t>Diabetes care</w:t>
      </w:r>
      <w:r w:rsidRPr="000763AE">
        <w:rPr>
          <w:rFonts w:eastAsia="Calibri"/>
          <w:szCs w:val="20"/>
          <w:shd w:val="clear" w:color="auto" w:fill="FFFFFF"/>
        </w:rPr>
        <w:t>, </w:t>
      </w:r>
      <w:r w:rsidRPr="000763AE">
        <w:rPr>
          <w:rFonts w:eastAsia="Calibri"/>
          <w:iCs/>
          <w:szCs w:val="20"/>
          <w:shd w:val="clear" w:color="auto" w:fill="FFFFFF"/>
        </w:rPr>
        <w:t>33</w:t>
      </w:r>
      <w:r w:rsidRPr="000763AE">
        <w:rPr>
          <w:rFonts w:eastAsia="Calibri"/>
          <w:szCs w:val="20"/>
          <w:shd w:val="clear" w:color="auto" w:fill="FFFFFF"/>
        </w:rPr>
        <w:t>(3), 520-5.</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United Healthcare (2018).</w:t>
      </w:r>
      <w:proofErr w:type="gramEnd"/>
      <w:r w:rsidRPr="000763AE">
        <w:rPr>
          <w:rFonts w:eastAsia="Calibri"/>
        </w:rPr>
        <w:t xml:space="preserve"> </w:t>
      </w:r>
      <w:proofErr w:type="gramStart"/>
      <w:r w:rsidRPr="000763AE">
        <w:rPr>
          <w:rFonts w:eastAsia="Calibri"/>
        </w:rPr>
        <w:t>Routine Foot Care.</w:t>
      </w:r>
      <w:proofErr w:type="gramEnd"/>
      <w:r w:rsidRPr="000763AE">
        <w:rPr>
          <w:rFonts w:eastAsia="Calibri"/>
        </w:rPr>
        <w:t xml:space="preserve"> Policy Number: Outpatient 023.23 T1.</w:t>
      </w:r>
    </w:p>
    <w:p w:rsidR="006E0406" w:rsidRPr="000763AE" w:rsidRDefault="0003598B" w:rsidP="00B11B34">
      <w:pPr>
        <w:autoSpaceDE w:val="0"/>
        <w:autoSpaceDN w:val="0"/>
        <w:adjustRightInd w:val="0"/>
        <w:rPr>
          <w:rFonts w:eastAsia="Calibri"/>
        </w:rPr>
      </w:pPr>
      <w:hyperlink r:id="rId47" w:history="1">
        <w:r w:rsidR="006E0406" w:rsidRPr="000763AE">
          <w:rPr>
            <w:rFonts w:eastAsia="Calibri"/>
            <w:color w:val="0000FF"/>
            <w:u w:val="single"/>
          </w:rPr>
          <w:t>https://www.oxhp.com/secure/policy/routine_foot_care.pdf</w:t>
        </w:r>
      </w:hyperlink>
      <w:r w:rsidR="006E0406" w:rsidRPr="000763AE">
        <w:rPr>
          <w:rFonts w:eastAsia="Calibri"/>
        </w:rPr>
        <w:t xml:space="preserve"> </w:t>
      </w:r>
    </w:p>
    <w:p w:rsidR="00816B46" w:rsidRDefault="00816B46" w:rsidP="00816B46">
      <w:pPr>
        <w:spacing w:after="200"/>
        <w:rPr>
          <w:rFonts w:eastAsia="Calibri"/>
        </w:rPr>
      </w:pPr>
    </w:p>
    <w:p w:rsidR="006E0406" w:rsidRPr="000763AE" w:rsidRDefault="006E0406" w:rsidP="00816B46">
      <w:pPr>
        <w:spacing w:after="200"/>
        <w:rPr>
          <w:rFonts w:eastAsia="Calibri"/>
        </w:rPr>
      </w:pPr>
      <w:proofErr w:type="gramStart"/>
      <w:r w:rsidRPr="000763AE">
        <w:rPr>
          <w:rFonts w:eastAsia="Calibri"/>
        </w:rPr>
        <w:t>US Department of Labor.</w:t>
      </w:r>
      <w:proofErr w:type="gramEnd"/>
      <w:r w:rsidRPr="000763AE">
        <w:rPr>
          <w:rFonts w:eastAsia="Calibri"/>
        </w:rPr>
        <w:t xml:space="preserve"> </w:t>
      </w:r>
      <w:proofErr w:type="gramStart"/>
      <w:r w:rsidRPr="000763AE">
        <w:rPr>
          <w:rFonts w:eastAsia="Calibri"/>
        </w:rPr>
        <w:t>Office of Federal Contractor Compliance.</w:t>
      </w:r>
      <w:proofErr w:type="gramEnd"/>
    </w:p>
    <w:p w:rsidR="006E0406" w:rsidRPr="000763AE" w:rsidRDefault="006E0406" w:rsidP="00B11B34">
      <w:pPr>
        <w:autoSpaceDE w:val="0"/>
        <w:autoSpaceDN w:val="0"/>
        <w:adjustRightInd w:val="0"/>
        <w:rPr>
          <w:rFonts w:eastAsia="Calibri"/>
        </w:rPr>
      </w:pPr>
      <w:r w:rsidRPr="000763AE">
        <w:rPr>
          <w:rFonts w:eastAsia="Calibri"/>
        </w:rPr>
        <w:t>History of Executive Order 11246</w:t>
      </w:r>
    </w:p>
    <w:p w:rsidR="006E0406" w:rsidRPr="000763AE" w:rsidRDefault="0003598B" w:rsidP="00B11B34">
      <w:pPr>
        <w:autoSpaceDE w:val="0"/>
        <w:autoSpaceDN w:val="0"/>
        <w:adjustRightInd w:val="0"/>
        <w:rPr>
          <w:rFonts w:eastAsia="Calibri"/>
        </w:rPr>
      </w:pPr>
      <w:hyperlink r:id="rId48" w:anchor=":~:text=On%20March%206%2C%201961%2C%20shortly,without%20regard%20to%20their%20race%2C" w:history="1">
        <w:r w:rsidR="006E0406" w:rsidRPr="000763AE">
          <w:rPr>
            <w:rFonts w:eastAsia="Calibri"/>
            <w:color w:val="0000FF"/>
            <w:u w:val="single"/>
          </w:rPr>
          <w:t>https://www.dol.gov/agencies/ofccp/about/executive-order-11246-history#:~:text=On%20March%206%2C%201961%2C%20shortly,without%20regard%20to%20their%20race%2C</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US Department of Labor.</w:t>
      </w:r>
      <w:proofErr w:type="gramEnd"/>
      <w:r w:rsidRPr="000763AE">
        <w:rPr>
          <w:rFonts w:eastAsia="Calibri"/>
        </w:rPr>
        <w:t xml:space="preserve"> </w:t>
      </w:r>
      <w:proofErr w:type="gramStart"/>
      <w:r w:rsidRPr="000763AE">
        <w:rPr>
          <w:rFonts w:eastAsia="Calibri"/>
        </w:rPr>
        <w:t>Office of the Assistant Secretary for Administration &amp; Management.</w:t>
      </w:r>
      <w:proofErr w:type="gramEnd"/>
      <w:r w:rsidRPr="000763AE">
        <w:rPr>
          <w:rFonts w:eastAsia="Calibri"/>
        </w:rPr>
        <w:t xml:space="preserve"> Legal Highlight: The Civil Rights Act of 1964</w:t>
      </w:r>
    </w:p>
    <w:p w:rsidR="006E0406" w:rsidRPr="000763AE" w:rsidRDefault="0003598B" w:rsidP="00B11B34">
      <w:pPr>
        <w:autoSpaceDE w:val="0"/>
        <w:autoSpaceDN w:val="0"/>
        <w:adjustRightInd w:val="0"/>
        <w:rPr>
          <w:rFonts w:eastAsia="Calibri"/>
        </w:rPr>
      </w:pPr>
      <w:hyperlink r:id="rId49" w:anchor=":~:text=The%20Civil%20Rights%20Act%20of%201964%20prohibits%20discrimination%20on%20the,hiring%2C%20promoting%2C%20and%20firing" w:history="1">
        <w:r w:rsidR="006E0406" w:rsidRPr="000763AE">
          <w:rPr>
            <w:rFonts w:eastAsia="Calibri"/>
            <w:color w:val="0000FF"/>
            <w:u w:val="single"/>
          </w:rPr>
          <w:t>https://www.dol.gov/agencies/oasam/civil-rights-center/statutes/civil-rights-act-of-1964#:~:text=The%20Civil%20Rights%20Act%20of%201964%20prohibits%20discrimination%20on%20the,hiring%2C%20promoting%2C%20and%20firing</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US Department of Labor.</w:t>
      </w:r>
      <w:proofErr w:type="gramEnd"/>
      <w:r w:rsidRPr="000763AE">
        <w:rPr>
          <w:rFonts w:eastAsia="Calibri"/>
        </w:rPr>
        <w:t xml:space="preserve"> </w:t>
      </w:r>
      <w:proofErr w:type="gramStart"/>
      <w:r w:rsidRPr="000763AE">
        <w:rPr>
          <w:rFonts w:eastAsia="Calibri"/>
        </w:rPr>
        <w:t>Office of Federal Contractor Compliance.</w:t>
      </w:r>
      <w:proofErr w:type="gramEnd"/>
      <w:r w:rsidRPr="000763AE">
        <w:rPr>
          <w:rFonts w:eastAsia="Calibri"/>
        </w:rPr>
        <w:t xml:space="preserve"> </w:t>
      </w:r>
    </w:p>
    <w:p w:rsidR="006E0406" w:rsidRPr="000763AE" w:rsidRDefault="006E0406" w:rsidP="00B11B34">
      <w:pPr>
        <w:autoSpaceDE w:val="0"/>
        <w:autoSpaceDN w:val="0"/>
        <w:adjustRightInd w:val="0"/>
        <w:rPr>
          <w:rFonts w:eastAsia="Calibri"/>
        </w:rPr>
      </w:pPr>
      <w:r w:rsidRPr="000763AE">
        <w:rPr>
          <w:rFonts w:eastAsia="Calibri"/>
        </w:rPr>
        <w:t>Executive Order 11246 – Equal Employment Opportunity</w:t>
      </w:r>
    </w:p>
    <w:p w:rsidR="006E0406" w:rsidRPr="000763AE" w:rsidRDefault="0003598B" w:rsidP="00B11B34">
      <w:pPr>
        <w:autoSpaceDE w:val="0"/>
        <w:autoSpaceDN w:val="0"/>
        <w:adjustRightInd w:val="0"/>
        <w:rPr>
          <w:rFonts w:eastAsia="Calibri"/>
        </w:rPr>
      </w:pPr>
      <w:hyperlink r:id="rId50" w:history="1">
        <w:r w:rsidR="006E0406" w:rsidRPr="000763AE">
          <w:rPr>
            <w:rFonts w:eastAsia="Calibri"/>
            <w:color w:val="0000FF"/>
            <w:u w:val="single"/>
          </w:rPr>
          <w:t>https://www.dol.gov/agencies/ofccp/executive-order-11246/ca-11246</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US Equal Employment Opportunity Commission.</w:t>
      </w:r>
      <w:proofErr w:type="gramEnd"/>
      <w:r w:rsidRPr="000763AE">
        <w:rPr>
          <w:rFonts w:eastAsia="Calibri"/>
        </w:rPr>
        <w:t xml:space="preserve"> The Equal Pay Act of 1963</w:t>
      </w:r>
    </w:p>
    <w:p w:rsidR="006E0406" w:rsidRPr="000763AE" w:rsidRDefault="0003598B" w:rsidP="00B11B34">
      <w:pPr>
        <w:autoSpaceDE w:val="0"/>
        <w:autoSpaceDN w:val="0"/>
        <w:adjustRightInd w:val="0"/>
        <w:rPr>
          <w:rFonts w:eastAsia="Calibri"/>
        </w:rPr>
      </w:pPr>
      <w:hyperlink r:id="rId51" w:history="1">
        <w:r w:rsidR="006E0406" w:rsidRPr="000763AE">
          <w:rPr>
            <w:rFonts w:eastAsia="Calibri"/>
            <w:color w:val="0000FF"/>
            <w:u w:val="single"/>
          </w:rPr>
          <w:t>https://www.eeoc.gov/statutes/equal-pay-act-1963</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 xml:space="preserve">Walton, J. (2018). </w:t>
      </w:r>
      <w:proofErr w:type="gramStart"/>
      <w:r w:rsidRPr="000763AE">
        <w:rPr>
          <w:rFonts w:eastAsia="Calibri"/>
        </w:rPr>
        <w:t>Social Equity in Public Administration.</w:t>
      </w:r>
      <w:proofErr w:type="gramEnd"/>
      <w:r w:rsidRPr="000763AE">
        <w:rPr>
          <w:rFonts w:eastAsia="Calibri"/>
        </w:rPr>
        <w:t xml:space="preserve"> </w:t>
      </w:r>
    </w:p>
    <w:p w:rsidR="006E0406" w:rsidRPr="000763AE" w:rsidRDefault="0003598B" w:rsidP="00B11B34">
      <w:pPr>
        <w:autoSpaceDE w:val="0"/>
        <w:autoSpaceDN w:val="0"/>
        <w:adjustRightInd w:val="0"/>
        <w:rPr>
          <w:rFonts w:eastAsia="Calibri"/>
        </w:rPr>
      </w:pPr>
      <w:hyperlink r:id="rId52" w:history="1">
        <w:r w:rsidR="006E0406" w:rsidRPr="000763AE">
          <w:rPr>
            <w:rFonts w:eastAsia="Calibri"/>
            <w:color w:val="0000FF"/>
            <w:u w:val="single"/>
          </w:rPr>
          <w:t>https://medium.com/@josephbwalton/social-equity-in-public-administration-747f02328e05</w:t>
        </w:r>
      </w:hyperlink>
      <w:r w:rsidR="006E0406" w:rsidRPr="000763AE">
        <w:rPr>
          <w:rFonts w:eastAsia="Calibri"/>
        </w:rPr>
        <w:t xml:space="preserve"> </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r w:rsidRPr="000763AE">
        <w:rPr>
          <w:rFonts w:eastAsia="Calibri"/>
        </w:rPr>
        <w:t>Warner, R. M. (2008). Applied statistics: from bivariate through multivariate techniques. Los Angeles, CA: Sage.</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spellStart"/>
      <w:r w:rsidRPr="000763AE">
        <w:rPr>
          <w:rFonts w:eastAsia="Calibri"/>
        </w:rPr>
        <w:t>Wharam</w:t>
      </w:r>
      <w:proofErr w:type="spellEnd"/>
      <w:r w:rsidRPr="000763AE">
        <w:rPr>
          <w:rFonts w:eastAsia="Calibri"/>
        </w:rPr>
        <w:t xml:space="preserve"> JF, </w:t>
      </w:r>
      <w:proofErr w:type="spellStart"/>
      <w:r w:rsidRPr="000763AE">
        <w:rPr>
          <w:rFonts w:eastAsia="Calibri"/>
        </w:rPr>
        <w:t>Soumerai</w:t>
      </w:r>
      <w:proofErr w:type="spellEnd"/>
      <w:r w:rsidRPr="000763AE">
        <w:rPr>
          <w:rFonts w:eastAsia="Calibri"/>
        </w:rPr>
        <w:t xml:space="preserve"> S, </w:t>
      </w:r>
      <w:proofErr w:type="spellStart"/>
      <w:r w:rsidRPr="000763AE">
        <w:rPr>
          <w:rFonts w:eastAsia="Calibri"/>
        </w:rPr>
        <w:t>Trinacty</w:t>
      </w:r>
      <w:proofErr w:type="spellEnd"/>
      <w:r w:rsidRPr="000763AE">
        <w:rPr>
          <w:rFonts w:eastAsia="Calibri"/>
        </w:rPr>
        <w:t xml:space="preserve"> C, Eggleston E, Zhang F, </w:t>
      </w:r>
      <w:proofErr w:type="spellStart"/>
      <w:r w:rsidRPr="000763AE">
        <w:rPr>
          <w:rFonts w:eastAsia="Calibri"/>
        </w:rPr>
        <w:t>LeCates</w:t>
      </w:r>
      <w:proofErr w:type="spellEnd"/>
      <w:r w:rsidRPr="000763AE">
        <w:rPr>
          <w:rFonts w:eastAsia="Calibri"/>
        </w:rPr>
        <w:t xml:space="preserve"> R, Canning</w:t>
      </w:r>
    </w:p>
    <w:p w:rsidR="006E0406" w:rsidRPr="000763AE" w:rsidRDefault="006E0406" w:rsidP="00B11B34">
      <w:pPr>
        <w:autoSpaceDE w:val="0"/>
        <w:autoSpaceDN w:val="0"/>
        <w:adjustRightInd w:val="0"/>
        <w:rPr>
          <w:rFonts w:eastAsia="Calibri"/>
        </w:rPr>
      </w:pPr>
      <w:r w:rsidRPr="000763AE">
        <w:rPr>
          <w:rFonts w:eastAsia="Calibri"/>
        </w:rPr>
        <w:t>C, Ross-</w:t>
      </w:r>
      <w:proofErr w:type="spellStart"/>
      <w:r w:rsidRPr="000763AE">
        <w:rPr>
          <w:rFonts w:eastAsia="Calibri"/>
        </w:rPr>
        <w:t>Degnan</w:t>
      </w:r>
      <w:proofErr w:type="spellEnd"/>
      <w:r w:rsidRPr="000763AE">
        <w:rPr>
          <w:rFonts w:eastAsia="Calibri"/>
        </w:rPr>
        <w:t xml:space="preserve"> D. Impact of emerging health insurance arrangements on diabetes</w:t>
      </w:r>
    </w:p>
    <w:p w:rsidR="006E0406" w:rsidRPr="000763AE" w:rsidRDefault="006E0406" w:rsidP="00B11B34">
      <w:pPr>
        <w:autoSpaceDE w:val="0"/>
        <w:autoSpaceDN w:val="0"/>
        <w:adjustRightInd w:val="0"/>
        <w:rPr>
          <w:rFonts w:eastAsia="Calibri"/>
        </w:rPr>
      </w:pPr>
      <w:proofErr w:type="gramStart"/>
      <w:r w:rsidRPr="000763AE">
        <w:rPr>
          <w:rFonts w:eastAsia="Calibri"/>
        </w:rPr>
        <w:t>outcomes</w:t>
      </w:r>
      <w:proofErr w:type="gramEnd"/>
      <w:r w:rsidRPr="000763AE">
        <w:rPr>
          <w:rFonts w:eastAsia="Calibri"/>
        </w:rPr>
        <w:t xml:space="preserve"> and disparities: rationale and study design. </w:t>
      </w:r>
      <w:proofErr w:type="spellStart"/>
      <w:proofErr w:type="gramStart"/>
      <w:r w:rsidRPr="000763AE">
        <w:rPr>
          <w:rFonts w:eastAsia="Calibri"/>
        </w:rPr>
        <w:t>Prev</w:t>
      </w:r>
      <w:proofErr w:type="spellEnd"/>
      <w:r w:rsidRPr="000763AE">
        <w:rPr>
          <w:rFonts w:eastAsia="Calibri"/>
        </w:rPr>
        <w:t xml:space="preserve"> Chronic Dis.</w:t>
      </w:r>
      <w:proofErr w:type="gramEnd"/>
    </w:p>
    <w:p w:rsidR="006E0406" w:rsidRPr="000763AE" w:rsidRDefault="006E0406" w:rsidP="00B11B34">
      <w:pPr>
        <w:autoSpaceDE w:val="0"/>
        <w:autoSpaceDN w:val="0"/>
        <w:adjustRightInd w:val="0"/>
        <w:rPr>
          <w:rFonts w:eastAsia="Calibri"/>
        </w:rPr>
      </w:pPr>
      <w:r w:rsidRPr="000763AE">
        <w:rPr>
          <w:rFonts w:eastAsia="Calibri"/>
        </w:rPr>
        <w:t>2013</w:t>
      </w:r>
      <w:proofErr w:type="gramStart"/>
      <w:r w:rsidRPr="000763AE">
        <w:rPr>
          <w:rFonts w:eastAsia="Calibri"/>
        </w:rPr>
        <w:t>;10:E11</w:t>
      </w:r>
      <w:proofErr w:type="gramEnd"/>
      <w:r w:rsidRPr="000763AE">
        <w:rPr>
          <w:rFonts w:eastAsia="Calibri"/>
        </w:rPr>
        <w:t xml:space="preserve">. </w:t>
      </w:r>
      <w:proofErr w:type="spellStart"/>
      <w:proofErr w:type="gramStart"/>
      <w:r w:rsidRPr="000763AE">
        <w:rPr>
          <w:rFonts w:eastAsia="Calibri"/>
        </w:rPr>
        <w:t>doi</w:t>
      </w:r>
      <w:proofErr w:type="spellEnd"/>
      <w:proofErr w:type="gramEnd"/>
      <w:r w:rsidRPr="000763AE">
        <w:rPr>
          <w:rFonts w:eastAsia="Calibri"/>
        </w:rPr>
        <w:t>: 10.5888/pcd10.120147. PubMed PMID: 23369764; PubMed Central</w:t>
      </w:r>
    </w:p>
    <w:p w:rsidR="006E0406" w:rsidRPr="000763AE" w:rsidRDefault="006E0406" w:rsidP="00B11B34">
      <w:pPr>
        <w:autoSpaceDE w:val="0"/>
        <w:autoSpaceDN w:val="0"/>
        <w:adjustRightInd w:val="0"/>
        <w:rPr>
          <w:rFonts w:eastAsia="Calibri"/>
        </w:rPr>
      </w:pPr>
      <w:r w:rsidRPr="000763AE">
        <w:rPr>
          <w:rFonts w:eastAsia="Calibri"/>
        </w:rPr>
        <w:t>PMCID: PMC3562172.</w:t>
      </w:r>
    </w:p>
    <w:p w:rsidR="006E0406" w:rsidRPr="000763AE" w:rsidRDefault="006E0406" w:rsidP="00B11B34">
      <w:pPr>
        <w:autoSpaceDE w:val="0"/>
        <w:autoSpaceDN w:val="0"/>
        <w:adjustRightInd w:val="0"/>
        <w:rPr>
          <w:rFonts w:eastAsia="Calibri"/>
          <w:i/>
          <w:color w:val="C00000"/>
          <w:sz w:val="28"/>
          <w:szCs w:val="28"/>
        </w:rPr>
      </w:pPr>
    </w:p>
    <w:p w:rsidR="006E0406" w:rsidRPr="000763AE" w:rsidRDefault="006E0406" w:rsidP="00B11B34">
      <w:pPr>
        <w:autoSpaceDE w:val="0"/>
        <w:autoSpaceDN w:val="0"/>
        <w:adjustRightInd w:val="0"/>
        <w:rPr>
          <w:rFonts w:eastAsia="Calibri"/>
          <w:szCs w:val="28"/>
        </w:rPr>
      </w:pPr>
      <w:r w:rsidRPr="000763AE">
        <w:rPr>
          <w:rFonts w:eastAsia="Calibri"/>
          <w:szCs w:val="28"/>
        </w:rPr>
        <w:t xml:space="preserve">Williams, J., Walker, R., </w:t>
      </w:r>
      <w:proofErr w:type="spellStart"/>
      <w:r w:rsidRPr="000763AE">
        <w:rPr>
          <w:rFonts w:eastAsia="Calibri"/>
          <w:szCs w:val="28"/>
        </w:rPr>
        <w:t>Egede</w:t>
      </w:r>
      <w:proofErr w:type="spellEnd"/>
      <w:r w:rsidRPr="000763AE">
        <w:rPr>
          <w:rFonts w:eastAsia="Calibri"/>
          <w:szCs w:val="28"/>
        </w:rPr>
        <w:t xml:space="preserve">, L. (2016). </w:t>
      </w:r>
      <w:proofErr w:type="gramStart"/>
      <w:r w:rsidRPr="000763AE">
        <w:rPr>
          <w:rFonts w:eastAsia="Calibri"/>
          <w:szCs w:val="28"/>
        </w:rPr>
        <w:t>Achieving Equity in an Evolving Healthcare system: Opportunities and Challenges.</w:t>
      </w:r>
      <w:proofErr w:type="gramEnd"/>
      <w:r w:rsidRPr="000763AE">
        <w:rPr>
          <w:rFonts w:eastAsia="Calibri"/>
          <w:szCs w:val="28"/>
        </w:rPr>
        <w:t xml:space="preserve"> American Journal of the Medical Science 351(1):33-43.</w:t>
      </w:r>
    </w:p>
    <w:p w:rsidR="006E0406" w:rsidRPr="000763AE" w:rsidRDefault="006E0406" w:rsidP="00B11B34">
      <w:pPr>
        <w:autoSpaceDE w:val="0"/>
        <w:autoSpaceDN w:val="0"/>
        <w:adjustRightInd w:val="0"/>
        <w:rPr>
          <w:rFonts w:eastAsia="Calibri"/>
          <w:szCs w:val="28"/>
        </w:rPr>
      </w:pPr>
    </w:p>
    <w:p w:rsidR="006E0406" w:rsidRPr="000763AE" w:rsidRDefault="006E0406" w:rsidP="00B11B34">
      <w:pPr>
        <w:autoSpaceDE w:val="0"/>
        <w:autoSpaceDN w:val="0"/>
        <w:adjustRightInd w:val="0"/>
        <w:rPr>
          <w:rFonts w:eastAsia="Calibri"/>
        </w:rPr>
      </w:pPr>
      <w:proofErr w:type="spellStart"/>
      <w:r w:rsidRPr="000763AE">
        <w:rPr>
          <w:rFonts w:eastAsia="Calibri"/>
        </w:rPr>
        <w:t>Vittinghoff</w:t>
      </w:r>
      <w:proofErr w:type="spellEnd"/>
      <w:r w:rsidRPr="000763AE">
        <w:rPr>
          <w:rFonts w:eastAsia="Calibri"/>
        </w:rPr>
        <w:t>, E., McCulloch, C. (2007). Relaxing the Rule of Ten Events per Variable in Logistic and Cox Regression, American Journal of Epidemiology, Volume 165, Issue 6, 15 March 2007, Pages 710–718, https://doi.org/10.1093/aje/kwk052</w:t>
      </w:r>
    </w:p>
    <w:p w:rsidR="006E0406" w:rsidRPr="000763AE" w:rsidRDefault="006E0406" w:rsidP="00B11B34">
      <w:pPr>
        <w:autoSpaceDE w:val="0"/>
        <w:autoSpaceDN w:val="0"/>
        <w:adjustRightInd w:val="0"/>
        <w:rPr>
          <w:rFonts w:eastAsia="Calibri"/>
        </w:rPr>
      </w:pPr>
    </w:p>
    <w:p w:rsidR="006E0406" w:rsidRPr="000763AE" w:rsidRDefault="006E0406" w:rsidP="00B11B34">
      <w:pPr>
        <w:autoSpaceDE w:val="0"/>
        <w:autoSpaceDN w:val="0"/>
        <w:adjustRightInd w:val="0"/>
        <w:rPr>
          <w:rFonts w:eastAsia="Calibri"/>
        </w:rPr>
      </w:pPr>
      <w:proofErr w:type="gramStart"/>
      <w:r w:rsidRPr="000763AE">
        <w:rPr>
          <w:rFonts w:eastAsia="Calibri"/>
        </w:rPr>
        <w:t>Yu MK, Lyles CR, Bent-Shaw LA, Young BA.</w:t>
      </w:r>
      <w:proofErr w:type="gramEnd"/>
      <w:r w:rsidRPr="000763AE">
        <w:rPr>
          <w:rFonts w:eastAsia="Calibri"/>
        </w:rPr>
        <w:t xml:space="preserve"> Sex disparities in diabetes process</w:t>
      </w:r>
    </w:p>
    <w:p w:rsidR="006E0406" w:rsidRPr="000763AE" w:rsidRDefault="006E0406" w:rsidP="00B11B34">
      <w:pPr>
        <w:autoSpaceDE w:val="0"/>
        <w:autoSpaceDN w:val="0"/>
        <w:adjustRightInd w:val="0"/>
        <w:rPr>
          <w:rFonts w:eastAsia="Calibri"/>
        </w:rPr>
      </w:pPr>
      <w:proofErr w:type="gramStart"/>
      <w:r w:rsidRPr="000763AE">
        <w:rPr>
          <w:rFonts w:eastAsia="Calibri"/>
        </w:rPr>
        <w:t>of</w:t>
      </w:r>
      <w:proofErr w:type="gramEnd"/>
      <w:r w:rsidRPr="000763AE">
        <w:rPr>
          <w:rFonts w:eastAsia="Calibri"/>
        </w:rPr>
        <w:t xml:space="preserve"> care measures and self-care in high-risk patients. </w:t>
      </w:r>
      <w:proofErr w:type="gramStart"/>
      <w:r w:rsidRPr="000763AE">
        <w:rPr>
          <w:rFonts w:eastAsia="Calibri"/>
        </w:rPr>
        <w:t>J Diabetes Res.</w:t>
      </w:r>
      <w:proofErr w:type="gramEnd"/>
    </w:p>
    <w:p w:rsidR="006E0406" w:rsidRPr="000763AE" w:rsidRDefault="006E0406" w:rsidP="00B11B34">
      <w:pPr>
        <w:autoSpaceDE w:val="0"/>
        <w:autoSpaceDN w:val="0"/>
        <w:adjustRightInd w:val="0"/>
        <w:rPr>
          <w:rFonts w:eastAsia="Calibri"/>
        </w:rPr>
      </w:pPr>
      <w:r w:rsidRPr="000763AE">
        <w:rPr>
          <w:rFonts w:eastAsia="Calibri"/>
        </w:rPr>
        <w:t>2013</w:t>
      </w:r>
      <w:proofErr w:type="gramStart"/>
      <w:r w:rsidRPr="000763AE">
        <w:rPr>
          <w:rFonts w:eastAsia="Calibri"/>
        </w:rPr>
        <w:t>;2013:575814</w:t>
      </w:r>
      <w:proofErr w:type="gramEnd"/>
      <w:r w:rsidRPr="000763AE">
        <w:rPr>
          <w:rFonts w:eastAsia="Calibri"/>
        </w:rPr>
        <w:t xml:space="preserve">. </w:t>
      </w:r>
      <w:proofErr w:type="spellStart"/>
      <w:proofErr w:type="gramStart"/>
      <w:r w:rsidRPr="000763AE">
        <w:rPr>
          <w:rFonts w:eastAsia="Calibri"/>
        </w:rPr>
        <w:t>doi</w:t>
      </w:r>
      <w:proofErr w:type="spellEnd"/>
      <w:proofErr w:type="gramEnd"/>
      <w:r w:rsidRPr="000763AE">
        <w:rPr>
          <w:rFonts w:eastAsia="Calibri"/>
        </w:rPr>
        <w:t xml:space="preserve">: 10.1155/2013/575814. </w:t>
      </w:r>
      <w:proofErr w:type="spellStart"/>
      <w:r w:rsidRPr="000763AE">
        <w:rPr>
          <w:rFonts w:eastAsia="Calibri"/>
        </w:rPr>
        <w:t>Epub</w:t>
      </w:r>
      <w:proofErr w:type="spellEnd"/>
      <w:r w:rsidRPr="000763AE">
        <w:rPr>
          <w:rFonts w:eastAsia="Calibri"/>
        </w:rPr>
        <w:t xml:space="preserve"> 2013 Mar 31. PubMed PMID:</w:t>
      </w:r>
    </w:p>
    <w:p w:rsidR="006E0406" w:rsidRPr="000763AE" w:rsidRDefault="006E0406" w:rsidP="00B11B34">
      <w:pPr>
        <w:autoSpaceDE w:val="0"/>
        <w:autoSpaceDN w:val="0"/>
        <w:adjustRightInd w:val="0"/>
        <w:rPr>
          <w:rFonts w:eastAsia="Calibri"/>
        </w:rPr>
      </w:pPr>
      <w:r w:rsidRPr="000763AE">
        <w:rPr>
          <w:rFonts w:eastAsia="Calibri"/>
        </w:rPr>
        <w:t>23671877; PubMed Central PMCID: PMC3647593.</w:t>
      </w:r>
    </w:p>
    <w:p w:rsidR="006E0406" w:rsidRPr="000763AE" w:rsidRDefault="006E0406" w:rsidP="00B11B34">
      <w:pPr>
        <w:autoSpaceDE w:val="0"/>
        <w:autoSpaceDN w:val="0"/>
        <w:adjustRightInd w:val="0"/>
        <w:rPr>
          <w:rFonts w:eastAsia="Calibri"/>
          <w:i/>
          <w:color w:val="C00000"/>
          <w:sz w:val="28"/>
          <w:szCs w:val="28"/>
        </w:rPr>
      </w:pPr>
      <w:r w:rsidRPr="000763AE">
        <w:rPr>
          <w:rFonts w:eastAsia="Calibri"/>
          <w:i/>
          <w:color w:val="C00000"/>
          <w:sz w:val="28"/>
          <w:szCs w:val="28"/>
        </w:rPr>
        <w:t xml:space="preserve"> </w:t>
      </w:r>
    </w:p>
    <w:p w:rsidR="006E0406" w:rsidRPr="000763AE" w:rsidRDefault="006E0406" w:rsidP="00B11B34">
      <w:pPr>
        <w:autoSpaceDE w:val="0"/>
        <w:autoSpaceDN w:val="0"/>
        <w:adjustRightInd w:val="0"/>
        <w:rPr>
          <w:rFonts w:eastAsia="Calibri"/>
          <w:i/>
          <w:color w:val="C00000"/>
          <w:sz w:val="28"/>
          <w:szCs w:val="28"/>
        </w:rPr>
      </w:pPr>
      <w:proofErr w:type="spellStart"/>
      <w:proofErr w:type="gramStart"/>
      <w:r w:rsidRPr="000763AE">
        <w:rPr>
          <w:rFonts w:eastAsia="Calibri"/>
          <w:color w:val="333333"/>
          <w:shd w:val="clear" w:color="auto" w:fill="FFFFFF"/>
        </w:rPr>
        <w:t>Zhuo</w:t>
      </w:r>
      <w:proofErr w:type="spellEnd"/>
      <w:r w:rsidRPr="000763AE">
        <w:rPr>
          <w:rFonts w:eastAsia="Calibri"/>
          <w:color w:val="333333"/>
          <w:shd w:val="clear" w:color="auto" w:fill="FFFFFF"/>
        </w:rPr>
        <w:t>, X., Zhang, P., Barker, L., Albright, A., Thompson, T. J., &amp; Gregg, E. (2014).</w:t>
      </w:r>
      <w:proofErr w:type="gramEnd"/>
      <w:r w:rsidRPr="000763AE">
        <w:rPr>
          <w:rFonts w:eastAsia="Calibri"/>
          <w:color w:val="333333"/>
          <w:shd w:val="clear" w:color="auto" w:fill="FFFFFF"/>
        </w:rPr>
        <w:t xml:space="preserve"> </w:t>
      </w:r>
      <w:proofErr w:type="gramStart"/>
      <w:r w:rsidRPr="000763AE">
        <w:rPr>
          <w:rFonts w:eastAsia="Calibri"/>
          <w:color w:val="333333"/>
          <w:shd w:val="clear" w:color="auto" w:fill="FFFFFF"/>
        </w:rPr>
        <w:t>The Lifetime Cost of Diabetes and Its Implications for Diabetes Prevention.</w:t>
      </w:r>
      <w:proofErr w:type="gramEnd"/>
      <w:r w:rsidRPr="000763AE">
        <w:rPr>
          <w:rFonts w:eastAsia="Calibri"/>
          <w:color w:val="333333"/>
          <w:shd w:val="clear" w:color="auto" w:fill="FFFFFF"/>
        </w:rPr>
        <w:t> </w:t>
      </w:r>
      <w:r w:rsidRPr="000763AE">
        <w:rPr>
          <w:rFonts w:eastAsia="Calibri"/>
          <w:i/>
          <w:iCs/>
          <w:color w:val="333333"/>
        </w:rPr>
        <w:t>Diabetes Care</w:t>
      </w:r>
      <w:proofErr w:type="gramStart"/>
      <w:r w:rsidRPr="000763AE">
        <w:rPr>
          <w:rFonts w:eastAsia="Calibri"/>
          <w:i/>
          <w:iCs/>
          <w:color w:val="333333"/>
        </w:rPr>
        <w:t>,37</w:t>
      </w:r>
      <w:proofErr w:type="gramEnd"/>
      <w:r w:rsidRPr="000763AE">
        <w:rPr>
          <w:rFonts w:eastAsia="Calibri"/>
          <w:color w:val="333333"/>
          <w:shd w:val="clear" w:color="auto" w:fill="FFFFFF"/>
        </w:rPr>
        <w:t xml:space="preserve">(9), 2557-2564. </w:t>
      </w:r>
      <w:proofErr w:type="gramStart"/>
      <w:r w:rsidRPr="000763AE">
        <w:rPr>
          <w:rFonts w:eastAsia="Calibri"/>
          <w:color w:val="333333"/>
          <w:shd w:val="clear" w:color="auto" w:fill="FFFFFF"/>
        </w:rPr>
        <w:t>doi:</w:t>
      </w:r>
      <w:proofErr w:type="gramEnd"/>
      <w:r w:rsidRPr="000763AE">
        <w:rPr>
          <w:rFonts w:eastAsia="Calibri"/>
          <w:color w:val="333333"/>
          <w:shd w:val="clear" w:color="auto" w:fill="FFFFFF"/>
        </w:rPr>
        <w:t>10.2337/dc13-2484</w:t>
      </w:r>
    </w:p>
    <w:p w:rsidR="00032C40" w:rsidRPr="004C1975" w:rsidRDefault="006E0406" w:rsidP="00B11B34">
      <w:pPr>
        <w:spacing w:before="100" w:beforeAutospacing="1" w:after="100" w:afterAutospacing="1"/>
      </w:pPr>
      <w:proofErr w:type="spellStart"/>
      <w:proofErr w:type="gramStart"/>
      <w:r w:rsidRPr="006E0406">
        <w:lastRenderedPageBreak/>
        <w:t>Ziller</w:t>
      </w:r>
      <w:proofErr w:type="spellEnd"/>
      <w:r w:rsidRPr="006E0406">
        <w:t>, E; Coburn, A, (2018) Health Equity Challenges in Rural America.</w:t>
      </w:r>
      <w:proofErr w:type="gramEnd"/>
      <w:r w:rsidRPr="006E0406">
        <w:t xml:space="preserve"> American Bar Association, </w:t>
      </w:r>
      <w:r w:rsidRPr="006E0406">
        <w:rPr>
          <w:rFonts w:ascii="Publico" w:hAnsi="Publico"/>
          <w:color w:val="000000"/>
          <w:shd w:val="clear" w:color="auto" w:fill="FFFFFF"/>
        </w:rPr>
        <w:t>Vol. 43, No. 3: The State of Healthcare in the United States.</w:t>
      </w:r>
    </w:p>
    <w:p w:rsidR="006E0406" w:rsidRPr="006E0406" w:rsidRDefault="000C7B26" w:rsidP="0012555B">
      <w:pPr>
        <w:spacing w:after="200"/>
        <w:jc w:val="center"/>
        <w:rPr>
          <w:b/>
          <w:sz w:val="28"/>
          <w:szCs w:val="28"/>
        </w:rPr>
      </w:pPr>
      <w:r>
        <w:rPr>
          <w:b/>
          <w:sz w:val="28"/>
          <w:szCs w:val="28"/>
        </w:rPr>
        <w:br w:type="page"/>
      </w:r>
      <w:r w:rsidR="00032C40">
        <w:rPr>
          <w:b/>
          <w:sz w:val="28"/>
          <w:szCs w:val="28"/>
        </w:rPr>
        <w:lastRenderedPageBreak/>
        <w:t xml:space="preserve">APPENDIX </w:t>
      </w:r>
      <w:r w:rsidR="006E0406" w:rsidRPr="006E0406">
        <w:rPr>
          <w:b/>
          <w:sz w:val="28"/>
          <w:szCs w:val="28"/>
        </w:rPr>
        <w:t>A</w:t>
      </w:r>
    </w:p>
    <w:p w:rsidR="006E0406" w:rsidRPr="000763AE" w:rsidRDefault="006E0406" w:rsidP="00032C40">
      <w:pPr>
        <w:autoSpaceDE w:val="0"/>
        <w:autoSpaceDN w:val="0"/>
        <w:adjustRightInd w:val="0"/>
        <w:rPr>
          <w:rFonts w:eastAsia="Calibri"/>
          <w:b/>
          <w:color w:val="000000"/>
        </w:rPr>
      </w:pPr>
    </w:p>
    <w:p w:rsidR="006E0406" w:rsidRPr="000763AE" w:rsidRDefault="006E0406" w:rsidP="006E0406">
      <w:pPr>
        <w:autoSpaceDE w:val="0"/>
        <w:autoSpaceDN w:val="0"/>
        <w:adjustRightInd w:val="0"/>
        <w:jc w:val="both"/>
        <w:rPr>
          <w:rFonts w:eastAsia="Calibri"/>
          <w:color w:val="000000"/>
        </w:rPr>
      </w:pPr>
      <w:proofErr w:type="gramStart"/>
      <w:r w:rsidRPr="000763AE">
        <w:rPr>
          <w:rFonts w:eastAsia="Calibri"/>
          <w:b/>
          <w:color w:val="000000"/>
        </w:rPr>
        <w:t>Figure 1b.</w:t>
      </w:r>
      <w:proofErr w:type="gramEnd"/>
      <w:r w:rsidRPr="000763AE">
        <w:rPr>
          <w:rFonts w:eastAsia="Calibri"/>
          <w:b/>
          <w:color w:val="000000"/>
        </w:rPr>
        <w:t xml:space="preserve"> </w:t>
      </w:r>
      <w:r w:rsidRPr="000763AE">
        <w:rPr>
          <w:rFonts w:eastAsia="Calibri"/>
          <w:color w:val="000000"/>
        </w:rPr>
        <w:t>American Diabetes Association (ADA) comprehensive guidelines for diabetes care management.</w:t>
      </w:r>
    </w:p>
    <w:p w:rsidR="006E0406" w:rsidRPr="000763AE" w:rsidRDefault="008252AC" w:rsidP="006E0406">
      <w:pPr>
        <w:autoSpaceDE w:val="0"/>
        <w:autoSpaceDN w:val="0"/>
        <w:adjustRightInd w:val="0"/>
        <w:jc w:val="both"/>
        <w:rPr>
          <w:rFonts w:eastAsia="Calibri"/>
          <w:b/>
          <w:noProof/>
          <w:color w:val="000000"/>
          <w:sz w:val="28"/>
        </w:rPr>
      </w:pPr>
      <w:r>
        <w:rPr>
          <w:rFonts w:eastAsia="Calibri"/>
          <w:b/>
          <w:noProof/>
          <w:color w:val="000000"/>
          <w:sz w:val="28"/>
        </w:rPr>
        <w:drawing>
          <wp:inline distT="0" distB="0" distL="0" distR="0">
            <wp:extent cx="5344795" cy="5745480"/>
            <wp:effectExtent l="0" t="0" r="8255" b="7620"/>
            <wp:docPr id="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344795" cy="5745480"/>
                    </a:xfrm>
                    <a:prstGeom prst="rect">
                      <a:avLst/>
                    </a:prstGeom>
                    <a:noFill/>
                    <a:ln>
                      <a:noFill/>
                    </a:ln>
                  </pic:spPr>
                </pic:pic>
              </a:graphicData>
            </a:graphic>
          </wp:inline>
        </w:drawing>
      </w:r>
      <w:r w:rsidR="006E0406" w:rsidRPr="000763AE">
        <w:rPr>
          <w:rFonts w:eastAsia="Calibri"/>
          <w:b/>
          <w:noProof/>
          <w:color w:val="000000"/>
          <w:sz w:val="28"/>
        </w:rPr>
        <w:t xml:space="preserve">    </w:t>
      </w:r>
    </w:p>
    <w:p w:rsidR="006E0406" w:rsidRPr="000763AE" w:rsidRDefault="008252AC" w:rsidP="006E0406">
      <w:pPr>
        <w:autoSpaceDE w:val="0"/>
        <w:autoSpaceDN w:val="0"/>
        <w:adjustRightInd w:val="0"/>
        <w:jc w:val="both"/>
        <w:rPr>
          <w:rFonts w:eastAsia="Calibri"/>
          <w:b/>
          <w:color w:val="000000"/>
          <w:sz w:val="28"/>
        </w:rPr>
      </w:pPr>
      <w:r>
        <w:rPr>
          <w:rFonts w:eastAsia="Calibri"/>
          <w:b/>
          <w:noProof/>
          <w:color w:val="000000"/>
          <w:sz w:val="28"/>
        </w:rPr>
        <w:lastRenderedPageBreak/>
        <w:drawing>
          <wp:inline distT="0" distB="0" distL="0" distR="0">
            <wp:extent cx="5448300" cy="7227570"/>
            <wp:effectExtent l="0" t="0" r="0" b="0"/>
            <wp:docPr id="1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48300" cy="7227570"/>
                    </a:xfrm>
                    <a:prstGeom prst="rect">
                      <a:avLst/>
                    </a:prstGeom>
                    <a:noFill/>
                    <a:ln>
                      <a:noFill/>
                    </a:ln>
                  </pic:spPr>
                </pic:pic>
              </a:graphicData>
            </a:graphic>
          </wp:inline>
        </w:drawing>
      </w:r>
    </w:p>
    <w:p w:rsidR="006E0406" w:rsidRPr="000763AE" w:rsidRDefault="006E0406" w:rsidP="006E0406">
      <w:pPr>
        <w:autoSpaceDE w:val="0"/>
        <w:autoSpaceDN w:val="0"/>
        <w:adjustRightInd w:val="0"/>
        <w:jc w:val="both"/>
        <w:rPr>
          <w:rFonts w:ascii="Calibri" w:eastAsia="Calibri" w:hAnsi="Calibri" w:cs="Calibri"/>
          <w:color w:val="000000"/>
          <w:sz w:val="22"/>
          <w:szCs w:val="22"/>
        </w:rPr>
      </w:pPr>
    </w:p>
    <w:p w:rsidR="006E0406" w:rsidRPr="000763AE" w:rsidRDefault="006E0406" w:rsidP="006E0406">
      <w:pPr>
        <w:autoSpaceDE w:val="0"/>
        <w:autoSpaceDN w:val="0"/>
        <w:adjustRightInd w:val="0"/>
        <w:jc w:val="both"/>
        <w:rPr>
          <w:rFonts w:ascii="Calibri" w:eastAsia="Calibri" w:hAnsi="Calibri" w:cs="Calibri"/>
          <w:color w:val="000000"/>
          <w:sz w:val="22"/>
          <w:szCs w:val="22"/>
        </w:rPr>
      </w:pPr>
    </w:p>
    <w:p w:rsidR="006E0406" w:rsidRPr="000763AE" w:rsidRDefault="006E0406" w:rsidP="006E0406">
      <w:pPr>
        <w:autoSpaceDE w:val="0"/>
        <w:autoSpaceDN w:val="0"/>
        <w:adjustRightInd w:val="0"/>
        <w:jc w:val="both"/>
        <w:rPr>
          <w:rFonts w:eastAsia="Calibri"/>
          <w:b/>
          <w:color w:val="000000"/>
        </w:rPr>
      </w:pPr>
    </w:p>
    <w:p w:rsidR="006E0406" w:rsidRPr="000763AE" w:rsidRDefault="006E0406" w:rsidP="006E0406">
      <w:pPr>
        <w:autoSpaceDE w:val="0"/>
        <w:autoSpaceDN w:val="0"/>
        <w:adjustRightInd w:val="0"/>
        <w:jc w:val="both"/>
        <w:rPr>
          <w:rFonts w:eastAsia="Calibri"/>
          <w:b/>
          <w:color w:val="000000"/>
        </w:rPr>
      </w:pPr>
    </w:p>
    <w:p w:rsidR="006E0406" w:rsidRPr="000763AE" w:rsidRDefault="006E0406" w:rsidP="006E0406">
      <w:pPr>
        <w:autoSpaceDE w:val="0"/>
        <w:autoSpaceDN w:val="0"/>
        <w:adjustRightInd w:val="0"/>
        <w:jc w:val="both"/>
        <w:rPr>
          <w:rFonts w:eastAsia="Calibri"/>
          <w:b/>
          <w:color w:val="000000"/>
        </w:rPr>
      </w:pPr>
    </w:p>
    <w:p w:rsidR="006E0406" w:rsidRPr="000763AE" w:rsidRDefault="003E0487" w:rsidP="006E0406">
      <w:pPr>
        <w:autoSpaceDE w:val="0"/>
        <w:autoSpaceDN w:val="0"/>
        <w:adjustRightInd w:val="0"/>
        <w:jc w:val="both"/>
        <w:rPr>
          <w:rFonts w:eastAsia="Calibri"/>
          <w:b/>
          <w:noProof/>
          <w:color w:val="000000"/>
        </w:rPr>
      </w:pPr>
      <w:proofErr w:type="gramStart"/>
      <w:r w:rsidRPr="000763AE">
        <w:rPr>
          <w:rFonts w:eastAsia="Calibri"/>
          <w:b/>
          <w:color w:val="000000"/>
        </w:rPr>
        <w:lastRenderedPageBreak/>
        <w:t>Figure-</w:t>
      </w:r>
      <w:r w:rsidR="00D029B5" w:rsidRPr="000763AE">
        <w:rPr>
          <w:rFonts w:eastAsia="Calibri"/>
          <w:b/>
          <w:color w:val="000000"/>
        </w:rPr>
        <w:t>9</w:t>
      </w:r>
      <w:r w:rsidR="006E0406" w:rsidRPr="000763AE">
        <w:rPr>
          <w:rFonts w:eastAsia="Calibri"/>
          <w:b/>
          <w:color w:val="000000"/>
        </w:rPr>
        <w:t>.</w:t>
      </w:r>
      <w:proofErr w:type="gramEnd"/>
      <w:r w:rsidR="006E0406" w:rsidRPr="000763AE">
        <w:rPr>
          <w:rFonts w:eastAsia="Calibri"/>
          <w:b/>
          <w:noProof/>
          <w:color w:val="000000"/>
        </w:rPr>
        <w:t xml:space="preserve"> </w:t>
      </w:r>
      <w:r w:rsidR="006E0406" w:rsidRPr="000763AE">
        <w:rPr>
          <w:rFonts w:eastAsia="Calibri"/>
          <w:noProof/>
          <w:color w:val="000000"/>
        </w:rPr>
        <w:t>Sample of a patient record used for data collection in the 2015 NAMCS.</w:t>
      </w:r>
    </w:p>
    <w:p w:rsidR="006E0406" w:rsidRPr="000763AE" w:rsidRDefault="000763AE" w:rsidP="006E0406">
      <w:pPr>
        <w:autoSpaceDE w:val="0"/>
        <w:autoSpaceDN w:val="0"/>
        <w:adjustRightInd w:val="0"/>
        <w:jc w:val="both"/>
        <w:rPr>
          <w:rFonts w:eastAsia="Calibri"/>
          <w:b/>
          <w:noProof/>
          <w:color w:val="000000"/>
          <w:sz w:val="28"/>
        </w:rPr>
      </w:pPr>
      <w:r w:rsidRPr="000763AE">
        <w:rPr>
          <w:rFonts w:eastAsia="Calibri"/>
          <w:b/>
          <w:noProof/>
          <w:color w:val="000000"/>
          <w:sz w:val="28"/>
        </w:rPr>
        <w:object w:dxaOrig="9825" w:dyaOrig="15541">
          <v:shape id="_x0000_i1026" type="#_x0000_t75" style="width:422.95pt;height:492.65pt" o:ole="">
            <v:imagedata r:id="rId55" o:title=""/>
          </v:shape>
          <o:OLEObject Type="Embed" ProgID="AcroExch.Document.DC" ShapeID="_x0000_i1026" DrawAspect="Content" ObjectID="_1672207994" r:id="rId56"/>
        </w:object>
      </w:r>
    </w:p>
    <w:p w:rsidR="006E0406" w:rsidRPr="000763AE" w:rsidRDefault="006E0406" w:rsidP="006E0406">
      <w:pPr>
        <w:autoSpaceDE w:val="0"/>
        <w:autoSpaceDN w:val="0"/>
        <w:adjustRightInd w:val="0"/>
        <w:jc w:val="both"/>
        <w:rPr>
          <w:rFonts w:eastAsia="Calibri"/>
          <w:b/>
          <w:noProof/>
          <w:color w:val="000000"/>
          <w:sz w:val="28"/>
        </w:rPr>
      </w:pPr>
    </w:p>
    <w:p w:rsidR="006E0406" w:rsidRPr="000763AE" w:rsidRDefault="006E0406" w:rsidP="006E0406">
      <w:pPr>
        <w:autoSpaceDE w:val="0"/>
        <w:autoSpaceDN w:val="0"/>
        <w:adjustRightInd w:val="0"/>
        <w:jc w:val="both"/>
        <w:rPr>
          <w:rFonts w:eastAsia="Calibri"/>
          <w:b/>
          <w:noProof/>
          <w:color w:val="000000"/>
          <w:sz w:val="28"/>
        </w:rPr>
      </w:pPr>
    </w:p>
    <w:p w:rsidR="006E0406" w:rsidRPr="000763AE" w:rsidRDefault="006E0406" w:rsidP="006E0406">
      <w:pPr>
        <w:autoSpaceDE w:val="0"/>
        <w:autoSpaceDN w:val="0"/>
        <w:adjustRightInd w:val="0"/>
        <w:jc w:val="both"/>
        <w:rPr>
          <w:rFonts w:eastAsia="Calibri"/>
          <w:b/>
          <w:noProof/>
          <w:color w:val="000000"/>
          <w:sz w:val="28"/>
        </w:rPr>
      </w:pPr>
    </w:p>
    <w:p w:rsidR="006E0406" w:rsidRPr="000763AE" w:rsidRDefault="006E0406" w:rsidP="006E0406">
      <w:pPr>
        <w:autoSpaceDE w:val="0"/>
        <w:autoSpaceDN w:val="0"/>
        <w:adjustRightInd w:val="0"/>
        <w:jc w:val="both"/>
        <w:rPr>
          <w:rFonts w:eastAsia="Calibri"/>
          <w:b/>
          <w:noProof/>
          <w:color w:val="000000"/>
          <w:sz w:val="28"/>
        </w:rPr>
      </w:pPr>
    </w:p>
    <w:p w:rsidR="006E0406" w:rsidRPr="000763AE" w:rsidRDefault="006E0406" w:rsidP="006E0406">
      <w:pPr>
        <w:autoSpaceDE w:val="0"/>
        <w:autoSpaceDN w:val="0"/>
        <w:adjustRightInd w:val="0"/>
        <w:jc w:val="both"/>
        <w:rPr>
          <w:rFonts w:eastAsia="Calibri"/>
          <w:b/>
          <w:noProof/>
          <w:color w:val="000000"/>
          <w:sz w:val="28"/>
        </w:rPr>
      </w:pPr>
    </w:p>
    <w:p w:rsidR="006E0406" w:rsidRPr="000763AE" w:rsidRDefault="006E0406" w:rsidP="006E0406">
      <w:pPr>
        <w:autoSpaceDE w:val="0"/>
        <w:autoSpaceDN w:val="0"/>
        <w:adjustRightInd w:val="0"/>
        <w:jc w:val="both"/>
        <w:rPr>
          <w:rFonts w:eastAsia="Calibri"/>
          <w:b/>
          <w:noProof/>
          <w:color w:val="000000"/>
          <w:sz w:val="28"/>
        </w:rPr>
      </w:pPr>
    </w:p>
    <w:p w:rsidR="006E0406" w:rsidRPr="000763AE" w:rsidRDefault="006E0406" w:rsidP="006E0406">
      <w:pPr>
        <w:autoSpaceDE w:val="0"/>
        <w:autoSpaceDN w:val="0"/>
        <w:adjustRightInd w:val="0"/>
        <w:jc w:val="both"/>
        <w:rPr>
          <w:rFonts w:eastAsia="Calibri"/>
          <w:b/>
          <w:noProof/>
          <w:color w:val="000000"/>
          <w:sz w:val="28"/>
        </w:rPr>
      </w:pPr>
    </w:p>
    <w:p w:rsidR="006E0406" w:rsidRPr="000763AE" w:rsidRDefault="006E0406" w:rsidP="006E0406">
      <w:pPr>
        <w:autoSpaceDE w:val="0"/>
        <w:autoSpaceDN w:val="0"/>
        <w:adjustRightInd w:val="0"/>
        <w:jc w:val="both"/>
        <w:rPr>
          <w:rFonts w:eastAsia="Calibri"/>
          <w:b/>
          <w:noProof/>
          <w:color w:val="000000"/>
          <w:sz w:val="28"/>
        </w:rPr>
      </w:pPr>
    </w:p>
    <w:p w:rsidR="006E0406" w:rsidRPr="000763AE" w:rsidRDefault="006E0406" w:rsidP="006E0406">
      <w:pPr>
        <w:contextualSpacing/>
        <w:jc w:val="both"/>
        <w:rPr>
          <w:rFonts w:eastAsia="Calibri"/>
          <w:b/>
          <w:szCs w:val="22"/>
        </w:rPr>
      </w:pPr>
      <w:proofErr w:type="gramStart"/>
      <w:r w:rsidRPr="000763AE">
        <w:rPr>
          <w:rFonts w:eastAsia="Calibri"/>
          <w:b/>
          <w:szCs w:val="22"/>
        </w:rPr>
        <w:lastRenderedPageBreak/>
        <w:t>Table-A.</w:t>
      </w:r>
      <w:proofErr w:type="gramEnd"/>
      <w:r w:rsidRPr="000763AE">
        <w:rPr>
          <w:rFonts w:eastAsia="Calibri"/>
          <w:b/>
          <w:szCs w:val="22"/>
        </w:rPr>
        <w:t xml:space="preserve"> </w:t>
      </w:r>
      <w:r w:rsidRPr="000763AE">
        <w:rPr>
          <w:rFonts w:eastAsia="Calibri"/>
          <w:szCs w:val="22"/>
        </w:rPr>
        <w:t>List of variables and their definitions selected the NAMCS 2015 survey for the research analysis</w:t>
      </w:r>
      <w:r w:rsidRPr="000763AE">
        <w:rPr>
          <w:rFonts w:eastAsia="Calibri"/>
          <w:b/>
          <w:szCs w:val="22"/>
        </w:rPr>
        <w:t xml:space="preserve">. </w:t>
      </w:r>
    </w:p>
    <w:p w:rsidR="006E0406" w:rsidRPr="000763AE" w:rsidRDefault="006E0406" w:rsidP="006E0406">
      <w:pPr>
        <w:contextualSpacing/>
        <w:jc w:val="both"/>
        <w:rPr>
          <w:rFonts w:ascii="Calibri" w:eastAsia="Calibri" w:hAnsi="Calibri"/>
          <w:sz w:val="22"/>
          <w:szCs w:val="22"/>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3343"/>
        <w:gridCol w:w="1755"/>
        <w:gridCol w:w="1834"/>
      </w:tblGrid>
      <w:tr w:rsidR="006E0406" w:rsidRPr="006E0406" w:rsidTr="000763AE">
        <w:trPr>
          <w:trHeight w:val="300"/>
        </w:trPr>
        <w:tc>
          <w:tcPr>
            <w:tcW w:w="1152" w:type="pct"/>
            <w:shd w:val="clear" w:color="auto" w:fill="7F7F7F"/>
            <w:noWrap/>
            <w:vAlign w:val="center"/>
            <w:hideMark/>
          </w:tcPr>
          <w:p w:rsidR="006E0406" w:rsidRPr="000763AE" w:rsidRDefault="006E0406" w:rsidP="006E0406">
            <w:pPr>
              <w:rPr>
                <w:rFonts w:ascii="Calibri" w:hAnsi="Calibri" w:cs="Calibri"/>
                <w:b/>
                <w:color w:val="FFFFFF"/>
                <w:sz w:val="20"/>
                <w:szCs w:val="20"/>
              </w:rPr>
            </w:pPr>
            <w:r w:rsidRPr="000763AE">
              <w:rPr>
                <w:rFonts w:ascii="Calibri" w:hAnsi="Calibri" w:cs="Calibri"/>
                <w:b/>
                <w:color w:val="FFFFFF"/>
                <w:sz w:val="20"/>
                <w:szCs w:val="20"/>
              </w:rPr>
              <w:t xml:space="preserve">Variable </w:t>
            </w:r>
          </w:p>
        </w:tc>
        <w:tc>
          <w:tcPr>
            <w:tcW w:w="1856" w:type="pct"/>
            <w:shd w:val="clear" w:color="auto" w:fill="7F7F7F"/>
            <w:vAlign w:val="center"/>
            <w:hideMark/>
          </w:tcPr>
          <w:p w:rsidR="006E0406" w:rsidRPr="000763AE" w:rsidRDefault="006E0406" w:rsidP="006E0406">
            <w:pPr>
              <w:rPr>
                <w:rFonts w:ascii="Calibri" w:hAnsi="Calibri" w:cs="Calibri"/>
                <w:b/>
                <w:color w:val="FFFFFF"/>
                <w:sz w:val="20"/>
                <w:szCs w:val="20"/>
              </w:rPr>
            </w:pPr>
            <w:r w:rsidRPr="000763AE">
              <w:rPr>
                <w:rFonts w:ascii="Calibri" w:hAnsi="Calibri" w:cs="Calibri"/>
                <w:b/>
                <w:color w:val="FFFFFF"/>
                <w:sz w:val="20"/>
                <w:szCs w:val="20"/>
              </w:rPr>
              <w:t>Description</w:t>
            </w:r>
          </w:p>
        </w:tc>
        <w:tc>
          <w:tcPr>
            <w:tcW w:w="974" w:type="pct"/>
            <w:shd w:val="clear" w:color="auto" w:fill="7F7F7F"/>
            <w:vAlign w:val="center"/>
            <w:hideMark/>
          </w:tcPr>
          <w:p w:rsidR="006E0406" w:rsidRPr="000763AE" w:rsidRDefault="006E0406" w:rsidP="006E0406">
            <w:pPr>
              <w:rPr>
                <w:rFonts w:ascii="Calibri" w:hAnsi="Calibri" w:cs="Calibri"/>
                <w:b/>
                <w:color w:val="FFFFFF"/>
                <w:sz w:val="20"/>
                <w:szCs w:val="20"/>
              </w:rPr>
            </w:pPr>
            <w:r w:rsidRPr="000763AE">
              <w:rPr>
                <w:rFonts w:ascii="Calibri" w:hAnsi="Calibri" w:cs="Calibri"/>
                <w:b/>
                <w:color w:val="FFFFFF"/>
                <w:sz w:val="20"/>
                <w:szCs w:val="20"/>
              </w:rPr>
              <w:t xml:space="preserve">Level of Measurement </w:t>
            </w:r>
          </w:p>
        </w:tc>
        <w:tc>
          <w:tcPr>
            <w:tcW w:w="1018" w:type="pct"/>
            <w:shd w:val="clear" w:color="auto" w:fill="7F7F7F"/>
            <w:vAlign w:val="center"/>
            <w:hideMark/>
          </w:tcPr>
          <w:p w:rsidR="006E0406" w:rsidRPr="000763AE" w:rsidRDefault="006E0406" w:rsidP="006E0406">
            <w:pPr>
              <w:rPr>
                <w:rFonts w:ascii="Calibri" w:hAnsi="Calibri" w:cs="Calibri"/>
                <w:b/>
                <w:color w:val="FFFFFF"/>
                <w:sz w:val="20"/>
                <w:szCs w:val="20"/>
              </w:rPr>
            </w:pPr>
            <w:r w:rsidRPr="000763AE">
              <w:rPr>
                <w:rFonts w:ascii="Calibri" w:hAnsi="Calibri" w:cs="Calibri"/>
                <w:b/>
                <w:color w:val="FFFFFF"/>
                <w:sz w:val="20"/>
                <w:szCs w:val="20"/>
              </w:rPr>
              <w:t>Code</w:t>
            </w:r>
          </w:p>
        </w:tc>
      </w:tr>
      <w:tr w:rsidR="006E0406" w:rsidRPr="006E0406" w:rsidTr="003E22C3">
        <w:trPr>
          <w:trHeight w:val="186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AGER</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Recoded into age ranges </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Interval</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Under 15 years</w:t>
            </w:r>
            <w:r w:rsidRPr="000763AE">
              <w:rPr>
                <w:rFonts w:ascii="Calibri" w:hAnsi="Calibri" w:cs="Calibri"/>
                <w:color w:val="262626"/>
                <w:sz w:val="20"/>
                <w:szCs w:val="20"/>
              </w:rPr>
              <w:br/>
              <w:t>2 = 15-24 years</w:t>
            </w:r>
            <w:r w:rsidRPr="000763AE">
              <w:rPr>
                <w:rFonts w:ascii="Calibri" w:hAnsi="Calibri" w:cs="Calibri"/>
                <w:color w:val="262626"/>
                <w:sz w:val="20"/>
                <w:szCs w:val="20"/>
              </w:rPr>
              <w:br/>
              <w:t>3 = 25-44 years</w:t>
            </w:r>
            <w:r w:rsidRPr="000763AE">
              <w:rPr>
                <w:rFonts w:ascii="Calibri" w:hAnsi="Calibri" w:cs="Calibri"/>
                <w:color w:val="262626"/>
                <w:sz w:val="20"/>
                <w:szCs w:val="20"/>
              </w:rPr>
              <w:br/>
              <w:t>4 = 45-64 years</w:t>
            </w:r>
            <w:r w:rsidRPr="000763AE">
              <w:rPr>
                <w:rFonts w:ascii="Calibri" w:hAnsi="Calibri" w:cs="Calibri"/>
                <w:color w:val="262626"/>
                <w:sz w:val="20"/>
                <w:szCs w:val="20"/>
              </w:rPr>
              <w:br/>
              <w:t>5 = 65-74 years</w:t>
            </w:r>
            <w:r w:rsidRPr="000763AE">
              <w:rPr>
                <w:rFonts w:ascii="Calibri" w:hAnsi="Calibri" w:cs="Calibri"/>
                <w:color w:val="262626"/>
                <w:sz w:val="20"/>
                <w:szCs w:val="20"/>
              </w:rPr>
              <w:br/>
              <w:t>6 = 75 years and over</w:t>
            </w:r>
          </w:p>
        </w:tc>
      </w:tr>
      <w:tr w:rsidR="006E0406" w:rsidRPr="006E0406" w:rsidTr="003E22C3">
        <w:trPr>
          <w:trHeight w:val="600"/>
        </w:trPr>
        <w:tc>
          <w:tcPr>
            <w:tcW w:w="1152" w:type="pct"/>
            <w:shd w:val="clear" w:color="auto" w:fill="auto"/>
            <w:noWrap/>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DIAEDUC</w:t>
            </w:r>
          </w:p>
        </w:tc>
        <w:tc>
          <w:tcPr>
            <w:tcW w:w="1856" w:type="pct"/>
            <w:shd w:val="clear" w:color="auto" w:fill="auto"/>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Diabetes education</w:t>
            </w:r>
          </w:p>
        </w:tc>
        <w:tc>
          <w:tcPr>
            <w:tcW w:w="974" w:type="pct"/>
            <w:shd w:val="clear" w:color="auto" w:fill="auto"/>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Nominal</w:t>
            </w:r>
          </w:p>
        </w:tc>
        <w:tc>
          <w:tcPr>
            <w:tcW w:w="1018" w:type="pct"/>
            <w:shd w:val="clear" w:color="auto" w:fill="auto"/>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0=No                                  1=Yes</w:t>
            </w:r>
          </w:p>
        </w:tc>
      </w:tr>
      <w:tr w:rsidR="006E0406" w:rsidRPr="006E0406" w:rsidTr="003E22C3">
        <w:trPr>
          <w:trHeight w:val="6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DIABTYP0</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Diabetes mellitus (DM), type unspecified. Excludes diabetes insipidus and gestational diabetes.</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0 = No</w:t>
            </w:r>
            <w:r w:rsidRPr="000763AE">
              <w:rPr>
                <w:rFonts w:ascii="Calibri" w:hAnsi="Calibri" w:cs="Calibri"/>
                <w:color w:val="262626"/>
                <w:sz w:val="20"/>
                <w:szCs w:val="20"/>
              </w:rPr>
              <w:br/>
              <w:t>1 = Yes</w:t>
            </w:r>
          </w:p>
        </w:tc>
      </w:tr>
      <w:tr w:rsidR="006E0406" w:rsidRPr="006E0406" w:rsidTr="003E22C3">
        <w:trPr>
          <w:trHeight w:val="9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DIABTYP1</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Diabetes mellitus (DM), type I. Type 1 diabetes mellitus is also known as insulin-dependent or IDDM. Excludes diabetes insipidus and gestational diabetes.</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No</w:t>
            </w:r>
            <w:r w:rsidRPr="000763AE">
              <w:rPr>
                <w:rFonts w:ascii="Calibri" w:hAnsi="Calibri" w:cs="Calibri"/>
                <w:color w:val="262626"/>
                <w:sz w:val="20"/>
                <w:szCs w:val="20"/>
              </w:rPr>
              <w:br/>
              <w:t>1 = Yes</w:t>
            </w:r>
          </w:p>
        </w:tc>
      </w:tr>
      <w:tr w:rsidR="006E0406" w:rsidRPr="006E0406" w:rsidTr="003E22C3">
        <w:trPr>
          <w:trHeight w:val="9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DIABTYP2</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Diabetes mellitus (DM), type II. Type 2 diabetes mellitus is also known as non-insulin dependent or NIDDM. Excludes diabetes insipidus and gestational diabetes.</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2 = No</w:t>
            </w:r>
            <w:r w:rsidRPr="000763AE">
              <w:rPr>
                <w:rFonts w:ascii="Calibri" w:hAnsi="Calibri" w:cs="Calibri"/>
                <w:color w:val="262626"/>
                <w:sz w:val="20"/>
                <w:szCs w:val="20"/>
              </w:rPr>
              <w:br/>
              <w:t>1 = Yes</w:t>
            </w:r>
          </w:p>
        </w:tc>
      </w:tr>
      <w:tr w:rsidR="006E0406" w:rsidRPr="006E0406" w:rsidTr="003E22C3">
        <w:trPr>
          <w:trHeight w:val="6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ETHIM</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Missing data for ethnicity were imputed for this variable</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Hispanic</w:t>
            </w:r>
            <w:r w:rsidRPr="000763AE">
              <w:rPr>
                <w:rFonts w:ascii="Calibri" w:hAnsi="Calibri" w:cs="Calibri"/>
                <w:color w:val="262626"/>
                <w:sz w:val="20"/>
                <w:szCs w:val="20"/>
              </w:rPr>
              <w:br/>
              <w:t>2 = Not Hispanic</w:t>
            </w:r>
          </w:p>
        </w:tc>
      </w:tr>
      <w:tr w:rsidR="006E0406" w:rsidRPr="006E0406" w:rsidTr="003E22C3">
        <w:trPr>
          <w:trHeight w:val="6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FOOT</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Foot exam. A foot exam includes visual inspection, sensory exam, and pulse exam.</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0 = No, 1 = Yes</w:t>
            </w:r>
          </w:p>
        </w:tc>
      </w:tr>
      <w:tr w:rsidR="006E0406" w:rsidRPr="006E0406" w:rsidTr="003E22C3">
        <w:trPr>
          <w:trHeight w:val="9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MDDO</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TYPE OF DOCTOR</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M.D. - Doctor of Medicine</w:t>
            </w:r>
            <w:r w:rsidRPr="000763AE">
              <w:rPr>
                <w:rFonts w:ascii="Calibri" w:hAnsi="Calibri" w:cs="Calibri"/>
                <w:color w:val="262626"/>
                <w:sz w:val="20"/>
                <w:szCs w:val="20"/>
              </w:rPr>
              <w:br/>
              <w:t>2 = D.O. - Doctor of Osteopathy</w:t>
            </w:r>
          </w:p>
        </w:tc>
      </w:tr>
      <w:tr w:rsidR="006E0406" w:rsidRPr="006E0406" w:rsidTr="003E22C3">
        <w:trPr>
          <w:trHeight w:val="3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NOPROVID</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No answer to item</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0 = No, 1 = Yes</w:t>
            </w:r>
          </w:p>
        </w:tc>
      </w:tr>
      <w:tr w:rsidR="006E0406" w:rsidRPr="006E0406" w:rsidTr="003E22C3">
        <w:trPr>
          <w:trHeight w:val="12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NPNMW</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Nurse practitioner/Midwife. A nurse practitioner (NP) is an Advanced Practice Registered Nurse (APRN) who has acquired the knowledge base, decision-making skills, and clinical competencies for expanded practice beyond that of an RN.</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No, 1 = Yes</w:t>
            </w:r>
          </w:p>
        </w:tc>
      </w:tr>
      <w:tr w:rsidR="006E0406" w:rsidRPr="006E0406" w:rsidTr="003E22C3">
        <w:trPr>
          <w:trHeight w:val="12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OTHPROV</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Other provider. Select this box, if health care was provided by a physician, physician’s assistant, or nurse practitioner. Exclude those who provided ancillary services, e.g., x-ray technician, phlebotomist, </w:t>
            </w:r>
            <w:proofErr w:type="gramStart"/>
            <w:r w:rsidRPr="000763AE">
              <w:rPr>
                <w:rFonts w:ascii="Calibri" w:hAnsi="Calibri" w:cs="Calibri"/>
                <w:color w:val="262626"/>
                <w:sz w:val="20"/>
                <w:szCs w:val="20"/>
              </w:rPr>
              <w:t>respiratory</w:t>
            </w:r>
            <w:proofErr w:type="gramEnd"/>
            <w:r w:rsidRPr="000763AE">
              <w:rPr>
                <w:rFonts w:ascii="Calibri" w:hAnsi="Calibri" w:cs="Calibri"/>
                <w:color w:val="262626"/>
                <w:sz w:val="20"/>
                <w:szCs w:val="20"/>
              </w:rPr>
              <w:t xml:space="preserve"> </w:t>
            </w:r>
            <w:r w:rsidRPr="000763AE">
              <w:rPr>
                <w:rFonts w:ascii="Calibri" w:hAnsi="Calibri" w:cs="Calibri"/>
                <w:color w:val="262626"/>
                <w:sz w:val="20"/>
                <w:szCs w:val="20"/>
              </w:rPr>
              <w:lastRenderedPageBreak/>
              <w:t>therapist.</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lastRenderedPageBreak/>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2 = No, 1 = Yes</w:t>
            </w:r>
          </w:p>
        </w:tc>
      </w:tr>
      <w:tr w:rsidR="006E0406" w:rsidRPr="006E0406" w:rsidTr="003E22C3">
        <w:trPr>
          <w:trHeight w:val="15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lastRenderedPageBreak/>
              <w:t>PATWT</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PATIENT VISIT WEIGHT (NOT FOR STATE ESTIMATES</w:t>
            </w:r>
            <w:proofErr w:type="gramStart"/>
            <w:r w:rsidRPr="000763AE">
              <w:rPr>
                <w:rFonts w:ascii="Calibri" w:hAnsi="Calibri" w:cs="Calibri"/>
                <w:color w:val="262626"/>
                <w:sz w:val="20"/>
                <w:szCs w:val="20"/>
              </w:rPr>
              <w:t>)This</w:t>
            </w:r>
            <w:proofErr w:type="gramEnd"/>
            <w:r w:rsidRPr="000763AE">
              <w:rPr>
                <w:rFonts w:ascii="Calibri" w:hAnsi="Calibri" w:cs="Calibri"/>
                <w:color w:val="262626"/>
                <w:sz w:val="20"/>
                <w:szCs w:val="20"/>
              </w:rPr>
              <w:t xml:space="preserve"> variable has been produced as an unrounded integer in 2015,</w:t>
            </w:r>
            <w:r w:rsidRPr="000763AE">
              <w:rPr>
                <w:rFonts w:ascii="Calibri" w:hAnsi="Calibri" w:cs="Calibri"/>
                <w:color w:val="262626"/>
                <w:sz w:val="20"/>
                <w:szCs w:val="20"/>
              </w:rPr>
              <w:br/>
              <w:t>which will make estimates slightly more precise. It is ONLY for use in producing national, regional, and MSA-level estimates, NOT state estimates.</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w:t>
            </w:r>
          </w:p>
        </w:tc>
      </w:tr>
      <w:tr w:rsidR="006E0406" w:rsidRPr="006E0406" w:rsidTr="003E22C3">
        <w:trPr>
          <w:trHeight w:val="30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PAYTYPER</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RECODED PRIMARY EXPECTED SOURCE OF</w:t>
            </w:r>
            <w:r w:rsidRPr="000763AE">
              <w:rPr>
                <w:rFonts w:ascii="Calibri" w:hAnsi="Calibri" w:cs="Calibri"/>
                <w:color w:val="262626"/>
                <w:sz w:val="20"/>
                <w:szCs w:val="20"/>
              </w:rPr>
              <w:br/>
              <w:t>PAYMENT FOR THIS VISIT* - Recoded from ‘Expected Sources of</w:t>
            </w:r>
            <w:r w:rsidRPr="000763AE">
              <w:rPr>
                <w:rFonts w:ascii="Calibri" w:hAnsi="Calibri" w:cs="Calibri"/>
                <w:color w:val="262626"/>
                <w:sz w:val="20"/>
                <w:szCs w:val="20"/>
              </w:rPr>
              <w:br/>
              <w:t>Payment for this Visit’ using this hierarchy of payment categories:</w:t>
            </w:r>
            <w:r w:rsidRPr="000763AE">
              <w:rPr>
                <w:rFonts w:ascii="Calibri" w:hAnsi="Calibri" w:cs="Calibri"/>
                <w:color w:val="262626"/>
                <w:sz w:val="20"/>
                <w:szCs w:val="20"/>
              </w:rPr>
              <w:br/>
              <w:t>Medicare, Medicaid or CHIP or other state-based program, Private Insurance, Worker’s Compensation, Self-Pay, No Charge/Charity, Other, Unknown)</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-9 = Blank</w:t>
            </w:r>
            <w:r w:rsidRPr="000763AE">
              <w:rPr>
                <w:rFonts w:ascii="Calibri" w:hAnsi="Calibri" w:cs="Calibri"/>
                <w:color w:val="262626"/>
                <w:sz w:val="20"/>
                <w:szCs w:val="20"/>
              </w:rPr>
              <w:br/>
              <w:t>-8 = Unknown</w:t>
            </w:r>
            <w:r w:rsidRPr="000763AE">
              <w:rPr>
                <w:rFonts w:ascii="Calibri" w:hAnsi="Calibri" w:cs="Calibri"/>
                <w:color w:val="262626"/>
                <w:sz w:val="20"/>
                <w:szCs w:val="20"/>
              </w:rPr>
              <w:br/>
              <w:t>1 = Private insurance</w:t>
            </w:r>
            <w:r w:rsidRPr="000763AE">
              <w:rPr>
                <w:rFonts w:ascii="Calibri" w:hAnsi="Calibri" w:cs="Calibri"/>
                <w:color w:val="262626"/>
                <w:sz w:val="20"/>
                <w:szCs w:val="20"/>
              </w:rPr>
              <w:br/>
              <w:t>2 = Medicare</w:t>
            </w:r>
            <w:r w:rsidRPr="000763AE">
              <w:rPr>
                <w:rFonts w:ascii="Calibri" w:hAnsi="Calibri" w:cs="Calibri"/>
                <w:color w:val="262626"/>
                <w:sz w:val="20"/>
                <w:szCs w:val="20"/>
              </w:rPr>
              <w:br/>
              <w:t>3 = Medicaid or CHIP or other state-based program</w:t>
            </w:r>
            <w:r w:rsidRPr="000763AE">
              <w:rPr>
                <w:rFonts w:ascii="Calibri" w:hAnsi="Calibri" w:cs="Calibri"/>
                <w:color w:val="262626"/>
                <w:sz w:val="20"/>
                <w:szCs w:val="20"/>
              </w:rPr>
              <w:br/>
              <w:t>4 = Worker’s Compensation</w:t>
            </w:r>
            <w:r w:rsidRPr="000763AE">
              <w:rPr>
                <w:rFonts w:ascii="Calibri" w:hAnsi="Calibri" w:cs="Calibri"/>
                <w:color w:val="262626"/>
                <w:sz w:val="20"/>
                <w:szCs w:val="20"/>
              </w:rPr>
              <w:br/>
              <w:t>5 = Self-pay</w:t>
            </w:r>
            <w:r w:rsidRPr="000763AE">
              <w:rPr>
                <w:rFonts w:ascii="Calibri" w:hAnsi="Calibri" w:cs="Calibri"/>
                <w:color w:val="262626"/>
                <w:sz w:val="20"/>
                <w:szCs w:val="20"/>
              </w:rPr>
              <w:br/>
              <w:t>6 = No charge/charity</w:t>
            </w:r>
            <w:r w:rsidRPr="000763AE">
              <w:rPr>
                <w:rFonts w:ascii="Calibri" w:hAnsi="Calibri" w:cs="Calibri"/>
                <w:color w:val="262626"/>
                <w:sz w:val="20"/>
                <w:szCs w:val="20"/>
              </w:rPr>
              <w:br/>
              <w:t>7 = Other</w:t>
            </w:r>
          </w:p>
        </w:tc>
      </w:tr>
      <w:tr w:rsidR="006E0406" w:rsidRPr="006E0406" w:rsidTr="003E22C3">
        <w:trPr>
          <w:trHeight w:val="9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PHYS</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Physician. A physician is a person who has graduated from medical school and is licensed to practice medicine. Include both MDs and DOs.</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No, 1 = Yes</w:t>
            </w:r>
          </w:p>
        </w:tc>
      </w:tr>
      <w:tr w:rsidR="006E0406" w:rsidRPr="006E0406" w:rsidTr="003E22C3">
        <w:trPr>
          <w:trHeight w:val="9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PHYSASST</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Physician assistant. A physician assistant (PA) is a medical professional who is nationally certified and state-licensed to practice medicine.</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2 = No, 1 = Yes</w:t>
            </w:r>
          </w:p>
        </w:tc>
      </w:tr>
      <w:tr w:rsidR="006E0406" w:rsidRPr="006E0406" w:rsidTr="003E22C3">
        <w:trPr>
          <w:trHeight w:val="9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PHYSWT</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PHYSICIAN WEIGHT Physician weight enables data users to make physician-level estimates. See also “Description of the NAMCS,” Marginal Data, and Appendix I.</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w:t>
            </w:r>
          </w:p>
        </w:tc>
      </w:tr>
      <w:tr w:rsidR="006E0406" w:rsidRPr="006E0406" w:rsidTr="003E22C3">
        <w:trPr>
          <w:trHeight w:val="6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PROVNONE</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None; no providers seen. There is no documentation in the chart that a health care provider was seen during this visit.</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6 = No, 1 = Yes</w:t>
            </w:r>
          </w:p>
        </w:tc>
      </w:tr>
      <w:tr w:rsidR="006E0406" w:rsidRPr="006E0406" w:rsidTr="003E22C3">
        <w:trPr>
          <w:trHeight w:val="9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RACER</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IMPUTED RACE- Missing data for race were imputed for this variable. </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White</w:t>
            </w:r>
            <w:r w:rsidRPr="000763AE">
              <w:rPr>
                <w:rFonts w:ascii="Calibri" w:hAnsi="Calibri" w:cs="Calibri"/>
                <w:color w:val="262626"/>
                <w:sz w:val="20"/>
                <w:szCs w:val="20"/>
              </w:rPr>
              <w:br/>
              <w:t>2 = Black</w:t>
            </w:r>
            <w:r w:rsidRPr="000763AE">
              <w:rPr>
                <w:rFonts w:ascii="Calibri" w:hAnsi="Calibri" w:cs="Calibri"/>
                <w:color w:val="262626"/>
                <w:sz w:val="20"/>
                <w:szCs w:val="20"/>
              </w:rPr>
              <w:br/>
              <w:t>3 = Other**</w:t>
            </w:r>
          </w:p>
        </w:tc>
      </w:tr>
      <w:tr w:rsidR="006E0406" w:rsidRPr="006E0406" w:rsidTr="003E22C3">
        <w:trPr>
          <w:trHeight w:val="107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lastRenderedPageBreak/>
              <w:t>REGIONOFF</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GEOGRAPHIC REGION</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Interval</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Northeast</w:t>
            </w:r>
            <w:r w:rsidRPr="000763AE">
              <w:rPr>
                <w:rFonts w:ascii="Calibri" w:hAnsi="Calibri" w:cs="Calibri"/>
                <w:color w:val="262626"/>
                <w:sz w:val="20"/>
                <w:szCs w:val="20"/>
              </w:rPr>
              <w:br/>
              <w:t>2 = Midwest</w:t>
            </w:r>
            <w:r w:rsidRPr="000763AE">
              <w:rPr>
                <w:rFonts w:ascii="Calibri" w:hAnsi="Calibri" w:cs="Calibri"/>
                <w:color w:val="262626"/>
                <w:sz w:val="20"/>
                <w:szCs w:val="20"/>
              </w:rPr>
              <w:br/>
              <w:t>3 = South</w:t>
            </w:r>
            <w:r w:rsidRPr="000763AE">
              <w:rPr>
                <w:rFonts w:ascii="Calibri" w:hAnsi="Calibri" w:cs="Calibri"/>
                <w:color w:val="262626"/>
                <w:sz w:val="20"/>
                <w:szCs w:val="20"/>
              </w:rPr>
              <w:br/>
              <w:t>4 = West</w:t>
            </w:r>
          </w:p>
        </w:tc>
      </w:tr>
      <w:tr w:rsidR="006E0406" w:rsidRPr="006E0406" w:rsidTr="003E22C3">
        <w:trPr>
          <w:trHeight w:val="3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SETTYPE</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SETTING TYPE</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Physician office (NAMCS)</w:t>
            </w:r>
          </w:p>
        </w:tc>
      </w:tr>
      <w:tr w:rsidR="006E0406" w:rsidRPr="006E0406" w:rsidTr="003E22C3">
        <w:trPr>
          <w:trHeight w:val="485"/>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SEX</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SEX</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xml:space="preserve">Nominal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 = Female</w:t>
            </w:r>
            <w:r w:rsidRPr="000763AE">
              <w:rPr>
                <w:rFonts w:ascii="Calibri" w:hAnsi="Calibri" w:cs="Calibri"/>
                <w:color w:val="262626"/>
                <w:sz w:val="20"/>
                <w:szCs w:val="20"/>
              </w:rPr>
              <w:br/>
              <w:t>2 = Male</w:t>
            </w:r>
          </w:p>
        </w:tc>
      </w:tr>
      <w:tr w:rsidR="006E0406" w:rsidRPr="006E0406" w:rsidTr="003E22C3">
        <w:trPr>
          <w:trHeight w:val="600"/>
        </w:trPr>
        <w:tc>
          <w:tcPr>
            <w:tcW w:w="1152" w:type="pct"/>
            <w:shd w:val="clear" w:color="auto" w:fill="auto"/>
            <w:noWrap/>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SOLO</w:t>
            </w:r>
          </w:p>
        </w:tc>
        <w:tc>
          <w:tcPr>
            <w:tcW w:w="1856" w:type="pct"/>
            <w:shd w:val="clear" w:color="auto" w:fill="auto"/>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SOLO. Solo practice or multi physician practice, group practice, or other group setting</w:t>
            </w:r>
          </w:p>
        </w:tc>
        <w:tc>
          <w:tcPr>
            <w:tcW w:w="974" w:type="pct"/>
            <w:shd w:val="clear" w:color="auto" w:fill="auto"/>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Nominal</w:t>
            </w:r>
          </w:p>
        </w:tc>
        <w:tc>
          <w:tcPr>
            <w:tcW w:w="1018" w:type="pct"/>
            <w:shd w:val="clear" w:color="auto" w:fill="auto"/>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-9= Blank</w:t>
            </w:r>
          </w:p>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-8=Unknown</w:t>
            </w:r>
          </w:p>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-6=Refused to answer question</w:t>
            </w:r>
          </w:p>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1=Solo</w:t>
            </w:r>
          </w:p>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2=Non-Solo</w:t>
            </w:r>
          </w:p>
        </w:tc>
      </w:tr>
      <w:tr w:rsidR="006E0406" w:rsidRPr="006E0406" w:rsidTr="003E22C3">
        <w:trPr>
          <w:trHeight w:val="1025"/>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TIMEMD</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TIME SPENT WITH MD (in minutes)</w:t>
            </w:r>
            <w:r w:rsidRPr="000763AE">
              <w:rPr>
                <w:rFonts w:ascii="Calibri" w:hAnsi="Calibri" w:cs="Calibri"/>
                <w:color w:val="262626"/>
                <w:sz w:val="20"/>
                <w:szCs w:val="20"/>
              </w:rPr>
              <w:br/>
              <w:t>Time spent with MD has been top coded in accordance with NCHS</w:t>
            </w:r>
            <w:r w:rsidRPr="000763AE">
              <w:rPr>
                <w:rFonts w:ascii="Calibri" w:hAnsi="Calibri" w:cs="Calibri"/>
                <w:color w:val="262626"/>
                <w:sz w:val="20"/>
                <w:szCs w:val="20"/>
              </w:rPr>
              <w:br/>
              <w:t>confidentiality requirements</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Interval</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0-89 minutes</w:t>
            </w:r>
            <w:r w:rsidRPr="000763AE">
              <w:rPr>
                <w:rFonts w:ascii="Calibri" w:hAnsi="Calibri" w:cs="Calibri"/>
                <w:color w:val="262626"/>
                <w:sz w:val="20"/>
                <w:szCs w:val="20"/>
              </w:rPr>
              <w:br/>
              <w:t>90 = 90 minutes or more</w:t>
            </w:r>
          </w:p>
        </w:tc>
      </w:tr>
      <w:tr w:rsidR="006E0406" w:rsidRPr="006E0406" w:rsidTr="003E22C3">
        <w:trPr>
          <w:trHeight w:val="300"/>
        </w:trPr>
        <w:tc>
          <w:tcPr>
            <w:tcW w:w="1152" w:type="pct"/>
            <w:shd w:val="clear" w:color="auto" w:fill="auto"/>
            <w:noWrap/>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YEAR</w:t>
            </w:r>
          </w:p>
        </w:tc>
        <w:tc>
          <w:tcPr>
            <w:tcW w:w="1856"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SURVEY YEAR 2015</w:t>
            </w:r>
          </w:p>
        </w:tc>
        <w:tc>
          <w:tcPr>
            <w:tcW w:w="974"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w:t>
            </w:r>
          </w:p>
        </w:tc>
        <w:tc>
          <w:tcPr>
            <w:tcW w:w="1018" w:type="pct"/>
            <w:shd w:val="clear" w:color="auto" w:fill="auto"/>
            <w:hideMark/>
          </w:tcPr>
          <w:p w:rsidR="006E0406" w:rsidRPr="000763AE" w:rsidRDefault="006E0406" w:rsidP="006E0406">
            <w:pPr>
              <w:rPr>
                <w:rFonts w:ascii="Calibri" w:hAnsi="Calibri" w:cs="Calibri"/>
                <w:color w:val="262626"/>
                <w:sz w:val="20"/>
                <w:szCs w:val="20"/>
              </w:rPr>
            </w:pPr>
            <w:r w:rsidRPr="000763AE">
              <w:rPr>
                <w:rFonts w:ascii="Calibri" w:hAnsi="Calibri" w:cs="Calibri"/>
                <w:color w:val="262626"/>
                <w:sz w:val="20"/>
                <w:szCs w:val="20"/>
              </w:rPr>
              <w:t> </w:t>
            </w:r>
          </w:p>
        </w:tc>
      </w:tr>
    </w:tbl>
    <w:p w:rsidR="006E0406" w:rsidRPr="000763AE" w:rsidRDefault="006E0406" w:rsidP="006E0406">
      <w:pPr>
        <w:spacing w:after="200" w:line="276" w:lineRule="auto"/>
        <w:ind w:left="144"/>
        <w:contextualSpacing/>
        <w:jc w:val="both"/>
        <w:rPr>
          <w:rFonts w:ascii="Calibri" w:eastAsia="Calibri" w:hAnsi="Calibri"/>
          <w:sz w:val="22"/>
          <w:szCs w:val="22"/>
        </w:rPr>
      </w:pPr>
    </w:p>
    <w:p w:rsidR="006E0406" w:rsidRPr="000763AE" w:rsidRDefault="006E0406" w:rsidP="006E0406">
      <w:pPr>
        <w:spacing w:after="200" w:line="276" w:lineRule="auto"/>
        <w:ind w:left="144"/>
        <w:contextualSpacing/>
        <w:jc w:val="both"/>
        <w:rPr>
          <w:rFonts w:ascii="Calibri" w:eastAsia="Calibri" w:hAnsi="Calibri"/>
          <w:sz w:val="16"/>
          <w:szCs w:val="22"/>
        </w:rPr>
      </w:pPr>
      <w:r w:rsidRPr="000763AE">
        <w:rPr>
          <w:rFonts w:ascii="Calibri" w:eastAsia="Calibri" w:hAnsi="Calibri"/>
          <w:sz w:val="16"/>
          <w:szCs w:val="22"/>
        </w:rPr>
        <w:t>*Type of payment-Definitions</w:t>
      </w:r>
    </w:p>
    <w:p w:rsidR="006E0406" w:rsidRPr="000763AE" w:rsidRDefault="006E0406" w:rsidP="006E0406">
      <w:pPr>
        <w:spacing w:after="200" w:line="276" w:lineRule="auto"/>
        <w:ind w:left="144"/>
        <w:contextualSpacing/>
        <w:jc w:val="both"/>
        <w:rPr>
          <w:rFonts w:ascii="Calibri" w:eastAsia="Calibri" w:hAnsi="Calibri"/>
          <w:sz w:val="16"/>
          <w:szCs w:val="22"/>
        </w:rPr>
      </w:pPr>
      <w:r w:rsidRPr="000763AE">
        <w:rPr>
          <w:rFonts w:ascii="Calibri" w:eastAsia="Calibri" w:hAnsi="Calibri"/>
          <w:sz w:val="16"/>
          <w:szCs w:val="22"/>
        </w:rPr>
        <w:t xml:space="preserve">1-Private insurance-Charges paid in-full by a private insurer (e.g., Blue Cross/Blue Shield) or in-part (e.g., deductibles or copays from another plan) either directly to the (hospital/provider) or reimbursed to the patient. Include charges covered under a private insurance sponsored prepaid plan. </w:t>
      </w:r>
      <w:proofErr w:type="gramStart"/>
      <w:r w:rsidRPr="000763AE">
        <w:rPr>
          <w:rFonts w:ascii="Calibri" w:eastAsia="Calibri" w:hAnsi="Calibri"/>
          <w:sz w:val="16"/>
          <w:szCs w:val="22"/>
        </w:rPr>
        <w:t>Excludes Medicare Advantage Plans.</w:t>
      </w:r>
      <w:proofErr w:type="gramEnd"/>
    </w:p>
    <w:p w:rsidR="006E0406" w:rsidRPr="000763AE" w:rsidRDefault="006E0406" w:rsidP="006E0406">
      <w:pPr>
        <w:spacing w:after="200" w:line="276" w:lineRule="auto"/>
        <w:ind w:left="144"/>
        <w:contextualSpacing/>
        <w:jc w:val="both"/>
        <w:rPr>
          <w:rFonts w:ascii="Calibri" w:eastAsia="Calibri" w:hAnsi="Calibri"/>
          <w:sz w:val="16"/>
          <w:szCs w:val="22"/>
        </w:rPr>
      </w:pPr>
      <w:r w:rsidRPr="000763AE">
        <w:rPr>
          <w:rFonts w:ascii="Calibri" w:eastAsia="Calibri" w:hAnsi="Calibri"/>
          <w:sz w:val="16"/>
          <w:szCs w:val="22"/>
        </w:rPr>
        <w:t xml:space="preserve">2-Medicare-Charges paid in-full by a Medicare plan or in-part (e.g., deductibles or copays from another plan) either directly to the (hospital/provider) or reimbursed to the patient. Include charges covered under a Medicare sponsored prepaid plan. </w:t>
      </w:r>
      <w:proofErr w:type="gramStart"/>
      <w:r w:rsidRPr="000763AE">
        <w:rPr>
          <w:rFonts w:ascii="Calibri" w:eastAsia="Calibri" w:hAnsi="Calibri"/>
          <w:sz w:val="16"/>
          <w:szCs w:val="22"/>
        </w:rPr>
        <w:t>Includes Medicare Advantage Plan which is a type of Medicare health plan offered by a private company that contracts with Medicare to provide all Part A and Part B benefits.</w:t>
      </w:r>
      <w:proofErr w:type="gramEnd"/>
      <w:r w:rsidRPr="000763AE">
        <w:rPr>
          <w:rFonts w:ascii="Calibri" w:eastAsia="Calibri" w:hAnsi="Calibri"/>
          <w:sz w:val="16"/>
          <w:szCs w:val="22"/>
        </w:rPr>
        <w:t xml:space="preserve"> Medicare Advantage Plans include Health Maintenance Organizations, Preferred Provider Organizations, Private Fee-for-Service Plans, Special Needs Plans, and Medicare Medical Savings Account Plans.</w:t>
      </w:r>
    </w:p>
    <w:p w:rsidR="006E0406" w:rsidRPr="000763AE" w:rsidRDefault="006E0406" w:rsidP="006E0406">
      <w:pPr>
        <w:spacing w:after="200" w:line="276" w:lineRule="auto"/>
        <w:ind w:left="144"/>
        <w:contextualSpacing/>
        <w:jc w:val="both"/>
        <w:rPr>
          <w:rFonts w:ascii="Calibri" w:eastAsia="Calibri" w:hAnsi="Calibri"/>
          <w:sz w:val="16"/>
          <w:szCs w:val="22"/>
        </w:rPr>
      </w:pPr>
      <w:r w:rsidRPr="000763AE">
        <w:rPr>
          <w:rFonts w:ascii="Calibri" w:eastAsia="Calibri" w:hAnsi="Calibri"/>
          <w:sz w:val="16"/>
          <w:szCs w:val="22"/>
        </w:rPr>
        <w:t>3-Medicaid or CHIP or other state-based program-Charges paid in-full by a Medicaid plan or in-part (e.g., deductibles or copays from another plan) either directly to the (hospital/provider) or reimbursed to the patient. Include charges covered under a Medicaid sponsored prepaid plan (HMO), “managed Medicaid” or the Children’s Health Insurance Program (CHIP).</w:t>
      </w:r>
    </w:p>
    <w:p w:rsidR="006E0406" w:rsidRPr="000763AE" w:rsidRDefault="006E0406" w:rsidP="006E0406">
      <w:pPr>
        <w:spacing w:after="200" w:line="276" w:lineRule="auto"/>
        <w:ind w:left="144"/>
        <w:contextualSpacing/>
        <w:jc w:val="both"/>
        <w:rPr>
          <w:rFonts w:ascii="Calibri" w:eastAsia="Calibri" w:hAnsi="Calibri"/>
          <w:sz w:val="16"/>
          <w:szCs w:val="22"/>
        </w:rPr>
      </w:pPr>
      <w:r w:rsidRPr="000763AE">
        <w:rPr>
          <w:rFonts w:ascii="Calibri" w:eastAsia="Calibri" w:hAnsi="Calibri"/>
          <w:sz w:val="16"/>
          <w:szCs w:val="22"/>
        </w:rPr>
        <w:t>PROGRAM NAMES FOR MEDICAID, CHIP, STATE-/LOCAL-SPONSORED, AND OTHER HEALTH INSURANCE PROGRAMS</w:t>
      </w:r>
    </w:p>
    <w:p w:rsidR="006E0406" w:rsidRPr="000763AE" w:rsidRDefault="006E0406" w:rsidP="006E0406">
      <w:pPr>
        <w:spacing w:after="200" w:line="276" w:lineRule="auto"/>
        <w:ind w:left="144"/>
        <w:contextualSpacing/>
        <w:jc w:val="both"/>
        <w:rPr>
          <w:rFonts w:ascii="Calibri" w:eastAsia="Calibri" w:hAnsi="Calibri"/>
          <w:sz w:val="16"/>
          <w:szCs w:val="22"/>
        </w:rPr>
      </w:pPr>
      <w:r w:rsidRPr="000763AE">
        <w:rPr>
          <w:rFonts w:ascii="Calibri" w:eastAsia="Calibri" w:hAnsi="Calibri"/>
          <w:sz w:val="16"/>
          <w:szCs w:val="22"/>
        </w:rPr>
        <w:t>Please find the state where the facility is located.</w:t>
      </w:r>
    </w:p>
    <w:p w:rsidR="006E0406" w:rsidRPr="000763AE" w:rsidRDefault="006E0406" w:rsidP="006E0406">
      <w:pPr>
        <w:spacing w:after="200" w:line="276" w:lineRule="auto"/>
        <w:ind w:left="144"/>
        <w:contextualSpacing/>
        <w:jc w:val="both"/>
        <w:rPr>
          <w:rFonts w:ascii="Calibri" w:eastAsia="Calibri" w:hAnsi="Calibri"/>
          <w:sz w:val="16"/>
          <w:szCs w:val="22"/>
        </w:rPr>
      </w:pPr>
      <w:r w:rsidRPr="000763AE">
        <w:rPr>
          <w:rFonts w:ascii="Calibri" w:eastAsia="Calibri" w:hAnsi="Calibri"/>
          <w:sz w:val="16"/>
          <w:szCs w:val="22"/>
        </w:rPr>
        <w:t>Note: Medicaid programs are often called “Medicaid,” “Medical Assistance Program,” or “Title 19." Children’s Health Insurance Programs are often called “CHIP,” “SCHIP,” or “Title XXI Program.” Many states have unique names for their health insurance programs. Those program names are listed below, by state.</w:t>
      </w:r>
    </w:p>
    <w:p w:rsidR="006E0406" w:rsidRPr="000763AE" w:rsidRDefault="006E0406" w:rsidP="006E0406">
      <w:pPr>
        <w:spacing w:after="200" w:line="276" w:lineRule="auto"/>
        <w:ind w:left="144"/>
        <w:contextualSpacing/>
        <w:jc w:val="both"/>
        <w:rPr>
          <w:rFonts w:ascii="Calibri" w:eastAsia="Calibri" w:hAnsi="Calibri"/>
          <w:sz w:val="16"/>
          <w:szCs w:val="22"/>
        </w:rPr>
      </w:pPr>
      <w:r w:rsidRPr="000763AE">
        <w:rPr>
          <w:rFonts w:ascii="Calibri" w:eastAsia="Calibri" w:hAnsi="Calibri"/>
          <w:sz w:val="16"/>
          <w:szCs w:val="22"/>
        </w:rPr>
        <w:t>4-Workers’ compensation-Includes programs designed to enable employees injured on the job to receive financial compensation regardless of fault.</w:t>
      </w:r>
    </w:p>
    <w:p w:rsidR="006E0406" w:rsidRPr="000763AE" w:rsidRDefault="006E0406" w:rsidP="006E0406">
      <w:pPr>
        <w:spacing w:after="200" w:line="276" w:lineRule="auto"/>
        <w:ind w:left="144"/>
        <w:contextualSpacing/>
        <w:jc w:val="both"/>
        <w:rPr>
          <w:rFonts w:ascii="Calibri" w:eastAsia="Calibri" w:hAnsi="Calibri"/>
          <w:sz w:val="16"/>
          <w:szCs w:val="22"/>
        </w:rPr>
      </w:pPr>
      <w:proofErr w:type="gramStart"/>
      <w:r w:rsidRPr="000763AE">
        <w:rPr>
          <w:rFonts w:ascii="Calibri" w:eastAsia="Calibri" w:hAnsi="Calibri"/>
          <w:sz w:val="16"/>
          <w:szCs w:val="22"/>
        </w:rPr>
        <w:t>5-Self-pay-Charges, to be paid by the patient or patient’s family which will not be reimbursed by a third party.</w:t>
      </w:r>
      <w:proofErr w:type="gramEnd"/>
      <w:r w:rsidRPr="000763AE">
        <w:rPr>
          <w:rFonts w:ascii="Calibri" w:eastAsia="Calibri" w:hAnsi="Calibri"/>
          <w:sz w:val="16"/>
          <w:szCs w:val="22"/>
        </w:rPr>
        <w:t xml:space="preserve"> "Self- pay" includes visits for which the patient is expected to be ultimately responsible for most of the bill, even though the patient never actually pays it. DO NOT enter “Self-pay” for a copayment or deductible.</w:t>
      </w:r>
    </w:p>
    <w:p w:rsidR="006E0406" w:rsidRPr="000763AE" w:rsidRDefault="006E0406" w:rsidP="006E0406">
      <w:pPr>
        <w:spacing w:after="200" w:line="276" w:lineRule="auto"/>
        <w:ind w:left="144"/>
        <w:contextualSpacing/>
        <w:jc w:val="both"/>
        <w:rPr>
          <w:rFonts w:ascii="Calibri" w:eastAsia="Calibri" w:hAnsi="Calibri"/>
          <w:sz w:val="16"/>
          <w:szCs w:val="22"/>
        </w:rPr>
      </w:pPr>
      <w:proofErr w:type="gramStart"/>
      <w:r w:rsidRPr="000763AE">
        <w:rPr>
          <w:rFonts w:ascii="Calibri" w:eastAsia="Calibri" w:hAnsi="Calibri"/>
          <w:sz w:val="16"/>
          <w:szCs w:val="22"/>
        </w:rPr>
        <w:t>6-No charge/Charity-Visits for which no fee is charged (e.g., charity, special research, or teaching).</w:t>
      </w:r>
      <w:proofErr w:type="gramEnd"/>
      <w:r w:rsidRPr="000763AE">
        <w:rPr>
          <w:rFonts w:ascii="Calibri" w:eastAsia="Calibri" w:hAnsi="Calibri"/>
          <w:sz w:val="16"/>
          <w:szCs w:val="22"/>
        </w:rPr>
        <w:t xml:space="preserve"> Do not include visits paid for as part of a total package (e.g., prepaid plan visits, post- operative visits included in a surgical fee, and pregnancy visits included in a flat fee charged for the entire pregnancy). Enter the payment category or categories that indicate how the services were originally paid.</w:t>
      </w:r>
    </w:p>
    <w:p w:rsidR="006E0406" w:rsidRPr="000763AE" w:rsidRDefault="006E0406" w:rsidP="006E0406">
      <w:pPr>
        <w:spacing w:after="200" w:line="276" w:lineRule="auto"/>
        <w:ind w:left="144"/>
        <w:contextualSpacing/>
        <w:jc w:val="both"/>
        <w:rPr>
          <w:rFonts w:ascii="Calibri" w:eastAsia="Calibri" w:hAnsi="Calibri"/>
          <w:sz w:val="16"/>
          <w:szCs w:val="22"/>
        </w:rPr>
      </w:pPr>
      <w:r w:rsidRPr="000763AE">
        <w:rPr>
          <w:rFonts w:ascii="Calibri" w:eastAsia="Calibri" w:hAnsi="Calibri"/>
          <w:sz w:val="16"/>
          <w:szCs w:val="22"/>
        </w:rPr>
        <w:t>7-Other-Other sources of payment not covered by the above categories, such as Tricare, other charitable organizations, government entities.</w:t>
      </w:r>
    </w:p>
    <w:p w:rsidR="006E0406" w:rsidRPr="000763AE" w:rsidRDefault="006E0406" w:rsidP="006E0406">
      <w:pPr>
        <w:spacing w:after="200" w:line="276" w:lineRule="auto"/>
        <w:ind w:left="144"/>
        <w:contextualSpacing/>
        <w:jc w:val="both"/>
        <w:rPr>
          <w:rFonts w:ascii="Calibri" w:eastAsia="Calibri" w:hAnsi="Calibri" w:cs="Calibri"/>
          <w:sz w:val="18"/>
          <w:szCs w:val="20"/>
        </w:rPr>
      </w:pPr>
      <w:r w:rsidRPr="000763AE">
        <w:rPr>
          <w:rFonts w:ascii="Calibri" w:eastAsia="Calibri" w:hAnsi="Calibri"/>
          <w:sz w:val="16"/>
          <w:szCs w:val="22"/>
        </w:rPr>
        <w:t xml:space="preserve">**Other- </w:t>
      </w:r>
      <w:r w:rsidRPr="000763AE">
        <w:rPr>
          <w:rFonts w:ascii="Calibri" w:eastAsia="Calibri" w:hAnsi="Calibri" w:cs="Calibri"/>
          <w:sz w:val="18"/>
          <w:szCs w:val="20"/>
        </w:rPr>
        <w:t>A person having origins in any of the original peoples of the Far East, Southeast Asia, or the Indian subcontinent including, for example, Cambodia, China, India, Japan, Korea, Malaysia, Pakistan, the Philippine Islands, Thailand, and Vietnam, Native Hawaiian or Other Pacific Islander, A person having origins in any of the original peoples of North America, and who maintains cultural identification through tribal affiliation or community recognition</w:t>
      </w:r>
    </w:p>
    <w:p w:rsidR="006E0406" w:rsidRPr="000763AE" w:rsidRDefault="006E0406" w:rsidP="006E0406">
      <w:pPr>
        <w:ind w:left="144"/>
        <w:contextualSpacing/>
        <w:jc w:val="both"/>
        <w:rPr>
          <w:rFonts w:ascii="Calibri" w:eastAsia="Calibri" w:hAnsi="Calibri"/>
          <w:sz w:val="16"/>
          <w:szCs w:val="22"/>
        </w:rPr>
      </w:pPr>
      <w:r w:rsidRPr="000763AE">
        <w:rPr>
          <w:rFonts w:eastAsia="Calibri"/>
          <w:b/>
          <w:szCs w:val="22"/>
        </w:rPr>
        <w:lastRenderedPageBreak/>
        <w:t>Table 13-</w:t>
      </w:r>
      <w:r w:rsidRPr="000763AE">
        <w:rPr>
          <w:rFonts w:eastAsia="Calibri"/>
          <w:szCs w:val="22"/>
        </w:rPr>
        <w:t>Full regression model including all vari</w:t>
      </w:r>
      <w:r w:rsidR="00C8186A" w:rsidRPr="000763AE">
        <w:rPr>
          <w:rFonts w:eastAsia="Calibri"/>
          <w:szCs w:val="22"/>
        </w:rPr>
        <w:t>ables selected from the 2015 NA</w:t>
      </w:r>
      <w:r w:rsidRPr="000763AE">
        <w:rPr>
          <w:rFonts w:eastAsia="Calibri"/>
          <w:szCs w:val="22"/>
        </w:rPr>
        <w:t>M</w:t>
      </w:r>
      <w:r w:rsidR="00C8186A" w:rsidRPr="000763AE">
        <w:rPr>
          <w:rFonts w:eastAsia="Calibri"/>
          <w:szCs w:val="22"/>
        </w:rPr>
        <w:t>C</w:t>
      </w:r>
      <w:r w:rsidRPr="000763AE">
        <w:rPr>
          <w:rFonts w:eastAsia="Calibri"/>
          <w:szCs w:val="22"/>
        </w:rPr>
        <w:t>S survey.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70"/>
        <w:gridCol w:w="2210"/>
        <w:gridCol w:w="721"/>
        <w:gridCol w:w="721"/>
        <w:gridCol w:w="810"/>
        <w:gridCol w:w="511"/>
        <w:gridCol w:w="750"/>
        <w:gridCol w:w="750"/>
        <w:gridCol w:w="752"/>
        <w:gridCol w:w="745"/>
      </w:tblGrid>
      <w:tr w:rsidR="006E0406" w:rsidRPr="006E0406" w:rsidTr="003E22C3">
        <w:trPr>
          <w:cantSplit/>
        </w:trPr>
        <w:tc>
          <w:tcPr>
            <w:tcW w:w="5000" w:type="pct"/>
            <w:gridSpan w:val="10"/>
            <w:tcBorders>
              <w:top w:val="nil"/>
              <w:left w:val="nil"/>
              <w:bottom w:val="nil"/>
              <w:right w:val="nil"/>
            </w:tcBorders>
            <w:shd w:val="clear" w:color="auto" w:fill="FFFFFF"/>
            <w:vAlign w:val="center"/>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22"/>
                <w:szCs w:val="22"/>
              </w:rPr>
            </w:pPr>
            <w:r w:rsidRPr="000763AE">
              <w:rPr>
                <w:rFonts w:ascii="Arial" w:hAnsi="Arial" w:cs="Arial"/>
                <w:b/>
                <w:bCs/>
                <w:color w:val="010205"/>
                <w:sz w:val="22"/>
                <w:szCs w:val="22"/>
              </w:rPr>
              <w:t>Variables in the Equation</w:t>
            </w:r>
          </w:p>
        </w:tc>
      </w:tr>
      <w:tr w:rsidR="006E0406" w:rsidRPr="006E0406" w:rsidTr="000763AE">
        <w:trPr>
          <w:cantSplit/>
        </w:trPr>
        <w:tc>
          <w:tcPr>
            <w:tcW w:w="1667" w:type="pct"/>
            <w:gridSpan w:val="2"/>
            <w:vMerge w:val="restart"/>
            <w:tcBorders>
              <w:top w:val="nil"/>
              <w:left w:val="nil"/>
              <w:bottom w:val="nil"/>
              <w:right w:val="nil"/>
            </w:tcBorders>
            <w:shd w:val="clear" w:color="auto" w:fill="FFFFFF"/>
            <w:vAlign w:val="bottom"/>
          </w:tcPr>
          <w:p w:rsidR="006E0406" w:rsidRPr="000763AE" w:rsidRDefault="006E0406" w:rsidP="006E0406">
            <w:pPr>
              <w:widowControl w:val="0"/>
              <w:autoSpaceDE w:val="0"/>
              <w:autoSpaceDN w:val="0"/>
              <w:adjustRightInd w:val="0"/>
              <w:jc w:val="center"/>
            </w:pPr>
          </w:p>
        </w:tc>
        <w:tc>
          <w:tcPr>
            <w:tcW w:w="417" w:type="pct"/>
            <w:vMerge w:val="restart"/>
            <w:tcBorders>
              <w:top w:val="nil"/>
              <w:left w:val="nil"/>
              <w:bottom w:val="nil"/>
              <w:right w:val="nil"/>
            </w:tcBorders>
            <w:shd w:val="clear" w:color="auto" w:fill="7F7F7F"/>
            <w:vAlign w:val="bottom"/>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b/>
                <w:color w:val="FFFFFF"/>
                <w:sz w:val="18"/>
                <w:szCs w:val="18"/>
              </w:rPr>
            </w:pPr>
            <w:r w:rsidRPr="000763AE">
              <w:rPr>
                <w:rFonts w:ascii="Arial" w:hAnsi="Arial" w:cs="Arial"/>
                <w:b/>
                <w:color w:val="FFFFFF"/>
                <w:sz w:val="18"/>
                <w:szCs w:val="18"/>
              </w:rPr>
              <w:t>B</w:t>
            </w:r>
          </w:p>
        </w:tc>
        <w:tc>
          <w:tcPr>
            <w:tcW w:w="417" w:type="pct"/>
            <w:vMerge w:val="restart"/>
            <w:tcBorders>
              <w:top w:val="nil"/>
              <w:left w:val="nil"/>
              <w:bottom w:val="nil"/>
              <w:right w:val="nil"/>
            </w:tcBorders>
            <w:shd w:val="clear" w:color="auto" w:fill="7F7F7F"/>
            <w:vAlign w:val="bottom"/>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b/>
                <w:color w:val="FFFFFF"/>
                <w:sz w:val="18"/>
                <w:szCs w:val="18"/>
              </w:rPr>
            </w:pPr>
            <w:r w:rsidRPr="000763AE">
              <w:rPr>
                <w:rFonts w:ascii="Arial" w:hAnsi="Arial" w:cs="Arial"/>
                <w:b/>
                <w:color w:val="FFFFFF"/>
                <w:sz w:val="18"/>
                <w:szCs w:val="18"/>
              </w:rPr>
              <w:t>S.E.</w:t>
            </w:r>
          </w:p>
        </w:tc>
        <w:tc>
          <w:tcPr>
            <w:tcW w:w="469" w:type="pct"/>
            <w:vMerge w:val="restart"/>
            <w:tcBorders>
              <w:top w:val="nil"/>
              <w:left w:val="nil"/>
              <w:bottom w:val="nil"/>
              <w:right w:val="nil"/>
            </w:tcBorders>
            <w:shd w:val="clear" w:color="auto" w:fill="7F7F7F"/>
            <w:vAlign w:val="bottom"/>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b/>
                <w:color w:val="FFFFFF"/>
                <w:sz w:val="18"/>
                <w:szCs w:val="18"/>
              </w:rPr>
            </w:pPr>
            <w:r w:rsidRPr="000763AE">
              <w:rPr>
                <w:rFonts w:ascii="Arial" w:hAnsi="Arial" w:cs="Arial"/>
                <w:b/>
                <w:color w:val="FFFFFF"/>
                <w:sz w:val="18"/>
                <w:szCs w:val="18"/>
              </w:rPr>
              <w:t>Wald</w:t>
            </w:r>
          </w:p>
        </w:tc>
        <w:tc>
          <w:tcPr>
            <w:tcW w:w="296" w:type="pct"/>
            <w:vMerge w:val="restart"/>
            <w:tcBorders>
              <w:top w:val="nil"/>
              <w:left w:val="nil"/>
              <w:bottom w:val="nil"/>
              <w:right w:val="nil"/>
            </w:tcBorders>
            <w:shd w:val="clear" w:color="auto" w:fill="7F7F7F"/>
            <w:vAlign w:val="bottom"/>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b/>
                <w:color w:val="FFFFFF"/>
                <w:sz w:val="18"/>
                <w:szCs w:val="18"/>
              </w:rPr>
            </w:pPr>
            <w:proofErr w:type="spellStart"/>
            <w:r w:rsidRPr="000763AE">
              <w:rPr>
                <w:rFonts w:ascii="Arial" w:hAnsi="Arial" w:cs="Arial"/>
                <w:b/>
                <w:color w:val="FFFFFF"/>
                <w:sz w:val="18"/>
                <w:szCs w:val="18"/>
              </w:rPr>
              <w:t>df</w:t>
            </w:r>
            <w:proofErr w:type="spellEnd"/>
          </w:p>
        </w:tc>
        <w:tc>
          <w:tcPr>
            <w:tcW w:w="434" w:type="pct"/>
            <w:vMerge w:val="restart"/>
            <w:tcBorders>
              <w:top w:val="nil"/>
              <w:left w:val="nil"/>
              <w:bottom w:val="nil"/>
              <w:right w:val="nil"/>
            </w:tcBorders>
            <w:shd w:val="clear" w:color="auto" w:fill="7F7F7F"/>
            <w:vAlign w:val="bottom"/>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b/>
                <w:color w:val="FFFFFF"/>
                <w:sz w:val="18"/>
                <w:szCs w:val="18"/>
              </w:rPr>
            </w:pPr>
            <w:r w:rsidRPr="000763AE">
              <w:rPr>
                <w:rFonts w:ascii="Arial" w:hAnsi="Arial" w:cs="Arial"/>
                <w:b/>
                <w:color w:val="FFFFFF"/>
                <w:sz w:val="18"/>
                <w:szCs w:val="18"/>
              </w:rPr>
              <w:t>Sig.</w:t>
            </w:r>
          </w:p>
        </w:tc>
        <w:tc>
          <w:tcPr>
            <w:tcW w:w="434" w:type="pct"/>
            <w:vMerge w:val="restart"/>
            <w:tcBorders>
              <w:top w:val="nil"/>
              <w:left w:val="nil"/>
              <w:bottom w:val="nil"/>
              <w:right w:val="single" w:sz="4" w:space="0" w:color="auto"/>
            </w:tcBorders>
            <w:shd w:val="clear" w:color="auto" w:fill="7F7F7F"/>
            <w:vAlign w:val="bottom"/>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b/>
                <w:color w:val="FFFFFF"/>
                <w:sz w:val="18"/>
                <w:szCs w:val="18"/>
              </w:rPr>
            </w:pPr>
            <w:proofErr w:type="spellStart"/>
            <w:r w:rsidRPr="000763AE">
              <w:rPr>
                <w:rFonts w:ascii="Arial" w:hAnsi="Arial" w:cs="Arial"/>
                <w:b/>
                <w:color w:val="FFFFFF"/>
                <w:sz w:val="18"/>
                <w:szCs w:val="18"/>
              </w:rPr>
              <w:t>Exp</w:t>
            </w:r>
            <w:proofErr w:type="spellEnd"/>
            <w:r w:rsidRPr="000763AE">
              <w:rPr>
                <w:rFonts w:ascii="Arial" w:hAnsi="Arial" w:cs="Arial"/>
                <w:b/>
                <w:color w:val="FFFFFF"/>
                <w:sz w:val="18"/>
                <w:szCs w:val="18"/>
              </w:rPr>
              <w:t>(B)</w:t>
            </w:r>
          </w:p>
        </w:tc>
        <w:tc>
          <w:tcPr>
            <w:tcW w:w="866" w:type="pct"/>
            <w:gridSpan w:val="2"/>
            <w:tcBorders>
              <w:top w:val="single" w:sz="4" w:space="0" w:color="auto"/>
              <w:left w:val="single" w:sz="4" w:space="0" w:color="auto"/>
              <w:bottom w:val="nil"/>
              <w:right w:val="single" w:sz="4" w:space="0" w:color="auto"/>
            </w:tcBorders>
            <w:shd w:val="clear" w:color="auto" w:fill="7F7F7F"/>
            <w:vAlign w:val="bottom"/>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b/>
                <w:color w:val="FFFFFF"/>
                <w:sz w:val="18"/>
                <w:szCs w:val="18"/>
              </w:rPr>
            </w:pPr>
            <w:r w:rsidRPr="000763AE">
              <w:rPr>
                <w:rFonts w:ascii="Arial" w:hAnsi="Arial" w:cs="Arial"/>
                <w:b/>
                <w:color w:val="FFFFFF"/>
                <w:sz w:val="18"/>
                <w:szCs w:val="18"/>
              </w:rPr>
              <w:t xml:space="preserve">95% </w:t>
            </w:r>
            <w:proofErr w:type="spellStart"/>
            <w:r w:rsidRPr="000763AE">
              <w:rPr>
                <w:rFonts w:ascii="Arial" w:hAnsi="Arial" w:cs="Arial"/>
                <w:b/>
                <w:color w:val="FFFFFF"/>
                <w:sz w:val="18"/>
                <w:szCs w:val="18"/>
              </w:rPr>
              <w:t>C.I.for</w:t>
            </w:r>
            <w:proofErr w:type="spellEnd"/>
            <w:r w:rsidRPr="000763AE">
              <w:rPr>
                <w:rFonts w:ascii="Arial" w:hAnsi="Arial" w:cs="Arial"/>
                <w:b/>
                <w:color w:val="FFFFFF"/>
                <w:sz w:val="18"/>
                <w:szCs w:val="18"/>
              </w:rPr>
              <w:t xml:space="preserve"> EXP(B)</w:t>
            </w:r>
          </w:p>
        </w:tc>
      </w:tr>
      <w:tr w:rsidR="006E0406" w:rsidRPr="006E0406" w:rsidTr="000763AE">
        <w:trPr>
          <w:cantSplit/>
        </w:trPr>
        <w:tc>
          <w:tcPr>
            <w:tcW w:w="1667" w:type="pct"/>
            <w:gridSpan w:val="2"/>
            <w:vMerge/>
            <w:tcBorders>
              <w:top w:val="nil"/>
              <w:left w:val="nil"/>
              <w:bottom w:val="single" w:sz="4" w:space="0" w:color="auto"/>
              <w:right w:val="nil"/>
            </w:tcBorders>
            <w:shd w:val="clear" w:color="auto" w:fill="FFFFFF"/>
            <w:vAlign w:val="bottom"/>
          </w:tcPr>
          <w:p w:rsidR="006E0406" w:rsidRPr="000763AE" w:rsidRDefault="006E0406" w:rsidP="006E0406">
            <w:pPr>
              <w:widowControl w:val="0"/>
              <w:autoSpaceDE w:val="0"/>
              <w:autoSpaceDN w:val="0"/>
              <w:adjustRightInd w:val="0"/>
              <w:jc w:val="center"/>
              <w:rPr>
                <w:rFonts w:ascii="Arial" w:hAnsi="Arial" w:cs="Arial"/>
                <w:color w:val="264A60"/>
                <w:sz w:val="18"/>
                <w:szCs w:val="18"/>
              </w:rPr>
            </w:pPr>
          </w:p>
        </w:tc>
        <w:tc>
          <w:tcPr>
            <w:tcW w:w="417" w:type="pct"/>
            <w:vMerge/>
            <w:tcBorders>
              <w:top w:val="nil"/>
              <w:left w:val="nil"/>
              <w:bottom w:val="single" w:sz="4" w:space="0" w:color="auto"/>
              <w:right w:val="nil"/>
            </w:tcBorders>
            <w:shd w:val="clear" w:color="auto" w:fill="7F7F7F"/>
            <w:vAlign w:val="bottom"/>
          </w:tcPr>
          <w:p w:rsidR="006E0406" w:rsidRPr="000763AE" w:rsidRDefault="006E0406" w:rsidP="006E0406">
            <w:pPr>
              <w:widowControl w:val="0"/>
              <w:autoSpaceDE w:val="0"/>
              <w:autoSpaceDN w:val="0"/>
              <w:adjustRightInd w:val="0"/>
              <w:jc w:val="center"/>
              <w:rPr>
                <w:rFonts w:ascii="Arial" w:hAnsi="Arial" w:cs="Arial"/>
                <w:b/>
                <w:color w:val="264A60"/>
                <w:sz w:val="18"/>
                <w:szCs w:val="18"/>
              </w:rPr>
            </w:pPr>
          </w:p>
        </w:tc>
        <w:tc>
          <w:tcPr>
            <w:tcW w:w="417" w:type="pct"/>
            <w:vMerge/>
            <w:tcBorders>
              <w:top w:val="nil"/>
              <w:left w:val="nil"/>
              <w:bottom w:val="single" w:sz="4" w:space="0" w:color="auto"/>
              <w:right w:val="nil"/>
            </w:tcBorders>
            <w:shd w:val="clear" w:color="auto" w:fill="7F7F7F"/>
            <w:vAlign w:val="bottom"/>
          </w:tcPr>
          <w:p w:rsidR="006E0406" w:rsidRPr="000763AE" w:rsidRDefault="006E0406" w:rsidP="006E0406">
            <w:pPr>
              <w:widowControl w:val="0"/>
              <w:autoSpaceDE w:val="0"/>
              <w:autoSpaceDN w:val="0"/>
              <w:adjustRightInd w:val="0"/>
              <w:jc w:val="center"/>
              <w:rPr>
                <w:rFonts w:ascii="Arial" w:hAnsi="Arial" w:cs="Arial"/>
                <w:b/>
                <w:color w:val="264A60"/>
                <w:sz w:val="18"/>
                <w:szCs w:val="18"/>
              </w:rPr>
            </w:pPr>
          </w:p>
        </w:tc>
        <w:tc>
          <w:tcPr>
            <w:tcW w:w="469" w:type="pct"/>
            <w:vMerge/>
            <w:tcBorders>
              <w:top w:val="nil"/>
              <w:left w:val="nil"/>
              <w:bottom w:val="single" w:sz="4" w:space="0" w:color="auto"/>
              <w:right w:val="nil"/>
            </w:tcBorders>
            <w:shd w:val="clear" w:color="auto" w:fill="7F7F7F"/>
            <w:vAlign w:val="bottom"/>
          </w:tcPr>
          <w:p w:rsidR="006E0406" w:rsidRPr="000763AE" w:rsidRDefault="006E0406" w:rsidP="006E0406">
            <w:pPr>
              <w:widowControl w:val="0"/>
              <w:autoSpaceDE w:val="0"/>
              <w:autoSpaceDN w:val="0"/>
              <w:adjustRightInd w:val="0"/>
              <w:jc w:val="center"/>
              <w:rPr>
                <w:rFonts w:ascii="Arial" w:hAnsi="Arial" w:cs="Arial"/>
                <w:b/>
                <w:color w:val="264A60"/>
                <w:sz w:val="18"/>
                <w:szCs w:val="18"/>
              </w:rPr>
            </w:pPr>
          </w:p>
        </w:tc>
        <w:tc>
          <w:tcPr>
            <w:tcW w:w="296" w:type="pct"/>
            <w:vMerge/>
            <w:tcBorders>
              <w:top w:val="nil"/>
              <w:left w:val="nil"/>
              <w:bottom w:val="single" w:sz="4" w:space="0" w:color="auto"/>
              <w:right w:val="nil"/>
            </w:tcBorders>
            <w:shd w:val="clear" w:color="auto" w:fill="7F7F7F"/>
            <w:vAlign w:val="bottom"/>
          </w:tcPr>
          <w:p w:rsidR="006E0406" w:rsidRPr="000763AE" w:rsidRDefault="006E0406" w:rsidP="006E0406">
            <w:pPr>
              <w:widowControl w:val="0"/>
              <w:autoSpaceDE w:val="0"/>
              <w:autoSpaceDN w:val="0"/>
              <w:adjustRightInd w:val="0"/>
              <w:jc w:val="center"/>
              <w:rPr>
                <w:rFonts w:ascii="Arial" w:hAnsi="Arial" w:cs="Arial"/>
                <w:b/>
                <w:color w:val="264A60"/>
                <w:sz w:val="18"/>
                <w:szCs w:val="18"/>
              </w:rPr>
            </w:pPr>
          </w:p>
        </w:tc>
        <w:tc>
          <w:tcPr>
            <w:tcW w:w="434" w:type="pct"/>
            <w:vMerge/>
            <w:tcBorders>
              <w:top w:val="nil"/>
              <w:left w:val="nil"/>
              <w:bottom w:val="single" w:sz="4" w:space="0" w:color="auto"/>
              <w:right w:val="nil"/>
            </w:tcBorders>
            <w:shd w:val="clear" w:color="auto" w:fill="7F7F7F"/>
            <w:vAlign w:val="bottom"/>
          </w:tcPr>
          <w:p w:rsidR="006E0406" w:rsidRPr="000763AE" w:rsidRDefault="006E0406" w:rsidP="006E0406">
            <w:pPr>
              <w:widowControl w:val="0"/>
              <w:autoSpaceDE w:val="0"/>
              <w:autoSpaceDN w:val="0"/>
              <w:adjustRightInd w:val="0"/>
              <w:jc w:val="center"/>
              <w:rPr>
                <w:rFonts w:ascii="Arial" w:hAnsi="Arial" w:cs="Arial"/>
                <w:b/>
                <w:color w:val="264A60"/>
                <w:sz w:val="18"/>
                <w:szCs w:val="18"/>
              </w:rPr>
            </w:pPr>
          </w:p>
        </w:tc>
        <w:tc>
          <w:tcPr>
            <w:tcW w:w="434" w:type="pct"/>
            <w:vMerge/>
            <w:tcBorders>
              <w:top w:val="nil"/>
              <w:left w:val="nil"/>
              <w:bottom w:val="single" w:sz="4" w:space="0" w:color="auto"/>
              <w:right w:val="single" w:sz="4" w:space="0" w:color="auto"/>
            </w:tcBorders>
            <w:shd w:val="clear" w:color="auto" w:fill="7F7F7F"/>
            <w:vAlign w:val="bottom"/>
          </w:tcPr>
          <w:p w:rsidR="006E0406" w:rsidRPr="000763AE" w:rsidRDefault="006E0406" w:rsidP="006E0406">
            <w:pPr>
              <w:widowControl w:val="0"/>
              <w:autoSpaceDE w:val="0"/>
              <w:autoSpaceDN w:val="0"/>
              <w:adjustRightInd w:val="0"/>
              <w:jc w:val="center"/>
              <w:rPr>
                <w:rFonts w:ascii="Arial" w:hAnsi="Arial" w:cs="Arial"/>
                <w:b/>
                <w:color w:val="264A60"/>
                <w:sz w:val="18"/>
                <w:szCs w:val="18"/>
              </w:rPr>
            </w:pPr>
          </w:p>
        </w:tc>
        <w:tc>
          <w:tcPr>
            <w:tcW w:w="435" w:type="pct"/>
            <w:tcBorders>
              <w:top w:val="nil"/>
              <w:left w:val="single" w:sz="4" w:space="0" w:color="auto"/>
              <w:bottom w:val="single" w:sz="4" w:space="0" w:color="auto"/>
              <w:right w:val="nil"/>
            </w:tcBorders>
            <w:shd w:val="clear" w:color="auto" w:fill="7F7F7F"/>
            <w:vAlign w:val="bottom"/>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b/>
                <w:color w:val="FFFFFF"/>
                <w:sz w:val="18"/>
                <w:szCs w:val="18"/>
              </w:rPr>
            </w:pPr>
            <w:r w:rsidRPr="000763AE">
              <w:rPr>
                <w:rFonts w:ascii="Arial" w:hAnsi="Arial" w:cs="Arial"/>
                <w:b/>
                <w:color w:val="FFFFFF"/>
                <w:sz w:val="18"/>
                <w:szCs w:val="18"/>
              </w:rPr>
              <w:t>Lower</w:t>
            </w:r>
          </w:p>
        </w:tc>
        <w:tc>
          <w:tcPr>
            <w:tcW w:w="431" w:type="pct"/>
            <w:tcBorders>
              <w:top w:val="nil"/>
              <w:left w:val="nil"/>
              <w:bottom w:val="single" w:sz="4" w:space="0" w:color="auto"/>
              <w:right w:val="single" w:sz="4" w:space="0" w:color="auto"/>
            </w:tcBorders>
            <w:shd w:val="clear" w:color="auto" w:fill="7F7F7F"/>
            <w:vAlign w:val="bottom"/>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b/>
                <w:color w:val="FFFFFF"/>
                <w:sz w:val="18"/>
                <w:szCs w:val="18"/>
              </w:rPr>
            </w:pPr>
            <w:r w:rsidRPr="000763AE">
              <w:rPr>
                <w:rFonts w:ascii="Arial" w:hAnsi="Arial" w:cs="Arial"/>
                <w:b/>
                <w:color w:val="FFFFFF"/>
                <w:sz w:val="18"/>
                <w:szCs w:val="18"/>
              </w:rPr>
              <w:t>Upper</w:t>
            </w:r>
          </w:p>
        </w:tc>
      </w:tr>
      <w:tr w:rsidR="006E0406" w:rsidRPr="006E0406" w:rsidTr="000763AE">
        <w:trPr>
          <w:cantSplit/>
        </w:trPr>
        <w:tc>
          <w:tcPr>
            <w:tcW w:w="388" w:type="pct"/>
            <w:vMerge w:val="restart"/>
            <w:tcBorders>
              <w:top w:val="single" w:sz="4" w:space="0" w:color="auto"/>
            </w:tcBorders>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8"/>
                <w:szCs w:val="18"/>
              </w:rPr>
            </w:pPr>
            <w:r w:rsidRPr="000763AE">
              <w:rPr>
                <w:rFonts w:ascii="Arial" w:hAnsi="Arial" w:cs="Arial"/>
                <w:color w:val="FFFFFF"/>
                <w:sz w:val="18"/>
                <w:szCs w:val="18"/>
              </w:rPr>
              <w:t>Step 1</w:t>
            </w:r>
            <w:r w:rsidRPr="000763AE">
              <w:rPr>
                <w:rFonts w:ascii="Arial" w:hAnsi="Arial" w:cs="Arial"/>
                <w:color w:val="FFFFFF"/>
                <w:sz w:val="18"/>
                <w:szCs w:val="18"/>
                <w:vertAlign w:val="superscript"/>
              </w:rPr>
              <w:t>a</w:t>
            </w:r>
          </w:p>
        </w:tc>
        <w:tc>
          <w:tcPr>
            <w:tcW w:w="1278" w:type="pct"/>
            <w:tcBorders>
              <w:top w:val="single" w:sz="4" w:space="0" w:color="auto"/>
            </w:tcBorders>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Patient sex- Male</w:t>
            </w:r>
          </w:p>
        </w:tc>
        <w:tc>
          <w:tcPr>
            <w:tcW w:w="417" w:type="pct"/>
            <w:tcBorders>
              <w:top w:val="single" w:sz="4" w:space="0" w:color="auto"/>
            </w:tcBorders>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-.141</w:t>
            </w:r>
          </w:p>
        </w:tc>
        <w:tc>
          <w:tcPr>
            <w:tcW w:w="417" w:type="pct"/>
            <w:tcBorders>
              <w:top w:val="single" w:sz="4" w:space="0" w:color="auto"/>
            </w:tcBorders>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.153</w:t>
            </w:r>
          </w:p>
        </w:tc>
        <w:tc>
          <w:tcPr>
            <w:tcW w:w="469" w:type="pct"/>
            <w:tcBorders>
              <w:top w:val="single" w:sz="4" w:space="0" w:color="auto"/>
            </w:tcBorders>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.851</w:t>
            </w:r>
          </w:p>
        </w:tc>
        <w:tc>
          <w:tcPr>
            <w:tcW w:w="296" w:type="pct"/>
            <w:tcBorders>
              <w:top w:val="single" w:sz="4" w:space="0" w:color="auto"/>
            </w:tcBorders>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tcBorders>
              <w:top w:val="single" w:sz="4" w:space="0" w:color="auto"/>
            </w:tcBorders>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.356</w:t>
            </w:r>
          </w:p>
        </w:tc>
        <w:tc>
          <w:tcPr>
            <w:tcW w:w="434" w:type="pct"/>
            <w:tcBorders>
              <w:top w:val="single" w:sz="4" w:space="0" w:color="auto"/>
            </w:tcBorders>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.868</w:t>
            </w:r>
          </w:p>
        </w:tc>
        <w:tc>
          <w:tcPr>
            <w:tcW w:w="435" w:type="pct"/>
            <w:tcBorders>
              <w:top w:val="single" w:sz="4" w:space="0" w:color="auto"/>
            </w:tcBorders>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.643</w:t>
            </w:r>
          </w:p>
        </w:tc>
        <w:tc>
          <w:tcPr>
            <w:tcW w:w="431" w:type="pct"/>
            <w:tcBorders>
              <w:top w:val="single" w:sz="4" w:space="0" w:color="auto"/>
            </w:tcBorders>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1.172</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Patient ethnicity – imputed-Non-Hispanic</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-.626</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.234</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7.135</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.008</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.535</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.338</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.847</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Patient race - imputed</w:t>
            </w: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4.894</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.087</w:t>
            </w:r>
          </w:p>
        </w:tc>
        <w:tc>
          <w:tcPr>
            <w:tcW w:w="434" w:type="pct"/>
            <w:shd w:val="clear" w:color="auto" w:fill="FFFFFF"/>
            <w:vAlign w:val="center"/>
          </w:tcPr>
          <w:p w:rsidR="006E0406" w:rsidRPr="000763AE" w:rsidRDefault="006E0406" w:rsidP="006E0406">
            <w:pPr>
              <w:widowControl w:val="0"/>
              <w:autoSpaceDE w:val="0"/>
              <w:autoSpaceDN w:val="0"/>
              <w:adjustRightInd w:val="0"/>
              <w:jc w:val="center"/>
            </w:pPr>
          </w:p>
        </w:tc>
        <w:tc>
          <w:tcPr>
            <w:tcW w:w="435" w:type="pct"/>
            <w:shd w:val="clear" w:color="auto" w:fill="FFFFFF"/>
            <w:vAlign w:val="center"/>
          </w:tcPr>
          <w:p w:rsidR="006E0406" w:rsidRPr="000763AE" w:rsidRDefault="006E0406" w:rsidP="006E0406">
            <w:pPr>
              <w:widowControl w:val="0"/>
              <w:autoSpaceDE w:val="0"/>
              <w:autoSpaceDN w:val="0"/>
              <w:adjustRightInd w:val="0"/>
              <w:jc w:val="center"/>
            </w:pPr>
          </w:p>
        </w:tc>
        <w:tc>
          <w:tcPr>
            <w:tcW w:w="431" w:type="pct"/>
            <w:shd w:val="clear" w:color="auto" w:fill="FFFFFF"/>
            <w:vAlign w:val="center"/>
          </w:tcPr>
          <w:p w:rsidR="006E0406" w:rsidRPr="000763AE" w:rsidRDefault="006E0406" w:rsidP="006E0406">
            <w:pPr>
              <w:widowControl w:val="0"/>
              <w:autoSpaceDE w:val="0"/>
              <w:autoSpaceDN w:val="0"/>
              <w:adjustRightInd w:val="0"/>
              <w:jc w:val="center"/>
            </w:pP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color w:val="FFFFFF"/>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Patient race – imputed Black</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.474</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.231</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4.212</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.040</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1.607</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1.022</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2.527</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Patient race – imputed Other</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-.293</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.435</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.455</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.500</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.746</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.318</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1.749</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doctor-DO</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-1.773</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.726</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5.969</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.015</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.170</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.041</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.704</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practice Non-solo</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.316</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.179</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3.099</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.078</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1.371</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.965</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1.949</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Region where majority of physician's sampled visits occurred</w:t>
            </w: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6.734</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.081</w:t>
            </w:r>
          </w:p>
        </w:tc>
        <w:tc>
          <w:tcPr>
            <w:tcW w:w="434" w:type="pct"/>
            <w:shd w:val="clear" w:color="auto" w:fill="FFFFFF"/>
            <w:vAlign w:val="center"/>
          </w:tcPr>
          <w:p w:rsidR="006E0406" w:rsidRPr="000763AE" w:rsidRDefault="006E0406" w:rsidP="006E0406">
            <w:pPr>
              <w:widowControl w:val="0"/>
              <w:autoSpaceDE w:val="0"/>
              <w:autoSpaceDN w:val="0"/>
              <w:adjustRightInd w:val="0"/>
              <w:jc w:val="center"/>
            </w:pPr>
          </w:p>
        </w:tc>
        <w:tc>
          <w:tcPr>
            <w:tcW w:w="435" w:type="pct"/>
            <w:shd w:val="clear" w:color="auto" w:fill="FFFFFF"/>
            <w:vAlign w:val="center"/>
          </w:tcPr>
          <w:p w:rsidR="006E0406" w:rsidRPr="000763AE" w:rsidRDefault="006E0406" w:rsidP="006E0406">
            <w:pPr>
              <w:widowControl w:val="0"/>
              <w:autoSpaceDE w:val="0"/>
              <w:autoSpaceDN w:val="0"/>
              <w:adjustRightInd w:val="0"/>
              <w:jc w:val="center"/>
            </w:pPr>
          </w:p>
        </w:tc>
        <w:tc>
          <w:tcPr>
            <w:tcW w:w="431" w:type="pct"/>
            <w:shd w:val="clear" w:color="auto" w:fill="FFFFFF"/>
            <w:vAlign w:val="center"/>
          </w:tcPr>
          <w:p w:rsidR="006E0406" w:rsidRPr="000763AE" w:rsidRDefault="006E0406" w:rsidP="006E0406">
            <w:pPr>
              <w:widowControl w:val="0"/>
              <w:autoSpaceDE w:val="0"/>
              <w:autoSpaceDN w:val="0"/>
              <w:adjustRightInd w:val="0"/>
              <w:jc w:val="center"/>
            </w:pP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color w:val="FFFFFF"/>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Region where majority of physician's sampled visits occurred- Northeast</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-.341</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.253</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1.811</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.178</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.711</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.433</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1.168</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Region where majority of physician's sampled visits occurred-Midwest</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-.093</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.205</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.204</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.651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.912</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.610</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1.362</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Region where majority of physician's sampled visits occurred-South</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-.528</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.226</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5.457</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.019</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.590</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.378</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.918</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provider</w:t>
            </w: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46.258</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434" w:type="pct"/>
            <w:shd w:val="clear" w:color="auto" w:fill="FFFFFF"/>
            <w:vAlign w:val="center"/>
          </w:tcPr>
          <w:p w:rsidR="006E0406" w:rsidRPr="000763AE" w:rsidRDefault="006E0406" w:rsidP="006E0406">
            <w:pPr>
              <w:widowControl w:val="0"/>
              <w:autoSpaceDE w:val="0"/>
              <w:autoSpaceDN w:val="0"/>
              <w:adjustRightInd w:val="0"/>
              <w:jc w:val="center"/>
            </w:pPr>
          </w:p>
        </w:tc>
        <w:tc>
          <w:tcPr>
            <w:tcW w:w="435" w:type="pct"/>
            <w:shd w:val="clear" w:color="auto" w:fill="FFFFFF"/>
            <w:vAlign w:val="center"/>
          </w:tcPr>
          <w:p w:rsidR="006E0406" w:rsidRPr="000763AE" w:rsidRDefault="006E0406" w:rsidP="006E0406">
            <w:pPr>
              <w:widowControl w:val="0"/>
              <w:autoSpaceDE w:val="0"/>
              <w:autoSpaceDN w:val="0"/>
              <w:adjustRightInd w:val="0"/>
              <w:jc w:val="center"/>
            </w:pPr>
          </w:p>
        </w:tc>
        <w:tc>
          <w:tcPr>
            <w:tcW w:w="431" w:type="pct"/>
            <w:shd w:val="clear" w:color="auto" w:fill="FFFFFF"/>
            <w:vAlign w:val="center"/>
          </w:tcPr>
          <w:p w:rsidR="006E0406" w:rsidRPr="000763AE" w:rsidRDefault="006E0406" w:rsidP="006E0406">
            <w:pPr>
              <w:widowControl w:val="0"/>
              <w:autoSpaceDE w:val="0"/>
              <w:autoSpaceDN w:val="0"/>
              <w:adjustRightInd w:val="0"/>
              <w:jc w:val="center"/>
            </w:pP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color w:val="FFFFFF"/>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provider Other</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-19.654</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7384.224</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.998</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provider Physician</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-1.784</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.285</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39.279</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.168</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.096</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.293</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provider Physician Assistant</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-3.087</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.602</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26.286</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.046</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.014</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.149</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Patient age by range</w:t>
            </w: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.100</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.951</w:t>
            </w:r>
          </w:p>
        </w:tc>
        <w:tc>
          <w:tcPr>
            <w:tcW w:w="434" w:type="pct"/>
            <w:shd w:val="clear" w:color="auto" w:fill="FFFFFF"/>
            <w:vAlign w:val="center"/>
          </w:tcPr>
          <w:p w:rsidR="006E0406" w:rsidRPr="000763AE" w:rsidRDefault="006E0406" w:rsidP="006E0406">
            <w:pPr>
              <w:widowControl w:val="0"/>
              <w:autoSpaceDE w:val="0"/>
              <w:autoSpaceDN w:val="0"/>
              <w:adjustRightInd w:val="0"/>
              <w:jc w:val="center"/>
            </w:pPr>
          </w:p>
        </w:tc>
        <w:tc>
          <w:tcPr>
            <w:tcW w:w="435" w:type="pct"/>
            <w:shd w:val="clear" w:color="auto" w:fill="FFFFFF"/>
            <w:vAlign w:val="center"/>
          </w:tcPr>
          <w:p w:rsidR="006E0406" w:rsidRPr="000763AE" w:rsidRDefault="006E0406" w:rsidP="006E0406">
            <w:pPr>
              <w:widowControl w:val="0"/>
              <w:autoSpaceDE w:val="0"/>
              <w:autoSpaceDN w:val="0"/>
              <w:adjustRightInd w:val="0"/>
              <w:jc w:val="center"/>
            </w:pPr>
          </w:p>
        </w:tc>
        <w:tc>
          <w:tcPr>
            <w:tcW w:w="431" w:type="pct"/>
            <w:shd w:val="clear" w:color="auto" w:fill="FFFFFF"/>
            <w:vAlign w:val="center"/>
          </w:tcPr>
          <w:p w:rsidR="006E0406" w:rsidRPr="000763AE" w:rsidRDefault="006E0406" w:rsidP="006E0406">
            <w:pPr>
              <w:widowControl w:val="0"/>
              <w:autoSpaceDE w:val="0"/>
              <w:autoSpaceDN w:val="0"/>
              <w:adjustRightInd w:val="0"/>
              <w:jc w:val="center"/>
            </w:pP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color w:val="FFFFFF"/>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Patient age by range 1-44</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-18.025</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7550.066</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.998</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Patient age by range 45-64</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.061</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.193</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.100</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.752</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1.063</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.728</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1.553</w:t>
            </w:r>
          </w:p>
        </w:tc>
      </w:tr>
      <w:tr w:rsidR="006E0406" w:rsidRPr="006E0406" w:rsidTr="000763AE">
        <w:trPr>
          <w:cantSplit/>
        </w:trPr>
        <w:tc>
          <w:tcPr>
            <w:tcW w:w="388" w:type="pct"/>
            <w:vMerge/>
            <w:shd w:val="clear" w:color="auto" w:fill="7F7F7F"/>
          </w:tcPr>
          <w:p w:rsidR="006E0406" w:rsidRPr="000763AE" w:rsidRDefault="006E0406" w:rsidP="006E0406">
            <w:pPr>
              <w:widowControl w:val="0"/>
              <w:autoSpaceDE w:val="0"/>
              <w:autoSpaceDN w:val="0"/>
              <w:adjustRightInd w:val="0"/>
              <w:jc w:val="center"/>
              <w:rPr>
                <w:rFonts w:ascii="Arial" w:hAnsi="Arial" w:cs="Arial"/>
                <w:color w:val="FFFFFF"/>
                <w:sz w:val="18"/>
                <w:szCs w:val="18"/>
              </w:rPr>
            </w:pPr>
          </w:p>
        </w:tc>
        <w:tc>
          <w:tcPr>
            <w:tcW w:w="1278" w:type="pct"/>
            <w:shd w:val="clear" w:color="auto" w:fill="7F7F7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payment</w:t>
            </w: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14.505</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.002</w:t>
            </w:r>
          </w:p>
        </w:tc>
        <w:tc>
          <w:tcPr>
            <w:tcW w:w="434" w:type="pct"/>
            <w:shd w:val="clear" w:color="auto" w:fill="FFFFFF"/>
            <w:vAlign w:val="center"/>
          </w:tcPr>
          <w:p w:rsidR="006E0406" w:rsidRPr="000763AE" w:rsidRDefault="006E0406" w:rsidP="006E0406">
            <w:pPr>
              <w:widowControl w:val="0"/>
              <w:autoSpaceDE w:val="0"/>
              <w:autoSpaceDN w:val="0"/>
              <w:adjustRightInd w:val="0"/>
              <w:jc w:val="center"/>
            </w:pPr>
          </w:p>
        </w:tc>
        <w:tc>
          <w:tcPr>
            <w:tcW w:w="435" w:type="pct"/>
            <w:shd w:val="clear" w:color="auto" w:fill="FFFFFF"/>
            <w:vAlign w:val="center"/>
          </w:tcPr>
          <w:p w:rsidR="006E0406" w:rsidRPr="000763AE" w:rsidRDefault="006E0406" w:rsidP="006E0406">
            <w:pPr>
              <w:widowControl w:val="0"/>
              <w:autoSpaceDE w:val="0"/>
              <w:autoSpaceDN w:val="0"/>
              <w:adjustRightInd w:val="0"/>
              <w:jc w:val="center"/>
            </w:pPr>
          </w:p>
        </w:tc>
        <w:tc>
          <w:tcPr>
            <w:tcW w:w="431" w:type="pct"/>
            <w:shd w:val="clear" w:color="auto" w:fill="FFFFFF"/>
            <w:vAlign w:val="center"/>
          </w:tcPr>
          <w:p w:rsidR="006E0406" w:rsidRPr="000763AE" w:rsidRDefault="006E0406" w:rsidP="006E0406">
            <w:pPr>
              <w:widowControl w:val="0"/>
              <w:autoSpaceDE w:val="0"/>
              <w:autoSpaceDN w:val="0"/>
              <w:adjustRightInd w:val="0"/>
              <w:jc w:val="center"/>
            </w:pPr>
          </w:p>
        </w:tc>
      </w:tr>
      <w:tr w:rsidR="006E0406" w:rsidRPr="006E0406" w:rsidTr="000763AE">
        <w:trPr>
          <w:cantSplit/>
        </w:trPr>
        <w:tc>
          <w:tcPr>
            <w:tcW w:w="388" w:type="pct"/>
            <w:vMerge/>
            <w:shd w:val="clear" w:color="auto" w:fill="E0E0E0"/>
          </w:tcPr>
          <w:p w:rsidR="006E0406" w:rsidRPr="000763AE" w:rsidRDefault="006E0406" w:rsidP="006E0406">
            <w:pPr>
              <w:widowControl w:val="0"/>
              <w:autoSpaceDE w:val="0"/>
              <w:autoSpaceDN w:val="0"/>
              <w:adjustRightInd w:val="0"/>
              <w:jc w:val="center"/>
            </w:pPr>
          </w:p>
        </w:tc>
        <w:tc>
          <w:tcPr>
            <w:tcW w:w="1278" w:type="pct"/>
            <w:shd w:val="clear" w:color="auto" w:fill="808080"/>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payment Medicare</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.280</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.207</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1.836</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.175</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1.323</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.882</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1.984</w:t>
            </w:r>
          </w:p>
        </w:tc>
      </w:tr>
      <w:tr w:rsidR="006E0406" w:rsidRPr="006E0406" w:rsidTr="000763AE">
        <w:trPr>
          <w:cantSplit/>
        </w:trPr>
        <w:tc>
          <w:tcPr>
            <w:tcW w:w="388" w:type="pct"/>
            <w:vMerge/>
            <w:shd w:val="clear" w:color="auto" w:fill="E0E0E0"/>
          </w:tcPr>
          <w:p w:rsidR="006E0406" w:rsidRPr="000763AE" w:rsidRDefault="006E0406" w:rsidP="006E0406">
            <w:pPr>
              <w:widowControl w:val="0"/>
              <w:autoSpaceDE w:val="0"/>
              <w:autoSpaceDN w:val="0"/>
              <w:adjustRightInd w:val="0"/>
              <w:jc w:val="center"/>
              <w:rPr>
                <w:rFonts w:ascii="Arial" w:hAnsi="Arial" w:cs="Arial"/>
                <w:color w:val="010205"/>
                <w:sz w:val="18"/>
                <w:szCs w:val="18"/>
              </w:rPr>
            </w:pPr>
          </w:p>
        </w:tc>
        <w:tc>
          <w:tcPr>
            <w:tcW w:w="1278" w:type="pct"/>
            <w:shd w:val="clear" w:color="auto" w:fill="808080"/>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payment Medicaid</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-1.248</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.420</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8.820</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.003</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.287</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.126</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.654</w:t>
            </w:r>
          </w:p>
        </w:tc>
      </w:tr>
      <w:tr w:rsidR="006E0406" w:rsidRPr="006E0406" w:rsidTr="000763AE">
        <w:trPr>
          <w:cantSplit/>
        </w:trPr>
        <w:tc>
          <w:tcPr>
            <w:tcW w:w="388" w:type="pct"/>
            <w:vMerge/>
            <w:shd w:val="clear" w:color="auto" w:fill="E0E0E0"/>
          </w:tcPr>
          <w:p w:rsidR="006E0406" w:rsidRPr="000763AE" w:rsidRDefault="006E0406" w:rsidP="006E0406">
            <w:pPr>
              <w:widowControl w:val="0"/>
              <w:autoSpaceDE w:val="0"/>
              <w:autoSpaceDN w:val="0"/>
              <w:adjustRightInd w:val="0"/>
              <w:jc w:val="center"/>
              <w:rPr>
                <w:rFonts w:ascii="Arial" w:hAnsi="Arial" w:cs="Arial"/>
                <w:color w:val="010205"/>
                <w:sz w:val="18"/>
                <w:szCs w:val="18"/>
              </w:rPr>
            </w:pPr>
          </w:p>
        </w:tc>
        <w:tc>
          <w:tcPr>
            <w:tcW w:w="1278" w:type="pct"/>
            <w:shd w:val="clear" w:color="auto" w:fill="808080"/>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Type of payment Other</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-.304</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.308</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.976</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.323</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.738</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.403</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1.349</w:t>
            </w:r>
          </w:p>
        </w:tc>
      </w:tr>
      <w:tr w:rsidR="006E0406" w:rsidRPr="006E0406" w:rsidTr="000763AE">
        <w:trPr>
          <w:cantSplit/>
        </w:trPr>
        <w:tc>
          <w:tcPr>
            <w:tcW w:w="388" w:type="pct"/>
            <w:vMerge/>
            <w:shd w:val="clear" w:color="auto" w:fill="E0E0E0"/>
          </w:tcPr>
          <w:p w:rsidR="006E0406" w:rsidRPr="000763AE" w:rsidRDefault="006E0406" w:rsidP="006E0406">
            <w:pPr>
              <w:widowControl w:val="0"/>
              <w:autoSpaceDE w:val="0"/>
              <w:autoSpaceDN w:val="0"/>
              <w:adjustRightInd w:val="0"/>
              <w:jc w:val="center"/>
              <w:rPr>
                <w:rFonts w:ascii="Arial" w:hAnsi="Arial" w:cs="Arial"/>
                <w:color w:val="010205"/>
                <w:sz w:val="18"/>
                <w:szCs w:val="18"/>
              </w:rPr>
            </w:pPr>
          </w:p>
        </w:tc>
        <w:tc>
          <w:tcPr>
            <w:tcW w:w="1278" w:type="pct"/>
            <w:shd w:val="clear" w:color="auto" w:fill="808080"/>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Time spent with physician by range</w:t>
            </w: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17" w:type="pct"/>
            <w:shd w:val="clear" w:color="auto" w:fill="FFFFFF"/>
            <w:vAlign w:val="center"/>
          </w:tcPr>
          <w:p w:rsidR="006E0406" w:rsidRPr="000763AE" w:rsidRDefault="006E0406" w:rsidP="006E0406">
            <w:pPr>
              <w:widowControl w:val="0"/>
              <w:autoSpaceDE w:val="0"/>
              <w:autoSpaceDN w:val="0"/>
              <w:adjustRightInd w:val="0"/>
              <w:jc w:val="center"/>
            </w:pP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11.279</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.004</w:t>
            </w:r>
          </w:p>
        </w:tc>
        <w:tc>
          <w:tcPr>
            <w:tcW w:w="434" w:type="pct"/>
            <w:shd w:val="clear" w:color="auto" w:fill="FFFFFF"/>
            <w:vAlign w:val="center"/>
          </w:tcPr>
          <w:p w:rsidR="006E0406" w:rsidRPr="000763AE" w:rsidRDefault="006E0406" w:rsidP="006E0406">
            <w:pPr>
              <w:widowControl w:val="0"/>
              <w:autoSpaceDE w:val="0"/>
              <w:autoSpaceDN w:val="0"/>
              <w:adjustRightInd w:val="0"/>
              <w:jc w:val="center"/>
            </w:pPr>
          </w:p>
        </w:tc>
        <w:tc>
          <w:tcPr>
            <w:tcW w:w="435" w:type="pct"/>
            <w:shd w:val="clear" w:color="auto" w:fill="FFFFFF"/>
            <w:vAlign w:val="center"/>
          </w:tcPr>
          <w:p w:rsidR="006E0406" w:rsidRPr="000763AE" w:rsidRDefault="006E0406" w:rsidP="006E0406">
            <w:pPr>
              <w:widowControl w:val="0"/>
              <w:autoSpaceDE w:val="0"/>
              <w:autoSpaceDN w:val="0"/>
              <w:adjustRightInd w:val="0"/>
              <w:jc w:val="center"/>
            </w:pPr>
          </w:p>
        </w:tc>
        <w:tc>
          <w:tcPr>
            <w:tcW w:w="431" w:type="pct"/>
            <w:shd w:val="clear" w:color="auto" w:fill="FFFFFF"/>
            <w:vAlign w:val="center"/>
          </w:tcPr>
          <w:p w:rsidR="006E0406" w:rsidRPr="000763AE" w:rsidRDefault="006E0406" w:rsidP="006E0406">
            <w:pPr>
              <w:widowControl w:val="0"/>
              <w:autoSpaceDE w:val="0"/>
              <w:autoSpaceDN w:val="0"/>
              <w:adjustRightInd w:val="0"/>
              <w:jc w:val="center"/>
            </w:pPr>
          </w:p>
        </w:tc>
      </w:tr>
      <w:tr w:rsidR="006E0406" w:rsidRPr="006E0406" w:rsidTr="000763AE">
        <w:trPr>
          <w:cantSplit/>
        </w:trPr>
        <w:tc>
          <w:tcPr>
            <w:tcW w:w="388" w:type="pct"/>
            <w:vMerge/>
            <w:shd w:val="clear" w:color="auto" w:fill="E0E0E0"/>
          </w:tcPr>
          <w:p w:rsidR="006E0406" w:rsidRPr="000763AE" w:rsidRDefault="006E0406" w:rsidP="006E0406">
            <w:pPr>
              <w:widowControl w:val="0"/>
              <w:autoSpaceDE w:val="0"/>
              <w:autoSpaceDN w:val="0"/>
              <w:adjustRightInd w:val="0"/>
              <w:jc w:val="center"/>
            </w:pPr>
          </w:p>
        </w:tc>
        <w:tc>
          <w:tcPr>
            <w:tcW w:w="1278" w:type="pct"/>
            <w:shd w:val="clear" w:color="auto" w:fill="808080"/>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Time spent with physician by range &lt;15 min</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-.610</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.277</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4.835</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.028</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.544</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.316</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.936</w:t>
            </w:r>
          </w:p>
        </w:tc>
      </w:tr>
      <w:tr w:rsidR="006E0406" w:rsidRPr="006E0406" w:rsidTr="000763AE">
        <w:trPr>
          <w:cantSplit/>
        </w:trPr>
        <w:tc>
          <w:tcPr>
            <w:tcW w:w="388" w:type="pct"/>
            <w:vMerge/>
            <w:shd w:val="clear" w:color="auto" w:fill="E0E0E0"/>
          </w:tcPr>
          <w:p w:rsidR="006E0406" w:rsidRPr="000763AE" w:rsidRDefault="006E0406" w:rsidP="006E0406">
            <w:pPr>
              <w:widowControl w:val="0"/>
              <w:autoSpaceDE w:val="0"/>
              <w:autoSpaceDN w:val="0"/>
              <w:adjustRightInd w:val="0"/>
              <w:jc w:val="center"/>
              <w:rPr>
                <w:rFonts w:ascii="Arial" w:hAnsi="Arial" w:cs="Arial"/>
                <w:color w:val="010205"/>
                <w:sz w:val="18"/>
                <w:szCs w:val="18"/>
              </w:rPr>
            </w:pPr>
          </w:p>
        </w:tc>
        <w:tc>
          <w:tcPr>
            <w:tcW w:w="1278" w:type="pct"/>
            <w:shd w:val="clear" w:color="auto" w:fill="808080"/>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Time spent with physician by range 16-40 min</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-.061</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.259</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.056</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.814</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.941</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.566</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1.564</w:t>
            </w:r>
          </w:p>
        </w:tc>
      </w:tr>
      <w:tr w:rsidR="006E0406" w:rsidRPr="006E0406" w:rsidTr="000763AE">
        <w:trPr>
          <w:cantSplit/>
        </w:trPr>
        <w:tc>
          <w:tcPr>
            <w:tcW w:w="388" w:type="pct"/>
            <w:vMerge/>
            <w:shd w:val="clear" w:color="auto" w:fill="E0E0E0"/>
          </w:tcPr>
          <w:p w:rsidR="006E0406" w:rsidRPr="000763AE" w:rsidRDefault="006E0406" w:rsidP="006E0406">
            <w:pPr>
              <w:widowControl w:val="0"/>
              <w:autoSpaceDE w:val="0"/>
              <w:autoSpaceDN w:val="0"/>
              <w:adjustRightInd w:val="0"/>
              <w:jc w:val="center"/>
              <w:rPr>
                <w:rFonts w:ascii="Arial" w:hAnsi="Arial" w:cs="Arial"/>
                <w:color w:val="010205"/>
                <w:sz w:val="18"/>
                <w:szCs w:val="18"/>
              </w:rPr>
            </w:pPr>
          </w:p>
        </w:tc>
        <w:tc>
          <w:tcPr>
            <w:tcW w:w="1278" w:type="pct"/>
            <w:shd w:val="clear" w:color="auto" w:fill="808080"/>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No Diabetes education</w:t>
            </w:r>
          </w:p>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-2.077</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.194</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114.237</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.000</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.125</w:t>
            </w:r>
          </w:p>
        </w:tc>
        <w:tc>
          <w:tcPr>
            <w:tcW w:w="435"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.086</w:t>
            </w:r>
          </w:p>
        </w:tc>
        <w:tc>
          <w:tcPr>
            <w:tcW w:w="431"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.183</w:t>
            </w:r>
          </w:p>
        </w:tc>
      </w:tr>
      <w:tr w:rsidR="006E0406" w:rsidRPr="006E0406" w:rsidTr="000763AE">
        <w:trPr>
          <w:cantSplit/>
        </w:trPr>
        <w:tc>
          <w:tcPr>
            <w:tcW w:w="388" w:type="pct"/>
            <w:vMerge/>
            <w:shd w:val="clear" w:color="auto" w:fill="E0E0E0"/>
          </w:tcPr>
          <w:p w:rsidR="006E0406" w:rsidRPr="000763AE" w:rsidRDefault="006E0406" w:rsidP="006E0406">
            <w:pPr>
              <w:widowControl w:val="0"/>
              <w:autoSpaceDE w:val="0"/>
              <w:autoSpaceDN w:val="0"/>
              <w:adjustRightInd w:val="0"/>
              <w:jc w:val="center"/>
              <w:rPr>
                <w:rFonts w:ascii="Arial" w:hAnsi="Arial" w:cs="Arial"/>
                <w:color w:val="010205"/>
                <w:sz w:val="18"/>
                <w:szCs w:val="18"/>
              </w:rPr>
            </w:pPr>
          </w:p>
        </w:tc>
        <w:tc>
          <w:tcPr>
            <w:tcW w:w="1278" w:type="pct"/>
            <w:shd w:val="clear" w:color="auto" w:fill="808080"/>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FFFFFF"/>
                <w:sz w:val="16"/>
                <w:szCs w:val="18"/>
              </w:rPr>
            </w:pPr>
            <w:r w:rsidRPr="000763AE">
              <w:rPr>
                <w:rFonts w:ascii="Arial" w:hAnsi="Arial" w:cs="Arial"/>
                <w:color w:val="FFFFFF"/>
                <w:sz w:val="16"/>
                <w:szCs w:val="18"/>
              </w:rPr>
              <w:t>Constant</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1.509</w:t>
            </w:r>
          </w:p>
        </w:tc>
        <w:tc>
          <w:tcPr>
            <w:tcW w:w="417"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.506</w:t>
            </w:r>
          </w:p>
        </w:tc>
        <w:tc>
          <w:tcPr>
            <w:tcW w:w="469"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8.883</w:t>
            </w:r>
          </w:p>
        </w:tc>
        <w:tc>
          <w:tcPr>
            <w:tcW w:w="296"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1</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.003</w:t>
            </w:r>
          </w:p>
        </w:tc>
        <w:tc>
          <w:tcPr>
            <w:tcW w:w="434" w:type="pct"/>
            <w:shd w:val="clear" w:color="auto" w:fill="FFFFFF"/>
          </w:tcPr>
          <w:p w:rsidR="006E0406" w:rsidRPr="000763AE" w:rsidRDefault="006E0406" w:rsidP="006E0406">
            <w:pPr>
              <w:widowControl w:val="0"/>
              <w:autoSpaceDE w:val="0"/>
              <w:autoSpaceDN w:val="0"/>
              <w:adjustRightInd w:val="0"/>
              <w:spacing w:line="320" w:lineRule="atLeast"/>
              <w:ind w:left="60" w:right="60"/>
              <w:jc w:val="center"/>
              <w:rPr>
                <w:rFonts w:ascii="Arial" w:hAnsi="Arial" w:cs="Arial"/>
                <w:color w:val="010205"/>
                <w:sz w:val="18"/>
                <w:szCs w:val="18"/>
              </w:rPr>
            </w:pPr>
            <w:r w:rsidRPr="000763AE">
              <w:rPr>
                <w:rFonts w:ascii="Arial" w:hAnsi="Arial" w:cs="Arial"/>
                <w:color w:val="010205"/>
                <w:sz w:val="18"/>
                <w:szCs w:val="18"/>
              </w:rPr>
              <w:t>4.521</w:t>
            </w:r>
          </w:p>
        </w:tc>
        <w:tc>
          <w:tcPr>
            <w:tcW w:w="435" w:type="pct"/>
            <w:shd w:val="clear" w:color="auto" w:fill="FFFFFF"/>
            <w:vAlign w:val="center"/>
          </w:tcPr>
          <w:p w:rsidR="006E0406" w:rsidRPr="000763AE" w:rsidRDefault="006E0406" w:rsidP="006E0406">
            <w:pPr>
              <w:widowControl w:val="0"/>
              <w:autoSpaceDE w:val="0"/>
              <w:autoSpaceDN w:val="0"/>
              <w:adjustRightInd w:val="0"/>
              <w:jc w:val="center"/>
            </w:pPr>
          </w:p>
        </w:tc>
        <w:tc>
          <w:tcPr>
            <w:tcW w:w="431" w:type="pct"/>
            <w:shd w:val="clear" w:color="auto" w:fill="FFFFFF"/>
            <w:vAlign w:val="center"/>
          </w:tcPr>
          <w:p w:rsidR="006E0406" w:rsidRPr="000763AE" w:rsidRDefault="006E0406" w:rsidP="006E0406">
            <w:pPr>
              <w:widowControl w:val="0"/>
              <w:autoSpaceDE w:val="0"/>
              <w:autoSpaceDN w:val="0"/>
              <w:adjustRightInd w:val="0"/>
              <w:jc w:val="center"/>
            </w:pPr>
          </w:p>
        </w:tc>
      </w:tr>
    </w:tbl>
    <w:p w:rsidR="006E0406" w:rsidRPr="000763AE" w:rsidRDefault="006E0406" w:rsidP="006E0406">
      <w:pPr>
        <w:widowControl w:val="0"/>
        <w:autoSpaceDE w:val="0"/>
        <w:autoSpaceDN w:val="0"/>
        <w:adjustRightInd w:val="0"/>
        <w:jc w:val="both"/>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6E0406" w:rsidRPr="006E0406" w:rsidTr="003E22C3">
        <w:trPr>
          <w:cantSplit/>
        </w:trPr>
        <w:tc>
          <w:tcPr>
            <w:tcW w:w="9358" w:type="dxa"/>
            <w:tcBorders>
              <w:top w:val="nil"/>
              <w:left w:val="nil"/>
              <w:bottom w:val="nil"/>
              <w:right w:val="nil"/>
            </w:tcBorders>
            <w:shd w:val="clear" w:color="auto" w:fill="FFFFFF"/>
          </w:tcPr>
          <w:p w:rsidR="006E0406" w:rsidRPr="000763AE" w:rsidRDefault="006E0406" w:rsidP="006E0406">
            <w:pPr>
              <w:widowControl w:val="0"/>
              <w:autoSpaceDE w:val="0"/>
              <w:autoSpaceDN w:val="0"/>
              <w:adjustRightInd w:val="0"/>
              <w:spacing w:line="320" w:lineRule="atLeast"/>
              <w:ind w:left="60" w:right="60"/>
              <w:jc w:val="both"/>
              <w:rPr>
                <w:rFonts w:ascii="Arial" w:hAnsi="Arial" w:cs="Arial"/>
                <w:color w:val="010205"/>
                <w:sz w:val="18"/>
                <w:szCs w:val="18"/>
              </w:rPr>
            </w:pPr>
            <w:r w:rsidRPr="000763AE">
              <w:rPr>
                <w:rFonts w:ascii="Arial" w:hAnsi="Arial" w:cs="Arial"/>
                <w:color w:val="010205"/>
                <w:sz w:val="18"/>
                <w:szCs w:val="18"/>
              </w:rPr>
              <w:t>a. Variable(s) entered on step 1: Patient sex, Patient ethnicity - imputed, Patient race - imputed, Type of doctor (MD or DO), Type of practice (solo/</w:t>
            </w:r>
            <w:proofErr w:type="spellStart"/>
            <w:r w:rsidRPr="000763AE">
              <w:rPr>
                <w:rFonts w:ascii="Arial" w:hAnsi="Arial" w:cs="Arial"/>
                <w:color w:val="010205"/>
                <w:sz w:val="18"/>
                <w:szCs w:val="18"/>
              </w:rPr>
              <w:t>nonsolo</w:t>
            </w:r>
            <w:proofErr w:type="spellEnd"/>
            <w:r w:rsidRPr="000763AE">
              <w:rPr>
                <w:rFonts w:ascii="Arial" w:hAnsi="Arial" w:cs="Arial"/>
                <w:color w:val="010205"/>
                <w:sz w:val="18"/>
                <w:szCs w:val="18"/>
              </w:rPr>
              <w:t>), Region where majority of physician's sampled visits occurred, type of provider , Patient age by range, Type of payment , Time spent with physician by range , Diabetes education.</w:t>
            </w:r>
          </w:p>
        </w:tc>
      </w:tr>
    </w:tbl>
    <w:p w:rsidR="006E0406" w:rsidRPr="000763AE" w:rsidRDefault="006E0406" w:rsidP="006E0406">
      <w:pPr>
        <w:widowControl w:val="0"/>
        <w:autoSpaceDE w:val="0"/>
        <w:autoSpaceDN w:val="0"/>
        <w:adjustRightInd w:val="0"/>
        <w:spacing w:line="400" w:lineRule="atLeast"/>
        <w:jc w:val="both"/>
      </w:pPr>
    </w:p>
    <w:p w:rsidR="006E0406" w:rsidRPr="006E0406" w:rsidRDefault="006E0406" w:rsidP="006E0406">
      <w:pPr>
        <w:spacing w:after="200" w:line="276" w:lineRule="auto"/>
        <w:jc w:val="both"/>
      </w:pPr>
    </w:p>
    <w:p w:rsidR="00C85FD7" w:rsidRPr="000763AE" w:rsidRDefault="00C85FD7" w:rsidP="00C85FD7">
      <w:pPr>
        <w:spacing w:after="200" w:line="276" w:lineRule="auto"/>
        <w:rPr>
          <w:rFonts w:ascii="Calibri" w:eastAsia="Calibri" w:hAnsi="Calibri"/>
          <w:sz w:val="22"/>
          <w:szCs w:val="22"/>
        </w:rPr>
      </w:pPr>
    </w:p>
    <w:p w:rsidR="00C85FD7" w:rsidRDefault="00C85FD7" w:rsidP="007A7F2F">
      <w:pPr>
        <w:pStyle w:val="Default"/>
        <w:spacing w:after="27" w:line="480" w:lineRule="auto"/>
        <w:jc w:val="both"/>
      </w:pPr>
    </w:p>
    <w:sectPr w:rsidR="00C85FD7" w:rsidSect="00425428">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56CB" w:rsidRDefault="003756CB" w:rsidP="00BA0371">
      <w:r>
        <w:separator/>
      </w:r>
    </w:p>
  </w:endnote>
  <w:endnote w:type="continuationSeparator" w:id="0">
    <w:p w:rsidR="003756CB" w:rsidRDefault="003756CB" w:rsidP="00BA0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Publico">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98B" w:rsidRDefault="0003598B" w:rsidP="002F13E9">
    <w:pPr>
      <w:pStyle w:val="Footer"/>
      <w:tabs>
        <w:tab w:val="center" w:pos="4320"/>
        <w:tab w:val="right" w:pos="8640"/>
      </w:tabs>
    </w:pPr>
    <w:r>
      <w:tab/>
    </w:r>
    <w:r>
      <w:fldChar w:fldCharType="begin"/>
    </w:r>
    <w:r>
      <w:instrText xml:space="preserve"> PAGE   \* MERGEFORMAT </w:instrText>
    </w:r>
    <w:r>
      <w:fldChar w:fldCharType="separate"/>
    </w:r>
    <w:r w:rsidR="00391CBF">
      <w:rPr>
        <w:noProof/>
      </w:rPr>
      <w:t>1</w:t>
    </w:r>
    <w:r>
      <w:rPr>
        <w:noProof/>
      </w:rPr>
      <w:fldChar w:fldCharType="end"/>
    </w:r>
    <w:r>
      <w:rPr>
        <w:noProof/>
      </w:rPr>
      <w:tab/>
    </w:r>
    <w:r>
      <w:rPr>
        <w:noProof/>
      </w:rPr>
      <w:tab/>
    </w:r>
  </w:p>
  <w:p w:rsidR="0003598B" w:rsidRDefault="000359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56CB" w:rsidRDefault="003756CB" w:rsidP="00BA0371">
      <w:r>
        <w:separator/>
      </w:r>
    </w:p>
  </w:footnote>
  <w:footnote w:type="continuationSeparator" w:id="0">
    <w:p w:rsidR="003756CB" w:rsidRDefault="003756CB" w:rsidP="00BA0371">
      <w:r>
        <w:continuationSeparator/>
      </w:r>
    </w:p>
  </w:footnote>
  <w:footnote w:id="1">
    <w:p w:rsidR="0003598B" w:rsidRDefault="0003598B" w:rsidP="00C85FD7">
      <w:pPr>
        <w:pStyle w:val="FootnoteText"/>
      </w:pPr>
      <w:r>
        <w:rPr>
          <w:rStyle w:val="FootnoteReference"/>
        </w:rPr>
        <w:footnoteRef/>
      </w:r>
      <w:r>
        <w:t xml:space="preserve"> The list of states and the Census regions can be found at </w:t>
      </w:r>
      <w:hyperlink r:id="rId1" w:history="1">
        <w:r w:rsidRPr="00D85163">
          <w:rPr>
            <w:rStyle w:val="Hyperlink"/>
          </w:rPr>
          <w:t>https://www.cdc.gov/nchs/ahcd/datasets_documentation_related.htm</w:t>
        </w:r>
      </w:hyperlink>
      <w:r>
        <w:t xml:space="preserve">  </w:t>
      </w:r>
    </w:p>
    <w:p w:rsidR="0003598B" w:rsidRDefault="0003598B" w:rsidP="00C85FD7">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98B" w:rsidRDefault="0003598B">
    <w:pPr>
      <w:pStyle w:val="Header"/>
    </w:pPr>
    <w:r>
      <w:rPr>
        <w:noProof/>
      </w:rPr>
      <mc:AlternateContent>
        <mc:Choice Requires="wps">
          <w:drawing>
            <wp:anchor distT="0" distB="0" distL="114300" distR="114300" simplePos="0" relativeHeight="251658752" behindDoc="1" locked="0" layoutInCell="0" allowOverlap="1">
              <wp:simplePos x="0" y="0"/>
              <wp:positionH relativeFrom="margin">
                <wp:align>center</wp:align>
              </wp:positionH>
              <wp:positionV relativeFrom="margin">
                <wp:align>center</wp:align>
              </wp:positionV>
              <wp:extent cx="5486400" cy="731520"/>
              <wp:effectExtent l="0" t="0" r="0" b="0"/>
              <wp:wrapNone/>
              <wp:docPr id="24"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486400" cy="7315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03598B" w:rsidRDefault="0003598B" w:rsidP="000F5118">
                          <w:pPr>
                            <w:jc w:val="center"/>
                          </w:pPr>
                          <w:proofErr w:type="gramStart"/>
                          <w:r w:rsidRPr="000763AE">
                            <w:rPr>
                              <w:color w:val="C0C0C0"/>
                              <w:sz w:val="16"/>
                              <w:szCs w:val="16"/>
                            </w:rPr>
                            <w:t>de</w:t>
                          </w:r>
                          <w:proofErr w:type="gramEnd"/>
                          <w:r w:rsidRPr="000763AE">
                            <w:rPr>
                              <w:color w:val="C0C0C0"/>
                              <w:sz w:val="16"/>
                              <w:szCs w:val="16"/>
                            </w:rPr>
                            <w:t xml:space="preserve"> Leon 9.19.19</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4" o:spid="_x0000_s1038" type="#_x0000_t202" style="position:absolute;margin-left:0;margin-top:0;width:6in;height:57.6pt;z-index:-2516577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" o:allowincell="f" filled="f" stroked="f">
              <v:stroke joinstyle="round"/>
              <v:path arrowok="t"/>
              <v:textbox>
                <w:txbxContent>
                  <w:p w:rsidR="0003598B" w:rsidRDefault="0003598B" w:rsidP="000F5118">
                    <w:pPr>
                      <w:jc w:val="center"/>
                    </w:pPr>
                    <w:proofErr w:type="gramStart"/>
                    <w:r w:rsidRPr="000763AE">
                      <w:rPr>
                        <w:color w:val="C0C0C0"/>
                        <w:sz w:val="16"/>
                        <w:szCs w:val="16"/>
                      </w:rPr>
                      <w:t>de</w:t>
                    </w:r>
                    <w:proofErr w:type="gramEnd"/>
                    <w:r w:rsidRPr="000763AE">
                      <w:rPr>
                        <w:color w:val="C0C0C0"/>
                        <w:sz w:val="16"/>
                        <w:szCs w:val="16"/>
                      </w:rPr>
                      <w:t xml:space="preserve"> Leon 9.19.19</w:t>
                    </w:r>
                  </w:p>
                </w:txbxContent>
              </v:textbox>
              <w10:wrap anchorx="margin" anchory="margin"/>
            </v:shape>
          </w:pict>
        </mc:Fallback>
      </mc:AlternateContent>
    </w:r>
    <w:r>
      <w:rPr>
        <w:noProof/>
      </w:rPr>
      <mc:AlternateContent>
        <mc:Choice Requires="wps">
          <w:drawing>
            <wp:anchor distT="0" distB="0" distL="114300" distR="114300" simplePos="0" relativeHeight="251657728" behindDoc="1" locked="0" layoutInCell="0" allowOverlap="1">
              <wp:simplePos x="0" y="0"/>
              <wp:positionH relativeFrom="margin">
                <wp:align>center</wp:align>
              </wp:positionH>
              <wp:positionV relativeFrom="margin">
                <wp:align>center</wp:align>
              </wp:positionV>
              <wp:extent cx="5486400" cy="685800"/>
              <wp:effectExtent l="0" t="0" r="0" b="0"/>
              <wp:wrapNone/>
              <wp:docPr id="23"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486400" cy="68580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03598B" w:rsidRDefault="0003598B" w:rsidP="000F5118">
                          <w:pPr>
                            <w:jc w:val="center"/>
                          </w:pPr>
                          <w:proofErr w:type="gramStart"/>
                          <w:r w:rsidRPr="000763AE">
                            <w:rPr>
                              <w:color w:val="C0C0C0"/>
                              <w:sz w:val="16"/>
                              <w:szCs w:val="16"/>
                            </w:rPr>
                            <w:t>de</w:t>
                          </w:r>
                          <w:proofErr w:type="gramEnd"/>
                          <w:r w:rsidRPr="000763AE">
                            <w:rPr>
                              <w:color w:val="C0C0C0"/>
                              <w:sz w:val="16"/>
                              <w:szCs w:val="16"/>
                            </w:rPr>
                            <w:t xml:space="preserve"> Leon. 4.22.19</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 id="WordArt 2" o:spid="_x0000_s1039" type="#_x0000_t202" style="position:absolute;margin-left:0;margin-top:0;width:6in;height:54pt;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" o:allowincell="f" filled="f" stroked="f">
              <v:stroke joinstyle="round"/>
              <v:path arrowok="t"/>
              <v:textbox>
                <w:txbxContent>
                  <w:p w:rsidR="0003598B" w:rsidRDefault="0003598B" w:rsidP="000F5118">
                    <w:pPr>
                      <w:jc w:val="center"/>
                    </w:pPr>
                    <w:proofErr w:type="gramStart"/>
                    <w:r w:rsidRPr="000763AE">
                      <w:rPr>
                        <w:color w:val="C0C0C0"/>
                        <w:sz w:val="16"/>
                        <w:szCs w:val="16"/>
                      </w:rPr>
                      <w:t>de</w:t>
                    </w:r>
                    <w:proofErr w:type="gramEnd"/>
                    <w:r w:rsidRPr="000763AE">
                      <w:rPr>
                        <w:color w:val="C0C0C0"/>
                        <w:sz w:val="16"/>
                        <w:szCs w:val="16"/>
                      </w:rPr>
                      <w:t xml:space="preserve"> Leon. 4.22.19</w:t>
                    </w:r>
                  </w:p>
                </w:txbxContent>
              </v:textbox>
              <w10:wrap anchorx="margin" anchory="margin"/>
            </v:shape>
          </w:pict>
        </mc:Fallback>
      </mc:AlternateContent>
    </w:r>
    <w:r>
      <w:rPr>
        <w:noProof/>
      </w:rPr>
      <mc:AlternateContent>
        <mc:Choice Requires="wps">
          <w:drawing>
            <wp:anchor distT="0" distB="0" distL="114300" distR="114300" simplePos="0" relativeHeight="251656704" behindDoc="1" locked="0" layoutInCell="0" allowOverlap="1">
              <wp:simplePos x="0" y="0"/>
              <wp:positionH relativeFrom="margin">
                <wp:align>center</wp:align>
              </wp:positionH>
              <wp:positionV relativeFrom="margin">
                <wp:align>center</wp:align>
              </wp:positionV>
              <wp:extent cx="5486400" cy="731520"/>
              <wp:effectExtent l="0" t="0" r="0" b="0"/>
              <wp:wrapNone/>
              <wp:docPr id="4"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486400" cy="7315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03598B" w:rsidRDefault="0003598B" w:rsidP="00D0049B">
                          <w:pPr>
                            <w:pStyle w:val="NormalWeb"/>
                            <w:spacing w:before="0" w:beforeAutospacing="0" w:after="0" w:afterAutospacing="0"/>
                            <w:jc w:val="center"/>
                          </w:pPr>
                          <w:r>
                            <w:rPr>
                              <w:color w:val="C0C0C0"/>
                              <w:sz w:val="2"/>
                              <w:szCs w:val="2"/>
                            </w:rPr>
                            <w:t>De Leon 9.12.18</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5" o:spid="_x0000_s1040" type="#_x0000_t202" style="position:absolute;margin-left:0;margin-top:0;width:6in;height:57.6pt;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" o:allowincell="f" filled="f" stroked="f">
              <v:stroke joinstyle="round"/>
              <o:lock v:ext="edit" shapetype="t"/>
              <v:textbox style="mso-fit-shape-to-text:t">
                <w:txbxContent>
                  <w:p w:rsidR="0003598B" w:rsidRDefault="0003598B" w:rsidP="00D0049B">
                    <w:pPr>
                      <w:pStyle w:val="NormalWeb"/>
                      <w:spacing w:before="0" w:beforeAutospacing="0" w:after="0" w:afterAutospacing="0"/>
                      <w:jc w:val="center"/>
                    </w:pPr>
                    <w:r>
                      <w:rPr>
                        <w:color w:val="C0C0C0"/>
                        <w:sz w:val="2"/>
                        <w:szCs w:val="2"/>
                      </w:rPr>
                      <w:t>De Leon 9.12.18</w:t>
                    </w:r>
                  </w:p>
                </w:txbxContent>
              </v:textbox>
              <w10:wrap anchorx="margin" anchory="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134BD"/>
    <w:multiLevelType w:val="multilevel"/>
    <w:tmpl w:val="B23C4A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6EF76D9"/>
    <w:multiLevelType w:val="hybridMultilevel"/>
    <w:tmpl w:val="607003AC"/>
    <w:lvl w:ilvl="0" w:tplc="DD70CAA2">
      <w:start w:val="1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B651BDA"/>
    <w:multiLevelType w:val="hybridMultilevel"/>
    <w:tmpl w:val="4390400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C360561"/>
    <w:multiLevelType w:val="hybridMultilevel"/>
    <w:tmpl w:val="E7EE3C02"/>
    <w:lvl w:ilvl="0" w:tplc="D2409874">
      <w:start w:val="1"/>
      <w:numFmt w:val="decimal"/>
      <w:lvlText w:val="%1."/>
      <w:lvlJc w:val="left"/>
      <w:pPr>
        <w:ind w:left="360" w:hanging="360"/>
      </w:pPr>
      <w:rPr>
        <w:rFonts w:ascii="Times New Roman" w:eastAsia="Calibri" w:hAnsi="Times New Roman" w:cs="Times New Roman"/>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FCC0793"/>
    <w:multiLevelType w:val="multilevel"/>
    <w:tmpl w:val="618CD554"/>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5">
    <w:nsid w:val="24E93B11"/>
    <w:multiLevelType w:val="hybridMultilevel"/>
    <w:tmpl w:val="9AC04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7EC1C65"/>
    <w:multiLevelType w:val="hybridMultilevel"/>
    <w:tmpl w:val="246A44A4"/>
    <w:lvl w:ilvl="0" w:tplc="AFDC3010">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4219756F"/>
    <w:multiLevelType w:val="hybridMultilevel"/>
    <w:tmpl w:val="EB9440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436259B9"/>
    <w:multiLevelType w:val="hybridMultilevel"/>
    <w:tmpl w:val="E67A5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6FE316F"/>
    <w:multiLevelType w:val="multilevel"/>
    <w:tmpl w:val="B23C4A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7026650"/>
    <w:multiLevelType w:val="hybridMultilevel"/>
    <w:tmpl w:val="7390E2E8"/>
    <w:lvl w:ilvl="0" w:tplc="86946352">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25D1171"/>
    <w:multiLevelType w:val="hybridMultilevel"/>
    <w:tmpl w:val="7B12DB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A836FA2"/>
    <w:multiLevelType w:val="hybridMultilevel"/>
    <w:tmpl w:val="BF56DC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16A5047"/>
    <w:multiLevelType w:val="multilevel"/>
    <w:tmpl w:val="B23C4A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7"/>
  </w:num>
  <w:num w:numId="3">
    <w:abstractNumId w:val="3"/>
  </w:num>
  <w:num w:numId="4">
    <w:abstractNumId w:val="11"/>
  </w:num>
  <w:num w:numId="5">
    <w:abstractNumId w:val="12"/>
  </w:num>
  <w:num w:numId="6">
    <w:abstractNumId w:val="8"/>
  </w:num>
  <w:num w:numId="7">
    <w:abstractNumId w:val="1"/>
  </w:num>
  <w:num w:numId="8">
    <w:abstractNumId w:val="0"/>
  </w:num>
  <w:num w:numId="9">
    <w:abstractNumId w:val="9"/>
  </w:num>
  <w:num w:numId="10">
    <w:abstractNumId w:val="13"/>
  </w:num>
  <w:num w:numId="11">
    <w:abstractNumId w:val="2"/>
  </w:num>
  <w:num w:numId="12">
    <w:abstractNumId w:val="6"/>
  </w:num>
  <w:num w:numId="13">
    <w:abstractNumId w:val="10"/>
  </w:num>
  <w:num w:numId="14">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A2B"/>
    <w:rsid w:val="00001269"/>
    <w:rsid w:val="0000169C"/>
    <w:rsid w:val="000018E4"/>
    <w:rsid w:val="00001941"/>
    <w:rsid w:val="000025E8"/>
    <w:rsid w:val="00003043"/>
    <w:rsid w:val="000033F1"/>
    <w:rsid w:val="00003415"/>
    <w:rsid w:val="0000366A"/>
    <w:rsid w:val="000038D5"/>
    <w:rsid w:val="00003A6C"/>
    <w:rsid w:val="00003F6B"/>
    <w:rsid w:val="0000403C"/>
    <w:rsid w:val="00004F02"/>
    <w:rsid w:val="0000559B"/>
    <w:rsid w:val="00005636"/>
    <w:rsid w:val="00005FAB"/>
    <w:rsid w:val="00006229"/>
    <w:rsid w:val="000067F7"/>
    <w:rsid w:val="00006922"/>
    <w:rsid w:val="00006E9D"/>
    <w:rsid w:val="00007116"/>
    <w:rsid w:val="000074E7"/>
    <w:rsid w:val="00007DCE"/>
    <w:rsid w:val="0001037B"/>
    <w:rsid w:val="000106AA"/>
    <w:rsid w:val="00010E59"/>
    <w:rsid w:val="00011382"/>
    <w:rsid w:val="0001148A"/>
    <w:rsid w:val="00011865"/>
    <w:rsid w:val="000128AC"/>
    <w:rsid w:val="00013034"/>
    <w:rsid w:val="00013674"/>
    <w:rsid w:val="000138A7"/>
    <w:rsid w:val="00013BD1"/>
    <w:rsid w:val="00013E6B"/>
    <w:rsid w:val="00014DBC"/>
    <w:rsid w:val="00014F59"/>
    <w:rsid w:val="00014F5D"/>
    <w:rsid w:val="00015267"/>
    <w:rsid w:val="0001535A"/>
    <w:rsid w:val="000168EF"/>
    <w:rsid w:val="00020894"/>
    <w:rsid w:val="00020BF8"/>
    <w:rsid w:val="00021223"/>
    <w:rsid w:val="00021924"/>
    <w:rsid w:val="00023C8F"/>
    <w:rsid w:val="00023FAD"/>
    <w:rsid w:val="000247C3"/>
    <w:rsid w:val="00024A98"/>
    <w:rsid w:val="00025159"/>
    <w:rsid w:val="000257B1"/>
    <w:rsid w:val="000258CD"/>
    <w:rsid w:val="00026204"/>
    <w:rsid w:val="000266E1"/>
    <w:rsid w:val="00026E13"/>
    <w:rsid w:val="00026F13"/>
    <w:rsid w:val="000272D1"/>
    <w:rsid w:val="000305BF"/>
    <w:rsid w:val="00030DB8"/>
    <w:rsid w:val="00031DF2"/>
    <w:rsid w:val="00031E2D"/>
    <w:rsid w:val="00032C40"/>
    <w:rsid w:val="00033547"/>
    <w:rsid w:val="00033D2A"/>
    <w:rsid w:val="000340E1"/>
    <w:rsid w:val="00034846"/>
    <w:rsid w:val="000350DA"/>
    <w:rsid w:val="0003598B"/>
    <w:rsid w:val="00035D43"/>
    <w:rsid w:val="000365EC"/>
    <w:rsid w:val="00036CEA"/>
    <w:rsid w:val="000370F0"/>
    <w:rsid w:val="000376B4"/>
    <w:rsid w:val="00037906"/>
    <w:rsid w:val="00037B0F"/>
    <w:rsid w:val="0004007F"/>
    <w:rsid w:val="00040339"/>
    <w:rsid w:val="000403FB"/>
    <w:rsid w:val="00041035"/>
    <w:rsid w:val="00041483"/>
    <w:rsid w:val="000415A8"/>
    <w:rsid w:val="000417EA"/>
    <w:rsid w:val="00041826"/>
    <w:rsid w:val="000418BA"/>
    <w:rsid w:val="00041D06"/>
    <w:rsid w:val="00041F11"/>
    <w:rsid w:val="00042051"/>
    <w:rsid w:val="00042163"/>
    <w:rsid w:val="00042186"/>
    <w:rsid w:val="00042A58"/>
    <w:rsid w:val="00042BD3"/>
    <w:rsid w:val="00042E7F"/>
    <w:rsid w:val="00042FBC"/>
    <w:rsid w:val="000436A5"/>
    <w:rsid w:val="000444A4"/>
    <w:rsid w:val="000444F0"/>
    <w:rsid w:val="00044573"/>
    <w:rsid w:val="0004459A"/>
    <w:rsid w:val="000447F2"/>
    <w:rsid w:val="000451CA"/>
    <w:rsid w:val="00045B11"/>
    <w:rsid w:val="000461D9"/>
    <w:rsid w:val="00046566"/>
    <w:rsid w:val="00046B0A"/>
    <w:rsid w:val="00046D9D"/>
    <w:rsid w:val="00047210"/>
    <w:rsid w:val="000477C2"/>
    <w:rsid w:val="00047AE1"/>
    <w:rsid w:val="00050905"/>
    <w:rsid w:val="00050B6C"/>
    <w:rsid w:val="00051399"/>
    <w:rsid w:val="000528BA"/>
    <w:rsid w:val="000534A5"/>
    <w:rsid w:val="00054B4F"/>
    <w:rsid w:val="00054D77"/>
    <w:rsid w:val="0005528D"/>
    <w:rsid w:val="000555C4"/>
    <w:rsid w:val="00055863"/>
    <w:rsid w:val="00055BBE"/>
    <w:rsid w:val="00056260"/>
    <w:rsid w:val="00056BCC"/>
    <w:rsid w:val="000573B4"/>
    <w:rsid w:val="00057598"/>
    <w:rsid w:val="000579B1"/>
    <w:rsid w:val="00060128"/>
    <w:rsid w:val="00060850"/>
    <w:rsid w:val="00060BFB"/>
    <w:rsid w:val="00060F65"/>
    <w:rsid w:val="000615F3"/>
    <w:rsid w:val="00062165"/>
    <w:rsid w:val="000626AF"/>
    <w:rsid w:val="000627F2"/>
    <w:rsid w:val="000630A9"/>
    <w:rsid w:val="000631B7"/>
    <w:rsid w:val="000634E8"/>
    <w:rsid w:val="000636EF"/>
    <w:rsid w:val="0006376A"/>
    <w:rsid w:val="00064575"/>
    <w:rsid w:val="00064FD4"/>
    <w:rsid w:val="00065B77"/>
    <w:rsid w:val="00065C34"/>
    <w:rsid w:val="000667AB"/>
    <w:rsid w:val="00070378"/>
    <w:rsid w:val="000705B8"/>
    <w:rsid w:val="0007064D"/>
    <w:rsid w:val="00070AC8"/>
    <w:rsid w:val="00070F18"/>
    <w:rsid w:val="00070F2B"/>
    <w:rsid w:val="00070F44"/>
    <w:rsid w:val="00071222"/>
    <w:rsid w:val="000714C8"/>
    <w:rsid w:val="00071EAA"/>
    <w:rsid w:val="00073A0A"/>
    <w:rsid w:val="00075D1B"/>
    <w:rsid w:val="000761B9"/>
    <w:rsid w:val="0007625F"/>
    <w:rsid w:val="000763AE"/>
    <w:rsid w:val="00076891"/>
    <w:rsid w:val="000773F4"/>
    <w:rsid w:val="000774F3"/>
    <w:rsid w:val="00077533"/>
    <w:rsid w:val="00080491"/>
    <w:rsid w:val="00080776"/>
    <w:rsid w:val="0008131E"/>
    <w:rsid w:val="0008229B"/>
    <w:rsid w:val="000828C6"/>
    <w:rsid w:val="0008295E"/>
    <w:rsid w:val="00082ADC"/>
    <w:rsid w:val="00082D29"/>
    <w:rsid w:val="00082E9B"/>
    <w:rsid w:val="00083346"/>
    <w:rsid w:val="000834B4"/>
    <w:rsid w:val="000837F2"/>
    <w:rsid w:val="00083A8D"/>
    <w:rsid w:val="000843A5"/>
    <w:rsid w:val="0008452A"/>
    <w:rsid w:val="00084B33"/>
    <w:rsid w:val="00084F5F"/>
    <w:rsid w:val="0008563B"/>
    <w:rsid w:val="00085654"/>
    <w:rsid w:val="000859BB"/>
    <w:rsid w:val="00085D93"/>
    <w:rsid w:val="00085E2C"/>
    <w:rsid w:val="00086068"/>
    <w:rsid w:val="000868A4"/>
    <w:rsid w:val="0008693B"/>
    <w:rsid w:val="00086AF0"/>
    <w:rsid w:val="00086F51"/>
    <w:rsid w:val="0008759F"/>
    <w:rsid w:val="00087B2F"/>
    <w:rsid w:val="00090CB4"/>
    <w:rsid w:val="00091174"/>
    <w:rsid w:val="0009171C"/>
    <w:rsid w:val="000919DB"/>
    <w:rsid w:val="00091CCE"/>
    <w:rsid w:val="000929DD"/>
    <w:rsid w:val="00092D5C"/>
    <w:rsid w:val="00093545"/>
    <w:rsid w:val="00093E2E"/>
    <w:rsid w:val="00093F8A"/>
    <w:rsid w:val="00094869"/>
    <w:rsid w:val="00094E17"/>
    <w:rsid w:val="00095145"/>
    <w:rsid w:val="000954F8"/>
    <w:rsid w:val="00095BCE"/>
    <w:rsid w:val="00096672"/>
    <w:rsid w:val="0009703D"/>
    <w:rsid w:val="000978E1"/>
    <w:rsid w:val="000979E7"/>
    <w:rsid w:val="000A0300"/>
    <w:rsid w:val="000A05AC"/>
    <w:rsid w:val="000A0935"/>
    <w:rsid w:val="000A09DC"/>
    <w:rsid w:val="000A115B"/>
    <w:rsid w:val="000A1300"/>
    <w:rsid w:val="000A16EF"/>
    <w:rsid w:val="000A1C9B"/>
    <w:rsid w:val="000A25D9"/>
    <w:rsid w:val="000A282F"/>
    <w:rsid w:val="000A2950"/>
    <w:rsid w:val="000A354C"/>
    <w:rsid w:val="000A35B6"/>
    <w:rsid w:val="000A3DE6"/>
    <w:rsid w:val="000A3F95"/>
    <w:rsid w:val="000A4F9E"/>
    <w:rsid w:val="000A5AE4"/>
    <w:rsid w:val="000A6098"/>
    <w:rsid w:val="000A68BF"/>
    <w:rsid w:val="000A71E9"/>
    <w:rsid w:val="000A7D5A"/>
    <w:rsid w:val="000B14BC"/>
    <w:rsid w:val="000B24FE"/>
    <w:rsid w:val="000B2685"/>
    <w:rsid w:val="000B2A0B"/>
    <w:rsid w:val="000B2BC9"/>
    <w:rsid w:val="000B3395"/>
    <w:rsid w:val="000B3B2E"/>
    <w:rsid w:val="000B4265"/>
    <w:rsid w:val="000B43F3"/>
    <w:rsid w:val="000B5CAA"/>
    <w:rsid w:val="000B5E36"/>
    <w:rsid w:val="000B6226"/>
    <w:rsid w:val="000B6530"/>
    <w:rsid w:val="000B6825"/>
    <w:rsid w:val="000B6849"/>
    <w:rsid w:val="000B6B36"/>
    <w:rsid w:val="000B6F3D"/>
    <w:rsid w:val="000B71F3"/>
    <w:rsid w:val="000B79C1"/>
    <w:rsid w:val="000B7B08"/>
    <w:rsid w:val="000C00AA"/>
    <w:rsid w:val="000C0D7F"/>
    <w:rsid w:val="000C0EB9"/>
    <w:rsid w:val="000C1068"/>
    <w:rsid w:val="000C11DE"/>
    <w:rsid w:val="000C1223"/>
    <w:rsid w:val="000C18A5"/>
    <w:rsid w:val="000C2284"/>
    <w:rsid w:val="000C37D1"/>
    <w:rsid w:val="000C37F2"/>
    <w:rsid w:val="000C4BF6"/>
    <w:rsid w:val="000C55F0"/>
    <w:rsid w:val="000C5643"/>
    <w:rsid w:val="000C5731"/>
    <w:rsid w:val="000C5C23"/>
    <w:rsid w:val="000C5DAB"/>
    <w:rsid w:val="000C6BB3"/>
    <w:rsid w:val="000C6D47"/>
    <w:rsid w:val="000C6F75"/>
    <w:rsid w:val="000C738F"/>
    <w:rsid w:val="000C777F"/>
    <w:rsid w:val="000C7B26"/>
    <w:rsid w:val="000D084E"/>
    <w:rsid w:val="000D14DE"/>
    <w:rsid w:val="000D151A"/>
    <w:rsid w:val="000D1679"/>
    <w:rsid w:val="000D1A87"/>
    <w:rsid w:val="000D1F19"/>
    <w:rsid w:val="000D283B"/>
    <w:rsid w:val="000D2B16"/>
    <w:rsid w:val="000D4A77"/>
    <w:rsid w:val="000D5534"/>
    <w:rsid w:val="000D575B"/>
    <w:rsid w:val="000D608E"/>
    <w:rsid w:val="000D6875"/>
    <w:rsid w:val="000D7E87"/>
    <w:rsid w:val="000E0175"/>
    <w:rsid w:val="000E02AE"/>
    <w:rsid w:val="000E042E"/>
    <w:rsid w:val="000E0946"/>
    <w:rsid w:val="000E1269"/>
    <w:rsid w:val="000E1DD3"/>
    <w:rsid w:val="000E1FDE"/>
    <w:rsid w:val="000E2222"/>
    <w:rsid w:val="000E24D2"/>
    <w:rsid w:val="000E2BDC"/>
    <w:rsid w:val="000E2FB0"/>
    <w:rsid w:val="000E31D7"/>
    <w:rsid w:val="000E356A"/>
    <w:rsid w:val="000E3F00"/>
    <w:rsid w:val="000E41BF"/>
    <w:rsid w:val="000E4378"/>
    <w:rsid w:val="000E43A9"/>
    <w:rsid w:val="000E454D"/>
    <w:rsid w:val="000E4E8D"/>
    <w:rsid w:val="000E4F50"/>
    <w:rsid w:val="000E55F2"/>
    <w:rsid w:val="000E56E0"/>
    <w:rsid w:val="000E5821"/>
    <w:rsid w:val="000E606B"/>
    <w:rsid w:val="000E6170"/>
    <w:rsid w:val="000E64B7"/>
    <w:rsid w:val="000E67CE"/>
    <w:rsid w:val="000E6842"/>
    <w:rsid w:val="000E6DDE"/>
    <w:rsid w:val="000E711C"/>
    <w:rsid w:val="000E7EAC"/>
    <w:rsid w:val="000F0A6E"/>
    <w:rsid w:val="000F30EB"/>
    <w:rsid w:val="000F3277"/>
    <w:rsid w:val="000F32E2"/>
    <w:rsid w:val="000F3573"/>
    <w:rsid w:val="000F3BBD"/>
    <w:rsid w:val="000F3D96"/>
    <w:rsid w:val="000F40E1"/>
    <w:rsid w:val="000F41E2"/>
    <w:rsid w:val="000F427D"/>
    <w:rsid w:val="000F4A4B"/>
    <w:rsid w:val="000F5118"/>
    <w:rsid w:val="000F56FB"/>
    <w:rsid w:val="000F61B8"/>
    <w:rsid w:val="000F65B9"/>
    <w:rsid w:val="000F672A"/>
    <w:rsid w:val="000F6D1C"/>
    <w:rsid w:val="000F6ED4"/>
    <w:rsid w:val="000F7521"/>
    <w:rsid w:val="00100270"/>
    <w:rsid w:val="00100599"/>
    <w:rsid w:val="001006D9"/>
    <w:rsid w:val="00100B34"/>
    <w:rsid w:val="001018A8"/>
    <w:rsid w:val="00101F4F"/>
    <w:rsid w:val="00102FE0"/>
    <w:rsid w:val="0010310B"/>
    <w:rsid w:val="001034CA"/>
    <w:rsid w:val="00103781"/>
    <w:rsid w:val="0010430B"/>
    <w:rsid w:val="0010438A"/>
    <w:rsid w:val="00104893"/>
    <w:rsid w:val="00105D0F"/>
    <w:rsid w:val="00106C22"/>
    <w:rsid w:val="00106CBD"/>
    <w:rsid w:val="00106F47"/>
    <w:rsid w:val="001076C0"/>
    <w:rsid w:val="0011069C"/>
    <w:rsid w:val="00110ED2"/>
    <w:rsid w:val="001111E1"/>
    <w:rsid w:val="00111F72"/>
    <w:rsid w:val="001121CB"/>
    <w:rsid w:val="0011245B"/>
    <w:rsid w:val="00112756"/>
    <w:rsid w:val="00114442"/>
    <w:rsid w:val="0011499B"/>
    <w:rsid w:val="00114A18"/>
    <w:rsid w:val="00115ACA"/>
    <w:rsid w:val="00115B4C"/>
    <w:rsid w:val="00115C6E"/>
    <w:rsid w:val="00116206"/>
    <w:rsid w:val="00116566"/>
    <w:rsid w:val="00117924"/>
    <w:rsid w:val="0012017D"/>
    <w:rsid w:val="001210D4"/>
    <w:rsid w:val="00121965"/>
    <w:rsid w:val="00121B00"/>
    <w:rsid w:val="00122114"/>
    <w:rsid w:val="00122763"/>
    <w:rsid w:val="00122808"/>
    <w:rsid w:val="001229D4"/>
    <w:rsid w:val="00122A11"/>
    <w:rsid w:val="00122A4B"/>
    <w:rsid w:val="00122B01"/>
    <w:rsid w:val="00122EA6"/>
    <w:rsid w:val="00122F65"/>
    <w:rsid w:val="00123DBA"/>
    <w:rsid w:val="001245F8"/>
    <w:rsid w:val="0012471C"/>
    <w:rsid w:val="00124995"/>
    <w:rsid w:val="00125282"/>
    <w:rsid w:val="001253B6"/>
    <w:rsid w:val="0012555B"/>
    <w:rsid w:val="00125BCB"/>
    <w:rsid w:val="00125C40"/>
    <w:rsid w:val="00126229"/>
    <w:rsid w:val="00126992"/>
    <w:rsid w:val="00127A5E"/>
    <w:rsid w:val="00127EA4"/>
    <w:rsid w:val="001301F7"/>
    <w:rsid w:val="00130899"/>
    <w:rsid w:val="00130B46"/>
    <w:rsid w:val="00130C82"/>
    <w:rsid w:val="001322D0"/>
    <w:rsid w:val="00132C37"/>
    <w:rsid w:val="00132FF2"/>
    <w:rsid w:val="00133505"/>
    <w:rsid w:val="001341F9"/>
    <w:rsid w:val="001347D6"/>
    <w:rsid w:val="00134CDA"/>
    <w:rsid w:val="00135EC2"/>
    <w:rsid w:val="00136338"/>
    <w:rsid w:val="001364F6"/>
    <w:rsid w:val="00136605"/>
    <w:rsid w:val="0013682A"/>
    <w:rsid w:val="00137405"/>
    <w:rsid w:val="0013786A"/>
    <w:rsid w:val="00137A46"/>
    <w:rsid w:val="001413F9"/>
    <w:rsid w:val="00141479"/>
    <w:rsid w:val="00141694"/>
    <w:rsid w:val="00141772"/>
    <w:rsid w:val="00142232"/>
    <w:rsid w:val="0014287B"/>
    <w:rsid w:val="001433AE"/>
    <w:rsid w:val="001435EA"/>
    <w:rsid w:val="0014462F"/>
    <w:rsid w:val="00145077"/>
    <w:rsid w:val="00145BBB"/>
    <w:rsid w:val="00145D3B"/>
    <w:rsid w:val="00146E69"/>
    <w:rsid w:val="00147175"/>
    <w:rsid w:val="0014762E"/>
    <w:rsid w:val="00147AF6"/>
    <w:rsid w:val="0015097A"/>
    <w:rsid w:val="00151330"/>
    <w:rsid w:val="00151654"/>
    <w:rsid w:val="00151B2F"/>
    <w:rsid w:val="00151D3B"/>
    <w:rsid w:val="00152550"/>
    <w:rsid w:val="00153840"/>
    <w:rsid w:val="00154ED5"/>
    <w:rsid w:val="00154FC1"/>
    <w:rsid w:val="0015530D"/>
    <w:rsid w:val="001553C4"/>
    <w:rsid w:val="00155B5E"/>
    <w:rsid w:val="00156C38"/>
    <w:rsid w:val="0015779D"/>
    <w:rsid w:val="00160D6D"/>
    <w:rsid w:val="00161273"/>
    <w:rsid w:val="0016174A"/>
    <w:rsid w:val="00161760"/>
    <w:rsid w:val="001618BF"/>
    <w:rsid w:val="00162005"/>
    <w:rsid w:val="0016204E"/>
    <w:rsid w:val="001624E5"/>
    <w:rsid w:val="00162554"/>
    <w:rsid w:val="00162B1D"/>
    <w:rsid w:val="00162B37"/>
    <w:rsid w:val="0016315F"/>
    <w:rsid w:val="00163366"/>
    <w:rsid w:val="001634E1"/>
    <w:rsid w:val="00165356"/>
    <w:rsid w:val="00165558"/>
    <w:rsid w:val="00165E53"/>
    <w:rsid w:val="001669DF"/>
    <w:rsid w:val="00166BE7"/>
    <w:rsid w:val="00167BE3"/>
    <w:rsid w:val="0017128B"/>
    <w:rsid w:val="001713E0"/>
    <w:rsid w:val="0017255C"/>
    <w:rsid w:val="00172774"/>
    <w:rsid w:val="00173777"/>
    <w:rsid w:val="00173D44"/>
    <w:rsid w:val="00174D2F"/>
    <w:rsid w:val="0017533C"/>
    <w:rsid w:val="00175A35"/>
    <w:rsid w:val="00175DDE"/>
    <w:rsid w:val="001761C8"/>
    <w:rsid w:val="0017648A"/>
    <w:rsid w:val="0017675C"/>
    <w:rsid w:val="00176BC3"/>
    <w:rsid w:val="001778C3"/>
    <w:rsid w:val="001802A6"/>
    <w:rsid w:val="00180FFE"/>
    <w:rsid w:val="00181806"/>
    <w:rsid w:val="00181D45"/>
    <w:rsid w:val="00181E8D"/>
    <w:rsid w:val="00181E93"/>
    <w:rsid w:val="001826CF"/>
    <w:rsid w:val="00183AC0"/>
    <w:rsid w:val="00183EA2"/>
    <w:rsid w:val="0018473E"/>
    <w:rsid w:val="001848BC"/>
    <w:rsid w:val="00184F24"/>
    <w:rsid w:val="00185006"/>
    <w:rsid w:val="0018553D"/>
    <w:rsid w:val="00185F16"/>
    <w:rsid w:val="00185F43"/>
    <w:rsid w:val="00186522"/>
    <w:rsid w:val="00186C60"/>
    <w:rsid w:val="001870A0"/>
    <w:rsid w:val="00187979"/>
    <w:rsid w:val="00190435"/>
    <w:rsid w:val="00190825"/>
    <w:rsid w:val="00190916"/>
    <w:rsid w:val="00190CFD"/>
    <w:rsid w:val="0019147A"/>
    <w:rsid w:val="00191669"/>
    <w:rsid w:val="00191744"/>
    <w:rsid w:val="00192A2B"/>
    <w:rsid w:val="00192AB9"/>
    <w:rsid w:val="00193797"/>
    <w:rsid w:val="0019392B"/>
    <w:rsid w:val="0019439C"/>
    <w:rsid w:val="001943A7"/>
    <w:rsid w:val="00194441"/>
    <w:rsid w:val="00194563"/>
    <w:rsid w:val="001946C8"/>
    <w:rsid w:val="001959B3"/>
    <w:rsid w:val="001966A2"/>
    <w:rsid w:val="001974FC"/>
    <w:rsid w:val="00197F2D"/>
    <w:rsid w:val="00197FF9"/>
    <w:rsid w:val="001A0428"/>
    <w:rsid w:val="001A05F1"/>
    <w:rsid w:val="001A3329"/>
    <w:rsid w:val="001A3619"/>
    <w:rsid w:val="001A5B04"/>
    <w:rsid w:val="001A6508"/>
    <w:rsid w:val="001A653A"/>
    <w:rsid w:val="001A6D51"/>
    <w:rsid w:val="001A7203"/>
    <w:rsid w:val="001A7285"/>
    <w:rsid w:val="001A7775"/>
    <w:rsid w:val="001B0854"/>
    <w:rsid w:val="001B0CFD"/>
    <w:rsid w:val="001B13C9"/>
    <w:rsid w:val="001B2F43"/>
    <w:rsid w:val="001B31CA"/>
    <w:rsid w:val="001B334F"/>
    <w:rsid w:val="001B34DF"/>
    <w:rsid w:val="001B3784"/>
    <w:rsid w:val="001B37EF"/>
    <w:rsid w:val="001B3928"/>
    <w:rsid w:val="001B42BA"/>
    <w:rsid w:val="001B4C7C"/>
    <w:rsid w:val="001B4E0C"/>
    <w:rsid w:val="001B5603"/>
    <w:rsid w:val="001B6360"/>
    <w:rsid w:val="001B69E0"/>
    <w:rsid w:val="001B6E6B"/>
    <w:rsid w:val="001B6EB9"/>
    <w:rsid w:val="001B78D5"/>
    <w:rsid w:val="001B7EAF"/>
    <w:rsid w:val="001C0688"/>
    <w:rsid w:val="001C149F"/>
    <w:rsid w:val="001C1544"/>
    <w:rsid w:val="001C17C2"/>
    <w:rsid w:val="001C1B83"/>
    <w:rsid w:val="001C230A"/>
    <w:rsid w:val="001C279D"/>
    <w:rsid w:val="001C4427"/>
    <w:rsid w:val="001C4F7D"/>
    <w:rsid w:val="001C507A"/>
    <w:rsid w:val="001C5525"/>
    <w:rsid w:val="001C5955"/>
    <w:rsid w:val="001C5C52"/>
    <w:rsid w:val="001C683A"/>
    <w:rsid w:val="001C756A"/>
    <w:rsid w:val="001C7821"/>
    <w:rsid w:val="001C7A33"/>
    <w:rsid w:val="001C7FA4"/>
    <w:rsid w:val="001D00BC"/>
    <w:rsid w:val="001D12D5"/>
    <w:rsid w:val="001D13E7"/>
    <w:rsid w:val="001D1583"/>
    <w:rsid w:val="001D1AD7"/>
    <w:rsid w:val="001D3220"/>
    <w:rsid w:val="001D4146"/>
    <w:rsid w:val="001D465E"/>
    <w:rsid w:val="001D4778"/>
    <w:rsid w:val="001D4A35"/>
    <w:rsid w:val="001D4BF9"/>
    <w:rsid w:val="001D5F07"/>
    <w:rsid w:val="001D6765"/>
    <w:rsid w:val="001D7A5F"/>
    <w:rsid w:val="001E0267"/>
    <w:rsid w:val="001E07AE"/>
    <w:rsid w:val="001E0F7C"/>
    <w:rsid w:val="001E14AF"/>
    <w:rsid w:val="001E15BB"/>
    <w:rsid w:val="001E36A2"/>
    <w:rsid w:val="001E40AC"/>
    <w:rsid w:val="001E4922"/>
    <w:rsid w:val="001E4C45"/>
    <w:rsid w:val="001E4D19"/>
    <w:rsid w:val="001E4D71"/>
    <w:rsid w:val="001E55C7"/>
    <w:rsid w:val="001E580E"/>
    <w:rsid w:val="001E5CF0"/>
    <w:rsid w:val="001E64EE"/>
    <w:rsid w:val="001E6FF9"/>
    <w:rsid w:val="001E7BDA"/>
    <w:rsid w:val="001E7FC8"/>
    <w:rsid w:val="001F03AD"/>
    <w:rsid w:val="001F0570"/>
    <w:rsid w:val="001F0753"/>
    <w:rsid w:val="001F2E60"/>
    <w:rsid w:val="001F3849"/>
    <w:rsid w:val="001F3A69"/>
    <w:rsid w:val="001F3D19"/>
    <w:rsid w:val="001F4087"/>
    <w:rsid w:val="001F40F8"/>
    <w:rsid w:val="001F42C3"/>
    <w:rsid w:val="001F4EEA"/>
    <w:rsid w:val="001F514F"/>
    <w:rsid w:val="001F55BC"/>
    <w:rsid w:val="001F662C"/>
    <w:rsid w:val="001F681C"/>
    <w:rsid w:val="0020068D"/>
    <w:rsid w:val="00200901"/>
    <w:rsid w:val="0020168A"/>
    <w:rsid w:val="00201B9A"/>
    <w:rsid w:val="00201C38"/>
    <w:rsid w:val="0020245E"/>
    <w:rsid w:val="00202716"/>
    <w:rsid w:val="00203730"/>
    <w:rsid w:val="00204207"/>
    <w:rsid w:val="00204811"/>
    <w:rsid w:val="002049C5"/>
    <w:rsid w:val="00206C44"/>
    <w:rsid w:val="0020742F"/>
    <w:rsid w:val="00207913"/>
    <w:rsid w:val="00210080"/>
    <w:rsid w:val="00212136"/>
    <w:rsid w:val="00212BC3"/>
    <w:rsid w:val="0021344A"/>
    <w:rsid w:val="0021425A"/>
    <w:rsid w:val="00214473"/>
    <w:rsid w:val="00214593"/>
    <w:rsid w:val="00214A6A"/>
    <w:rsid w:val="002158CD"/>
    <w:rsid w:val="00216354"/>
    <w:rsid w:val="002164EE"/>
    <w:rsid w:val="00216711"/>
    <w:rsid w:val="00216A06"/>
    <w:rsid w:val="00216D59"/>
    <w:rsid w:val="00216F65"/>
    <w:rsid w:val="00217C54"/>
    <w:rsid w:val="00217F98"/>
    <w:rsid w:val="002201CF"/>
    <w:rsid w:val="00220736"/>
    <w:rsid w:val="00220AED"/>
    <w:rsid w:val="002221F7"/>
    <w:rsid w:val="002228E9"/>
    <w:rsid w:val="00222CA6"/>
    <w:rsid w:val="00223070"/>
    <w:rsid w:val="002238AF"/>
    <w:rsid w:val="00224398"/>
    <w:rsid w:val="00225345"/>
    <w:rsid w:val="00225387"/>
    <w:rsid w:val="002253D4"/>
    <w:rsid w:val="00225C0D"/>
    <w:rsid w:val="00225C39"/>
    <w:rsid w:val="002264E5"/>
    <w:rsid w:val="0022745D"/>
    <w:rsid w:val="0022774E"/>
    <w:rsid w:val="00230102"/>
    <w:rsid w:val="002307D3"/>
    <w:rsid w:val="00230B0A"/>
    <w:rsid w:val="002316B9"/>
    <w:rsid w:val="002329FB"/>
    <w:rsid w:val="002331FF"/>
    <w:rsid w:val="002354BE"/>
    <w:rsid w:val="0023595E"/>
    <w:rsid w:val="00235CA3"/>
    <w:rsid w:val="002362B7"/>
    <w:rsid w:val="00237961"/>
    <w:rsid w:val="00237C0E"/>
    <w:rsid w:val="00240026"/>
    <w:rsid w:val="00241644"/>
    <w:rsid w:val="0024173A"/>
    <w:rsid w:val="0024178A"/>
    <w:rsid w:val="0024277C"/>
    <w:rsid w:val="0024363E"/>
    <w:rsid w:val="0024372A"/>
    <w:rsid w:val="00243C90"/>
    <w:rsid w:val="002442D3"/>
    <w:rsid w:val="002456FB"/>
    <w:rsid w:val="00245BA4"/>
    <w:rsid w:val="0024750C"/>
    <w:rsid w:val="002477B9"/>
    <w:rsid w:val="00247CFA"/>
    <w:rsid w:val="00247E6E"/>
    <w:rsid w:val="00247FA8"/>
    <w:rsid w:val="002509C2"/>
    <w:rsid w:val="002509CA"/>
    <w:rsid w:val="002513F9"/>
    <w:rsid w:val="00252CF7"/>
    <w:rsid w:val="00252EA4"/>
    <w:rsid w:val="00253CB2"/>
    <w:rsid w:val="00254500"/>
    <w:rsid w:val="0025453A"/>
    <w:rsid w:val="0025463F"/>
    <w:rsid w:val="00254860"/>
    <w:rsid w:val="00254BDC"/>
    <w:rsid w:val="00254C0A"/>
    <w:rsid w:val="00255B23"/>
    <w:rsid w:val="00255C17"/>
    <w:rsid w:val="00255D8D"/>
    <w:rsid w:val="002562ED"/>
    <w:rsid w:val="00256F30"/>
    <w:rsid w:val="002574A3"/>
    <w:rsid w:val="00260624"/>
    <w:rsid w:val="00260A44"/>
    <w:rsid w:val="00260C3B"/>
    <w:rsid w:val="00261032"/>
    <w:rsid w:val="00261353"/>
    <w:rsid w:val="0026180F"/>
    <w:rsid w:val="00261C2C"/>
    <w:rsid w:val="0026233B"/>
    <w:rsid w:val="002629A3"/>
    <w:rsid w:val="002637D8"/>
    <w:rsid w:val="00263F33"/>
    <w:rsid w:val="002646FC"/>
    <w:rsid w:val="00264BD7"/>
    <w:rsid w:val="0026576E"/>
    <w:rsid w:val="002658B9"/>
    <w:rsid w:val="00265B16"/>
    <w:rsid w:val="00266B0A"/>
    <w:rsid w:val="00266EA9"/>
    <w:rsid w:val="0026710A"/>
    <w:rsid w:val="0026710F"/>
    <w:rsid w:val="0026740D"/>
    <w:rsid w:val="00270EA9"/>
    <w:rsid w:val="00271B01"/>
    <w:rsid w:val="00272422"/>
    <w:rsid w:val="002748A0"/>
    <w:rsid w:val="0027557A"/>
    <w:rsid w:val="00275645"/>
    <w:rsid w:val="0027629E"/>
    <w:rsid w:val="00276367"/>
    <w:rsid w:val="00276874"/>
    <w:rsid w:val="0027692D"/>
    <w:rsid w:val="00276AD4"/>
    <w:rsid w:val="00276D3E"/>
    <w:rsid w:val="00277309"/>
    <w:rsid w:val="0027730D"/>
    <w:rsid w:val="0027785F"/>
    <w:rsid w:val="00280D5D"/>
    <w:rsid w:val="002812F2"/>
    <w:rsid w:val="0028181E"/>
    <w:rsid w:val="00281EDC"/>
    <w:rsid w:val="0028203B"/>
    <w:rsid w:val="00282269"/>
    <w:rsid w:val="002831BF"/>
    <w:rsid w:val="0028450E"/>
    <w:rsid w:val="002847C3"/>
    <w:rsid w:val="0028561C"/>
    <w:rsid w:val="00285B8B"/>
    <w:rsid w:val="00285C2E"/>
    <w:rsid w:val="00285CED"/>
    <w:rsid w:val="00285D2A"/>
    <w:rsid w:val="00285EA9"/>
    <w:rsid w:val="00286326"/>
    <w:rsid w:val="0028636D"/>
    <w:rsid w:val="00286BDC"/>
    <w:rsid w:val="00286D69"/>
    <w:rsid w:val="00286ED2"/>
    <w:rsid w:val="00287751"/>
    <w:rsid w:val="00287812"/>
    <w:rsid w:val="00287E1A"/>
    <w:rsid w:val="00290647"/>
    <w:rsid w:val="00290D6D"/>
    <w:rsid w:val="00291917"/>
    <w:rsid w:val="002929DC"/>
    <w:rsid w:val="00292D20"/>
    <w:rsid w:val="0029335E"/>
    <w:rsid w:val="002936B5"/>
    <w:rsid w:val="0029385B"/>
    <w:rsid w:val="00294182"/>
    <w:rsid w:val="002941DE"/>
    <w:rsid w:val="00294317"/>
    <w:rsid w:val="002947C3"/>
    <w:rsid w:val="00294A94"/>
    <w:rsid w:val="00294D23"/>
    <w:rsid w:val="00294D88"/>
    <w:rsid w:val="00295144"/>
    <w:rsid w:val="002951D7"/>
    <w:rsid w:val="0029597D"/>
    <w:rsid w:val="00295D86"/>
    <w:rsid w:val="00296089"/>
    <w:rsid w:val="00296330"/>
    <w:rsid w:val="0029650E"/>
    <w:rsid w:val="00296E46"/>
    <w:rsid w:val="002979A7"/>
    <w:rsid w:val="00297C8A"/>
    <w:rsid w:val="002A00D1"/>
    <w:rsid w:val="002A15E4"/>
    <w:rsid w:val="002A1871"/>
    <w:rsid w:val="002A22CF"/>
    <w:rsid w:val="002A2648"/>
    <w:rsid w:val="002A3B4B"/>
    <w:rsid w:val="002A3E21"/>
    <w:rsid w:val="002A40F1"/>
    <w:rsid w:val="002A4404"/>
    <w:rsid w:val="002A5208"/>
    <w:rsid w:val="002A5400"/>
    <w:rsid w:val="002A5AA8"/>
    <w:rsid w:val="002A7163"/>
    <w:rsid w:val="002A7197"/>
    <w:rsid w:val="002A7940"/>
    <w:rsid w:val="002A7C76"/>
    <w:rsid w:val="002B098C"/>
    <w:rsid w:val="002B0CFD"/>
    <w:rsid w:val="002B0E84"/>
    <w:rsid w:val="002B1088"/>
    <w:rsid w:val="002B1371"/>
    <w:rsid w:val="002B2AFF"/>
    <w:rsid w:val="002B2B49"/>
    <w:rsid w:val="002B30A6"/>
    <w:rsid w:val="002B3296"/>
    <w:rsid w:val="002B33D6"/>
    <w:rsid w:val="002B3602"/>
    <w:rsid w:val="002B3F1C"/>
    <w:rsid w:val="002B426E"/>
    <w:rsid w:val="002B4276"/>
    <w:rsid w:val="002B4C83"/>
    <w:rsid w:val="002B589C"/>
    <w:rsid w:val="002B5B56"/>
    <w:rsid w:val="002B6247"/>
    <w:rsid w:val="002B6349"/>
    <w:rsid w:val="002B66F8"/>
    <w:rsid w:val="002B679D"/>
    <w:rsid w:val="002B7953"/>
    <w:rsid w:val="002B7CF8"/>
    <w:rsid w:val="002C008F"/>
    <w:rsid w:val="002C01DA"/>
    <w:rsid w:val="002C0532"/>
    <w:rsid w:val="002C07A6"/>
    <w:rsid w:val="002C07AF"/>
    <w:rsid w:val="002C0F4B"/>
    <w:rsid w:val="002C10E6"/>
    <w:rsid w:val="002C2597"/>
    <w:rsid w:val="002C383A"/>
    <w:rsid w:val="002C39E0"/>
    <w:rsid w:val="002C3D88"/>
    <w:rsid w:val="002C44C3"/>
    <w:rsid w:val="002C53C2"/>
    <w:rsid w:val="002C5CA3"/>
    <w:rsid w:val="002C5F0A"/>
    <w:rsid w:val="002C5F6B"/>
    <w:rsid w:val="002C6189"/>
    <w:rsid w:val="002C61B9"/>
    <w:rsid w:val="002C6E81"/>
    <w:rsid w:val="002C6F1E"/>
    <w:rsid w:val="002C71C9"/>
    <w:rsid w:val="002C7355"/>
    <w:rsid w:val="002C7415"/>
    <w:rsid w:val="002C76FC"/>
    <w:rsid w:val="002D0336"/>
    <w:rsid w:val="002D042B"/>
    <w:rsid w:val="002D135D"/>
    <w:rsid w:val="002D1585"/>
    <w:rsid w:val="002D1AB0"/>
    <w:rsid w:val="002D1AE8"/>
    <w:rsid w:val="002D26E1"/>
    <w:rsid w:val="002D3824"/>
    <w:rsid w:val="002D38D3"/>
    <w:rsid w:val="002D3987"/>
    <w:rsid w:val="002D40C3"/>
    <w:rsid w:val="002D4746"/>
    <w:rsid w:val="002D4834"/>
    <w:rsid w:val="002D5053"/>
    <w:rsid w:val="002D53B1"/>
    <w:rsid w:val="002D54B1"/>
    <w:rsid w:val="002D59B9"/>
    <w:rsid w:val="002D5B51"/>
    <w:rsid w:val="002D63D5"/>
    <w:rsid w:val="002D66D5"/>
    <w:rsid w:val="002D67DA"/>
    <w:rsid w:val="002D6A75"/>
    <w:rsid w:val="002D706A"/>
    <w:rsid w:val="002E02DE"/>
    <w:rsid w:val="002E0762"/>
    <w:rsid w:val="002E0931"/>
    <w:rsid w:val="002E0B02"/>
    <w:rsid w:val="002E0F20"/>
    <w:rsid w:val="002E1C2D"/>
    <w:rsid w:val="002E21E0"/>
    <w:rsid w:val="002E26D3"/>
    <w:rsid w:val="002E2765"/>
    <w:rsid w:val="002E288E"/>
    <w:rsid w:val="002E2E4C"/>
    <w:rsid w:val="002E3B78"/>
    <w:rsid w:val="002E48CA"/>
    <w:rsid w:val="002E56D1"/>
    <w:rsid w:val="002E64FE"/>
    <w:rsid w:val="002E672F"/>
    <w:rsid w:val="002F0637"/>
    <w:rsid w:val="002F0B7C"/>
    <w:rsid w:val="002F0E5E"/>
    <w:rsid w:val="002F13E9"/>
    <w:rsid w:val="002F1790"/>
    <w:rsid w:val="002F2183"/>
    <w:rsid w:val="002F2563"/>
    <w:rsid w:val="002F29A4"/>
    <w:rsid w:val="002F2E32"/>
    <w:rsid w:val="002F369D"/>
    <w:rsid w:val="002F37F1"/>
    <w:rsid w:val="002F5540"/>
    <w:rsid w:val="002F5B59"/>
    <w:rsid w:val="002F5C00"/>
    <w:rsid w:val="002F6642"/>
    <w:rsid w:val="002F6DF3"/>
    <w:rsid w:val="002F71E8"/>
    <w:rsid w:val="002F72EA"/>
    <w:rsid w:val="002F7F25"/>
    <w:rsid w:val="0030011B"/>
    <w:rsid w:val="00300FA7"/>
    <w:rsid w:val="0030218D"/>
    <w:rsid w:val="0030297C"/>
    <w:rsid w:val="00302AF6"/>
    <w:rsid w:val="00304C57"/>
    <w:rsid w:val="003054B6"/>
    <w:rsid w:val="00305604"/>
    <w:rsid w:val="00305742"/>
    <w:rsid w:val="00305E03"/>
    <w:rsid w:val="00306354"/>
    <w:rsid w:val="003065A6"/>
    <w:rsid w:val="00306BE1"/>
    <w:rsid w:val="00306D50"/>
    <w:rsid w:val="003100AB"/>
    <w:rsid w:val="00310438"/>
    <w:rsid w:val="00311069"/>
    <w:rsid w:val="00312427"/>
    <w:rsid w:val="00312DC3"/>
    <w:rsid w:val="00314339"/>
    <w:rsid w:val="0031439D"/>
    <w:rsid w:val="00314E05"/>
    <w:rsid w:val="0031524E"/>
    <w:rsid w:val="003167BB"/>
    <w:rsid w:val="003168C0"/>
    <w:rsid w:val="00316C0B"/>
    <w:rsid w:val="003174A3"/>
    <w:rsid w:val="003175C7"/>
    <w:rsid w:val="0032003A"/>
    <w:rsid w:val="00320429"/>
    <w:rsid w:val="00320680"/>
    <w:rsid w:val="00321083"/>
    <w:rsid w:val="00321E31"/>
    <w:rsid w:val="00322880"/>
    <w:rsid w:val="0032289C"/>
    <w:rsid w:val="0032290D"/>
    <w:rsid w:val="00322922"/>
    <w:rsid w:val="0032330E"/>
    <w:rsid w:val="00323CC3"/>
    <w:rsid w:val="00323D52"/>
    <w:rsid w:val="00323E56"/>
    <w:rsid w:val="00324466"/>
    <w:rsid w:val="0032498F"/>
    <w:rsid w:val="00324F0B"/>
    <w:rsid w:val="00325758"/>
    <w:rsid w:val="00325AC4"/>
    <w:rsid w:val="00325C2E"/>
    <w:rsid w:val="00325E2A"/>
    <w:rsid w:val="00326318"/>
    <w:rsid w:val="00326604"/>
    <w:rsid w:val="003269D5"/>
    <w:rsid w:val="00326C95"/>
    <w:rsid w:val="00326FAF"/>
    <w:rsid w:val="00327FC5"/>
    <w:rsid w:val="00330575"/>
    <w:rsid w:val="00331478"/>
    <w:rsid w:val="0033147A"/>
    <w:rsid w:val="00332396"/>
    <w:rsid w:val="0033262E"/>
    <w:rsid w:val="00333AF8"/>
    <w:rsid w:val="0033435A"/>
    <w:rsid w:val="003343B3"/>
    <w:rsid w:val="003343BF"/>
    <w:rsid w:val="00334C40"/>
    <w:rsid w:val="00335DBD"/>
    <w:rsid w:val="00335E76"/>
    <w:rsid w:val="00337A49"/>
    <w:rsid w:val="00340001"/>
    <w:rsid w:val="00340715"/>
    <w:rsid w:val="003411F8"/>
    <w:rsid w:val="003415AA"/>
    <w:rsid w:val="003415BE"/>
    <w:rsid w:val="003419D4"/>
    <w:rsid w:val="00341D7A"/>
    <w:rsid w:val="00342E6A"/>
    <w:rsid w:val="00343D7D"/>
    <w:rsid w:val="00343EC7"/>
    <w:rsid w:val="00344511"/>
    <w:rsid w:val="0034460D"/>
    <w:rsid w:val="00345030"/>
    <w:rsid w:val="0034525B"/>
    <w:rsid w:val="00345305"/>
    <w:rsid w:val="003458EF"/>
    <w:rsid w:val="00345D1B"/>
    <w:rsid w:val="00347322"/>
    <w:rsid w:val="003475AB"/>
    <w:rsid w:val="003476B5"/>
    <w:rsid w:val="0035292A"/>
    <w:rsid w:val="00353D6C"/>
    <w:rsid w:val="00355AC6"/>
    <w:rsid w:val="00356362"/>
    <w:rsid w:val="00356B58"/>
    <w:rsid w:val="00357A3F"/>
    <w:rsid w:val="00357F3A"/>
    <w:rsid w:val="003600DB"/>
    <w:rsid w:val="003600F8"/>
    <w:rsid w:val="00360250"/>
    <w:rsid w:val="00360E7F"/>
    <w:rsid w:val="003613EA"/>
    <w:rsid w:val="0036160C"/>
    <w:rsid w:val="00361BA8"/>
    <w:rsid w:val="00361C0B"/>
    <w:rsid w:val="00361E2D"/>
    <w:rsid w:val="00361EE6"/>
    <w:rsid w:val="00361F52"/>
    <w:rsid w:val="00362008"/>
    <w:rsid w:val="00362499"/>
    <w:rsid w:val="003624A9"/>
    <w:rsid w:val="0036290A"/>
    <w:rsid w:val="00363118"/>
    <w:rsid w:val="00363153"/>
    <w:rsid w:val="0036345F"/>
    <w:rsid w:val="0036369E"/>
    <w:rsid w:val="00363C09"/>
    <w:rsid w:val="00363D66"/>
    <w:rsid w:val="0036419B"/>
    <w:rsid w:val="00364646"/>
    <w:rsid w:val="003657B5"/>
    <w:rsid w:val="003667CE"/>
    <w:rsid w:val="00366AF2"/>
    <w:rsid w:val="003672D0"/>
    <w:rsid w:val="003673B1"/>
    <w:rsid w:val="0036759A"/>
    <w:rsid w:val="003677F2"/>
    <w:rsid w:val="00370F0B"/>
    <w:rsid w:val="00371221"/>
    <w:rsid w:val="003718CA"/>
    <w:rsid w:val="00372189"/>
    <w:rsid w:val="00372238"/>
    <w:rsid w:val="00372338"/>
    <w:rsid w:val="00372EDA"/>
    <w:rsid w:val="00373162"/>
    <w:rsid w:val="00373587"/>
    <w:rsid w:val="003740AE"/>
    <w:rsid w:val="003744EB"/>
    <w:rsid w:val="0037477E"/>
    <w:rsid w:val="00374E96"/>
    <w:rsid w:val="003756CB"/>
    <w:rsid w:val="00375801"/>
    <w:rsid w:val="0037581B"/>
    <w:rsid w:val="0037598C"/>
    <w:rsid w:val="00380563"/>
    <w:rsid w:val="00380E24"/>
    <w:rsid w:val="003816E2"/>
    <w:rsid w:val="003825EB"/>
    <w:rsid w:val="0038277A"/>
    <w:rsid w:val="0038287A"/>
    <w:rsid w:val="00384332"/>
    <w:rsid w:val="00384940"/>
    <w:rsid w:val="00384D18"/>
    <w:rsid w:val="00385203"/>
    <w:rsid w:val="00385253"/>
    <w:rsid w:val="003854C7"/>
    <w:rsid w:val="00386C8B"/>
    <w:rsid w:val="003877E9"/>
    <w:rsid w:val="00387848"/>
    <w:rsid w:val="00387C2B"/>
    <w:rsid w:val="00390410"/>
    <w:rsid w:val="00390ED3"/>
    <w:rsid w:val="00391750"/>
    <w:rsid w:val="00391B8E"/>
    <w:rsid w:val="00391CBF"/>
    <w:rsid w:val="00392171"/>
    <w:rsid w:val="00392314"/>
    <w:rsid w:val="00392A1D"/>
    <w:rsid w:val="00392BF8"/>
    <w:rsid w:val="0039374E"/>
    <w:rsid w:val="00393894"/>
    <w:rsid w:val="00393CC1"/>
    <w:rsid w:val="00393E17"/>
    <w:rsid w:val="0039436B"/>
    <w:rsid w:val="003950A7"/>
    <w:rsid w:val="00395B9E"/>
    <w:rsid w:val="00395CE4"/>
    <w:rsid w:val="00395D48"/>
    <w:rsid w:val="00395E8E"/>
    <w:rsid w:val="00396758"/>
    <w:rsid w:val="00396808"/>
    <w:rsid w:val="00396DA4"/>
    <w:rsid w:val="003977F6"/>
    <w:rsid w:val="00397BDB"/>
    <w:rsid w:val="00397E4D"/>
    <w:rsid w:val="003A10C3"/>
    <w:rsid w:val="003A111D"/>
    <w:rsid w:val="003A1A40"/>
    <w:rsid w:val="003A2227"/>
    <w:rsid w:val="003A2583"/>
    <w:rsid w:val="003A2790"/>
    <w:rsid w:val="003A2AF0"/>
    <w:rsid w:val="003A2F35"/>
    <w:rsid w:val="003A4CAD"/>
    <w:rsid w:val="003A4F05"/>
    <w:rsid w:val="003A53D0"/>
    <w:rsid w:val="003A639A"/>
    <w:rsid w:val="003A66E4"/>
    <w:rsid w:val="003A6BFE"/>
    <w:rsid w:val="003A7090"/>
    <w:rsid w:val="003A7169"/>
    <w:rsid w:val="003A7D13"/>
    <w:rsid w:val="003B0E46"/>
    <w:rsid w:val="003B15E9"/>
    <w:rsid w:val="003B282C"/>
    <w:rsid w:val="003B2B94"/>
    <w:rsid w:val="003B306C"/>
    <w:rsid w:val="003B434D"/>
    <w:rsid w:val="003B4704"/>
    <w:rsid w:val="003B4E20"/>
    <w:rsid w:val="003B4F19"/>
    <w:rsid w:val="003B5E10"/>
    <w:rsid w:val="003B621F"/>
    <w:rsid w:val="003B6EE1"/>
    <w:rsid w:val="003B766F"/>
    <w:rsid w:val="003B7FF4"/>
    <w:rsid w:val="003C0191"/>
    <w:rsid w:val="003C0854"/>
    <w:rsid w:val="003C1F80"/>
    <w:rsid w:val="003C3258"/>
    <w:rsid w:val="003C4409"/>
    <w:rsid w:val="003C59E4"/>
    <w:rsid w:val="003C5C9B"/>
    <w:rsid w:val="003C63EA"/>
    <w:rsid w:val="003C663F"/>
    <w:rsid w:val="003C6C8B"/>
    <w:rsid w:val="003C6F16"/>
    <w:rsid w:val="003C6FE0"/>
    <w:rsid w:val="003C70C3"/>
    <w:rsid w:val="003C7BE7"/>
    <w:rsid w:val="003C7D15"/>
    <w:rsid w:val="003D05CA"/>
    <w:rsid w:val="003D14BE"/>
    <w:rsid w:val="003D19AA"/>
    <w:rsid w:val="003D1B97"/>
    <w:rsid w:val="003D1CE5"/>
    <w:rsid w:val="003D386B"/>
    <w:rsid w:val="003D3A0D"/>
    <w:rsid w:val="003D3C43"/>
    <w:rsid w:val="003D3ED7"/>
    <w:rsid w:val="003D47FA"/>
    <w:rsid w:val="003D4B71"/>
    <w:rsid w:val="003D69CE"/>
    <w:rsid w:val="003D6D09"/>
    <w:rsid w:val="003D6E40"/>
    <w:rsid w:val="003D7993"/>
    <w:rsid w:val="003E0487"/>
    <w:rsid w:val="003E0654"/>
    <w:rsid w:val="003E0A60"/>
    <w:rsid w:val="003E1415"/>
    <w:rsid w:val="003E22C3"/>
    <w:rsid w:val="003E28B4"/>
    <w:rsid w:val="003E344F"/>
    <w:rsid w:val="003E4E74"/>
    <w:rsid w:val="003E5A90"/>
    <w:rsid w:val="003E5CAB"/>
    <w:rsid w:val="003E5CDD"/>
    <w:rsid w:val="003E635F"/>
    <w:rsid w:val="003E636A"/>
    <w:rsid w:val="003E6642"/>
    <w:rsid w:val="003E69C0"/>
    <w:rsid w:val="003E7325"/>
    <w:rsid w:val="003E73B6"/>
    <w:rsid w:val="003E7A29"/>
    <w:rsid w:val="003E7B35"/>
    <w:rsid w:val="003E7B63"/>
    <w:rsid w:val="003F086D"/>
    <w:rsid w:val="003F102E"/>
    <w:rsid w:val="003F15F8"/>
    <w:rsid w:val="003F1A25"/>
    <w:rsid w:val="003F1D19"/>
    <w:rsid w:val="003F2358"/>
    <w:rsid w:val="003F2F99"/>
    <w:rsid w:val="003F3F65"/>
    <w:rsid w:val="003F466B"/>
    <w:rsid w:val="003F4681"/>
    <w:rsid w:val="003F4706"/>
    <w:rsid w:val="003F5699"/>
    <w:rsid w:val="003F5A3E"/>
    <w:rsid w:val="003F6504"/>
    <w:rsid w:val="00400090"/>
    <w:rsid w:val="004014F9"/>
    <w:rsid w:val="00402371"/>
    <w:rsid w:val="00402F4D"/>
    <w:rsid w:val="00403598"/>
    <w:rsid w:val="004036BF"/>
    <w:rsid w:val="00403B84"/>
    <w:rsid w:val="00403CE7"/>
    <w:rsid w:val="00403F8D"/>
    <w:rsid w:val="0040407C"/>
    <w:rsid w:val="00404352"/>
    <w:rsid w:val="00404ED0"/>
    <w:rsid w:val="00405261"/>
    <w:rsid w:val="00405EED"/>
    <w:rsid w:val="004065E1"/>
    <w:rsid w:val="00406ABE"/>
    <w:rsid w:val="00406CEB"/>
    <w:rsid w:val="004079CF"/>
    <w:rsid w:val="004100C1"/>
    <w:rsid w:val="004107B0"/>
    <w:rsid w:val="00411910"/>
    <w:rsid w:val="004128FF"/>
    <w:rsid w:val="004137C1"/>
    <w:rsid w:val="00413E39"/>
    <w:rsid w:val="00414588"/>
    <w:rsid w:val="00414972"/>
    <w:rsid w:val="00414C3A"/>
    <w:rsid w:val="00414F66"/>
    <w:rsid w:val="00414FFB"/>
    <w:rsid w:val="00415415"/>
    <w:rsid w:val="004155F2"/>
    <w:rsid w:val="0041652E"/>
    <w:rsid w:val="004166ED"/>
    <w:rsid w:val="00420028"/>
    <w:rsid w:val="00420208"/>
    <w:rsid w:val="0042029B"/>
    <w:rsid w:val="00420837"/>
    <w:rsid w:val="00420B16"/>
    <w:rsid w:val="00420F33"/>
    <w:rsid w:val="00421828"/>
    <w:rsid w:val="00421F47"/>
    <w:rsid w:val="00422BD6"/>
    <w:rsid w:val="00422BEC"/>
    <w:rsid w:val="00422D92"/>
    <w:rsid w:val="00423198"/>
    <w:rsid w:val="004235E2"/>
    <w:rsid w:val="00423E0F"/>
    <w:rsid w:val="00424326"/>
    <w:rsid w:val="0042436C"/>
    <w:rsid w:val="00424C50"/>
    <w:rsid w:val="00424E44"/>
    <w:rsid w:val="0042502C"/>
    <w:rsid w:val="00425428"/>
    <w:rsid w:val="0042558E"/>
    <w:rsid w:val="004257FE"/>
    <w:rsid w:val="00425973"/>
    <w:rsid w:val="00425CB9"/>
    <w:rsid w:val="004267E4"/>
    <w:rsid w:val="00427236"/>
    <w:rsid w:val="00427F8D"/>
    <w:rsid w:val="0043112E"/>
    <w:rsid w:val="00432EAD"/>
    <w:rsid w:val="004330C1"/>
    <w:rsid w:val="00433B52"/>
    <w:rsid w:val="00434380"/>
    <w:rsid w:val="00434BA4"/>
    <w:rsid w:val="00435403"/>
    <w:rsid w:val="00435B4A"/>
    <w:rsid w:val="00436C42"/>
    <w:rsid w:val="00436E3B"/>
    <w:rsid w:val="004377C0"/>
    <w:rsid w:val="00437A1B"/>
    <w:rsid w:val="00437B50"/>
    <w:rsid w:val="00440071"/>
    <w:rsid w:val="00440557"/>
    <w:rsid w:val="004405CE"/>
    <w:rsid w:val="0044076E"/>
    <w:rsid w:val="0044084A"/>
    <w:rsid w:val="00440B5A"/>
    <w:rsid w:val="00441291"/>
    <w:rsid w:val="00441EB8"/>
    <w:rsid w:val="004420CE"/>
    <w:rsid w:val="00442142"/>
    <w:rsid w:val="00442617"/>
    <w:rsid w:val="00443436"/>
    <w:rsid w:val="0044354E"/>
    <w:rsid w:val="00443A40"/>
    <w:rsid w:val="004458D1"/>
    <w:rsid w:val="00445925"/>
    <w:rsid w:val="00446825"/>
    <w:rsid w:val="00446905"/>
    <w:rsid w:val="00446C41"/>
    <w:rsid w:val="00446F1F"/>
    <w:rsid w:val="00447077"/>
    <w:rsid w:val="00447812"/>
    <w:rsid w:val="00447C6B"/>
    <w:rsid w:val="00447D4B"/>
    <w:rsid w:val="00450731"/>
    <w:rsid w:val="00450A90"/>
    <w:rsid w:val="00450AD8"/>
    <w:rsid w:val="00450CE5"/>
    <w:rsid w:val="004510D8"/>
    <w:rsid w:val="004521E0"/>
    <w:rsid w:val="00452944"/>
    <w:rsid w:val="00452A81"/>
    <w:rsid w:val="004530B9"/>
    <w:rsid w:val="00453ACD"/>
    <w:rsid w:val="00453B9F"/>
    <w:rsid w:val="004541D2"/>
    <w:rsid w:val="00454844"/>
    <w:rsid w:val="00454A14"/>
    <w:rsid w:val="00454FB7"/>
    <w:rsid w:val="00455E7D"/>
    <w:rsid w:val="004562D4"/>
    <w:rsid w:val="004564FA"/>
    <w:rsid w:val="00456EE2"/>
    <w:rsid w:val="004573AD"/>
    <w:rsid w:val="00457564"/>
    <w:rsid w:val="0045774C"/>
    <w:rsid w:val="00457861"/>
    <w:rsid w:val="00457FBF"/>
    <w:rsid w:val="004605CF"/>
    <w:rsid w:val="00460A76"/>
    <w:rsid w:val="00460BB7"/>
    <w:rsid w:val="00461434"/>
    <w:rsid w:val="004626DA"/>
    <w:rsid w:val="00462A11"/>
    <w:rsid w:val="00462A93"/>
    <w:rsid w:val="0046331C"/>
    <w:rsid w:val="0046525B"/>
    <w:rsid w:val="00465824"/>
    <w:rsid w:val="00465E88"/>
    <w:rsid w:val="004668D1"/>
    <w:rsid w:val="00466C16"/>
    <w:rsid w:val="00467607"/>
    <w:rsid w:val="00467DB0"/>
    <w:rsid w:val="0047082F"/>
    <w:rsid w:val="00470D64"/>
    <w:rsid w:val="0047131F"/>
    <w:rsid w:val="0047146A"/>
    <w:rsid w:val="00471915"/>
    <w:rsid w:val="00471B31"/>
    <w:rsid w:val="00471FF5"/>
    <w:rsid w:val="00472FB7"/>
    <w:rsid w:val="00473216"/>
    <w:rsid w:val="00473433"/>
    <w:rsid w:val="0047399D"/>
    <w:rsid w:val="004739EC"/>
    <w:rsid w:val="004746CB"/>
    <w:rsid w:val="00474B6E"/>
    <w:rsid w:val="00474B9C"/>
    <w:rsid w:val="004751F8"/>
    <w:rsid w:val="004757A3"/>
    <w:rsid w:val="004759B8"/>
    <w:rsid w:val="00475ED2"/>
    <w:rsid w:val="00476D60"/>
    <w:rsid w:val="004775DA"/>
    <w:rsid w:val="004809F0"/>
    <w:rsid w:val="00481328"/>
    <w:rsid w:val="00481978"/>
    <w:rsid w:val="0048242C"/>
    <w:rsid w:val="00482E30"/>
    <w:rsid w:val="00483012"/>
    <w:rsid w:val="00483448"/>
    <w:rsid w:val="00483947"/>
    <w:rsid w:val="00483D6D"/>
    <w:rsid w:val="00484F23"/>
    <w:rsid w:val="00484FB6"/>
    <w:rsid w:val="0048593D"/>
    <w:rsid w:val="00485D67"/>
    <w:rsid w:val="00486B29"/>
    <w:rsid w:val="00486C39"/>
    <w:rsid w:val="00486FBC"/>
    <w:rsid w:val="00487075"/>
    <w:rsid w:val="00487579"/>
    <w:rsid w:val="00487CDF"/>
    <w:rsid w:val="00487F59"/>
    <w:rsid w:val="004901B4"/>
    <w:rsid w:val="004910C4"/>
    <w:rsid w:val="00491516"/>
    <w:rsid w:val="00491D18"/>
    <w:rsid w:val="00492362"/>
    <w:rsid w:val="00492F30"/>
    <w:rsid w:val="00493237"/>
    <w:rsid w:val="004940EC"/>
    <w:rsid w:val="004942CB"/>
    <w:rsid w:val="00494B6C"/>
    <w:rsid w:val="00494E46"/>
    <w:rsid w:val="0049522B"/>
    <w:rsid w:val="00495871"/>
    <w:rsid w:val="00495C1D"/>
    <w:rsid w:val="00496021"/>
    <w:rsid w:val="00496B7C"/>
    <w:rsid w:val="004A0542"/>
    <w:rsid w:val="004A05D8"/>
    <w:rsid w:val="004A1051"/>
    <w:rsid w:val="004A1267"/>
    <w:rsid w:val="004A1A4F"/>
    <w:rsid w:val="004A20AA"/>
    <w:rsid w:val="004A21B8"/>
    <w:rsid w:val="004A28D3"/>
    <w:rsid w:val="004A2972"/>
    <w:rsid w:val="004A2CBC"/>
    <w:rsid w:val="004A30F5"/>
    <w:rsid w:val="004A4191"/>
    <w:rsid w:val="004A45B8"/>
    <w:rsid w:val="004A4C92"/>
    <w:rsid w:val="004A4D84"/>
    <w:rsid w:val="004A50A2"/>
    <w:rsid w:val="004A53F0"/>
    <w:rsid w:val="004A56E7"/>
    <w:rsid w:val="004A5B93"/>
    <w:rsid w:val="004A5C4D"/>
    <w:rsid w:val="004A608A"/>
    <w:rsid w:val="004A6256"/>
    <w:rsid w:val="004A6837"/>
    <w:rsid w:val="004A7106"/>
    <w:rsid w:val="004A72A1"/>
    <w:rsid w:val="004A7D29"/>
    <w:rsid w:val="004B0167"/>
    <w:rsid w:val="004B047B"/>
    <w:rsid w:val="004B071B"/>
    <w:rsid w:val="004B0F89"/>
    <w:rsid w:val="004B183B"/>
    <w:rsid w:val="004B3184"/>
    <w:rsid w:val="004B39B7"/>
    <w:rsid w:val="004B4398"/>
    <w:rsid w:val="004B47D7"/>
    <w:rsid w:val="004B4896"/>
    <w:rsid w:val="004B4B6D"/>
    <w:rsid w:val="004B51DC"/>
    <w:rsid w:val="004B596F"/>
    <w:rsid w:val="004B5EE5"/>
    <w:rsid w:val="004B622E"/>
    <w:rsid w:val="004B6D2C"/>
    <w:rsid w:val="004B703D"/>
    <w:rsid w:val="004B70B4"/>
    <w:rsid w:val="004B7577"/>
    <w:rsid w:val="004B75B6"/>
    <w:rsid w:val="004B7798"/>
    <w:rsid w:val="004B7FEA"/>
    <w:rsid w:val="004C00CD"/>
    <w:rsid w:val="004C01F5"/>
    <w:rsid w:val="004C0E72"/>
    <w:rsid w:val="004C0F4E"/>
    <w:rsid w:val="004C14A9"/>
    <w:rsid w:val="004C1975"/>
    <w:rsid w:val="004C1A18"/>
    <w:rsid w:val="004C37C0"/>
    <w:rsid w:val="004C3C70"/>
    <w:rsid w:val="004C3D5D"/>
    <w:rsid w:val="004C3F5A"/>
    <w:rsid w:val="004C510B"/>
    <w:rsid w:val="004C57C7"/>
    <w:rsid w:val="004C5C1B"/>
    <w:rsid w:val="004C66EA"/>
    <w:rsid w:val="004C69F5"/>
    <w:rsid w:val="004C71BC"/>
    <w:rsid w:val="004C7298"/>
    <w:rsid w:val="004C77B5"/>
    <w:rsid w:val="004C7C72"/>
    <w:rsid w:val="004C7F53"/>
    <w:rsid w:val="004D0170"/>
    <w:rsid w:val="004D0327"/>
    <w:rsid w:val="004D0431"/>
    <w:rsid w:val="004D0572"/>
    <w:rsid w:val="004D06C3"/>
    <w:rsid w:val="004D0B9C"/>
    <w:rsid w:val="004D18B7"/>
    <w:rsid w:val="004D18D2"/>
    <w:rsid w:val="004D1952"/>
    <w:rsid w:val="004D29E0"/>
    <w:rsid w:val="004D2EBF"/>
    <w:rsid w:val="004D39AA"/>
    <w:rsid w:val="004D3A05"/>
    <w:rsid w:val="004D4675"/>
    <w:rsid w:val="004D490B"/>
    <w:rsid w:val="004D4932"/>
    <w:rsid w:val="004D4CF6"/>
    <w:rsid w:val="004D4EBA"/>
    <w:rsid w:val="004D5BB0"/>
    <w:rsid w:val="004D5C33"/>
    <w:rsid w:val="004D5D82"/>
    <w:rsid w:val="004D5F6D"/>
    <w:rsid w:val="004D6B2B"/>
    <w:rsid w:val="004D7EB5"/>
    <w:rsid w:val="004D7FB5"/>
    <w:rsid w:val="004E002C"/>
    <w:rsid w:val="004E04DC"/>
    <w:rsid w:val="004E0977"/>
    <w:rsid w:val="004E0ADB"/>
    <w:rsid w:val="004E1B12"/>
    <w:rsid w:val="004E2042"/>
    <w:rsid w:val="004E2A1C"/>
    <w:rsid w:val="004E2B25"/>
    <w:rsid w:val="004E3141"/>
    <w:rsid w:val="004E43E7"/>
    <w:rsid w:val="004E5BCF"/>
    <w:rsid w:val="004E674F"/>
    <w:rsid w:val="004E693D"/>
    <w:rsid w:val="004E70F0"/>
    <w:rsid w:val="004E7371"/>
    <w:rsid w:val="004E764A"/>
    <w:rsid w:val="004E7AFB"/>
    <w:rsid w:val="004E7EDE"/>
    <w:rsid w:val="004F002E"/>
    <w:rsid w:val="004F0056"/>
    <w:rsid w:val="004F0B2B"/>
    <w:rsid w:val="004F1150"/>
    <w:rsid w:val="004F1C01"/>
    <w:rsid w:val="004F1CA0"/>
    <w:rsid w:val="004F1D05"/>
    <w:rsid w:val="004F1EB4"/>
    <w:rsid w:val="004F2237"/>
    <w:rsid w:val="004F252A"/>
    <w:rsid w:val="004F25A2"/>
    <w:rsid w:val="004F3200"/>
    <w:rsid w:val="004F3705"/>
    <w:rsid w:val="004F39E1"/>
    <w:rsid w:val="004F419B"/>
    <w:rsid w:val="004F4465"/>
    <w:rsid w:val="004F4560"/>
    <w:rsid w:val="004F5141"/>
    <w:rsid w:val="004F5649"/>
    <w:rsid w:val="004F568A"/>
    <w:rsid w:val="004F595F"/>
    <w:rsid w:val="004F59A5"/>
    <w:rsid w:val="004F5A1E"/>
    <w:rsid w:val="004F5CF4"/>
    <w:rsid w:val="004F5D8A"/>
    <w:rsid w:val="004F6214"/>
    <w:rsid w:val="004F6D89"/>
    <w:rsid w:val="004F7AEB"/>
    <w:rsid w:val="004F7D51"/>
    <w:rsid w:val="004F7F48"/>
    <w:rsid w:val="0050010A"/>
    <w:rsid w:val="00500D27"/>
    <w:rsid w:val="005012FD"/>
    <w:rsid w:val="00501A36"/>
    <w:rsid w:val="00501FB5"/>
    <w:rsid w:val="005023D4"/>
    <w:rsid w:val="005027B3"/>
    <w:rsid w:val="00503885"/>
    <w:rsid w:val="00504060"/>
    <w:rsid w:val="00504263"/>
    <w:rsid w:val="005046D8"/>
    <w:rsid w:val="00504A90"/>
    <w:rsid w:val="00504B52"/>
    <w:rsid w:val="00504C98"/>
    <w:rsid w:val="00504CDE"/>
    <w:rsid w:val="0050552C"/>
    <w:rsid w:val="00505B90"/>
    <w:rsid w:val="00506693"/>
    <w:rsid w:val="00506BFC"/>
    <w:rsid w:val="00506FB6"/>
    <w:rsid w:val="0050711C"/>
    <w:rsid w:val="00511E26"/>
    <w:rsid w:val="00511FD0"/>
    <w:rsid w:val="0051227E"/>
    <w:rsid w:val="00512C3A"/>
    <w:rsid w:val="0051300B"/>
    <w:rsid w:val="005132D7"/>
    <w:rsid w:val="00513DB2"/>
    <w:rsid w:val="00513F2F"/>
    <w:rsid w:val="00514816"/>
    <w:rsid w:val="00514AA3"/>
    <w:rsid w:val="00514D26"/>
    <w:rsid w:val="005151E2"/>
    <w:rsid w:val="0051606F"/>
    <w:rsid w:val="00517045"/>
    <w:rsid w:val="00517543"/>
    <w:rsid w:val="00517754"/>
    <w:rsid w:val="00517A23"/>
    <w:rsid w:val="00517CBD"/>
    <w:rsid w:val="00520330"/>
    <w:rsid w:val="00520B2A"/>
    <w:rsid w:val="00520EC1"/>
    <w:rsid w:val="00521359"/>
    <w:rsid w:val="0052181B"/>
    <w:rsid w:val="00521F05"/>
    <w:rsid w:val="00522057"/>
    <w:rsid w:val="00522340"/>
    <w:rsid w:val="0052280F"/>
    <w:rsid w:val="005233AB"/>
    <w:rsid w:val="00523594"/>
    <w:rsid w:val="00523B88"/>
    <w:rsid w:val="005240A7"/>
    <w:rsid w:val="005245F4"/>
    <w:rsid w:val="00524A10"/>
    <w:rsid w:val="00524B05"/>
    <w:rsid w:val="00524C63"/>
    <w:rsid w:val="0052598A"/>
    <w:rsid w:val="0052603D"/>
    <w:rsid w:val="005260F6"/>
    <w:rsid w:val="00527432"/>
    <w:rsid w:val="005305B3"/>
    <w:rsid w:val="0053129F"/>
    <w:rsid w:val="0053158D"/>
    <w:rsid w:val="00531C49"/>
    <w:rsid w:val="00531E7F"/>
    <w:rsid w:val="00531EB0"/>
    <w:rsid w:val="00532401"/>
    <w:rsid w:val="0053255F"/>
    <w:rsid w:val="005328F5"/>
    <w:rsid w:val="0053305F"/>
    <w:rsid w:val="00533327"/>
    <w:rsid w:val="00533423"/>
    <w:rsid w:val="00533779"/>
    <w:rsid w:val="00534536"/>
    <w:rsid w:val="005345A4"/>
    <w:rsid w:val="0053464B"/>
    <w:rsid w:val="00534ACF"/>
    <w:rsid w:val="00534F3A"/>
    <w:rsid w:val="00535E72"/>
    <w:rsid w:val="00536169"/>
    <w:rsid w:val="00536360"/>
    <w:rsid w:val="005363B4"/>
    <w:rsid w:val="00536A61"/>
    <w:rsid w:val="00540783"/>
    <w:rsid w:val="0054079E"/>
    <w:rsid w:val="00541280"/>
    <w:rsid w:val="0054176A"/>
    <w:rsid w:val="00541C11"/>
    <w:rsid w:val="005421E4"/>
    <w:rsid w:val="00542812"/>
    <w:rsid w:val="00542AE0"/>
    <w:rsid w:val="00542B98"/>
    <w:rsid w:val="00543773"/>
    <w:rsid w:val="00543995"/>
    <w:rsid w:val="00543BFC"/>
    <w:rsid w:val="005441E4"/>
    <w:rsid w:val="00544662"/>
    <w:rsid w:val="00544F89"/>
    <w:rsid w:val="00545B51"/>
    <w:rsid w:val="00545BDD"/>
    <w:rsid w:val="005463CC"/>
    <w:rsid w:val="00547A54"/>
    <w:rsid w:val="00547C94"/>
    <w:rsid w:val="00547E1D"/>
    <w:rsid w:val="005501AF"/>
    <w:rsid w:val="0055025B"/>
    <w:rsid w:val="005505B9"/>
    <w:rsid w:val="005509E2"/>
    <w:rsid w:val="00551407"/>
    <w:rsid w:val="005518F5"/>
    <w:rsid w:val="00551AD4"/>
    <w:rsid w:val="00551B72"/>
    <w:rsid w:val="005520A9"/>
    <w:rsid w:val="005532BA"/>
    <w:rsid w:val="00553F0F"/>
    <w:rsid w:val="00554040"/>
    <w:rsid w:val="005541DB"/>
    <w:rsid w:val="005543E7"/>
    <w:rsid w:val="00554E39"/>
    <w:rsid w:val="00554FC9"/>
    <w:rsid w:val="00555ABD"/>
    <w:rsid w:val="00556533"/>
    <w:rsid w:val="00556994"/>
    <w:rsid w:val="00556BE3"/>
    <w:rsid w:val="00557185"/>
    <w:rsid w:val="00557323"/>
    <w:rsid w:val="005575F0"/>
    <w:rsid w:val="00560210"/>
    <w:rsid w:val="00560A42"/>
    <w:rsid w:val="005610A8"/>
    <w:rsid w:val="0056144A"/>
    <w:rsid w:val="0056156D"/>
    <w:rsid w:val="005618F0"/>
    <w:rsid w:val="00561F61"/>
    <w:rsid w:val="00562196"/>
    <w:rsid w:val="00562BFE"/>
    <w:rsid w:val="00562F21"/>
    <w:rsid w:val="00562F59"/>
    <w:rsid w:val="005634F9"/>
    <w:rsid w:val="005635BF"/>
    <w:rsid w:val="005638BB"/>
    <w:rsid w:val="00563A24"/>
    <w:rsid w:val="00563C73"/>
    <w:rsid w:val="00563C75"/>
    <w:rsid w:val="00564224"/>
    <w:rsid w:val="0056545E"/>
    <w:rsid w:val="0056571E"/>
    <w:rsid w:val="00566C15"/>
    <w:rsid w:val="00566C21"/>
    <w:rsid w:val="0056710A"/>
    <w:rsid w:val="005671C5"/>
    <w:rsid w:val="0056747E"/>
    <w:rsid w:val="00567954"/>
    <w:rsid w:val="00570583"/>
    <w:rsid w:val="00573D9C"/>
    <w:rsid w:val="00573E16"/>
    <w:rsid w:val="00573E96"/>
    <w:rsid w:val="00574457"/>
    <w:rsid w:val="0057454C"/>
    <w:rsid w:val="00574683"/>
    <w:rsid w:val="00574AFA"/>
    <w:rsid w:val="00575172"/>
    <w:rsid w:val="005758DD"/>
    <w:rsid w:val="005759EB"/>
    <w:rsid w:val="0057683B"/>
    <w:rsid w:val="00577246"/>
    <w:rsid w:val="005776FB"/>
    <w:rsid w:val="005802D0"/>
    <w:rsid w:val="0058087F"/>
    <w:rsid w:val="00580C7D"/>
    <w:rsid w:val="00580D6E"/>
    <w:rsid w:val="005814F1"/>
    <w:rsid w:val="00581B49"/>
    <w:rsid w:val="00582051"/>
    <w:rsid w:val="00582FBF"/>
    <w:rsid w:val="005838D8"/>
    <w:rsid w:val="0058419C"/>
    <w:rsid w:val="005859C0"/>
    <w:rsid w:val="00585AE0"/>
    <w:rsid w:val="00585DD2"/>
    <w:rsid w:val="0058698B"/>
    <w:rsid w:val="00586A14"/>
    <w:rsid w:val="00586D17"/>
    <w:rsid w:val="00590175"/>
    <w:rsid w:val="0059049A"/>
    <w:rsid w:val="00590F89"/>
    <w:rsid w:val="005910AB"/>
    <w:rsid w:val="0059191B"/>
    <w:rsid w:val="00591C61"/>
    <w:rsid w:val="00591C63"/>
    <w:rsid w:val="00591D06"/>
    <w:rsid w:val="0059235C"/>
    <w:rsid w:val="005925FC"/>
    <w:rsid w:val="00592E68"/>
    <w:rsid w:val="00593368"/>
    <w:rsid w:val="005946D6"/>
    <w:rsid w:val="0059560B"/>
    <w:rsid w:val="00595945"/>
    <w:rsid w:val="00595C0C"/>
    <w:rsid w:val="00596773"/>
    <w:rsid w:val="00596B8A"/>
    <w:rsid w:val="00596F05"/>
    <w:rsid w:val="0059795D"/>
    <w:rsid w:val="00597E82"/>
    <w:rsid w:val="005A09FC"/>
    <w:rsid w:val="005A0A40"/>
    <w:rsid w:val="005A110C"/>
    <w:rsid w:val="005A1147"/>
    <w:rsid w:val="005A27C8"/>
    <w:rsid w:val="005A2965"/>
    <w:rsid w:val="005A2C0E"/>
    <w:rsid w:val="005A2E07"/>
    <w:rsid w:val="005A389E"/>
    <w:rsid w:val="005A4E91"/>
    <w:rsid w:val="005A527E"/>
    <w:rsid w:val="005A5822"/>
    <w:rsid w:val="005A5844"/>
    <w:rsid w:val="005A5981"/>
    <w:rsid w:val="005A5C10"/>
    <w:rsid w:val="005A639D"/>
    <w:rsid w:val="005A63CA"/>
    <w:rsid w:val="005A66C1"/>
    <w:rsid w:val="005A6C3F"/>
    <w:rsid w:val="005A6F9D"/>
    <w:rsid w:val="005A706B"/>
    <w:rsid w:val="005A7FA8"/>
    <w:rsid w:val="005B01E3"/>
    <w:rsid w:val="005B0787"/>
    <w:rsid w:val="005B1DAC"/>
    <w:rsid w:val="005B2E63"/>
    <w:rsid w:val="005B2FFF"/>
    <w:rsid w:val="005B3736"/>
    <w:rsid w:val="005B3FE1"/>
    <w:rsid w:val="005B4025"/>
    <w:rsid w:val="005B4581"/>
    <w:rsid w:val="005B4765"/>
    <w:rsid w:val="005B49B7"/>
    <w:rsid w:val="005B4BA4"/>
    <w:rsid w:val="005B4EA7"/>
    <w:rsid w:val="005B5088"/>
    <w:rsid w:val="005B5598"/>
    <w:rsid w:val="005B5969"/>
    <w:rsid w:val="005B61AA"/>
    <w:rsid w:val="005B6E75"/>
    <w:rsid w:val="005C029B"/>
    <w:rsid w:val="005C0C29"/>
    <w:rsid w:val="005C0F84"/>
    <w:rsid w:val="005C104E"/>
    <w:rsid w:val="005C1423"/>
    <w:rsid w:val="005C15E7"/>
    <w:rsid w:val="005C1F38"/>
    <w:rsid w:val="005C27E2"/>
    <w:rsid w:val="005C2DF7"/>
    <w:rsid w:val="005C2EA4"/>
    <w:rsid w:val="005C3569"/>
    <w:rsid w:val="005C3C06"/>
    <w:rsid w:val="005C420C"/>
    <w:rsid w:val="005C4618"/>
    <w:rsid w:val="005C4EDB"/>
    <w:rsid w:val="005C4F36"/>
    <w:rsid w:val="005C559F"/>
    <w:rsid w:val="005C5F4B"/>
    <w:rsid w:val="005C647A"/>
    <w:rsid w:val="005C6613"/>
    <w:rsid w:val="005C6CA2"/>
    <w:rsid w:val="005C79E0"/>
    <w:rsid w:val="005C7AC9"/>
    <w:rsid w:val="005C7AF9"/>
    <w:rsid w:val="005C7DBF"/>
    <w:rsid w:val="005D0B12"/>
    <w:rsid w:val="005D0B66"/>
    <w:rsid w:val="005D1133"/>
    <w:rsid w:val="005D115B"/>
    <w:rsid w:val="005D2116"/>
    <w:rsid w:val="005D2C4C"/>
    <w:rsid w:val="005D3096"/>
    <w:rsid w:val="005D35BC"/>
    <w:rsid w:val="005D3FA2"/>
    <w:rsid w:val="005D45EE"/>
    <w:rsid w:val="005D4932"/>
    <w:rsid w:val="005D4C5B"/>
    <w:rsid w:val="005D4D78"/>
    <w:rsid w:val="005D511B"/>
    <w:rsid w:val="005D5E70"/>
    <w:rsid w:val="005D67ED"/>
    <w:rsid w:val="005D6802"/>
    <w:rsid w:val="005D6EBF"/>
    <w:rsid w:val="005D7D79"/>
    <w:rsid w:val="005E0D08"/>
    <w:rsid w:val="005E0E02"/>
    <w:rsid w:val="005E0E4F"/>
    <w:rsid w:val="005E1046"/>
    <w:rsid w:val="005E170C"/>
    <w:rsid w:val="005E1F0A"/>
    <w:rsid w:val="005E2333"/>
    <w:rsid w:val="005E25C1"/>
    <w:rsid w:val="005E2E40"/>
    <w:rsid w:val="005E364A"/>
    <w:rsid w:val="005E3726"/>
    <w:rsid w:val="005E385E"/>
    <w:rsid w:val="005E4760"/>
    <w:rsid w:val="005E4B4C"/>
    <w:rsid w:val="005E4B8D"/>
    <w:rsid w:val="005E539F"/>
    <w:rsid w:val="005E553D"/>
    <w:rsid w:val="005E5BDB"/>
    <w:rsid w:val="005E603A"/>
    <w:rsid w:val="005E6087"/>
    <w:rsid w:val="005E71E6"/>
    <w:rsid w:val="005E7273"/>
    <w:rsid w:val="005E7510"/>
    <w:rsid w:val="005F05AE"/>
    <w:rsid w:val="005F0677"/>
    <w:rsid w:val="005F082D"/>
    <w:rsid w:val="005F0935"/>
    <w:rsid w:val="005F0AF7"/>
    <w:rsid w:val="005F0F6D"/>
    <w:rsid w:val="005F2096"/>
    <w:rsid w:val="005F212D"/>
    <w:rsid w:val="005F2779"/>
    <w:rsid w:val="005F2C84"/>
    <w:rsid w:val="005F303E"/>
    <w:rsid w:val="005F3C2F"/>
    <w:rsid w:val="005F5517"/>
    <w:rsid w:val="005F56EA"/>
    <w:rsid w:val="005F61B4"/>
    <w:rsid w:val="005F70DF"/>
    <w:rsid w:val="005F72A3"/>
    <w:rsid w:val="005F772F"/>
    <w:rsid w:val="00600CB6"/>
    <w:rsid w:val="00601AED"/>
    <w:rsid w:val="00602960"/>
    <w:rsid w:val="00602A3F"/>
    <w:rsid w:val="00603745"/>
    <w:rsid w:val="00603942"/>
    <w:rsid w:val="00603AFF"/>
    <w:rsid w:val="00604751"/>
    <w:rsid w:val="006047AF"/>
    <w:rsid w:val="00604918"/>
    <w:rsid w:val="00604B16"/>
    <w:rsid w:val="006052BE"/>
    <w:rsid w:val="00605CF6"/>
    <w:rsid w:val="00606110"/>
    <w:rsid w:val="0060640E"/>
    <w:rsid w:val="00606C63"/>
    <w:rsid w:val="0060774F"/>
    <w:rsid w:val="0061013A"/>
    <w:rsid w:val="006101AF"/>
    <w:rsid w:val="00610452"/>
    <w:rsid w:val="00610BE1"/>
    <w:rsid w:val="00610DE8"/>
    <w:rsid w:val="006111E1"/>
    <w:rsid w:val="00611307"/>
    <w:rsid w:val="0061304B"/>
    <w:rsid w:val="006131D3"/>
    <w:rsid w:val="00613345"/>
    <w:rsid w:val="006138B9"/>
    <w:rsid w:val="006139DB"/>
    <w:rsid w:val="00613EF7"/>
    <w:rsid w:val="006141EC"/>
    <w:rsid w:val="00614385"/>
    <w:rsid w:val="00614753"/>
    <w:rsid w:val="0061499E"/>
    <w:rsid w:val="00614CF8"/>
    <w:rsid w:val="0061503B"/>
    <w:rsid w:val="0061542E"/>
    <w:rsid w:val="006159A4"/>
    <w:rsid w:val="006162AE"/>
    <w:rsid w:val="00616397"/>
    <w:rsid w:val="00617A0D"/>
    <w:rsid w:val="00617CCB"/>
    <w:rsid w:val="00620E32"/>
    <w:rsid w:val="006216CD"/>
    <w:rsid w:val="006217B1"/>
    <w:rsid w:val="00621945"/>
    <w:rsid w:val="00621DE0"/>
    <w:rsid w:val="00621EA8"/>
    <w:rsid w:val="00622A6D"/>
    <w:rsid w:val="00622D9B"/>
    <w:rsid w:val="00622F5E"/>
    <w:rsid w:val="006237C3"/>
    <w:rsid w:val="006243A9"/>
    <w:rsid w:val="00624607"/>
    <w:rsid w:val="00624F66"/>
    <w:rsid w:val="006254CA"/>
    <w:rsid w:val="00625670"/>
    <w:rsid w:val="00625E7D"/>
    <w:rsid w:val="00626DA9"/>
    <w:rsid w:val="00627436"/>
    <w:rsid w:val="006274A6"/>
    <w:rsid w:val="0062785C"/>
    <w:rsid w:val="00627A56"/>
    <w:rsid w:val="006301B2"/>
    <w:rsid w:val="00631272"/>
    <w:rsid w:val="00631858"/>
    <w:rsid w:val="00631CA0"/>
    <w:rsid w:val="0063212F"/>
    <w:rsid w:val="006324D3"/>
    <w:rsid w:val="00632549"/>
    <w:rsid w:val="006326F4"/>
    <w:rsid w:val="00632BEB"/>
    <w:rsid w:val="006334F7"/>
    <w:rsid w:val="00633E48"/>
    <w:rsid w:val="0063472B"/>
    <w:rsid w:val="00634B42"/>
    <w:rsid w:val="00634DC0"/>
    <w:rsid w:val="00634EB4"/>
    <w:rsid w:val="006361BA"/>
    <w:rsid w:val="00636290"/>
    <w:rsid w:val="00636921"/>
    <w:rsid w:val="00636DBE"/>
    <w:rsid w:val="00637AC2"/>
    <w:rsid w:val="00637AF6"/>
    <w:rsid w:val="00637D21"/>
    <w:rsid w:val="00637E64"/>
    <w:rsid w:val="00640187"/>
    <w:rsid w:val="006407BE"/>
    <w:rsid w:val="00640BCA"/>
    <w:rsid w:val="00641340"/>
    <w:rsid w:val="006429E7"/>
    <w:rsid w:val="006429F7"/>
    <w:rsid w:val="00643C87"/>
    <w:rsid w:val="0064508B"/>
    <w:rsid w:val="00646382"/>
    <w:rsid w:val="00646CDB"/>
    <w:rsid w:val="00647366"/>
    <w:rsid w:val="0064747F"/>
    <w:rsid w:val="0065056F"/>
    <w:rsid w:val="00650838"/>
    <w:rsid w:val="006508E4"/>
    <w:rsid w:val="00651681"/>
    <w:rsid w:val="00652B3D"/>
    <w:rsid w:val="00652C09"/>
    <w:rsid w:val="006532E0"/>
    <w:rsid w:val="00654944"/>
    <w:rsid w:val="00655E64"/>
    <w:rsid w:val="0065623F"/>
    <w:rsid w:val="00656466"/>
    <w:rsid w:val="006568AC"/>
    <w:rsid w:val="006568FB"/>
    <w:rsid w:val="00657564"/>
    <w:rsid w:val="00657B22"/>
    <w:rsid w:val="00661593"/>
    <w:rsid w:val="00661810"/>
    <w:rsid w:val="00661882"/>
    <w:rsid w:val="00661B30"/>
    <w:rsid w:val="00661D66"/>
    <w:rsid w:val="00662231"/>
    <w:rsid w:val="00662F78"/>
    <w:rsid w:val="00662FA2"/>
    <w:rsid w:val="00663732"/>
    <w:rsid w:val="00663AAE"/>
    <w:rsid w:val="00663D91"/>
    <w:rsid w:val="00663F15"/>
    <w:rsid w:val="00664942"/>
    <w:rsid w:val="00665505"/>
    <w:rsid w:val="00665687"/>
    <w:rsid w:val="00666F7F"/>
    <w:rsid w:val="0066713C"/>
    <w:rsid w:val="00667A34"/>
    <w:rsid w:val="00670319"/>
    <w:rsid w:val="00671720"/>
    <w:rsid w:val="00671A0E"/>
    <w:rsid w:val="00671B34"/>
    <w:rsid w:val="0067241D"/>
    <w:rsid w:val="0067319E"/>
    <w:rsid w:val="006733EA"/>
    <w:rsid w:val="00673474"/>
    <w:rsid w:val="00673C3E"/>
    <w:rsid w:val="006745D3"/>
    <w:rsid w:val="0067461C"/>
    <w:rsid w:val="00674699"/>
    <w:rsid w:val="00674AED"/>
    <w:rsid w:val="00675175"/>
    <w:rsid w:val="00675180"/>
    <w:rsid w:val="00675718"/>
    <w:rsid w:val="00675E1E"/>
    <w:rsid w:val="00676078"/>
    <w:rsid w:val="006761CA"/>
    <w:rsid w:val="00676482"/>
    <w:rsid w:val="00676618"/>
    <w:rsid w:val="0067687D"/>
    <w:rsid w:val="00676893"/>
    <w:rsid w:val="00677C5D"/>
    <w:rsid w:val="0068103D"/>
    <w:rsid w:val="00681176"/>
    <w:rsid w:val="00681DA8"/>
    <w:rsid w:val="00682C51"/>
    <w:rsid w:val="00682E58"/>
    <w:rsid w:val="00683084"/>
    <w:rsid w:val="00683E89"/>
    <w:rsid w:val="00683F47"/>
    <w:rsid w:val="006841B1"/>
    <w:rsid w:val="006843CC"/>
    <w:rsid w:val="006857DC"/>
    <w:rsid w:val="00686E75"/>
    <w:rsid w:val="0068793F"/>
    <w:rsid w:val="00687EE3"/>
    <w:rsid w:val="00687F81"/>
    <w:rsid w:val="006909BD"/>
    <w:rsid w:val="00691078"/>
    <w:rsid w:val="00691407"/>
    <w:rsid w:val="00691CED"/>
    <w:rsid w:val="00691E2C"/>
    <w:rsid w:val="00692386"/>
    <w:rsid w:val="006928A0"/>
    <w:rsid w:val="006928DC"/>
    <w:rsid w:val="00692E07"/>
    <w:rsid w:val="00694159"/>
    <w:rsid w:val="00694F3C"/>
    <w:rsid w:val="006959A6"/>
    <w:rsid w:val="0069602E"/>
    <w:rsid w:val="006960D1"/>
    <w:rsid w:val="00696274"/>
    <w:rsid w:val="0069638A"/>
    <w:rsid w:val="006965B5"/>
    <w:rsid w:val="0069670A"/>
    <w:rsid w:val="0069749A"/>
    <w:rsid w:val="00697859"/>
    <w:rsid w:val="006A0B28"/>
    <w:rsid w:val="006A13FE"/>
    <w:rsid w:val="006A1414"/>
    <w:rsid w:val="006A17CC"/>
    <w:rsid w:val="006A2222"/>
    <w:rsid w:val="006A308F"/>
    <w:rsid w:val="006A3556"/>
    <w:rsid w:val="006A3D68"/>
    <w:rsid w:val="006A405C"/>
    <w:rsid w:val="006A4699"/>
    <w:rsid w:val="006A48DE"/>
    <w:rsid w:val="006A5180"/>
    <w:rsid w:val="006A521C"/>
    <w:rsid w:val="006A5456"/>
    <w:rsid w:val="006A5A8E"/>
    <w:rsid w:val="006A5C2C"/>
    <w:rsid w:val="006A6687"/>
    <w:rsid w:val="006A6C63"/>
    <w:rsid w:val="006A7359"/>
    <w:rsid w:val="006A775D"/>
    <w:rsid w:val="006A7905"/>
    <w:rsid w:val="006B13F0"/>
    <w:rsid w:val="006B19F4"/>
    <w:rsid w:val="006B23FC"/>
    <w:rsid w:val="006B2D0D"/>
    <w:rsid w:val="006B39B2"/>
    <w:rsid w:val="006B4177"/>
    <w:rsid w:val="006B48FF"/>
    <w:rsid w:val="006B4936"/>
    <w:rsid w:val="006B4D05"/>
    <w:rsid w:val="006B550F"/>
    <w:rsid w:val="006B5B50"/>
    <w:rsid w:val="006B607B"/>
    <w:rsid w:val="006B63E9"/>
    <w:rsid w:val="006B65D2"/>
    <w:rsid w:val="006B6880"/>
    <w:rsid w:val="006B6C49"/>
    <w:rsid w:val="006B6E77"/>
    <w:rsid w:val="006B70CF"/>
    <w:rsid w:val="006B715F"/>
    <w:rsid w:val="006B740E"/>
    <w:rsid w:val="006B7733"/>
    <w:rsid w:val="006C0014"/>
    <w:rsid w:val="006C0376"/>
    <w:rsid w:val="006C0C9D"/>
    <w:rsid w:val="006C0E0B"/>
    <w:rsid w:val="006C115F"/>
    <w:rsid w:val="006C11AE"/>
    <w:rsid w:val="006C1D91"/>
    <w:rsid w:val="006C1DF3"/>
    <w:rsid w:val="006C2F2D"/>
    <w:rsid w:val="006C3210"/>
    <w:rsid w:val="006C3236"/>
    <w:rsid w:val="006C3CF8"/>
    <w:rsid w:val="006C4B47"/>
    <w:rsid w:val="006C6604"/>
    <w:rsid w:val="006C7DBB"/>
    <w:rsid w:val="006D00E9"/>
    <w:rsid w:val="006D03B1"/>
    <w:rsid w:val="006D09DF"/>
    <w:rsid w:val="006D0B68"/>
    <w:rsid w:val="006D1370"/>
    <w:rsid w:val="006D174E"/>
    <w:rsid w:val="006D1845"/>
    <w:rsid w:val="006D197C"/>
    <w:rsid w:val="006D1AC9"/>
    <w:rsid w:val="006D1C17"/>
    <w:rsid w:val="006D21F6"/>
    <w:rsid w:val="006D2233"/>
    <w:rsid w:val="006D2263"/>
    <w:rsid w:val="006D233A"/>
    <w:rsid w:val="006D256D"/>
    <w:rsid w:val="006D2751"/>
    <w:rsid w:val="006D2CC5"/>
    <w:rsid w:val="006D3AAD"/>
    <w:rsid w:val="006D44FA"/>
    <w:rsid w:val="006D4FF1"/>
    <w:rsid w:val="006D558E"/>
    <w:rsid w:val="006D70A5"/>
    <w:rsid w:val="006D72F8"/>
    <w:rsid w:val="006D787A"/>
    <w:rsid w:val="006D7E0B"/>
    <w:rsid w:val="006E0120"/>
    <w:rsid w:val="006E0406"/>
    <w:rsid w:val="006E1187"/>
    <w:rsid w:val="006E11FB"/>
    <w:rsid w:val="006E12D7"/>
    <w:rsid w:val="006E1D31"/>
    <w:rsid w:val="006E1F1D"/>
    <w:rsid w:val="006E327A"/>
    <w:rsid w:val="006E3CC3"/>
    <w:rsid w:val="006E3EE6"/>
    <w:rsid w:val="006E445F"/>
    <w:rsid w:val="006E4668"/>
    <w:rsid w:val="006E48A5"/>
    <w:rsid w:val="006E5056"/>
    <w:rsid w:val="006E5184"/>
    <w:rsid w:val="006E5837"/>
    <w:rsid w:val="006E5C30"/>
    <w:rsid w:val="006E5F08"/>
    <w:rsid w:val="006E6627"/>
    <w:rsid w:val="006E6667"/>
    <w:rsid w:val="006E6A0E"/>
    <w:rsid w:val="006E6DE8"/>
    <w:rsid w:val="006E79FE"/>
    <w:rsid w:val="006F0266"/>
    <w:rsid w:val="006F05E2"/>
    <w:rsid w:val="006F06C2"/>
    <w:rsid w:val="006F084C"/>
    <w:rsid w:val="006F109B"/>
    <w:rsid w:val="006F1201"/>
    <w:rsid w:val="006F152C"/>
    <w:rsid w:val="006F16CB"/>
    <w:rsid w:val="006F22AE"/>
    <w:rsid w:val="006F3D07"/>
    <w:rsid w:val="006F3F8B"/>
    <w:rsid w:val="006F430D"/>
    <w:rsid w:val="006F4797"/>
    <w:rsid w:val="006F4931"/>
    <w:rsid w:val="006F4A28"/>
    <w:rsid w:val="006F58A0"/>
    <w:rsid w:val="006F5A35"/>
    <w:rsid w:val="006F710D"/>
    <w:rsid w:val="006F7A11"/>
    <w:rsid w:val="006F7B5C"/>
    <w:rsid w:val="006F7C60"/>
    <w:rsid w:val="007009E9"/>
    <w:rsid w:val="00700FF5"/>
    <w:rsid w:val="00701466"/>
    <w:rsid w:val="0070273F"/>
    <w:rsid w:val="007031DE"/>
    <w:rsid w:val="00703D79"/>
    <w:rsid w:val="00704925"/>
    <w:rsid w:val="00704D25"/>
    <w:rsid w:val="00704F57"/>
    <w:rsid w:val="00704F9D"/>
    <w:rsid w:val="00705FDA"/>
    <w:rsid w:val="00706310"/>
    <w:rsid w:val="007069CF"/>
    <w:rsid w:val="007071DA"/>
    <w:rsid w:val="00707518"/>
    <w:rsid w:val="00710057"/>
    <w:rsid w:val="00710535"/>
    <w:rsid w:val="007119CD"/>
    <w:rsid w:val="00711CD4"/>
    <w:rsid w:val="00711DD9"/>
    <w:rsid w:val="00711FEE"/>
    <w:rsid w:val="00712039"/>
    <w:rsid w:val="007128FE"/>
    <w:rsid w:val="00713062"/>
    <w:rsid w:val="007131B9"/>
    <w:rsid w:val="00713B76"/>
    <w:rsid w:val="00713BE6"/>
    <w:rsid w:val="00714810"/>
    <w:rsid w:val="00714AB6"/>
    <w:rsid w:val="00714BAE"/>
    <w:rsid w:val="00715112"/>
    <w:rsid w:val="0071541A"/>
    <w:rsid w:val="0071558C"/>
    <w:rsid w:val="00715924"/>
    <w:rsid w:val="00715A0C"/>
    <w:rsid w:val="0071648E"/>
    <w:rsid w:val="0071650B"/>
    <w:rsid w:val="007165E1"/>
    <w:rsid w:val="0071666D"/>
    <w:rsid w:val="00716F6B"/>
    <w:rsid w:val="007171EC"/>
    <w:rsid w:val="00717542"/>
    <w:rsid w:val="00717654"/>
    <w:rsid w:val="00717898"/>
    <w:rsid w:val="00717C4A"/>
    <w:rsid w:val="00720153"/>
    <w:rsid w:val="00720266"/>
    <w:rsid w:val="00720640"/>
    <w:rsid w:val="00720FF2"/>
    <w:rsid w:val="0072103E"/>
    <w:rsid w:val="00721418"/>
    <w:rsid w:val="007223C6"/>
    <w:rsid w:val="007226AD"/>
    <w:rsid w:val="00722BA7"/>
    <w:rsid w:val="00723041"/>
    <w:rsid w:val="00724103"/>
    <w:rsid w:val="007252F5"/>
    <w:rsid w:val="00725945"/>
    <w:rsid w:val="00725B47"/>
    <w:rsid w:val="00726790"/>
    <w:rsid w:val="00726BE4"/>
    <w:rsid w:val="00726CDA"/>
    <w:rsid w:val="00727290"/>
    <w:rsid w:val="007275D9"/>
    <w:rsid w:val="00727BF1"/>
    <w:rsid w:val="00727CC5"/>
    <w:rsid w:val="00727F99"/>
    <w:rsid w:val="0073016E"/>
    <w:rsid w:val="00730607"/>
    <w:rsid w:val="0073096F"/>
    <w:rsid w:val="007311D9"/>
    <w:rsid w:val="0073129A"/>
    <w:rsid w:val="0073143E"/>
    <w:rsid w:val="007323DE"/>
    <w:rsid w:val="00732AD7"/>
    <w:rsid w:val="00733D28"/>
    <w:rsid w:val="0073412D"/>
    <w:rsid w:val="00734AF3"/>
    <w:rsid w:val="007356AF"/>
    <w:rsid w:val="00736C11"/>
    <w:rsid w:val="00736C32"/>
    <w:rsid w:val="00737553"/>
    <w:rsid w:val="00737C3F"/>
    <w:rsid w:val="00740E51"/>
    <w:rsid w:val="00741DA3"/>
    <w:rsid w:val="0074294C"/>
    <w:rsid w:val="00742A48"/>
    <w:rsid w:val="00742C8B"/>
    <w:rsid w:val="00742CB5"/>
    <w:rsid w:val="00742F7F"/>
    <w:rsid w:val="00743796"/>
    <w:rsid w:val="007437C7"/>
    <w:rsid w:val="00743F24"/>
    <w:rsid w:val="00743F92"/>
    <w:rsid w:val="0074416F"/>
    <w:rsid w:val="007445EE"/>
    <w:rsid w:val="00744A44"/>
    <w:rsid w:val="00744CA1"/>
    <w:rsid w:val="007451FF"/>
    <w:rsid w:val="00745C12"/>
    <w:rsid w:val="00746762"/>
    <w:rsid w:val="007469AC"/>
    <w:rsid w:val="00746AA2"/>
    <w:rsid w:val="007471EF"/>
    <w:rsid w:val="0074732A"/>
    <w:rsid w:val="007479AA"/>
    <w:rsid w:val="00750493"/>
    <w:rsid w:val="00750E54"/>
    <w:rsid w:val="00750E91"/>
    <w:rsid w:val="00751113"/>
    <w:rsid w:val="007511F5"/>
    <w:rsid w:val="00751919"/>
    <w:rsid w:val="007519AA"/>
    <w:rsid w:val="0075273C"/>
    <w:rsid w:val="0075331B"/>
    <w:rsid w:val="00753E4A"/>
    <w:rsid w:val="007544FE"/>
    <w:rsid w:val="00755163"/>
    <w:rsid w:val="007554EA"/>
    <w:rsid w:val="00755BA0"/>
    <w:rsid w:val="00756E3B"/>
    <w:rsid w:val="007573B1"/>
    <w:rsid w:val="007576E6"/>
    <w:rsid w:val="00760246"/>
    <w:rsid w:val="00761146"/>
    <w:rsid w:val="007611F3"/>
    <w:rsid w:val="007617B1"/>
    <w:rsid w:val="00761973"/>
    <w:rsid w:val="007619FF"/>
    <w:rsid w:val="00762251"/>
    <w:rsid w:val="007627A9"/>
    <w:rsid w:val="00762C14"/>
    <w:rsid w:val="00762F37"/>
    <w:rsid w:val="007630F6"/>
    <w:rsid w:val="00763671"/>
    <w:rsid w:val="00763C84"/>
    <w:rsid w:val="00763FBD"/>
    <w:rsid w:val="007642B0"/>
    <w:rsid w:val="007643E7"/>
    <w:rsid w:val="007658BC"/>
    <w:rsid w:val="00765935"/>
    <w:rsid w:val="00765EC6"/>
    <w:rsid w:val="0076673A"/>
    <w:rsid w:val="0076677C"/>
    <w:rsid w:val="0076692B"/>
    <w:rsid w:val="00766DD7"/>
    <w:rsid w:val="0076708E"/>
    <w:rsid w:val="007672C3"/>
    <w:rsid w:val="007672F7"/>
    <w:rsid w:val="0076738D"/>
    <w:rsid w:val="0076788E"/>
    <w:rsid w:val="00767B24"/>
    <w:rsid w:val="00767D56"/>
    <w:rsid w:val="00770233"/>
    <w:rsid w:val="00770490"/>
    <w:rsid w:val="0077077A"/>
    <w:rsid w:val="0077100D"/>
    <w:rsid w:val="0077170E"/>
    <w:rsid w:val="007718F5"/>
    <w:rsid w:val="00771A12"/>
    <w:rsid w:val="00771A68"/>
    <w:rsid w:val="007723C7"/>
    <w:rsid w:val="007729E7"/>
    <w:rsid w:val="00772A5E"/>
    <w:rsid w:val="00772E08"/>
    <w:rsid w:val="00773448"/>
    <w:rsid w:val="007738F1"/>
    <w:rsid w:val="00773D01"/>
    <w:rsid w:val="00773E22"/>
    <w:rsid w:val="00774245"/>
    <w:rsid w:val="007744B7"/>
    <w:rsid w:val="007751DA"/>
    <w:rsid w:val="007755A6"/>
    <w:rsid w:val="007756A0"/>
    <w:rsid w:val="0077585B"/>
    <w:rsid w:val="00775AA0"/>
    <w:rsid w:val="00776019"/>
    <w:rsid w:val="00776242"/>
    <w:rsid w:val="00776598"/>
    <w:rsid w:val="00777585"/>
    <w:rsid w:val="007779E7"/>
    <w:rsid w:val="0078011F"/>
    <w:rsid w:val="00780623"/>
    <w:rsid w:val="00780699"/>
    <w:rsid w:val="0078086D"/>
    <w:rsid w:val="0078133E"/>
    <w:rsid w:val="0078153D"/>
    <w:rsid w:val="00781937"/>
    <w:rsid w:val="007819D7"/>
    <w:rsid w:val="007826D2"/>
    <w:rsid w:val="00782C98"/>
    <w:rsid w:val="00783061"/>
    <w:rsid w:val="007830CA"/>
    <w:rsid w:val="007832C6"/>
    <w:rsid w:val="00783539"/>
    <w:rsid w:val="00783650"/>
    <w:rsid w:val="00784151"/>
    <w:rsid w:val="00784566"/>
    <w:rsid w:val="007847AC"/>
    <w:rsid w:val="00784BCF"/>
    <w:rsid w:val="0078507B"/>
    <w:rsid w:val="0078585D"/>
    <w:rsid w:val="00785B71"/>
    <w:rsid w:val="00786078"/>
    <w:rsid w:val="007862BB"/>
    <w:rsid w:val="0078727A"/>
    <w:rsid w:val="007877A7"/>
    <w:rsid w:val="007878B5"/>
    <w:rsid w:val="007879D6"/>
    <w:rsid w:val="00787FB6"/>
    <w:rsid w:val="0079164B"/>
    <w:rsid w:val="00792392"/>
    <w:rsid w:val="00792413"/>
    <w:rsid w:val="007926D1"/>
    <w:rsid w:val="00793432"/>
    <w:rsid w:val="00794339"/>
    <w:rsid w:val="0079455F"/>
    <w:rsid w:val="00794F7E"/>
    <w:rsid w:val="00794FB0"/>
    <w:rsid w:val="00795050"/>
    <w:rsid w:val="00795328"/>
    <w:rsid w:val="007954A3"/>
    <w:rsid w:val="007954D7"/>
    <w:rsid w:val="00795632"/>
    <w:rsid w:val="0079568E"/>
    <w:rsid w:val="00795C6E"/>
    <w:rsid w:val="00795F0A"/>
    <w:rsid w:val="007960F0"/>
    <w:rsid w:val="007968F1"/>
    <w:rsid w:val="00797176"/>
    <w:rsid w:val="00797D85"/>
    <w:rsid w:val="007A0836"/>
    <w:rsid w:val="007A0CFE"/>
    <w:rsid w:val="007A14DC"/>
    <w:rsid w:val="007A1E93"/>
    <w:rsid w:val="007A2706"/>
    <w:rsid w:val="007A28D7"/>
    <w:rsid w:val="007A2DC7"/>
    <w:rsid w:val="007A353F"/>
    <w:rsid w:val="007A35A6"/>
    <w:rsid w:val="007A39A7"/>
    <w:rsid w:val="007A3F17"/>
    <w:rsid w:val="007A4FA1"/>
    <w:rsid w:val="007A7212"/>
    <w:rsid w:val="007A7F2F"/>
    <w:rsid w:val="007B02D6"/>
    <w:rsid w:val="007B15C7"/>
    <w:rsid w:val="007B1C55"/>
    <w:rsid w:val="007B2313"/>
    <w:rsid w:val="007B33C7"/>
    <w:rsid w:val="007B3586"/>
    <w:rsid w:val="007B35B9"/>
    <w:rsid w:val="007B5260"/>
    <w:rsid w:val="007B56AE"/>
    <w:rsid w:val="007B5A80"/>
    <w:rsid w:val="007B5DE1"/>
    <w:rsid w:val="007B60F2"/>
    <w:rsid w:val="007B6390"/>
    <w:rsid w:val="007B649E"/>
    <w:rsid w:val="007B67B5"/>
    <w:rsid w:val="007B6846"/>
    <w:rsid w:val="007B6FCF"/>
    <w:rsid w:val="007C049A"/>
    <w:rsid w:val="007C061A"/>
    <w:rsid w:val="007C0A94"/>
    <w:rsid w:val="007C0D22"/>
    <w:rsid w:val="007C1910"/>
    <w:rsid w:val="007C1CF5"/>
    <w:rsid w:val="007C1F44"/>
    <w:rsid w:val="007C22F3"/>
    <w:rsid w:val="007C256A"/>
    <w:rsid w:val="007C3110"/>
    <w:rsid w:val="007C315C"/>
    <w:rsid w:val="007C3989"/>
    <w:rsid w:val="007C4A70"/>
    <w:rsid w:val="007C64FB"/>
    <w:rsid w:val="007C65D3"/>
    <w:rsid w:val="007C673E"/>
    <w:rsid w:val="007C69C9"/>
    <w:rsid w:val="007C69CA"/>
    <w:rsid w:val="007C75E9"/>
    <w:rsid w:val="007D0538"/>
    <w:rsid w:val="007D0A88"/>
    <w:rsid w:val="007D0CD9"/>
    <w:rsid w:val="007D116D"/>
    <w:rsid w:val="007D1464"/>
    <w:rsid w:val="007D1FA4"/>
    <w:rsid w:val="007D34DD"/>
    <w:rsid w:val="007D36A5"/>
    <w:rsid w:val="007D389A"/>
    <w:rsid w:val="007D3C47"/>
    <w:rsid w:val="007D3CB8"/>
    <w:rsid w:val="007D3DE2"/>
    <w:rsid w:val="007D420A"/>
    <w:rsid w:val="007D4D05"/>
    <w:rsid w:val="007D4F16"/>
    <w:rsid w:val="007D572F"/>
    <w:rsid w:val="007D5E20"/>
    <w:rsid w:val="007D600E"/>
    <w:rsid w:val="007D6A49"/>
    <w:rsid w:val="007D6B82"/>
    <w:rsid w:val="007D77E4"/>
    <w:rsid w:val="007D78D8"/>
    <w:rsid w:val="007D79B7"/>
    <w:rsid w:val="007D7B34"/>
    <w:rsid w:val="007E0626"/>
    <w:rsid w:val="007E0779"/>
    <w:rsid w:val="007E15E4"/>
    <w:rsid w:val="007E2699"/>
    <w:rsid w:val="007E26B2"/>
    <w:rsid w:val="007E27E4"/>
    <w:rsid w:val="007E2CCB"/>
    <w:rsid w:val="007E2EAC"/>
    <w:rsid w:val="007E366B"/>
    <w:rsid w:val="007E3739"/>
    <w:rsid w:val="007E4008"/>
    <w:rsid w:val="007E44AC"/>
    <w:rsid w:val="007E4DFB"/>
    <w:rsid w:val="007E543E"/>
    <w:rsid w:val="007E569D"/>
    <w:rsid w:val="007E58F8"/>
    <w:rsid w:val="007E5984"/>
    <w:rsid w:val="007E5D8F"/>
    <w:rsid w:val="007E620F"/>
    <w:rsid w:val="007E657A"/>
    <w:rsid w:val="007E6872"/>
    <w:rsid w:val="007E692B"/>
    <w:rsid w:val="007E6952"/>
    <w:rsid w:val="007E6A49"/>
    <w:rsid w:val="007E6CCA"/>
    <w:rsid w:val="007E7A57"/>
    <w:rsid w:val="007E7F46"/>
    <w:rsid w:val="007F0412"/>
    <w:rsid w:val="007F0693"/>
    <w:rsid w:val="007F0826"/>
    <w:rsid w:val="007F084D"/>
    <w:rsid w:val="007F0C8F"/>
    <w:rsid w:val="007F0D67"/>
    <w:rsid w:val="007F1465"/>
    <w:rsid w:val="007F175D"/>
    <w:rsid w:val="007F3344"/>
    <w:rsid w:val="007F3436"/>
    <w:rsid w:val="007F4FA8"/>
    <w:rsid w:val="007F52EA"/>
    <w:rsid w:val="007F5414"/>
    <w:rsid w:val="007F54B4"/>
    <w:rsid w:val="007F5840"/>
    <w:rsid w:val="007F6084"/>
    <w:rsid w:val="007F76DB"/>
    <w:rsid w:val="007F775A"/>
    <w:rsid w:val="007F7982"/>
    <w:rsid w:val="00800292"/>
    <w:rsid w:val="00800B99"/>
    <w:rsid w:val="00800B9A"/>
    <w:rsid w:val="00800DC4"/>
    <w:rsid w:val="00800FDF"/>
    <w:rsid w:val="008010C6"/>
    <w:rsid w:val="00801657"/>
    <w:rsid w:val="00801C1D"/>
    <w:rsid w:val="008028D3"/>
    <w:rsid w:val="00802E9F"/>
    <w:rsid w:val="00803D45"/>
    <w:rsid w:val="0080422D"/>
    <w:rsid w:val="00804510"/>
    <w:rsid w:val="00806DDB"/>
    <w:rsid w:val="00807965"/>
    <w:rsid w:val="00807C2C"/>
    <w:rsid w:val="00810028"/>
    <w:rsid w:val="00810FD6"/>
    <w:rsid w:val="008111AE"/>
    <w:rsid w:val="0081122D"/>
    <w:rsid w:val="0081141D"/>
    <w:rsid w:val="00811E64"/>
    <w:rsid w:val="008124BF"/>
    <w:rsid w:val="00812506"/>
    <w:rsid w:val="008126F4"/>
    <w:rsid w:val="0081295C"/>
    <w:rsid w:val="00812E48"/>
    <w:rsid w:val="00813A0F"/>
    <w:rsid w:val="008146BC"/>
    <w:rsid w:val="008148E8"/>
    <w:rsid w:val="008149D2"/>
    <w:rsid w:val="00815BB6"/>
    <w:rsid w:val="0081649C"/>
    <w:rsid w:val="00816B46"/>
    <w:rsid w:val="00816C0F"/>
    <w:rsid w:val="00816CB0"/>
    <w:rsid w:val="00816DBF"/>
    <w:rsid w:val="00816FB5"/>
    <w:rsid w:val="00817420"/>
    <w:rsid w:val="0081769E"/>
    <w:rsid w:val="00817B9B"/>
    <w:rsid w:val="00817F26"/>
    <w:rsid w:val="0082057F"/>
    <w:rsid w:val="00820BD1"/>
    <w:rsid w:val="00820C1C"/>
    <w:rsid w:val="008211FC"/>
    <w:rsid w:val="00821FFF"/>
    <w:rsid w:val="00822414"/>
    <w:rsid w:val="008228B4"/>
    <w:rsid w:val="00822AE7"/>
    <w:rsid w:val="00823297"/>
    <w:rsid w:val="00823830"/>
    <w:rsid w:val="00823BB5"/>
    <w:rsid w:val="00824125"/>
    <w:rsid w:val="00824646"/>
    <w:rsid w:val="008252AC"/>
    <w:rsid w:val="00825759"/>
    <w:rsid w:val="00825C41"/>
    <w:rsid w:val="00825C42"/>
    <w:rsid w:val="00827529"/>
    <w:rsid w:val="00827886"/>
    <w:rsid w:val="00827D35"/>
    <w:rsid w:val="00830098"/>
    <w:rsid w:val="00830A02"/>
    <w:rsid w:val="00830C3F"/>
    <w:rsid w:val="008310F0"/>
    <w:rsid w:val="00831661"/>
    <w:rsid w:val="008317A9"/>
    <w:rsid w:val="008318ED"/>
    <w:rsid w:val="00831D2A"/>
    <w:rsid w:val="00831EB2"/>
    <w:rsid w:val="00832191"/>
    <w:rsid w:val="008326DD"/>
    <w:rsid w:val="00832A2E"/>
    <w:rsid w:val="00833C3E"/>
    <w:rsid w:val="008340F9"/>
    <w:rsid w:val="00834D21"/>
    <w:rsid w:val="008350D2"/>
    <w:rsid w:val="00835477"/>
    <w:rsid w:val="0083554A"/>
    <w:rsid w:val="00835906"/>
    <w:rsid w:val="00836309"/>
    <w:rsid w:val="00836647"/>
    <w:rsid w:val="008366C2"/>
    <w:rsid w:val="00836715"/>
    <w:rsid w:val="0083679E"/>
    <w:rsid w:val="008372DB"/>
    <w:rsid w:val="008378F7"/>
    <w:rsid w:val="00837CE5"/>
    <w:rsid w:val="00837EBD"/>
    <w:rsid w:val="00840003"/>
    <w:rsid w:val="00840224"/>
    <w:rsid w:val="00840D97"/>
    <w:rsid w:val="008414C1"/>
    <w:rsid w:val="00841C5F"/>
    <w:rsid w:val="0084231B"/>
    <w:rsid w:val="008427B6"/>
    <w:rsid w:val="00842F7B"/>
    <w:rsid w:val="00843964"/>
    <w:rsid w:val="008442E8"/>
    <w:rsid w:val="00844AAB"/>
    <w:rsid w:val="00844D56"/>
    <w:rsid w:val="00845716"/>
    <w:rsid w:val="00845C06"/>
    <w:rsid w:val="00845E41"/>
    <w:rsid w:val="0084617A"/>
    <w:rsid w:val="00846202"/>
    <w:rsid w:val="0084678A"/>
    <w:rsid w:val="00846A62"/>
    <w:rsid w:val="00846E91"/>
    <w:rsid w:val="0084731E"/>
    <w:rsid w:val="008473C6"/>
    <w:rsid w:val="00850232"/>
    <w:rsid w:val="008508E3"/>
    <w:rsid w:val="00851240"/>
    <w:rsid w:val="0085157B"/>
    <w:rsid w:val="008517E0"/>
    <w:rsid w:val="00851E30"/>
    <w:rsid w:val="00851F62"/>
    <w:rsid w:val="008522B3"/>
    <w:rsid w:val="00852672"/>
    <w:rsid w:val="00852A2B"/>
    <w:rsid w:val="00853369"/>
    <w:rsid w:val="00853651"/>
    <w:rsid w:val="008537C9"/>
    <w:rsid w:val="00853892"/>
    <w:rsid w:val="00853ED2"/>
    <w:rsid w:val="00853FD4"/>
    <w:rsid w:val="00854BA4"/>
    <w:rsid w:val="00854E35"/>
    <w:rsid w:val="00855121"/>
    <w:rsid w:val="0085644C"/>
    <w:rsid w:val="00856890"/>
    <w:rsid w:val="008569E1"/>
    <w:rsid w:val="00856F1F"/>
    <w:rsid w:val="00857088"/>
    <w:rsid w:val="00857B38"/>
    <w:rsid w:val="0086034E"/>
    <w:rsid w:val="008609C7"/>
    <w:rsid w:val="00860A27"/>
    <w:rsid w:val="0086112A"/>
    <w:rsid w:val="0086172F"/>
    <w:rsid w:val="008619AD"/>
    <w:rsid w:val="00861CAD"/>
    <w:rsid w:val="00861D53"/>
    <w:rsid w:val="00862902"/>
    <w:rsid w:val="0086293D"/>
    <w:rsid w:val="008629FA"/>
    <w:rsid w:val="00862C31"/>
    <w:rsid w:val="00863443"/>
    <w:rsid w:val="00863938"/>
    <w:rsid w:val="00864194"/>
    <w:rsid w:val="0086516D"/>
    <w:rsid w:val="00865B35"/>
    <w:rsid w:val="00866568"/>
    <w:rsid w:val="00866B2F"/>
    <w:rsid w:val="00867230"/>
    <w:rsid w:val="00867BC3"/>
    <w:rsid w:val="00867F30"/>
    <w:rsid w:val="00867F9C"/>
    <w:rsid w:val="00870146"/>
    <w:rsid w:val="0087090D"/>
    <w:rsid w:val="008712F7"/>
    <w:rsid w:val="008718CB"/>
    <w:rsid w:val="00871B9D"/>
    <w:rsid w:val="00872209"/>
    <w:rsid w:val="0087225A"/>
    <w:rsid w:val="008726BC"/>
    <w:rsid w:val="0087278C"/>
    <w:rsid w:val="00872F4F"/>
    <w:rsid w:val="00873177"/>
    <w:rsid w:val="008733E7"/>
    <w:rsid w:val="008734F6"/>
    <w:rsid w:val="008735C0"/>
    <w:rsid w:val="00873AD6"/>
    <w:rsid w:val="00873C42"/>
    <w:rsid w:val="00874119"/>
    <w:rsid w:val="008747DB"/>
    <w:rsid w:val="0087515C"/>
    <w:rsid w:val="008756DD"/>
    <w:rsid w:val="00875BEA"/>
    <w:rsid w:val="008760D2"/>
    <w:rsid w:val="008776F6"/>
    <w:rsid w:val="00877A73"/>
    <w:rsid w:val="0088042D"/>
    <w:rsid w:val="00880AEF"/>
    <w:rsid w:val="00880DCC"/>
    <w:rsid w:val="00880F09"/>
    <w:rsid w:val="00881FE8"/>
    <w:rsid w:val="00882075"/>
    <w:rsid w:val="008821A2"/>
    <w:rsid w:val="008826B8"/>
    <w:rsid w:val="0088275A"/>
    <w:rsid w:val="008829FD"/>
    <w:rsid w:val="00883216"/>
    <w:rsid w:val="00883295"/>
    <w:rsid w:val="0088339A"/>
    <w:rsid w:val="00883AF7"/>
    <w:rsid w:val="00883C6A"/>
    <w:rsid w:val="008847B5"/>
    <w:rsid w:val="00884831"/>
    <w:rsid w:val="00884F64"/>
    <w:rsid w:val="008850A3"/>
    <w:rsid w:val="00885AE3"/>
    <w:rsid w:val="0088657B"/>
    <w:rsid w:val="008866C7"/>
    <w:rsid w:val="0088680E"/>
    <w:rsid w:val="00886C5F"/>
    <w:rsid w:val="00887541"/>
    <w:rsid w:val="0088754D"/>
    <w:rsid w:val="008906F4"/>
    <w:rsid w:val="00890729"/>
    <w:rsid w:val="008909A5"/>
    <w:rsid w:val="00890E0A"/>
    <w:rsid w:val="00890E79"/>
    <w:rsid w:val="00891062"/>
    <w:rsid w:val="00891B63"/>
    <w:rsid w:val="00892FA7"/>
    <w:rsid w:val="00893ACA"/>
    <w:rsid w:val="00893BF2"/>
    <w:rsid w:val="008940B3"/>
    <w:rsid w:val="0089415A"/>
    <w:rsid w:val="008941E9"/>
    <w:rsid w:val="008943BC"/>
    <w:rsid w:val="00894BCA"/>
    <w:rsid w:val="00894F86"/>
    <w:rsid w:val="00895212"/>
    <w:rsid w:val="0089567C"/>
    <w:rsid w:val="00895A50"/>
    <w:rsid w:val="00895BB0"/>
    <w:rsid w:val="008962E8"/>
    <w:rsid w:val="00897079"/>
    <w:rsid w:val="008970C9"/>
    <w:rsid w:val="008975EA"/>
    <w:rsid w:val="008A0956"/>
    <w:rsid w:val="008A0C66"/>
    <w:rsid w:val="008A0EDA"/>
    <w:rsid w:val="008A1325"/>
    <w:rsid w:val="008A224B"/>
    <w:rsid w:val="008A2AB8"/>
    <w:rsid w:val="008A3405"/>
    <w:rsid w:val="008A355D"/>
    <w:rsid w:val="008A40C6"/>
    <w:rsid w:val="008A623C"/>
    <w:rsid w:val="008A65A3"/>
    <w:rsid w:val="008A73E7"/>
    <w:rsid w:val="008A7B44"/>
    <w:rsid w:val="008B0E58"/>
    <w:rsid w:val="008B1E77"/>
    <w:rsid w:val="008B200B"/>
    <w:rsid w:val="008B3384"/>
    <w:rsid w:val="008B34BB"/>
    <w:rsid w:val="008B453C"/>
    <w:rsid w:val="008B4A2F"/>
    <w:rsid w:val="008B5098"/>
    <w:rsid w:val="008B51A2"/>
    <w:rsid w:val="008B5DB8"/>
    <w:rsid w:val="008B5F6E"/>
    <w:rsid w:val="008B68B3"/>
    <w:rsid w:val="008B6DB1"/>
    <w:rsid w:val="008B7C8D"/>
    <w:rsid w:val="008C0D46"/>
    <w:rsid w:val="008C0DBF"/>
    <w:rsid w:val="008C0F86"/>
    <w:rsid w:val="008C133D"/>
    <w:rsid w:val="008C189D"/>
    <w:rsid w:val="008C2DFD"/>
    <w:rsid w:val="008C2E9B"/>
    <w:rsid w:val="008C32C5"/>
    <w:rsid w:val="008C3C68"/>
    <w:rsid w:val="008C3C84"/>
    <w:rsid w:val="008C3CB5"/>
    <w:rsid w:val="008C40BE"/>
    <w:rsid w:val="008C4A76"/>
    <w:rsid w:val="008C4DDB"/>
    <w:rsid w:val="008C4EF9"/>
    <w:rsid w:val="008C5049"/>
    <w:rsid w:val="008C5578"/>
    <w:rsid w:val="008C5C85"/>
    <w:rsid w:val="008C5DAF"/>
    <w:rsid w:val="008C61C0"/>
    <w:rsid w:val="008C6CF6"/>
    <w:rsid w:val="008C6D11"/>
    <w:rsid w:val="008C7100"/>
    <w:rsid w:val="008C71D2"/>
    <w:rsid w:val="008C759A"/>
    <w:rsid w:val="008C7A7B"/>
    <w:rsid w:val="008C7D1B"/>
    <w:rsid w:val="008D07A5"/>
    <w:rsid w:val="008D0867"/>
    <w:rsid w:val="008D119D"/>
    <w:rsid w:val="008D18F2"/>
    <w:rsid w:val="008D22C9"/>
    <w:rsid w:val="008D22EE"/>
    <w:rsid w:val="008D2492"/>
    <w:rsid w:val="008D24EF"/>
    <w:rsid w:val="008D2699"/>
    <w:rsid w:val="008D276E"/>
    <w:rsid w:val="008D3B3C"/>
    <w:rsid w:val="008D3BCC"/>
    <w:rsid w:val="008D3F35"/>
    <w:rsid w:val="008D3FF4"/>
    <w:rsid w:val="008D456F"/>
    <w:rsid w:val="008D476E"/>
    <w:rsid w:val="008D486D"/>
    <w:rsid w:val="008D50FE"/>
    <w:rsid w:val="008D5375"/>
    <w:rsid w:val="008D5A3E"/>
    <w:rsid w:val="008D5A84"/>
    <w:rsid w:val="008D6166"/>
    <w:rsid w:val="008D643A"/>
    <w:rsid w:val="008E103A"/>
    <w:rsid w:val="008E106F"/>
    <w:rsid w:val="008E1402"/>
    <w:rsid w:val="008E146D"/>
    <w:rsid w:val="008E1CA6"/>
    <w:rsid w:val="008E2022"/>
    <w:rsid w:val="008E3979"/>
    <w:rsid w:val="008E4AF5"/>
    <w:rsid w:val="008E59A4"/>
    <w:rsid w:val="008E6007"/>
    <w:rsid w:val="008E67DD"/>
    <w:rsid w:val="008E7AE4"/>
    <w:rsid w:val="008F0262"/>
    <w:rsid w:val="008F06E6"/>
    <w:rsid w:val="008F0B47"/>
    <w:rsid w:val="008F14E3"/>
    <w:rsid w:val="008F152E"/>
    <w:rsid w:val="008F1C78"/>
    <w:rsid w:val="008F2858"/>
    <w:rsid w:val="008F2A08"/>
    <w:rsid w:val="008F2D62"/>
    <w:rsid w:val="008F336B"/>
    <w:rsid w:val="008F34AA"/>
    <w:rsid w:val="008F3575"/>
    <w:rsid w:val="008F3928"/>
    <w:rsid w:val="008F3BAC"/>
    <w:rsid w:val="008F4546"/>
    <w:rsid w:val="008F5280"/>
    <w:rsid w:val="008F530A"/>
    <w:rsid w:val="008F5388"/>
    <w:rsid w:val="008F5711"/>
    <w:rsid w:val="008F6A78"/>
    <w:rsid w:val="008F6ABD"/>
    <w:rsid w:val="008F6BBB"/>
    <w:rsid w:val="008F776C"/>
    <w:rsid w:val="008F7AAF"/>
    <w:rsid w:val="008F7E04"/>
    <w:rsid w:val="0090039F"/>
    <w:rsid w:val="00900739"/>
    <w:rsid w:val="00900A64"/>
    <w:rsid w:val="009010E2"/>
    <w:rsid w:val="00902BE4"/>
    <w:rsid w:val="00903C98"/>
    <w:rsid w:val="00904404"/>
    <w:rsid w:val="00904571"/>
    <w:rsid w:val="00904621"/>
    <w:rsid w:val="00904D14"/>
    <w:rsid w:val="00905170"/>
    <w:rsid w:val="009052FD"/>
    <w:rsid w:val="00905ED5"/>
    <w:rsid w:val="00906363"/>
    <w:rsid w:val="00906C5E"/>
    <w:rsid w:val="00906FB7"/>
    <w:rsid w:val="0090738D"/>
    <w:rsid w:val="00910048"/>
    <w:rsid w:val="00910306"/>
    <w:rsid w:val="009105E8"/>
    <w:rsid w:val="009107AD"/>
    <w:rsid w:val="00910D9A"/>
    <w:rsid w:val="00910EB4"/>
    <w:rsid w:val="00911A7F"/>
    <w:rsid w:val="00911CD6"/>
    <w:rsid w:val="00912095"/>
    <w:rsid w:val="00912214"/>
    <w:rsid w:val="00912AC3"/>
    <w:rsid w:val="00912E02"/>
    <w:rsid w:val="00913F04"/>
    <w:rsid w:val="009149CE"/>
    <w:rsid w:val="00914EB0"/>
    <w:rsid w:val="009150A6"/>
    <w:rsid w:val="0091564C"/>
    <w:rsid w:val="009160A1"/>
    <w:rsid w:val="00916940"/>
    <w:rsid w:val="00916F98"/>
    <w:rsid w:val="009171D5"/>
    <w:rsid w:val="00917C7F"/>
    <w:rsid w:val="00917CEC"/>
    <w:rsid w:val="00920711"/>
    <w:rsid w:val="00920F18"/>
    <w:rsid w:val="00920F52"/>
    <w:rsid w:val="00921092"/>
    <w:rsid w:val="00921943"/>
    <w:rsid w:val="009223A9"/>
    <w:rsid w:val="009227E1"/>
    <w:rsid w:val="009229F4"/>
    <w:rsid w:val="00922C22"/>
    <w:rsid w:val="00923E5F"/>
    <w:rsid w:val="0092442F"/>
    <w:rsid w:val="00924751"/>
    <w:rsid w:val="00924B4E"/>
    <w:rsid w:val="00924DC3"/>
    <w:rsid w:val="009256C8"/>
    <w:rsid w:val="00925B3C"/>
    <w:rsid w:val="00926701"/>
    <w:rsid w:val="009269D8"/>
    <w:rsid w:val="00926B63"/>
    <w:rsid w:val="00926DFC"/>
    <w:rsid w:val="00926E3A"/>
    <w:rsid w:val="00927178"/>
    <w:rsid w:val="009272DD"/>
    <w:rsid w:val="0092743A"/>
    <w:rsid w:val="00927516"/>
    <w:rsid w:val="00927620"/>
    <w:rsid w:val="009276A0"/>
    <w:rsid w:val="00927A2D"/>
    <w:rsid w:val="00930479"/>
    <w:rsid w:val="009309B8"/>
    <w:rsid w:val="00930E16"/>
    <w:rsid w:val="0093109B"/>
    <w:rsid w:val="0093125C"/>
    <w:rsid w:val="009316F8"/>
    <w:rsid w:val="009326BF"/>
    <w:rsid w:val="00932A28"/>
    <w:rsid w:val="009336B6"/>
    <w:rsid w:val="00933A35"/>
    <w:rsid w:val="0093430D"/>
    <w:rsid w:val="00934505"/>
    <w:rsid w:val="00934A8A"/>
    <w:rsid w:val="00936247"/>
    <w:rsid w:val="009364CE"/>
    <w:rsid w:val="009377C6"/>
    <w:rsid w:val="00937B4E"/>
    <w:rsid w:val="00937BC7"/>
    <w:rsid w:val="00937C43"/>
    <w:rsid w:val="00937E60"/>
    <w:rsid w:val="0094036D"/>
    <w:rsid w:val="00940D8F"/>
    <w:rsid w:val="009416CE"/>
    <w:rsid w:val="00942138"/>
    <w:rsid w:val="009428A3"/>
    <w:rsid w:val="00942A23"/>
    <w:rsid w:val="00942E9C"/>
    <w:rsid w:val="009432DF"/>
    <w:rsid w:val="009444C1"/>
    <w:rsid w:val="00944C3E"/>
    <w:rsid w:val="00945321"/>
    <w:rsid w:val="00945473"/>
    <w:rsid w:val="009459BD"/>
    <w:rsid w:val="00946D02"/>
    <w:rsid w:val="00946D31"/>
    <w:rsid w:val="00946FAA"/>
    <w:rsid w:val="009501D9"/>
    <w:rsid w:val="009509CE"/>
    <w:rsid w:val="0095187E"/>
    <w:rsid w:val="00952218"/>
    <w:rsid w:val="009527A5"/>
    <w:rsid w:val="009528D2"/>
    <w:rsid w:val="00952DEB"/>
    <w:rsid w:val="00953326"/>
    <w:rsid w:val="00953B85"/>
    <w:rsid w:val="009540FA"/>
    <w:rsid w:val="00955AD6"/>
    <w:rsid w:val="00955C64"/>
    <w:rsid w:val="00956186"/>
    <w:rsid w:val="0095641D"/>
    <w:rsid w:val="009572A2"/>
    <w:rsid w:val="00957684"/>
    <w:rsid w:val="00960149"/>
    <w:rsid w:val="0096030D"/>
    <w:rsid w:val="00960C69"/>
    <w:rsid w:val="0096144A"/>
    <w:rsid w:val="00961710"/>
    <w:rsid w:val="00961A84"/>
    <w:rsid w:val="0096207A"/>
    <w:rsid w:val="00962D83"/>
    <w:rsid w:val="009638FA"/>
    <w:rsid w:val="00963D51"/>
    <w:rsid w:val="00964607"/>
    <w:rsid w:val="00964A6C"/>
    <w:rsid w:val="00964C96"/>
    <w:rsid w:val="00964F41"/>
    <w:rsid w:val="00965AED"/>
    <w:rsid w:val="00965C1C"/>
    <w:rsid w:val="009661DF"/>
    <w:rsid w:val="009666E1"/>
    <w:rsid w:val="00967956"/>
    <w:rsid w:val="00967E51"/>
    <w:rsid w:val="00967F85"/>
    <w:rsid w:val="0097023D"/>
    <w:rsid w:val="00970FB3"/>
    <w:rsid w:val="009711F1"/>
    <w:rsid w:val="00972092"/>
    <w:rsid w:val="0097210E"/>
    <w:rsid w:val="00972526"/>
    <w:rsid w:val="0097264B"/>
    <w:rsid w:val="009728E7"/>
    <w:rsid w:val="00972900"/>
    <w:rsid w:val="00972913"/>
    <w:rsid w:val="00973029"/>
    <w:rsid w:val="00973138"/>
    <w:rsid w:val="00973646"/>
    <w:rsid w:val="00973937"/>
    <w:rsid w:val="00974147"/>
    <w:rsid w:val="009755D0"/>
    <w:rsid w:val="009755EF"/>
    <w:rsid w:val="00975F1B"/>
    <w:rsid w:val="0097612F"/>
    <w:rsid w:val="00976386"/>
    <w:rsid w:val="00976415"/>
    <w:rsid w:val="0097685A"/>
    <w:rsid w:val="009768A6"/>
    <w:rsid w:val="009774BB"/>
    <w:rsid w:val="009775EA"/>
    <w:rsid w:val="009776FB"/>
    <w:rsid w:val="009778AE"/>
    <w:rsid w:val="00980312"/>
    <w:rsid w:val="0098095C"/>
    <w:rsid w:val="0098208E"/>
    <w:rsid w:val="00983768"/>
    <w:rsid w:val="00983F5A"/>
    <w:rsid w:val="00984655"/>
    <w:rsid w:val="00985387"/>
    <w:rsid w:val="00986419"/>
    <w:rsid w:val="00986B5F"/>
    <w:rsid w:val="00986BA2"/>
    <w:rsid w:val="00986D64"/>
    <w:rsid w:val="00987912"/>
    <w:rsid w:val="009879EF"/>
    <w:rsid w:val="00987FBD"/>
    <w:rsid w:val="009902D3"/>
    <w:rsid w:val="0099059F"/>
    <w:rsid w:val="009905BD"/>
    <w:rsid w:val="0099092B"/>
    <w:rsid w:val="00990AC5"/>
    <w:rsid w:val="00990FC8"/>
    <w:rsid w:val="00991ABD"/>
    <w:rsid w:val="00991DC8"/>
    <w:rsid w:val="00992328"/>
    <w:rsid w:val="00992D82"/>
    <w:rsid w:val="009934D6"/>
    <w:rsid w:val="00993E53"/>
    <w:rsid w:val="009949D8"/>
    <w:rsid w:val="00994ECF"/>
    <w:rsid w:val="00996FA5"/>
    <w:rsid w:val="009A0AAD"/>
    <w:rsid w:val="009A114A"/>
    <w:rsid w:val="009A1877"/>
    <w:rsid w:val="009A1FFB"/>
    <w:rsid w:val="009A239C"/>
    <w:rsid w:val="009A2F0B"/>
    <w:rsid w:val="009A373A"/>
    <w:rsid w:val="009A3745"/>
    <w:rsid w:val="009A4284"/>
    <w:rsid w:val="009A48E8"/>
    <w:rsid w:val="009A49A9"/>
    <w:rsid w:val="009A4E6E"/>
    <w:rsid w:val="009A553B"/>
    <w:rsid w:val="009A58C0"/>
    <w:rsid w:val="009A5D00"/>
    <w:rsid w:val="009A629F"/>
    <w:rsid w:val="009A66CE"/>
    <w:rsid w:val="009A6EE8"/>
    <w:rsid w:val="009B01BD"/>
    <w:rsid w:val="009B0893"/>
    <w:rsid w:val="009B1640"/>
    <w:rsid w:val="009B22F1"/>
    <w:rsid w:val="009B24B0"/>
    <w:rsid w:val="009B2A82"/>
    <w:rsid w:val="009B394E"/>
    <w:rsid w:val="009B50CD"/>
    <w:rsid w:val="009B58BD"/>
    <w:rsid w:val="009B5BCB"/>
    <w:rsid w:val="009B5C36"/>
    <w:rsid w:val="009B5E5F"/>
    <w:rsid w:val="009B63FD"/>
    <w:rsid w:val="009B6C98"/>
    <w:rsid w:val="009B6D53"/>
    <w:rsid w:val="009B741E"/>
    <w:rsid w:val="009C029A"/>
    <w:rsid w:val="009C04F4"/>
    <w:rsid w:val="009C072A"/>
    <w:rsid w:val="009C0929"/>
    <w:rsid w:val="009C0E58"/>
    <w:rsid w:val="009C10F3"/>
    <w:rsid w:val="009C2351"/>
    <w:rsid w:val="009C2DA2"/>
    <w:rsid w:val="009C3227"/>
    <w:rsid w:val="009C33AD"/>
    <w:rsid w:val="009C3FCF"/>
    <w:rsid w:val="009C56FC"/>
    <w:rsid w:val="009C5A58"/>
    <w:rsid w:val="009C5A69"/>
    <w:rsid w:val="009C5AA2"/>
    <w:rsid w:val="009C72ED"/>
    <w:rsid w:val="009C75FA"/>
    <w:rsid w:val="009C7CC0"/>
    <w:rsid w:val="009C7D46"/>
    <w:rsid w:val="009D0414"/>
    <w:rsid w:val="009D098E"/>
    <w:rsid w:val="009D0BD1"/>
    <w:rsid w:val="009D16D6"/>
    <w:rsid w:val="009D241E"/>
    <w:rsid w:val="009D2C28"/>
    <w:rsid w:val="009D3375"/>
    <w:rsid w:val="009D376C"/>
    <w:rsid w:val="009D38A2"/>
    <w:rsid w:val="009D3AA8"/>
    <w:rsid w:val="009D3D5F"/>
    <w:rsid w:val="009D3F03"/>
    <w:rsid w:val="009D4727"/>
    <w:rsid w:val="009D4E48"/>
    <w:rsid w:val="009D5567"/>
    <w:rsid w:val="009D55EE"/>
    <w:rsid w:val="009D5729"/>
    <w:rsid w:val="009D5B49"/>
    <w:rsid w:val="009D5E1C"/>
    <w:rsid w:val="009D5F44"/>
    <w:rsid w:val="009D6035"/>
    <w:rsid w:val="009D62FF"/>
    <w:rsid w:val="009D6447"/>
    <w:rsid w:val="009D6A34"/>
    <w:rsid w:val="009D70BA"/>
    <w:rsid w:val="009D7181"/>
    <w:rsid w:val="009D7418"/>
    <w:rsid w:val="009E0238"/>
    <w:rsid w:val="009E0B30"/>
    <w:rsid w:val="009E1114"/>
    <w:rsid w:val="009E141E"/>
    <w:rsid w:val="009E15CC"/>
    <w:rsid w:val="009E4095"/>
    <w:rsid w:val="009E4508"/>
    <w:rsid w:val="009E4B01"/>
    <w:rsid w:val="009E56DD"/>
    <w:rsid w:val="009E5A7D"/>
    <w:rsid w:val="009E6102"/>
    <w:rsid w:val="009E68BF"/>
    <w:rsid w:val="009E71EA"/>
    <w:rsid w:val="009E73BF"/>
    <w:rsid w:val="009E7F19"/>
    <w:rsid w:val="009F00E8"/>
    <w:rsid w:val="009F0D80"/>
    <w:rsid w:val="009F32E9"/>
    <w:rsid w:val="009F3482"/>
    <w:rsid w:val="009F3B88"/>
    <w:rsid w:val="009F413E"/>
    <w:rsid w:val="009F4562"/>
    <w:rsid w:val="009F57BD"/>
    <w:rsid w:val="009F6CF7"/>
    <w:rsid w:val="009F6D48"/>
    <w:rsid w:val="009F6EED"/>
    <w:rsid w:val="009F735C"/>
    <w:rsid w:val="009F763E"/>
    <w:rsid w:val="009F76F0"/>
    <w:rsid w:val="009F786D"/>
    <w:rsid w:val="009F7904"/>
    <w:rsid w:val="009F7B40"/>
    <w:rsid w:val="00A00113"/>
    <w:rsid w:val="00A00332"/>
    <w:rsid w:val="00A00A63"/>
    <w:rsid w:val="00A00E0E"/>
    <w:rsid w:val="00A012A0"/>
    <w:rsid w:val="00A016D3"/>
    <w:rsid w:val="00A018C4"/>
    <w:rsid w:val="00A02461"/>
    <w:rsid w:val="00A033BF"/>
    <w:rsid w:val="00A033D5"/>
    <w:rsid w:val="00A03408"/>
    <w:rsid w:val="00A04FE7"/>
    <w:rsid w:val="00A0548D"/>
    <w:rsid w:val="00A065E6"/>
    <w:rsid w:val="00A06802"/>
    <w:rsid w:val="00A073E6"/>
    <w:rsid w:val="00A0777B"/>
    <w:rsid w:val="00A07AF8"/>
    <w:rsid w:val="00A109EE"/>
    <w:rsid w:val="00A10DE8"/>
    <w:rsid w:val="00A11FB9"/>
    <w:rsid w:val="00A12110"/>
    <w:rsid w:val="00A129E0"/>
    <w:rsid w:val="00A1311D"/>
    <w:rsid w:val="00A13312"/>
    <w:rsid w:val="00A134BF"/>
    <w:rsid w:val="00A13565"/>
    <w:rsid w:val="00A140E8"/>
    <w:rsid w:val="00A14426"/>
    <w:rsid w:val="00A14D5F"/>
    <w:rsid w:val="00A160B0"/>
    <w:rsid w:val="00A16AC3"/>
    <w:rsid w:val="00A16D25"/>
    <w:rsid w:val="00A17119"/>
    <w:rsid w:val="00A17623"/>
    <w:rsid w:val="00A176AA"/>
    <w:rsid w:val="00A17882"/>
    <w:rsid w:val="00A20373"/>
    <w:rsid w:val="00A20787"/>
    <w:rsid w:val="00A21237"/>
    <w:rsid w:val="00A21F2F"/>
    <w:rsid w:val="00A223D9"/>
    <w:rsid w:val="00A229C9"/>
    <w:rsid w:val="00A2303E"/>
    <w:rsid w:val="00A243DA"/>
    <w:rsid w:val="00A24995"/>
    <w:rsid w:val="00A24B6F"/>
    <w:rsid w:val="00A24F49"/>
    <w:rsid w:val="00A25796"/>
    <w:rsid w:val="00A257AC"/>
    <w:rsid w:val="00A259C1"/>
    <w:rsid w:val="00A26385"/>
    <w:rsid w:val="00A26DBF"/>
    <w:rsid w:val="00A26E02"/>
    <w:rsid w:val="00A270EF"/>
    <w:rsid w:val="00A27969"/>
    <w:rsid w:val="00A27BE4"/>
    <w:rsid w:val="00A3046E"/>
    <w:rsid w:val="00A30C8B"/>
    <w:rsid w:val="00A312AE"/>
    <w:rsid w:val="00A31FE7"/>
    <w:rsid w:val="00A32781"/>
    <w:rsid w:val="00A32CF6"/>
    <w:rsid w:val="00A33C19"/>
    <w:rsid w:val="00A341DB"/>
    <w:rsid w:val="00A34998"/>
    <w:rsid w:val="00A34BDA"/>
    <w:rsid w:val="00A34E25"/>
    <w:rsid w:val="00A35799"/>
    <w:rsid w:val="00A359D7"/>
    <w:rsid w:val="00A35E54"/>
    <w:rsid w:val="00A36052"/>
    <w:rsid w:val="00A3613E"/>
    <w:rsid w:val="00A362A4"/>
    <w:rsid w:val="00A363F7"/>
    <w:rsid w:val="00A377FD"/>
    <w:rsid w:val="00A37968"/>
    <w:rsid w:val="00A37D40"/>
    <w:rsid w:val="00A40315"/>
    <w:rsid w:val="00A408AE"/>
    <w:rsid w:val="00A4103D"/>
    <w:rsid w:val="00A4129F"/>
    <w:rsid w:val="00A41492"/>
    <w:rsid w:val="00A4157F"/>
    <w:rsid w:val="00A41C22"/>
    <w:rsid w:val="00A42051"/>
    <w:rsid w:val="00A44BF2"/>
    <w:rsid w:val="00A458C9"/>
    <w:rsid w:val="00A45F46"/>
    <w:rsid w:val="00A46123"/>
    <w:rsid w:val="00A4619C"/>
    <w:rsid w:val="00A4628E"/>
    <w:rsid w:val="00A4658E"/>
    <w:rsid w:val="00A466BC"/>
    <w:rsid w:val="00A46E85"/>
    <w:rsid w:val="00A47469"/>
    <w:rsid w:val="00A47A92"/>
    <w:rsid w:val="00A47E91"/>
    <w:rsid w:val="00A47EE0"/>
    <w:rsid w:val="00A501E4"/>
    <w:rsid w:val="00A504F0"/>
    <w:rsid w:val="00A50927"/>
    <w:rsid w:val="00A50ABD"/>
    <w:rsid w:val="00A50CC3"/>
    <w:rsid w:val="00A51704"/>
    <w:rsid w:val="00A518E8"/>
    <w:rsid w:val="00A51C57"/>
    <w:rsid w:val="00A52155"/>
    <w:rsid w:val="00A5263C"/>
    <w:rsid w:val="00A529B4"/>
    <w:rsid w:val="00A52C28"/>
    <w:rsid w:val="00A542CB"/>
    <w:rsid w:val="00A543A4"/>
    <w:rsid w:val="00A54890"/>
    <w:rsid w:val="00A557A4"/>
    <w:rsid w:val="00A56720"/>
    <w:rsid w:val="00A5675B"/>
    <w:rsid w:val="00A569A3"/>
    <w:rsid w:val="00A56BAD"/>
    <w:rsid w:val="00A56E79"/>
    <w:rsid w:val="00A57955"/>
    <w:rsid w:val="00A6055E"/>
    <w:rsid w:val="00A60B14"/>
    <w:rsid w:val="00A60E8E"/>
    <w:rsid w:val="00A61DBF"/>
    <w:rsid w:val="00A62D54"/>
    <w:rsid w:val="00A635D9"/>
    <w:rsid w:val="00A6399E"/>
    <w:rsid w:val="00A64468"/>
    <w:rsid w:val="00A645F2"/>
    <w:rsid w:val="00A64D1C"/>
    <w:rsid w:val="00A6530A"/>
    <w:rsid w:val="00A65B00"/>
    <w:rsid w:val="00A65FDF"/>
    <w:rsid w:val="00A66157"/>
    <w:rsid w:val="00A664D6"/>
    <w:rsid w:val="00A664E9"/>
    <w:rsid w:val="00A66902"/>
    <w:rsid w:val="00A66C4A"/>
    <w:rsid w:val="00A70A94"/>
    <w:rsid w:val="00A70B9A"/>
    <w:rsid w:val="00A7301F"/>
    <w:rsid w:val="00A733E0"/>
    <w:rsid w:val="00A73524"/>
    <w:rsid w:val="00A73B9F"/>
    <w:rsid w:val="00A743C4"/>
    <w:rsid w:val="00A75979"/>
    <w:rsid w:val="00A75BD5"/>
    <w:rsid w:val="00A75C4C"/>
    <w:rsid w:val="00A760D3"/>
    <w:rsid w:val="00A76B0C"/>
    <w:rsid w:val="00A771BB"/>
    <w:rsid w:val="00A80189"/>
    <w:rsid w:val="00A804F1"/>
    <w:rsid w:val="00A8093E"/>
    <w:rsid w:val="00A8099B"/>
    <w:rsid w:val="00A80A46"/>
    <w:rsid w:val="00A80C57"/>
    <w:rsid w:val="00A80FBF"/>
    <w:rsid w:val="00A81216"/>
    <w:rsid w:val="00A814C6"/>
    <w:rsid w:val="00A8153A"/>
    <w:rsid w:val="00A81923"/>
    <w:rsid w:val="00A82A2C"/>
    <w:rsid w:val="00A82F29"/>
    <w:rsid w:val="00A83544"/>
    <w:rsid w:val="00A83B70"/>
    <w:rsid w:val="00A83D30"/>
    <w:rsid w:val="00A84113"/>
    <w:rsid w:val="00A84B7B"/>
    <w:rsid w:val="00A851AB"/>
    <w:rsid w:val="00A8581D"/>
    <w:rsid w:val="00A85EDE"/>
    <w:rsid w:val="00A85F4C"/>
    <w:rsid w:val="00A86C07"/>
    <w:rsid w:val="00A86C9F"/>
    <w:rsid w:val="00A86F1E"/>
    <w:rsid w:val="00A8736C"/>
    <w:rsid w:val="00A874ED"/>
    <w:rsid w:val="00A876E1"/>
    <w:rsid w:val="00A87D07"/>
    <w:rsid w:val="00A90034"/>
    <w:rsid w:val="00A900D3"/>
    <w:rsid w:val="00A90951"/>
    <w:rsid w:val="00A9187F"/>
    <w:rsid w:val="00A91B41"/>
    <w:rsid w:val="00A92099"/>
    <w:rsid w:val="00A929BF"/>
    <w:rsid w:val="00A92B9C"/>
    <w:rsid w:val="00A9374A"/>
    <w:rsid w:val="00A94D3B"/>
    <w:rsid w:val="00A94DF3"/>
    <w:rsid w:val="00A951CC"/>
    <w:rsid w:val="00A9524A"/>
    <w:rsid w:val="00A95FB5"/>
    <w:rsid w:val="00A96413"/>
    <w:rsid w:val="00A96635"/>
    <w:rsid w:val="00A96DAE"/>
    <w:rsid w:val="00A96EE2"/>
    <w:rsid w:val="00A975A8"/>
    <w:rsid w:val="00A976C7"/>
    <w:rsid w:val="00A978F8"/>
    <w:rsid w:val="00AA007A"/>
    <w:rsid w:val="00AA0129"/>
    <w:rsid w:val="00AA0415"/>
    <w:rsid w:val="00AA05FD"/>
    <w:rsid w:val="00AA081C"/>
    <w:rsid w:val="00AA1B7C"/>
    <w:rsid w:val="00AA2013"/>
    <w:rsid w:val="00AA2A2B"/>
    <w:rsid w:val="00AA368F"/>
    <w:rsid w:val="00AA3E25"/>
    <w:rsid w:val="00AA3F0E"/>
    <w:rsid w:val="00AA4376"/>
    <w:rsid w:val="00AA4923"/>
    <w:rsid w:val="00AA4BC4"/>
    <w:rsid w:val="00AA6E88"/>
    <w:rsid w:val="00AA74A0"/>
    <w:rsid w:val="00AA77FF"/>
    <w:rsid w:val="00AB01B6"/>
    <w:rsid w:val="00AB05D7"/>
    <w:rsid w:val="00AB0C62"/>
    <w:rsid w:val="00AB0D12"/>
    <w:rsid w:val="00AB2046"/>
    <w:rsid w:val="00AB25C9"/>
    <w:rsid w:val="00AB2814"/>
    <w:rsid w:val="00AB2CAA"/>
    <w:rsid w:val="00AB318E"/>
    <w:rsid w:val="00AB3209"/>
    <w:rsid w:val="00AB342D"/>
    <w:rsid w:val="00AB35B3"/>
    <w:rsid w:val="00AB4076"/>
    <w:rsid w:val="00AB463A"/>
    <w:rsid w:val="00AB4AA7"/>
    <w:rsid w:val="00AB522C"/>
    <w:rsid w:val="00AB5A48"/>
    <w:rsid w:val="00AB67BE"/>
    <w:rsid w:val="00AB6CF3"/>
    <w:rsid w:val="00AB7690"/>
    <w:rsid w:val="00AC10CB"/>
    <w:rsid w:val="00AC1A96"/>
    <w:rsid w:val="00AC2218"/>
    <w:rsid w:val="00AC221A"/>
    <w:rsid w:val="00AC29B3"/>
    <w:rsid w:val="00AC2BCA"/>
    <w:rsid w:val="00AC312B"/>
    <w:rsid w:val="00AC4A28"/>
    <w:rsid w:val="00AC4DEE"/>
    <w:rsid w:val="00AC509B"/>
    <w:rsid w:val="00AC53EF"/>
    <w:rsid w:val="00AC5458"/>
    <w:rsid w:val="00AC5B54"/>
    <w:rsid w:val="00AC5B82"/>
    <w:rsid w:val="00AC5F3F"/>
    <w:rsid w:val="00AC6584"/>
    <w:rsid w:val="00AC73B7"/>
    <w:rsid w:val="00AC7A73"/>
    <w:rsid w:val="00AC7EAE"/>
    <w:rsid w:val="00AD01E8"/>
    <w:rsid w:val="00AD02CA"/>
    <w:rsid w:val="00AD0422"/>
    <w:rsid w:val="00AD043E"/>
    <w:rsid w:val="00AD16AD"/>
    <w:rsid w:val="00AD20B0"/>
    <w:rsid w:val="00AD27DA"/>
    <w:rsid w:val="00AD2D1A"/>
    <w:rsid w:val="00AD2F71"/>
    <w:rsid w:val="00AD4372"/>
    <w:rsid w:val="00AD44B0"/>
    <w:rsid w:val="00AD5407"/>
    <w:rsid w:val="00AD5B56"/>
    <w:rsid w:val="00AD60EC"/>
    <w:rsid w:val="00AD61E2"/>
    <w:rsid w:val="00AD63DF"/>
    <w:rsid w:val="00AD7EA3"/>
    <w:rsid w:val="00AD7EAE"/>
    <w:rsid w:val="00AE02C4"/>
    <w:rsid w:val="00AE0E04"/>
    <w:rsid w:val="00AE167F"/>
    <w:rsid w:val="00AE2087"/>
    <w:rsid w:val="00AE223B"/>
    <w:rsid w:val="00AE22A2"/>
    <w:rsid w:val="00AE3306"/>
    <w:rsid w:val="00AE3976"/>
    <w:rsid w:val="00AE4155"/>
    <w:rsid w:val="00AE4593"/>
    <w:rsid w:val="00AE464A"/>
    <w:rsid w:val="00AE46D9"/>
    <w:rsid w:val="00AE4C26"/>
    <w:rsid w:val="00AE4C76"/>
    <w:rsid w:val="00AE54CB"/>
    <w:rsid w:val="00AE5DF0"/>
    <w:rsid w:val="00AE5ECE"/>
    <w:rsid w:val="00AE6B90"/>
    <w:rsid w:val="00AE6F01"/>
    <w:rsid w:val="00AF005B"/>
    <w:rsid w:val="00AF0259"/>
    <w:rsid w:val="00AF0574"/>
    <w:rsid w:val="00AF0F9D"/>
    <w:rsid w:val="00AF0FFF"/>
    <w:rsid w:val="00AF1268"/>
    <w:rsid w:val="00AF27C3"/>
    <w:rsid w:val="00AF2FB3"/>
    <w:rsid w:val="00AF3711"/>
    <w:rsid w:val="00AF4682"/>
    <w:rsid w:val="00AF4D02"/>
    <w:rsid w:val="00AF4D17"/>
    <w:rsid w:val="00AF528D"/>
    <w:rsid w:val="00AF5691"/>
    <w:rsid w:val="00AF643F"/>
    <w:rsid w:val="00AF6B11"/>
    <w:rsid w:val="00AF6BB4"/>
    <w:rsid w:val="00AF73B1"/>
    <w:rsid w:val="00AF753D"/>
    <w:rsid w:val="00AF7A42"/>
    <w:rsid w:val="00AF7BED"/>
    <w:rsid w:val="00AF7D07"/>
    <w:rsid w:val="00B00FAC"/>
    <w:rsid w:val="00B018DE"/>
    <w:rsid w:val="00B01BE6"/>
    <w:rsid w:val="00B01CAF"/>
    <w:rsid w:val="00B02097"/>
    <w:rsid w:val="00B02601"/>
    <w:rsid w:val="00B02ED5"/>
    <w:rsid w:val="00B03874"/>
    <w:rsid w:val="00B04A51"/>
    <w:rsid w:val="00B04D07"/>
    <w:rsid w:val="00B0503D"/>
    <w:rsid w:val="00B0566D"/>
    <w:rsid w:val="00B05D7A"/>
    <w:rsid w:val="00B066F2"/>
    <w:rsid w:val="00B068BD"/>
    <w:rsid w:val="00B0695A"/>
    <w:rsid w:val="00B069F4"/>
    <w:rsid w:val="00B072D3"/>
    <w:rsid w:val="00B07885"/>
    <w:rsid w:val="00B107C4"/>
    <w:rsid w:val="00B10BCB"/>
    <w:rsid w:val="00B11644"/>
    <w:rsid w:val="00B11B34"/>
    <w:rsid w:val="00B124EF"/>
    <w:rsid w:val="00B12B73"/>
    <w:rsid w:val="00B13371"/>
    <w:rsid w:val="00B135FE"/>
    <w:rsid w:val="00B13C31"/>
    <w:rsid w:val="00B14F1A"/>
    <w:rsid w:val="00B153D2"/>
    <w:rsid w:val="00B15627"/>
    <w:rsid w:val="00B16155"/>
    <w:rsid w:val="00B16156"/>
    <w:rsid w:val="00B16596"/>
    <w:rsid w:val="00B16E82"/>
    <w:rsid w:val="00B172E4"/>
    <w:rsid w:val="00B1747E"/>
    <w:rsid w:val="00B17B37"/>
    <w:rsid w:val="00B17C34"/>
    <w:rsid w:val="00B17E06"/>
    <w:rsid w:val="00B204D6"/>
    <w:rsid w:val="00B20A90"/>
    <w:rsid w:val="00B20E65"/>
    <w:rsid w:val="00B20F84"/>
    <w:rsid w:val="00B21588"/>
    <w:rsid w:val="00B21822"/>
    <w:rsid w:val="00B22A21"/>
    <w:rsid w:val="00B22CC7"/>
    <w:rsid w:val="00B22E52"/>
    <w:rsid w:val="00B22EE2"/>
    <w:rsid w:val="00B238C8"/>
    <w:rsid w:val="00B246D1"/>
    <w:rsid w:val="00B2490C"/>
    <w:rsid w:val="00B24CAF"/>
    <w:rsid w:val="00B24D57"/>
    <w:rsid w:val="00B250B4"/>
    <w:rsid w:val="00B2515D"/>
    <w:rsid w:val="00B252DC"/>
    <w:rsid w:val="00B25493"/>
    <w:rsid w:val="00B25AAA"/>
    <w:rsid w:val="00B25BCB"/>
    <w:rsid w:val="00B25D7F"/>
    <w:rsid w:val="00B26464"/>
    <w:rsid w:val="00B269A5"/>
    <w:rsid w:val="00B26CC5"/>
    <w:rsid w:val="00B26CCD"/>
    <w:rsid w:val="00B27615"/>
    <w:rsid w:val="00B305B6"/>
    <w:rsid w:val="00B314D0"/>
    <w:rsid w:val="00B315CB"/>
    <w:rsid w:val="00B31EB5"/>
    <w:rsid w:val="00B31EBE"/>
    <w:rsid w:val="00B321E8"/>
    <w:rsid w:val="00B323A3"/>
    <w:rsid w:val="00B323CB"/>
    <w:rsid w:val="00B32DBD"/>
    <w:rsid w:val="00B3303F"/>
    <w:rsid w:val="00B34517"/>
    <w:rsid w:val="00B3527F"/>
    <w:rsid w:val="00B3594A"/>
    <w:rsid w:val="00B35A33"/>
    <w:rsid w:val="00B36491"/>
    <w:rsid w:val="00B3651C"/>
    <w:rsid w:val="00B36E17"/>
    <w:rsid w:val="00B372E8"/>
    <w:rsid w:val="00B374DB"/>
    <w:rsid w:val="00B37D33"/>
    <w:rsid w:val="00B40D72"/>
    <w:rsid w:val="00B417DE"/>
    <w:rsid w:val="00B41ED1"/>
    <w:rsid w:val="00B41F93"/>
    <w:rsid w:val="00B420B4"/>
    <w:rsid w:val="00B4419B"/>
    <w:rsid w:val="00B44AED"/>
    <w:rsid w:val="00B45738"/>
    <w:rsid w:val="00B45AC4"/>
    <w:rsid w:val="00B4689F"/>
    <w:rsid w:val="00B4705E"/>
    <w:rsid w:val="00B500B4"/>
    <w:rsid w:val="00B502DA"/>
    <w:rsid w:val="00B50B90"/>
    <w:rsid w:val="00B52272"/>
    <w:rsid w:val="00B52EDD"/>
    <w:rsid w:val="00B53ADC"/>
    <w:rsid w:val="00B53CC3"/>
    <w:rsid w:val="00B54975"/>
    <w:rsid w:val="00B54A3B"/>
    <w:rsid w:val="00B550CA"/>
    <w:rsid w:val="00B55D65"/>
    <w:rsid w:val="00B572FC"/>
    <w:rsid w:val="00B573FF"/>
    <w:rsid w:val="00B57A83"/>
    <w:rsid w:val="00B57DC0"/>
    <w:rsid w:val="00B57F8C"/>
    <w:rsid w:val="00B609C7"/>
    <w:rsid w:val="00B631E6"/>
    <w:rsid w:val="00B63B28"/>
    <w:rsid w:val="00B63D87"/>
    <w:rsid w:val="00B64BB5"/>
    <w:rsid w:val="00B64FDD"/>
    <w:rsid w:val="00B6531B"/>
    <w:rsid w:val="00B654F5"/>
    <w:rsid w:val="00B65F7C"/>
    <w:rsid w:val="00B676DD"/>
    <w:rsid w:val="00B67A77"/>
    <w:rsid w:val="00B703E8"/>
    <w:rsid w:val="00B70A03"/>
    <w:rsid w:val="00B70FF4"/>
    <w:rsid w:val="00B71538"/>
    <w:rsid w:val="00B71D04"/>
    <w:rsid w:val="00B71DE6"/>
    <w:rsid w:val="00B7251D"/>
    <w:rsid w:val="00B7356F"/>
    <w:rsid w:val="00B7486D"/>
    <w:rsid w:val="00B74B32"/>
    <w:rsid w:val="00B75270"/>
    <w:rsid w:val="00B761E3"/>
    <w:rsid w:val="00B7650E"/>
    <w:rsid w:val="00B766A3"/>
    <w:rsid w:val="00B767E6"/>
    <w:rsid w:val="00B76BE2"/>
    <w:rsid w:val="00B77561"/>
    <w:rsid w:val="00B77903"/>
    <w:rsid w:val="00B7791B"/>
    <w:rsid w:val="00B77A82"/>
    <w:rsid w:val="00B77AD9"/>
    <w:rsid w:val="00B80221"/>
    <w:rsid w:val="00B802C3"/>
    <w:rsid w:val="00B8032E"/>
    <w:rsid w:val="00B80571"/>
    <w:rsid w:val="00B80CFE"/>
    <w:rsid w:val="00B80F19"/>
    <w:rsid w:val="00B81179"/>
    <w:rsid w:val="00B813CB"/>
    <w:rsid w:val="00B815FB"/>
    <w:rsid w:val="00B81E2A"/>
    <w:rsid w:val="00B8342F"/>
    <w:rsid w:val="00B83A14"/>
    <w:rsid w:val="00B83BC1"/>
    <w:rsid w:val="00B8455C"/>
    <w:rsid w:val="00B84662"/>
    <w:rsid w:val="00B848A4"/>
    <w:rsid w:val="00B850FC"/>
    <w:rsid w:val="00B8538A"/>
    <w:rsid w:val="00B858B1"/>
    <w:rsid w:val="00B85995"/>
    <w:rsid w:val="00B85A21"/>
    <w:rsid w:val="00B85E35"/>
    <w:rsid w:val="00B86168"/>
    <w:rsid w:val="00B863D1"/>
    <w:rsid w:val="00B86DC3"/>
    <w:rsid w:val="00B87216"/>
    <w:rsid w:val="00B87A4B"/>
    <w:rsid w:val="00B87D0E"/>
    <w:rsid w:val="00B87D30"/>
    <w:rsid w:val="00B9079A"/>
    <w:rsid w:val="00B90DFA"/>
    <w:rsid w:val="00B911AE"/>
    <w:rsid w:val="00B91269"/>
    <w:rsid w:val="00B914BB"/>
    <w:rsid w:val="00B91676"/>
    <w:rsid w:val="00B91B64"/>
    <w:rsid w:val="00B929CB"/>
    <w:rsid w:val="00B92CCF"/>
    <w:rsid w:val="00B93240"/>
    <w:rsid w:val="00B9361F"/>
    <w:rsid w:val="00B9385F"/>
    <w:rsid w:val="00B94096"/>
    <w:rsid w:val="00B9584F"/>
    <w:rsid w:val="00B9597C"/>
    <w:rsid w:val="00B95D48"/>
    <w:rsid w:val="00B964D6"/>
    <w:rsid w:val="00B965FA"/>
    <w:rsid w:val="00B97D59"/>
    <w:rsid w:val="00BA0371"/>
    <w:rsid w:val="00BA0A02"/>
    <w:rsid w:val="00BA121F"/>
    <w:rsid w:val="00BA1692"/>
    <w:rsid w:val="00BA1DDF"/>
    <w:rsid w:val="00BA1ED9"/>
    <w:rsid w:val="00BA2E89"/>
    <w:rsid w:val="00BA343D"/>
    <w:rsid w:val="00BA3E1E"/>
    <w:rsid w:val="00BA4CA3"/>
    <w:rsid w:val="00BA540C"/>
    <w:rsid w:val="00BA6B06"/>
    <w:rsid w:val="00BA6E5B"/>
    <w:rsid w:val="00BA6F45"/>
    <w:rsid w:val="00BA7ACF"/>
    <w:rsid w:val="00BB01BD"/>
    <w:rsid w:val="00BB07E2"/>
    <w:rsid w:val="00BB0BA6"/>
    <w:rsid w:val="00BB0CB7"/>
    <w:rsid w:val="00BB21B4"/>
    <w:rsid w:val="00BB2369"/>
    <w:rsid w:val="00BB2A39"/>
    <w:rsid w:val="00BB2E4E"/>
    <w:rsid w:val="00BB2F73"/>
    <w:rsid w:val="00BB322F"/>
    <w:rsid w:val="00BB3926"/>
    <w:rsid w:val="00BB478A"/>
    <w:rsid w:val="00BB49B5"/>
    <w:rsid w:val="00BB4A00"/>
    <w:rsid w:val="00BB4A2E"/>
    <w:rsid w:val="00BB5866"/>
    <w:rsid w:val="00BB5EE8"/>
    <w:rsid w:val="00BB664C"/>
    <w:rsid w:val="00BB6A53"/>
    <w:rsid w:val="00BB6F7B"/>
    <w:rsid w:val="00BB7693"/>
    <w:rsid w:val="00BB79B6"/>
    <w:rsid w:val="00BB7E26"/>
    <w:rsid w:val="00BC03D3"/>
    <w:rsid w:val="00BC0C0E"/>
    <w:rsid w:val="00BC1216"/>
    <w:rsid w:val="00BC12E0"/>
    <w:rsid w:val="00BC2CCB"/>
    <w:rsid w:val="00BC2F6A"/>
    <w:rsid w:val="00BC31C2"/>
    <w:rsid w:val="00BC38E9"/>
    <w:rsid w:val="00BC40CB"/>
    <w:rsid w:val="00BC4135"/>
    <w:rsid w:val="00BC44E0"/>
    <w:rsid w:val="00BC4B3B"/>
    <w:rsid w:val="00BC5E8D"/>
    <w:rsid w:val="00BC5F9D"/>
    <w:rsid w:val="00BC5FEF"/>
    <w:rsid w:val="00BC6613"/>
    <w:rsid w:val="00BC68C9"/>
    <w:rsid w:val="00BC6DFC"/>
    <w:rsid w:val="00BC7199"/>
    <w:rsid w:val="00BC769C"/>
    <w:rsid w:val="00BC7D98"/>
    <w:rsid w:val="00BD0477"/>
    <w:rsid w:val="00BD0B4D"/>
    <w:rsid w:val="00BD1C94"/>
    <w:rsid w:val="00BD22EA"/>
    <w:rsid w:val="00BD2635"/>
    <w:rsid w:val="00BD385B"/>
    <w:rsid w:val="00BD3F72"/>
    <w:rsid w:val="00BD422F"/>
    <w:rsid w:val="00BD4D11"/>
    <w:rsid w:val="00BD4D7D"/>
    <w:rsid w:val="00BD59D5"/>
    <w:rsid w:val="00BD641A"/>
    <w:rsid w:val="00BD66C9"/>
    <w:rsid w:val="00BD6994"/>
    <w:rsid w:val="00BD6D66"/>
    <w:rsid w:val="00BD7126"/>
    <w:rsid w:val="00BD79C7"/>
    <w:rsid w:val="00BD7CF8"/>
    <w:rsid w:val="00BE1171"/>
    <w:rsid w:val="00BE2004"/>
    <w:rsid w:val="00BE2A9B"/>
    <w:rsid w:val="00BE322B"/>
    <w:rsid w:val="00BE42B3"/>
    <w:rsid w:val="00BE48D4"/>
    <w:rsid w:val="00BE4AB9"/>
    <w:rsid w:val="00BE516C"/>
    <w:rsid w:val="00BE5561"/>
    <w:rsid w:val="00BE5FFF"/>
    <w:rsid w:val="00BE642E"/>
    <w:rsid w:val="00BE6AED"/>
    <w:rsid w:val="00BF01F9"/>
    <w:rsid w:val="00BF0502"/>
    <w:rsid w:val="00BF0882"/>
    <w:rsid w:val="00BF1488"/>
    <w:rsid w:val="00BF16A9"/>
    <w:rsid w:val="00BF1C49"/>
    <w:rsid w:val="00BF1FB6"/>
    <w:rsid w:val="00BF204F"/>
    <w:rsid w:val="00BF2101"/>
    <w:rsid w:val="00BF27B1"/>
    <w:rsid w:val="00BF2C9D"/>
    <w:rsid w:val="00BF367A"/>
    <w:rsid w:val="00BF41FB"/>
    <w:rsid w:val="00BF537A"/>
    <w:rsid w:val="00BF584C"/>
    <w:rsid w:val="00BF58C7"/>
    <w:rsid w:val="00BF6796"/>
    <w:rsid w:val="00BF7225"/>
    <w:rsid w:val="00BF7346"/>
    <w:rsid w:val="00BF739A"/>
    <w:rsid w:val="00BF77C1"/>
    <w:rsid w:val="00C007C7"/>
    <w:rsid w:val="00C00863"/>
    <w:rsid w:val="00C00B97"/>
    <w:rsid w:val="00C0185F"/>
    <w:rsid w:val="00C01B39"/>
    <w:rsid w:val="00C01F0B"/>
    <w:rsid w:val="00C020CA"/>
    <w:rsid w:val="00C02E9C"/>
    <w:rsid w:val="00C02FB9"/>
    <w:rsid w:val="00C032F7"/>
    <w:rsid w:val="00C0346C"/>
    <w:rsid w:val="00C039E8"/>
    <w:rsid w:val="00C03F9C"/>
    <w:rsid w:val="00C04B48"/>
    <w:rsid w:val="00C04F7F"/>
    <w:rsid w:val="00C050CD"/>
    <w:rsid w:val="00C0532C"/>
    <w:rsid w:val="00C0596D"/>
    <w:rsid w:val="00C05D46"/>
    <w:rsid w:val="00C067BF"/>
    <w:rsid w:val="00C06CA4"/>
    <w:rsid w:val="00C07A20"/>
    <w:rsid w:val="00C07C26"/>
    <w:rsid w:val="00C07FF9"/>
    <w:rsid w:val="00C10492"/>
    <w:rsid w:val="00C10652"/>
    <w:rsid w:val="00C115F2"/>
    <w:rsid w:val="00C11B34"/>
    <w:rsid w:val="00C126BA"/>
    <w:rsid w:val="00C12C8A"/>
    <w:rsid w:val="00C12D20"/>
    <w:rsid w:val="00C12F9D"/>
    <w:rsid w:val="00C13289"/>
    <w:rsid w:val="00C13639"/>
    <w:rsid w:val="00C13745"/>
    <w:rsid w:val="00C137A2"/>
    <w:rsid w:val="00C13F2E"/>
    <w:rsid w:val="00C1451A"/>
    <w:rsid w:val="00C1588A"/>
    <w:rsid w:val="00C159E0"/>
    <w:rsid w:val="00C16068"/>
    <w:rsid w:val="00C1702F"/>
    <w:rsid w:val="00C1760F"/>
    <w:rsid w:val="00C17E78"/>
    <w:rsid w:val="00C205EE"/>
    <w:rsid w:val="00C20639"/>
    <w:rsid w:val="00C20B33"/>
    <w:rsid w:val="00C211E1"/>
    <w:rsid w:val="00C21AA8"/>
    <w:rsid w:val="00C21D3E"/>
    <w:rsid w:val="00C2210C"/>
    <w:rsid w:val="00C2212E"/>
    <w:rsid w:val="00C22213"/>
    <w:rsid w:val="00C22629"/>
    <w:rsid w:val="00C23E10"/>
    <w:rsid w:val="00C241C9"/>
    <w:rsid w:val="00C2561C"/>
    <w:rsid w:val="00C26E49"/>
    <w:rsid w:val="00C26F27"/>
    <w:rsid w:val="00C2739D"/>
    <w:rsid w:val="00C276F9"/>
    <w:rsid w:val="00C277E4"/>
    <w:rsid w:val="00C27926"/>
    <w:rsid w:val="00C27AF2"/>
    <w:rsid w:val="00C3026A"/>
    <w:rsid w:val="00C3089A"/>
    <w:rsid w:val="00C321F7"/>
    <w:rsid w:val="00C32D6C"/>
    <w:rsid w:val="00C334F5"/>
    <w:rsid w:val="00C33562"/>
    <w:rsid w:val="00C3361D"/>
    <w:rsid w:val="00C336B5"/>
    <w:rsid w:val="00C33761"/>
    <w:rsid w:val="00C344AC"/>
    <w:rsid w:val="00C3523D"/>
    <w:rsid w:val="00C353B7"/>
    <w:rsid w:val="00C35726"/>
    <w:rsid w:val="00C36289"/>
    <w:rsid w:val="00C36293"/>
    <w:rsid w:val="00C3630D"/>
    <w:rsid w:val="00C36514"/>
    <w:rsid w:val="00C36707"/>
    <w:rsid w:val="00C3751A"/>
    <w:rsid w:val="00C376FE"/>
    <w:rsid w:val="00C37932"/>
    <w:rsid w:val="00C40D83"/>
    <w:rsid w:val="00C42048"/>
    <w:rsid w:val="00C4223C"/>
    <w:rsid w:val="00C429DE"/>
    <w:rsid w:val="00C43642"/>
    <w:rsid w:val="00C43701"/>
    <w:rsid w:val="00C437C1"/>
    <w:rsid w:val="00C43FC7"/>
    <w:rsid w:val="00C4432D"/>
    <w:rsid w:val="00C44500"/>
    <w:rsid w:val="00C44691"/>
    <w:rsid w:val="00C44B47"/>
    <w:rsid w:val="00C45199"/>
    <w:rsid w:val="00C452D8"/>
    <w:rsid w:val="00C479D0"/>
    <w:rsid w:val="00C5033B"/>
    <w:rsid w:val="00C5040D"/>
    <w:rsid w:val="00C506AE"/>
    <w:rsid w:val="00C50A25"/>
    <w:rsid w:val="00C50C53"/>
    <w:rsid w:val="00C50EC0"/>
    <w:rsid w:val="00C5177F"/>
    <w:rsid w:val="00C523DF"/>
    <w:rsid w:val="00C524C3"/>
    <w:rsid w:val="00C53A13"/>
    <w:rsid w:val="00C543B7"/>
    <w:rsid w:val="00C54AE7"/>
    <w:rsid w:val="00C55087"/>
    <w:rsid w:val="00C55435"/>
    <w:rsid w:val="00C560C1"/>
    <w:rsid w:val="00C5696A"/>
    <w:rsid w:val="00C56A0A"/>
    <w:rsid w:val="00C56B7E"/>
    <w:rsid w:val="00C57094"/>
    <w:rsid w:val="00C57397"/>
    <w:rsid w:val="00C60006"/>
    <w:rsid w:val="00C60448"/>
    <w:rsid w:val="00C607E8"/>
    <w:rsid w:val="00C60B84"/>
    <w:rsid w:val="00C60BFF"/>
    <w:rsid w:val="00C61109"/>
    <w:rsid w:val="00C6192B"/>
    <w:rsid w:val="00C61C29"/>
    <w:rsid w:val="00C61FDA"/>
    <w:rsid w:val="00C62C6D"/>
    <w:rsid w:val="00C63BA2"/>
    <w:rsid w:val="00C63CA0"/>
    <w:rsid w:val="00C64A7E"/>
    <w:rsid w:val="00C6548B"/>
    <w:rsid w:val="00C659F3"/>
    <w:rsid w:val="00C65D17"/>
    <w:rsid w:val="00C6647C"/>
    <w:rsid w:val="00C66501"/>
    <w:rsid w:val="00C679D8"/>
    <w:rsid w:val="00C70389"/>
    <w:rsid w:val="00C70471"/>
    <w:rsid w:val="00C70AAB"/>
    <w:rsid w:val="00C70F03"/>
    <w:rsid w:val="00C71302"/>
    <w:rsid w:val="00C7135A"/>
    <w:rsid w:val="00C71940"/>
    <w:rsid w:val="00C71A7C"/>
    <w:rsid w:val="00C72AA5"/>
    <w:rsid w:val="00C73242"/>
    <w:rsid w:val="00C735E1"/>
    <w:rsid w:val="00C7513F"/>
    <w:rsid w:val="00C75D22"/>
    <w:rsid w:val="00C76044"/>
    <w:rsid w:val="00C77709"/>
    <w:rsid w:val="00C8002C"/>
    <w:rsid w:val="00C80D50"/>
    <w:rsid w:val="00C815CE"/>
    <w:rsid w:val="00C81851"/>
    <w:rsid w:val="00C8186A"/>
    <w:rsid w:val="00C818A3"/>
    <w:rsid w:val="00C81BF7"/>
    <w:rsid w:val="00C81C2D"/>
    <w:rsid w:val="00C821B5"/>
    <w:rsid w:val="00C82521"/>
    <w:rsid w:val="00C836C2"/>
    <w:rsid w:val="00C8398E"/>
    <w:rsid w:val="00C83B28"/>
    <w:rsid w:val="00C83F1A"/>
    <w:rsid w:val="00C84253"/>
    <w:rsid w:val="00C850D9"/>
    <w:rsid w:val="00C852A3"/>
    <w:rsid w:val="00C85A00"/>
    <w:rsid w:val="00C85A92"/>
    <w:rsid w:val="00C85BED"/>
    <w:rsid w:val="00C85FD7"/>
    <w:rsid w:val="00C86CFD"/>
    <w:rsid w:val="00C87C5A"/>
    <w:rsid w:val="00C87D26"/>
    <w:rsid w:val="00C87F61"/>
    <w:rsid w:val="00C903FD"/>
    <w:rsid w:val="00C90E5B"/>
    <w:rsid w:val="00C91028"/>
    <w:rsid w:val="00C918A9"/>
    <w:rsid w:val="00C9193C"/>
    <w:rsid w:val="00C92682"/>
    <w:rsid w:val="00C93485"/>
    <w:rsid w:val="00C938FF"/>
    <w:rsid w:val="00C939D6"/>
    <w:rsid w:val="00C940FC"/>
    <w:rsid w:val="00C94557"/>
    <w:rsid w:val="00C951C9"/>
    <w:rsid w:val="00C95261"/>
    <w:rsid w:val="00C959BE"/>
    <w:rsid w:val="00C95FDE"/>
    <w:rsid w:val="00C96186"/>
    <w:rsid w:val="00C96E66"/>
    <w:rsid w:val="00C96E87"/>
    <w:rsid w:val="00C970A7"/>
    <w:rsid w:val="00C97E2B"/>
    <w:rsid w:val="00CA06CB"/>
    <w:rsid w:val="00CA1A3E"/>
    <w:rsid w:val="00CA1D85"/>
    <w:rsid w:val="00CA21ED"/>
    <w:rsid w:val="00CA26E3"/>
    <w:rsid w:val="00CA2E41"/>
    <w:rsid w:val="00CA2E4C"/>
    <w:rsid w:val="00CA3AAD"/>
    <w:rsid w:val="00CA3DAB"/>
    <w:rsid w:val="00CA51DF"/>
    <w:rsid w:val="00CA563F"/>
    <w:rsid w:val="00CA61DF"/>
    <w:rsid w:val="00CA6EA4"/>
    <w:rsid w:val="00CA7C87"/>
    <w:rsid w:val="00CA7DA6"/>
    <w:rsid w:val="00CA7E0F"/>
    <w:rsid w:val="00CB0B86"/>
    <w:rsid w:val="00CB11A0"/>
    <w:rsid w:val="00CB146F"/>
    <w:rsid w:val="00CB1BFE"/>
    <w:rsid w:val="00CB21DC"/>
    <w:rsid w:val="00CB2623"/>
    <w:rsid w:val="00CB2F71"/>
    <w:rsid w:val="00CB43C7"/>
    <w:rsid w:val="00CB5C9A"/>
    <w:rsid w:val="00CB5CB3"/>
    <w:rsid w:val="00CB618A"/>
    <w:rsid w:val="00CB6AED"/>
    <w:rsid w:val="00CB7180"/>
    <w:rsid w:val="00CB77DC"/>
    <w:rsid w:val="00CB7C69"/>
    <w:rsid w:val="00CC04CD"/>
    <w:rsid w:val="00CC081B"/>
    <w:rsid w:val="00CC0AD1"/>
    <w:rsid w:val="00CC181D"/>
    <w:rsid w:val="00CC1CB1"/>
    <w:rsid w:val="00CC2ECC"/>
    <w:rsid w:val="00CC3753"/>
    <w:rsid w:val="00CC390D"/>
    <w:rsid w:val="00CC4A2C"/>
    <w:rsid w:val="00CC4ABB"/>
    <w:rsid w:val="00CC53AB"/>
    <w:rsid w:val="00CC6079"/>
    <w:rsid w:val="00CC61D4"/>
    <w:rsid w:val="00CC6437"/>
    <w:rsid w:val="00CC64F9"/>
    <w:rsid w:val="00CC7BDC"/>
    <w:rsid w:val="00CC7EC4"/>
    <w:rsid w:val="00CD0C63"/>
    <w:rsid w:val="00CD0F75"/>
    <w:rsid w:val="00CD11C7"/>
    <w:rsid w:val="00CD180D"/>
    <w:rsid w:val="00CD3EA0"/>
    <w:rsid w:val="00CD4150"/>
    <w:rsid w:val="00CD424B"/>
    <w:rsid w:val="00CD4538"/>
    <w:rsid w:val="00CD4C53"/>
    <w:rsid w:val="00CD5568"/>
    <w:rsid w:val="00CD55F2"/>
    <w:rsid w:val="00CD6D26"/>
    <w:rsid w:val="00CD71F8"/>
    <w:rsid w:val="00CD7651"/>
    <w:rsid w:val="00CD79B8"/>
    <w:rsid w:val="00CE017A"/>
    <w:rsid w:val="00CE0485"/>
    <w:rsid w:val="00CE055B"/>
    <w:rsid w:val="00CE109C"/>
    <w:rsid w:val="00CE160C"/>
    <w:rsid w:val="00CE1A8F"/>
    <w:rsid w:val="00CE1C68"/>
    <w:rsid w:val="00CE2B9A"/>
    <w:rsid w:val="00CE2C47"/>
    <w:rsid w:val="00CE2E81"/>
    <w:rsid w:val="00CE2FDE"/>
    <w:rsid w:val="00CE3623"/>
    <w:rsid w:val="00CE3B76"/>
    <w:rsid w:val="00CE495D"/>
    <w:rsid w:val="00CE5896"/>
    <w:rsid w:val="00CE59BC"/>
    <w:rsid w:val="00CE6504"/>
    <w:rsid w:val="00CE6A56"/>
    <w:rsid w:val="00CE75F6"/>
    <w:rsid w:val="00CE7CB8"/>
    <w:rsid w:val="00CF00DE"/>
    <w:rsid w:val="00CF01A1"/>
    <w:rsid w:val="00CF0E7D"/>
    <w:rsid w:val="00CF1802"/>
    <w:rsid w:val="00CF1957"/>
    <w:rsid w:val="00CF1A62"/>
    <w:rsid w:val="00CF1DB1"/>
    <w:rsid w:val="00CF23A5"/>
    <w:rsid w:val="00CF2E59"/>
    <w:rsid w:val="00CF3BAD"/>
    <w:rsid w:val="00CF4051"/>
    <w:rsid w:val="00CF4413"/>
    <w:rsid w:val="00CF4884"/>
    <w:rsid w:val="00CF4AE5"/>
    <w:rsid w:val="00CF5586"/>
    <w:rsid w:val="00CF599A"/>
    <w:rsid w:val="00CF5EF1"/>
    <w:rsid w:val="00CF6529"/>
    <w:rsid w:val="00CF6CBE"/>
    <w:rsid w:val="00CF796E"/>
    <w:rsid w:val="00D001BA"/>
    <w:rsid w:val="00D0030B"/>
    <w:rsid w:val="00D0049B"/>
    <w:rsid w:val="00D00CE4"/>
    <w:rsid w:val="00D012EF"/>
    <w:rsid w:val="00D0189D"/>
    <w:rsid w:val="00D0236F"/>
    <w:rsid w:val="00D023B2"/>
    <w:rsid w:val="00D0246C"/>
    <w:rsid w:val="00D029B5"/>
    <w:rsid w:val="00D02E81"/>
    <w:rsid w:val="00D033AA"/>
    <w:rsid w:val="00D0426A"/>
    <w:rsid w:val="00D04850"/>
    <w:rsid w:val="00D049F8"/>
    <w:rsid w:val="00D04D7B"/>
    <w:rsid w:val="00D05664"/>
    <w:rsid w:val="00D063A3"/>
    <w:rsid w:val="00D07667"/>
    <w:rsid w:val="00D07C9B"/>
    <w:rsid w:val="00D1016B"/>
    <w:rsid w:val="00D10F1A"/>
    <w:rsid w:val="00D11A0D"/>
    <w:rsid w:val="00D12166"/>
    <w:rsid w:val="00D125A3"/>
    <w:rsid w:val="00D12E5A"/>
    <w:rsid w:val="00D13375"/>
    <w:rsid w:val="00D14083"/>
    <w:rsid w:val="00D14AB2"/>
    <w:rsid w:val="00D14C6D"/>
    <w:rsid w:val="00D1586E"/>
    <w:rsid w:val="00D15935"/>
    <w:rsid w:val="00D15A2B"/>
    <w:rsid w:val="00D15BE0"/>
    <w:rsid w:val="00D15BEC"/>
    <w:rsid w:val="00D15D06"/>
    <w:rsid w:val="00D16125"/>
    <w:rsid w:val="00D16B3E"/>
    <w:rsid w:val="00D1704A"/>
    <w:rsid w:val="00D174E3"/>
    <w:rsid w:val="00D17596"/>
    <w:rsid w:val="00D1782F"/>
    <w:rsid w:val="00D17C95"/>
    <w:rsid w:val="00D20023"/>
    <w:rsid w:val="00D20859"/>
    <w:rsid w:val="00D20EDE"/>
    <w:rsid w:val="00D210E3"/>
    <w:rsid w:val="00D217EF"/>
    <w:rsid w:val="00D21921"/>
    <w:rsid w:val="00D21B37"/>
    <w:rsid w:val="00D21B8F"/>
    <w:rsid w:val="00D21C47"/>
    <w:rsid w:val="00D22189"/>
    <w:rsid w:val="00D22831"/>
    <w:rsid w:val="00D22EAC"/>
    <w:rsid w:val="00D23304"/>
    <w:rsid w:val="00D23FD1"/>
    <w:rsid w:val="00D249CC"/>
    <w:rsid w:val="00D24C18"/>
    <w:rsid w:val="00D25224"/>
    <w:rsid w:val="00D2541B"/>
    <w:rsid w:val="00D25743"/>
    <w:rsid w:val="00D26F4C"/>
    <w:rsid w:val="00D27339"/>
    <w:rsid w:val="00D273E9"/>
    <w:rsid w:val="00D27535"/>
    <w:rsid w:val="00D3099F"/>
    <w:rsid w:val="00D30D27"/>
    <w:rsid w:val="00D31D0D"/>
    <w:rsid w:val="00D32486"/>
    <w:rsid w:val="00D32B81"/>
    <w:rsid w:val="00D34116"/>
    <w:rsid w:val="00D3422E"/>
    <w:rsid w:val="00D3476C"/>
    <w:rsid w:val="00D34B10"/>
    <w:rsid w:val="00D34CDA"/>
    <w:rsid w:val="00D3538D"/>
    <w:rsid w:val="00D35B1B"/>
    <w:rsid w:val="00D35B97"/>
    <w:rsid w:val="00D36048"/>
    <w:rsid w:val="00D362FF"/>
    <w:rsid w:val="00D36EF5"/>
    <w:rsid w:val="00D37884"/>
    <w:rsid w:val="00D37BC3"/>
    <w:rsid w:val="00D40359"/>
    <w:rsid w:val="00D40469"/>
    <w:rsid w:val="00D40E0F"/>
    <w:rsid w:val="00D42CF8"/>
    <w:rsid w:val="00D436E7"/>
    <w:rsid w:val="00D439E3"/>
    <w:rsid w:val="00D43FF8"/>
    <w:rsid w:val="00D447AF"/>
    <w:rsid w:val="00D45387"/>
    <w:rsid w:val="00D4538B"/>
    <w:rsid w:val="00D45C3B"/>
    <w:rsid w:val="00D461DE"/>
    <w:rsid w:val="00D4630C"/>
    <w:rsid w:val="00D46B10"/>
    <w:rsid w:val="00D46F28"/>
    <w:rsid w:val="00D47502"/>
    <w:rsid w:val="00D4767B"/>
    <w:rsid w:val="00D47E3C"/>
    <w:rsid w:val="00D50678"/>
    <w:rsid w:val="00D50C7E"/>
    <w:rsid w:val="00D510A8"/>
    <w:rsid w:val="00D517B3"/>
    <w:rsid w:val="00D52953"/>
    <w:rsid w:val="00D52A83"/>
    <w:rsid w:val="00D5416B"/>
    <w:rsid w:val="00D544D4"/>
    <w:rsid w:val="00D547F0"/>
    <w:rsid w:val="00D55D28"/>
    <w:rsid w:val="00D5682D"/>
    <w:rsid w:val="00D570F8"/>
    <w:rsid w:val="00D571CA"/>
    <w:rsid w:val="00D578B1"/>
    <w:rsid w:val="00D60921"/>
    <w:rsid w:val="00D611CE"/>
    <w:rsid w:val="00D612CD"/>
    <w:rsid w:val="00D619A7"/>
    <w:rsid w:val="00D62715"/>
    <w:rsid w:val="00D62974"/>
    <w:rsid w:val="00D62C67"/>
    <w:rsid w:val="00D62C94"/>
    <w:rsid w:val="00D635DF"/>
    <w:rsid w:val="00D63C7C"/>
    <w:rsid w:val="00D640F5"/>
    <w:rsid w:val="00D64F1E"/>
    <w:rsid w:val="00D65785"/>
    <w:rsid w:val="00D657AD"/>
    <w:rsid w:val="00D66001"/>
    <w:rsid w:val="00D66582"/>
    <w:rsid w:val="00D66691"/>
    <w:rsid w:val="00D67082"/>
    <w:rsid w:val="00D67F2D"/>
    <w:rsid w:val="00D701C9"/>
    <w:rsid w:val="00D7029F"/>
    <w:rsid w:val="00D703BB"/>
    <w:rsid w:val="00D7063E"/>
    <w:rsid w:val="00D70ACF"/>
    <w:rsid w:val="00D71839"/>
    <w:rsid w:val="00D71F1E"/>
    <w:rsid w:val="00D72112"/>
    <w:rsid w:val="00D72445"/>
    <w:rsid w:val="00D72DDB"/>
    <w:rsid w:val="00D73064"/>
    <w:rsid w:val="00D74430"/>
    <w:rsid w:val="00D74662"/>
    <w:rsid w:val="00D74DA7"/>
    <w:rsid w:val="00D74DFC"/>
    <w:rsid w:val="00D75A3E"/>
    <w:rsid w:val="00D75B75"/>
    <w:rsid w:val="00D75DD7"/>
    <w:rsid w:val="00D75FA4"/>
    <w:rsid w:val="00D763D4"/>
    <w:rsid w:val="00D76731"/>
    <w:rsid w:val="00D76EA6"/>
    <w:rsid w:val="00D7715B"/>
    <w:rsid w:val="00D773F1"/>
    <w:rsid w:val="00D776DA"/>
    <w:rsid w:val="00D77CB1"/>
    <w:rsid w:val="00D80488"/>
    <w:rsid w:val="00D8072F"/>
    <w:rsid w:val="00D80DED"/>
    <w:rsid w:val="00D81095"/>
    <w:rsid w:val="00D81490"/>
    <w:rsid w:val="00D8172F"/>
    <w:rsid w:val="00D819E9"/>
    <w:rsid w:val="00D83C94"/>
    <w:rsid w:val="00D83F6B"/>
    <w:rsid w:val="00D84204"/>
    <w:rsid w:val="00D84D36"/>
    <w:rsid w:val="00D8503E"/>
    <w:rsid w:val="00D8541A"/>
    <w:rsid w:val="00D8699B"/>
    <w:rsid w:val="00D8764C"/>
    <w:rsid w:val="00D8765D"/>
    <w:rsid w:val="00D905AC"/>
    <w:rsid w:val="00D91232"/>
    <w:rsid w:val="00D91249"/>
    <w:rsid w:val="00D9183C"/>
    <w:rsid w:val="00D9215A"/>
    <w:rsid w:val="00D92E9F"/>
    <w:rsid w:val="00D93ACF"/>
    <w:rsid w:val="00D94243"/>
    <w:rsid w:val="00D94FAF"/>
    <w:rsid w:val="00D9502F"/>
    <w:rsid w:val="00D96D6E"/>
    <w:rsid w:val="00D97B7D"/>
    <w:rsid w:val="00D97DA7"/>
    <w:rsid w:val="00DA0570"/>
    <w:rsid w:val="00DA0B87"/>
    <w:rsid w:val="00DA0D68"/>
    <w:rsid w:val="00DA0E3D"/>
    <w:rsid w:val="00DA0F80"/>
    <w:rsid w:val="00DA113B"/>
    <w:rsid w:val="00DA1B39"/>
    <w:rsid w:val="00DA1DC6"/>
    <w:rsid w:val="00DA1F9D"/>
    <w:rsid w:val="00DA243E"/>
    <w:rsid w:val="00DA2DC4"/>
    <w:rsid w:val="00DA362E"/>
    <w:rsid w:val="00DA44C8"/>
    <w:rsid w:val="00DA46BA"/>
    <w:rsid w:val="00DA4806"/>
    <w:rsid w:val="00DA58DB"/>
    <w:rsid w:val="00DA6496"/>
    <w:rsid w:val="00DA7040"/>
    <w:rsid w:val="00DA712B"/>
    <w:rsid w:val="00DA75C9"/>
    <w:rsid w:val="00DB07D3"/>
    <w:rsid w:val="00DB1439"/>
    <w:rsid w:val="00DB2500"/>
    <w:rsid w:val="00DB279D"/>
    <w:rsid w:val="00DB2C3E"/>
    <w:rsid w:val="00DB3987"/>
    <w:rsid w:val="00DB3B1F"/>
    <w:rsid w:val="00DB4665"/>
    <w:rsid w:val="00DB4933"/>
    <w:rsid w:val="00DB4B1E"/>
    <w:rsid w:val="00DB4DAF"/>
    <w:rsid w:val="00DB5366"/>
    <w:rsid w:val="00DB5A88"/>
    <w:rsid w:val="00DB6F2E"/>
    <w:rsid w:val="00DB7009"/>
    <w:rsid w:val="00DB75E8"/>
    <w:rsid w:val="00DB7C31"/>
    <w:rsid w:val="00DB7FE1"/>
    <w:rsid w:val="00DC0750"/>
    <w:rsid w:val="00DC07CB"/>
    <w:rsid w:val="00DC0CDB"/>
    <w:rsid w:val="00DC15B6"/>
    <w:rsid w:val="00DC1601"/>
    <w:rsid w:val="00DC1D70"/>
    <w:rsid w:val="00DC1E9A"/>
    <w:rsid w:val="00DC2CED"/>
    <w:rsid w:val="00DC2F42"/>
    <w:rsid w:val="00DC3B08"/>
    <w:rsid w:val="00DC4D2B"/>
    <w:rsid w:val="00DC50BA"/>
    <w:rsid w:val="00DC566C"/>
    <w:rsid w:val="00DC596E"/>
    <w:rsid w:val="00DC59DF"/>
    <w:rsid w:val="00DC5D3E"/>
    <w:rsid w:val="00DC64F7"/>
    <w:rsid w:val="00DC6662"/>
    <w:rsid w:val="00DC67A6"/>
    <w:rsid w:val="00DC6AE8"/>
    <w:rsid w:val="00DC6BAA"/>
    <w:rsid w:val="00DC73F1"/>
    <w:rsid w:val="00DC75D2"/>
    <w:rsid w:val="00DC7641"/>
    <w:rsid w:val="00DD00D2"/>
    <w:rsid w:val="00DD0129"/>
    <w:rsid w:val="00DD0237"/>
    <w:rsid w:val="00DD118F"/>
    <w:rsid w:val="00DD11D8"/>
    <w:rsid w:val="00DD1A98"/>
    <w:rsid w:val="00DD1A9B"/>
    <w:rsid w:val="00DD1D24"/>
    <w:rsid w:val="00DD1DD3"/>
    <w:rsid w:val="00DD21B0"/>
    <w:rsid w:val="00DD2A4E"/>
    <w:rsid w:val="00DD2B14"/>
    <w:rsid w:val="00DD2BE5"/>
    <w:rsid w:val="00DD3175"/>
    <w:rsid w:val="00DD33B6"/>
    <w:rsid w:val="00DD4069"/>
    <w:rsid w:val="00DD427F"/>
    <w:rsid w:val="00DD67DF"/>
    <w:rsid w:val="00DD6E36"/>
    <w:rsid w:val="00DD6FF6"/>
    <w:rsid w:val="00DD7626"/>
    <w:rsid w:val="00DE04DE"/>
    <w:rsid w:val="00DE114C"/>
    <w:rsid w:val="00DE12AC"/>
    <w:rsid w:val="00DE1319"/>
    <w:rsid w:val="00DE17D1"/>
    <w:rsid w:val="00DE1C17"/>
    <w:rsid w:val="00DE1C6D"/>
    <w:rsid w:val="00DE23D6"/>
    <w:rsid w:val="00DE25E8"/>
    <w:rsid w:val="00DE2D6F"/>
    <w:rsid w:val="00DE3B51"/>
    <w:rsid w:val="00DE44EB"/>
    <w:rsid w:val="00DE4504"/>
    <w:rsid w:val="00DE4FCE"/>
    <w:rsid w:val="00DE580E"/>
    <w:rsid w:val="00DE5CD7"/>
    <w:rsid w:val="00DE5CEB"/>
    <w:rsid w:val="00DE6A42"/>
    <w:rsid w:val="00DF007A"/>
    <w:rsid w:val="00DF00A1"/>
    <w:rsid w:val="00DF0536"/>
    <w:rsid w:val="00DF0B5E"/>
    <w:rsid w:val="00DF0F32"/>
    <w:rsid w:val="00DF1235"/>
    <w:rsid w:val="00DF1EC1"/>
    <w:rsid w:val="00DF2182"/>
    <w:rsid w:val="00DF2665"/>
    <w:rsid w:val="00DF2692"/>
    <w:rsid w:val="00DF2F5F"/>
    <w:rsid w:val="00DF2FD4"/>
    <w:rsid w:val="00DF3094"/>
    <w:rsid w:val="00DF35D3"/>
    <w:rsid w:val="00DF3B36"/>
    <w:rsid w:val="00DF3D65"/>
    <w:rsid w:val="00DF5138"/>
    <w:rsid w:val="00DF55E0"/>
    <w:rsid w:val="00DF5752"/>
    <w:rsid w:val="00DF6748"/>
    <w:rsid w:val="00DF702F"/>
    <w:rsid w:val="00E001A9"/>
    <w:rsid w:val="00E00C51"/>
    <w:rsid w:val="00E017B0"/>
    <w:rsid w:val="00E01B00"/>
    <w:rsid w:val="00E01D9D"/>
    <w:rsid w:val="00E01DBC"/>
    <w:rsid w:val="00E02034"/>
    <w:rsid w:val="00E02287"/>
    <w:rsid w:val="00E0278B"/>
    <w:rsid w:val="00E035D0"/>
    <w:rsid w:val="00E03A0D"/>
    <w:rsid w:val="00E04416"/>
    <w:rsid w:val="00E051AA"/>
    <w:rsid w:val="00E0538F"/>
    <w:rsid w:val="00E060B9"/>
    <w:rsid w:val="00E06514"/>
    <w:rsid w:val="00E07C48"/>
    <w:rsid w:val="00E07C89"/>
    <w:rsid w:val="00E10202"/>
    <w:rsid w:val="00E11385"/>
    <w:rsid w:val="00E117E3"/>
    <w:rsid w:val="00E11CB4"/>
    <w:rsid w:val="00E11FEC"/>
    <w:rsid w:val="00E1219D"/>
    <w:rsid w:val="00E12C2F"/>
    <w:rsid w:val="00E12E63"/>
    <w:rsid w:val="00E13A0B"/>
    <w:rsid w:val="00E13EF9"/>
    <w:rsid w:val="00E140D5"/>
    <w:rsid w:val="00E14A62"/>
    <w:rsid w:val="00E14BAD"/>
    <w:rsid w:val="00E1513D"/>
    <w:rsid w:val="00E156FD"/>
    <w:rsid w:val="00E1571A"/>
    <w:rsid w:val="00E157C0"/>
    <w:rsid w:val="00E15817"/>
    <w:rsid w:val="00E15921"/>
    <w:rsid w:val="00E16A06"/>
    <w:rsid w:val="00E16A36"/>
    <w:rsid w:val="00E16D1F"/>
    <w:rsid w:val="00E16F1C"/>
    <w:rsid w:val="00E170C6"/>
    <w:rsid w:val="00E171EE"/>
    <w:rsid w:val="00E17A68"/>
    <w:rsid w:val="00E20EA6"/>
    <w:rsid w:val="00E2109F"/>
    <w:rsid w:val="00E21ADD"/>
    <w:rsid w:val="00E21D53"/>
    <w:rsid w:val="00E2207B"/>
    <w:rsid w:val="00E228E5"/>
    <w:rsid w:val="00E22EFF"/>
    <w:rsid w:val="00E249A6"/>
    <w:rsid w:val="00E24CCB"/>
    <w:rsid w:val="00E24F35"/>
    <w:rsid w:val="00E2522F"/>
    <w:rsid w:val="00E26247"/>
    <w:rsid w:val="00E262D7"/>
    <w:rsid w:val="00E26949"/>
    <w:rsid w:val="00E26E24"/>
    <w:rsid w:val="00E27239"/>
    <w:rsid w:val="00E30722"/>
    <w:rsid w:val="00E30CC2"/>
    <w:rsid w:val="00E31079"/>
    <w:rsid w:val="00E312BC"/>
    <w:rsid w:val="00E31549"/>
    <w:rsid w:val="00E315C7"/>
    <w:rsid w:val="00E3186E"/>
    <w:rsid w:val="00E31986"/>
    <w:rsid w:val="00E321C2"/>
    <w:rsid w:val="00E32BDD"/>
    <w:rsid w:val="00E32F83"/>
    <w:rsid w:val="00E33C2A"/>
    <w:rsid w:val="00E33CFE"/>
    <w:rsid w:val="00E33EA4"/>
    <w:rsid w:val="00E34E7D"/>
    <w:rsid w:val="00E34E93"/>
    <w:rsid w:val="00E35235"/>
    <w:rsid w:val="00E3568B"/>
    <w:rsid w:val="00E35DE0"/>
    <w:rsid w:val="00E3659D"/>
    <w:rsid w:val="00E36A0C"/>
    <w:rsid w:val="00E36D44"/>
    <w:rsid w:val="00E3708E"/>
    <w:rsid w:val="00E37EC3"/>
    <w:rsid w:val="00E40754"/>
    <w:rsid w:val="00E40B17"/>
    <w:rsid w:val="00E40CBD"/>
    <w:rsid w:val="00E41892"/>
    <w:rsid w:val="00E42066"/>
    <w:rsid w:val="00E421A4"/>
    <w:rsid w:val="00E423D0"/>
    <w:rsid w:val="00E42F83"/>
    <w:rsid w:val="00E431A4"/>
    <w:rsid w:val="00E44241"/>
    <w:rsid w:val="00E44821"/>
    <w:rsid w:val="00E45427"/>
    <w:rsid w:val="00E4544A"/>
    <w:rsid w:val="00E45561"/>
    <w:rsid w:val="00E45786"/>
    <w:rsid w:val="00E45890"/>
    <w:rsid w:val="00E473BF"/>
    <w:rsid w:val="00E516FB"/>
    <w:rsid w:val="00E51CAB"/>
    <w:rsid w:val="00E51F3B"/>
    <w:rsid w:val="00E524A1"/>
    <w:rsid w:val="00E52AA5"/>
    <w:rsid w:val="00E52CD0"/>
    <w:rsid w:val="00E52D3F"/>
    <w:rsid w:val="00E5315A"/>
    <w:rsid w:val="00E53757"/>
    <w:rsid w:val="00E5386E"/>
    <w:rsid w:val="00E5398A"/>
    <w:rsid w:val="00E547DF"/>
    <w:rsid w:val="00E54995"/>
    <w:rsid w:val="00E54E1F"/>
    <w:rsid w:val="00E54F2A"/>
    <w:rsid w:val="00E55583"/>
    <w:rsid w:val="00E55710"/>
    <w:rsid w:val="00E5681D"/>
    <w:rsid w:val="00E56AA7"/>
    <w:rsid w:val="00E573C7"/>
    <w:rsid w:val="00E57AD6"/>
    <w:rsid w:val="00E60320"/>
    <w:rsid w:val="00E607D8"/>
    <w:rsid w:val="00E60D1A"/>
    <w:rsid w:val="00E60D2D"/>
    <w:rsid w:val="00E60E47"/>
    <w:rsid w:val="00E613AF"/>
    <w:rsid w:val="00E626A8"/>
    <w:rsid w:val="00E62F3B"/>
    <w:rsid w:val="00E6339D"/>
    <w:rsid w:val="00E635DD"/>
    <w:rsid w:val="00E645B6"/>
    <w:rsid w:val="00E64CC9"/>
    <w:rsid w:val="00E65264"/>
    <w:rsid w:val="00E65396"/>
    <w:rsid w:val="00E6548E"/>
    <w:rsid w:val="00E65601"/>
    <w:rsid w:val="00E65C95"/>
    <w:rsid w:val="00E66353"/>
    <w:rsid w:val="00E66E40"/>
    <w:rsid w:val="00E676B3"/>
    <w:rsid w:val="00E67894"/>
    <w:rsid w:val="00E67951"/>
    <w:rsid w:val="00E67B54"/>
    <w:rsid w:val="00E67DE0"/>
    <w:rsid w:val="00E67E1C"/>
    <w:rsid w:val="00E70245"/>
    <w:rsid w:val="00E71201"/>
    <w:rsid w:val="00E71D89"/>
    <w:rsid w:val="00E71E54"/>
    <w:rsid w:val="00E72693"/>
    <w:rsid w:val="00E726F3"/>
    <w:rsid w:val="00E729FB"/>
    <w:rsid w:val="00E72C2F"/>
    <w:rsid w:val="00E73303"/>
    <w:rsid w:val="00E73CD7"/>
    <w:rsid w:val="00E74268"/>
    <w:rsid w:val="00E742F0"/>
    <w:rsid w:val="00E7464A"/>
    <w:rsid w:val="00E74777"/>
    <w:rsid w:val="00E74DD7"/>
    <w:rsid w:val="00E75431"/>
    <w:rsid w:val="00E7583B"/>
    <w:rsid w:val="00E76674"/>
    <w:rsid w:val="00E7696F"/>
    <w:rsid w:val="00E76A06"/>
    <w:rsid w:val="00E76A83"/>
    <w:rsid w:val="00E76D71"/>
    <w:rsid w:val="00E76E71"/>
    <w:rsid w:val="00E778FB"/>
    <w:rsid w:val="00E77A6F"/>
    <w:rsid w:val="00E80408"/>
    <w:rsid w:val="00E81226"/>
    <w:rsid w:val="00E813AF"/>
    <w:rsid w:val="00E81D4C"/>
    <w:rsid w:val="00E825A3"/>
    <w:rsid w:val="00E8282A"/>
    <w:rsid w:val="00E83857"/>
    <w:rsid w:val="00E84020"/>
    <w:rsid w:val="00E84206"/>
    <w:rsid w:val="00E8462B"/>
    <w:rsid w:val="00E85194"/>
    <w:rsid w:val="00E8542C"/>
    <w:rsid w:val="00E872E8"/>
    <w:rsid w:val="00E879D0"/>
    <w:rsid w:val="00E87A14"/>
    <w:rsid w:val="00E90725"/>
    <w:rsid w:val="00E909AA"/>
    <w:rsid w:val="00E9276C"/>
    <w:rsid w:val="00E93493"/>
    <w:rsid w:val="00E934F1"/>
    <w:rsid w:val="00E93607"/>
    <w:rsid w:val="00E93808"/>
    <w:rsid w:val="00E93839"/>
    <w:rsid w:val="00E943E7"/>
    <w:rsid w:val="00E94736"/>
    <w:rsid w:val="00E948BF"/>
    <w:rsid w:val="00E94C8E"/>
    <w:rsid w:val="00E94C92"/>
    <w:rsid w:val="00E94FEF"/>
    <w:rsid w:val="00E95EA8"/>
    <w:rsid w:val="00E96009"/>
    <w:rsid w:val="00E96308"/>
    <w:rsid w:val="00E97666"/>
    <w:rsid w:val="00E976BF"/>
    <w:rsid w:val="00E97D7D"/>
    <w:rsid w:val="00E97F60"/>
    <w:rsid w:val="00EA00E7"/>
    <w:rsid w:val="00EA074D"/>
    <w:rsid w:val="00EA107E"/>
    <w:rsid w:val="00EA1B54"/>
    <w:rsid w:val="00EA1C19"/>
    <w:rsid w:val="00EA1CC1"/>
    <w:rsid w:val="00EA2078"/>
    <w:rsid w:val="00EA20F6"/>
    <w:rsid w:val="00EA2D8C"/>
    <w:rsid w:val="00EA2E99"/>
    <w:rsid w:val="00EA3F40"/>
    <w:rsid w:val="00EA44E8"/>
    <w:rsid w:val="00EA458A"/>
    <w:rsid w:val="00EA47E3"/>
    <w:rsid w:val="00EA52E0"/>
    <w:rsid w:val="00EA582B"/>
    <w:rsid w:val="00EA673F"/>
    <w:rsid w:val="00EA69AC"/>
    <w:rsid w:val="00EA70B1"/>
    <w:rsid w:val="00EA7154"/>
    <w:rsid w:val="00EA7164"/>
    <w:rsid w:val="00EA785B"/>
    <w:rsid w:val="00EA7A06"/>
    <w:rsid w:val="00EA7F0F"/>
    <w:rsid w:val="00EB0079"/>
    <w:rsid w:val="00EB049D"/>
    <w:rsid w:val="00EB06B8"/>
    <w:rsid w:val="00EB085E"/>
    <w:rsid w:val="00EB0F4C"/>
    <w:rsid w:val="00EB14DD"/>
    <w:rsid w:val="00EB1A94"/>
    <w:rsid w:val="00EB1C19"/>
    <w:rsid w:val="00EB256E"/>
    <w:rsid w:val="00EB26D6"/>
    <w:rsid w:val="00EB2EAE"/>
    <w:rsid w:val="00EB2EBE"/>
    <w:rsid w:val="00EB3C69"/>
    <w:rsid w:val="00EB3E6C"/>
    <w:rsid w:val="00EB40EB"/>
    <w:rsid w:val="00EB41CA"/>
    <w:rsid w:val="00EB43B1"/>
    <w:rsid w:val="00EB4A68"/>
    <w:rsid w:val="00EB4F94"/>
    <w:rsid w:val="00EB5FED"/>
    <w:rsid w:val="00EB67A4"/>
    <w:rsid w:val="00EB765A"/>
    <w:rsid w:val="00EB7BB5"/>
    <w:rsid w:val="00EC029B"/>
    <w:rsid w:val="00EC03B0"/>
    <w:rsid w:val="00EC0E9D"/>
    <w:rsid w:val="00EC12A8"/>
    <w:rsid w:val="00EC1512"/>
    <w:rsid w:val="00EC1698"/>
    <w:rsid w:val="00EC1734"/>
    <w:rsid w:val="00EC19E3"/>
    <w:rsid w:val="00EC2B2D"/>
    <w:rsid w:val="00EC39C5"/>
    <w:rsid w:val="00EC455D"/>
    <w:rsid w:val="00EC47BE"/>
    <w:rsid w:val="00EC4DF1"/>
    <w:rsid w:val="00EC556D"/>
    <w:rsid w:val="00EC57BF"/>
    <w:rsid w:val="00EC5B4C"/>
    <w:rsid w:val="00EC639D"/>
    <w:rsid w:val="00EC71F9"/>
    <w:rsid w:val="00EC7816"/>
    <w:rsid w:val="00EC789F"/>
    <w:rsid w:val="00EC78D8"/>
    <w:rsid w:val="00EC7B95"/>
    <w:rsid w:val="00EC7E01"/>
    <w:rsid w:val="00EC7F30"/>
    <w:rsid w:val="00ED0121"/>
    <w:rsid w:val="00ED076F"/>
    <w:rsid w:val="00ED0A0C"/>
    <w:rsid w:val="00ED0E5B"/>
    <w:rsid w:val="00ED110C"/>
    <w:rsid w:val="00ED12C7"/>
    <w:rsid w:val="00ED1567"/>
    <w:rsid w:val="00ED1C90"/>
    <w:rsid w:val="00ED1FF8"/>
    <w:rsid w:val="00ED2264"/>
    <w:rsid w:val="00ED305D"/>
    <w:rsid w:val="00ED30BF"/>
    <w:rsid w:val="00ED34F4"/>
    <w:rsid w:val="00ED37BA"/>
    <w:rsid w:val="00ED3ED1"/>
    <w:rsid w:val="00ED480B"/>
    <w:rsid w:val="00ED4C9E"/>
    <w:rsid w:val="00ED501E"/>
    <w:rsid w:val="00ED5665"/>
    <w:rsid w:val="00ED5AB9"/>
    <w:rsid w:val="00ED6142"/>
    <w:rsid w:val="00ED6464"/>
    <w:rsid w:val="00ED74B8"/>
    <w:rsid w:val="00ED79E5"/>
    <w:rsid w:val="00EE06DC"/>
    <w:rsid w:val="00EE16FB"/>
    <w:rsid w:val="00EE1E4D"/>
    <w:rsid w:val="00EE267B"/>
    <w:rsid w:val="00EE28FE"/>
    <w:rsid w:val="00EE4A1A"/>
    <w:rsid w:val="00EE6112"/>
    <w:rsid w:val="00EE618E"/>
    <w:rsid w:val="00EE677C"/>
    <w:rsid w:val="00EE6BF8"/>
    <w:rsid w:val="00EE6D07"/>
    <w:rsid w:val="00EE7A53"/>
    <w:rsid w:val="00EF0030"/>
    <w:rsid w:val="00EF487C"/>
    <w:rsid w:val="00EF5EBC"/>
    <w:rsid w:val="00EF64AB"/>
    <w:rsid w:val="00EF67E0"/>
    <w:rsid w:val="00EF72CD"/>
    <w:rsid w:val="00EF7621"/>
    <w:rsid w:val="00EF7AF9"/>
    <w:rsid w:val="00EF7CE4"/>
    <w:rsid w:val="00F00587"/>
    <w:rsid w:val="00F00C70"/>
    <w:rsid w:val="00F00D21"/>
    <w:rsid w:val="00F00DD7"/>
    <w:rsid w:val="00F024B8"/>
    <w:rsid w:val="00F0265E"/>
    <w:rsid w:val="00F026FE"/>
    <w:rsid w:val="00F02873"/>
    <w:rsid w:val="00F02989"/>
    <w:rsid w:val="00F03B67"/>
    <w:rsid w:val="00F03BDE"/>
    <w:rsid w:val="00F03C57"/>
    <w:rsid w:val="00F03C92"/>
    <w:rsid w:val="00F0448A"/>
    <w:rsid w:val="00F053C5"/>
    <w:rsid w:val="00F05B24"/>
    <w:rsid w:val="00F05B68"/>
    <w:rsid w:val="00F05F40"/>
    <w:rsid w:val="00F0610F"/>
    <w:rsid w:val="00F0630A"/>
    <w:rsid w:val="00F0668C"/>
    <w:rsid w:val="00F07110"/>
    <w:rsid w:val="00F079D1"/>
    <w:rsid w:val="00F07EE9"/>
    <w:rsid w:val="00F10591"/>
    <w:rsid w:val="00F10F05"/>
    <w:rsid w:val="00F11CF4"/>
    <w:rsid w:val="00F12557"/>
    <w:rsid w:val="00F12D96"/>
    <w:rsid w:val="00F13860"/>
    <w:rsid w:val="00F13F69"/>
    <w:rsid w:val="00F1432D"/>
    <w:rsid w:val="00F14D6B"/>
    <w:rsid w:val="00F150B0"/>
    <w:rsid w:val="00F15505"/>
    <w:rsid w:val="00F16C88"/>
    <w:rsid w:val="00F175A1"/>
    <w:rsid w:val="00F1796A"/>
    <w:rsid w:val="00F179BC"/>
    <w:rsid w:val="00F17C70"/>
    <w:rsid w:val="00F21018"/>
    <w:rsid w:val="00F21975"/>
    <w:rsid w:val="00F22E18"/>
    <w:rsid w:val="00F23F95"/>
    <w:rsid w:val="00F2433A"/>
    <w:rsid w:val="00F24761"/>
    <w:rsid w:val="00F24E26"/>
    <w:rsid w:val="00F24F8B"/>
    <w:rsid w:val="00F257E2"/>
    <w:rsid w:val="00F262BF"/>
    <w:rsid w:val="00F26468"/>
    <w:rsid w:val="00F27A22"/>
    <w:rsid w:val="00F27BD4"/>
    <w:rsid w:val="00F30009"/>
    <w:rsid w:val="00F30BE0"/>
    <w:rsid w:val="00F329CE"/>
    <w:rsid w:val="00F32A82"/>
    <w:rsid w:val="00F32EC3"/>
    <w:rsid w:val="00F332D9"/>
    <w:rsid w:val="00F33712"/>
    <w:rsid w:val="00F3396B"/>
    <w:rsid w:val="00F35787"/>
    <w:rsid w:val="00F35C59"/>
    <w:rsid w:val="00F35D18"/>
    <w:rsid w:val="00F35ED6"/>
    <w:rsid w:val="00F3610C"/>
    <w:rsid w:val="00F366D0"/>
    <w:rsid w:val="00F36C4F"/>
    <w:rsid w:val="00F36D2E"/>
    <w:rsid w:val="00F36FD4"/>
    <w:rsid w:val="00F376E2"/>
    <w:rsid w:val="00F37B03"/>
    <w:rsid w:val="00F406DE"/>
    <w:rsid w:val="00F410F1"/>
    <w:rsid w:val="00F4222C"/>
    <w:rsid w:val="00F435A3"/>
    <w:rsid w:val="00F43A9A"/>
    <w:rsid w:val="00F441DA"/>
    <w:rsid w:val="00F442B5"/>
    <w:rsid w:val="00F44C4E"/>
    <w:rsid w:val="00F454B6"/>
    <w:rsid w:val="00F4577E"/>
    <w:rsid w:val="00F45858"/>
    <w:rsid w:val="00F474CB"/>
    <w:rsid w:val="00F4780F"/>
    <w:rsid w:val="00F47B45"/>
    <w:rsid w:val="00F47D89"/>
    <w:rsid w:val="00F5001E"/>
    <w:rsid w:val="00F50285"/>
    <w:rsid w:val="00F50678"/>
    <w:rsid w:val="00F514FB"/>
    <w:rsid w:val="00F51CBC"/>
    <w:rsid w:val="00F51D06"/>
    <w:rsid w:val="00F5259D"/>
    <w:rsid w:val="00F52958"/>
    <w:rsid w:val="00F52E3F"/>
    <w:rsid w:val="00F534E7"/>
    <w:rsid w:val="00F53648"/>
    <w:rsid w:val="00F53C35"/>
    <w:rsid w:val="00F54057"/>
    <w:rsid w:val="00F54522"/>
    <w:rsid w:val="00F555D9"/>
    <w:rsid w:val="00F5597F"/>
    <w:rsid w:val="00F55B39"/>
    <w:rsid w:val="00F5607B"/>
    <w:rsid w:val="00F56433"/>
    <w:rsid w:val="00F56677"/>
    <w:rsid w:val="00F56735"/>
    <w:rsid w:val="00F57066"/>
    <w:rsid w:val="00F57380"/>
    <w:rsid w:val="00F57E2C"/>
    <w:rsid w:val="00F57FE2"/>
    <w:rsid w:val="00F60AE5"/>
    <w:rsid w:val="00F62014"/>
    <w:rsid w:val="00F626CC"/>
    <w:rsid w:val="00F626F2"/>
    <w:rsid w:val="00F6290A"/>
    <w:rsid w:val="00F633D3"/>
    <w:rsid w:val="00F63654"/>
    <w:rsid w:val="00F63EA4"/>
    <w:rsid w:val="00F64B3E"/>
    <w:rsid w:val="00F64BAD"/>
    <w:rsid w:val="00F64E96"/>
    <w:rsid w:val="00F65899"/>
    <w:rsid w:val="00F65D2A"/>
    <w:rsid w:val="00F65EA0"/>
    <w:rsid w:val="00F66DE3"/>
    <w:rsid w:val="00F6745D"/>
    <w:rsid w:val="00F675BF"/>
    <w:rsid w:val="00F678B8"/>
    <w:rsid w:val="00F67E7F"/>
    <w:rsid w:val="00F70356"/>
    <w:rsid w:val="00F70616"/>
    <w:rsid w:val="00F7075D"/>
    <w:rsid w:val="00F7080F"/>
    <w:rsid w:val="00F70834"/>
    <w:rsid w:val="00F70F2F"/>
    <w:rsid w:val="00F729D6"/>
    <w:rsid w:val="00F731FF"/>
    <w:rsid w:val="00F739FC"/>
    <w:rsid w:val="00F7441C"/>
    <w:rsid w:val="00F74CED"/>
    <w:rsid w:val="00F75056"/>
    <w:rsid w:val="00F754BC"/>
    <w:rsid w:val="00F7561C"/>
    <w:rsid w:val="00F75957"/>
    <w:rsid w:val="00F7633F"/>
    <w:rsid w:val="00F765BE"/>
    <w:rsid w:val="00F766DC"/>
    <w:rsid w:val="00F773BF"/>
    <w:rsid w:val="00F80574"/>
    <w:rsid w:val="00F80C71"/>
    <w:rsid w:val="00F81484"/>
    <w:rsid w:val="00F81AD8"/>
    <w:rsid w:val="00F81C13"/>
    <w:rsid w:val="00F81FBF"/>
    <w:rsid w:val="00F8234F"/>
    <w:rsid w:val="00F82F2E"/>
    <w:rsid w:val="00F834C2"/>
    <w:rsid w:val="00F83E93"/>
    <w:rsid w:val="00F8420C"/>
    <w:rsid w:val="00F849AC"/>
    <w:rsid w:val="00F8542A"/>
    <w:rsid w:val="00F85F96"/>
    <w:rsid w:val="00F86301"/>
    <w:rsid w:val="00F86CDF"/>
    <w:rsid w:val="00F86FF5"/>
    <w:rsid w:val="00F8717D"/>
    <w:rsid w:val="00F871F3"/>
    <w:rsid w:val="00F87456"/>
    <w:rsid w:val="00F87844"/>
    <w:rsid w:val="00F90A63"/>
    <w:rsid w:val="00F9192A"/>
    <w:rsid w:val="00F930D7"/>
    <w:rsid w:val="00F93898"/>
    <w:rsid w:val="00F939C8"/>
    <w:rsid w:val="00F93A11"/>
    <w:rsid w:val="00F93EF4"/>
    <w:rsid w:val="00F93FA2"/>
    <w:rsid w:val="00F94544"/>
    <w:rsid w:val="00F94610"/>
    <w:rsid w:val="00F952C2"/>
    <w:rsid w:val="00F956A4"/>
    <w:rsid w:val="00F95936"/>
    <w:rsid w:val="00F96C28"/>
    <w:rsid w:val="00F97BD1"/>
    <w:rsid w:val="00F97C6D"/>
    <w:rsid w:val="00FA09A0"/>
    <w:rsid w:val="00FA136B"/>
    <w:rsid w:val="00FA1EE5"/>
    <w:rsid w:val="00FA24F4"/>
    <w:rsid w:val="00FA2DEE"/>
    <w:rsid w:val="00FA3118"/>
    <w:rsid w:val="00FA3B72"/>
    <w:rsid w:val="00FA3F6B"/>
    <w:rsid w:val="00FA478D"/>
    <w:rsid w:val="00FA4A7E"/>
    <w:rsid w:val="00FA4E99"/>
    <w:rsid w:val="00FA5091"/>
    <w:rsid w:val="00FA526F"/>
    <w:rsid w:val="00FA54FD"/>
    <w:rsid w:val="00FA559B"/>
    <w:rsid w:val="00FA56C3"/>
    <w:rsid w:val="00FA571B"/>
    <w:rsid w:val="00FA6186"/>
    <w:rsid w:val="00FA61D8"/>
    <w:rsid w:val="00FA6401"/>
    <w:rsid w:val="00FA6A3B"/>
    <w:rsid w:val="00FA6B09"/>
    <w:rsid w:val="00FA6DD2"/>
    <w:rsid w:val="00FA7299"/>
    <w:rsid w:val="00FA75D9"/>
    <w:rsid w:val="00FA78C1"/>
    <w:rsid w:val="00FA7E2D"/>
    <w:rsid w:val="00FA7EDD"/>
    <w:rsid w:val="00FB0204"/>
    <w:rsid w:val="00FB0A09"/>
    <w:rsid w:val="00FB0D34"/>
    <w:rsid w:val="00FB1D5B"/>
    <w:rsid w:val="00FB1DFA"/>
    <w:rsid w:val="00FB21CA"/>
    <w:rsid w:val="00FB34B9"/>
    <w:rsid w:val="00FB50A5"/>
    <w:rsid w:val="00FB5587"/>
    <w:rsid w:val="00FB55E1"/>
    <w:rsid w:val="00FB5FCC"/>
    <w:rsid w:val="00FB7B3F"/>
    <w:rsid w:val="00FB7DEC"/>
    <w:rsid w:val="00FC08AB"/>
    <w:rsid w:val="00FC170A"/>
    <w:rsid w:val="00FC1BD2"/>
    <w:rsid w:val="00FC1F7E"/>
    <w:rsid w:val="00FC29A3"/>
    <w:rsid w:val="00FC2AA2"/>
    <w:rsid w:val="00FC3558"/>
    <w:rsid w:val="00FC3667"/>
    <w:rsid w:val="00FC3DC7"/>
    <w:rsid w:val="00FC4332"/>
    <w:rsid w:val="00FC4560"/>
    <w:rsid w:val="00FC516A"/>
    <w:rsid w:val="00FC5A89"/>
    <w:rsid w:val="00FC60A2"/>
    <w:rsid w:val="00FC6928"/>
    <w:rsid w:val="00FC75B9"/>
    <w:rsid w:val="00FC770D"/>
    <w:rsid w:val="00FD06F2"/>
    <w:rsid w:val="00FD0AD9"/>
    <w:rsid w:val="00FD13DD"/>
    <w:rsid w:val="00FD1FB7"/>
    <w:rsid w:val="00FD23BD"/>
    <w:rsid w:val="00FD2C9C"/>
    <w:rsid w:val="00FD3759"/>
    <w:rsid w:val="00FD3B2F"/>
    <w:rsid w:val="00FD3E5F"/>
    <w:rsid w:val="00FD3ED2"/>
    <w:rsid w:val="00FD40EC"/>
    <w:rsid w:val="00FD4176"/>
    <w:rsid w:val="00FD4C04"/>
    <w:rsid w:val="00FD6CEB"/>
    <w:rsid w:val="00FD6E27"/>
    <w:rsid w:val="00FD6E46"/>
    <w:rsid w:val="00FD6F24"/>
    <w:rsid w:val="00FD6F80"/>
    <w:rsid w:val="00FD7CBF"/>
    <w:rsid w:val="00FD7DA1"/>
    <w:rsid w:val="00FE011C"/>
    <w:rsid w:val="00FE0933"/>
    <w:rsid w:val="00FE0D85"/>
    <w:rsid w:val="00FE0EDF"/>
    <w:rsid w:val="00FE12AA"/>
    <w:rsid w:val="00FE158A"/>
    <w:rsid w:val="00FE2008"/>
    <w:rsid w:val="00FE21BD"/>
    <w:rsid w:val="00FE2747"/>
    <w:rsid w:val="00FE494E"/>
    <w:rsid w:val="00FE5179"/>
    <w:rsid w:val="00FE5335"/>
    <w:rsid w:val="00FE565D"/>
    <w:rsid w:val="00FE5C15"/>
    <w:rsid w:val="00FE608B"/>
    <w:rsid w:val="00FE6A61"/>
    <w:rsid w:val="00FE6C59"/>
    <w:rsid w:val="00FE6D6D"/>
    <w:rsid w:val="00FE6D78"/>
    <w:rsid w:val="00FE7020"/>
    <w:rsid w:val="00FE79AE"/>
    <w:rsid w:val="00FE7D4B"/>
    <w:rsid w:val="00FE7E84"/>
    <w:rsid w:val="00FE7F5C"/>
    <w:rsid w:val="00FF0D7C"/>
    <w:rsid w:val="00FF147D"/>
    <w:rsid w:val="00FF1777"/>
    <w:rsid w:val="00FF19CB"/>
    <w:rsid w:val="00FF2115"/>
    <w:rsid w:val="00FF2B60"/>
    <w:rsid w:val="00FF2E7A"/>
    <w:rsid w:val="00FF364E"/>
    <w:rsid w:val="00FF3E8D"/>
    <w:rsid w:val="00FF4900"/>
    <w:rsid w:val="00FF4963"/>
    <w:rsid w:val="00FF51FD"/>
    <w:rsid w:val="00FF6A40"/>
    <w:rsid w:val="00FF6E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439C"/>
    <w:rPr>
      <w:rFonts w:ascii="Times New Roman" w:eastAsia="Times New Roman" w:hAnsi="Times New Roman"/>
      <w:sz w:val="24"/>
      <w:szCs w:val="24"/>
    </w:rPr>
  </w:style>
  <w:style w:type="paragraph" w:styleId="Heading1">
    <w:name w:val="heading 1"/>
    <w:basedOn w:val="Normal"/>
    <w:next w:val="Normal"/>
    <w:link w:val="Heading1Char"/>
    <w:uiPriority w:val="9"/>
    <w:qFormat/>
    <w:rsid w:val="001F0753"/>
    <w:pPr>
      <w:keepNext/>
      <w:keepLines/>
      <w:spacing w:before="480" w:line="276" w:lineRule="auto"/>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A2A2B"/>
    <w:pPr>
      <w:autoSpaceDE w:val="0"/>
      <w:autoSpaceDN w:val="0"/>
      <w:adjustRightInd w:val="0"/>
    </w:pPr>
    <w:rPr>
      <w:rFonts w:ascii="Times New Roman" w:hAnsi="Times New Roman"/>
      <w:color w:val="000000"/>
      <w:sz w:val="24"/>
      <w:szCs w:val="24"/>
    </w:rPr>
  </w:style>
  <w:style w:type="character" w:customStyle="1" w:styleId="Heading1Char">
    <w:name w:val="Heading 1 Char"/>
    <w:link w:val="Heading1"/>
    <w:uiPriority w:val="9"/>
    <w:rsid w:val="001F0753"/>
    <w:rPr>
      <w:rFonts w:ascii="Cambria" w:eastAsia="Times New Roman" w:hAnsi="Cambria" w:cs="Times New Roman"/>
      <w:b/>
      <w:bCs/>
      <w:color w:val="365F91"/>
      <w:sz w:val="28"/>
      <w:szCs w:val="28"/>
    </w:rPr>
  </w:style>
  <w:style w:type="paragraph" w:styleId="TOCHeading">
    <w:name w:val="TOC Heading"/>
    <w:basedOn w:val="Heading1"/>
    <w:next w:val="Normal"/>
    <w:uiPriority w:val="39"/>
    <w:unhideWhenUsed/>
    <w:qFormat/>
    <w:rsid w:val="001F0753"/>
    <w:pPr>
      <w:outlineLvl w:val="9"/>
    </w:pPr>
    <w:rPr>
      <w:lang w:eastAsia="ja-JP"/>
    </w:rPr>
  </w:style>
  <w:style w:type="paragraph" w:styleId="BalloonText">
    <w:name w:val="Balloon Text"/>
    <w:basedOn w:val="Normal"/>
    <w:link w:val="BalloonTextChar"/>
    <w:uiPriority w:val="99"/>
    <w:semiHidden/>
    <w:unhideWhenUsed/>
    <w:rsid w:val="001F0753"/>
    <w:rPr>
      <w:rFonts w:ascii="Tahoma" w:eastAsia="Calibri" w:hAnsi="Tahoma" w:cs="Tahoma"/>
      <w:sz w:val="16"/>
      <w:szCs w:val="16"/>
    </w:rPr>
  </w:style>
  <w:style w:type="character" w:customStyle="1" w:styleId="BalloonTextChar">
    <w:name w:val="Balloon Text Char"/>
    <w:link w:val="BalloonText"/>
    <w:uiPriority w:val="99"/>
    <w:semiHidden/>
    <w:rsid w:val="001F0753"/>
    <w:rPr>
      <w:rFonts w:ascii="Tahoma" w:hAnsi="Tahoma" w:cs="Tahoma"/>
      <w:sz w:val="16"/>
      <w:szCs w:val="16"/>
    </w:rPr>
  </w:style>
  <w:style w:type="paragraph" w:styleId="TOC2">
    <w:name w:val="toc 2"/>
    <w:basedOn w:val="Normal"/>
    <w:next w:val="Normal"/>
    <w:autoRedefine/>
    <w:uiPriority w:val="39"/>
    <w:unhideWhenUsed/>
    <w:qFormat/>
    <w:rsid w:val="001F0753"/>
    <w:pPr>
      <w:spacing w:after="100" w:line="276" w:lineRule="auto"/>
      <w:ind w:left="220"/>
    </w:pPr>
    <w:rPr>
      <w:rFonts w:ascii="Calibri" w:hAnsi="Calibri"/>
      <w:sz w:val="22"/>
      <w:szCs w:val="22"/>
      <w:lang w:eastAsia="ja-JP"/>
    </w:rPr>
  </w:style>
  <w:style w:type="paragraph" w:styleId="TOC1">
    <w:name w:val="toc 1"/>
    <w:basedOn w:val="Normal"/>
    <w:next w:val="Normal"/>
    <w:autoRedefine/>
    <w:uiPriority w:val="39"/>
    <w:unhideWhenUsed/>
    <w:qFormat/>
    <w:rsid w:val="001761C8"/>
    <w:pPr>
      <w:spacing w:after="100" w:line="480" w:lineRule="auto"/>
    </w:pPr>
    <w:rPr>
      <w:rFonts w:ascii="Arial" w:hAnsi="Arial" w:cs="Arial"/>
      <w:color w:val="FF0000"/>
      <w:szCs w:val="28"/>
      <w:shd w:val="clear" w:color="auto" w:fill="FFFFFF"/>
      <w:lang w:eastAsia="ja-JP"/>
    </w:rPr>
  </w:style>
  <w:style w:type="paragraph" w:styleId="TOC3">
    <w:name w:val="toc 3"/>
    <w:basedOn w:val="Normal"/>
    <w:next w:val="Normal"/>
    <w:autoRedefine/>
    <w:uiPriority w:val="39"/>
    <w:unhideWhenUsed/>
    <w:qFormat/>
    <w:rsid w:val="001F0753"/>
    <w:pPr>
      <w:spacing w:after="100" w:line="276" w:lineRule="auto"/>
      <w:ind w:left="440"/>
    </w:pPr>
    <w:rPr>
      <w:rFonts w:ascii="Calibri" w:hAnsi="Calibri"/>
      <w:sz w:val="22"/>
      <w:szCs w:val="22"/>
      <w:lang w:eastAsia="ja-JP"/>
    </w:rPr>
  </w:style>
  <w:style w:type="paragraph" w:styleId="ListParagraph">
    <w:name w:val="List Paragraph"/>
    <w:basedOn w:val="Normal"/>
    <w:uiPriority w:val="34"/>
    <w:qFormat/>
    <w:rsid w:val="008F5280"/>
    <w:pPr>
      <w:spacing w:after="200" w:line="276" w:lineRule="auto"/>
      <w:ind w:left="720"/>
      <w:contextualSpacing/>
    </w:pPr>
    <w:rPr>
      <w:rFonts w:ascii="Calibri" w:eastAsia="Calibri" w:hAnsi="Calibri"/>
      <w:sz w:val="22"/>
      <w:szCs w:val="22"/>
    </w:rPr>
  </w:style>
  <w:style w:type="paragraph" w:styleId="Header">
    <w:name w:val="header"/>
    <w:basedOn w:val="Normal"/>
    <w:link w:val="HeaderChar"/>
    <w:uiPriority w:val="99"/>
    <w:unhideWhenUsed/>
    <w:rsid w:val="00BA0371"/>
    <w:pPr>
      <w:tabs>
        <w:tab w:val="center" w:pos="4680"/>
        <w:tab w:val="right" w:pos="9360"/>
      </w:tabs>
    </w:pPr>
    <w:rPr>
      <w:rFonts w:ascii="Calibri" w:eastAsia="Calibri" w:hAnsi="Calibri"/>
      <w:sz w:val="22"/>
      <w:szCs w:val="22"/>
    </w:rPr>
  </w:style>
  <w:style w:type="character" w:customStyle="1" w:styleId="HeaderChar">
    <w:name w:val="Header Char"/>
    <w:basedOn w:val="DefaultParagraphFont"/>
    <w:link w:val="Header"/>
    <w:uiPriority w:val="99"/>
    <w:rsid w:val="00BA0371"/>
  </w:style>
  <w:style w:type="paragraph" w:styleId="Footer">
    <w:name w:val="footer"/>
    <w:basedOn w:val="Normal"/>
    <w:link w:val="FooterChar"/>
    <w:uiPriority w:val="99"/>
    <w:unhideWhenUsed/>
    <w:rsid w:val="00BA0371"/>
    <w:pPr>
      <w:tabs>
        <w:tab w:val="center" w:pos="4680"/>
        <w:tab w:val="right" w:pos="9360"/>
      </w:tabs>
    </w:pPr>
    <w:rPr>
      <w:rFonts w:ascii="Calibri" w:eastAsia="Calibri" w:hAnsi="Calibri"/>
      <w:sz w:val="22"/>
      <w:szCs w:val="22"/>
    </w:rPr>
  </w:style>
  <w:style w:type="character" w:customStyle="1" w:styleId="FooterChar">
    <w:name w:val="Footer Char"/>
    <w:basedOn w:val="DefaultParagraphFont"/>
    <w:link w:val="Footer"/>
    <w:uiPriority w:val="99"/>
    <w:rsid w:val="00BA0371"/>
  </w:style>
  <w:style w:type="paragraph" w:styleId="CommentText">
    <w:name w:val="annotation text"/>
    <w:basedOn w:val="Normal"/>
    <w:link w:val="CommentTextChar"/>
    <w:uiPriority w:val="99"/>
    <w:unhideWhenUsed/>
    <w:rsid w:val="00F74CED"/>
    <w:pPr>
      <w:spacing w:after="200"/>
    </w:pPr>
    <w:rPr>
      <w:rFonts w:ascii="Calibri" w:eastAsia="Calibri" w:hAnsi="Calibri"/>
      <w:sz w:val="20"/>
      <w:szCs w:val="20"/>
    </w:rPr>
  </w:style>
  <w:style w:type="character" w:customStyle="1" w:styleId="CommentTextChar">
    <w:name w:val="Comment Text Char"/>
    <w:link w:val="CommentText"/>
    <w:uiPriority w:val="99"/>
    <w:rsid w:val="00F74CED"/>
    <w:rPr>
      <w:sz w:val="20"/>
      <w:szCs w:val="20"/>
    </w:rPr>
  </w:style>
  <w:style w:type="character" w:styleId="CommentReference">
    <w:name w:val="annotation reference"/>
    <w:uiPriority w:val="99"/>
    <w:semiHidden/>
    <w:unhideWhenUsed/>
    <w:rsid w:val="00F74CED"/>
    <w:rPr>
      <w:sz w:val="18"/>
      <w:szCs w:val="18"/>
    </w:rPr>
  </w:style>
  <w:style w:type="paragraph" w:styleId="CommentSubject">
    <w:name w:val="annotation subject"/>
    <w:basedOn w:val="CommentText"/>
    <w:next w:val="CommentText"/>
    <w:link w:val="CommentSubjectChar"/>
    <w:uiPriority w:val="99"/>
    <w:semiHidden/>
    <w:unhideWhenUsed/>
    <w:rsid w:val="00F44C4E"/>
    <w:rPr>
      <w:b/>
      <w:bCs/>
    </w:rPr>
  </w:style>
  <w:style w:type="character" w:customStyle="1" w:styleId="CommentSubjectChar">
    <w:name w:val="Comment Subject Char"/>
    <w:link w:val="CommentSubject"/>
    <w:uiPriority w:val="99"/>
    <w:semiHidden/>
    <w:rsid w:val="00F44C4E"/>
    <w:rPr>
      <w:b/>
      <w:bCs/>
      <w:sz w:val="20"/>
      <w:szCs w:val="20"/>
    </w:rPr>
  </w:style>
  <w:style w:type="character" w:styleId="Hyperlink">
    <w:name w:val="Hyperlink"/>
    <w:uiPriority w:val="99"/>
    <w:unhideWhenUsed/>
    <w:rsid w:val="00360E7F"/>
    <w:rPr>
      <w:color w:val="0000FF"/>
      <w:u w:val="single"/>
    </w:rPr>
  </w:style>
  <w:style w:type="paragraph" w:styleId="Revision">
    <w:name w:val="Revision"/>
    <w:hidden/>
    <w:uiPriority w:val="99"/>
    <w:semiHidden/>
    <w:rsid w:val="00873AD6"/>
    <w:rPr>
      <w:sz w:val="22"/>
      <w:szCs w:val="22"/>
    </w:rPr>
  </w:style>
  <w:style w:type="character" w:styleId="FollowedHyperlink">
    <w:name w:val="FollowedHyperlink"/>
    <w:uiPriority w:val="99"/>
    <w:semiHidden/>
    <w:unhideWhenUsed/>
    <w:rsid w:val="00DD1D24"/>
    <w:rPr>
      <w:color w:val="800080"/>
      <w:u w:val="single"/>
    </w:rPr>
  </w:style>
  <w:style w:type="character" w:customStyle="1" w:styleId="highlight">
    <w:name w:val="highlight"/>
    <w:basedOn w:val="DefaultParagraphFont"/>
    <w:rsid w:val="00987912"/>
  </w:style>
  <w:style w:type="character" w:customStyle="1" w:styleId="authors">
    <w:name w:val="authors"/>
    <w:basedOn w:val="DefaultParagraphFont"/>
    <w:rsid w:val="008826B8"/>
  </w:style>
  <w:style w:type="character" w:customStyle="1" w:styleId="Date1">
    <w:name w:val="Date1"/>
    <w:basedOn w:val="DefaultParagraphFont"/>
    <w:rsid w:val="008826B8"/>
  </w:style>
  <w:style w:type="character" w:customStyle="1" w:styleId="arttitle">
    <w:name w:val="art_title"/>
    <w:basedOn w:val="DefaultParagraphFont"/>
    <w:rsid w:val="008826B8"/>
  </w:style>
  <w:style w:type="character" w:customStyle="1" w:styleId="serialtitle">
    <w:name w:val="serial_title"/>
    <w:basedOn w:val="DefaultParagraphFont"/>
    <w:rsid w:val="008826B8"/>
  </w:style>
  <w:style w:type="character" w:customStyle="1" w:styleId="volumeissue">
    <w:name w:val="volume_issue"/>
    <w:basedOn w:val="DefaultParagraphFont"/>
    <w:rsid w:val="008826B8"/>
  </w:style>
  <w:style w:type="character" w:customStyle="1" w:styleId="pagerange">
    <w:name w:val="page_range"/>
    <w:basedOn w:val="DefaultParagraphFont"/>
    <w:rsid w:val="008826B8"/>
  </w:style>
  <w:style w:type="paragraph" w:styleId="Subtitle">
    <w:name w:val="Subtitle"/>
    <w:basedOn w:val="Normal"/>
    <w:next w:val="Normal"/>
    <w:link w:val="SubtitleChar"/>
    <w:uiPriority w:val="11"/>
    <w:qFormat/>
    <w:rsid w:val="00663F15"/>
    <w:pPr>
      <w:numPr>
        <w:ilvl w:val="1"/>
      </w:numPr>
      <w:spacing w:after="200" w:line="276" w:lineRule="auto"/>
    </w:pPr>
    <w:rPr>
      <w:rFonts w:ascii="Cambria" w:hAnsi="Cambria"/>
      <w:i/>
      <w:iCs/>
      <w:color w:val="4F81BD"/>
      <w:spacing w:val="15"/>
    </w:rPr>
  </w:style>
  <w:style w:type="character" w:customStyle="1" w:styleId="SubtitleChar">
    <w:name w:val="Subtitle Char"/>
    <w:link w:val="Subtitle"/>
    <w:uiPriority w:val="11"/>
    <w:rsid w:val="00663F15"/>
    <w:rPr>
      <w:rFonts w:ascii="Cambria" w:eastAsia="Times New Roman" w:hAnsi="Cambria" w:cs="Times New Roman"/>
      <w:i/>
      <w:iCs/>
      <w:color w:val="4F81BD"/>
      <w:spacing w:val="15"/>
      <w:sz w:val="24"/>
      <w:szCs w:val="24"/>
    </w:rPr>
  </w:style>
  <w:style w:type="paragraph" w:styleId="NormalWeb">
    <w:name w:val="Normal (Web)"/>
    <w:basedOn w:val="Normal"/>
    <w:uiPriority w:val="99"/>
    <w:semiHidden/>
    <w:unhideWhenUsed/>
    <w:rsid w:val="00181D45"/>
    <w:pPr>
      <w:spacing w:before="100" w:beforeAutospacing="1" w:after="100" w:afterAutospacing="1"/>
    </w:pPr>
  </w:style>
  <w:style w:type="paragraph" w:styleId="FootnoteText">
    <w:name w:val="footnote text"/>
    <w:basedOn w:val="Normal"/>
    <w:link w:val="FootnoteTextChar"/>
    <w:uiPriority w:val="99"/>
    <w:semiHidden/>
    <w:unhideWhenUsed/>
    <w:rsid w:val="005D0B66"/>
    <w:rPr>
      <w:rFonts w:ascii="Calibri" w:eastAsia="Calibri" w:hAnsi="Calibri"/>
      <w:sz w:val="20"/>
      <w:szCs w:val="20"/>
    </w:rPr>
  </w:style>
  <w:style w:type="character" w:customStyle="1" w:styleId="FootnoteTextChar">
    <w:name w:val="Footnote Text Char"/>
    <w:link w:val="FootnoteText"/>
    <w:uiPriority w:val="99"/>
    <w:semiHidden/>
    <w:rsid w:val="005D0B66"/>
    <w:rPr>
      <w:sz w:val="20"/>
      <w:szCs w:val="20"/>
    </w:rPr>
  </w:style>
  <w:style w:type="character" w:styleId="FootnoteReference">
    <w:name w:val="footnote reference"/>
    <w:uiPriority w:val="99"/>
    <w:semiHidden/>
    <w:unhideWhenUsed/>
    <w:rsid w:val="005D0B66"/>
    <w:rPr>
      <w:vertAlign w:val="superscript"/>
    </w:rPr>
  </w:style>
  <w:style w:type="character" w:customStyle="1" w:styleId="UnresolvedMention1">
    <w:name w:val="Unresolved Mention1"/>
    <w:uiPriority w:val="99"/>
    <w:semiHidden/>
    <w:unhideWhenUsed/>
    <w:rsid w:val="005D0B66"/>
    <w:rPr>
      <w:color w:val="605E5C"/>
      <w:shd w:val="clear" w:color="auto" w:fill="E1DFDD"/>
    </w:rPr>
  </w:style>
  <w:style w:type="table" w:styleId="TableGrid">
    <w:name w:val="Table Grid"/>
    <w:basedOn w:val="TableNormal"/>
    <w:uiPriority w:val="59"/>
    <w:rsid w:val="008125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
    <w:name w:val="Light List"/>
    <w:basedOn w:val="TableNormal"/>
    <w:uiPriority w:val="61"/>
    <w:rsid w:val="000128AC"/>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ghtShading">
    <w:name w:val="Light Shading"/>
    <w:basedOn w:val="TableNormal"/>
    <w:uiPriority w:val="60"/>
    <w:rsid w:val="0057058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titleseparator">
    <w:name w:val="titleseparator"/>
    <w:basedOn w:val="DefaultParagraphFont"/>
    <w:rsid w:val="00F376E2"/>
  </w:style>
  <w:style w:type="character" w:customStyle="1" w:styleId="Subtitle1">
    <w:name w:val="Subtitle1"/>
    <w:basedOn w:val="DefaultParagraphFont"/>
    <w:rsid w:val="00F376E2"/>
  </w:style>
  <w:style w:type="character" w:customStyle="1" w:styleId="citation-volume-pages">
    <w:name w:val="citation-volume-pages"/>
    <w:basedOn w:val="DefaultParagraphFont"/>
    <w:rsid w:val="00F376E2"/>
  </w:style>
  <w:style w:type="table" w:styleId="LightShading-Accent1">
    <w:name w:val="Light Shading Accent 1"/>
    <w:basedOn w:val="TableNormal"/>
    <w:uiPriority w:val="60"/>
    <w:rsid w:val="00DE23D6"/>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UnresolvedMention2">
    <w:name w:val="Unresolved Mention2"/>
    <w:uiPriority w:val="99"/>
    <w:semiHidden/>
    <w:unhideWhenUsed/>
    <w:rsid w:val="00334C40"/>
    <w:rPr>
      <w:color w:val="605E5C"/>
      <w:shd w:val="clear" w:color="auto" w:fill="E1DFDD"/>
    </w:rPr>
  </w:style>
  <w:style w:type="character" w:customStyle="1" w:styleId="UnresolvedMention3">
    <w:name w:val="Unresolved Mention3"/>
    <w:uiPriority w:val="99"/>
    <w:semiHidden/>
    <w:unhideWhenUsed/>
    <w:rsid w:val="00014F5D"/>
    <w:rPr>
      <w:color w:val="605E5C"/>
      <w:shd w:val="clear" w:color="auto" w:fill="E1DFDD"/>
    </w:rPr>
  </w:style>
  <w:style w:type="character" w:customStyle="1" w:styleId="UnresolvedMention4">
    <w:name w:val="Unresolved Mention4"/>
    <w:uiPriority w:val="99"/>
    <w:semiHidden/>
    <w:unhideWhenUsed/>
    <w:rsid w:val="00F35ED6"/>
    <w:rPr>
      <w:color w:val="605E5C"/>
      <w:shd w:val="clear" w:color="auto" w:fill="E1DFDD"/>
    </w:rPr>
  </w:style>
  <w:style w:type="character" w:customStyle="1" w:styleId="cit">
    <w:name w:val="cit"/>
    <w:basedOn w:val="DefaultParagraphFont"/>
    <w:rsid w:val="00452944"/>
  </w:style>
  <w:style w:type="character" w:customStyle="1" w:styleId="doi">
    <w:name w:val="doi"/>
    <w:basedOn w:val="DefaultParagraphFont"/>
    <w:rsid w:val="00452944"/>
  </w:style>
  <w:style w:type="character" w:customStyle="1" w:styleId="fm-citation-ids-label">
    <w:name w:val="fm-citation-ids-label"/>
    <w:basedOn w:val="DefaultParagraphFont"/>
    <w:rsid w:val="00452944"/>
  </w:style>
  <w:style w:type="character" w:customStyle="1" w:styleId="body-text-content">
    <w:name w:val="body-text-content"/>
    <w:basedOn w:val="DefaultParagraphFont"/>
    <w:rsid w:val="000634E8"/>
  </w:style>
  <w:style w:type="character" w:customStyle="1" w:styleId="month">
    <w:name w:val="month"/>
    <w:basedOn w:val="DefaultParagraphFont"/>
    <w:rsid w:val="000634E8"/>
  </w:style>
  <w:style w:type="character" w:customStyle="1" w:styleId="day">
    <w:name w:val="day"/>
    <w:basedOn w:val="DefaultParagraphFont"/>
    <w:rsid w:val="000634E8"/>
  </w:style>
  <w:style w:type="character" w:customStyle="1" w:styleId="year">
    <w:name w:val="year"/>
    <w:basedOn w:val="DefaultParagraphFont"/>
    <w:rsid w:val="000634E8"/>
  </w:style>
  <w:style w:type="character" w:customStyle="1" w:styleId="apple-style-span">
    <w:name w:val="apple-style-span"/>
    <w:basedOn w:val="DefaultParagraphFont"/>
    <w:rsid w:val="00FB0A09"/>
  </w:style>
  <w:style w:type="numbering" w:customStyle="1" w:styleId="NoList1">
    <w:name w:val="No List1"/>
    <w:next w:val="NoList"/>
    <w:uiPriority w:val="99"/>
    <w:semiHidden/>
    <w:unhideWhenUsed/>
    <w:rsid w:val="00C85FD7"/>
  </w:style>
  <w:style w:type="numbering" w:customStyle="1" w:styleId="NoList11">
    <w:name w:val="No List11"/>
    <w:next w:val="NoList"/>
    <w:uiPriority w:val="99"/>
    <w:semiHidden/>
    <w:unhideWhenUsed/>
    <w:rsid w:val="00C85FD7"/>
  </w:style>
  <w:style w:type="numbering" w:customStyle="1" w:styleId="NoList2">
    <w:name w:val="No List2"/>
    <w:next w:val="NoList"/>
    <w:uiPriority w:val="99"/>
    <w:semiHidden/>
    <w:unhideWhenUsed/>
    <w:rsid w:val="006E0406"/>
  </w:style>
  <w:style w:type="table" w:customStyle="1" w:styleId="TableGrid1">
    <w:name w:val="Table Grid1"/>
    <w:basedOn w:val="TableNormal"/>
    <w:next w:val="TableGrid"/>
    <w:uiPriority w:val="59"/>
    <w:rsid w:val="006E04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1">
    <w:name w:val="Light List1"/>
    <w:basedOn w:val="TableNormal"/>
    <w:next w:val="LightList"/>
    <w:uiPriority w:val="61"/>
    <w:rsid w:val="006E0406"/>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Shading1">
    <w:name w:val="Light Shading1"/>
    <w:basedOn w:val="TableNormal"/>
    <w:next w:val="LightShading"/>
    <w:uiPriority w:val="60"/>
    <w:rsid w:val="006E0406"/>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6E0406"/>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UnresolvedMention5">
    <w:name w:val="Unresolved Mention5"/>
    <w:uiPriority w:val="99"/>
    <w:semiHidden/>
    <w:unhideWhenUsed/>
    <w:rsid w:val="00190CF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439C"/>
    <w:rPr>
      <w:rFonts w:ascii="Times New Roman" w:eastAsia="Times New Roman" w:hAnsi="Times New Roman"/>
      <w:sz w:val="24"/>
      <w:szCs w:val="24"/>
    </w:rPr>
  </w:style>
  <w:style w:type="paragraph" w:styleId="Heading1">
    <w:name w:val="heading 1"/>
    <w:basedOn w:val="Normal"/>
    <w:next w:val="Normal"/>
    <w:link w:val="Heading1Char"/>
    <w:uiPriority w:val="9"/>
    <w:qFormat/>
    <w:rsid w:val="001F0753"/>
    <w:pPr>
      <w:keepNext/>
      <w:keepLines/>
      <w:spacing w:before="480" w:line="276" w:lineRule="auto"/>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A2A2B"/>
    <w:pPr>
      <w:autoSpaceDE w:val="0"/>
      <w:autoSpaceDN w:val="0"/>
      <w:adjustRightInd w:val="0"/>
    </w:pPr>
    <w:rPr>
      <w:rFonts w:ascii="Times New Roman" w:hAnsi="Times New Roman"/>
      <w:color w:val="000000"/>
      <w:sz w:val="24"/>
      <w:szCs w:val="24"/>
    </w:rPr>
  </w:style>
  <w:style w:type="character" w:customStyle="1" w:styleId="Heading1Char">
    <w:name w:val="Heading 1 Char"/>
    <w:link w:val="Heading1"/>
    <w:uiPriority w:val="9"/>
    <w:rsid w:val="001F0753"/>
    <w:rPr>
      <w:rFonts w:ascii="Cambria" w:eastAsia="Times New Roman" w:hAnsi="Cambria" w:cs="Times New Roman"/>
      <w:b/>
      <w:bCs/>
      <w:color w:val="365F91"/>
      <w:sz w:val="28"/>
      <w:szCs w:val="28"/>
    </w:rPr>
  </w:style>
  <w:style w:type="paragraph" w:styleId="TOCHeading">
    <w:name w:val="TOC Heading"/>
    <w:basedOn w:val="Heading1"/>
    <w:next w:val="Normal"/>
    <w:uiPriority w:val="39"/>
    <w:unhideWhenUsed/>
    <w:qFormat/>
    <w:rsid w:val="001F0753"/>
    <w:pPr>
      <w:outlineLvl w:val="9"/>
    </w:pPr>
    <w:rPr>
      <w:lang w:eastAsia="ja-JP"/>
    </w:rPr>
  </w:style>
  <w:style w:type="paragraph" w:styleId="BalloonText">
    <w:name w:val="Balloon Text"/>
    <w:basedOn w:val="Normal"/>
    <w:link w:val="BalloonTextChar"/>
    <w:uiPriority w:val="99"/>
    <w:semiHidden/>
    <w:unhideWhenUsed/>
    <w:rsid w:val="001F0753"/>
    <w:rPr>
      <w:rFonts w:ascii="Tahoma" w:eastAsia="Calibri" w:hAnsi="Tahoma" w:cs="Tahoma"/>
      <w:sz w:val="16"/>
      <w:szCs w:val="16"/>
    </w:rPr>
  </w:style>
  <w:style w:type="character" w:customStyle="1" w:styleId="BalloonTextChar">
    <w:name w:val="Balloon Text Char"/>
    <w:link w:val="BalloonText"/>
    <w:uiPriority w:val="99"/>
    <w:semiHidden/>
    <w:rsid w:val="001F0753"/>
    <w:rPr>
      <w:rFonts w:ascii="Tahoma" w:hAnsi="Tahoma" w:cs="Tahoma"/>
      <w:sz w:val="16"/>
      <w:szCs w:val="16"/>
    </w:rPr>
  </w:style>
  <w:style w:type="paragraph" w:styleId="TOC2">
    <w:name w:val="toc 2"/>
    <w:basedOn w:val="Normal"/>
    <w:next w:val="Normal"/>
    <w:autoRedefine/>
    <w:uiPriority w:val="39"/>
    <w:unhideWhenUsed/>
    <w:qFormat/>
    <w:rsid w:val="001F0753"/>
    <w:pPr>
      <w:spacing w:after="100" w:line="276" w:lineRule="auto"/>
      <w:ind w:left="220"/>
    </w:pPr>
    <w:rPr>
      <w:rFonts w:ascii="Calibri" w:hAnsi="Calibri"/>
      <w:sz w:val="22"/>
      <w:szCs w:val="22"/>
      <w:lang w:eastAsia="ja-JP"/>
    </w:rPr>
  </w:style>
  <w:style w:type="paragraph" w:styleId="TOC1">
    <w:name w:val="toc 1"/>
    <w:basedOn w:val="Normal"/>
    <w:next w:val="Normal"/>
    <w:autoRedefine/>
    <w:uiPriority w:val="39"/>
    <w:unhideWhenUsed/>
    <w:qFormat/>
    <w:rsid w:val="001761C8"/>
    <w:pPr>
      <w:spacing w:after="100" w:line="480" w:lineRule="auto"/>
    </w:pPr>
    <w:rPr>
      <w:rFonts w:ascii="Arial" w:hAnsi="Arial" w:cs="Arial"/>
      <w:color w:val="FF0000"/>
      <w:szCs w:val="28"/>
      <w:shd w:val="clear" w:color="auto" w:fill="FFFFFF"/>
      <w:lang w:eastAsia="ja-JP"/>
    </w:rPr>
  </w:style>
  <w:style w:type="paragraph" w:styleId="TOC3">
    <w:name w:val="toc 3"/>
    <w:basedOn w:val="Normal"/>
    <w:next w:val="Normal"/>
    <w:autoRedefine/>
    <w:uiPriority w:val="39"/>
    <w:unhideWhenUsed/>
    <w:qFormat/>
    <w:rsid w:val="001F0753"/>
    <w:pPr>
      <w:spacing w:after="100" w:line="276" w:lineRule="auto"/>
      <w:ind w:left="440"/>
    </w:pPr>
    <w:rPr>
      <w:rFonts w:ascii="Calibri" w:hAnsi="Calibri"/>
      <w:sz w:val="22"/>
      <w:szCs w:val="22"/>
      <w:lang w:eastAsia="ja-JP"/>
    </w:rPr>
  </w:style>
  <w:style w:type="paragraph" w:styleId="ListParagraph">
    <w:name w:val="List Paragraph"/>
    <w:basedOn w:val="Normal"/>
    <w:uiPriority w:val="34"/>
    <w:qFormat/>
    <w:rsid w:val="008F5280"/>
    <w:pPr>
      <w:spacing w:after="200" w:line="276" w:lineRule="auto"/>
      <w:ind w:left="720"/>
      <w:contextualSpacing/>
    </w:pPr>
    <w:rPr>
      <w:rFonts w:ascii="Calibri" w:eastAsia="Calibri" w:hAnsi="Calibri"/>
      <w:sz w:val="22"/>
      <w:szCs w:val="22"/>
    </w:rPr>
  </w:style>
  <w:style w:type="paragraph" w:styleId="Header">
    <w:name w:val="header"/>
    <w:basedOn w:val="Normal"/>
    <w:link w:val="HeaderChar"/>
    <w:uiPriority w:val="99"/>
    <w:unhideWhenUsed/>
    <w:rsid w:val="00BA0371"/>
    <w:pPr>
      <w:tabs>
        <w:tab w:val="center" w:pos="4680"/>
        <w:tab w:val="right" w:pos="9360"/>
      </w:tabs>
    </w:pPr>
    <w:rPr>
      <w:rFonts w:ascii="Calibri" w:eastAsia="Calibri" w:hAnsi="Calibri"/>
      <w:sz w:val="22"/>
      <w:szCs w:val="22"/>
    </w:rPr>
  </w:style>
  <w:style w:type="character" w:customStyle="1" w:styleId="HeaderChar">
    <w:name w:val="Header Char"/>
    <w:basedOn w:val="DefaultParagraphFont"/>
    <w:link w:val="Header"/>
    <w:uiPriority w:val="99"/>
    <w:rsid w:val="00BA0371"/>
  </w:style>
  <w:style w:type="paragraph" w:styleId="Footer">
    <w:name w:val="footer"/>
    <w:basedOn w:val="Normal"/>
    <w:link w:val="FooterChar"/>
    <w:uiPriority w:val="99"/>
    <w:unhideWhenUsed/>
    <w:rsid w:val="00BA0371"/>
    <w:pPr>
      <w:tabs>
        <w:tab w:val="center" w:pos="4680"/>
        <w:tab w:val="right" w:pos="9360"/>
      </w:tabs>
    </w:pPr>
    <w:rPr>
      <w:rFonts w:ascii="Calibri" w:eastAsia="Calibri" w:hAnsi="Calibri"/>
      <w:sz w:val="22"/>
      <w:szCs w:val="22"/>
    </w:rPr>
  </w:style>
  <w:style w:type="character" w:customStyle="1" w:styleId="FooterChar">
    <w:name w:val="Footer Char"/>
    <w:basedOn w:val="DefaultParagraphFont"/>
    <w:link w:val="Footer"/>
    <w:uiPriority w:val="99"/>
    <w:rsid w:val="00BA0371"/>
  </w:style>
  <w:style w:type="paragraph" w:styleId="CommentText">
    <w:name w:val="annotation text"/>
    <w:basedOn w:val="Normal"/>
    <w:link w:val="CommentTextChar"/>
    <w:uiPriority w:val="99"/>
    <w:unhideWhenUsed/>
    <w:rsid w:val="00F74CED"/>
    <w:pPr>
      <w:spacing w:after="200"/>
    </w:pPr>
    <w:rPr>
      <w:rFonts w:ascii="Calibri" w:eastAsia="Calibri" w:hAnsi="Calibri"/>
      <w:sz w:val="20"/>
      <w:szCs w:val="20"/>
    </w:rPr>
  </w:style>
  <w:style w:type="character" w:customStyle="1" w:styleId="CommentTextChar">
    <w:name w:val="Comment Text Char"/>
    <w:link w:val="CommentText"/>
    <w:uiPriority w:val="99"/>
    <w:rsid w:val="00F74CED"/>
    <w:rPr>
      <w:sz w:val="20"/>
      <w:szCs w:val="20"/>
    </w:rPr>
  </w:style>
  <w:style w:type="character" w:styleId="CommentReference">
    <w:name w:val="annotation reference"/>
    <w:uiPriority w:val="99"/>
    <w:semiHidden/>
    <w:unhideWhenUsed/>
    <w:rsid w:val="00F74CED"/>
    <w:rPr>
      <w:sz w:val="18"/>
      <w:szCs w:val="18"/>
    </w:rPr>
  </w:style>
  <w:style w:type="paragraph" w:styleId="CommentSubject">
    <w:name w:val="annotation subject"/>
    <w:basedOn w:val="CommentText"/>
    <w:next w:val="CommentText"/>
    <w:link w:val="CommentSubjectChar"/>
    <w:uiPriority w:val="99"/>
    <w:semiHidden/>
    <w:unhideWhenUsed/>
    <w:rsid w:val="00F44C4E"/>
    <w:rPr>
      <w:b/>
      <w:bCs/>
    </w:rPr>
  </w:style>
  <w:style w:type="character" w:customStyle="1" w:styleId="CommentSubjectChar">
    <w:name w:val="Comment Subject Char"/>
    <w:link w:val="CommentSubject"/>
    <w:uiPriority w:val="99"/>
    <w:semiHidden/>
    <w:rsid w:val="00F44C4E"/>
    <w:rPr>
      <w:b/>
      <w:bCs/>
      <w:sz w:val="20"/>
      <w:szCs w:val="20"/>
    </w:rPr>
  </w:style>
  <w:style w:type="character" w:styleId="Hyperlink">
    <w:name w:val="Hyperlink"/>
    <w:uiPriority w:val="99"/>
    <w:unhideWhenUsed/>
    <w:rsid w:val="00360E7F"/>
    <w:rPr>
      <w:color w:val="0000FF"/>
      <w:u w:val="single"/>
    </w:rPr>
  </w:style>
  <w:style w:type="paragraph" w:styleId="Revision">
    <w:name w:val="Revision"/>
    <w:hidden/>
    <w:uiPriority w:val="99"/>
    <w:semiHidden/>
    <w:rsid w:val="00873AD6"/>
    <w:rPr>
      <w:sz w:val="22"/>
      <w:szCs w:val="22"/>
    </w:rPr>
  </w:style>
  <w:style w:type="character" w:styleId="FollowedHyperlink">
    <w:name w:val="FollowedHyperlink"/>
    <w:uiPriority w:val="99"/>
    <w:semiHidden/>
    <w:unhideWhenUsed/>
    <w:rsid w:val="00DD1D24"/>
    <w:rPr>
      <w:color w:val="800080"/>
      <w:u w:val="single"/>
    </w:rPr>
  </w:style>
  <w:style w:type="character" w:customStyle="1" w:styleId="highlight">
    <w:name w:val="highlight"/>
    <w:basedOn w:val="DefaultParagraphFont"/>
    <w:rsid w:val="00987912"/>
  </w:style>
  <w:style w:type="character" w:customStyle="1" w:styleId="authors">
    <w:name w:val="authors"/>
    <w:basedOn w:val="DefaultParagraphFont"/>
    <w:rsid w:val="008826B8"/>
  </w:style>
  <w:style w:type="character" w:customStyle="1" w:styleId="Date1">
    <w:name w:val="Date1"/>
    <w:basedOn w:val="DefaultParagraphFont"/>
    <w:rsid w:val="008826B8"/>
  </w:style>
  <w:style w:type="character" w:customStyle="1" w:styleId="arttitle">
    <w:name w:val="art_title"/>
    <w:basedOn w:val="DefaultParagraphFont"/>
    <w:rsid w:val="008826B8"/>
  </w:style>
  <w:style w:type="character" w:customStyle="1" w:styleId="serialtitle">
    <w:name w:val="serial_title"/>
    <w:basedOn w:val="DefaultParagraphFont"/>
    <w:rsid w:val="008826B8"/>
  </w:style>
  <w:style w:type="character" w:customStyle="1" w:styleId="volumeissue">
    <w:name w:val="volume_issue"/>
    <w:basedOn w:val="DefaultParagraphFont"/>
    <w:rsid w:val="008826B8"/>
  </w:style>
  <w:style w:type="character" w:customStyle="1" w:styleId="pagerange">
    <w:name w:val="page_range"/>
    <w:basedOn w:val="DefaultParagraphFont"/>
    <w:rsid w:val="008826B8"/>
  </w:style>
  <w:style w:type="paragraph" w:styleId="Subtitle">
    <w:name w:val="Subtitle"/>
    <w:basedOn w:val="Normal"/>
    <w:next w:val="Normal"/>
    <w:link w:val="SubtitleChar"/>
    <w:uiPriority w:val="11"/>
    <w:qFormat/>
    <w:rsid w:val="00663F15"/>
    <w:pPr>
      <w:numPr>
        <w:ilvl w:val="1"/>
      </w:numPr>
      <w:spacing w:after="200" w:line="276" w:lineRule="auto"/>
    </w:pPr>
    <w:rPr>
      <w:rFonts w:ascii="Cambria" w:hAnsi="Cambria"/>
      <w:i/>
      <w:iCs/>
      <w:color w:val="4F81BD"/>
      <w:spacing w:val="15"/>
    </w:rPr>
  </w:style>
  <w:style w:type="character" w:customStyle="1" w:styleId="SubtitleChar">
    <w:name w:val="Subtitle Char"/>
    <w:link w:val="Subtitle"/>
    <w:uiPriority w:val="11"/>
    <w:rsid w:val="00663F15"/>
    <w:rPr>
      <w:rFonts w:ascii="Cambria" w:eastAsia="Times New Roman" w:hAnsi="Cambria" w:cs="Times New Roman"/>
      <w:i/>
      <w:iCs/>
      <w:color w:val="4F81BD"/>
      <w:spacing w:val="15"/>
      <w:sz w:val="24"/>
      <w:szCs w:val="24"/>
    </w:rPr>
  </w:style>
  <w:style w:type="paragraph" w:styleId="NormalWeb">
    <w:name w:val="Normal (Web)"/>
    <w:basedOn w:val="Normal"/>
    <w:uiPriority w:val="99"/>
    <w:semiHidden/>
    <w:unhideWhenUsed/>
    <w:rsid w:val="00181D45"/>
    <w:pPr>
      <w:spacing w:before="100" w:beforeAutospacing="1" w:after="100" w:afterAutospacing="1"/>
    </w:pPr>
  </w:style>
  <w:style w:type="paragraph" w:styleId="FootnoteText">
    <w:name w:val="footnote text"/>
    <w:basedOn w:val="Normal"/>
    <w:link w:val="FootnoteTextChar"/>
    <w:uiPriority w:val="99"/>
    <w:semiHidden/>
    <w:unhideWhenUsed/>
    <w:rsid w:val="005D0B66"/>
    <w:rPr>
      <w:rFonts w:ascii="Calibri" w:eastAsia="Calibri" w:hAnsi="Calibri"/>
      <w:sz w:val="20"/>
      <w:szCs w:val="20"/>
    </w:rPr>
  </w:style>
  <w:style w:type="character" w:customStyle="1" w:styleId="FootnoteTextChar">
    <w:name w:val="Footnote Text Char"/>
    <w:link w:val="FootnoteText"/>
    <w:uiPriority w:val="99"/>
    <w:semiHidden/>
    <w:rsid w:val="005D0B66"/>
    <w:rPr>
      <w:sz w:val="20"/>
      <w:szCs w:val="20"/>
    </w:rPr>
  </w:style>
  <w:style w:type="character" w:styleId="FootnoteReference">
    <w:name w:val="footnote reference"/>
    <w:uiPriority w:val="99"/>
    <w:semiHidden/>
    <w:unhideWhenUsed/>
    <w:rsid w:val="005D0B66"/>
    <w:rPr>
      <w:vertAlign w:val="superscript"/>
    </w:rPr>
  </w:style>
  <w:style w:type="character" w:customStyle="1" w:styleId="UnresolvedMention1">
    <w:name w:val="Unresolved Mention1"/>
    <w:uiPriority w:val="99"/>
    <w:semiHidden/>
    <w:unhideWhenUsed/>
    <w:rsid w:val="005D0B66"/>
    <w:rPr>
      <w:color w:val="605E5C"/>
      <w:shd w:val="clear" w:color="auto" w:fill="E1DFDD"/>
    </w:rPr>
  </w:style>
  <w:style w:type="table" w:styleId="TableGrid">
    <w:name w:val="Table Grid"/>
    <w:basedOn w:val="TableNormal"/>
    <w:uiPriority w:val="59"/>
    <w:rsid w:val="008125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
    <w:name w:val="Light List"/>
    <w:basedOn w:val="TableNormal"/>
    <w:uiPriority w:val="61"/>
    <w:rsid w:val="000128AC"/>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ghtShading">
    <w:name w:val="Light Shading"/>
    <w:basedOn w:val="TableNormal"/>
    <w:uiPriority w:val="60"/>
    <w:rsid w:val="0057058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titleseparator">
    <w:name w:val="titleseparator"/>
    <w:basedOn w:val="DefaultParagraphFont"/>
    <w:rsid w:val="00F376E2"/>
  </w:style>
  <w:style w:type="character" w:customStyle="1" w:styleId="Subtitle1">
    <w:name w:val="Subtitle1"/>
    <w:basedOn w:val="DefaultParagraphFont"/>
    <w:rsid w:val="00F376E2"/>
  </w:style>
  <w:style w:type="character" w:customStyle="1" w:styleId="citation-volume-pages">
    <w:name w:val="citation-volume-pages"/>
    <w:basedOn w:val="DefaultParagraphFont"/>
    <w:rsid w:val="00F376E2"/>
  </w:style>
  <w:style w:type="table" w:styleId="LightShading-Accent1">
    <w:name w:val="Light Shading Accent 1"/>
    <w:basedOn w:val="TableNormal"/>
    <w:uiPriority w:val="60"/>
    <w:rsid w:val="00DE23D6"/>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UnresolvedMention2">
    <w:name w:val="Unresolved Mention2"/>
    <w:uiPriority w:val="99"/>
    <w:semiHidden/>
    <w:unhideWhenUsed/>
    <w:rsid w:val="00334C40"/>
    <w:rPr>
      <w:color w:val="605E5C"/>
      <w:shd w:val="clear" w:color="auto" w:fill="E1DFDD"/>
    </w:rPr>
  </w:style>
  <w:style w:type="character" w:customStyle="1" w:styleId="UnresolvedMention3">
    <w:name w:val="Unresolved Mention3"/>
    <w:uiPriority w:val="99"/>
    <w:semiHidden/>
    <w:unhideWhenUsed/>
    <w:rsid w:val="00014F5D"/>
    <w:rPr>
      <w:color w:val="605E5C"/>
      <w:shd w:val="clear" w:color="auto" w:fill="E1DFDD"/>
    </w:rPr>
  </w:style>
  <w:style w:type="character" w:customStyle="1" w:styleId="UnresolvedMention4">
    <w:name w:val="Unresolved Mention4"/>
    <w:uiPriority w:val="99"/>
    <w:semiHidden/>
    <w:unhideWhenUsed/>
    <w:rsid w:val="00F35ED6"/>
    <w:rPr>
      <w:color w:val="605E5C"/>
      <w:shd w:val="clear" w:color="auto" w:fill="E1DFDD"/>
    </w:rPr>
  </w:style>
  <w:style w:type="character" w:customStyle="1" w:styleId="cit">
    <w:name w:val="cit"/>
    <w:basedOn w:val="DefaultParagraphFont"/>
    <w:rsid w:val="00452944"/>
  </w:style>
  <w:style w:type="character" w:customStyle="1" w:styleId="doi">
    <w:name w:val="doi"/>
    <w:basedOn w:val="DefaultParagraphFont"/>
    <w:rsid w:val="00452944"/>
  </w:style>
  <w:style w:type="character" w:customStyle="1" w:styleId="fm-citation-ids-label">
    <w:name w:val="fm-citation-ids-label"/>
    <w:basedOn w:val="DefaultParagraphFont"/>
    <w:rsid w:val="00452944"/>
  </w:style>
  <w:style w:type="character" w:customStyle="1" w:styleId="body-text-content">
    <w:name w:val="body-text-content"/>
    <w:basedOn w:val="DefaultParagraphFont"/>
    <w:rsid w:val="000634E8"/>
  </w:style>
  <w:style w:type="character" w:customStyle="1" w:styleId="month">
    <w:name w:val="month"/>
    <w:basedOn w:val="DefaultParagraphFont"/>
    <w:rsid w:val="000634E8"/>
  </w:style>
  <w:style w:type="character" w:customStyle="1" w:styleId="day">
    <w:name w:val="day"/>
    <w:basedOn w:val="DefaultParagraphFont"/>
    <w:rsid w:val="000634E8"/>
  </w:style>
  <w:style w:type="character" w:customStyle="1" w:styleId="year">
    <w:name w:val="year"/>
    <w:basedOn w:val="DefaultParagraphFont"/>
    <w:rsid w:val="000634E8"/>
  </w:style>
  <w:style w:type="character" w:customStyle="1" w:styleId="apple-style-span">
    <w:name w:val="apple-style-span"/>
    <w:basedOn w:val="DefaultParagraphFont"/>
    <w:rsid w:val="00FB0A09"/>
  </w:style>
  <w:style w:type="numbering" w:customStyle="1" w:styleId="NoList1">
    <w:name w:val="No List1"/>
    <w:next w:val="NoList"/>
    <w:uiPriority w:val="99"/>
    <w:semiHidden/>
    <w:unhideWhenUsed/>
    <w:rsid w:val="00C85FD7"/>
  </w:style>
  <w:style w:type="numbering" w:customStyle="1" w:styleId="NoList11">
    <w:name w:val="No List11"/>
    <w:next w:val="NoList"/>
    <w:uiPriority w:val="99"/>
    <w:semiHidden/>
    <w:unhideWhenUsed/>
    <w:rsid w:val="00C85FD7"/>
  </w:style>
  <w:style w:type="numbering" w:customStyle="1" w:styleId="NoList2">
    <w:name w:val="No List2"/>
    <w:next w:val="NoList"/>
    <w:uiPriority w:val="99"/>
    <w:semiHidden/>
    <w:unhideWhenUsed/>
    <w:rsid w:val="006E0406"/>
  </w:style>
  <w:style w:type="table" w:customStyle="1" w:styleId="TableGrid1">
    <w:name w:val="Table Grid1"/>
    <w:basedOn w:val="TableNormal"/>
    <w:next w:val="TableGrid"/>
    <w:uiPriority w:val="59"/>
    <w:rsid w:val="006E04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1">
    <w:name w:val="Light List1"/>
    <w:basedOn w:val="TableNormal"/>
    <w:next w:val="LightList"/>
    <w:uiPriority w:val="61"/>
    <w:rsid w:val="006E0406"/>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Shading1">
    <w:name w:val="Light Shading1"/>
    <w:basedOn w:val="TableNormal"/>
    <w:next w:val="LightShading"/>
    <w:uiPriority w:val="60"/>
    <w:rsid w:val="006E0406"/>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6E0406"/>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UnresolvedMention5">
    <w:name w:val="Unresolved Mention5"/>
    <w:uiPriority w:val="99"/>
    <w:semiHidden/>
    <w:unhideWhenUsed/>
    <w:rsid w:val="00190C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985819">
      <w:bodyDiv w:val="1"/>
      <w:marLeft w:val="0"/>
      <w:marRight w:val="0"/>
      <w:marTop w:val="0"/>
      <w:marBottom w:val="0"/>
      <w:divBdr>
        <w:top w:val="none" w:sz="0" w:space="0" w:color="auto"/>
        <w:left w:val="none" w:sz="0" w:space="0" w:color="auto"/>
        <w:bottom w:val="none" w:sz="0" w:space="0" w:color="auto"/>
        <w:right w:val="none" w:sz="0" w:space="0" w:color="auto"/>
      </w:divBdr>
    </w:div>
    <w:div w:id="65229766">
      <w:bodyDiv w:val="1"/>
      <w:marLeft w:val="0"/>
      <w:marRight w:val="0"/>
      <w:marTop w:val="0"/>
      <w:marBottom w:val="0"/>
      <w:divBdr>
        <w:top w:val="none" w:sz="0" w:space="0" w:color="auto"/>
        <w:left w:val="none" w:sz="0" w:space="0" w:color="auto"/>
        <w:bottom w:val="none" w:sz="0" w:space="0" w:color="auto"/>
        <w:right w:val="none" w:sz="0" w:space="0" w:color="auto"/>
      </w:divBdr>
    </w:div>
    <w:div w:id="70585364">
      <w:bodyDiv w:val="1"/>
      <w:marLeft w:val="0"/>
      <w:marRight w:val="0"/>
      <w:marTop w:val="0"/>
      <w:marBottom w:val="0"/>
      <w:divBdr>
        <w:top w:val="none" w:sz="0" w:space="0" w:color="auto"/>
        <w:left w:val="none" w:sz="0" w:space="0" w:color="auto"/>
        <w:bottom w:val="none" w:sz="0" w:space="0" w:color="auto"/>
        <w:right w:val="none" w:sz="0" w:space="0" w:color="auto"/>
      </w:divBdr>
    </w:div>
    <w:div w:id="75716275">
      <w:bodyDiv w:val="1"/>
      <w:marLeft w:val="0"/>
      <w:marRight w:val="0"/>
      <w:marTop w:val="0"/>
      <w:marBottom w:val="0"/>
      <w:divBdr>
        <w:top w:val="none" w:sz="0" w:space="0" w:color="auto"/>
        <w:left w:val="none" w:sz="0" w:space="0" w:color="auto"/>
        <w:bottom w:val="none" w:sz="0" w:space="0" w:color="auto"/>
        <w:right w:val="none" w:sz="0" w:space="0" w:color="auto"/>
      </w:divBdr>
    </w:div>
    <w:div w:id="122116209">
      <w:bodyDiv w:val="1"/>
      <w:marLeft w:val="0"/>
      <w:marRight w:val="0"/>
      <w:marTop w:val="0"/>
      <w:marBottom w:val="0"/>
      <w:divBdr>
        <w:top w:val="none" w:sz="0" w:space="0" w:color="auto"/>
        <w:left w:val="none" w:sz="0" w:space="0" w:color="auto"/>
        <w:bottom w:val="none" w:sz="0" w:space="0" w:color="auto"/>
        <w:right w:val="none" w:sz="0" w:space="0" w:color="auto"/>
      </w:divBdr>
      <w:divsChild>
        <w:div w:id="666514139">
          <w:marLeft w:val="0"/>
          <w:marRight w:val="0"/>
          <w:marTop w:val="0"/>
          <w:marBottom w:val="0"/>
          <w:divBdr>
            <w:top w:val="none" w:sz="0" w:space="0" w:color="auto"/>
            <w:left w:val="none" w:sz="0" w:space="0" w:color="auto"/>
            <w:bottom w:val="none" w:sz="0" w:space="0" w:color="auto"/>
            <w:right w:val="none" w:sz="0" w:space="0" w:color="auto"/>
          </w:divBdr>
        </w:div>
        <w:div w:id="1723022875">
          <w:marLeft w:val="0"/>
          <w:marRight w:val="0"/>
          <w:marTop w:val="0"/>
          <w:marBottom w:val="0"/>
          <w:divBdr>
            <w:top w:val="none" w:sz="0" w:space="0" w:color="auto"/>
            <w:left w:val="none" w:sz="0" w:space="0" w:color="auto"/>
            <w:bottom w:val="none" w:sz="0" w:space="0" w:color="auto"/>
            <w:right w:val="none" w:sz="0" w:space="0" w:color="auto"/>
          </w:divBdr>
        </w:div>
      </w:divsChild>
    </w:div>
    <w:div w:id="123668214">
      <w:bodyDiv w:val="1"/>
      <w:marLeft w:val="0"/>
      <w:marRight w:val="0"/>
      <w:marTop w:val="0"/>
      <w:marBottom w:val="0"/>
      <w:divBdr>
        <w:top w:val="none" w:sz="0" w:space="0" w:color="auto"/>
        <w:left w:val="none" w:sz="0" w:space="0" w:color="auto"/>
        <w:bottom w:val="none" w:sz="0" w:space="0" w:color="auto"/>
        <w:right w:val="none" w:sz="0" w:space="0" w:color="auto"/>
      </w:divBdr>
    </w:div>
    <w:div w:id="133835548">
      <w:bodyDiv w:val="1"/>
      <w:marLeft w:val="0"/>
      <w:marRight w:val="0"/>
      <w:marTop w:val="0"/>
      <w:marBottom w:val="0"/>
      <w:divBdr>
        <w:top w:val="none" w:sz="0" w:space="0" w:color="auto"/>
        <w:left w:val="none" w:sz="0" w:space="0" w:color="auto"/>
        <w:bottom w:val="none" w:sz="0" w:space="0" w:color="auto"/>
        <w:right w:val="none" w:sz="0" w:space="0" w:color="auto"/>
      </w:divBdr>
    </w:div>
    <w:div w:id="141048501">
      <w:bodyDiv w:val="1"/>
      <w:marLeft w:val="0"/>
      <w:marRight w:val="0"/>
      <w:marTop w:val="0"/>
      <w:marBottom w:val="0"/>
      <w:divBdr>
        <w:top w:val="none" w:sz="0" w:space="0" w:color="auto"/>
        <w:left w:val="none" w:sz="0" w:space="0" w:color="auto"/>
        <w:bottom w:val="none" w:sz="0" w:space="0" w:color="auto"/>
        <w:right w:val="none" w:sz="0" w:space="0" w:color="auto"/>
      </w:divBdr>
    </w:div>
    <w:div w:id="168757256">
      <w:bodyDiv w:val="1"/>
      <w:marLeft w:val="0"/>
      <w:marRight w:val="0"/>
      <w:marTop w:val="0"/>
      <w:marBottom w:val="0"/>
      <w:divBdr>
        <w:top w:val="none" w:sz="0" w:space="0" w:color="auto"/>
        <w:left w:val="none" w:sz="0" w:space="0" w:color="auto"/>
        <w:bottom w:val="none" w:sz="0" w:space="0" w:color="auto"/>
        <w:right w:val="none" w:sz="0" w:space="0" w:color="auto"/>
      </w:divBdr>
    </w:div>
    <w:div w:id="190144879">
      <w:bodyDiv w:val="1"/>
      <w:marLeft w:val="0"/>
      <w:marRight w:val="0"/>
      <w:marTop w:val="0"/>
      <w:marBottom w:val="0"/>
      <w:divBdr>
        <w:top w:val="none" w:sz="0" w:space="0" w:color="auto"/>
        <w:left w:val="none" w:sz="0" w:space="0" w:color="auto"/>
        <w:bottom w:val="none" w:sz="0" w:space="0" w:color="auto"/>
        <w:right w:val="none" w:sz="0" w:space="0" w:color="auto"/>
      </w:divBdr>
      <w:divsChild>
        <w:div w:id="1536573922">
          <w:marLeft w:val="0"/>
          <w:marRight w:val="0"/>
          <w:marTop w:val="75"/>
          <w:marBottom w:val="300"/>
          <w:divBdr>
            <w:top w:val="none" w:sz="0" w:space="0" w:color="auto"/>
            <w:left w:val="none" w:sz="0" w:space="0" w:color="auto"/>
            <w:bottom w:val="none" w:sz="0" w:space="0" w:color="auto"/>
            <w:right w:val="none" w:sz="0" w:space="0" w:color="auto"/>
          </w:divBdr>
        </w:div>
        <w:div w:id="2118862825">
          <w:marLeft w:val="0"/>
          <w:marRight w:val="0"/>
          <w:marTop w:val="75"/>
          <w:marBottom w:val="0"/>
          <w:divBdr>
            <w:top w:val="none" w:sz="0" w:space="0" w:color="auto"/>
            <w:left w:val="none" w:sz="0" w:space="0" w:color="auto"/>
            <w:bottom w:val="none" w:sz="0" w:space="0" w:color="auto"/>
            <w:right w:val="none" w:sz="0" w:space="0" w:color="auto"/>
          </w:divBdr>
        </w:div>
      </w:divsChild>
    </w:div>
    <w:div w:id="192230467">
      <w:bodyDiv w:val="1"/>
      <w:marLeft w:val="0"/>
      <w:marRight w:val="0"/>
      <w:marTop w:val="0"/>
      <w:marBottom w:val="0"/>
      <w:divBdr>
        <w:top w:val="none" w:sz="0" w:space="0" w:color="auto"/>
        <w:left w:val="none" w:sz="0" w:space="0" w:color="auto"/>
        <w:bottom w:val="none" w:sz="0" w:space="0" w:color="auto"/>
        <w:right w:val="none" w:sz="0" w:space="0" w:color="auto"/>
      </w:divBdr>
    </w:div>
    <w:div w:id="203372651">
      <w:bodyDiv w:val="1"/>
      <w:marLeft w:val="0"/>
      <w:marRight w:val="0"/>
      <w:marTop w:val="0"/>
      <w:marBottom w:val="0"/>
      <w:divBdr>
        <w:top w:val="none" w:sz="0" w:space="0" w:color="auto"/>
        <w:left w:val="none" w:sz="0" w:space="0" w:color="auto"/>
        <w:bottom w:val="none" w:sz="0" w:space="0" w:color="auto"/>
        <w:right w:val="none" w:sz="0" w:space="0" w:color="auto"/>
      </w:divBdr>
    </w:div>
    <w:div w:id="213467207">
      <w:bodyDiv w:val="1"/>
      <w:marLeft w:val="0"/>
      <w:marRight w:val="0"/>
      <w:marTop w:val="0"/>
      <w:marBottom w:val="0"/>
      <w:divBdr>
        <w:top w:val="none" w:sz="0" w:space="0" w:color="auto"/>
        <w:left w:val="none" w:sz="0" w:space="0" w:color="auto"/>
        <w:bottom w:val="none" w:sz="0" w:space="0" w:color="auto"/>
        <w:right w:val="none" w:sz="0" w:space="0" w:color="auto"/>
      </w:divBdr>
    </w:div>
    <w:div w:id="225796560">
      <w:bodyDiv w:val="1"/>
      <w:marLeft w:val="0"/>
      <w:marRight w:val="0"/>
      <w:marTop w:val="0"/>
      <w:marBottom w:val="0"/>
      <w:divBdr>
        <w:top w:val="none" w:sz="0" w:space="0" w:color="auto"/>
        <w:left w:val="none" w:sz="0" w:space="0" w:color="auto"/>
        <w:bottom w:val="none" w:sz="0" w:space="0" w:color="auto"/>
        <w:right w:val="none" w:sz="0" w:space="0" w:color="auto"/>
      </w:divBdr>
    </w:div>
    <w:div w:id="258147046">
      <w:bodyDiv w:val="1"/>
      <w:marLeft w:val="0"/>
      <w:marRight w:val="0"/>
      <w:marTop w:val="0"/>
      <w:marBottom w:val="0"/>
      <w:divBdr>
        <w:top w:val="none" w:sz="0" w:space="0" w:color="auto"/>
        <w:left w:val="none" w:sz="0" w:space="0" w:color="auto"/>
        <w:bottom w:val="none" w:sz="0" w:space="0" w:color="auto"/>
        <w:right w:val="none" w:sz="0" w:space="0" w:color="auto"/>
      </w:divBdr>
    </w:div>
    <w:div w:id="259948415">
      <w:bodyDiv w:val="1"/>
      <w:marLeft w:val="0"/>
      <w:marRight w:val="0"/>
      <w:marTop w:val="0"/>
      <w:marBottom w:val="0"/>
      <w:divBdr>
        <w:top w:val="none" w:sz="0" w:space="0" w:color="auto"/>
        <w:left w:val="none" w:sz="0" w:space="0" w:color="auto"/>
        <w:bottom w:val="none" w:sz="0" w:space="0" w:color="auto"/>
        <w:right w:val="none" w:sz="0" w:space="0" w:color="auto"/>
      </w:divBdr>
    </w:div>
    <w:div w:id="286665532">
      <w:bodyDiv w:val="1"/>
      <w:marLeft w:val="0"/>
      <w:marRight w:val="0"/>
      <w:marTop w:val="0"/>
      <w:marBottom w:val="0"/>
      <w:divBdr>
        <w:top w:val="none" w:sz="0" w:space="0" w:color="auto"/>
        <w:left w:val="none" w:sz="0" w:space="0" w:color="auto"/>
        <w:bottom w:val="none" w:sz="0" w:space="0" w:color="auto"/>
        <w:right w:val="none" w:sz="0" w:space="0" w:color="auto"/>
      </w:divBdr>
    </w:div>
    <w:div w:id="313605861">
      <w:bodyDiv w:val="1"/>
      <w:marLeft w:val="0"/>
      <w:marRight w:val="0"/>
      <w:marTop w:val="0"/>
      <w:marBottom w:val="0"/>
      <w:divBdr>
        <w:top w:val="none" w:sz="0" w:space="0" w:color="auto"/>
        <w:left w:val="none" w:sz="0" w:space="0" w:color="auto"/>
        <w:bottom w:val="none" w:sz="0" w:space="0" w:color="auto"/>
        <w:right w:val="none" w:sz="0" w:space="0" w:color="auto"/>
      </w:divBdr>
    </w:div>
    <w:div w:id="314652905">
      <w:bodyDiv w:val="1"/>
      <w:marLeft w:val="0"/>
      <w:marRight w:val="0"/>
      <w:marTop w:val="0"/>
      <w:marBottom w:val="0"/>
      <w:divBdr>
        <w:top w:val="none" w:sz="0" w:space="0" w:color="auto"/>
        <w:left w:val="none" w:sz="0" w:space="0" w:color="auto"/>
        <w:bottom w:val="none" w:sz="0" w:space="0" w:color="auto"/>
        <w:right w:val="none" w:sz="0" w:space="0" w:color="auto"/>
      </w:divBdr>
    </w:div>
    <w:div w:id="317343997">
      <w:bodyDiv w:val="1"/>
      <w:marLeft w:val="0"/>
      <w:marRight w:val="0"/>
      <w:marTop w:val="0"/>
      <w:marBottom w:val="0"/>
      <w:divBdr>
        <w:top w:val="none" w:sz="0" w:space="0" w:color="auto"/>
        <w:left w:val="none" w:sz="0" w:space="0" w:color="auto"/>
        <w:bottom w:val="none" w:sz="0" w:space="0" w:color="auto"/>
        <w:right w:val="none" w:sz="0" w:space="0" w:color="auto"/>
      </w:divBdr>
    </w:div>
    <w:div w:id="350227496">
      <w:bodyDiv w:val="1"/>
      <w:marLeft w:val="0"/>
      <w:marRight w:val="0"/>
      <w:marTop w:val="0"/>
      <w:marBottom w:val="0"/>
      <w:divBdr>
        <w:top w:val="none" w:sz="0" w:space="0" w:color="auto"/>
        <w:left w:val="none" w:sz="0" w:space="0" w:color="auto"/>
        <w:bottom w:val="none" w:sz="0" w:space="0" w:color="auto"/>
        <w:right w:val="none" w:sz="0" w:space="0" w:color="auto"/>
      </w:divBdr>
    </w:div>
    <w:div w:id="356124305">
      <w:bodyDiv w:val="1"/>
      <w:marLeft w:val="0"/>
      <w:marRight w:val="0"/>
      <w:marTop w:val="0"/>
      <w:marBottom w:val="0"/>
      <w:divBdr>
        <w:top w:val="none" w:sz="0" w:space="0" w:color="auto"/>
        <w:left w:val="none" w:sz="0" w:space="0" w:color="auto"/>
        <w:bottom w:val="none" w:sz="0" w:space="0" w:color="auto"/>
        <w:right w:val="none" w:sz="0" w:space="0" w:color="auto"/>
      </w:divBdr>
      <w:divsChild>
        <w:div w:id="63918703">
          <w:marLeft w:val="0"/>
          <w:marRight w:val="0"/>
          <w:marTop w:val="0"/>
          <w:marBottom w:val="0"/>
          <w:divBdr>
            <w:top w:val="none" w:sz="0" w:space="0" w:color="auto"/>
            <w:left w:val="none" w:sz="0" w:space="0" w:color="auto"/>
            <w:bottom w:val="none" w:sz="0" w:space="0" w:color="auto"/>
            <w:right w:val="none" w:sz="0" w:space="0" w:color="auto"/>
          </w:divBdr>
        </w:div>
        <w:div w:id="447236908">
          <w:marLeft w:val="0"/>
          <w:marRight w:val="0"/>
          <w:marTop w:val="0"/>
          <w:marBottom w:val="0"/>
          <w:divBdr>
            <w:top w:val="none" w:sz="0" w:space="0" w:color="auto"/>
            <w:left w:val="none" w:sz="0" w:space="0" w:color="auto"/>
            <w:bottom w:val="none" w:sz="0" w:space="0" w:color="auto"/>
            <w:right w:val="none" w:sz="0" w:space="0" w:color="auto"/>
          </w:divBdr>
        </w:div>
        <w:div w:id="530261181">
          <w:marLeft w:val="0"/>
          <w:marRight w:val="0"/>
          <w:marTop w:val="0"/>
          <w:marBottom w:val="0"/>
          <w:divBdr>
            <w:top w:val="none" w:sz="0" w:space="0" w:color="auto"/>
            <w:left w:val="none" w:sz="0" w:space="0" w:color="auto"/>
            <w:bottom w:val="none" w:sz="0" w:space="0" w:color="auto"/>
            <w:right w:val="none" w:sz="0" w:space="0" w:color="auto"/>
          </w:divBdr>
          <w:divsChild>
            <w:div w:id="278873390">
              <w:marLeft w:val="0"/>
              <w:marRight w:val="0"/>
              <w:marTop w:val="0"/>
              <w:marBottom w:val="0"/>
              <w:divBdr>
                <w:top w:val="none" w:sz="0" w:space="0" w:color="auto"/>
                <w:left w:val="none" w:sz="0" w:space="0" w:color="auto"/>
                <w:bottom w:val="none" w:sz="0" w:space="0" w:color="auto"/>
                <w:right w:val="none" w:sz="0" w:space="0" w:color="auto"/>
              </w:divBdr>
            </w:div>
          </w:divsChild>
        </w:div>
        <w:div w:id="1505895861">
          <w:marLeft w:val="0"/>
          <w:marRight w:val="0"/>
          <w:marTop w:val="0"/>
          <w:marBottom w:val="0"/>
          <w:divBdr>
            <w:top w:val="none" w:sz="0" w:space="0" w:color="auto"/>
            <w:left w:val="none" w:sz="0" w:space="0" w:color="auto"/>
            <w:bottom w:val="none" w:sz="0" w:space="0" w:color="auto"/>
            <w:right w:val="none" w:sz="0" w:space="0" w:color="auto"/>
          </w:divBdr>
        </w:div>
        <w:div w:id="1950115005">
          <w:marLeft w:val="0"/>
          <w:marRight w:val="0"/>
          <w:marTop w:val="0"/>
          <w:marBottom w:val="0"/>
          <w:divBdr>
            <w:top w:val="none" w:sz="0" w:space="0" w:color="auto"/>
            <w:left w:val="none" w:sz="0" w:space="0" w:color="auto"/>
            <w:bottom w:val="none" w:sz="0" w:space="0" w:color="auto"/>
            <w:right w:val="none" w:sz="0" w:space="0" w:color="auto"/>
          </w:divBdr>
        </w:div>
      </w:divsChild>
    </w:div>
    <w:div w:id="368992058">
      <w:bodyDiv w:val="1"/>
      <w:marLeft w:val="0"/>
      <w:marRight w:val="0"/>
      <w:marTop w:val="0"/>
      <w:marBottom w:val="0"/>
      <w:divBdr>
        <w:top w:val="none" w:sz="0" w:space="0" w:color="auto"/>
        <w:left w:val="none" w:sz="0" w:space="0" w:color="auto"/>
        <w:bottom w:val="none" w:sz="0" w:space="0" w:color="auto"/>
        <w:right w:val="none" w:sz="0" w:space="0" w:color="auto"/>
      </w:divBdr>
    </w:div>
    <w:div w:id="411270178">
      <w:bodyDiv w:val="1"/>
      <w:marLeft w:val="0"/>
      <w:marRight w:val="0"/>
      <w:marTop w:val="0"/>
      <w:marBottom w:val="0"/>
      <w:divBdr>
        <w:top w:val="none" w:sz="0" w:space="0" w:color="auto"/>
        <w:left w:val="none" w:sz="0" w:space="0" w:color="auto"/>
        <w:bottom w:val="none" w:sz="0" w:space="0" w:color="auto"/>
        <w:right w:val="none" w:sz="0" w:space="0" w:color="auto"/>
      </w:divBdr>
    </w:div>
    <w:div w:id="417481988">
      <w:bodyDiv w:val="1"/>
      <w:marLeft w:val="0"/>
      <w:marRight w:val="0"/>
      <w:marTop w:val="0"/>
      <w:marBottom w:val="0"/>
      <w:divBdr>
        <w:top w:val="none" w:sz="0" w:space="0" w:color="auto"/>
        <w:left w:val="none" w:sz="0" w:space="0" w:color="auto"/>
        <w:bottom w:val="none" w:sz="0" w:space="0" w:color="auto"/>
        <w:right w:val="none" w:sz="0" w:space="0" w:color="auto"/>
      </w:divBdr>
    </w:div>
    <w:div w:id="420218239">
      <w:bodyDiv w:val="1"/>
      <w:marLeft w:val="0"/>
      <w:marRight w:val="0"/>
      <w:marTop w:val="0"/>
      <w:marBottom w:val="0"/>
      <w:divBdr>
        <w:top w:val="none" w:sz="0" w:space="0" w:color="auto"/>
        <w:left w:val="none" w:sz="0" w:space="0" w:color="auto"/>
        <w:bottom w:val="none" w:sz="0" w:space="0" w:color="auto"/>
        <w:right w:val="none" w:sz="0" w:space="0" w:color="auto"/>
      </w:divBdr>
    </w:div>
    <w:div w:id="585921022">
      <w:bodyDiv w:val="1"/>
      <w:marLeft w:val="0"/>
      <w:marRight w:val="0"/>
      <w:marTop w:val="0"/>
      <w:marBottom w:val="0"/>
      <w:divBdr>
        <w:top w:val="none" w:sz="0" w:space="0" w:color="auto"/>
        <w:left w:val="none" w:sz="0" w:space="0" w:color="auto"/>
        <w:bottom w:val="none" w:sz="0" w:space="0" w:color="auto"/>
        <w:right w:val="none" w:sz="0" w:space="0" w:color="auto"/>
      </w:divBdr>
    </w:div>
    <w:div w:id="638455281">
      <w:bodyDiv w:val="1"/>
      <w:marLeft w:val="0"/>
      <w:marRight w:val="0"/>
      <w:marTop w:val="0"/>
      <w:marBottom w:val="0"/>
      <w:divBdr>
        <w:top w:val="none" w:sz="0" w:space="0" w:color="auto"/>
        <w:left w:val="none" w:sz="0" w:space="0" w:color="auto"/>
        <w:bottom w:val="none" w:sz="0" w:space="0" w:color="auto"/>
        <w:right w:val="none" w:sz="0" w:space="0" w:color="auto"/>
      </w:divBdr>
    </w:div>
    <w:div w:id="669062496">
      <w:bodyDiv w:val="1"/>
      <w:marLeft w:val="0"/>
      <w:marRight w:val="0"/>
      <w:marTop w:val="0"/>
      <w:marBottom w:val="0"/>
      <w:divBdr>
        <w:top w:val="none" w:sz="0" w:space="0" w:color="auto"/>
        <w:left w:val="none" w:sz="0" w:space="0" w:color="auto"/>
        <w:bottom w:val="none" w:sz="0" w:space="0" w:color="auto"/>
        <w:right w:val="none" w:sz="0" w:space="0" w:color="auto"/>
      </w:divBdr>
    </w:div>
    <w:div w:id="702244689">
      <w:bodyDiv w:val="1"/>
      <w:marLeft w:val="0"/>
      <w:marRight w:val="0"/>
      <w:marTop w:val="0"/>
      <w:marBottom w:val="0"/>
      <w:divBdr>
        <w:top w:val="none" w:sz="0" w:space="0" w:color="auto"/>
        <w:left w:val="none" w:sz="0" w:space="0" w:color="auto"/>
        <w:bottom w:val="none" w:sz="0" w:space="0" w:color="auto"/>
        <w:right w:val="none" w:sz="0" w:space="0" w:color="auto"/>
      </w:divBdr>
      <w:divsChild>
        <w:div w:id="264771316">
          <w:marLeft w:val="547"/>
          <w:marRight w:val="0"/>
          <w:marTop w:val="106"/>
          <w:marBottom w:val="0"/>
          <w:divBdr>
            <w:top w:val="none" w:sz="0" w:space="0" w:color="auto"/>
            <w:left w:val="none" w:sz="0" w:space="0" w:color="auto"/>
            <w:bottom w:val="none" w:sz="0" w:space="0" w:color="auto"/>
            <w:right w:val="none" w:sz="0" w:space="0" w:color="auto"/>
          </w:divBdr>
        </w:div>
      </w:divsChild>
    </w:div>
    <w:div w:id="704402643">
      <w:bodyDiv w:val="1"/>
      <w:marLeft w:val="0"/>
      <w:marRight w:val="0"/>
      <w:marTop w:val="0"/>
      <w:marBottom w:val="0"/>
      <w:divBdr>
        <w:top w:val="none" w:sz="0" w:space="0" w:color="auto"/>
        <w:left w:val="none" w:sz="0" w:space="0" w:color="auto"/>
        <w:bottom w:val="none" w:sz="0" w:space="0" w:color="auto"/>
        <w:right w:val="none" w:sz="0" w:space="0" w:color="auto"/>
      </w:divBdr>
      <w:divsChild>
        <w:div w:id="353654037">
          <w:marLeft w:val="0"/>
          <w:marRight w:val="0"/>
          <w:marTop w:val="0"/>
          <w:marBottom w:val="0"/>
          <w:divBdr>
            <w:top w:val="none" w:sz="0" w:space="0" w:color="auto"/>
            <w:left w:val="none" w:sz="0" w:space="0" w:color="auto"/>
            <w:bottom w:val="none" w:sz="0" w:space="0" w:color="auto"/>
            <w:right w:val="none" w:sz="0" w:space="0" w:color="auto"/>
          </w:divBdr>
          <w:divsChild>
            <w:div w:id="678505682">
              <w:marLeft w:val="0"/>
              <w:marRight w:val="0"/>
              <w:marTop w:val="0"/>
              <w:marBottom w:val="0"/>
              <w:divBdr>
                <w:top w:val="none" w:sz="0" w:space="0" w:color="auto"/>
                <w:left w:val="none" w:sz="0" w:space="0" w:color="auto"/>
                <w:bottom w:val="none" w:sz="0" w:space="0" w:color="auto"/>
                <w:right w:val="none" w:sz="0" w:space="0" w:color="auto"/>
              </w:divBdr>
            </w:div>
          </w:divsChild>
        </w:div>
        <w:div w:id="1581794693">
          <w:marLeft w:val="0"/>
          <w:marRight w:val="0"/>
          <w:marTop w:val="0"/>
          <w:marBottom w:val="0"/>
          <w:divBdr>
            <w:top w:val="none" w:sz="0" w:space="0" w:color="auto"/>
            <w:left w:val="none" w:sz="0" w:space="0" w:color="auto"/>
            <w:bottom w:val="none" w:sz="0" w:space="0" w:color="auto"/>
            <w:right w:val="none" w:sz="0" w:space="0" w:color="auto"/>
          </w:divBdr>
          <w:divsChild>
            <w:div w:id="536090932">
              <w:marLeft w:val="0"/>
              <w:marRight w:val="0"/>
              <w:marTop w:val="0"/>
              <w:marBottom w:val="0"/>
              <w:divBdr>
                <w:top w:val="none" w:sz="0" w:space="0" w:color="auto"/>
                <w:left w:val="none" w:sz="0" w:space="0" w:color="auto"/>
                <w:bottom w:val="none" w:sz="0" w:space="0" w:color="auto"/>
                <w:right w:val="none" w:sz="0" w:space="0" w:color="auto"/>
              </w:divBdr>
            </w:div>
          </w:divsChild>
        </w:div>
        <w:div w:id="1983072879">
          <w:marLeft w:val="0"/>
          <w:marRight w:val="0"/>
          <w:marTop w:val="0"/>
          <w:marBottom w:val="0"/>
          <w:divBdr>
            <w:top w:val="none" w:sz="0" w:space="0" w:color="auto"/>
            <w:left w:val="none" w:sz="0" w:space="0" w:color="auto"/>
            <w:bottom w:val="none" w:sz="0" w:space="0" w:color="auto"/>
            <w:right w:val="none" w:sz="0" w:space="0" w:color="auto"/>
          </w:divBdr>
          <w:divsChild>
            <w:div w:id="1466239185">
              <w:marLeft w:val="0"/>
              <w:marRight w:val="0"/>
              <w:marTop w:val="0"/>
              <w:marBottom w:val="0"/>
              <w:divBdr>
                <w:top w:val="none" w:sz="0" w:space="0" w:color="auto"/>
                <w:left w:val="none" w:sz="0" w:space="0" w:color="auto"/>
                <w:bottom w:val="none" w:sz="0" w:space="0" w:color="auto"/>
                <w:right w:val="none" w:sz="0" w:space="0" w:color="auto"/>
              </w:divBdr>
              <w:divsChild>
                <w:div w:id="1721439699">
                  <w:marLeft w:val="0"/>
                  <w:marRight w:val="0"/>
                  <w:marTop w:val="0"/>
                  <w:marBottom w:val="0"/>
                  <w:divBdr>
                    <w:top w:val="none" w:sz="0" w:space="0" w:color="auto"/>
                    <w:left w:val="none" w:sz="0" w:space="0" w:color="auto"/>
                    <w:bottom w:val="none" w:sz="0" w:space="0" w:color="auto"/>
                    <w:right w:val="none" w:sz="0" w:space="0" w:color="auto"/>
                  </w:divBdr>
                  <w:divsChild>
                    <w:div w:id="385102137">
                      <w:marLeft w:val="0"/>
                      <w:marRight w:val="0"/>
                      <w:marTop w:val="0"/>
                      <w:marBottom w:val="0"/>
                      <w:divBdr>
                        <w:top w:val="none" w:sz="0" w:space="0" w:color="auto"/>
                        <w:left w:val="none" w:sz="0" w:space="0" w:color="auto"/>
                        <w:bottom w:val="none" w:sz="0" w:space="0" w:color="auto"/>
                        <w:right w:val="none" w:sz="0" w:space="0" w:color="auto"/>
                      </w:divBdr>
                    </w:div>
                    <w:div w:id="166909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899937">
              <w:marLeft w:val="0"/>
              <w:marRight w:val="0"/>
              <w:marTop w:val="0"/>
              <w:marBottom w:val="0"/>
              <w:divBdr>
                <w:top w:val="none" w:sz="0" w:space="0" w:color="auto"/>
                <w:left w:val="none" w:sz="0" w:space="0" w:color="auto"/>
                <w:bottom w:val="none" w:sz="0" w:space="0" w:color="auto"/>
                <w:right w:val="none" w:sz="0" w:space="0" w:color="auto"/>
              </w:divBdr>
              <w:divsChild>
                <w:div w:id="194732769">
                  <w:marLeft w:val="0"/>
                  <w:marRight w:val="0"/>
                  <w:marTop w:val="0"/>
                  <w:marBottom w:val="0"/>
                  <w:divBdr>
                    <w:top w:val="none" w:sz="0" w:space="0" w:color="auto"/>
                    <w:left w:val="none" w:sz="0" w:space="0" w:color="auto"/>
                    <w:bottom w:val="none" w:sz="0" w:space="0" w:color="auto"/>
                    <w:right w:val="none" w:sz="0" w:space="0" w:color="auto"/>
                  </w:divBdr>
                  <w:divsChild>
                    <w:div w:id="858081227">
                      <w:marLeft w:val="0"/>
                      <w:marRight w:val="0"/>
                      <w:marTop w:val="0"/>
                      <w:marBottom w:val="0"/>
                      <w:divBdr>
                        <w:top w:val="none" w:sz="0" w:space="0" w:color="auto"/>
                        <w:left w:val="none" w:sz="0" w:space="0" w:color="auto"/>
                        <w:bottom w:val="none" w:sz="0" w:space="0" w:color="auto"/>
                        <w:right w:val="none" w:sz="0" w:space="0" w:color="auto"/>
                      </w:divBdr>
                    </w:div>
                    <w:div w:id="122749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8040131">
      <w:bodyDiv w:val="1"/>
      <w:marLeft w:val="0"/>
      <w:marRight w:val="0"/>
      <w:marTop w:val="0"/>
      <w:marBottom w:val="0"/>
      <w:divBdr>
        <w:top w:val="none" w:sz="0" w:space="0" w:color="auto"/>
        <w:left w:val="none" w:sz="0" w:space="0" w:color="auto"/>
        <w:bottom w:val="none" w:sz="0" w:space="0" w:color="auto"/>
        <w:right w:val="none" w:sz="0" w:space="0" w:color="auto"/>
      </w:divBdr>
    </w:div>
    <w:div w:id="761224010">
      <w:bodyDiv w:val="1"/>
      <w:marLeft w:val="0"/>
      <w:marRight w:val="0"/>
      <w:marTop w:val="0"/>
      <w:marBottom w:val="0"/>
      <w:divBdr>
        <w:top w:val="none" w:sz="0" w:space="0" w:color="auto"/>
        <w:left w:val="none" w:sz="0" w:space="0" w:color="auto"/>
        <w:bottom w:val="none" w:sz="0" w:space="0" w:color="auto"/>
        <w:right w:val="none" w:sz="0" w:space="0" w:color="auto"/>
      </w:divBdr>
    </w:div>
    <w:div w:id="791939899">
      <w:bodyDiv w:val="1"/>
      <w:marLeft w:val="0"/>
      <w:marRight w:val="0"/>
      <w:marTop w:val="0"/>
      <w:marBottom w:val="0"/>
      <w:divBdr>
        <w:top w:val="none" w:sz="0" w:space="0" w:color="auto"/>
        <w:left w:val="none" w:sz="0" w:space="0" w:color="auto"/>
        <w:bottom w:val="none" w:sz="0" w:space="0" w:color="auto"/>
        <w:right w:val="none" w:sz="0" w:space="0" w:color="auto"/>
      </w:divBdr>
    </w:div>
    <w:div w:id="794446707">
      <w:bodyDiv w:val="1"/>
      <w:marLeft w:val="0"/>
      <w:marRight w:val="0"/>
      <w:marTop w:val="0"/>
      <w:marBottom w:val="0"/>
      <w:divBdr>
        <w:top w:val="none" w:sz="0" w:space="0" w:color="auto"/>
        <w:left w:val="none" w:sz="0" w:space="0" w:color="auto"/>
        <w:bottom w:val="none" w:sz="0" w:space="0" w:color="auto"/>
        <w:right w:val="none" w:sz="0" w:space="0" w:color="auto"/>
      </w:divBdr>
    </w:div>
    <w:div w:id="800922390">
      <w:bodyDiv w:val="1"/>
      <w:marLeft w:val="0"/>
      <w:marRight w:val="0"/>
      <w:marTop w:val="0"/>
      <w:marBottom w:val="0"/>
      <w:divBdr>
        <w:top w:val="none" w:sz="0" w:space="0" w:color="auto"/>
        <w:left w:val="none" w:sz="0" w:space="0" w:color="auto"/>
        <w:bottom w:val="none" w:sz="0" w:space="0" w:color="auto"/>
        <w:right w:val="none" w:sz="0" w:space="0" w:color="auto"/>
      </w:divBdr>
    </w:div>
    <w:div w:id="812714355">
      <w:bodyDiv w:val="1"/>
      <w:marLeft w:val="0"/>
      <w:marRight w:val="0"/>
      <w:marTop w:val="0"/>
      <w:marBottom w:val="0"/>
      <w:divBdr>
        <w:top w:val="none" w:sz="0" w:space="0" w:color="auto"/>
        <w:left w:val="none" w:sz="0" w:space="0" w:color="auto"/>
        <w:bottom w:val="none" w:sz="0" w:space="0" w:color="auto"/>
        <w:right w:val="none" w:sz="0" w:space="0" w:color="auto"/>
      </w:divBdr>
    </w:div>
    <w:div w:id="839851740">
      <w:bodyDiv w:val="1"/>
      <w:marLeft w:val="0"/>
      <w:marRight w:val="0"/>
      <w:marTop w:val="0"/>
      <w:marBottom w:val="0"/>
      <w:divBdr>
        <w:top w:val="none" w:sz="0" w:space="0" w:color="auto"/>
        <w:left w:val="none" w:sz="0" w:space="0" w:color="auto"/>
        <w:bottom w:val="none" w:sz="0" w:space="0" w:color="auto"/>
        <w:right w:val="none" w:sz="0" w:space="0" w:color="auto"/>
      </w:divBdr>
    </w:div>
    <w:div w:id="841431066">
      <w:bodyDiv w:val="1"/>
      <w:marLeft w:val="0"/>
      <w:marRight w:val="0"/>
      <w:marTop w:val="0"/>
      <w:marBottom w:val="0"/>
      <w:divBdr>
        <w:top w:val="none" w:sz="0" w:space="0" w:color="auto"/>
        <w:left w:val="none" w:sz="0" w:space="0" w:color="auto"/>
        <w:bottom w:val="none" w:sz="0" w:space="0" w:color="auto"/>
        <w:right w:val="none" w:sz="0" w:space="0" w:color="auto"/>
      </w:divBdr>
    </w:div>
    <w:div w:id="852841161">
      <w:bodyDiv w:val="1"/>
      <w:marLeft w:val="0"/>
      <w:marRight w:val="0"/>
      <w:marTop w:val="0"/>
      <w:marBottom w:val="0"/>
      <w:divBdr>
        <w:top w:val="none" w:sz="0" w:space="0" w:color="auto"/>
        <w:left w:val="none" w:sz="0" w:space="0" w:color="auto"/>
        <w:bottom w:val="none" w:sz="0" w:space="0" w:color="auto"/>
        <w:right w:val="none" w:sz="0" w:space="0" w:color="auto"/>
      </w:divBdr>
    </w:div>
    <w:div w:id="874728895">
      <w:bodyDiv w:val="1"/>
      <w:marLeft w:val="0"/>
      <w:marRight w:val="0"/>
      <w:marTop w:val="0"/>
      <w:marBottom w:val="0"/>
      <w:divBdr>
        <w:top w:val="none" w:sz="0" w:space="0" w:color="auto"/>
        <w:left w:val="none" w:sz="0" w:space="0" w:color="auto"/>
        <w:bottom w:val="none" w:sz="0" w:space="0" w:color="auto"/>
        <w:right w:val="none" w:sz="0" w:space="0" w:color="auto"/>
      </w:divBdr>
    </w:div>
    <w:div w:id="885680061">
      <w:bodyDiv w:val="1"/>
      <w:marLeft w:val="0"/>
      <w:marRight w:val="0"/>
      <w:marTop w:val="0"/>
      <w:marBottom w:val="0"/>
      <w:divBdr>
        <w:top w:val="none" w:sz="0" w:space="0" w:color="auto"/>
        <w:left w:val="none" w:sz="0" w:space="0" w:color="auto"/>
        <w:bottom w:val="none" w:sz="0" w:space="0" w:color="auto"/>
        <w:right w:val="none" w:sz="0" w:space="0" w:color="auto"/>
      </w:divBdr>
    </w:div>
    <w:div w:id="915170202">
      <w:bodyDiv w:val="1"/>
      <w:marLeft w:val="0"/>
      <w:marRight w:val="0"/>
      <w:marTop w:val="0"/>
      <w:marBottom w:val="0"/>
      <w:divBdr>
        <w:top w:val="none" w:sz="0" w:space="0" w:color="auto"/>
        <w:left w:val="none" w:sz="0" w:space="0" w:color="auto"/>
        <w:bottom w:val="none" w:sz="0" w:space="0" w:color="auto"/>
        <w:right w:val="none" w:sz="0" w:space="0" w:color="auto"/>
      </w:divBdr>
    </w:div>
    <w:div w:id="947659580">
      <w:bodyDiv w:val="1"/>
      <w:marLeft w:val="0"/>
      <w:marRight w:val="0"/>
      <w:marTop w:val="0"/>
      <w:marBottom w:val="0"/>
      <w:divBdr>
        <w:top w:val="none" w:sz="0" w:space="0" w:color="auto"/>
        <w:left w:val="none" w:sz="0" w:space="0" w:color="auto"/>
        <w:bottom w:val="none" w:sz="0" w:space="0" w:color="auto"/>
        <w:right w:val="none" w:sz="0" w:space="0" w:color="auto"/>
      </w:divBdr>
      <w:divsChild>
        <w:div w:id="244994822">
          <w:marLeft w:val="547"/>
          <w:marRight w:val="0"/>
          <w:marTop w:val="0"/>
          <w:marBottom w:val="0"/>
          <w:divBdr>
            <w:top w:val="none" w:sz="0" w:space="0" w:color="auto"/>
            <w:left w:val="none" w:sz="0" w:space="0" w:color="auto"/>
            <w:bottom w:val="none" w:sz="0" w:space="0" w:color="auto"/>
            <w:right w:val="none" w:sz="0" w:space="0" w:color="auto"/>
          </w:divBdr>
        </w:div>
      </w:divsChild>
    </w:div>
    <w:div w:id="982462691">
      <w:bodyDiv w:val="1"/>
      <w:marLeft w:val="0"/>
      <w:marRight w:val="0"/>
      <w:marTop w:val="0"/>
      <w:marBottom w:val="0"/>
      <w:divBdr>
        <w:top w:val="none" w:sz="0" w:space="0" w:color="auto"/>
        <w:left w:val="none" w:sz="0" w:space="0" w:color="auto"/>
        <w:bottom w:val="none" w:sz="0" w:space="0" w:color="auto"/>
        <w:right w:val="none" w:sz="0" w:space="0" w:color="auto"/>
      </w:divBdr>
    </w:div>
    <w:div w:id="1018114895">
      <w:bodyDiv w:val="1"/>
      <w:marLeft w:val="0"/>
      <w:marRight w:val="0"/>
      <w:marTop w:val="0"/>
      <w:marBottom w:val="0"/>
      <w:divBdr>
        <w:top w:val="none" w:sz="0" w:space="0" w:color="auto"/>
        <w:left w:val="none" w:sz="0" w:space="0" w:color="auto"/>
        <w:bottom w:val="none" w:sz="0" w:space="0" w:color="auto"/>
        <w:right w:val="none" w:sz="0" w:space="0" w:color="auto"/>
      </w:divBdr>
    </w:div>
    <w:div w:id="1035886163">
      <w:bodyDiv w:val="1"/>
      <w:marLeft w:val="0"/>
      <w:marRight w:val="0"/>
      <w:marTop w:val="0"/>
      <w:marBottom w:val="0"/>
      <w:divBdr>
        <w:top w:val="none" w:sz="0" w:space="0" w:color="auto"/>
        <w:left w:val="none" w:sz="0" w:space="0" w:color="auto"/>
        <w:bottom w:val="none" w:sz="0" w:space="0" w:color="auto"/>
        <w:right w:val="none" w:sz="0" w:space="0" w:color="auto"/>
      </w:divBdr>
    </w:div>
    <w:div w:id="1042948267">
      <w:bodyDiv w:val="1"/>
      <w:marLeft w:val="0"/>
      <w:marRight w:val="0"/>
      <w:marTop w:val="0"/>
      <w:marBottom w:val="0"/>
      <w:divBdr>
        <w:top w:val="none" w:sz="0" w:space="0" w:color="auto"/>
        <w:left w:val="none" w:sz="0" w:space="0" w:color="auto"/>
        <w:bottom w:val="none" w:sz="0" w:space="0" w:color="auto"/>
        <w:right w:val="none" w:sz="0" w:space="0" w:color="auto"/>
      </w:divBdr>
    </w:div>
    <w:div w:id="1063214872">
      <w:bodyDiv w:val="1"/>
      <w:marLeft w:val="0"/>
      <w:marRight w:val="0"/>
      <w:marTop w:val="0"/>
      <w:marBottom w:val="0"/>
      <w:divBdr>
        <w:top w:val="none" w:sz="0" w:space="0" w:color="auto"/>
        <w:left w:val="none" w:sz="0" w:space="0" w:color="auto"/>
        <w:bottom w:val="none" w:sz="0" w:space="0" w:color="auto"/>
        <w:right w:val="none" w:sz="0" w:space="0" w:color="auto"/>
      </w:divBdr>
    </w:div>
    <w:div w:id="1064794139">
      <w:bodyDiv w:val="1"/>
      <w:marLeft w:val="0"/>
      <w:marRight w:val="0"/>
      <w:marTop w:val="0"/>
      <w:marBottom w:val="0"/>
      <w:divBdr>
        <w:top w:val="none" w:sz="0" w:space="0" w:color="auto"/>
        <w:left w:val="none" w:sz="0" w:space="0" w:color="auto"/>
        <w:bottom w:val="none" w:sz="0" w:space="0" w:color="auto"/>
        <w:right w:val="none" w:sz="0" w:space="0" w:color="auto"/>
      </w:divBdr>
    </w:div>
    <w:div w:id="1066994430">
      <w:bodyDiv w:val="1"/>
      <w:marLeft w:val="0"/>
      <w:marRight w:val="0"/>
      <w:marTop w:val="0"/>
      <w:marBottom w:val="0"/>
      <w:divBdr>
        <w:top w:val="none" w:sz="0" w:space="0" w:color="auto"/>
        <w:left w:val="none" w:sz="0" w:space="0" w:color="auto"/>
        <w:bottom w:val="none" w:sz="0" w:space="0" w:color="auto"/>
        <w:right w:val="none" w:sz="0" w:space="0" w:color="auto"/>
      </w:divBdr>
    </w:div>
    <w:div w:id="1073235995">
      <w:bodyDiv w:val="1"/>
      <w:marLeft w:val="0"/>
      <w:marRight w:val="0"/>
      <w:marTop w:val="0"/>
      <w:marBottom w:val="0"/>
      <w:divBdr>
        <w:top w:val="none" w:sz="0" w:space="0" w:color="auto"/>
        <w:left w:val="none" w:sz="0" w:space="0" w:color="auto"/>
        <w:bottom w:val="none" w:sz="0" w:space="0" w:color="auto"/>
        <w:right w:val="none" w:sz="0" w:space="0" w:color="auto"/>
      </w:divBdr>
    </w:div>
    <w:div w:id="1085613654">
      <w:bodyDiv w:val="1"/>
      <w:marLeft w:val="0"/>
      <w:marRight w:val="0"/>
      <w:marTop w:val="0"/>
      <w:marBottom w:val="0"/>
      <w:divBdr>
        <w:top w:val="none" w:sz="0" w:space="0" w:color="auto"/>
        <w:left w:val="none" w:sz="0" w:space="0" w:color="auto"/>
        <w:bottom w:val="none" w:sz="0" w:space="0" w:color="auto"/>
        <w:right w:val="none" w:sz="0" w:space="0" w:color="auto"/>
      </w:divBdr>
    </w:div>
    <w:div w:id="1147042407">
      <w:bodyDiv w:val="1"/>
      <w:marLeft w:val="0"/>
      <w:marRight w:val="0"/>
      <w:marTop w:val="0"/>
      <w:marBottom w:val="0"/>
      <w:divBdr>
        <w:top w:val="none" w:sz="0" w:space="0" w:color="auto"/>
        <w:left w:val="none" w:sz="0" w:space="0" w:color="auto"/>
        <w:bottom w:val="none" w:sz="0" w:space="0" w:color="auto"/>
        <w:right w:val="none" w:sz="0" w:space="0" w:color="auto"/>
      </w:divBdr>
    </w:div>
    <w:div w:id="1199850948">
      <w:bodyDiv w:val="1"/>
      <w:marLeft w:val="0"/>
      <w:marRight w:val="0"/>
      <w:marTop w:val="0"/>
      <w:marBottom w:val="0"/>
      <w:divBdr>
        <w:top w:val="none" w:sz="0" w:space="0" w:color="auto"/>
        <w:left w:val="none" w:sz="0" w:space="0" w:color="auto"/>
        <w:bottom w:val="none" w:sz="0" w:space="0" w:color="auto"/>
        <w:right w:val="none" w:sz="0" w:space="0" w:color="auto"/>
      </w:divBdr>
    </w:div>
    <w:div w:id="1204560288">
      <w:bodyDiv w:val="1"/>
      <w:marLeft w:val="0"/>
      <w:marRight w:val="0"/>
      <w:marTop w:val="0"/>
      <w:marBottom w:val="0"/>
      <w:divBdr>
        <w:top w:val="none" w:sz="0" w:space="0" w:color="auto"/>
        <w:left w:val="none" w:sz="0" w:space="0" w:color="auto"/>
        <w:bottom w:val="none" w:sz="0" w:space="0" w:color="auto"/>
        <w:right w:val="none" w:sz="0" w:space="0" w:color="auto"/>
      </w:divBdr>
    </w:div>
    <w:div w:id="1229878454">
      <w:bodyDiv w:val="1"/>
      <w:marLeft w:val="0"/>
      <w:marRight w:val="0"/>
      <w:marTop w:val="0"/>
      <w:marBottom w:val="0"/>
      <w:divBdr>
        <w:top w:val="none" w:sz="0" w:space="0" w:color="auto"/>
        <w:left w:val="none" w:sz="0" w:space="0" w:color="auto"/>
        <w:bottom w:val="none" w:sz="0" w:space="0" w:color="auto"/>
        <w:right w:val="none" w:sz="0" w:space="0" w:color="auto"/>
      </w:divBdr>
    </w:div>
    <w:div w:id="1305158274">
      <w:bodyDiv w:val="1"/>
      <w:marLeft w:val="0"/>
      <w:marRight w:val="0"/>
      <w:marTop w:val="0"/>
      <w:marBottom w:val="0"/>
      <w:divBdr>
        <w:top w:val="none" w:sz="0" w:space="0" w:color="auto"/>
        <w:left w:val="none" w:sz="0" w:space="0" w:color="auto"/>
        <w:bottom w:val="none" w:sz="0" w:space="0" w:color="auto"/>
        <w:right w:val="none" w:sz="0" w:space="0" w:color="auto"/>
      </w:divBdr>
    </w:div>
    <w:div w:id="1320189370">
      <w:bodyDiv w:val="1"/>
      <w:marLeft w:val="0"/>
      <w:marRight w:val="0"/>
      <w:marTop w:val="0"/>
      <w:marBottom w:val="0"/>
      <w:divBdr>
        <w:top w:val="none" w:sz="0" w:space="0" w:color="auto"/>
        <w:left w:val="none" w:sz="0" w:space="0" w:color="auto"/>
        <w:bottom w:val="none" w:sz="0" w:space="0" w:color="auto"/>
        <w:right w:val="none" w:sz="0" w:space="0" w:color="auto"/>
      </w:divBdr>
    </w:div>
    <w:div w:id="1354385123">
      <w:bodyDiv w:val="1"/>
      <w:marLeft w:val="0"/>
      <w:marRight w:val="0"/>
      <w:marTop w:val="0"/>
      <w:marBottom w:val="0"/>
      <w:divBdr>
        <w:top w:val="none" w:sz="0" w:space="0" w:color="auto"/>
        <w:left w:val="none" w:sz="0" w:space="0" w:color="auto"/>
        <w:bottom w:val="none" w:sz="0" w:space="0" w:color="auto"/>
        <w:right w:val="none" w:sz="0" w:space="0" w:color="auto"/>
      </w:divBdr>
    </w:div>
    <w:div w:id="1356032685">
      <w:bodyDiv w:val="1"/>
      <w:marLeft w:val="0"/>
      <w:marRight w:val="0"/>
      <w:marTop w:val="0"/>
      <w:marBottom w:val="0"/>
      <w:divBdr>
        <w:top w:val="none" w:sz="0" w:space="0" w:color="auto"/>
        <w:left w:val="none" w:sz="0" w:space="0" w:color="auto"/>
        <w:bottom w:val="none" w:sz="0" w:space="0" w:color="auto"/>
        <w:right w:val="none" w:sz="0" w:space="0" w:color="auto"/>
      </w:divBdr>
    </w:div>
    <w:div w:id="1359550427">
      <w:bodyDiv w:val="1"/>
      <w:marLeft w:val="0"/>
      <w:marRight w:val="0"/>
      <w:marTop w:val="0"/>
      <w:marBottom w:val="0"/>
      <w:divBdr>
        <w:top w:val="none" w:sz="0" w:space="0" w:color="auto"/>
        <w:left w:val="none" w:sz="0" w:space="0" w:color="auto"/>
        <w:bottom w:val="none" w:sz="0" w:space="0" w:color="auto"/>
        <w:right w:val="none" w:sz="0" w:space="0" w:color="auto"/>
      </w:divBdr>
    </w:div>
    <w:div w:id="1417903901">
      <w:bodyDiv w:val="1"/>
      <w:marLeft w:val="0"/>
      <w:marRight w:val="0"/>
      <w:marTop w:val="0"/>
      <w:marBottom w:val="0"/>
      <w:divBdr>
        <w:top w:val="none" w:sz="0" w:space="0" w:color="auto"/>
        <w:left w:val="none" w:sz="0" w:space="0" w:color="auto"/>
        <w:bottom w:val="none" w:sz="0" w:space="0" w:color="auto"/>
        <w:right w:val="none" w:sz="0" w:space="0" w:color="auto"/>
      </w:divBdr>
    </w:div>
    <w:div w:id="1420256242">
      <w:bodyDiv w:val="1"/>
      <w:marLeft w:val="0"/>
      <w:marRight w:val="0"/>
      <w:marTop w:val="0"/>
      <w:marBottom w:val="0"/>
      <w:divBdr>
        <w:top w:val="none" w:sz="0" w:space="0" w:color="auto"/>
        <w:left w:val="none" w:sz="0" w:space="0" w:color="auto"/>
        <w:bottom w:val="none" w:sz="0" w:space="0" w:color="auto"/>
        <w:right w:val="none" w:sz="0" w:space="0" w:color="auto"/>
      </w:divBdr>
      <w:divsChild>
        <w:div w:id="716202076">
          <w:marLeft w:val="274"/>
          <w:marRight w:val="0"/>
          <w:marTop w:val="0"/>
          <w:marBottom w:val="0"/>
          <w:divBdr>
            <w:top w:val="none" w:sz="0" w:space="0" w:color="auto"/>
            <w:left w:val="none" w:sz="0" w:space="0" w:color="auto"/>
            <w:bottom w:val="none" w:sz="0" w:space="0" w:color="auto"/>
            <w:right w:val="none" w:sz="0" w:space="0" w:color="auto"/>
          </w:divBdr>
        </w:div>
      </w:divsChild>
    </w:div>
    <w:div w:id="1422412855">
      <w:bodyDiv w:val="1"/>
      <w:marLeft w:val="0"/>
      <w:marRight w:val="0"/>
      <w:marTop w:val="0"/>
      <w:marBottom w:val="0"/>
      <w:divBdr>
        <w:top w:val="none" w:sz="0" w:space="0" w:color="auto"/>
        <w:left w:val="none" w:sz="0" w:space="0" w:color="auto"/>
        <w:bottom w:val="none" w:sz="0" w:space="0" w:color="auto"/>
        <w:right w:val="none" w:sz="0" w:space="0" w:color="auto"/>
      </w:divBdr>
    </w:div>
    <w:div w:id="1440638342">
      <w:bodyDiv w:val="1"/>
      <w:marLeft w:val="0"/>
      <w:marRight w:val="0"/>
      <w:marTop w:val="0"/>
      <w:marBottom w:val="0"/>
      <w:divBdr>
        <w:top w:val="none" w:sz="0" w:space="0" w:color="auto"/>
        <w:left w:val="none" w:sz="0" w:space="0" w:color="auto"/>
        <w:bottom w:val="none" w:sz="0" w:space="0" w:color="auto"/>
        <w:right w:val="none" w:sz="0" w:space="0" w:color="auto"/>
      </w:divBdr>
    </w:div>
    <w:div w:id="1470512903">
      <w:bodyDiv w:val="1"/>
      <w:marLeft w:val="0"/>
      <w:marRight w:val="0"/>
      <w:marTop w:val="0"/>
      <w:marBottom w:val="0"/>
      <w:divBdr>
        <w:top w:val="none" w:sz="0" w:space="0" w:color="auto"/>
        <w:left w:val="none" w:sz="0" w:space="0" w:color="auto"/>
        <w:bottom w:val="none" w:sz="0" w:space="0" w:color="auto"/>
        <w:right w:val="none" w:sz="0" w:space="0" w:color="auto"/>
      </w:divBdr>
    </w:div>
    <w:div w:id="1527867033">
      <w:bodyDiv w:val="1"/>
      <w:marLeft w:val="0"/>
      <w:marRight w:val="0"/>
      <w:marTop w:val="0"/>
      <w:marBottom w:val="0"/>
      <w:divBdr>
        <w:top w:val="none" w:sz="0" w:space="0" w:color="auto"/>
        <w:left w:val="none" w:sz="0" w:space="0" w:color="auto"/>
        <w:bottom w:val="none" w:sz="0" w:space="0" w:color="auto"/>
        <w:right w:val="none" w:sz="0" w:space="0" w:color="auto"/>
      </w:divBdr>
    </w:div>
    <w:div w:id="1558053534">
      <w:bodyDiv w:val="1"/>
      <w:marLeft w:val="0"/>
      <w:marRight w:val="0"/>
      <w:marTop w:val="0"/>
      <w:marBottom w:val="0"/>
      <w:divBdr>
        <w:top w:val="none" w:sz="0" w:space="0" w:color="auto"/>
        <w:left w:val="none" w:sz="0" w:space="0" w:color="auto"/>
        <w:bottom w:val="none" w:sz="0" w:space="0" w:color="auto"/>
        <w:right w:val="none" w:sz="0" w:space="0" w:color="auto"/>
      </w:divBdr>
    </w:div>
    <w:div w:id="1584753373">
      <w:bodyDiv w:val="1"/>
      <w:marLeft w:val="0"/>
      <w:marRight w:val="0"/>
      <w:marTop w:val="0"/>
      <w:marBottom w:val="0"/>
      <w:divBdr>
        <w:top w:val="none" w:sz="0" w:space="0" w:color="auto"/>
        <w:left w:val="none" w:sz="0" w:space="0" w:color="auto"/>
        <w:bottom w:val="none" w:sz="0" w:space="0" w:color="auto"/>
        <w:right w:val="none" w:sz="0" w:space="0" w:color="auto"/>
      </w:divBdr>
    </w:div>
    <w:div w:id="1680812178">
      <w:bodyDiv w:val="1"/>
      <w:marLeft w:val="0"/>
      <w:marRight w:val="0"/>
      <w:marTop w:val="0"/>
      <w:marBottom w:val="0"/>
      <w:divBdr>
        <w:top w:val="none" w:sz="0" w:space="0" w:color="auto"/>
        <w:left w:val="none" w:sz="0" w:space="0" w:color="auto"/>
        <w:bottom w:val="none" w:sz="0" w:space="0" w:color="auto"/>
        <w:right w:val="none" w:sz="0" w:space="0" w:color="auto"/>
      </w:divBdr>
    </w:div>
    <w:div w:id="1688868335">
      <w:bodyDiv w:val="1"/>
      <w:marLeft w:val="0"/>
      <w:marRight w:val="0"/>
      <w:marTop w:val="0"/>
      <w:marBottom w:val="0"/>
      <w:divBdr>
        <w:top w:val="none" w:sz="0" w:space="0" w:color="auto"/>
        <w:left w:val="none" w:sz="0" w:space="0" w:color="auto"/>
        <w:bottom w:val="none" w:sz="0" w:space="0" w:color="auto"/>
        <w:right w:val="none" w:sz="0" w:space="0" w:color="auto"/>
      </w:divBdr>
    </w:div>
    <w:div w:id="1689595373">
      <w:bodyDiv w:val="1"/>
      <w:marLeft w:val="0"/>
      <w:marRight w:val="0"/>
      <w:marTop w:val="0"/>
      <w:marBottom w:val="0"/>
      <w:divBdr>
        <w:top w:val="none" w:sz="0" w:space="0" w:color="auto"/>
        <w:left w:val="none" w:sz="0" w:space="0" w:color="auto"/>
        <w:bottom w:val="none" w:sz="0" w:space="0" w:color="auto"/>
        <w:right w:val="none" w:sz="0" w:space="0" w:color="auto"/>
      </w:divBdr>
      <w:divsChild>
        <w:div w:id="918440584">
          <w:marLeft w:val="0"/>
          <w:marRight w:val="0"/>
          <w:marTop w:val="0"/>
          <w:marBottom w:val="0"/>
          <w:divBdr>
            <w:top w:val="none" w:sz="0" w:space="0" w:color="auto"/>
            <w:left w:val="none" w:sz="0" w:space="0" w:color="auto"/>
            <w:bottom w:val="none" w:sz="0" w:space="0" w:color="auto"/>
            <w:right w:val="none" w:sz="0" w:space="0" w:color="auto"/>
          </w:divBdr>
        </w:div>
        <w:div w:id="1342972380">
          <w:marLeft w:val="0"/>
          <w:marRight w:val="0"/>
          <w:marTop w:val="0"/>
          <w:marBottom w:val="0"/>
          <w:divBdr>
            <w:top w:val="none" w:sz="0" w:space="0" w:color="auto"/>
            <w:left w:val="none" w:sz="0" w:space="0" w:color="auto"/>
            <w:bottom w:val="none" w:sz="0" w:space="0" w:color="auto"/>
            <w:right w:val="none" w:sz="0" w:space="0" w:color="auto"/>
          </w:divBdr>
        </w:div>
        <w:div w:id="1494762283">
          <w:marLeft w:val="0"/>
          <w:marRight w:val="0"/>
          <w:marTop w:val="0"/>
          <w:marBottom w:val="0"/>
          <w:divBdr>
            <w:top w:val="none" w:sz="0" w:space="0" w:color="auto"/>
            <w:left w:val="none" w:sz="0" w:space="0" w:color="auto"/>
            <w:bottom w:val="none" w:sz="0" w:space="0" w:color="auto"/>
            <w:right w:val="none" w:sz="0" w:space="0" w:color="auto"/>
          </w:divBdr>
        </w:div>
        <w:div w:id="2006322362">
          <w:marLeft w:val="0"/>
          <w:marRight w:val="0"/>
          <w:marTop w:val="0"/>
          <w:marBottom w:val="0"/>
          <w:divBdr>
            <w:top w:val="none" w:sz="0" w:space="0" w:color="auto"/>
            <w:left w:val="none" w:sz="0" w:space="0" w:color="auto"/>
            <w:bottom w:val="none" w:sz="0" w:space="0" w:color="auto"/>
            <w:right w:val="none" w:sz="0" w:space="0" w:color="auto"/>
          </w:divBdr>
        </w:div>
      </w:divsChild>
    </w:div>
    <w:div w:id="1726292445">
      <w:bodyDiv w:val="1"/>
      <w:marLeft w:val="0"/>
      <w:marRight w:val="0"/>
      <w:marTop w:val="0"/>
      <w:marBottom w:val="0"/>
      <w:divBdr>
        <w:top w:val="none" w:sz="0" w:space="0" w:color="auto"/>
        <w:left w:val="none" w:sz="0" w:space="0" w:color="auto"/>
        <w:bottom w:val="none" w:sz="0" w:space="0" w:color="auto"/>
        <w:right w:val="none" w:sz="0" w:space="0" w:color="auto"/>
      </w:divBdr>
    </w:div>
    <w:div w:id="1753505794">
      <w:bodyDiv w:val="1"/>
      <w:marLeft w:val="0"/>
      <w:marRight w:val="0"/>
      <w:marTop w:val="0"/>
      <w:marBottom w:val="0"/>
      <w:divBdr>
        <w:top w:val="none" w:sz="0" w:space="0" w:color="auto"/>
        <w:left w:val="none" w:sz="0" w:space="0" w:color="auto"/>
        <w:bottom w:val="none" w:sz="0" w:space="0" w:color="auto"/>
        <w:right w:val="none" w:sz="0" w:space="0" w:color="auto"/>
      </w:divBdr>
    </w:div>
    <w:div w:id="1767727980">
      <w:bodyDiv w:val="1"/>
      <w:marLeft w:val="0"/>
      <w:marRight w:val="0"/>
      <w:marTop w:val="0"/>
      <w:marBottom w:val="0"/>
      <w:divBdr>
        <w:top w:val="none" w:sz="0" w:space="0" w:color="auto"/>
        <w:left w:val="none" w:sz="0" w:space="0" w:color="auto"/>
        <w:bottom w:val="none" w:sz="0" w:space="0" w:color="auto"/>
        <w:right w:val="none" w:sz="0" w:space="0" w:color="auto"/>
      </w:divBdr>
    </w:div>
    <w:div w:id="1769036277">
      <w:bodyDiv w:val="1"/>
      <w:marLeft w:val="0"/>
      <w:marRight w:val="0"/>
      <w:marTop w:val="0"/>
      <w:marBottom w:val="0"/>
      <w:divBdr>
        <w:top w:val="none" w:sz="0" w:space="0" w:color="auto"/>
        <w:left w:val="none" w:sz="0" w:space="0" w:color="auto"/>
        <w:bottom w:val="none" w:sz="0" w:space="0" w:color="auto"/>
        <w:right w:val="none" w:sz="0" w:space="0" w:color="auto"/>
      </w:divBdr>
    </w:div>
    <w:div w:id="1806042525">
      <w:bodyDiv w:val="1"/>
      <w:marLeft w:val="0"/>
      <w:marRight w:val="0"/>
      <w:marTop w:val="0"/>
      <w:marBottom w:val="0"/>
      <w:divBdr>
        <w:top w:val="none" w:sz="0" w:space="0" w:color="auto"/>
        <w:left w:val="none" w:sz="0" w:space="0" w:color="auto"/>
        <w:bottom w:val="none" w:sz="0" w:space="0" w:color="auto"/>
        <w:right w:val="none" w:sz="0" w:space="0" w:color="auto"/>
      </w:divBdr>
    </w:div>
    <w:div w:id="1837454483">
      <w:bodyDiv w:val="1"/>
      <w:marLeft w:val="0"/>
      <w:marRight w:val="0"/>
      <w:marTop w:val="0"/>
      <w:marBottom w:val="0"/>
      <w:divBdr>
        <w:top w:val="none" w:sz="0" w:space="0" w:color="auto"/>
        <w:left w:val="none" w:sz="0" w:space="0" w:color="auto"/>
        <w:bottom w:val="none" w:sz="0" w:space="0" w:color="auto"/>
        <w:right w:val="none" w:sz="0" w:space="0" w:color="auto"/>
      </w:divBdr>
    </w:div>
    <w:div w:id="1845898844">
      <w:bodyDiv w:val="1"/>
      <w:marLeft w:val="0"/>
      <w:marRight w:val="0"/>
      <w:marTop w:val="0"/>
      <w:marBottom w:val="0"/>
      <w:divBdr>
        <w:top w:val="none" w:sz="0" w:space="0" w:color="auto"/>
        <w:left w:val="none" w:sz="0" w:space="0" w:color="auto"/>
        <w:bottom w:val="none" w:sz="0" w:space="0" w:color="auto"/>
        <w:right w:val="none" w:sz="0" w:space="0" w:color="auto"/>
      </w:divBdr>
    </w:div>
    <w:div w:id="1859586857">
      <w:bodyDiv w:val="1"/>
      <w:marLeft w:val="0"/>
      <w:marRight w:val="0"/>
      <w:marTop w:val="0"/>
      <w:marBottom w:val="0"/>
      <w:divBdr>
        <w:top w:val="none" w:sz="0" w:space="0" w:color="auto"/>
        <w:left w:val="none" w:sz="0" w:space="0" w:color="auto"/>
        <w:bottom w:val="none" w:sz="0" w:space="0" w:color="auto"/>
        <w:right w:val="none" w:sz="0" w:space="0" w:color="auto"/>
      </w:divBdr>
    </w:div>
    <w:div w:id="1883708217">
      <w:bodyDiv w:val="1"/>
      <w:marLeft w:val="0"/>
      <w:marRight w:val="0"/>
      <w:marTop w:val="0"/>
      <w:marBottom w:val="0"/>
      <w:divBdr>
        <w:top w:val="none" w:sz="0" w:space="0" w:color="auto"/>
        <w:left w:val="none" w:sz="0" w:space="0" w:color="auto"/>
        <w:bottom w:val="none" w:sz="0" w:space="0" w:color="auto"/>
        <w:right w:val="none" w:sz="0" w:space="0" w:color="auto"/>
      </w:divBdr>
    </w:div>
    <w:div w:id="1889416618">
      <w:bodyDiv w:val="1"/>
      <w:marLeft w:val="0"/>
      <w:marRight w:val="0"/>
      <w:marTop w:val="0"/>
      <w:marBottom w:val="0"/>
      <w:divBdr>
        <w:top w:val="none" w:sz="0" w:space="0" w:color="auto"/>
        <w:left w:val="none" w:sz="0" w:space="0" w:color="auto"/>
        <w:bottom w:val="none" w:sz="0" w:space="0" w:color="auto"/>
        <w:right w:val="none" w:sz="0" w:space="0" w:color="auto"/>
      </w:divBdr>
    </w:div>
    <w:div w:id="1891570332">
      <w:bodyDiv w:val="1"/>
      <w:marLeft w:val="0"/>
      <w:marRight w:val="0"/>
      <w:marTop w:val="0"/>
      <w:marBottom w:val="0"/>
      <w:divBdr>
        <w:top w:val="none" w:sz="0" w:space="0" w:color="auto"/>
        <w:left w:val="none" w:sz="0" w:space="0" w:color="auto"/>
        <w:bottom w:val="none" w:sz="0" w:space="0" w:color="auto"/>
        <w:right w:val="none" w:sz="0" w:space="0" w:color="auto"/>
      </w:divBdr>
    </w:div>
    <w:div w:id="1898279309">
      <w:bodyDiv w:val="1"/>
      <w:marLeft w:val="0"/>
      <w:marRight w:val="0"/>
      <w:marTop w:val="0"/>
      <w:marBottom w:val="0"/>
      <w:divBdr>
        <w:top w:val="none" w:sz="0" w:space="0" w:color="auto"/>
        <w:left w:val="none" w:sz="0" w:space="0" w:color="auto"/>
        <w:bottom w:val="none" w:sz="0" w:space="0" w:color="auto"/>
        <w:right w:val="none" w:sz="0" w:space="0" w:color="auto"/>
      </w:divBdr>
    </w:div>
    <w:div w:id="1913657752">
      <w:bodyDiv w:val="1"/>
      <w:marLeft w:val="0"/>
      <w:marRight w:val="0"/>
      <w:marTop w:val="0"/>
      <w:marBottom w:val="0"/>
      <w:divBdr>
        <w:top w:val="none" w:sz="0" w:space="0" w:color="auto"/>
        <w:left w:val="none" w:sz="0" w:space="0" w:color="auto"/>
        <w:bottom w:val="none" w:sz="0" w:space="0" w:color="auto"/>
        <w:right w:val="none" w:sz="0" w:space="0" w:color="auto"/>
      </w:divBdr>
    </w:div>
    <w:div w:id="1935477979">
      <w:bodyDiv w:val="1"/>
      <w:marLeft w:val="0"/>
      <w:marRight w:val="0"/>
      <w:marTop w:val="0"/>
      <w:marBottom w:val="0"/>
      <w:divBdr>
        <w:top w:val="none" w:sz="0" w:space="0" w:color="auto"/>
        <w:left w:val="none" w:sz="0" w:space="0" w:color="auto"/>
        <w:bottom w:val="none" w:sz="0" w:space="0" w:color="auto"/>
        <w:right w:val="none" w:sz="0" w:space="0" w:color="auto"/>
      </w:divBdr>
    </w:div>
    <w:div w:id="1943998667">
      <w:bodyDiv w:val="1"/>
      <w:marLeft w:val="0"/>
      <w:marRight w:val="0"/>
      <w:marTop w:val="0"/>
      <w:marBottom w:val="0"/>
      <w:divBdr>
        <w:top w:val="none" w:sz="0" w:space="0" w:color="auto"/>
        <w:left w:val="none" w:sz="0" w:space="0" w:color="auto"/>
        <w:bottom w:val="none" w:sz="0" w:space="0" w:color="auto"/>
        <w:right w:val="none" w:sz="0" w:space="0" w:color="auto"/>
      </w:divBdr>
    </w:div>
    <w:div w:id="1987125092">
      <w:bodyDiv w:val="1"/>
      <w:marLeft w:val="0"/>
      <w:marRight w:val="0"/>
      <w:marTop w:val="0"/>
      <w:marBottom w:val="0"/>
      <w:divBdr>
        <w:top w:val="none" w:sz="0" w:space="0" w:color="auto"/>
        <w:left w:val="none" w:sz="0" w:space="0" w:color="auto"/>
        <w:bottom w:val="none" w:sz="0" w:space="0" w:color="auto"/>
        <w:right w:val="none" w:sz="0" w:space="0" w:color="auto"/>
      </w:divBdr>
    </w:div>
    <w:div w:id="2017731493">
      <w:bodyDiv w:val="1"/>
      <w:marLeft w:val="0"/>
      <w:marRight w:val="0"/>
      <w:marTop w:val="0"/>
      <w:marBottom w:val="0"/>
      <w:divBdr>
        <w:top w:val="none" w:sz="0" w:space="0" w:color="auto"/>
        <w:left w:val="none" w:sz="0" w:space="0" w:color="auto"/>
        <w:bottom w:val="none" w:sz="0" w:space="0" w:color="auto"/>
        <w:right w:val="none" w:sz="0" w:space="0" w:color="auto"/>
      </w:divBdr>
    </w:div>
    <w:div w:id="2025740684">
      <w:bodyDiv w:val="1"/>
      <w:marLeft w:val="0"/>
      <w:marRight w:val="0"/>
      <w:marTop w:val="0"/>
      <w:marBottom w:val="0"/>
      <w:divBdr>
        <w:top w:val="none" w:sz="0" w:space="0" w:color="auto"/>
        <w:left w:val="none" w:sz="0" w:space="0" w:color="auto"/>
        <w:bottom w:val="none" w:sz="0" w:space="0" w:color="auto"/>
        <w:right w:val="none" w:sz="0" w:space="0" w:color="auto"/>
      </w:divBdr>
    </w:div>
    <w:div w:id="2060084830">
      <w:bodyDiv w:val="1"/>
      <w:marLeft w:val="0"/>
      <w:marRight w:val="0"/>
      <w:marTop w:val="0"/>
      <w:marBottom w:val="0"/>
      <w:divBdr>
        <w:top w:val="none" w:sz="0" w:space="0" w:color="auto"/>
        <w:left w:val="none" w:sz="0" w:space="0" w:color="auto"/>
        <w:bottom w:val="none" w:sz="0" w:space="0" w:color="auto"/>
        <w:right w:val="none" w:sz="0" w:space="0" w:color="auto"/>
      </w:divBdr>
    </w:div>
    <w:div w:id="2068719286">
      <w:bodyDiv w:val="1"/>
      <w:marLeft w:val="0"/>
      <w:marRight w:val="0"/>
      <w:marTop w:val="0"/>
      <w:marBottom w:val="0"/>
      <w:divBdr>
        <w:top w:val="none" w:sz="0" w:space="0" w:color="auto"/>
        <w:left w:val="none" w:sz="0" w:space="0" w:color="auto"/>
        <w:bottom w:val="none" w:sz="0" w:space="0" w:color="auto"/>
        <w:right w:val="none" w:sz="0" w:space="0" w:color="auto"/>
      </w:divBdr>
    </w:div>
    <w:div w:id="2089381751">
      <w:bodyDiv w:val="1"/>
      <w:marLeft w:val="0"/>
      <w:marRight w:val="0"/>
      <w:marTop w:val="0"/>
      <w:marBottom w:val="0"/>
      <w:divBdr>
        <w:top w:val="none" w:sz="0" w:space="0" w:color="auto"/>
        <w:left w:val="none" w:sz="0" w:space="0" w:color="auto"/>
        <w:bottom w:val="none" w:sz="0" w:space="0" w:color="auto"/>
        <w:right w:val="none" w:sz="0" w:space="0" w:color="auto"/>
      </w:divBdr>
    </w:div>
    <w:div w:id="2120447436">
      <w:bodyDiv w:val="1"/>
      <w:marLeft w:val="0"/>
      <w:marRight w:val="0"/>
      <w:marTop w:val="0"/>
      <w:marBottom w:val="0"/>
      <w:divBdr>
        <w:top w:val="none" w:sz="0" w:space="0" w:color="auto"/>
        <w:left w:val="none" w:sz="0" w:space="0" w:color="auto"/>
        <w:bottom w:val="none" w:sz="0" w:space="0" w:color="auto"/>
        <w:right w:val="none" w:sz="0" w:space="0" w:color="auto"/>
      </w:divBdr>
      <w:divsChild>
        <w:div w:id="1555043820">
          <w:marLeft w:val="547"/>
          <w:marRight w:val="0"/>
          <w:marTop w:val="0"/>
          <w:marBottom w:val="0"/>
          <w:divBdr>
            <w:top w:val="none" w:sz="0" w:space="0" w:color="auto"/>
            <w:left w:val="none" w:sz="0" w:space="0" w:color="auto"/>
            <w:bottom w:val="none" w:sz="0" w:space="0" w:color="auto"/>
            <w:right w:val="none" w:sz="0" w:space="0" w:color="auto"/>
          </w:divBdr>
        </w:div>
      </w:divsChild>
    </w:div>
    <w:div w:id="2130200576">
      <w:bodyDiv w:val="1"/>
      <w:marLeft w:val="0"/>
      <w:marRight w:val="0"/>
      <w:marTop w:val="0"/>
      <w:marBottom w:val="0"/>
      <w:divBdr>
        <w:top w:val="none" w:sz="0" w:space="0" w:color="auto"/>
        <w:left w:val="none" w:sz="0" w:space="0" w:color="auto"/>
        <w:bottom w:val="none" w:sz="0" w:space="0" w:color="auto"/>
        <w:right w:val="none" w:sz="0" w:space="0" w:color="auto"/>
      </w:divBdr>
    </w:div>
    <w:div w:id="2134790303">
      <w:bodyDiv w:val="1"/>
      <w:marLeft w:val="0"/>
      <w:marRight w:val="0"/>
      <w:marTop w:val="0"/>
      <w:marBottom w:val="0"/>
      <w:divBdr>
        <w:top w:val="none" w:sz="0" w:space="0" w:color="auto"/>
        <w:left w:val="none" w:sz="0" w:space="0" w:color="auto"/>
        <w:bottom w:val="none" w:sz="0" w:space="0" w:color="auto"/>
        <w:right w:val="none" w:sz="0" w:space="0" w:color="auto"/>
      </w:divBdr>
    </w:div>
    <w:div w:id="2137602467">
      <w:bodyDiv w:val="1"/>
      <w:marLeft w:val="0"/>
      <w:marRight w:val="0"/>
      <w:marTop w:val="0"/>
      <w:marBottom w:val="0"/>
      <w:divBdr>
        <w:top w:val="none" w:sz="0" w:space="0" w:color="auto"/>
        <w:left w:val="none" w:sz="0" w:space="0" w:color="auto"/>
        <w:bottom w:val="none" w:sz="0" w:space="0" w:color="auto"/>
        <w:right w:val="none" w:sz="0" w:space="0" w:color="auto"/>
      </w:divBdr>
    </w:div>
    <w:div w:id="2145000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PowerPoint_Macro-Enabled_Presentation1.pptm"/><Relationship Id="rId18" Type="http://schemas.openxmlformats.org/officeDocument/2006/relationships/image" Target="media/image5.png"/><Relationship Id="rId26" Type="http://schemas.openxmlformats.org/officeDocument/2006/relationships/hyperlink" Target="https://www.aamc.org/system/files/reports/1/2014physicianspecialtydatabook.pdf" TargetMode="External"/><Relationship Id="rId39" Type="http://schemas.openxmlformats.org/officeDocument/2006/relationships/hyperlink" Target="http://www.healthypeople.gov/" TargetMode="External"/><Relationship Id="rId21" Type="http://schemas.openxmlformats.org/officeDocument/2006/relationships/image" Target="media/image8.png"/><Relationship Id="rId34" Type="http://schemas.openxmlformats.org/officeDocument/2006/relationships/hyperlink" Target="https://www.kff.org/uninsured/issue-brief/how-many-uninsured-adults-could-be-reached-if-all-states-expanded-medicaid/" TargetMode="External"/><Relationship Id="rId42" Type="http://schemas.openxmlformats.org/officeDocument/2006/relationships/hyperlink" Target="https://www.pri.org/stories/2017-02-09/implicit-bias-may-account-glaring-disparity-health-care-screening" TargetMode="External"/><Relationship Id="rId47" Type="http://schemas.openxmlformats.org/officeDocument/2006/relationships/hyperlink" Target="https://www.oxhp.com/secure/policy/routine_foot_care.pdf" TargetMode="External"/><Relationship Id="rId50" Type="http://schemas.openxmlformats.org/officeDocument/2006/relationships/hyperlink" Target="https://www.dol.gov/agencies/ofccp/executive-order-11246/ca-11246" TargetMode="External"/><Relationship Id="rId55" Type="http://schemas.openxmlformats.org/officeDocument/2006/relationships/image" Target="media/image11.emf"/><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hyperlink" Target="https://cdn.optumcoding.com/upload/pdf/EMCA19/EMCA_EMCA19%202019%20Sample%20Pages.pdf" TargetMode="External"/><Relationship Id="rId25" Type="http://schemas.openxmlformats.org/officeDocument/2006/relationships/hyperlink" Target="http://www.diabetes.org/newsroom/press-releases/2014/diabetes-among-hispanics-all-are-not-equal.html" TargetMode="External"/><Relationship Id="rId33" Type="http://schemas.openxmlformats.org/officeDocument/2006/relationships/hyperlink" Target="https://blog.supercoder.com/billing-and-collections-2/follow-the-guidelines-for-diabetic-foot-care-coding/" TargetMode="External"/><Relationship Id="rId38" Type="http://schemas.openxmlformats.org/officeDocument/2006/relationships/hyperlink" Target="https://www.archives.gov/legislative/features/voting-rights-1965" TargetMode="External"/><Relationship Id="rId46" Type="http://schemas.openxmlformats.org/officeDocument/2006/relationships/hyperlink" Target="http://www.jstor.org/stable/40215707" TargetMode="Externa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7.png"/><Relationship Id="rId29" Type="http://schemas.openxmlformats.org/officeDocument/2006/relationships/hyperlink" Target="https://www.cdc.gov/diabetes/prevention/index.html" TargetMode="External"/><Relationship Id="rId41" Type="http://schemas.openxmlformats.org/officeDocument/2006/relationships/hyperlink" Target="https://www.commonwealthfund.org/publications/fund-reports/2004/jul/disparities-patient-experiences-health-care-processes-and" TargetMode="External"/><Relationship Id="rId54"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www.diabetes.org/newsroom/press-releases/2017/american-diabetes-association-continues-commitment-to-protecting-health-care-needs-1-1.html" TargetMode="External"/><Relationship Id="rId32" Type="http://schemas.openxmlformats.org/officeDocument/2006/relationships/hyperlink" Target="https://www.aafp.org/news/practice-professional-issues/20200115implicitbias.html" TargetMode="External"/><Relationship Id="rId37" Type="http://schemas.openxmlformats.org/officeDocument/2006/relationships/hyperlink" Target="https://support.minitab.com/en-us/minitab/18/help-and-how-to/statistics/tables/supporting-topics/other-statistics-and-tests/what-are-the-goodman-kruskal-statistics/" TargetMode="External"/><Relationship Id="rId40" Type="http://schemas.openxmlformats.org/officeDocument/2006/relationships/hyperlink" Target="https://cdn.optumcoding.com/upload/pdf/EMCA19/EMCA_EMCA19%202019%20Sample%20Pages.pdf" TargetMode="External"/><Relationship Id="rId45" Type="http://schemas.openxmlformats.org/officeDocument/2006/relationships/hyperlink" Target="https://stanford.cloud-cme.com/course/courseoverview?P=0&amp;EID=20775" TargetMode="External"/><Relationship Id="rId53" Type="http://schemas.openxmlformats.org/officeDocument/2006/relationships/image" Target="media/image9.jpe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healthknowledge.org.uk/public-health-textbook/medical-sociology-policy-economics/4c-equality-equity-policy/balancing-equity-efficiency" TargetMode="External"/><Relationship Id="rId23" Type="http://schemas.openxmlformats.org/officeDocument/2006/relationships/hyperlink" Target="https://www.ahrq.gov/research/findings/nhqrdr/chartbooks/carecoordination/measure1.html" TargetMode="External"/><Relationship Id="rId28" Type="http://schemas.openxmlformats.org/officeDocument/2006/relationships/hyperlink" Target="https://www.cdc.gov/nchs/ahcd/about_ahcd.htm" TargetMode="External"/><Relationship Id="rId36" Type="http://schemas.openxmlformats.org/officeDocument/2006/relationships/hyperlink" Target="https://www.ajmc.com/view/implicit-biases-have-an-explicit-impact-on-healthcare-outcomes" TargetMode="External"/><Relationship Id="rId49" Type="http://schemas.openxmlformats.org/officeDocument/2006/relationships/hyperlink" Target="https://www.dol.gov/agencies/oasam/civil-rights-center/statutes/civil-rights-act-of-1964" TargetMode="External"/><Relationship Id="rId57"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hyperlink" Target="https://www.cbo.gov/publication/56324" TargetMode="External"/><Relationship Id="rId44" Type="http://schemas.openxmlformats.org/officeDocument/2006/relationships/hyperlink" Target="https://www.simplypsychology.org/implicit-bias.html" TargetMode="External"/><Relationship Id="rId52" Type="http://schemas.openxmlformats.org/officeDocument/2006/relationships/hyperlink" Target="https://medium.com/@josephbwalton/social-equity-in-public-administration-747f02328e05"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hyperlink" Target="https://www.kff.org/uninsured/issue-brief/how-many-uninsured-adults-could-be-reached-if-all-states-expanded-medicaid/" TargetMode="External"/><Relationship Id="rId27" Type="http://schemas.openxmlformats.org/officeDocument/2006/relationships/hyperlink" Target="https://www.aamc.org/what-we-do/diversity-inclusion/unconscious-bias-training" TargetMode="External"/><Relationship Id="rId30" Type="http://schemas.openxmlformats.org/officeDocument/2006/relationships/hyperlink" Target="https://www.cms.gov/research-statistics-data-and-systems/statistics-trends-and-reports/nationalhealthexpenddata/nhe-fact-sheet.html" TargetMode="External"/><Relationship Id="rId35" Type="http://schemas.openxmlformats.org/officeDocument/2006/relationships/hyperlink" Target="https://doi.org/10.2105/AJPH.2015.302903" TargetMode="External"/><Relationship Id="rId43" Type="http://schemas.openxmlformats.org/officeDocument/2006/relationships/hyperlink" Target="https://doi.org/10.1002/sim.7992" TargetMode="External"/><Relationship Id="rId48" Type="http://schemas.openxmlformats.org/officeDocument/2006/relationships/hyperlink" Target="https://www.dol.gov/agencies/ofccp/about/executive-order-11246-history" TargetMode="External"/><Relationship Id="rId56" Type="http://schemas.openxmlformats.org/officeDocument/2006/relationships/oleObject" Target="embeddings/oleObject1.bin"/><Relationship Id="rId8" Type="http://schemas.openxmlformats.org/officeDocument/2006/relationships/endnotes" Target="endnotes.xml"/><Relationship Id="rId51" Type="http://schemas.openxmlformats.org/officeDocument/2006/relationships/hyperlink" Target="https://www.eeoc.gov/statutes/equal-pay-act-1963"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www.cdc.gov/nchs/ahcd/datasets_documentation_related.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342195-3019-46DC-BACB-AD5023678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108</Pages>
  <Words>29395</Words>
  <Characters>167553</Characters>
  <Application>Microsoft Office Word</Application>
  <DocSecurity>0</DocSecurity>
  <Lines>1396</Lines>
  <Paragraphs>393</Paragraphs>
  <ScaleCrop>false</ScaleCrop>
  <HeadingPairs>
    <vt:vector size="2" baseType="variant">
      <vt:variant>
        <vt:lpstr>Title</vt:lpstr>
      </vt:variant>
      <vt:variant>
        <vt:i4>1</vt:i4>
      </vt:variant>
    </vt:vector>
  </HeadingPairs>
  <TitlesOfParts>
    <vt:vector size="1" baseType="lpstr">
      <vt:lpstr/>
    </vt:vector>
  </TitlesOfParts>
  <Company>UnitedHealth Group</Company>
  <LinksUpToDate>false</LinksUpToDate>
  <CharactersWithSpaces>196555</CharactersWithSpaces>
  <SharedDoc>false</SharedDoc>
  <HLinks>
    <vt:vector size="210" baseType="variant">
      <vt:variant>
        <vt:i4>6357059</vt:i4>
      </vt:variant>
      <vt:variant>
        <vt:i4>102</vt:i4>
      </vt:variant>
      <vt:variant>
        <vt:i4>0</vt:i4>
      </vt:variant>
      <vt:variant>
        <vt:i4>5</vt:i4>
      </vt:variant>
      <vt:variant>
        <vt:lpwstr>https://medium.com/@josephbwalton/social-equity-in-public-administration-747f02328e05</vt:lpwstr>
      </vt:variant>
      <vt:variant>
        <vt:lpwstr/>
      </vt:variant>
      <vt:variant>
        <vt:i4>4653124</vt:i4>
      </vt:variant>
      <vt:variant>
        <vt:i4>99</vt:i4>
      </vt:variant>
      <vt:variant>
        <vt:i4>0</vt:i4>
      </vt:variant>
      <vt:variant>
        <vt:i4>5</vt:i4>
      </vt:variant>
      <vt:variant>
        <vt:lpwstr>https://www.eeoc.gov/statutes/equal-pay-act-1963</vt:lpwstr>
      </vt:variant>
      <vt:variant>
        <vt:lpwstr/>
      </vt:variant>
      <vt:variant>
        <vt:i4>5767192</vt:i4>
      </vt:variant>
      <vt:variant>
        <vt:i4>96</vt:i4>
      </vt:variant>
      <vt:variant>
        <vt:i4>0</vt:i4>
      </vt:variant>
      <vt:variant>
        <vt:i4>5</vt:i4>
      </vt:variant>
      <vt:variant>
        <vt:lpwstr>https://www.dol.gov/agencies/ofccp/executive-order-11246/ca-11246</vt:lpwstr>
      </vt:variant>
      <vt:variant>
        <vt:lpwstr/>
      </vt:variant>
      <vt:variant>
        <vt:i4>7209062</vt:i4>
      </vt:variant>
      <vt:variant>
        <vt:i4>93</vt:i4>
      </vt:variant>
      <vt:variant>
        <vt:i4>0</vt:i4>
      </vt:variant>
      <vt:variant>
        <vt:i4>5</vt:i4>
      </vt:variant>
      <vt:variant>
        <vt:lpwstr>https://www.dol.gov/agencies/oasam/civil-rights-center/statutes/civil-rights-act-of-1964</vt:lpwstr>
      </vt:variant>
      <vt:variant>
        <vt:lpwstr>:~:text=The%20Civil%20Rights%20Act%20of%201964%20prohibits%20discrimination%20on%20the,hiring%2C%20promoting%2C%20and%20firing</vt:lpwstr>
      </vt:variant>
      <vt:variant>
        <vt:i4>2490405</vt:i4>
      </vt:variant>
      <vt:variant>
        <vt:i4>90</vt:i4>
      </vt:variant>
      <vt:variant>
        <vt:i4>0</vt:i4>
      </vt:variant>
      <vt:variant>
        <vt:i4>5</vt:i4>
      </vt:variant>
      <vt:variant>
        <vt:lpwstr>https://www.dol.gov/agencies/ofccp/about/executive-order-11246-history</vt:lpwstr>
      </vt:variant>
      <vt:variant>
        <vt:lpwstr>:~:text=On%20March%206%2C%201961%2C%20shortly,without%20regard%20to%20their%20race%2C</vt:lpwstr>
      </vt:variant>
      <vt:variant>
        <vt:i4>3342438</vt:i4>
      </vt:variant>
      <vt:variant>
        <vt:i4>87</vt:i4>
      </vt:variant>
      <vt:variant>
        <vt:i4>0</vt:i4>
      </vt:variant>
      <vt:variant>
        <vt:i4>5</vt:i4>
      </vt:variant>
      <vt:variant>
        <vt:lpwstr>https://www.oxhp.com/secure/policy/routine_foot_care.pdf</vt:lpwstr>
      </vt:variant>
      <vt:variant>
        <vt:lpwstr/>
      </vt:variant>
      <vt:variant>
        <vt:i4>2031695</vt:i4>
      </vt:variant>
      <vt:variant>
        <vt:i4>84</vt:i4>
      </vt:variant>
      <vt:variant>
        <vt:i4>0</vt:i4>
      </vt:variant>
      <vt:variant>
        <vt:i4>5</vt:i4>
      </vt:variant>
      <vt:variant>
        <vt:lpwstr>http://www.jstor.org/stable/40215707</vt:lpwstr>
      </vt:variant>
      <vt:variant>
        <vt:lpwstr/>
      </vt:variant>
      <vt:variant>
        <vt:i4>3735596</vt:i4>
      </vt:variant>
      <vt:variant>
        <vt:i4>81</vt:i4>
      </vt:variant>
      <vt:variant>
        <vt:i4>0</vt:i4>
      </vt:variant>
      <vt:variant>
        <vt:i4>5</vt:i4>
      </vt:variant>
      <vt:variant>
        <vt:lpwstr>https://stanford.cloud-cme.com/course/courseoverview?P=0&amp;EID=20775</vt:lpwstr>
      </vt:variant>
      <vt:variant>
        <vt:lpwstr/>
      </vt:variant>
      <vt:variant>
        <vt:i4>524367</vt:i4>
      </vt:variant>
      <vt:variant>
        <vt:i4>78</vt:i4>
      </vt:variant>
      <vt:variant>
        <vt:i4>0</vt:i4>
      </vt:variant>
      <vt:variant>
        <vt:i4>5</vt:i4>
      </vt:variant>
      <vt:variant>
        <vt:lpwstr>https://www.simplypsychology.org/implicit-bias.html</vt:lpwstr>
      </vt:variant>
      <vt:variant>
        <vt:lpwstr>:~:text=Implicit%20bias%20(also%20called%20unconscious,Greenwald%20%26%20Krieger%2C%202006)</vt:lpwstr>
      </vt:variant>
      <vt:variant>
        <vt:i4>6225992</vt:i4>
      </vt:variant>
      <vt:variant>
        <vt:i4>75</vt:i4>
      </vt:variant>
      <vt:variant>
        <vt:i4>0</vt:i4>
      </vt:variant>
      <vt:variant>
        <vt:i4>5</vt:i4>
      </vt:variant>
      <vt:variant>
        <vt:lpwstr>https://doi.org/10.1002/sim.7992</vt:lpwstr>
      </vt:variant>
      <vt:variant>
        <vt:lpwstr/>
      </vt:variant>
      <vt:variant>
        <vt:i4>5177435</vt:i4>
      </vt:variant>
      <vt:variant>
        <vt:i4>72</vt:i4>
      </vt:variant>
      <vt:variant>
        <vt:i4>0</vt:i4>
      </vt:variant>
      <vt:variant>
        <vt:i4>5</vt:i4>
      </vt:variant>
      <vt:variant>
        <vt:lpwstr>https://www.pri.org/stories/2017-02-09/implicit-bias-may-account-glaring-disparity-health-care-screening</vt:lpwstr>
      </vt:variant>
      <vt:variant>
        <vt:lpwstr/>
      </vt:variant>
      <vt:variant>
        <vt:i4>6029329</vt:i4>
      </vt:variant>
      <vt:variant>
        <vt:i4>69</vt:i4>
      </vt:variant>
      <vt:variant>
        <vt:i4>0</vt:i4>
      </vt:variant>
      <vt:variant>
        <vt:i4>5</vt:i4>
      </vt:variant>
      <vt:variant>
        <vt:lpwstr>https://www.commonwealthfund.org/publications/fund-reports/2004/jul/disparities-patient-experiences-health-care-processes-and</vt:lpwstr>
      </vt:variant>
      <vt:variant>
        <vt:lpwstr/>
      </vt:variant>
      <vt:variant>
        <vt:i4>2228306</vt:i4>
      </vt:variant>
      <vt:variant>
        <vt:i4>66</vt:i4>
      </vt:variant>
      <vt:variant>
        <vt:i4>0</vt:i4>
      </vt:variant>
      <vt:variant>
        <vt:i4>5</vt:i4>
      </vt:variant>
      <vt:variant>
        <vt:lpwstr>https://cdn.optumcoding.com/upload/pdf/EMCA19/EMCA_EMCA19 2019 Sample Pages.pdf</vt:lpwstr>
      </vt:variant>
      <vt:variant>
        <vt:lpwstr/>
      </vt:variant>
      <vt:variant>
        <vt:i4>5111811</vt:i4>
      </vt:variant>
      <vt:variant>
        <vt:i4>63</vt:i4>
      </vt:variant>
      <vt:variant>
        <vt:i4>0</vt:i4>
      </vt:variant>
      <vt:variant>
        <vt:i4>5</vt:i4>
      </vt:variant>
      <vt:variant>
        <vt:lpwstr>http://www.healthypeople.gov/</vt:lpwstr>
      </vt:variant>
      <vt:variant>
        <vt:lpwstr/>
      </vt:variant>
      <vt:variant>
        <vt:i4>4849737</vt:i4>
      </vt:variant>
      <vt:variant>
        <vt:i4>60</vt:i4>
      </vt:variant>
      <vt:variant>
        <vt:i4>0</vt:i4>
      </vt:variant>
      <vt:variant>
        <vt:i4>5</vt:i4>
      </vt:variant>
      <vt:variant>
        <vt:lpwstr>https://www.archives.gov/legislative/features/voting-rights-1965</vt:lpwstr>
      </vt:variant>
      <vt:variant>
        <vt:lpwstr/>
      </vt:variant>
      <vt:variant>
        <vt:i4>4194373</vt:i4>
      </vt:variant>
      <vt:variant>
        <vt:i4>57</vt:i4>
      </vt:variant>
      <vt:variant>
        <vt:i4>0</vt:i4>
      </vt:variant>
      <vt:variant>
        <vt:i4>5</vt:i4>
      </vt:variant>
      <vt:variant>
        <vt:lpwstr>https://support.minitab.com/en-us/minitab/18/help-and-how-to/statistics/tables/supporting-topics/other-statistics-and-tests/what-are-the-goodman-kruskal-statistics/</vt:lpwstr>
      </vt:variant>
      <vt:variant>
        <vt:lpwstr/>
      </vt:variant>
      <vt:variant>
        <vt:i4>1376330</vt:i4>
      </vt:variant>
      <vt:variant>
        <vt:i4>54</vt:i4>
      </vt:variant>
      <vt:variant>
        <vt:i4>0</vt:i4>
      </vt:variant>
      <vt:variant>
        <vt:i4>5</vt:i4>
      </vt:variant>
      <vt:variant>
        <vt:lpwstr>https://www.ajmc.com/view/implicit-biases-have-an-explicit-impact-on-healthcare-outcomes</vt:lpwstr>
      </vt:variant>
      <vt:variant>
        <vt:lpwstr/>
      </vt:variant>
      <vt:variant>
        <vt:i4>327765</vt:i4>
      </vt:variant>
      <vt:variant>
        <vt:i4>51</vt:i4>
      </vt:variant>
      <vt:variant>
        <vt:i4>0</vt:i4>
      </vt:variant>
      <vt:variant>
        <vt:i4>5</vt:i4>
      </vt:variant>
      <vt:variant>
        <vt:lpwstr>https://doi.org/10.2105/AJPH.2015.302903</vt:lpwstr>
      </vt:variant>
      <vt:variant>
        <vt:lpwstr/>
      </vt:variant>
      <vt:variant>
        <vt:i4>458753</vt:i4>
      </vt:variant>
      <vt:variant>
        <vt:i4>48</vt:i4>
      </vt:variant>
      <vt:variant>
        <vt:i4>0</vt:i4>
      </vt:variant>
      <vt:variant>
        <vt:i4>5</vt:i4>
      </vt:variant>
      <vt:variant>
        <vt:lpwstr>https://www.kff.org/uninsured/issue-brief/how-many-uninsured-adults-could-be-reached-if-all-states-expanded-medicaid/</vt:lpwstr>
      </vt:variant>
      <vt:variant>
        <vt:lpwstr/>
      </vt:variant>
      <vt:variant>
        <vt:i4>7864358</vt:i4>
      </vt:variant>
      <vt:variant>
        <vt:i4>45</vt:i4>
      </vt:variant>
      <vt:variant>
        <vt:i4>0</vt:i4>
      </vt:variant>
      <vt:variant>
        <vt:i4>5</vt:i4>
      </vt:variant>
      <vt:variant>
        <vt:lpwstr>https://blog.supercoder.com/billing-and-collections-2/follow-the-guidelines-for-diabetic-foot-care-coding/</vt:lpwstr>
      </vt:variant>
      <vt:variant>
        <vt:lpwstr/>
      </vt:variant>
      <vt:variant>
        <vt:i4>524376</vt:i4>
      </vt:variant>
      <vt:variant>
        <vt:i4>42</vt:i4>
      </vt:variant>
      <vt:variant>
        <vt:i4>0</vt:i4>
      </vt:variant>
      <vt:variant>
        <vt:i4>5</vt:i4>
      </vt:variant>
      <vt:variant>
        <vt:lpwstr>https://www.aafp.org/news/practice-professional-issues/20200115implicitbias.html</vt:lpwstr>
      </vt:variant>
      <vt:variant>
        <vt:lpwstr/>
      </vt:variant>
      <vt:variant>
        <vt:i4>917574</vt:i4>
      </vt:variant>
      <vt:variant>
        <vt:i4>39</vt:i4>
      </vt:variant>
      <vt:variant>
        <vt:i4>0</vt:i4>
      </vt:variant>
      <vt:variant>
        <vt:i4>5</vt:i4>
      </vt:variant>
      <vt:variant>
        <vt:lpwstr>https://www.cbo.gov/publication/56324</vt:lpwstr>
      </vt:variant>
      <vt:variant>
        <vt:lpwstr/>
      </vt:variant>
      <vt:variant>
        <vt:i4>3211378</vt:i4>
      </vt:variant>
      <vt:variant>
        <vt:i4>36</vt:i4>
      </vt:variant>
      <vt:variant>
        <vt:i4>0</vt:i4>
      </vt:variant>
      <vt:variant>
        <vt:i4>5</vt:i4>
      </vt:variant>
      <vt:variant>
        <vt:lpwstr>https://www.cms.gov/research-statistics-data-and-systems/statistics-trends-and-reports/nationalhealthexpenddata/nhe-fact-sheet.html</vt:lpwstr>
      </vt:variant>
      <vt:variant>
        <vt:lpwstr/>
      </vt:variant>
      <vt:variant>
        <vt:i4>3604582</vt:i4>
      </vt:variant>
      <vt:variant>
        <vt:i4>33</vt:i4>
      </vt:variant>
      <vt:variant>
        <vt:i4>0</vt:i4>
      </vt:variant>
      <vt:variant>
        <vt:i4>5</vt:i4>
      </vt:variant>
      <vt:variant>
        <vt:lpwstr>https://www.cdc.gov/diabetes/prevention/index.html</vt:lpwstr>
      </vt:variant>
      <vt:variant>
        <vt:lpwstr/>
      </vt:variant>
      <vt:variant>
        <vt:i4>3932245</vt:i4>
      </vt:variant>
      <vt:variant>
        <vt:i4>30</vt:i4>
      </vt:variant>
      <vt:variant>
        <vt:i4>0</vt:i4>
      </vt:variant>
      <vt:variant>
        <vt:i4>5</vt:i4>
      </vt:variant>
      <vt:variant>
        <vt:lpwstr>https://www.cdc.gov/nchs/ahcd/about_ahcd.htm</vt:lpwstr>
      </vt:variant>
      <vt:variant>
        <vt:lpwstr>NAMCS</vt:lpwstr>
      </vt:variant>
      <vt:variant>
        <vt:i4>786501</vt:i4>
      </vt:variant>
      <vt:variant>
        <vt:i4>27</vt:i4>
      </vt:variant>
      <vt:variant>
        <vt:i4>0</vt:i4>
      </vt:variant>
      <vt:variant>
        <vt:i4>5</vt:i4>
      </vt:variant>
      <vt:variant>
        <vt:lpwstr>https://www.aamc.org/what-we-do/diversity-inclusion/unconscious-bias-training</vt:lpwstr>
      </vt:variant>
      <vt:variant>
        <vt:lpwstr/>
      </vt:variant>
      <vt:variant>
        <vt:i4>3145761</vt:i4>
      </vt:variant>
      <vt:variant>
        <vt:i4>24</vt:i4>
      </vt:variant>
      <vt:variant>
        <vt:i4>0</vt:i4>
      </vt:variant>
      <vt:variant>
        <vt:i4>5</vt:i4>
      </vt:variant>
      <vt:variant>
        <vt:lpwstr>https://www.aamc.org/system/files/reports/1/2014physicianspecialtydatabook.pdf</vt:lpwstr>
      </vt:variant>
      <vt:variant>
        <vt:lpwstr/>
      </vt:variant>
      <vt:variant>
        <vt:i4>5963792</vt:i4>
      </vt:variant>
      <vt:variant>
        <vt:i4>21</vt:i4>
      </vt:variant>
      <vt:variant>
        <vt:i4>0</vt:i4>
      </vt:variant>
      <vt:variant>
        <vt:i4>5</vt:i4>
      </vt:variant>
      <vt:variant>
        <vt:lpwstr>http://www.diabetes.org/newsroom/press-releases/2014/diabetes-among-hispanics-all-are-not-equal.html</vt:lpwstr>
      </vt:variant>
      <vt:variant>
        <vt:lpwstr/>
      </vt:variant>
      <vt:variant>
        <vt:i4>4456519</vt:i4>
      </vt:variant>
      <vt:variant>
        <vt:i4>18</vt:i4>
      </vt:variant>
      <vt:variant>
        <vt:i4>0</vt:i4>
      </vt:variant>
      <vt:variant>
        <vt:i4>5</vt:i4>
      </vt:variant>
      <vt:variant>
        <vt:lpwstr>http://www.diabetes.org/newsroom/press-releases/2017/american-diabetes-association-continues-commitment-to-protecting-health-care-needs-1-1.html</vt:lpwstr>
      </vt:variant>
      <vt:variant>
        <vt:lpwstr/>
      </vt:variant>
      <vt:variant>
        <vt:i4>2490491</vt:i4>
      </vt:variant>
      <vt:variant>
        <vt:i4>15</vt:i4>
      </vt:variant>
      <vt:variant>
        <vt:i4>0</vt:i4>
      </vt:variant>
      <vt:variant>
        <vt:i4>5</vt:i4>
      </vt:variant>
      <vt:variant>
        <vt:lpwstr>https://www.thediabetescouncil.com/diabetes-and-amputation-everything-you-need-to-know-toavoidamputation/</vt:lpwstr>
      </vt:variant>
      <vt:variant>
        <vt:lpwstr>:~:text=For%20those%20under%20the%20age%20of%2065%2C%203.9,were%2050%20percent%20higher%20for%20men%20than%20women</vt:lpwstr>
      </vt:variant>
      <vt:variant>
        <vt:i4>4128875</vt:i4>
      </vt:variant>
      <vt:variant>
        <vt:i4>12</vt:i4>
      </vt:variant>
      <vt:variant>
        <vt:i4>0</vt:i4>
      </vt:variant>
      <vt:variant>
        <vt:i4>5</vt:i4>
      </vt:variant>
      <vt:variant>
        <vt:lpwstr>https://www.ahrq.gov/research/findings/nhqrdr/chartbooks/carecoordination/measure1.html</vt:lpwstr>
      </vt:variant>
      <vt:variant>
        <vt:lpwstr/>
      </vt:variant>
      <vt:variant>
        <vt:i4>458753</vt:i4>
      </vt:variant>
      <vt:variant>
        <vt:i4>9</vt:i4>
      </vt:variant>
      <vt:variant>
        <vt:i4>0</vt:i4>
      </vt:variant>
      <vt:variant>
        <vt:i4>5</vt:i4>
      </vt:variant>
      <vt:variant>
        <vt:lpwstr>https://www.kff.org/uninsured/issue-brief/how-many-uninsured-adults-could-be-reached-if-all-states-expanded-medicaid/</vt:lpwstr>
      </vt:variant>
      <vt:variant>
        <vt:lpwstr/>
      </vt:variant>
      <vt:variant>
        <vt:i4>2228306</vt:i4>
      </vt:variant>
      <vt:variant>
        <vt:i4>6</vt:i4>
      </vt:variant>
      <vt:variant>
        <vt:i4>0</vt:i4>
      </vt:variant>
      <vt:variant>
        <vt:i4>5</vt:i4>
      </vt:variant>
      <vt:variant>
        <vt:lpwstr>https://cdn.optumcoding.com/upload/pdf/EMCA19/EMCA_EMCA19 2019 Sample Pages.pdf</vt:lpwstr>
      </vt:variant>
      <vt:variant>
        <vt:lpwstr/>
      </vt:variant>
      <vt:variant>
        <vt:i4>2818168</vt:i4>
      </vt:variant>
      <vt:variant>
        <vt:i4>3</vt:i4>
      </vt:variant>
      <vt:variant>
        <vt:i4>0</vt:i4>
      </vt:variant>
      <vt:variant>
        <vt:i4>5</vt:i4>
      </vt:variant>
      <vt:variant>
        <vt:lpwstr>https://www.healthknowledge.org.uk/public-health-textbook/medical-sociology-policy-economics/4c-equality-equity-policy/balancing-equity-efficiency</vt:lpwstr>
      </vt:variant>
      <vt:variant>
        <vt:lpwstr/>
      </vt:variant>
      <vt:variant>
        <vt:i4>72</vt:i4>
      </vt:variant>
      <vt:variant>
        <vt:i4>0</vt:i4>
      </vt:variant>
      <vt:variant>
        <vt:i4>0</vt:i4>
      </vt:variant>
      <vt:variant>
        <vt:i4>5</vt:i4>
      </vt:variant>
      <vt:variant>
        <vt:lpwstr>https://www.cdc.gov/nchs/ahcd/datasets_documentation_related.htm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5</cp:revision>
  <cp:lastPrinted>2020-12-11T19:33:00Z</cp:lastPrinted>
  <dcterms:created xsi:type="dcterms:W3CDTF">2021-01-15T14:05:00Z</dcterms:created>
  <dcterms:modified xsi:type="dcterms:W3CDTF">2021-01-15T14:27:00Z</dcterms:modified>
</cp:coreProperties>
</file>