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0BB5C" w14:textId="594C1B9B" w:rsidR="00177C75" w:rsidRPr="00FC7892" w:rsidRDefault="008478F5" w:rsidP="00177C75">
      <w:pPr>
        <w:jc w:val="center"/>
        <w:rPr>
          <w:rFonts w:asciiTheme="majorBidi" w:hAnsiTheme="majorBidi" w:cstheme="majorBidi"/>
          <w:b/>
          <w:bCs/>
          <w:sz w:val="28"/>
          <w:szCs w:val="28"/>
        </w:rPr>
      </w:pPr>
      <w:r w:rsidRPr="00FC7892">
        <w:rPr>
          <w:rFonts w:asciiTheme="majorBidi" w:hAnsiTheme="majorBidi" w:cstheme="majorBidi"/>
          <w:b/>
          <w:bCs/>
          <w:sz w:val="28"/>
          <w:szCs w:val="28"/>
        </w:rPr>
        <w:t xml:space="preserve">SUPPLEMENTARY </w:t>
      </w:r>
      <w:r w:rsidR="006F550D" w:rsidRPr="00FC7892">
        <w:rPr>
          <w:rFonts w:asciiTheme="majorBidi" w:hAnsiTheme="majorBidi" w:cstheme="majorBidi"/>
          <w:b/>
          <w:bCs/>
          <w:sz w:val="28"/>
          <w:szCs w:val="28"/>
        </w:rPr>
        <w:t>DATA</w:t>
      </w:r>
    </w:p>
    <w:p w14:paraId="0019253D" w14:textId="225D1F5F" w:rsidR="00177C75" w:rsidRPr="00ED1751" w:rsidRDefault="00ED1751" w:rsidP="00ED1751">
      <w:pPr>
        <w:pStyle w:val="ListParagraph"/>
        <w:numPr>
          <w:ilvl w:val="0"/>
          <w:numId w:val="2"/>
        </w:numPr>
        <w:jc w:val="both"/>
        <w:rPr>
          <w:rFonts w:asciiTheme="majorBidi" w:hAnsiTheme="majorBidi" w:cstheme="majorBidi"/>
          <w:b/>
          <w:bCs/>
          <w:sz w:val="24"/>
          <w:szCs w:val="24"/>
        </w:rPr>
      </w:pPr>
      <w:r w:rsidRPr="00ED1751">
        <w:rPr>
          <w:rFonts w:asciiTheme="majorBidi" w:hAnsiTheme="majorBidi" w:cstheme="majorBidi"/>
          <w:b/>
          <w:bCs/>
          <w:sz w:val="24"/>
          <w:szCs w:val="24"/>
        </w:rPr>
        <w:t>COLMSOL SIMULATIONS</w:t>
      </w:r>
    </w:p>
    <w:p w14:paraId="1A3B8900" w14:textId="287C9F00" w:rsidR="00177C75" w:rsidRPr="00FC7892" w:rsidRDefault="00962502" w:rsidP="00501236">
      <w:pPr>
        <w:jc w:val="both"/>
        <w:rPr>
          <w:rFonts w:asciiTheme="majorBidi" w:hAnsiTheme="majorBidi" w:cstheme="majorBidi"/>
          <w:sz w:val="24"/>
          <w:szCs w:val="24"/>
          <w:lang w:eastAsia="zh-CN"/>
        </w:rPr>
      </w:pPr>
      <w:r w:rsidRPr="00FC7892">
        <w:rPr>
          <w:rFonts w:asciiTheme="majorBidi" w:hAnsiTheme="majorBidi" w:cstheme="majorBidi"/>
          <w:sz w:val="24"/>
          <w:szCs w:val="24"/>
          <w:lang w:eastAsia="zh-CN"/>
        </w:rPr>
        <w:t>T</w:t>
      </w:r>
      <w:r w:rsidR="00C20986">
        <w:rPr>
          <w:rFonts w:asciiTheme="majorBidi" w:hAnsiTheme="majorBidi" w:cstheme="majorBidi"/>
          <w:sz w:val="24"/>
          <w:szCs w:val="24"/>
          <w:lang w:eastAsia="zh-CN"/>
        </w:rPr>
        <w:t>o perform the simulations, w</w:t>
      </w:r>
      <w:r w:rsidRPr="00FC7892">
        <w:rPr>
          <w:rFonts w:asciiTheme="majorBidi" w:hAnsiTheme="majorBidi" w:cstheme="majorBidi"/>
          <w:sz w:val="24"/>
          <w:szCs w:val="24"/>
          <w:lang w:eastAsia="zh-CN"/>
        </w:rPr>
        <w:t>e</w:t>
      </w:r>
      <w:r w:rsidR="00C20986">
        <w:rPr>
          <w:rFonts w:asciiTheme="majorBidi" w:hAnsiTheme="majorBidi" w:cstheme="majorBidi"/>
          <w:sz w:val="24"/>
          <w:szCs w:val="24"/>
          <w:lang w:eastAsia="zh-CN"/>
        </w:rPr>
        <w:t xml:space="preserve"> used the</w:t>
      </w:r>
      <w:r w:rsidRPr="00FC7892">
        <w:rPr>
          <w:rFonts w:asciiTheme="majorBidi" w:hAnsiTheme="majorBidi" w:cstheme="majorBidi"/>
          <w:sz w:val="24"/>
          <w:szCs w:val="24"/>
          <w:lang w:eastAsia="zh-CN"/>
        </w:rPr>
        <w:t xml:space="preserve"> AC/DC module in COMSOL. In all </w:t>
      </w:r>
      <w:r w:rsidR="00C20986">
        <w:rPr>
          <w:rFonts w:asciiTheme="majorBidi" w:hAnsiTheme="majorBidi" w:cstheme="majorBidi"/>
          <w:sz w:val="24"/>
          <w:szCs w:val="24"/>
          <w:lang w:eastAsia="zh-CN"/>
        </w:rPr>
        <w:t>of the simulations and coil models</w:t>
      </w:r>
      <w:r w:rsidRPr="00FC7892">
        <w:rPr>
          <w:rFonts w:asciiTheme="majorBidi" w:hAnsiTheme="majorBidi" w:cstheme="majorBidi"/>
          <w:sz w:val="24"/>
          <w:szCs w:val="24"/>
          <w:lang w:eastAsia="zh-CN"/>
        </w:rPr>
        <w:t xml:space="preserve">, </w:t>
      </w:r>
      <w:r w:rsidR="00C20986">
        <w:rPr>
          <w:rFonts w:asciiTheme="majorBidi" w:hAnsiTheme="majorBidi" w:cstheme="majorBidi"/>
          <w:sz w:val="24"/>
          <w:szCs w:val="24"/>
          <w:lang w:eastAsia="zh-CN"/>
        </w:rPr>
        <w:t xml:space="preserve">we assumed the same </w:t>
      </w:r>
      <w:r w:rsidRPr="00FC7892">
        <w:rPr>
          <w:rFonts w:asciiTheme="majorBidi" w:hAnsiTheme="majorBidi" w:cstheme="majorBidi"/>
          <w:sz w:val="24"/>
          <w:szCs w:val="24"/>
          <w:lang w:eastAsia="zh-CN"/>
        </w:rPr>
        <w:t>setting</w:t>
      </w:r>
      <w:r w:rsidR="00AC218D" w:rsidRPr="00FC7892">
        <w:rPr>
          <w:rFonts w:asciiTheme="majorBidi" w:hAnsiTheme="majorBidi" w:cstheme="majorBidi"/>
          <w:sz w:val="24"/>
          <w:szCs w:val="24"/>
          <w:lang w:eastAsia="zh-CN"/>
        </w:rPr>
        <w:t>s</w:t>
      </w:r>
      <w:r w:rsidRPr="00FC7892">
        <w:rPr>
          <w:rFonts w:asciiTheme="majorBidi" w:hAnsiTheme="majorBidi" w:cstheme="majorBidi"/>
          <w:sz w:val="24"/>
          <w:szCs w:val="24"/>
          <w:lang w:eastAsia="zh-CN"/>
        </w:rPr>
        <w:t xml:space="preserve"> </w:t>
      </w:r>
      <w:r w:rsidR="0083264A" w:rsidRPr="00FC7892">
        <w:rPr>
          <w:rFonts w:asciiTheme="majorBidi" w:hAnsiTheme="majorBidi" w:cstheme="majorBidi"/>
          <w:sz w:val="24"/>
          <w:szCs w:val="24"/>
          <w:lang w:eastAsia="zh-CN"/>
        </w:rPr>
        <w:t>except the ge</w:t>
      </w:r>
      <w:r w:rsidR="00AC218D" w:rsidRPr="00FC7892">
        <w:rPr>
          <w:rFonts w:asciiTheme="majorBidi" w:hAnsiTheme="majorBidi" w:cstheme="majorBidi" w:hint="eastAsia"/>
          <w:sz w:val="24"/>
          <w:szCs w:val="24"/>
          <w:lang w:eastAsia="zh-CN"/>
        </w:rPr>
        <w:t>o</w:t>
      </w:r>
      <w:r w:rsidR="0083264A" w:rsidRPr="00FC7892">
        <w:rPr>
          <w:rFonts w:asciiTheme="majorBidi" w:hAnsiTheme="majorBidi" w:cstheme="majorBidi"/>
          <w:sz w:val="24"/>
          <w:szCs w:val="24"/>
          <w:lang w:eastAsia="zh-CN"/>
        </w:rPr>
        <w:t>metr</w:t>
      </w:r>
      <w:r w:rsidR="00C20986">
        <w:rPr>
          <w:rFonts w:asciiTheme="majorBidi" w:hAnsiTheme="majorBidi" w:cstheme="majorBidi"/>
          <w:sz w:val="24"/>
          <w:szCs w:val="24"/>
          <w:lang w:eastAsia="zh-CN"/>
        </w:rPr>
        <w:t>y of the coil</w:t>
      </w:r>
      <w:r w:rsidR="00213FAE">
        <w:rPr>
          <w:rFonts w:asciiTheme="majorBidi" w:hAnsiTheme="majorBidi" w:cstheme="majorBidi"/>
          <w:sz w:val="24"/>
          <w:szCs w:val="24"/>
          <w:lang w:eastAsia="zh-CN"/>
        </w:rPr>
        <w:t>,</w:t>
      </w:r>
      <w:r w:rsidR="00C20986">
        <w:rPr>
          <w:rFonts w:asciiTheme="majorBidi" w:hAnsiTheme="majorBidi" w:cstheme="majorBidi"/>
          <w:sz w:val="24"/>
          <w:szCs w:val="24"/>
          <w:lang w:eastAsia="zh-CN"/>
        </w:rPr>
        <w:t xml:space="preserve"> which was adjusted</w:t>
      </w:r>
      <w:r w:rsidR="0083264A" w:rsidRPr="00FC7892">
        <w:rPr>
          <w:rFonts w:asciiTheme="majorBidi" w:hAnsiTheme="majorBidi" w:cstheme="majorBidi"/>
          <w:sz w:val="24"/>
          <w:szCs w:val="24"/>
          <w:lang w:eastAsia="zh-CN"/>
        </w:rPr>
        <w:t xml:space="preserve"> to </w:t>
      </w:r>
      <w:r w:rsidR="00AD747E" w:rsidRPr="00FC7892">
        <w:rPr>
          <w:rFonts w:asciiTheme="majorBidi" w:hAnsiTheme="majorBidi" w:cstheme="majorBidi"/>
          <w:sz w:val="24"/>
          <w:szCs w:val="24"/>
          <w:lang w:eastAsia="zh-CN"/>
        </w:rPr>
        <w:t xml:space="preserve">improve </w:t>
      </w:r>
      <w:r w:rsidR="0083264A" w:rsidRPr="00FC7892">
        <w:rPr>
          <w:rFonts w:asciiTheme="majorBidi" w:hAnsiTheme="majorBidi" w:cstheme="majorBidi"/>
          <w:sz w:val="24"/>
          <w:szCs w:val="24"/>
          <w:lang w:eastAsia="zh-CN"/>
        </w:rPr>
        <w:t>the stimulation depth – focal</w:t>
      </w:r>
      <w:r w:rsidR="00AC218D" w:rsidRPr="00FC7892">
        <w:rPr>
          <w:rFonts w:asciiTheme="majorBidi" w:hAnsiTheme="majorBidi" w:cstheme="majorBidi"/>
          <w:sz w:val="24"/>
          <w:szCs w:val="24"/>
          <w:lang w:eastAsia="zh-CN"/>
        </w:rPr>
        <w:t>i</w:t>
      </w:r>
      <w:r w:rsidR="0083264A" w:rsidRPr="00FC7892">
        <w:rPr>
          <w:rFonts w:asciiTheme="majorBidi" w:hAnsiTheme="majorBidi" w:cstheme="majorBidi"/>
          <w:sz w:val="24"/>
          <w:szCs w:val="24"/>
          <w:lang w:eastAsia="zh-CN"/>
        </w:rPr>
        <w:t>ty characteristics. The calculation of fields was in the three-dimen</w:t>
      </w:r>
      <w:r w:rsidR="00AC218D" w:rsidRPr="00FC7892">
        <w:rPr>
          <w:rFonts w:asciiTheme="majorBidi" w:hAnsiTheme="majorBidi" w:cstheme="majorBidi"/>
          <w:sz w:val="24"/>
          <w:szCs w:val="24"/>
          <w:lang w:eastAsia="zh-CN"/>
        </w:rPr>
        <w:t>s</w:t>
      </w:r>
      <w:r w:rsidR="0083264A" w:rsidRPr="00FC7892">
        <w:rPr>
          <w:rFonts w:asciiTheme="majorBidi" w:hAnsiTheme="majorBidi" w:cstheme="majorBidi"/>
          <w:sz w:val="24"/>
          <w:szCs w:val="24"/>
          <w:lang w:eastAsia="zh-CN"/>
        </w:rPr>
        <w:t xml:space="preserve">ional space of a sphere with </w:t>
      </w:r>
      <w:r w:rsidR="0070256C" w:rsidRPr="00FC7892">
        <w:rPr>
          <w:rFonts w:asciiTheme="majorBidi" w:hAnsiTheme="majorBidi" w:cstheme="majorBidi"/>
          <w:sz w:val="24"/>
          <w:szCs w:val="24"/>
          <w:lang w:eastAsia="zh-CN"/>
        </w:rPr>
        <w:t xml:space="preserve">a </w:t>
      </w:r>
      <w:r w:rsidR="0083264A" w:rsidRPr="00FC7892">
        <w:rPr>
          <w:rFonts w:asciiTheme="majorBidi" w:hAnsiTheme="majorBidi" w:cstheme="majorBidi"/>
          <w:sz w:val="24"/>
          <w:szCs w:val="24"/>
          <w:lang w:eastAsia="zh-CN"/>
        </w:rPr>
        <w:t>diameter of 150 cm</w:t>
      </w:r>
      <w:r w:rsidR="00C20986">
        <w:rPr>
          <w:rFonts w:asciiTheme="majorBidi" w:hAnsiTheme="majorBidi" w:cstheme="majorBidi"/>
          <w:sz w:val="24"/>
          <w:szCs w:val="24"/>
          <w:lang w:eastAsia="zh-CN"/>
        </w:rPr>
        <w:t xml:space="preserve"> with a mesh element size of ‘extra fine’ as defined by COMSOL</w:t>
      </w:r>
      <w:r w:rsidR="0083264A" w:rsidRPr="00FC7892">
        <w:rPr>
          <w:rFonts w:asciiTheme="majorBidi" w:hAnsiTheme="majorBidi" w:cstheme="majorBidi"/>
          <w:sz w:val="24"/>
          <w:szCs w:val="24"/>
          <w:lang w:eastAsia="zh-CN"/>
        </w:rPr>
        <w:t xml:space="preserve">. The coil and head models were located at the center of the sphere, and their sizes were much smaller than the diameter of the sphere to improve the accuracy of the calculations. As for the boundary conditions in the coil models, we used the default settings, which can be mathematically expressed as the followings according to the AC/DC module of the COMSOL </w:t>
      </w:r>
      <w:r w:rsidR="0070256C" w:rsidRPr="00FC7892">
        <w:rPr>
          <w:rFonts w:asciiTheme="majorBidi" w:hAnsiTheme="majorBidi" w:cstheme="majorBidi"/>
          <w:sz w:val="24"/>
          <w:szCs w:val="24"/>
          <w:lang w:eastAsia="zh-CN"/>
        </w:rPr>
        <w:t xml:space="preserve">user's </w:t>
      </w:r>
      <w:r w:rsidR="0083264A" w:rsidRPr="00FC7892">
        <w:rPr>
          <w:rFonts w:asciiTheme="majorBidi" w:hAnsiTheme="majorBidi" w:cstheme="majorBidi"/>
          <w:sz w:val="24"/>
          <w:szCs w:val="24"/>
          <w:lang w:eastAsia="zh-CN"/>
        </w:rPr>
        <w:t>guide</w:t>
      </w:r>
      <w:r w:rsidR="00501236" w:rsidRPr="00FC7892">
        <w:rPr>
          <w:rFonts w:asciiTheme="majorBidi" w:hAnsiTheme="majorBidi" w:cstheme="majorBidi"/>
          <w:sz w:val="24"/>
          <w:szCs w:val="24"/>
          <w:lang w:eastAsia="zh-CN"/>
        </w:rPr>
        <w:t xml:space="preserve"> </w:t>
      </w:r>
      <w:r w:rsidR="00F8114E" w:rsidRPr="00FC7892">
        <w:rPr>
          <w:rFonts w:asciiTheme="majorBidi" w:hAnsiTheme="majorBidi" w:cstheme="majorBidi"/>
          <w:sz w:val="24"/>
          <w:szCs w:val="24"/>
          <w:lang w:eastAsia="zh-CN"/>
        </w:rPr>
        <w:fldChar w:fldCharType="begin"/>
      </w:r>
      <w:r w:rsidR="00501236" w:rsidRPr="00FC7892">
        <w:rPr>
          <w:rFonts w:asciiTheme="majorBidi" w:hAnsiTheme="majorBidi" w:cstheme="majorBidi"/>
          <w:sz w:val="24"/>
          <w:szCs w:val="24"/>
          <w:lang w:eastAsia="zh-CN"/>
        </w:rPr>
        <w:instrText xml:space="preserve"> ADDIN ZOTERO_ITEM CSL_CITATION {"citationID":"Vf8NKcPk","properties":{"formattedCitation":"[1]","plainCitation":"[1]","noteIndex":0},"citationItems":[{"id":131,"uris":["http://zotero.org/users/local/tokR2y0q/items/S2KP4WQH"],"uri":["http://zotero.org/users/local/tokR2y0q/items/S2KP4WQH"],"itemData":{"id":131,"type":"book","event-place":"New York","publisher":"COMSOL Multiphysics","publisher-place":"New York","title":"AC/DC Module user’s guide","author":[{"literal":"Multiphysics, C. O. M. S. O. L."}],"issued":{"date-parts":[["2013"]]}}}],"schema":"https://github.com/citation-style-language/schema/raw/master/csl-citation.json"} </w:instrText>
      </w:r>
      <w:r w:rsidR="00F8114E" w:rsidRPr="00FC7892">
        <w:rPr>
          <w:rFonts w:asciiTheme="majorBidi" w:hAnsiTheme="majorBidi" w:cstheme="majorBidi"/>
          <w:sz w:val="24"/>
          <w:szCs w:val="24"/>
          <w:lang w:eastAsia="zh-CN"/>
        </w:rPr>
        <w:fldChar w:fldCharType="separate"/>
      </w:r>
      <w:r w:rsidR="00501236" w:rsidRPr="00FC7892">
        <w:rPr>
          <w:rFonts w:ascii="Times New Roman" w:hAnsi="Times New Roman" w:cs="Times New Roman"/>
          <w:sz w:val="24"/>
        </w:rPr>
        <w:t>[1]</w:t>
      </w:r>
      <w:r w:rsidR="00F8114E" w:rsidRPr="00FC7892">
        <w:rPr>
          <w:rFonts w:asciiTheme="majorBidi" w:hAnsiTheme="majorBidi" w:cstheme="majorBidi"/>
          <w:sz w:val="24"/>
          <w:szCs w:val="24"/>
          <w:lang w:eastAsia="zh-CN"/>
        </w:rPr>
        <w:fldChar w:fldCharType="end"/>
      </w:r>
      <w:r w:rsidR="0083264A" w:rsidRPr="00FC7892">
        <w:rPr>
          <w:rFonts w:asciiTheme="majorBidi" w:hAnsiTheme="majorBidi" w:cstheme="majorBidi"/>
          <w:sz w:val="24"/>
          <w:szCs w:val="24"/>
          <w:lang w:eastAsia="zh-CN"/>
        </w:rPr>
        <w:t>:</w:t>
      </w:r>
    </w:p>
    <w:p w14:paraId="3DA90A38" w14:textId="0973F728" w:rsidR="0083264A" w:rsidRPr="00FC7892" w:rsidRDefault="00EF34F7" w:rsidP="0083264A">
      <w:pPr>
        <w:rPr>
          <w:rFonts w:ascii="Times New Roman" w:hAnsi="Times New Roman" w:cs="Times New Roman"/>
          <w:b/>
          <w:bCs/>
          <w:color w:val="000000" w:themeColor="text1"/>
          <w:sz w:val="24"/>
          <w:szCs w:val="24"/>
          <w:shd w:val="clear" w:color="auto" w:fill="FFFFFF"/>
        </w:rPr>
      </w:pPr>
      <m:oMathPara>
        <m:oMath>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n</m:t>
              </m:r>
            </m:e>
            <m:sub>
              <m:r>
                <m:rPr>
                  <m:sty m:val="bi"/>
                </m:rPr>
                <w:rPr>
                  <w:rFonts w:ascii="Cambria Math" w:hAnsi="Cambria Math" w:cs="Times New Roman"/>
                  <w:color w:val="000000" w:themeColor="text1"/>
                  <w:sz w:val="24"/>
                  <w:szCs w:val="24"/>
                  <w:shd w:val="clear" w:color="auto" w:fill="FFFFFF"/>
                </w:rPr>
                <m:t>2</m:t>
              </m:r>
            </m:sub>
          </m:sSub>
          <m:r>
            <m:rPr>
              <m:sty m:val="bi"/>
            </m:rPr>
            <w:rPr>
              <w:rFonts w:ascii="Cambria Math" w:hAnsi="Cambria Math" w:cs="Times New Roman"/>
              <w:color w:val="000000" w:themeColor="text1"/>
              <w:sz w:val="24"/>
              <w:szCs w:val="24"/>
              <w:shd w:val="clear" w:color="auto" w:fill="FFFFFF"/>
            </w:rPr>
            <m:t>×</m:t>
          </m:r>
          <m:d>
            <m:dPr>
              <m:ctrlPr>
                <w:rPr>
                  <w:rFonts w:ascii="Cambria Math" w:hAnsi="Cambria Math" w:cs="Times New Roman"/>
                  <w:b/>
                  <w:bCs/>
                  <w:i/>
                  <w:color w:val="000000" w:themeColor="text1"/>
                  <w:sz w:val="24"/>
                  <w:szCs w:val="24"/>
                  <w:shd w:val="clear" w:color="auto" w:fill="FFFFFF"/>
                </w:rPr>
              </m:ctrlPr>
            </m:dPr>
            <m:e>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E</m:t>
                  </m:r>
                </m:e>
                <m:sub>
                  <m:r>
                    <m:rPr>
                      <m:sty m:val="bi"/>
                    </m:rPr>
                    <w:rPr>
                      <w:rFonts w:ascii="Cambria Math" w:hAnsi="Cambria Math" w:cs="Times New Roman"/>
                      <w:color w:val="000000" w:themeColor="text1"/>
                      <w:sz w:val="24"/>
                      <w:szCs w:val="24"/>
                      <w:shd w:val="clear" w:color="auto" w:fill="FFFFFF"/>
                    </w:rPr>
                    <m:t>1</m:t>
                  </m:r>
                </m:sub>
              </m:sSub>
              <m:r>
                <m:rPr>
                  <m:sty m:val="bi"/>
                </m:rPr>
                <w:rPr>
                  <w:rFonts w:ascii="Cambria Math" w:hAnsi="Cambria Math" w:cs="Times New Roman"/>
                  <w:color w:val="000000" w:themeColor="text1"/>
                  <w:sz w:val="24"/>
                  <w:szCs w:val="24"/>
                  <w:shd w:val="clear" w:color="auto" w:fill="FFFFFF"/>
                </w:rPr>
                <m:t>-</m:t>
              </m:r>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E</m:t>
                  </m:r>
                </m:e>
                <m:sub>
                  <m:r>
                    <m:rPr>
                      <m:sty m:val="bi"/>
                    </m:rPr>
                    <w:rPr>
                      <w:rFonts w:ascii="Cambria Math" w:hAnsi="Cambria Math" w:cs="Times New Roman"/>
                      <w:color w:val="000000" w:themeColor="text1"/>
                      <w:sz w:val="24"/>
                      <w:szCs w:val="24"/>
                      <w:shd w:val="clear" w:color="auto" w:fill="FFFFFF"/>
                    </w:rPr>
                    <m:t>2</m:t>
                  </m:r>
                </m:sub>
              </m:sSub>
            </m:e>
          </m:d>
          <m:r>
            <m:rPr>
              <m:sty m:val="bi"/>
            </m:rPr>
            <w:rPr>
              <w:rFonts w:ascii="Cambria Math" w:hAnsi="Cambria Math" w:cs="Times New Roman"/>
              <w:color w:val="000000" w:themeColor="text1"/>
              <w:sz w:val="24"/>
              <w:szCs w:val="24"/>
              <w:shd w:val="clear" w:color="auto" w:fill="FFFFFF"/>
            </w:rPr>
            <m:t>=0;</m:t>
          </m:r>
        </m:oMath>
      </m:oMathPara>
    </w:p>
    <w:p w14:paraId="18F9CA75" w14:textId="7DBED23B" w:rsidR="0083264A" w:rsidRPr="00FC7892" w:rsidRDefault="00EF34F7" w:rsidP="0083264A">
      <w:pPr>
        <w:rPr>
          <w:rFonts w:ascii="Times New Roman" w:hAnsi="Times New Roman" w:cs="Times New Roman"/>
          <w:b/>
          <w:bCs/>
          <w:color w:val="000000" w:themeColor="text1"/>
          <w:sz w:val="24"/>
          <w:szCs w:val="24"/>
          <w:shd w:val="clear" w:color="auto" w:fill="FFFFFF"/>
        </w:rPr>
      </w:pPr>
      <m:oMathPara>
        <m:oMath>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n</m:t>
              </m:r>
            </m:e>
            <m:sub>
              <m:r>
                <m:rPr>
                  <m:sty m:val="bi"/>
                </m:rPr>
                <w:rPr>
                  <w:rFonts w:ascii="Cambria Math" w:hAnsi="Cambria Math" w:cs="Times New Roman"/>
                  <w:color w:val="000000" w:themeColor="text1"/>
                  <w:sz w:val="24"/>
                  <w:szCs w:val="24"/>
                  <w:shd w:val="clear" w:color="auto" w:fill="FFFFFF"/>
                </w:rPr>
                <m:t>2</m:t>
              </m:r>
            </m:sub>
          </m:sSub>
          <m:r>
            <m:rPr>
              <m:sty m:val="bi"/>
            </m:rPr>
            <w:rPr>
              <w:rFonts w:ascii="Cambria Math" w:hAnsi="Cambria Math" w:cs="Times New Roman"/>
              <w:color w:val="000000" w:themeColor="text1"/>
              <w:sz w:val="24"/>
              <w:szCs w:val="24"/>
              <w:shd w:val="clear" w:color="auto" w:fill="FFFFFF"/>
            </w:rPr>
            <m:t>∙</m:t>
          </m:r>
          <m:d>
            <m:dPr>
              <m:ctrlPr>
                <w:rPr>
                  <w:rFonts w:ascii="Cambria Math" w:hAnsi="Cambria Math" w:cs="Times New Roman"/>
                  <w:b/>
                  <w:bCs/>
                  <w:i/>
                  <w:color w:val="000000" w:themeColor="text1"/>
                  <w:sz w:val="24"/>
                  <w:szCs w:val="24"/>
                  <w:shd w:val="clear" w:color="auto" w:fill="FFFFFF"/>
                </w:rPr>
              </m:ctrlPr>
            </m:dPr>
            <m:e>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D</m:t>
                  </m:r>
                </m:e>
                <m:sub>
                  <m:r>
                    <m:rPr>
                      <m:sty m:val="bi"/>
                    </m:rPr>
                    <w:rPr>
                      <w:rFonts w:ascii="Cambria Math" w:hAnsi="Cambria Math" w:cs="Times New Roman"/>
                      <w:color w:val="000000" w:themeColor="text1"/>
                      <w:sz w:val="24"/>
                      <w:szCs w:val="24"/>
                      <w:shd w:val="clear" w:color="auto" w:fill="FFFFFF"/>
                    </w:rPr>
                    <m:t>1</m:t>
                  </m:r>
                </m:sub>
              </m:sSub>
              <m:r>
                <m:rPr>
                  <m:sty m:val="bi"/>
                </m:rPr>
                <w:rPr>
                  <w:rFonts w:ascii="Cambria Math" w:hAnsi="Cambria Math" w:cs="Times New Roman"/>
                  <w:color w:val="000000" w:themeColor="text1"/>
                  <w:sz w:val="24"/>
                  <w:szCs w:val="24"/>
                  <w:shd w:val="clear" w:color="auto" w:fill="FFFFFF"/>
                </w:rPr>
                <m:t>-</m:t>
              </m:r>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D</m:t>
                  </m:r>
                </m:e>
                <m:sub>
                  <m:r>
                    <m:rPr>
                      <m:sty m:val="bi"/>
                    </m:rPr>
                    <w:rPr>
                      <w:rFonts w:ascii="Cambria Math" w:hAnsi="Cambria Math" w:cs="Times New Roman"/>
                      <w:color w:val="000000" w:themeColor="text1"/>
                      <w:sz w:val="24"/>
                      <w:szCs w:val="24"/>
                      <w:shd w:val="clear" w:color="auto" w:fill="FFFFFF"/>
                    </w:rPr>
                    <m:t>2</m:t>
                  </m:r>
                </m:sub>
              </m:sSub>
            </m:e>
          </m:d>
          <m:r>
            <m:rPr>
              <m:sty m:val="bi"/>
            </m:rPr>
            <w:rPr>
              <w:rFonts w:ascii="Cambria Math" w:hAnsi="Cambria Math" w:cs="Times New Roman"/>
              <w:color w:val="000000" w:themeColor="text1"/>
              <w:sz w:val="24"/>
              <w:szCs w:val="24"/>
              <w:shd w:val="clear" w:color="auto" w:fill="FFFFFF"/>
            </w:rPr>
            <m:t>=</m:t>
          </m:r>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ρ</m:t>
              </m:r>
            </m:e>
            <m:sub>
              <m:r>
                <m:rPr>
                  <m:sty m:val="bi"/>
                </m:rPr>
                <w:rPr>
                  <w:rFonts w:ascii="Cambria Math" w:hAnsi="Cambria Math" w:cs="Times New Roman"/>
                  <w:color w:val="000000" w:themeColor="text1"/>
                  <w:sz w:val="24"/>
                  <w:szCs w:val="24"/>
                  <w:shd w:val="clear" w:color="auto" w:fill="FFFFFF"/>
                </w:rPr>
                <m:t>s</m:t>
              </m:r>
            </m:sub>
          </m:sSub>
          <m:r>
            <m:rPr>
              <m:sty m:val="bi"/>
            </m:rPr>
            <w:rPr>
              <w:rFonts w:ascii="Cambria Math" w:hAnsi="Cambria Math" w:cs="Times New Roman"/>
              <w:color w:val="000000" w:themeColor="text1"/>
              <w:sz w:val="24"/>
              <w:szCs w:val="24"/>
              <w:shd w:val="clear" w:color="auto" w:fill="FFFFFF"/>
            </w:rPr>
            <m:t>;</m:t>
          </m:r>
        </m:oMath>
      </m:oMathPara>
    </w:p>
    <w:p w14:paraId="41D8A240" w14:textId="40DD7DF1" w:rsidR="0083264A" w:rsidRPr="00FC7892" w:rsidRDefault="00EF34F7" w:rsidP="0083264A">
      <w:pPr>
        <w:rPr>
          <w:rFonts w:ascii="Times New Roman" w:hAnsi="Times New Roman" w:cs="Times New Roman"/>
          <w:b/>
          <w:bCs/>
          <w:color w:val="000000" w:themeColor="text1"/>
          <w:sz w:val="24"/>
          <w:szCs w:val="24"/>
          <w:shd w:val="clear" w:color="auto" w:fill="FFFFFF"/>
        </w:rPr>
      </w:pPr>
      <m:oMathPara>
        <m:oMath>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n</m:t>
              </m:r>
            </m:e>
            <m:sub>
              <m:r>
                <m:rPr>
                  <m:sty m:val="bi"/>
                </m:rPr>
                <w:rPr>
                  <w:rFonts w:ascii="Cambria Math" w:hAnsi="Cambria Math" w:cs="Times New Roman"/>
                  <w:color w:val="000000" w:themeColor="text1"/>
                  <w:sz w:val="24"/>
                  <w:szCs w:val="24"/>
                  <w:shd w:val="clear" w:color="auto" w:fill="FFFFFF"/>
                </w:rPr>
                <m:t>2</m:t>
              </m:r>
            </m:sub>
          </m:sSub>
          <m:r>
            <m:rPr>
              <m:sty m:val="bi"/>
            </m:rPr>
            <w:rPr>
              <w:rFonts w:ascii="Cambria Math" w:hAnsi="Cambria Math" w:cs="Times New Roman"/>
              <w:color w:val="000000" w:themeColor="text1"/>
              <w:sz w:val="24"/>
              <w:szCs w:val="24"/>
              <w:shd w:val="clear" w:color="auto" w:fill="FFFFFF"/>
            </w:rPr>
            <m:t>×</m:t>
          </m:r>
          <m:d>
            <m:dPr>
              <m:ctrlPr>
                <w:rPr>
                  <w:rFonts w:ascii="Cambria Math" w:hAnsi="Cambria Math" w:cs="Times New Roman"/>
                  <w:b/>
                  <w:bCs/>
                  <w:i/>
                  <w:color w:val="000000" w:themeColor="text1"/>
                  <w:sz w:val="24"/>
                  <w:szCs w:val="24"/>
                  <w:shd w:val="clear" w:color="auto" w:fill="FFFFFF"/>
                </w:rPr>
              </m:ctrlPr>
            </m:dPr>
            <m:e>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H</m:t>
                  </m:r>
                </m:e>
                <m:sub>
                  <m:r>
                    <m:rPr>
                      <m:sty m:val="bi"/>
                    </m:rPr>
                    <w:rPr>
                      <w:rFonts w:ascii="Cambria Math" w:hAnsi="Cambria Math" w:cs="Times New Roman"/>
                      <w:color w:val="000000" w:themeColor="text1"/>
                      <w:sz w:val="24"/>
                      <w:szCs w:val="24"/>
                      <w:shd w:val="clear" w:color="auto" w:fill="FFFFFF"/>
                    </w:rPr>
                    <m:t>1</m:t>
                  </m:r>
                </m:sub>
              </m:sSub>
              <m:r>
                <m:rPr>
                  <m:sty m:val="bi"/>
                </m:rPr>
                <w:rPr>
                  <w:rFonts w:ascii="Cambria Math" w:hAnsi="Cambria Math" w:cs="Times New Roman"/>
                  <w:color w:val="000000" w:themeColor="text1"/>
                  <w:sz w:val="24"/>
                  <w:szCs w:val="24"/>
                  <w:shd w:val="clear" w:color="auto" w:fill="FFFFFF"/>
                </w:rPr>
                <m:t>-</m:t>
              </m:r>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H</m:t>
                  </m:r>
                </m:e>
                <m:sub>
                  <m:r>
                    <m:rPr>
                      <m:sty m:val="bi"/>
                    </m:rPr>
                    <w:rPr>
                      <w:rFonts w:ascii="Cambria Math" w:hAnsi="Cambria Math" w:cs="Times New Roman"/>
                      <w:color w:val="000000" w:themeColor="text1"/>
                      <w:sz w:val="24"/>
                      <w:szCs w:val="24"/>
                      <w:shd w:val="clear" w:color="auto" w:fill="FFFFFF"/>
                    </w:rPr>
                    <m:t>2</m:t>
                  </m:r>
                </m:sub>
              </m:sSub>
            </m:e>
          </m:d>
          <m:r>
            <m:rPr>
              <m:sty m:val="bi"/>
            </m:rPr>
            <w:rPr>
              <w:rFonts w:ascii="Cambria Math" w:hAnsi="Cambria Math" w:cs="Times New Roman"/>
              <w:color w:val="000000" w:themeColor="text1"/>
              <w:sz w:val="24"/>
              <w:szCs w:val="24"/>
              <w:shd w:val="clear" w:color="auto" w:fill="FFFFFF"/>
            </w:rPr>
            <m:t>=</m:t>
          </m:r>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J</m:t>
              </m:r>
            </m:e>
            <m:sub>
              <m:r>
                <m:rPr>
                  <m:sty m:val="bi"/>
                </m:rPr>
                <w:rPr>
                  <w:rFonts w:ascii="Cambria Math" w:hAnsi="Cambria Math" w:cs="Times New Roman"/>
                  <w:color w:val="000000" w:themeColor="text1"/>
                  <w:sz w:val="24"/>
                  <w:szCs w:val="24"/>
                  <w:shd w:val="clear" w:color="auto" w:fill="FFFFFF"/>
                </w:rPr>
                <m:t>s</m:t>
              </m:r>
            </m:sub>
          </m:sSub>
          <m:r>
            <m:rPr>
              <m:sty m:val="bi"/>
            </m:rPr>
            <w:rPr>
              <w:rFonts w:ascii="Cambria Math" w:hAnsi="Cambria Math" w:cs="Times New Roman"/>
              <w:color w:val="000000" w:themeColor="text1"/>
              <w:sz w:val="24"/>
              <w:szCs w:val="24"/>
              <w:shd w:val="clear" w:color="auto" w:fill="FFFFFF"/>
            </w:rPr>
            <m:t>;</m:t>
          </m:r>
        </m:oMath>
      </m:oMathPara>
    </w:p>
    <w:p w14:paraId="2ED5507C" w14:textId="0C355A2D" w:rsidR="0083264A" w:rsidRPr="00FC7892" w:rsidRDefault="00EF34F7" w:rsidP="0083264A">
      <w:pPr>
        <w:rPr>
          <w:rFonts w:ascii="Times New Roman" w:hAnsi="Times New Roman" w:cs="Times New Roman"/>
          <w:b/>
          <w:bCs/>
          <w:color w:val="000000" w:themeColor="text1"/>
          <w:sz w:val="24"/>
          <w:szCs w:val="24"/>
          <w:shd w:val="clear" w:color="auto" w:fill="FFFFFF"/>
        </w:rPr>
      </w:pPr>
      <m:oMathPara>
        <m:oMath>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n</m:t>
              </m:r>
            </m:e>
            <m:sub>
              <m:r>
                <m:rPr>
                  <m:sty m:val="bi"/>
                </m:rPr>
                <w:rPr>
                  <w:rFonts w:ascii="Cambria Math" w:hAnsi="Cambria Math" w:cs="Times New Roman"/>
                  <w:color w:val="000000" w:themeColor="text1"/>
                  <w:sz w:val="24"/>
                  <w:szCs w:val="24"/>
                  <w:shd w:val="clear" w:color="auto" w:fill="FFFFFF"/>
                </w:rPr>
                <m:t>2</m:t>
              </m:r>
            </m:sub>
          </m:sSub>
          <m:r>
            <m:rPr>
              <m:sty m:val="bi"/>
            </m:rPr>
            <w:rPr>
              <w:rFonts w:ascii="Cambria Math" w:hAnsi="Cambria Math" w:cs="Times New Roman"/>
              <w:color w:val="000000" w:themeColor="text1"/>
              <w:sz w:val="24"/>
              <w:szCs w:val="24"/>
              <w:shd w:val="clear" w:color="auto" w:fill="FFFFFF"/>
            </w:rPr>
            <m:t>∙</m:t>
          </m:r>
          <m:d>
            <m:dPr>
              <m:ctrlPr>
                <w:rPr>
                  <w:rFonts w:ascii="Cambria Math" w:hAnsi="Cambria Math" w:cs="Times New Roman"/>
                  <w:b/>
                  <w:bCs/>
                  <w:i/>
                  <w:color w:val="000000" w:themeColor="text1"/>
                  <w:sz w:val="24"/>
                  <w:szCs w:val="24"/>
                  <w:shd w:val="clear" w:color="auto" w:fill="FFFFFF"/>
                </w:rPr>
              </m:ctrlPr>
            </m:dPr>
            <m:e>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B</m:t>
                  </m:r>
                </m:e>
                <m:sub>
                  <m:r>
                    <m:rPr>
                      <m:sty m:val="bi"/>
                    </m:rPr>
                    <w:rPr>
                      <w:rFonts w:ascii="Cambria Math" w:hAnsi="Cambria Math" w:cs="Times New Roman"/>
                      <w:color w:val="000000" w:themeColor="text1"/>
                      <w:sz w:val="24"/>
                      <w:szCs w:val="24"/>
                      <w:shd w:val="clear" w:color="auto" w:fill="FFFFFF"/>
                    </w:rPr>
                    <m:t>1</m:t>
                  </m:r>
                </m:sub>
              </m:sSub>
              <m:r>
                <m:rPr>
                  <m:sty m:val="bi"/>
                </m:rPr>
                <w:rPr>
                  <w:rFonts w:ascii="Cambria Math" w:hAnsi="Cambria Math" w:cs="Times New Roman"/>
                  <w:color w:val="000000" w:themeColor="text1"/>
                  <w:sz w:val="24"/>
                  <w:szCs w:val="24"/>
                  <w:shd w:val="clear" w:color="auto" w:fill="FFFFFF"/>
                </w:rPr>
                <m:t>-</m:t>
              </m:r>
              <m:sSub>
                <m:sSubPr>
                  <m:ctrlPr>
                    <w:rPr>
                      <w:rFonts w:ascii="Cambria Math" w:hAnsi="Cambria Math" w:cs="Times New Roman"/>
                      <w:b/>
                      <w:bCs/>
                      <w:i/>
                      <w:color w:val="000000" w:themeColor="text1"/>
                      <w:sz w:val="24"/>
                      <w:szCs w:val="24"/>
                      <w:shd w:val="clear" w:color="auto" w:fill="FFFFFF"/>
                    </w:rPr>
                  </m:ctrlPr>
                </m:sSubPr>
                <m:e>
                  <m:r>
                    <m:rPr>
                      <m:sty m:val="bi"/>
                    </m:rPr>
                    <w:rPr>
                      <w:rFonts w:ascii="Cambria Math" w:hAnsi="Cambria Math" w:cs="Times New Roman"/>
                      <w:color w:val="000000" w:themeColor="text1"/>
                      <w:sz w:val="24"/>
                      <w:szCs w:val="24"/>
                      <w:shd w:val="clear" w:color="auto" w:fill="FFFFFF"/>
                    </w:rPr>
                    <m:t>B</m:t>
                  </m:r>
                </m:e>
                <m:sub>
                  <m:r>
                    <m:rPr>
                      <m:sty m:val="bi"/>
                    </m:rPr>
                    <w:rPr>
                      <w:rFonts w:ascii="Cambria Math" w:hAnsi="Cambria Math" w:cs="Times New Roman"/>
                      <w:color w:val="000000" w:themeColor="text1"/>
                      <w:sz w:val="24"/>
                      <w:szCs w:val="24"/>
                      <w:shd w:val="clear" w:color="auto" w:fill="FFFFFF"/>
                    </w:rPr>
                    <m:t>2</m:t>
                  </m:r>
                </m:sub>
              </m:sSub>
            </m:e>
          </m:d>
          <m:r>
            <m:rPr>
              <m:sty m:val="bi"/>
            </m:rPr>
            <w:rPr>
              <w:rFonts w:ascii="Cambria Math" w:hAnsi="Cambria Math" w:cs="Times New Roman"/>
              <w:color w:val="000000" w:themeColor="text1"/>
              <w:sz w:val="24"/>
              <w:szCs w:val="24"/>
              <w:shd w:val="clear" w:color="auto" w:fill="FFFFFF"/>
            </w:rPr>
            <m:t>=0,</m:t>
          </m:r>
        </m:oMath>
      </m:oMathPara>
    </w:p>
    <w:p w14:paraId="1EE4B5EF" w14:textId="7C4B8C7A" w:rsidR="0083264A" w:rsidRPr="00FC7892" w:rsidRDefault="0083264A" w:rsidP="00944F5E">
      <w:pPr>
        <w:jc w:val="both"/>
        <w:rPr>
          <w:rFonts w:ascii="Times New Roman" w:hAnsi="Times New Roman" w:cs="Times New Roman"/>
          <w:color w:val="000000" w:themeColor="text1"/>
          <w:sz w:val="24"/>
          <w:szCs w:val="24"/>
          <w:shd w:val="clear" w:color="auto" w:fill="FFFFFF"/>
        </w:rPr>
      </w:pPr>
      <w:r w:rsidRPr="00FC7892">
        <w:rPr>
          <w:rFonts w:ascii="Times New Roman" w:hAnsi="Times New Roman" w:cs="Times New Roman"/>
          <w:color w:val="000000" w:themeColor="text1"/>
          <w:sz w:val="24"/>
          <w:szCs w:val="24"/>
          <w:shd w:val="clear" w:color="auto" w:fill="FFFFFF"/>
        </w:rPr>
        <w:t>where ρ</w:t>
      </w:r>
      <w:r w:rsidRPr="00FC7892">
        <w:rPr>
          <w:rFonts w:ascii="Times New Roman" w:hAnsi="Times New Roman" w:cs="Times New Roman"/>
          <w:color w:val="000000" w:themeColor="text1"/>
          <w:sz w:val="24"/>
          <w:szCs w:val="24"/>
          <w:shd w:val="clear" w:color="auto" w:fill="FFFFFF"/>
          <w:vertAlign w:val="subscript"/>
        </w:rPr>
        <w:t>s</w:t>
      </w:r>
      <w:r w:rsidRPr="00FC7892">
        <w:rPr>
          <w:rFonts w:ascii="Times New Roman" w:hAnsi="Times New Roman" w:cs="Times New Roman"/>
          <w:color w:val="000000" w:themeColor="text1"/>
          <w:sz w:val="24"/>
          <w:szCs w:val="24"/>
          <w:shd w:val="clear" w:color="auto" w:fill="FFFFFF"/>
        </w:rPr>
        <w:t xml:space="preserve"> and </w:t>
      </w:r>
      <w:r w:rsidRPr="00FC7892">
        <w:rPr>
          <w:rFonts w:ascii="Times New Roman" w:hAnsi="Times New Roman" w:cs="Times New Roman"/>
          <w:b/>
          <w:bCs/>
          <w:color w:val="000000" w:themeColor="text1"/>
          <w:sz w:val="24"/>
          <w:szCs w:val="24"/>
          <w:shd w:val="clear" w:color="auto" w:fill="FFFFFF"/>
        </w:rPr>
        <w:t>J</w:t>
      </w:r>
      <w:r w:rsidRPr="00FC7892">
        <w:rPr>
          <w:rFonts w:ascii="Times New Roman" w:hAnsi="Times New Roman" w:cs="Times New Roman"/>
          <w:b/>
          <w:bCs/>
          <w:color w:val="000000" w:themeColor="text1"/>
          <w:sz w:val="24"/>
          <w:szCs w:val="24"/>
          <w:shd w:val="clear" w:color="auto" w:fill="FFFFFF"/>
          <w:vertAlign w:val="subscript"/>
        </w:rPr>
        <w:t>s</w:t>
      </w:r>
      <w:r w:rsidRPr="00FC7892">
        <w:rPr>
          <w:rFonts w:ascii="Times New Roman" w:hAnsi="Times New Roman" w:cs="Times New Roman"/>
          <w:color w:val="000000" w:themeColor="text1"/>
          <w:sz w:val="24"/>
          <w:szCs w:val="24"/>
          <w:shd w:val="clear" w:color="auto" w:fill="FFFFFF"/>
        </w:rPr>
        <w:t xml:space="preserve"> denote surface charge density and surface current density, respectively, and </w:t>
      </w:r>
      <w:r w:rsidRPr="00FC7892">
        <w:rPr>
          <w:rFonts w:ascii="Times New Roman" w:hAnsi="Times New Roman" w:cs="Times New Roman"/>
          <w:b/>
          <w:bCs/>
          <w:color w:val="000000" w:themeColor="text1"/>
          <w:sz w:val="24"/>
          <w:szCs w:val="24"/>
          <w:shd w:val="clear" w:color="auto" w:fill="FFFFFF"/>
        </w:rPr>
        <w:t>n</w:t>
      </w:r>
      <w:r w:rsidRPr="00FC7892">
        <w:rPr>
          <w:rFonts w:ascii="Times New Roman" w:hAnsi="Times New Roman" w:cs="Times New Roman"/>
          <w:b/>
          <w:bCs/>
          <w:color w:val="000000" w:themeColor="text1"/>
          <w:sz w:val="24"/>
          <w:szCs w:val="24"/>
          <w:shd w:val="clear" w:color="auto" w:fill="FFFFFF"/>
          <w:vertAlign w:val="subscript"/>
        </w:rPr>
        <w:t>2</w:t>
      </w:r>
      <w:r w:rsidRPr="00FC7892">
        <w:rPr>
          <w:rFonts w:ascii="Times New Roman" w:hAnsi="Times New Roman" w:cs="Times New Roman"/>
          <w:b/>
          <w:bCs/>
          <w:color w:val="000000" w:themeColor="text1"/>
          <w:sz w:val="24"/>
          <w:szCs w:val="24"/>
          <w:shd w:val="clear" w:color="auto" w:fill="FFFFFF"/>
        </w:rPr>
        <w:t xml:space="preserve"> </w:t>
      </w:r>
      <w:r w:rsidRPr="00FC7892">
        <w:rPr>
          <w:rFonts w:ascii="Times New Roman" w:hAnsi="Times New Roman" w:cs="Times New Roman"/>
          <w:color w:val="000000" w:themeColor="text1"/>
          <w:sz w:val="24"/>
          <w:szCs w:val="24"/>
          <w:shd w:val="clear" w:color="auto" w:fill="FFFFFF"/>
        </w:rPr>
        <w:t>is the outward normal from medium two.</w:t>
      </w:r>
    </w:p>
    <w:p w14:paraId="77A76AA2" w14:textId="17BAD7E6" w:rsidR="00E77378" w:rsidRDefault="00934946" w:rsidP="00201486">
      <w:pPr>
        <w:jc w:val="both"/>
        <w:rPr>
          <w:rFonts w:ascii="Times New Roman" w:hAnsi="Times New Roman" w:cs="Times New Roman"/>
          <w:color w:val="000000" w:themeColor="text1"/>
          <w:sz w:val="24"/>
          <w:szCs w:val="24"/>
          <w:shd w:val="clear" w:color="auto" w:fill="FFFFFF"/>
        </w:rPr>
      </w:pPr>
      <w:r w:rsidRPr="00FC7892">
        <w:rPr>
          <w:rFonts w:ascii="Times New Roman" w:hAnsi="Times New Roman" w:cs="Times New Roman"/>
          <w:color w:val="000000" w:themeColor="text1"/>
          <w:sz w:val="24"/>
          <w:szCs w:val="24"/>
          <w:shd w:val="clear" w:color="auto" w:fill="FFFFFF"/>
        </w:rPr>
        <w:t>All the COMSOL models' excitation</w:t>
      </w:r>
      <w:r w:rsidR="00E77378" w:rsidRPr="00FC7892">
        <w:rPr>
          <w:rFonts w:ascii="Times New Roman" w:hAnsi="Times New Roman" w:cs="Times New Roman"/>
          <w:color w:val="000000" w:themeColor="text1"/>
          <w:sz w:val="24"/>
          <w:szCs w:val="24"/>
          <w:shd w:val="clear" w:color="auto" w:fill="FFFFFF"/>
        </w:rPr>
        <w:t>s were circular current excitations in sine waves with the same frequency of 5 kHz</w:t>
      </w:r>
      <w:r w:rsidR="00213FAE">
        <w:rPr>
          <w:rFonts w:ascii="Times New Roman" w:hAnsi="Times New Roman" w:cs="Times New Roman"/>
          <w:color w:val="000000" w:themeColor="text1"/>
          <w:sz w:val="24"/>
          <w:szCs w:val="24"/>
          <w:shd w:val="clear" w:color="auto" w:fill="FFFFFF"/>
        </w:rPr>
        <w:t>, corresponding</w:t>
      </w:r>
      <w:r w:rsidR="00C20986">
        <w:rPr>
          <w:rFonts w:ascii="Times New Roman" w:hAnsi="Times New Roman" w:cs="Times New Roman"/>
          <w:color w:val="000000" w:themeColor="text1"/>
          <w:sz w:val="24"/>
          <w:szCs w:val="24"/>
          <w:shd w:val="clear" w:color="auto" w:fill="FFFFFF"/>
        </w:rPr>
        <w:t xml:space="preserve"> to a pulse period of 200 μs. The consideration to use this frequency was based on the </w:t>
      </w:r>
      <w:r w:rsidR="004C0134">
        <w:rPr>
          <w:rFonts w:ascii="Times New Roman" w:hAnsi="Times New Roman" w:cs="Times New Roman"/>
          <w:color w:val="000000" w:themeColor="text1"/>
          <w:sz w:val="24"/>
          <w:szCs w:val="24"/>
          <w:shd w:val="clear" w:color="auto" w:fill="FFFFFF"/>
        </w:rPr>
        <w:t xml:space="preserve">power spectrum </w:t>
      </w:r>
      <w:r w:rsidR="00201486">
        <w:rPr>
          <w:rFonts w:ascii="Times New Roman" w:hAnsi="Times New Roman" w:cs="Times New Roman"/>
          <w:color w:val="000000" w:themeColor="text1"/>
          <w:sz w:val="24"/>
          <w:szCs w:val="24"/>
          <w:shd w:val="clear" w:color="auto" w:fill="FFFFFF"/>
        </w:rPr>
        <w:t>analysis performed on the experimental stimulator (Magstim 200)</w:t>
      </w:r>
      <w:r w:rsidR="00213FAE">
        <w:rPr>
          <w:rFonts w:ascii="Times New Roman" w:hAnsi="Times New Roman" w:cs="Times New Roman"/>
          <w:color w:val="000000" w:themeColor="text1"/>
          <w:sz w:val="24"/>
          <w:szCs w:val="24"/>
          <w:shd w:val="clear" w:color="auto" w:fill="FFFFFF"/>
        </w:rPr>
        <w:t>,</w:t>
      </w:r>
      <w:r w:rsidR="00201486">
        <w:rPr>
          <w:rFonts w:ascii="Times New Roman" w:hAnsi="Times New Roman" w:cs="Times New Roman"/>
          <w:color w:val="000000" w:themeColor="text1"/>
          <w:sz w:val="24"/>
          <w:szCs w:val="24"/>
          <w:shd w:val="clear" w:color="auto" w:fill="FFFFFF"/>
        </w:rPr>
        <w:t xml:space="preserve"> which yielded a frequency of 5 kHz</w:t>
      </w:r>
      <w:r w:rsidR="00AA73CD">
        <w:rPr>
          <w:rFonts w:ascii="Times New Roman" w:hAnsi="Times New Roman" w:cs="Times New Roman"/>
          <w:color w:val="000000" w:themeColor="text1"/>
          <w:sz w:val="24"/>
          <w:szCs w:val="24"/>
          <w:shd w:val="clear" w:color="auto" w:fill="FFFFFF"/>
        </w:rPr>
        <w:t xml:space="preserve"> as shown in Figure 1 below</w:t>
      </w:r>
      <w:r w:rsidR="00201486">
        <w:rPr>
          <w:rFonts w:ascii="Times New Roman" w:hAnsi="Times New Roman" w:cs="Times New Roman"/>
          <w:color w:val="000000" w:themeColor="text1"/>
          <w:sz w:val="24"/>
          <w:szCs w:val="24"/>
          <w:shd w:val="clear" w:color="auto" w:fill="FFFFFF"/>
        </w:rPr>
        <w:t xml:space="preserve">. In addition, it has been previously shown that the </w:t>
      </w:r>
      <w:r w:rsidR="00201486" w:rsidRPr="00201486">
        <w:rPr>
          <w:rFonts w:ascii="Times New Roman" w:hAnsi="Times New Roman" w:cs="Times New Roman"/>
          <w:color w:val="000000" w:themeColor="text1"/>
          <w:sz w:val="24"/>
          <w:szCs w:val="24"/>
          <w:shd w:val="clear" w:color="auto" w:fill="FFFFFF"/>
        </w:rPr>
        <w:t xml:space="preserve">monophasic pulse </w:t>
      </w:r>
      <w:r w:rsidR="00201486">
        <w:rPr>
          <w:rFonts w:ascii="Times New Roman" w:hAnsi="Times New Roman" w:cs="Times New Roman"/>
          <w:color w:val="000000" w:themeColor="text1"/>
          <w:sz w:val="24"/>
          <w:szCs w:val="24"/>
          <w:shd w:val="clear" w:color="auto" w:fill="FFFFFF"/>
        </w:rPr>
        <w:t>generated by Magstim 200 has</w:t>
      </w:r>
      <w:r w:rsidR="00201486" w:rsidRPr="00201486">
        <w:rPr>
          <w:rFonts w:ascii="Times New Roman" w:hAnsi="Times New Roman" w:cs="Times New Roman"/>
          <w:color w:val="000000" w:themeColor="text1"/>
          <w:sz w:val="24"/>
          <w:szCs w:val="24"/>
          <w:shd w:val="clear" w:color="auto" w:fill="FFFFFF"/>
        </w:rPr>
        <w:t xml:space="preserve"> a peak frequency component at nearly 5 kHz</w:t>
      </w:r>
      <w:r w:rsidR="00201486">
        <w:rPr>
          <w:rFonts w:ascii="Times New Roman" w:hAnsi="Times New Roman" w:cs="Times New Roman"/>
          <w:color w:val="000000" w:themeColor="text1"/>
          <w:sz w:val="24"/>
          <w:szCs w:val="24"/>
          <w:shd w:val="clear" w:color="auto" w:fill="FFFFFF"/>
        </w:rPr>
        <w:t xml:space="preserve"> </w:t>
      </w:r>
      <w:r w:rsidR="00201486">
        <w:rPr>
          <w:rFonts w:ascii="Times New Roman" w:hAnsi="Times New Roman" w:cs="Times New Roman"/>
          <w:color w:val="000000" w:themeColor="text1"/>
          <w:sz w:val="24"/>
          <w:szCs w:val="24"/>
          <w:shd w:val="clear" w:color="auto" w:fill="FFFFFF"/>
        </w:rPr>
        <w:fldChar w:fldCharType="begin"/>
      </w:r>
      <w:r w:rsidR="00201486">
        <w:rPr>
          <w:rFonts w:ascii="Times New Roman" w:hAnsi="Times New Roman" w:cs="Times New Roman"/>
          <w:color w:val="000000" w:themeColor="text1"/>
          <w:sz w:val="24"/>
          <w:szCs w:val="24"/>
          <w:shd w:val="clear" w:color="auto" w:fill="FFFFFF"/>
        </w:rPr>
        <w:instrText xml:space="preserve"> ADDIN ZOTERO_ITEM CSL_CITATION {"citationID":"WAivsInl","properties":{"formattedCitation":"[2]","plainCitation":"[2]","noteIndex":0},"citationItems":[{"id":424,"uris":["http://zotero.org/users/local/tokR2y0q/items/P9DYQFIQ"],"uri":["http://zotero.org/users/local/tokR2y0q/items/P9DYQFIQ"],"itemData":{"id":424,"type":"article-journal","container-title":"Physics in Medicine and Biology","DOI":"10.1088/0031-9155/57/23/7813","ISSN":"0031-9155, 1361-6560","issue":"23","journalAbbreviation":"Phys. Med. Biol.","page":"7813-7827","source":"DOI.org (Crossref)","title":"Combined use of transcranial magnetic stimulation and metal electrode implants: a theoretical assessment of safety considerations","title-short":"Combined use of transcranial magnetic stimulation and metal electrode implants","volume":"57","author":[{"family":"Golestanirad","given":"Laleh"},{"family":"Rouhani","given":"Hossein"},{"family":"Elahi","given":"Behzad"},{"family":"Shahim","given":"Kamal"},{"family":"Chen","given":"Robert"},{"family":"Mosig","given":"Juan R"},{"family":"Pollo","given":"Claudio"},{"family":"Graham","given":"Simon J"}],"issued":{"date-parts":[["2012",12,7]]}}}],"schema":"https://github.com/citation-style-language/schema/raw/master/csl-citation.json"} </w:instrText>
      </w:r>
      <w:r w:rsidR="00201486">
        <w:rPr>
          <w:rFonts w:ascii="Times New Roman" w:hAnsi="Times New Roman" w:cs="Times New Roman"/>
          <w:color w:val="000000" w:themeColor="text1"/>
          <w:sz w:val="24"/>
          <w:szCs w:val="24"/>
          <w:shd w:val="clear" w:color="auto" w:fill="FFFFFF"/>
        </w:rPr>
        <w:fldChar w:fldCharType="separate"/>
      </w:r>
      <w:r w:rsidR="00201486" w:rsidRPr="00201486">
        <w:rPr>
          <w:rFonts w:ascii="Times New Roman" w:hAnsi="Times New Roman" w:cs="Times New Roman"/>
          <w:sz w:val="24"/>
        </w:rPr>
        <w:t>[2]</w:t>
      </w:r>
      <w:r w:rsidR="00201486">
        <w:rPr>
          <w:rFonts w:ascii="Times New Roman" w:hAnsi="Times New Roman" w:cs="Times New Roman"/>
          <w:color w:val="000000" w:themeColor="text1"/>
          <w:sz w:val="24"/>
          <w:szCs w:val="24"/>
          <w:shd w:val="clear" w:color="auto" w:fill="FFFFFF"/>
        </w:rPr>
        <w:fldChar w:fldCharType="end"/>
      </w:r>
      <w:r w:rsidR="00213FAE">
        <w:rPr>
          <w:rFonts w:ascii="Times New Roman" w:hAnsi="Times New Roman" w:cs="Times New Roman"/>
          <w:color w:val="000000" w:themeColor="text1"/>
          <w:sz w:val="24"/>
          <w:szCs w:val="24"/>
          <w:shd w:val="clear" w:color="auto" w:fill="FFFFFF"/>
        </w:rPr>
        <w:t>,</w:t>
      </w:r>
      <w:r w:rsidR="00201486">
        <w:rPr>
          <w:rFonts w:ascii="Times New Roman" w:hAnsi="Times New Roman" w:cs="Times New Roman"/>
          <w:color w:val="000000" w:themeColor="text1"/>
          <w:sz w:val="24"/>
          <w:szCs w:val="24"/>
          <w:shd w:val="clear" w:color="auto" w:fill="FFFFFF"/>
        </w:rPr>
        <w:t xml:space="preserve"> with other works using a frequency of 5 kHz for their </w:t>
      </w:r>
      <w:r w:rsidR="004E7009">
        <w:rPr>
          <w:rFonts w:ascii="Times New Roman" w:hAnsi="Times New Roman" w:cs="Times New Roman"/>
          <w:color w:val="000000" w:themeColor="text1"/>
          <w:sz w:val="24"/>
          <w:szCs w:val="24"/>
          <w:shd w:val="clear" w:color="auto" w:fill="FFFFFF"/>
        </w:rPr>
        <w:t xml:space="preserve">ferromagnetic core </w:t>
      </w:r>
      <w:r w:rsidR="00201486">
        <w:rPr>
          <w:rFonts w:ascii="Times New Roman" w:hAnsi="Times New Roman" w:cs="Times New Roman"/>
          <w:color w:val="000000" w:themeColor="text1"/>
          <w:sz w:val="24"/>
          <w:szCs w:val="24"/>
          <w:shd w:val="clear" w:color="auto" w:fill="FFFFFF"/>
        </w:rPr>
        <w:t xml:space="preserve">simulations </w:t>
      </w:r>
      <w:r w:rsidR="00201486">
        <w:rPr>
          <w:rFonts w:ascii="Times New Roman" w:hAnsi="Times New Roman" w:cs="Times New Roman"/>
          <w:color w:val="000000" w:themeColor="text1"/>
          <w:sz w:val="24"/>
          <w:szCs w:val="24"/>
          <w:shd w:val="clear" w:color="auto" w:fill="FFFFFF"/>
        </w:rPr>
        <w:fldChar w:fldCharType="begin"/>
      </w:r>
      <w:r w:rsidR="00201486">
        <w:rPr>
          <w:rFonts w:ascii="Times New Roman" w:hAnsi="Times New Roman" w:cs="Times New Roman"/>
          <w:color w:val="000000" w:themeColor="text1"/>
          <w:sz w:val="24"/>
          <w:szCs w:val="24"/>
          <w:shd w:val="clear" w:color="auto" w:fill="FFFFFF"/>
        </w:rPr>
        <w:instrText xml:space="preserve"> ADDIN ZOTERO_ITEM CSL_CITATION {"citationID":"ptTC9YsD","properties":{"formattedCitation":"[3\\uc0\\u8211{}5]","plainCitation":"[3–5]","noteIndex":0},"citationItems":[{"id":46,"uris":["http://zotero.org/users/local/tokR2y0q/items/W66L36YG"],"uri":["http://zotero.org/users/local/tokR2y0q/items/W66L36YG"],"itemData":{"id":46,"type":"article-journal","container-title":"Brain stimulation","issue":"1","note":"number: 1\nISBN: 1935-861X\npublisher: Elsevier","page":"1-13","title":"Electric field depth–focality tradeoff in transcranial magnetic stimulation: simulation comparison of 50 coil designs","volume":"6","author":[{"family":"Deng","given":"Zhi-De"},{"family":"Lisanby","given":"Sarah H."},{"family":"Peterchev","given":"Angel V."}],"issued":{"date-parts":[["2013"]]}}},{"id":26,"uris":["http://zotero.org/users/local/tokR2y0q/items/FVR2AMA4"],"uri":["http://zotero.org/users/local/tokR2y0q/items/FVR2AMA4"],"itemData":{"id":26,"type":"article-journal","container-title":"Clinical Neurophysiology","issue":"6","note":"number: 6\nISBN: 1388-2457\npublisher: Elsevier","page":"1202-1212","title":"Coil design considerations for deep transcranial magnetic stimulation","volume":"125","author":[{"family":"Deng","given":"Zhi-De"},{"family":"Lisanby","given":"Sarah H."},{"family":"Peterchev","given":"Angel V."}],"issued":{"date-parts":[["2014"]]}}},{"id":233,"uris":["http://zotero.org/users/local/tokR2y0q/items/CP7N4AN9"],"uri":["http://zotero.org/users/local/tokR2y0q/items/CP7N4AN9"],"itemData":{"id":233,"type":"article-journal","container-title":"Journal of neural engineering","issue":"4","note":"number: 4\nISBN: 1741-2552\npublisher: IOP Publishing","page":"046033","title":"Design of transcranial magnetic stimulation coils with optimal trade-off between depth, focality, and energy","volume":"15","author":[{"family":"Gomez","given":"Luis J."},{"family":"Goetz","given":"Stefan M."},{"family":"Peterchev","given":"Angel V."}],"issued":{"date-parts":[["2018"]]}}}],"schema":"https://github.com/citation-style-language/schema/raw/master/csl-citation.json"} </w:instrText>
      </w:r>
      <w:r w:rsidR="00201486">
        <w:rPr>
          <w:rFonts w:ascii="Times New Roman" w:hAnsi="Times New Roman" w:cs="Times New Roman"/>
          <w:color w:val="000000" w:themeColor="text1"/>
          <w:sz w:val="24"/>
          <w:szCs w:val="24"/>
          <w:shd w:val="clear" w:color="auto" w:fill="FFFFFF"/>
        </w:rPr>
        <w:fldChar w:fldCharType="separate"/>
      </w:r>
      <w:r w:rsidR="00201486" w:rsidRPr="00201486">
        <w:rPr>
          <w:rFonts w:ascii="Times New Roman" w:hAnsi="Times New Roman" w:cs="Times New Roman"/>
          <w:sz w:val="24"/>
          <w:szCs w:val="24"/>
        </w:rPr>
        <w:t>[3–5]</w:t>
      </w:r>
      <w:r w:rsidR="00201486">
        <w:rPr>
          <w:rFonts w:ascii="Times New Roman" w:hAnsi="Times New Roman" w:cs="Times New Roman"/>
          <w:color w:val="000000" w:themeColor="text1"/>
          <w:sz w:val="24"/>
          <w:szCs w:val="24"/>
          <w:shd w:val="clear" w:color="auto" w:fill="FFFFFF"/>
        </w:rPr>
        <w:fldChar w:fldCharType="end"/>
      </w:r>
      <w:r w:rsidR="00201486">
        <w:rPr>
          <w:rFonts w:ascii="Times New Roman" w:hAnsi="Times New Roman" w:cs="Times New Roman"/>
          <w:color w:val="000000" w:themeColor="text1"/>
          <w:sz w:val="24"/>
          <w:szCs w:val="24"/>
          <w:shd w:val="clear" w:color="auto" w:fill="FFFFFF"/>
        </w:rPr>
        <w:t>.</w:t>
      </w:r>
    </w:p>
    <w:p w14:paraId="1B810C3A" w14:textId="021B454D" w:rsidR="00201486" w:rsidRDefault="00201486" w:rsidP="00201486">
      <w:pPr>
        <w:jc w:val="both"/>
        <w:rPr>
          <w:rFonts w:ascii="Times New Roman" w:hAnsi="Times New Roman" w:cs="Times New Roman"/>
          <w:color w:val="000000" w:themeColor="text1"/>
          <w:sz w:val="24"/>
          <w:szCs w:val="24"/>
          <w:shd w:val="clear" w:color="auto" w:fill="FFFFFF"/>
        </w:rPr>
      </w:pPr>
      <w:r w:rsidRPr="00201486">
        <w:rPr>
          <w:rFonts w:ascii="Times New Roman" w:hAnsi="Times New Roman" w:cs="Times New Roman"/>
          <w:color w:val="000000" w:themeColor="text1"/>
          <w:sz w:val="24"/>
          <w:szCs w:val="24"/>
          <w:shd w:val="clear" w:color="auto" w:fill="FFFFFF"/>
        </w:rPr>
        <w:t xml:space="preserve">To study the efficacy of the ferromagnetic core, an iron material with a relative permeability value of 1000 was used </w:t>
      </w:r>
      <w:r w:rsidRPr="00201486">
        <w:rPr>
          <w:rFonts w:ascii="Times New Roman" w:hAnsi="Times New Roman" w:cs="Times New Roman"/>
          <w:color w:val="000000" w:themeColor="text1"/>
          <w:sz w:val="24"/>
          <w:szCs w:val="24"/>
          <w:shd w:val="clear" w:color="auto" w:fill="FFFFFF"/>
        </w:rPr>
        <w:fldChar w:fldCharType="begin"/>
      </w:r>
      <w:r>
        <w:rPr>
          <w:rFonts w:ascii="Times New Roman" w:hAnsi="Times New Roman" w:cs="Times New Roman"/>
          <w:color w:val="000000" w:themeColor="text1"/>
          <w:sz w:val="24"/>
          <w:szCs w:val="24"/>
          <w:shd w:val="clear" w:color="auto" w:fill="FFFFFF"/>
        </w:rPr>
        <w:instrText xml:space="preserve"> ADDIN ZOTERO_ITEM CSL_CITATION {"citationID":"GoLccT26","properties":{"formattedCitation":"[3,6]","plainCitation":"[3,6]","noteIndex":0},"citationItems":[{"id":46,"uris":["http://zotero.org/users/local/tokR2y0q/items/W66L36YG"],"uri":["http://zotero.org/users/local/tokR2y0q/items/W66L36YG"],"itemData":{"id":46,"type":"article-journal","container-title":"Brain stimulation","issue":"1","note":"number: 1\nISBN: 1935-861X\npublisher: Elsevier","page":"1-13","title":"Electric field depth–focality tradeoff in transcranial magnetic stimulation: simulation comparison of 50 coil designs","volume":"6","author":[{"family":"Deng","given":"Zhi-De"},{"family":"Lisanby","given":"Sarah H."},{"family":"Peterchev","given":"Angel V."}],"issued":{"date-parts":[["2013"]]}}},{"id":21,"uris":["http://zotero.org/users/local/tokR2y0q/items/K36GQRGV"],"uri":["http://zotero.org/users/local/tokR2y0q/items/K36GQRGV"],"itemData":{"id":21,"type":"paper-conference","container-title":"2007 29th Annual International Conference of the IEEE Engineering in Medicine and Biology Society","ISBN":"1-4244-0787-7","page":"6652-6655","publisher":"IEEE","title":"High-permeability core coils for transcranial magnetic stimulation of deep brain regions","author":[{"family":"Salvador","given":"Ricardo"},{"family":"Miranda","given":"P. C."},{"family":"Roth","given":"Yiftach"},{"family":"Zangen","given":"Abraham"}],"issued":{"date-parts":[["2007"]]}}}],"schema":"https://github.com/citation-style-language/schema/raw/master/csl-citation.json"} </w:instrText>
      </w:r>
      <w:r w:rsidRPr="00201486">
        <w:rPr>
          <w:rFonts w:ascii="Times New Roman" w:hAnsi="Times New Roman" w:cs="Times New Roman"/>
          <w:color w:val="000000" w:themeColor="text1"/>
          <w:sz w:val="24"/>
          <w:szCs w:val="24"/>
          <w:shd w:val="clear" w:color="auto" w:fill="FFFFFF"/>
        </w:rPr>
        <w:fldChar w:fldCharType="separate"/>
      </w:r>
      <w:r w:rsidRPr="00201486">
        <w:rPr>
          <w:rFonts w:ascii="Times New Roman" w:hAnsi="Times New Roman" w:cs="Times New Roman"/>
          <w:sz w:val="24"/>
        </w:rPr>
        <w:t>[3,6]</w:t>
      </w:r>
      <w:r w:rsidRPr="00201486">
        <w:rPr>
          <w:rFonts w:ascii="Times New Roman" w:hAnsi="Times New Roman" w:cs="Times New Roman"/>
          <w:color w:val="000000" w:themeColor="text1"/>
          <w:sz w:val="24"/>
          <w:szCs w:val="24"/>
          <w:shd w:val="clear" w:color="auto" w:fill="FFFFFF"/>
        </w:rPr>
        <w:fldChar w:fldCharType="end"/>
      </w:r>
      <w:r w:rsidRPr="00201486">
        <w:rPr>
          <w:rFonts w:ascii="Times New Roman" w:hAnsi="Times New Roman" w:cs="Times New Roman"/>
          <w:color w:val="000000" w:themeColor="text1"/>
          <w:sz w:val="24"/>
          <w:szCs w:val="24"/>
          <w:shd w:val="clear" w:color="auto" w:fill="FFFFFF"/>
        </w:rPr>
        <w:t>, and its electrical conductivity was set to 0 to prevent the eddy current in the core.</w:t>
      </w:r>
      <w:r w:rsidR="00F31E0C">
        <w:rPr>
          <w:rFonts w:ascii="Times New Roman" w:hAnsi="Times New Roman" w:cs="Times New Roman"/>
          <w:color w:val="000000" w:themeColor="text1"/>
          <w:sz w:val="24"/>
          <w:szCs w:val="24"/>
          <w:shd w:val="clear" w:color="auto" w:fill="FFFFFF"/>
        </w:rPr>
        <w:t xml:space="preserve"> Since </w:t>
      </w:r>
      <w:r w:rsidR="00213FAE">
        <w:rPr>
          <w:rFonts w:ascii="Times New Roman" w:hAnsi="Times New Roman" w:cs="Times New Roman"/>
          <w:color w:val="000000" w:themeColor="text1"/>
          <w:sz w:val="24"/>
          <w:szCs w:val="24"/>
          <w:shd w:val="clear" w:color="auto" w:fill="FFFFFF"/>
        </w:rPr>
        <w:t>we used a silicone steel core with a higher permeability in our experiments</w:t>
      </w:r>
      <w:r w:rsidR="008335E3">
        <w:rPr>
          <w:rFonts w:ascii="Times New Roman" w:hAnsi="Times New Roman" w:cs="Times New Roman"/>
          <w:color w:val="000000" w:themeColor="text1"/>
          <w:sz w:val="24"/>
          <w:szCs w:val="24"/>
          <w:shd w:val="clear" w:color="auto" w:fill="FFFFFF"/>
        </w:rPr>
        <w:t xml:space="preserve"> and</w:t>
      </w:r>
      <w:r w:rsidR="00F31E0C">
        <w:rPr>
          <w:rFonts w:ascii="Times New Roman" w:hAnsi="Times New Roman" w:cs="Times New Roman"/>
          <w:color w:val="000000" w:themeColor="text1"/>
          <w:sz w:val="24"/>
          <w:szCs w:val="24"/>
          <w:shd w:val="clear" w:color="auto" w:fill="FFFFFF"/>
        </w:rPr>
        <w:t xml:space="preserve"> we </w:t>
      </w:r>
      <w:r w:rsidR="008335E3">
        <w:rPr>
          <w:rFonts w:ascii="Times New Roman" w:hAnsi="Times New Roman" w:cs="Times New Roman"/>
          <w:color w:val="000000" w:themeColor="text1"/>
          <w:sz w:val="24"/>
          <w:szCs w:val="24"/>
          <w:shd w:val="clear" w:color="auto" w:fill="FFFFFF"/>
        </w:rPr>
        <w:t xml:space="preserve">encountered linear coil performance with applied voltage with no saturation, we did not consider the possibility of saturation in our simulations. In addition, we used a lower permeability value in our simulations to demonstrate the performance of our coil in comparison to existing studies and </w:t>
      </w:r>
      <w:r w:rsidR="00BF6AB9">
        <w:rPr>
          <w:rFonts w:ascii="Times New Roman" w:hAnsi="Times New Roman" w:cs="Times New Roman"/>
          <w:color w:val="000000" w:themeColor="text1"/>
          <w:sz w:val="24"/>
          <w:szCs w:val="24"/>
          <w:shd w:val="clear" w:color="auto" w:fill="FFFFFF"/>
        </w:rPr>
        <w:t>to consider a worst-case scenario performance for our simulations.</w:t>
      </w:r>
    </w:p>
    <w:p w14:paraId="52C70742" w14:textId="77777777" w:rsidR="00AA73CD" w:rsidRDefault="00AA73CD" w:rsidP="00AA73CD">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noProof/>
          <w:color w:val="000000" w:themeColor="text1"/>
          <w:sz w:val="24"/>
          <w:szCs w:val="24"/>
          <w:shd w:val="clear" w:color="auto" w:fill="FFFFFF"/>
        </w:rPr>
        <w:lastRenderedPageBreak/>
        <w:drawing>
          <wp:inline distT="0" distB="0" distL="0" distR="0" wp14:anchorId="7AE94037" wp14:editId="61516C59">
            <wp:extent cx="5801534" cy="4206240"/>
            <wp:effectExtent l="0" t="0" r="8890" b="3810"/>
            <wp:docPr id="3" name="Picture 3"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line chart, histogram&#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01534" cy="4206240"/>
                    </a:xfrm>
                    <a:prstGeom prst="rect">
                      <a:avLst/>
                    </a:prstGeom>
                    <a:noFill/>
                  </pic:spPr>
                </pic:pic>
              </a:graphicData>
            </a:graphic>
          </wp:inline>
        </w:drawing>
      </w:r>
    </w:p>
    <w:p w14:paraId="6B3E5EC8" w14:textId="375F02DE" w:rsidR="00AA73CD" w:rsidRDefault="00AA73CD" w:rsidP="00AA73CD">
      <w:pPr>
        <w:jc w:val="both"/>
        <w:rPr>
          <w:rFonts w:ascii="Times New Roman" w:hAnsi="Times New Roman" w:cs="Times New Roman"/>
          <w:color w:val="000000" w:themeColor="text1"/>
          <w:sz w:val="20"/>
          <w:szCs w:val="20"/>
          <w:shd w:val="clear" w:color="auto" w:fill="FFFFFF"/>
        </w:rPr>
      </w:pPr>
      <w:r w:rsidRPr="004C0134">
        <w:rPr>
          <w:rFonts w:ascii="Times New Roman" w:hAnsi="Times New Roman" w:cs="Times New Roman"/>
          <w:b/>
          <w:bCs/>
          <w:color w:val="000000" w:themeColor="text1"/>
          <w:sz w:val="20"/>
          <w:szCs w:val="20"/>
          <w:shd w:val="clear" w:color="auto" w:fill="FFFFFF"/>
        </w:rPr>
        <w:t xml:space="preserve">Figure 1: The power spectrum for a </w:t>
      </w:r>
      <w:r w:rsidR="00B2134C" w:rsidRPr="00B2134C">
        <w:rPr>
          <w:rFonts w:ascii="Times New Roman" w:hAnsi="Times New Roman" w:cs="Times New Roman"/>
          <w:b/>
          <w:bCs/>
          <w:color w:val="000000" w:themeColor="text1"/>
          <w:sz w:val="20"/>
          <w:szCs w:val="20"/>
          <w:shd w:val="clear" w:color="auto" w:fill="FFFFFF"/>
        </w:rPr>
        <w:t>0.2</w:t>
      </w:r>
      <w:r w:rsidR="00B2134C">
        <w:rPr>
          <w:rFonts w:ascii="Times New Roman" w:hAnsi="Times New Roman" w:cs="Times New Roman"/>
          <w:b/>
          <w:bCs/>
          <w:color w:val="000000" w:themeColor="text1"/>
          <w:sz w:val="20"/>
          <w:szCs w:val="20"/>
          <w:shd w:val="clear" w:color="auto" w:fill="FFFFFF"/>
        </w:rPr>
        <w:t xml:space="preserve"> </w:t>
      </w:r>
      <w:r w:rsidR="00B2134C" w:rsidRPr="00B2134C">
        <w:rPr>
          <w:rFonts w:ascii="Times New Roman" w:hAnsi="Times New Roman" w:cs="Times New Roman"/>
          <w:b/>
          <w:bCs/>
          <w:color w:val="000000" w:themeColor="text1"/>
          <w:sz w:val="20"/>
          <w:szCs w:val="20"/>
          <w:shd w:val="clear" w:color="auto" w:fill="FFFFFF"/>
        </w:rPr>
        <w:t xml:space="preserve">ms duration </w:t>
      </w:r>
      <w:r w:rsidRPr="004C0134">
        <w:rPr>
          <w:rFonts w:ascii="Times New Roman" w:hAnsi="Times New Roman" w:cs="Times New Roman"/>
          <w:b/>
          <w:bCs/>
          <w:color w:val="000000" w:themeColor="text1"/>
          <w:sz w:val="20"/>
          <w:szCs w:val="20"/>
          <w:shd w:val="clear" w:color="auto" w:fill="FFFFFF"/>
        </w:rPr>
        <w:t>monophasic pulse of Magstim 200 obtained through Fast Fourier Transform (FFT).</w:t>
      </w:r>
      <w:r>
        <w:rPr>
          <w:rFonts w:ascii="Times New Roman" w:hAnsi="Times New Roman" w:cs="Times New Roman"/>
          <w:color w:val="000000" w:themeColor="text1"/>
          <w:sz w:val="20"/>
          <w:szCs w:val="20"/>
          <w:shd w:val="clear" w:color="auto" w:fill="FFFFFF"/>
        </w:rPr>
        <w:t xml:space="preserve"> The peak operation frequency of the Magstim 200 is shown to be </w:t>
      </w:r>
      <w:r w:rsidR="004C0134">
        <w:rPr>
          <w:rFonts w:ascii="Times New Roman" w:hAnsi="Times New Roman" w:cs="Times New Roman"/>
          <w:color w:val="000000" w:themeColor="text1"/>
          <w:sz w:val="20"/>
          <w:szCs w:val="20"/>
          <w:shd w:val="clear" w:color="auto" w:fill="FFFFFF"/>
        </w:rPr>
        <w:t xml:space="preserve">close to </w:t>
      </w:r>
      <w:r>
        <w:rPr>
          <w:rFonts w:ascii="Times New Roman" w:hAnsi="Times New Roman" w:cs="Times New Roman"/>
          <w:color w:val="000000" w:themeColor="text1"/>
          <w:sz w:val="20"/>
          <w:szCs w:val="20"/>
          <w:shd w:val="clear" w:color="auto" w:fill="FFFFFF"/>
        </w:rPr>
        <w:t>5 KHz.</w:t>
      </w:r>
    </w:p>
    <w:p w14:paraId="66D1A5A4" w14:textId="77777777" w:rsidR="00ED1751" w:rsidRPr="00ED1751" w:rsidRDefault="00ED1751" w:rsidP="00884F40">
      <w:pPr>
        <w:pStyle w:val="ListParagraph"/>
        <w:numPr>
          <w:ilvl w:val="0"/>
          <w:numId w:val="2"/>
        </w:numPr>
        <w:tabs>
          <w:tab w:val="left" w:pos="3675"/>
        </w:tabs>
        <w:jc w:val="both"/>
        <w:rPr>
          <w:rFonts w:ascii="Times New Roman" w:hAnsi="Times New Roman" w:cs="Times New Roman"/>
          <w:sz w:val="24"/>
          <w:szCs w:val="24"/>
        </w:rPr>
      </w:pPr>
      <w:r w:rsidRPr="00ED1751">
        <w:rPr>
          <w:rFonts w:ascii="Times New Roman" w:hAnsi="Times New Roman" w:cs="Times New Roman"/>
          <w:b/>
          <w:bCs/>
          <w:sz w:val="24"/>
          <w:szCs w:val="24"/>
        </w:rPr>
        <w:t>Experimental</w:t>
      </w:r>
      <w:r w:rsidR="00816F03" w:rsidRPr="00ED1751">
        <w:rPr>
          <w:rFonts w:ascii="Times New Roman" w:hAnsi="Times New Roman" w:cs="Times New Roman"/>
          <w:b/>
          <w:bCs/>
          <w:sz w:val="24"/>
          <w:szCs w:val="24"/>
        </w:rPr>
        <w:t xml:space="preserve"> Measurements </w:t>
      </w:r>
    </w:p>
    <w:p w14:paraId="7F404311" w14:textId="17778659" w:rsidR="006819C6" w:rsidRDefault="00816F03" w:rsidP="006819C6">
      <w:pPr>
        <w:tabs>
          <w:tab w:val="left" w:pos="3675"/>
        </w:tabs>
        <w:jc w:val="both"/>
        <w:rPr>
          <w:rFonts w:ascii="Times New Roman" w:hAnsi="Times New Roman" w:cs="Times New Roman"/>
          <w:sz w:val="24"/>
          <w:szCs w:val="24"/>
        </w:rPr>
      </w:pPr>
      <w:r w:rsidRPr="00ED1751">
        <w:rPr>
          <w:rFonts w:ascii="Times New Roman" w:hAnsi="Times New Roman" w:cs="Times New Roman"/>
          <w:sz w:val="24"/>
          <w:szCs w:val="24"/>
        </w:rPr>
        <w:t xml:space="preserve">The coil was stabilized by a holder to eliminate the error in the measurements caused by the oscillations induced by the Lorentz force. The coil was directly loaded to a </w:t>
      </w:r>
      <w:r w:rsidRPr="00ED1751">
        <w:rPr>
          <w:rFonts w:ascii="Times New Roman" w:hAnsi="Times New Roman" w:cs="Times New Roman" w:hint="eastAsia"/>
          <w:sz w:val="24"/>
          <w:szCs w:val="24"/>
          <w:lang w:eastAsia="zh-CN"/>
        </w:rPr>
        <w:t>Mag</w:t>
      </w:r>
      <w:r w:rsidRPr="00ED1751">
        <w:rPr>
          <w:rFonts w:ascii="Times New Roman" w:hAnsi="Times New Roman" w:cs="Times New Roman"/>
          <w:sz w:val="24"/>
          <w:szCs w:val="24"/>
        </w:rPr>
        <w:t>stim 200 stimulator</w:t>
      </w:r>
      <w:r w:rsidR="00B33A9D" w:rsidRPr="00ED1751">
        <w:rPr>
          <w:rFonts w:ascii="Times New Roman" w:hAnsi="Times New Roman" w:cs="Times New Roman"/>
          <w:sz w:val="24"/>
          <w:szCs w:val="24"/>
        </w:rPr>
        <w:t xml:space="preserve">. </w:t>
      </w:r>
      <w:r w:rsidRPr="00ED1751">
        <w:rPr>
          <w:rFonts w:ascii="Times New Roman" w:hAnsi="Times New Roman" w:cs="Times New Roman"/>
          <w:sz w:val="24"/>
          <w:szCs w:val="24"/>
        </w:rPr>
        <w:t xml:space="preserve">The stimulator's output power was set to 30% of its maximum output for all measurements, equivalent to about 500 V voltage on the coil. The electric field was measured in the air medium, considering that the field decays in a homogenous medium with a constant permittivity value, so the decay rate (percentage) doesn't change. </w:t>
      </w:r>
    </w:p>
    <w:p w14:paraId="163997CA" w14:textId="3D8EA2EB" w:rsidR="006819C6" w:rsidRPr="004D1827" w:rsidRDefault="006819C6" w:rsidP="000833E9">
      <w:pPr>
        <w:tabs>
          <w:tab w:val="left" w:pos="3675"/>
        </w:tabs>
        <w:jc w:val="both"/>
        <w:rPr>
          <w:rFonts w:ascii="Times New Roman" w:hAnsi="Times New Roman" w:cs="Times New Roman"/>
          <w:sz w:val="24"/>
          <w:szCs w:val="24"/>
        </w:rPr>
      </w:pPr>
      <w:r>
        <w:rPr>
          <w:rFonts w:ascii="Times New Roman" w:hAnsi="Times New Roman" w:cs="Times New Roman"/>
          <w:sz w:val="24"/>
          <w:szCs w:val="24"/>
        </w:rPr>
        <w:t>The ferromagnetic core used for the experimental measurement was</w:t>
      </w:r>
      <w:r w:rsidRPr="006819C6">
        <w:rPr>
          <w:rFonts w:ascii="Times New Roman" w:hAnsi="Times New Roman" w:cs="Times New Roman"/>
          <w:sz w:val="24"/>
          <w:szCs w:val="24"/>
        </w:rPr>
        <w:t xml:space="preserve"> silicon steel sheets</w:t>
      </w:r>
      <w:r>
        <w:rPr>
          <w:rFonts w:ascii="Times New Roman" w:hAnsi="Times New Roman" w:cs="Times New Roman"/>
          <w:sz w:val="24"/>
          <w:szCs w:val="24"/>
        </w:rPr>
        <w:t xml:space="preserve"> </w:t>
      </w:r>
      <w:r w:rsidRPr="006819C6">
        <w:rPr>
          <w:rFonts w:ascii="Times New Roman" w:hAnsi="Times New Roman" w:cs="Times New Roman"/>
          <w:sz w:val="24"/>
          <w:szCs w:val="24"/>
        </w:rPr>
        <w:t>due to their high magnetic permeability and saturation values. The silicon steel sheets were insulated from each other to prevent the eddy current in the core</w:t>
      </w:r>
      <w:r>
        <w:rPr>
          <w:rFonts w:ascii="Times New Roman" w:hAnsi="Times New Roman" w:cs="Times New Roman"/>
          <w:sz w:val="24"/>
          <w:szCs w:val="24"/>
        </w:rPr>
        <w:t xml:space="preserve">. The silicon steel sheets were </w:t>
      </w:r>
      <w:r w:rsidR="00190749">
        <w:rPr>
          <w:rFonts w:ascii="Times New Roman" w:hAnsi="Times New Roman" w:cs="Times New Roman"/>
          <w:sz w:val="24"/>
          <w:szCs w:val="24"/>
        </w:rPr>
        <w:t>0</w:t>
      </w:r>
      <w:r w:rsidR="00190749" w:rsidRPr="00190749">
        <w:rPr>
          <w:rFonts w:ascii="Times New Roman" w:hAnsi="Times New Roman" w:cs="Times New Roman"/>
          <w:sz w:val="24"/>
          <w:szCs w:val="24"/>
        </w:rPr>
        <w:t>.35mm (.014) M6</w:t>
      </w:r>
      <w:r w:rsidR="00190749">
        <w:rPr>
          <w:rFonts w:ascii="Times New Roman" w:hAnsi="Times New Roman" w:cs="Times New Roman"/>
          <w:sz w:val="24"/>
          <w:szCs w:val="24"/>
        </w:rPr>
        <w:t xml:space="preserve"> Grain Oriented Electrical Steel</w:t>
      </w:r>
      <w:r w:rsidR="004D1827">
        <w:rPr>
          <w:rFonts w:ascii="Times New Roman" w:hAnsi="Times New Roman" w:cs="Times New Roman"/>
          <w:sz w:val="24"/>
          <w:szCs w:val="24"/>
        </w:rPr>
        <w:t xml:space="preserve"> (GOES)</w:t>
      </w:r>
      <w:r w:rsidR="00190749">
        <w:rPr>
          <w:rFonts w:ascii="Times New Roman" w:hAnsi="Times New Roman" w:cs="Times New Roman"/>
          <w:sz w:val="24"/>
          <w:szCs w:val="24"/>
        </w:rPr>
        <w:t xml:space="preserve"> from TC Metal. The material demonstrates a </w:t>
      </w:r>
      <w:r w:rsidR="004D1827">
        <w:rPr>
          <w:rFonts w:ascii="Times New Roman" w:hAnsi="Times New Roman" w:cs="Times New Roman"/>
          <w:sz w:val="24"/>
          <w:szCs w:val="24"/>
        </w:rPr>
        <w:t>B</w:t>
      </w:r>
      <w:r w:rsidR="004D1827" w:rsidRPr="004D1827">
        <w:rPr>
          <w:rFonts w:ascii="Times New Roman" w:hAnsi="Times New Roman" w:cs="Times New Roman"/>
          <w:sz w:val="24"/>
          <w:szCs w:val="24"/>
          <w:vertAlign w:val="subscript"/>
        </w:rPr>
        <w:t>sat</w:t>
      </w:r>
      <w:r w:rsidR="004D1827">
        <w:rPr>
          <w:rFonts w:ascii="Times New Roman" w:hAnsi="Times New Roman" w:cs="Times New Roman"/>
          <w:sz w:val="24"/>
          <w:szCs w:val="24"/>
        </w:rPr>
        <w:t xml:space="preserve"> of 1.8 T and </w:t>
      </w:r>
      <w:r w:rsidR="00BA57B8">
        <w:rPr>
          <w:rFonts w:ascii="Times New Roman" w:hAnsi="Times New Roman" w:cs="Times New Roman"/>
          <w:sz w:val="24"/>
          <w:szCs w:val="24"/>
        </w:rPr>
        <w:t xml:space="preserve">relative </w:t>
      </w:r>
      <w:r w:rsidR="004D1827">
        <w:rPr>
          <w:rFonts w:ascii="Times New Roman" w:hAnsi="Times New Roman" w:cs="Times New Roman"/>
          <w:sz w:val="24"/>
          <w:szCs w:val="24"/>
        </w:rPr>
        <w:t xml:space="preserve">permeability of </w:t>
      </w:r>
      <w:r w:rsidR="00BA57B8">
        <w:rPr>
          <w:rFonts w:ascii="Times New Roman" w:hAnsi="Times New Roman" w:cs="Times New Roman"/>
          <w:sz w:val="24"/>
          <w:szCs w:val="24"/>
        </w:rPr>
        <w:t>more than 5000.</w:t>
      </w:r>
    </w:p>
    <w:p w14:paraId="358A4DF0" w14:textId="39CD7865" w:rsidR="00816F03" w:rsidRPr="00FC7892" w:rsidRDefault="00213FAE" w:rsidP="00501236">
      <w:pPr>
        <w:tabs>
          <w:tab w:val="left" w:pos="3675"/>
        </w:tabs>
        <w:jc w:val="both"/>
        <w:rPr>
          <w:rFonts w:ascii="Times New Roman" w:hAnsi="Times New Roman" w:cs="Times New Roman"/>
          <w:sz w:val="24"/>
          <w:szCs w:val="24"/>
        </w:rPr>
      </w:pPr>
      <w:r>
        <w:rPr>
          <w:rFonts w:ascii="Times New Roman" w:hAnsi="Times New Roman" w:cs="Times New Roman"/>
          <w:sz w:val="24"/>
          <w:szCs w:val="24"/>
        </w:rPr>
        <w:t>A high-sensitivity electric field probe measured the induced electric field</w:t>
      </w:r>
      <w:r w:rsidR="00816F03" w:rsidRPr="00FC7892">
        <w:rPr>
          <w:rFonts w:ascii="Times New Roman" w:hAnsi="Times New Roman" w:cs="Times New Roman"/>
          <w:sz w:val="24"/>
          <w:szCs w:val="24"/>
        </w:rPr>
        <w:t xml:space="preserve">. The probe was fixed on a holder to avoid the vibration caused by the TMS pulses. The locations and movements of the probe referred to the coordinate underneath the probe holder. The signal detected by the probe displayed on the oscilloscope was the shape of the electric field pulse. The direction of the </w:t>
      </w:r>
      <w:r w:rsidR="00816F03" w:rsidRPr="00FC7892">
        <w:rPr>
          <w:rFonts w:ascii="Times New Roman" w:hAnsi="Times New Roman" w:cs="Times New Roman"/>
          <w:sz w:val="24"/>
          <w:szCs w:val="24"/>
        </w:rPr>
        <w:lastRenderedPageBreak/>
        <w:t xml:space="preserve">measured field was along the central axis of the probe's toroid ferromagnetic core. To map the vector field distribution, at each measurement point, we recorded the amplitude of the electric field along </w:t>
      </w:r>
      <w:r w:rsidR="00816F03" w:rsidRPr="00FC7892">
        <w:rPr>
          <w:rFonts w:ascii="Times New Roman" w:hAnsi="Times New Roman" w:cs="Times New Roman" w:hint="eastAsia"/>
          <w:sz w:val="24"/>
          <w:szCs w:val="24"/>
          <w:lang w:eastAsia="zh-CN"/>
        </w:rPr>
        <w:t>the</w:t>
      </w:r>
      <w:r w:rsidR="00816F03" w:rsidRPr="00FC7892">
        <w:rPr>
          <w:rFonts w:ascii="Times New Roman" w:hAnsi="Times New Roman" w:cs="Times New Roman"/>
          <w:sz w:val="24"/>
          <w:szCs w:val="24"/>
        </w:rPr>
        <w:t xml:space="preserve"> X, Y (X and Y directions were within the plane that was perpendicular to the coils central axis) and Z directions. The electric field strength was then calculated by</w:t>
      </w:r>
    </w:p>
    <w:p w14:paraId="15DCBCD8" w14:textId="77777777" w:rsidR="00816F03" w:rsidRPr="00FC7892" w:rsidRDefault="00816F03" w:rsidP="00816F03">
      <w:pPr>
        <w:tabs>
          <w:tab w:val="left" w:pos="3675"/>
        </w:tabs>
        <w:jc w:val="center"/>
        <w:rPr>
          <w:rFonts w:ascii="Times New Roman" w:hAnsi="Times New Roman" w:cs="Times New Roman"/>
          <w:sz w:val="24"/>
          <w:szCs w:val="24"/>
        </w:rPr>
      </w:pPr>
      <m:oMath>
        <m:r>
          <w:rPr>
            <w:rFonts w:ascii="Cambria Math" w:hAnsi="Cambria Math" w:cs="Times New Roman"/>
            <w:sz w:val="24"/>
            <w:szCs w:val="24"/>
          </w:rPr>
          <m:t xml:space="preserve">E= </m:t>
        </m:r>
        <m:rad>
          <m:radPr>
            <m:degHide m:val="1"/>
            <m:ctrlPr>
              <w:rPr>
                <w:rFonts w:ascii="Cambria Math" w:hAnsi="Cambria Math" w:cs="Times New Roman"/>
                <w:i/>
                <w:sz w:val="24"/>
                <w:szCs w:val="24"/>
              </w:rPr>
            </m:ctrlPr>
          </m:radPr>
          <m:deg/>
          <m:e>
            <m:sSup>
              <m:sSupPr>
                <m:ctrlPr>
                  <w:rPr>
                    <w:rFonts w:ascii="Cambria Math" w:hAnsi="Cambria Math" w:cs="Times New Roman"/>
                    <w:i/>
                    <w:sz w:val="24"/>
                    <w:szCs w:val="24"/>
                    <w:lang w:eastAsia="zh-CN"/>
                  </w:rPr>
                </m:ctrlPr>
              </m:sSupPr>
              <m:e>
                <m:r>
                  <w:rPr>
                    <w:rFonts w:ascii="Cambria Math" w:hAnsi="Cambria Math" w:cs="Times New Roman"/>
                    <w:sz w:val="24"/>
                    <w:szCs w:val="24"/>
                    <w:lang w:eastAsia="zh-CN"/>
                  </w:rPr>
                  <m:t>Ex</m:t>
                </m:r>
              </m:e>
              <m:sup>
                <m:r>
                  <w:rPr>
                    <w:rFonts w:ascii="Cambria Math" w:hAnsi="Cambria Math" w:cs="Times New Roman"/>
                    <w:sz w:val="24"/>
                    <w:szCs w:val="24"/>
                    <w:lang w:eastAsia="zh-CN"/>
                  </w:rPr>
                  <m:t>2</m:t>
                </m:r>
              </m:sup>
            </m:sSup>
            <m:r>
              <w:rPr>
                <w:rFonts w:ascii="Cambria Math" w:hAnsi="Cambria Math" w:cs="Times New Roman"/>
                <w:sz w:val="24"/>
                <w:szCs w:val="24"/>
                <w:lang w:eastAsia="zh-CN"/>
              </w:rPr>
              <m:t>+</m:t>
            </m:r>
            <m:sSup>
              <m:sSupPr>
                <m:ctrlPr>
                  <w:rPr>
                    <w:rFonts w:ascii="Cambria Math" w:hAnsi="Cambria Math" w:cs="Times New Roman"/>
                    <w:i/>
                    <w:sz w:val="24"/>
                    <w:szCs w:val="24"/>
                    <w:lang w:eastAsia="zh-CN"/>
                  </w:rPr>
                </m:ctrlPr>
              </m:sSupPr>
              <m:e>
                <m:r>
                  <w:rPr>
                    <w:rFonts w:ascii="Cambria Math" w:hAnsi="Cambria Math" w:cs="Times New Roman"/>
                    <w:sz w:val="24"/>
                    <w:szCs w:val="24"/>
                    <w:lang w:eastAsia="zh-CN"/>
                  </w:rPr>
                  <m:t>Ey</m:t>
                </m:r>
              </m:e>
              <m:sup>
                <m:r>
                  <w:rPr>
                    <w:rFonts w:ascii="Cambria Math" w:hAnsi="Cambria Math" w:cs="Times New Roman"/>
                    <w:sz w:val="24"/>
                    <w:szCs w:val="24"/>
                    <w:lang w:eastAsia="zh-CN"/>
                  </w:rPr>
                  <m:t>2</m:t>
                </m:r>
              </m:sup>
            </m:sSup>
            <m:r>
              <w:rPr>
                <w:rFonts w:ascii="Cambria Math" w:hAnsi="Cambria Math" w:cs="Times New Roman"/>
                <w:sz w:val="24"/>
                <w:szCs w:val="24"/>
                <w:lang w:eastAsia="zh-CN"/>
              </w:rPr>
              <m:t>+</m:t>
            </m:r>
            <m:sSup>
              <m:sSupPr>
                <m:ctrlPr>
                  <w:rPr>
                    <w:rFonts w:ascii="Cambria Math" w:hAnsi="Cambria Math" w:cs="Times New Roman"/>
                    <w:i/>
                    <w:sz w:val="24"/>
                    <w:szCs w:val="24"/>
                    <w:lang w:eastAsia="zh-CN"/>
                  </w:rPr>
                </m:ctrlPr>
              </m:sSupPr>
              <m:e>
                <m:r>
                  <w:rPr>
                    <w:rFonts w:ascii="Cambria Math" w:hAnsi="Cambria Math" w:cs="Times New Roman"/>
                    <w:sz w:val="24"/>
                    <w:szCs w:val="24"/>
                    <w:lang w:eastAsia="zh-CN"/>
                  </w:rPr>
                  <m:t>Ez</m:t>
                </m:r>
              </m:e>
              <m:sup>
                <m:r>
                  <w:rPr>
                    <w:rFonts w:ascii="Cambria Math" w:hAnsi="Cambria Math" w:cs="Times New Roman"/>
                    <w:sz w:val="24"/>
                    <w:szCs w:val="24"/>
                    <w:lang w:eastAsia="zh-CN"/>
                  </w:rPr>
                  <m:t>2</m:t>
                </m:r>
              </m:sup>
            </m:sSup>
          </m:e>
        </m:rad>
      </m:oMath>
      <w:r w:rsidRPr="00FC7892">
        <w:rPr>
          <w:rFonts w:ascii="Times New Roman" w:hAnsi="Times New Roman" w:cs="Times New Roman"/>
          <w:sz w:val="24"/>
          <w:szCs w:val="24"/>
        </w:rPr>
        <w:t>,</w:t>
      </w:r>
    </w:p>
    <w:p w14:paraId="13D580A9" w14:textId="00B5842D" w:rsidR="00AA73CD" w:rsidRPr="00AA73CD" w:rsidRDefault="00816F03" w:rsidP="00AA73CD">
      <w:pPr>
        <w:jc w:val="both"/>
        <w:rPr>
          <w:rFonts w:ascii="Times New Roman" w:hAnsi="Times New Roman" w:cs="Times New Roman"/>
          <w:sz w:val="24"/>
          <w:szCs w:val="24"/>
        </w:rPr>
      </w:pPr>
      <w:r w:rsidRPr="00FC7892">
        <w:rPr>
          <w:rFonts w:ascii="Times New Roman" w:hAnsi="Times New Roman" w:cs="Times New Roman"/>
          <w:sz w:val="24"/>
          <w:szCs w:val="24"/>
        </w:rPr>
        <w:t>Ex, Ey, and Ez are the measured electric field amplitude along the X, Y, and Z directions.</w:t>
      </w:r>
    </w:p>
    <w:p w14:paraId="7B7AB53B" w14:textId="6149956C" w:rsidR="00547C47" w:rsidRPr="00FC7892" w:rsidRDefault="00BD7088" w:rsidP="00723EEB">
      <w:pPr>
        <w:tabs>
          <w:tab w:val="left" w:pos="3675"/>
        </w:tabs>
        <w:jc w:val="both"/>
        <w:rPr>
          <w:rFonts w:asciiTheme="majorBidi" w:hAnsiTheme="majorBidi" w:cstheme="majorBidi"/>
          <w:sz w:val="24"/>
          <w:szCs w:val="24"/>
        </w:rPr>
      </w:pPr>
      <w:r w:rsidRPr="00FC7892">
        <w:rPr>
          <w:rFonts w:asciiTheme="majorBidi" w:hAnsiTheme="majorBidi" w:cstheme="majorBidi"/>
          <w:b/>
          <w:bCs/>
          <w:sz w:val="24"/>
          <w:szCs w:val="24"/>
        </w:rPr>
        <w:t>REFERENCES</w:t>
      </w:r>
      <w:r w:rsidR="00547C47" w:rsidRPr="00FC7892">
        <w:rPr>
          <w:rFonts w:asciiTheme="majorBidi" w:hAnsiTheme="majorBidi" w:cstheme="majorBidi"/>
          <w:sz w:val="24"/>
          <w:szCs w:val="24"/>
        </w:rPr>
        <w:t xml:space="preserve"> </w:t>
      </w:r>
    </w:p>
    <w:p w14:paraId="5051732B" w14:textId="77777777" w:rsidR="00201486" w:rsidRPr="00201486" w:rsidRDefault="00F8114E" w:rsidP="002A181B">
      <w:pPr>
        <w:pStyle w:val="Bibliography"/>
        <w:jc w:val="both"/>
        <w:rPr>
          <w:rFonts w:ascii="Times New Roman" w:hAnsi="Times New Roman" w:cs="Times New Roman"/>
          <w:sz w:val="24"/>
        </w:rPr>
      </w:pPr>
      <w:r w:rsidRPr="00FC7892">
        <w:rPr>
          <w:rFonts w:asciiTheme="majorBidi" w:hAnsiTheme="majorBidi" w:cstheme="majorBidi"/>
        </w:rPr>
        <w:fldChar w:fldCharType="begin"/>
      </w:r>
      <w:r w:rsidR="00201486">
        <w:rPr>
          <w:rFonts w:asciiTheme="majorBidi" w:hAnsiTheme="majorBidi" w:cstheme="majorBidi"/>
        </w:rPr>
        <w:instrText xml:space="preserve"> ADDIN ZOTERO_BIBL {"uncited":[],"omitted":[],"custom":[]} CSL_BIBLIOGRAPHY </w:instrText>
      </w:r>
      <w:r w:rsidRPr="00FC7892">
        <w:rPr>
          <w:rFonts w:asciiTheme="majorBidi" w:hAnsiTheme="majorBidi" w:cstheme="majorBidi"/>
        </w:rPr>
        <w:fldChar w:fldCharType="separate"/>
      </w:r>
      <w:r w:rsidR="00201486" w:rsidRPr="00201486">
        <w:rPr>
          <w:rFonts w:ascii="Times New Roman" w:hAnsi="Times New Roman" w:cs="Times New Roman"/>
          <w:sz w:val="24"/>
        </w:rPr>
        <w:t>[1]</w:t>
      </w:r>
      <w:r w:rsidR="00201486" w:rsidRPr="00201486">
        <w:rPr>
          <w:rFonts w:ascii="Times New Roman" w:hAnsi="Times New Roman" w:cs="Times New Roman"/>
          <w:sz w:val="24"/>
        </w:rPr>
        <w:tab/>
        <w:t>Multiphysics, C. O. M. S. O. L. AC/DC Module user’s guide. New York: COMSOL Multiphysics; 2013.</w:t>
      </w:r>
    </w:p>
    <w:p w14:paraId="5FBC1A67" w14:textId="77777777" w:rsidR="00201486" w:rsidRPr="00201486" w:rsidRDefault="00201486" w:rsidP="002A181B">
      <w:pPr>
        <w:pStyle w:val="Bibliography"/>
        <w:jc w:val="both"/>
        <w:rPr>
          <w:rFonts w:ascii="Times New Roman" w:hAnsi="Times New Roman" w:cs="Times New Roman"/>
          <w:sz w:val="24"/>
        </w:rPr>
      </w:pPr>
      <w:r w:rsidRPr="00201486">
        <w:rPr>
          <w:rFonts w:ascii="Times New Roman" w:hAnsi="Times New Roman" w:cs="Times New Roman"/>
          <w:sz w:val="24"/>
        </w:rPr>
        <w:t>[2]</w:t>
      </w:r>
      <w:r w:rsidRPr="00201486">
        <w:rPr>
          <w:rFonts w:ascii="Times New Roman" w:hAnsi="Times New Roman" w:cs="Times New Roman"/>
          <w:sz w:val="24"/>
        </w:rPr>
        <w:tab/>
        <w:t>Golestanirad L, Rouhani H, Elahi B, Shahim K, Chen R, Mosig JR, et al. Combined use of transcranial magnetic stimulation and metal electrode implants: a theoretical assessment of safety considerations. Phys Med Biol 2012;57:7813–27. https://doi.org/10.1088/0031-9155/57/23/7813.</w:t>
      </w:r>
    </w:p>
    <w:p w14:paraId="4E4DBCD4" w14:textId="77777777" w:rsidR="00201486" w:rsidRPr="00201486" w:rsidRDefault="00201486" w:rsidP="002A181B">
      <w:pPr>
        <w:pStyle w:val="Bibliography"/>
        <w:jc w:val="both"/>
        <w:rPr>
          <w:rFonts w:ascii="Times New Roman" w:hAnsi="Times New Roman" w:cs="Times New Roman"/>
          <w:sz w:val="24"/>
        </w:rPr>
      </w:pPr>
      <w:r w:rsidRPr="00201486">
        <w:rPr>
          <w:rFonts w:ascii="Times New Roman" w:hAnsi="Times New Roman" w:cs="Times New Roman"/>
          <w:sz w:val="24"/>
        </w:rPr>
        <w:t>[3]</w:t>
      </w:r>
      <w:r w:rsidRPr="00201486">
        <w:rPr>
          <w:rFonts w:ascii="Times New Roman" w:hAnsi="Times New Roman" w:cs="Times New Roman"/>
          <w:sz w:val="24"/>
        </w:rPr>
        <w:tab/>
        <w:t>Deng Z-D, Lisanby SH, Peterchev AV. Electric field depth–focality tradeoff in transcranial magnetic stimulation: simulation comparison of 50 coil designs. Brain Stimulation 2013;6:1–13.</w:t>
      </w:r>
    </w:p>
    <w:p w14:paraId="175201EF" w14:textId="77777777" w:rsidR="00201486" w:rsidRPr="00201486" w:rsidRDefault="00201486" w:rsidP="002A181B">
      <w:pPr>
        <w:pStyle w:val="Bibliography"/>
        <w:jc w:val="both"/>
        <w:rPr>
          <w:rFonts w:ascii="Times New Roman" w:hAnsi="Times New Roman" w:cs="Times New Roman"/>
          <w:sz w:val="24"/>
        </w:rPr>
      </w:pPr>
      <w:r w:rsidRPr="00201486">
        <w:rPr>
          <w:rFonts w:ascii="Times New Roman" w:hAnsi="Times New Roman" w:cs="Times New Roman"/>
          <w:sz w:val="24"/>
        </w:rPr>
        <w:t>[4]</w:t>
      </w:r>
      <w:r w:rsidRPr="00201486">
        <w:rPr>
          <w:rFonts w:ascii="Times New Roman" w:hAnsi="Times New Roman" w:cs="Times New Roman"/>
          <w:sz w:val="24"/>
        </w:rPr>
        <w:tab/>
        <w:t>Deng Z-D, Lisanby SH, Peterchev AV. Coil design considerations for deep transcranial magnetic stimulation. Clinical Neurophysiology 2014;125:1202–12.</w:t>
      </w:r>
    </w:p>
    <w:p w14:paraId="4020FD66" w14:textId="77777777" w:rsidR="00201486" w:rsidRPr="00201486" w:rsidRDefault="00201486" w:rsidP="002A181B">
      <w:pPr>
        <w:pStyle w:val="Bibliography"/>
        <w:jc w:val="both"/>
        <w:rPr>
          <w:rFonts w:ascii="Times New Roman" w:hAnsi="Times New Roman" w:cs="Times New Roman"/>
          <w:sz w:val="24"/>
        </w:rPr>
      </w:pPr>
      <w:r w:rsidRPr="00201486">
        <w:rPr>
          <w:rFonts w:ascii="Times New Roman" w:hAnsi="Times New Roman" w:cs="Times New Roman"/>
          <w:sz w:val="24"/>
        </w:rPr>
        <w:t>[5]</w:t>
      </w:r>
      <w:r w:rsidRPr="00201486">
        <w:rPr>
          <w:rFonts w:ascii="Times New Roman" w:hAnsi="Times New Roman" w:cs="Times New Roman"/>
          <w:sz w:val="24"/>
        </w:rPr>
        <w:tab/>
        <w:t>Gomez LJ, Goetz SM, Peterchev AV. Design of transcranial magnetic stimulation coils with optimal trade-off between depth, focality, and energy. Journal of Neural Engineering 2018;15:046033.</w:t>
      </w:r>
    </w:p>
    <w:p w14:paraId="4CA60826" w14:textId="77777777" w:rsidR="00201486" w:rsidRPr="00201486" w:rsidRDefault="00201486" w:rsidP="002A181B">
      <w:pPr>
        <w:pStyle w:val="Bibliography"/>
        <w:jc w:val="both"/>
        <w:rPr>
          <w:rFonts w:ascii="Times New Roman" w:hAnsi="Times New Roman" w:cs="Times New Roman"/>
          <w:sz w:val="24"/>
        </w:rPr>
      </w:pPr>
      <w:r w:rsidRPr="00201486">
        <w:rPr>
          <w:rFonts w:ascii="Times New Roman" w:hAnsi="Times New Roman" w:cs="Times New Roman"/>
          <w:sz w:val="24"/>
        </w:rPr>
        <w:t>[6]</w:t>
      </w:r>
      <w:r w:rsidRPr="00201486">
        <w:rPr>
          <w:rFonts w:ascii="Times New Roman" w:hAnsi="Times New Roman" w:cs="Times New Roman"/>
          <w:sz w:val="24"/>
        </w:rPr>
        <w:tab/>
        <w:t>Salvador R, Miranda PC, Roth Y, Zangen A. High-permeability core coils for transcranial magnetic stimulation of deep brain regions. 2007 29th Annual International Conference of the IEEE Engineering in Medicine and Biology Society, IEEE; 2007, p. 6652–5.</w:t>
      </w:r>
    </w:p>
    <w:p w14:paraId="263FD0CA" w14:textId="6A164624" w:rsidR="00BD7088" w:rsidRPr="00547C47" w:rsidRDefault="00F8114E" w:rsidP="00501236">
      <w:pPr>
        <w:tabs>
          <w:tab w:val="left" w:pos="3675"/>
        </w:tabs>
        <w:jc w:val="both"/>
      </w:pPr>
      <w:r w:rsidRPr="00FC7892">
        <w:rPr>
          <w:rFonts w:asciiTheme="majorBidi" w:hAnsiTheme="majorBidi" w:cstheme="majorBidi"/>
          <w:sz w:val="24"/>
          <w:szCs w:val="24"/>
        </w:rPr>
        <w:fldChar w:fldCharType="end"/>
      </w:r>
    </w:p>
    <w:sectPr w:rsidR="00BD7088" w:rsidRPr="00547C4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EE98EF" w14:textId="77777777" w:rsidR="00EF34F7" w:rsidRDefault="00EF34F7" w:rsidP="006F550D">
      <w:pPr>
        <w:spacing w:after="0" w:line="240" w:lineRule="auto"/>
      </w:pPr>
      <w:r>
        <w:separator/>
      </w:r>
    </w:p>
  </w:endnote>
  <w:endnote w:type="continuationSeparator" w:id="0">
    <w:p w14:paraId="07D1B406" w14:textId="77777777" w:rsidR="00EF34F7" w:rsidRDefault="00EF34F7" w:rsidP="006F55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5834052"/>
      <w:docPartObj>
        <w:docPartGallery w:val="Page Numbers (Bottom of Page)"/>
        <w:docPartUnique/>
      </w:docPartObj>
    </w:sdtPr>
    <w:sdtEndPr>
      <w:rPr>
        <w:noProof/>
      </w:rPr>
    </w:sdtEndPr>
    <w:sdtContent>
      <w:p w14:paraId="548945A1" w14:textId="089D50E7" w:rsidR="006F550D" w:rsidRDefault="006F550D">
        <w:pPr>
          <w:pStyle w:val="Footer"/>
          <w:jc w:val="center"/>
        </w:pPr>
        <w:r w:rsidRPr="006F550D">
          <w:rPr>
            <w:rFonts w:asciiTheme="majorBidi" w:hAnsiTheme="majorBidi" w:cstheme="majorBidi"/>
            <w:sz w:val="24"/>
            <w:szCs w:val="24"/>
          </w:rPr>
          <w:fldChar w:fldCharType="begin"/>
        </w:r>
        <w:r w:rsidRPr="006F550D">
          <w:rPr>
            <w:rFonts w:asciiTheme="majorBidi" w:hAnsiTheme="majorBidi" w:cstheme="majorBidi"/>
            <w:sz w:val="24"/>
            <w:szCs w:val="24"/>
          </w:rPr>
          <w:instrText xml:space="preserve"> PAGE   \* MERGEFORMAT </w:instrText>
        </w:r>
        <w:r w:rsidRPr="006F550D">
          <w:rPr>
            <w:rFonts w:asciiTheme="majorBidi" w:hAnsiTheme="majorBidi" w:cstheme="majorBidi"/>
            <w:sz w:val="24"/>
            <w:szCs w:val="24"/>
          </w:rPr>
          <w:fldChar w:fldCharType="separate"/>
        </w:r>
        <w:r w:rsidR="00232518">
          <w:rPr>
            <w:rFonts w:asciiTheme="majorBidi" w:hAnsiTheme="majorBidi" w:cstheme="majorBidi"/>
            <w:noProof/>
            <w:sz w:val="24"/>
            <w:szCs w:val="24"/>
          </w:rPr>
          <w:t>9</w:t>
        </w:r>
        <w:r w:rsidRPr="006F550D">
          <w:rPr>
            <w:rFonts w:asciiTheme="majorBidi" w:hAnsiTheme="majorBidi" w:cstheme="majorBidi"/>
            <w:noProof/>
            <w:sz w:val="24"/>
            <w:szCs w:val="24"/>
          </w:rPr>
          <w:fldChar w:fldCharType="end"/>
        </w:r>
      </w:p>
    </w:sdtContent>
  </w:sdt>
  <w:p w14:paraId="7EA51080" w14:textId="77777777" w:rsidR="006F550D" w:rsidRDefault="006F5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757D5" w14:textId="77777777" w:rsidR="00EF34F7" w:rsidRDefault="00EF34F7" w:rsidP="006F550D">
      <w:pPr>
        <w:spacing w:after="0" w:line="240" w:lineRule="auto"/>
      </w:pPr>
      <w:r>
        <w:separator/>
      </w:r>
    </w:p>
  </w:footnote>
  <w:footnote w:type="continuationSeparator" w:id="0">
    <w:p w14:paraId="7119A715" w14:textId="77777777" w:rsidR="00EF34F7" w:rsidRDefault="00EF34F7" w:rsidP="006F55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F65CE4"/>
    <w:multiLevelType w:val="hybridMultilevel"/>
    <w:tmpl w:val="89D660AA"/>
    <w:lvl w:ilvl="0" w:tplc="43DA556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98852A2"/>
    <w:multiLevelType w:val="hybridMultilevel"/>
    <w:tmpl w:val="CD9081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bGwMDO1sDQ1NTcwNDdQ0lEKTi0uzszPAykwNq8FALWH44AtAAAA"/>
  </w:docVars>
  <w:rsids>
    <w:rsidRoot w:val="00F615DE"/>
    <w:rsid w:val="000564E4"/>
    <w:rsid w:val="00061AF4"/>
    <w:rsid w:val="00062289"/>
    <w:rsid w:val="0007002D"/>
    <w:rsid w:val="00077EB4"/>
    <w:rsid w:val="00082DE0"/>
    <w:rsid w:val="000833E9"/>
    <w:rsid w:val="000A6F62"/>
    <w:rsid w:val="000C150F"/>
    <w:rsid w:val="000C1600"/>
    <w:rsid w:val="000D6AF5"/>
    <w:rsid w:val="000E4704"/>
    <w:rsid w:val="0011754E"/>
    <w:rsid w:val="00137C9C"/>
    <w:rsid w:val="00145E1F"/>
    <w:rsid w:val="001534F3"/>
    <w:rsid w:val="00170727"/>
    <w:rsid w:val="00177C75"/>
    <w:rsid w:val="001822A7"/>
    <w:rsid w:val="00190749"/>
    <w:rsid w:val="0019776B"/>
    <w:rsid w:val="001A5DC2"/>
    <w:rsid w:val="001B4939"/>
    <w:rsid w:val="001E1BB7"/>
    <w:rsid w:val="001E217E"/>
    <w:rsid w:val="001F1C3C"/>
    <w:rsid w:val="00201486"/>
    <w:rsid w:val="00213FAE"/>
    <w:rsid w:val="00232518"/>
    <w:rsid w:val="00241F67"/>
    <w:rsid w:val="002500FA"/>
    <w:rsid w:val="00275705"/>
    <w:rsid w:val="002764FB"/>
    <w:rsid w:val="002814C2"/>
    <w:rsid w:val="00282928"/>
    <w:rsid w:val="00283CC9"/>
    <w:rsid w:val="002A181B"/>
    <w:rsid w:val="002A348D"/>
    <w:rsid w:val="002E1ABF"/>
    <w:rsid w:val="0032284D"/>
    <w:rsid w:val="00345EA1"/>
    <w:rsid w:val="003B472D"/>
    <w:rsid w:val="003D37C9"/>
    <w:rsid w:val="003D50D0"/>
    <w:rsid w:val="003E7FCF"/>
    <w:rsid w:val="003F516C"/>
    <w:rsid w:val="004234E5"/>
    <w:rsid w:val="004245B3"/>
    <w:rsid w:val="004455FE"/>
    <w:rsid w:val="00461B95"/>
    <w:rsid w:val="0046238A"/>
    <w:rsid w:val="00474E6F"/>
    <w:rsid w:val="004C0134"/>
    <w:rsid w:val="004C1213"/>
    <w:rsid w:val="004C2A0F"/>
    <w:rsid w:val="004D1827"/>
    <w:rsid w:val="004E7009"/>
    <w:rsid w:val="004F09C2"/>
    <w:rsid w:val="00501236"/>
    <w:rsid w:val="00511696"/>
    <w:rsid w:val="00511C99"/>
    <w:rsid w:val="00535CDF"/>
    <w:rsid w:val="00547C47"/>
    <w:rsid w:val="00552474"/>
    <w:rsid w:val="005548C6"/>
    <w:rsid w:val="00570AC7"/>
    <w:rsid w:val="00573AD2"/>
    <w:rsid w:val="00581956"/>
    <w:rsid w:val="00583E00"/>
    <w:rsid w:val="00583E97"/>
    <w:rsid w:val="0059596C"/>
    <w:rsid w:val="0059618C"/>
    <w:rsid w:val="005A1EDB"/>
    <w:rsid w:val="005A3779"/>
    <w:rsid w:val="005C03CC"/>
    <w:rsid w:val="005C1E77"/>
    <w:rsid w:val="005D10CA"/>
    <w:rsid w:val="005E73C7"/>
    <w:rsid w:val="00603350"/>
    <w:rsid w:val="00613EEB"/>
    <w:rsid w:val="00616925"/>
    <w:rsid w:val="00640909"/>
    <w:rsid w:val="00642009"/>
    <w:rsid w:val="0064375A"/>
    <w:rsid w:val="00657F30"/>
    <w:rsid w:val="006819C6"/>
    <w:rsid w:val="006A5444"/>
    <w:rsid w:val="006B39A4"/>
    <w:rsid w:val="006B7202"/>
    <w:rsid w:val="006D2732"/>
    <w:rsid w:val="006F0399"/>
    <w:rsid w:val="006F2DE1"/>
    <w:rsid w:val="006F3F44"/>
    <w:rsid w:val="006F550D"/>
    <w:rsid w:val="006F7957"/>
    <w:rsid w:val="0070256C"/>
    <w:rsid w:val="00710E90"/>
    <w:rsid w:val="00714AA5"/>
    <w:rsid w:val="007150FF"/>
    <w:rsid w:val="007217AA"/>
    <w:rsid w:val="00723EEB"/>
    <w:rsid w:val="00732E1A"/>
    <w:rsid w:val="0073407F"/>
    <w:rsid w:val="007A22F4"/>
    <w:rsid w:val="007A46A2"/>
    <w:rsid w:val="00816F03"/>
    <w:rsid w:val="00831880"/>
    <w:rsid w:val="0083264A"/>
    <w:rsid w:val="008335E3"/>
    <w:rsid w:val="00840EC4"/>
    <w:rsid w:val="008478F5"/>
    <w:rsid w:val="00886D60"/>
    <w:rsid w:val="008871BC"/>
    <w:rsid w:val="008A15B3"/>
    <w:rsid w:val="008B0161"/>
    <w:rsid w:val="008B5464"/>
    <w:rsid w:val="008B58DD"/>
    <w:rsid w:val="008C1E61"/>
    <w:rsid w:val="008F7181"/>
    <w:rsid w:val="00922E4D"/>
    <w:rsid w:val="00934946"/>
    <w:rsid w:val="00944F5E"/>
    <w:rsid w:val="0094589F"/>
    <w:rsid w:val="00962502"/>
    <w:rsid w:val="0099003D"/>
    <w:rsid w:val="00994C4E"/>
    <w:rsid w:val="009A631A"/>
    <w:rsid w:val="009B55FF"/>
    <w:rsid w:val="009D2C92"/>
    <w:rsid w:val="009D6974"/>
    <w:rsid w:val="009D6CF7"/>
    <w:rsid w:val="00A035ED"/>
    <w:rsid w:val="00A12D2E"/>
    <w:rsid w:val="00A437A0"/>
    <w:rsid w:val="00A52FE9"/>
    <w:rsid w:val="00A5543A"/>
    <w:rsid w:val="00A610EB"/>
    <w:rsid w:val="00A666D2"/>
    <w:rsid w:val="00A67C13"/>
    <w:rsid w:val="00A8173D"/>
    <w:rsid w:val="00A90ED6"/>
    <w:rsid w:val="00AA73CD"/>
    <w:rsid w:val="00AB2731"/>
    <w:rsid w:val="00AB6027"/>
    <w:rsid w:val="00AC008D"/>
    <w:rsid w:val="00AC218D"/>
    <w:rsid w:val="00AD3F7D"/>
    <w:rsid w:val="00AD747E"/>
    <w:rsid w:val="00AE06B7"/>
    <w:rsid w:val="00AE470B"/>
    <w:rsid w:val="00B02B42"/>
    <w:rsid w:val="00B13182"/>
    <w:rsid w:val="00B2134C"/>
    <w:rsid w:val="00B24B97"/>
    <w:rsid w:val="00B33A9D"/>
    <w:rsid w:val="00B86856"/>
    <w:rsid w:val="00B86AE2"/>
    <w:rsid w:val="00B87FD4"/>
    <w:rsid w:val="00BA57B8"/>
    <w:rsid w:val="00BA6FAC"/>
    <w:rsid w:val="00BD7088"/>
    <w:rsid w:val="00BF6AB9"/>
    <w:rsid w:val="00C20986"/>
    <w:rsid w:val="00C232B7"/>
    <w:rsid w:val="00C25530"/>
    <w:rsid w:val="00C3236E"/>
    <w:rsid w:val="00C442E1"/>
    <w:rsid w:val="00C50481"/>
    <w:rsid w:val="00C6413F"/>
    <w:rsid w:val="00CA188A"/>
    <w:rsid w:val="00CB17EF"/>
    <w:rsid w:val="00CE5A8E"/>
    <w:rsid w:val="00D01C5E"/>
    <w:rsid w:val="00D3465D"/>
    <w:rsid w:val="00D426B5"/>
    <w:rsid w:val="00D46B01"/>
    <w:rsid w:val="00D579B9"/>
    <w:rsid w:val="00D65863"/>
    <w:rsid w:val="00D72B71"/>
    <w:rsid w:val="00DA4955"/>
    <w:rsid w:val="00DA509C"/>
    <w:rsid w:val="00DC1A2A"/>
    <w:rsid w:val="00DC1C0A"/>
    <w:rsid w:val="00DC7A4C"/>
    <w:rsid w:val="00DF0930"/>
    <w:rsid w:val="00DF7920"/>
    <w:rsid w:val="00E03D66"/>
    <w:rsid w:val="00E11363"/>
    <w:rsid w:val="00E32ECD"/>
    <w:rsid w:val="00E77378"/>
    <w:rsid w:val="00E90433"/>
    <w:rsid w:val="00EA602B"/>
    <w:rsid w:val="00EC5E42"/>
    <w:rsid w:val="00ED1751"/>
    <w:rsid w:val="00ED5D0E"/>
    <w:rsid w:val="00EE1621"/>
    <w:rsid w:val="00EF32D5"/>
    <w:rsid w:val="00EF34F7"/>
    <w:rsid w:val="00EF39D9"/>
    <w:rsid w:val="00F17894"/>
    <w:rsid w:val="00F31E0C"/>
    <w:rsid w:val="00F60AD3"/>
    <w:rsid w:val="00F615DE"/>
    <w:rsid w:val="00F8114E"/>
    <w:rsid w:val="00FA3447"/>
    <w:rsid w:val="00FC789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F1877"/>
  <w15:chartTrackingRefBased/>
  <w15:docId w15:val="{20E0E2BE-AE79-414F-A0ED-2189A1F91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17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17AA"/>
    <w:rPr>
      <w:rFonts w:ascii="Segoe UI" w:hAnsi="Segoe UI" w:cs="Segoe UI"/>
      <w:sz w:val="18"/>
      <w:szCs w:val="18"/>
    </w:rPr>
  </w:style>
  <w:style w:type="paragraph" w:styleId="Bibliography">
    <w:name w:val="Bibliography"/>
    <w:basedOn w:val="Normal"/>
    <w:next w:val="Normal"/>
    <w:uiPriority w:val="37"/>
    <w:unhideWhenUsed/>
    <w:rsid w:val="00BD7088"/>
    <w:pPr>
      <w:tabs>
        <w:tab w:val="left" w:pos="384"/>
      </w:tabs>
      <w:spacing w:after="0" w:line="240" w:lineRule="auto"/>
      <w:ind w:left="384" w:hanging="384"/>
    </w:pPr>
  </w:style>
  <w:style w:type="paragraph" w:styleId="ListParagraph">
    <w:name w:val="List Paragraph"/>
    <w:basedOn w:val="Normal"/>
    <w:uiPriority w:val="34"/>
    <w:qFormat/>
    <w:rsid w:val="00177C75"/>
    <w:pPr>
      <w:ind w:left="720"/>
      <w:contextualSpacing/>
    </w:pPr>
  </w:style>
  <w:style w:type="character" w:styleId="PlaceholderText">
    <w:name w:val="Placeholder Text"/>
    <w:basedOn w:val="DefaultParagraphFont"/>
    <w:uiPriority w:val="99"/>
    <w:semiHidden/>
    <w:rsid w:val="000E4704"/>
    <w:rPr>
      <w:color w:val="808080"/>
    </w:rPr>
  </w:style>
  <w:style w:type="character" w:styleId="CommentReference">
    <w:name w:val="annotation reference"/>
    <w:basedOn w:val="DefaultParagraphFont"/>
    <w:uiPriority w:val="99"/>
    <w:semiHidden/>
    <w:unhideWhenUsed/>
    <w:rsid w:val="00CA188A"/>
    <w:rPr>
      <w:sz w:val="16"/>
      <w:szCs w:val="16"/>
    </w:rPr>
  </w:style>
  <w:style w:type="paragraph" w:styleId="CommentText">
    <w:name w:val="annotation text"/>
    <w:basedOn w:val="Normal"/>
    <w:link w:val="CommentTextChar"/>
    <w:uiPriority w:val="99"/>
    <w:semiHidden/>
    <w:unhideWhenUsed/>
    <w:rsid w:val="00CA188A"/>
    <w:pPr>
      <w:spacing w:line="240" w:lineRule="auto"/>
    </w:pPr>
    <w:rPr>
      <w:sz w:val="20"/>
      <w:szCs w:val="20"/>
    </w:rPr>
  </w:style>
  <w:style w:type="character" w:customStyle="1" w:styleId="CommentTextChar">
    <w:name w:val="Comment Text Char"/>
    <w:basedOn w:val="DefaultParagraphFont"/>
    <w:link w:val="CommentText"/>
    <w:uiPriority w:val="99"/>
    <w:semiHidden/>
    <w:rsid w:val="00CA188A"/>
    <w:rPr>
      <w:sz w:val="20"/>
      <w:szCs w:val="20"/>
    </w:rPr>
  </w:style>
  <w:style w:type="paragraph" w:styleId="CommentSubject">
    <w:name w:val="annotation subject"/>
    <w:basedOn w:val="CommentText"/>
    <w:next w:val="CommentText"/>
    <w:link w:val="CommentSubjectChar"/>
    <w:uiPriority w:val="99"/>
    <w:semiHidden/>
    <w:unhideWhenUsed/>
    <w:rsid w:val="00CA188A"/>
    <w:rPr>
      <w:b/>
      <w:bCs/>
    </w:rPr>
  </w:style>
  <w:style w:type="character" w:customStyle="1" w:styleId="CommentSubjectChar">
    <w:name w:val="Comment Subject Char"/>
    <w:basedOn w:val="CommentTextChar"/>
    <w:link w:val="CommentSubject"/>
    <w:uiPriority w:val="99"/>
    <w:semiHidden/>
    <w:rsid w:val="00CA188A"/>
    <w:rPr>
      <w:b/>
      <w:bCs/>
      <w:sz w:val="20"/>
      <w:szCs w:val="20"/>
    </w:rPr>
  </w:style>
  <w:style w:type="paragraph" w:styleId="Header">
    <w:name w:val="header"/>
    <w:basedOn w:val="Normal"/>
    <w:link w:val="HeaderChar"/>
    <w:uiPriority w:val="99"/>
    <w:unhideWhenUsed/>
    <w:rsid w:val="006F55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550D"/>
  </w:style>
  <w:style w:type="paragraph" w:styleId="Footer">
    <w:name w:val="footer"/>
    <w:basedOn w:val="Normal"/>
    <w:link w:val="FooterChar"/>
    <w:uiPriority w:val="99"/>
    <w:unhideWhenUsed/>
    <w:rsid w:val="006F55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55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9312366">
      <w:bodyDiv w:val="1"/>
      <w:marLeft w:val="0"/>
      <w:marRight w:val="0"/>
      <w:marTop w:val="0"/>
      <w:marBottom w:val="0"/>
      <w:divBdr>
        <w:top w:val="none" w:sz="0" w:space="0" w:color="auto"/>
        <w:left w:val="none" w:sz="0" w:space="0" w:color="auto"/>
        <w:bottom w:val="none" w:sz="0" w:space="0" w:color="auto"/>
        <w:right w:val="none" w:sz="0" w:space="0" w:color="auto"/>
      </w:divBdr>
    </w:div>
    <w:div w:id="1329165588">
      <w:bodyDiv w:val="1"/>
      <w:marLeft w:val="0"/>
      <w:marRight w:val="0"/>
      <w:marTop w:val="0"/>
      <w:marBottom w:val="0"/>
      <w:divBdr>
        <w:top w:val="none" w:sz="0" w:space="0" w:color="auto"/>
        <w:left w:val="none" w:sz="0" w:space="0" w:color="auto"/>
        <w:bottom w:val="none" w:sz="0" w:space="0" w:color="auto"/>
        <w:right w:val="none" w:sz="0" w:space="0" w:color="auto"/>
      </w:divBdr>
    </w:div>
    <w:div w:id="1492599566">
      <w:bodyDiv w:val="1"/>
      <w:marLeft w:val="0"/>
      <w:marRight w:val="0"/>
      <w:marTop w:val="0"/>
      <w:marBottom w:val="0"/>
      <w:divBdr>
        <w:top w:val="none" w:sz="0" w:space="0" w:color="auto"/>
        <w:left w:val="none" w:sz="0" w:space="0" w:color="auto"/>
        <w:bottom w:val="none" w:sz="0" w:space="0" w:color="auto"/>
        <w:right w:val="none" w:sz="0" w:space="0" w:color="auto"/>
      </w:divBdr>
    </w:div>
    <w:div w:id="1895970961">
      <w:bodyDiv w:val="1"/>
      <w:marLeft w:val="0"/>
      <w:marRight w:val="0"/>
      <w:marTop w:val="0"/>
      <w:marBottom w:val="0"/>
      <w:divBdr>
        <w:top w:val="none" w:sz="0" w:space="0" w:color="auto"/>
        <w:left w:val="none" w:sz="0" w:space="0" w:color="auto"/>
        <w:bottom w:val="none" w:sz="0" w:space="0" w:color="auto"/>
        <w:right w:val="none" w:sz="0" w:space="0" w:color="auto"/>
      </w:divBdr>
    </w:div>
    <w:div w:id="1992712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B7A82-B602-4546-A9BB-103BCD771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3</Pages>
  <Words>1669</Words>
  <Characters>9515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Hedyeh_2</dc:creator>
  <cp:keywords/>
  <dc:description/>
  <cp:lastModifiedBy>Hedyeh_2</cp:lastModifiedBy>
  <cp:revision>22</cp:revision>
  <dcterms:created xsi:type="dcterms:W3CDTF">2021-06-27T16:14:00Z</dcterms:created>
  <dcterms:modified xsi:type="dcterms:W3CDTF">2022-01-27T01:59:00Z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id="9HPaSe8N"/&gt;&lt;style id="http://www.zotero.org/styles/elsevier-vancouver" hasBibliography="1" bibliographyStyleHasBeenSet="1"/&gt;&lt;prefs&gt;&lt;pref name="fieldType" value="Field"/&gt;&lt;/prefs&gt;&lt;/data&gt;</vt:lpwstr>
  </property>
</Properties>
</file>