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14:paraId="0862F115" w14:textId="6A0D77C2" w:rsidR="00984185" w:rsidRDefault="00984185">
      <w:pPr>
        <w:rPr>
          <w:sz w:val="6"/>
          <w:szCs w:val="6"/>
        </w:rPr>
      </w:pPr>
    </w:p>
    <w:p w14:paraId="21B8381A" w14:textId="334D0321" w:rsidR="005C0567" w:rsidRDefault="005C0567">
      <w:pPr>
        <w:rPr>
          <w:sz w:val="6"/>
          <w:szCs w:val="6"/>
        </w:rPr>
      </w:pPr>
    </w:p>
    <w:p w14:paraId="2C7DDFFB" w14:textId="74067599" w:rsidR="005C0567" w:rsidRDefault="005C0567">
      <w:pPr>
        <w:rPr>
          <w:sz w:val="6"/>
          <w:szCs w:val="6"/>
        </w:rPr>
      </w:pPr>
    </w:p>
    <w:p w14:paraId="36DA717C" w14:textId="7540621C" w:rsidR="005C0567" w:rsidRDefault="005C0567">
      <w:pPr>
        <w:rPr>
          <w:sz w:val="6"/>
          <w:szCs w:val="6"/>
        </w:rPr>
      </w:pPr>
    </w:p>
    <w:p w14:paraId="4200B1A0" w14:textId="2FAB1EDE" w:rsidR="005C0567" w:rsidRDefault="005C0567">
      <w:pPr>
        <w:rPr>
          <w:sz w:val="6"/>
          <w:szCs w:val="6"/>
        </w:rPr>
      </w:pPr>
    </w:p>
    <w:p w14:paraId="52CBF906" w14:textId="77777777" w:rsidR="005C0567" w:rsidRPr="005C0567" w:rsidRDefault="005C0567">
      <w:pPr>
        <w:rPr>
          <w:sz w:val="6"/>
          <w:szCs w:val="6"/>
        </w:rPr>
      </w:pPr>
    </w:p>
    <w:p w14:paraId="2FDD88F4" w14:textId="77777777" w:rsidR="00984185" w:rsidRDefault="00984185" w:rsidP="00984185">
      <w:pPr>
        <w:spacing w:line="240" w:lineRule="auto"/>
      </w:pPr>
    </w:p>
    <w:p w14:paraId="0E25746A" w14:textId="77777777" w:rsidR="00DA7035" w:rsidRPr="005C0567" w:rsidRDefault="00DA7035" w:rsidP="00DA7035">
      <w:pPr>
        <w:spacing w:line="240" w:lineRule="auto"/>
        <w:jc w:val="center"/>
        <w:rPr>
          <w:sz w:val="28"/>
          <w:szCs w:val="28"/>
        </w:rPr>
      </w:pPr>
      <w:r w:rsidRPr="005C0567">
        <w:rPr>
          <w:sz w:val="28"/>
          <w:szCs w:val="28"/>
        </w:rPr>
        <w:t>ABSTRACT</w:t>
      </w:r>
    </w:p>
    <w:p w14:paraId="02A4945E" w14:textId="77777777" w:rsidR="00DA7035" w:rsidRDefault="00DA7035" w:rsidP="00DA7035">
      <w:pPr>
        <w:spacing w:line="240" w:lineRule="auto"/>
        <w:jc w:val="center"/>
      </w:pPr>
    </w:p>
    <w:p w14:paraId="6D3DAFCA" w14:textId="77777777" w:rsidR="00DA7035" w:rsidRDefault="00DA7035" w:rsidP="00DA7035">
      <w:pPr>
        <w:spacing w:line="240" w:lineRule="auto"/>
        <w:jc w:val="center"/>
      </w:pPr>
    </w:p>
    <w:p w14:paraId="451CD6DD" w14:textId="77777777" w:rsidR="00DA7035" w:rsidRDefault="00DA7035" w:rsidP="00DA7035">
      <w:pPr>
        <w:spacing w:line="240" w:lineRule="auto"/>
        <w:jc w:val="center"/>
      </w:pPr>
    </w:p>
    <w:p w14:paraId="4B4B553E" w14:textId="7C340F0B" w:rsidR="00DA7035" w:rsidRDefault="00DA7035" w:rsidP="00DA7035">
      <w:pPr>
        <w:ind w:left="2880" w:hanging="2880"/>
      </w:pPr>
      <w:r>
        <w:t>Title of Thesis:</w:t>
      </w:r>
      <w:r>
        <w:tab/>
        <w:t xml:space="preserve">SUSTAINABLE FARMS: THE ROLE OF HISTORIC PRESERVATION ON WORKING FARMS </w:t>
      </w:r>
    </w:p>
    <w:p w14:paraId="74320620" w14:textId="77777777" w:rsidR="00DA7035" w:rsidRDefault="00DA7035" w:rsidP="00DA7035">
      <w:pPr>
        <w:spacing w:line="240" w:lineRule="auto"/>
        <w:ind w:left="2880" w:hanging="2880"/>
      </w:pPr>
    </w:p>
    <w:p w14:paraId="38D607A0" w14:textId="4A91EF07" w:rsidR="00DA7035" w:rsidRDefault="00DA7035" w:rsidP="00DA7035">
      <w:r>
        <w:t>Degree Candidate:</w:t>
      </w:r>
      <w:r>
        <w:tab/>
      </w:r>
      <w:r>
        <w:tab/>
        <w:t>David L</w:t>
      </w:r>
      <w:r w:rsidR="007A2D5D">
        <w:t>.</w:t>
      </w:r>
      <w:r>
        <w:t xml:space="preserve"> Weir</w:t>
      </w:r>
    </w:p>
    <w:p w14:paraId="48B65BA0" w14:textId="77777777" w:rsidR="00DA7035" w:rsidRDefault="00DA7035" w:rsidP="00DA7035">
      <w:r>
        <w:t>Degree and Year:</w:t>
      </w:r>
      <w:r>
        <w:tab/>
      </w:r>
      <w:r>
        <w:tab/>
        <w:t>Master of Arts in Historic Preservation, 2019</w:t>
      </w:r>
    </w:p>
    <w:p w14:paraId="4BE0FCA2" w14:textId="77777777" w:rsidR="0079383E" w:rsidRDefault="00DA7035" w:rsidP="00DA7035">
      <w:r>
        <w:t>Thesis Directed By:</w:t>
      </w:r>
      <w:r>
        <w:tab/>
      </w:r>
      <w:r>
        <w:tab/>
        <w:t xml:space="preserve">Lauren </w:t>
      </w:r>
      <w:proofErr w:type="spellStart"/>
      <w:r w:rsidR="0079383E">
        <w:t>Schiszik</w:t>
      </w:r>
      <w:proofErr w:type="spellEnd"/>
    </w:p>
    <w:p w14:paraId="0CF8505E" w14:textId="77777777" w:rsidR="0079383E" w:rsidRDefault="0079383E" w:rsidP="00DA7035">
      <w:r>
        <w:tab/>
      </w:r>
      <w:r>
        <w:tab/>
      </w:r>
      <w:r>
        <w:tab/>
      </w:r>
      <w:r>
        <w:tab/>
        <w:t>Welch Center for Graduate and Professional Studies</w:t>
      </w:r>
    </w:p>
    <w:p w14:paraId="25583E58" w14:textId="77777777" w:rsidR="0079383E" w:rsidRDefault="0079383E" w:rsidP="00DA7035">
      <w:r>
        <w:tab/>
      </w:r>
      <w:r>
        <w:tab/>
      </w:r>
      <w:r>
        <w:tab/>
      </w:r>
      <w:r>
        <w:tab/>
        <w:t>Goucher College</w:t>
      </w:r>
    </w:p>
    <w:p w14:paraId="090900C4" w14:textId="77777777" w:rsidR="0079383E" w:rsidRDefault="0079383E" w:rsidP="00DA7035"/>
    <w:p w14:paraId="23F44324" w14:textId="2F7BABC3" w:rsidR="0079383E" w:rsidRDefault="007A2D5D" w:rsidP="00DA7035">
      <w:r>
        <w:tab/>
        <w:t xml:space="preserve">This thesis </w:t>
      </w:r>
      <w:r w:rsidR="00C048CB">
        <w:t xml:space="preserve">was designed to better understand how historic preservation engages with farms and how this can be improved. Historic preservation as practiced in the United States does not engage well with working landscapes. Farms embody both historical context as well as representing a living community. For this reason, they are not strictly a thing to be preserved from the past but also a continuation of historic practices. </w:t>
      </w:r>
      <w:r w:rsidR="002A2321">
        <w:t>This is best represented by seeing farms as Traditional Cultural Properties instead of Cultural Landscapes.</w:t>
      </w:r>
    </w:p>
    <w:p w14:paraId="66D31CF7" w14:textId="1C3D5306" w:rsidR="00051387" w:rsidRDefault="00335AA2" w:rsidP="00335AA2">
      <w:pPr>
        <w:ind w:firstLine="720"/>
        <w:sectPr w:rsidR="00051387" w:rsidSect="00694EB5">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1440" w:footer="720" w:gutter="0"/>
          <w:pgNumType w:fmt="lowerRoman" w:start="1"/>
          <w:cols w:space="720"/>
          <w:titlePg/>
          <w:docGrid w:linePitch="326"/>
        </w:sectPr>
      </w:pPr>
      <w:r>
        <w:t>Due to the complexity of farms--their working nature and need to change and adapt</w:t>
      </w:r>
      <w:r w:rsidR="00073820">
        <w:t>--</w:t>
      </w:r>
      <w:r>
        <w:t xml:space="preserve">historic preservation practice needs to adapt and be more dynamic if it is to engage with these spaces. </w:t>
      </w:r>
      <w:r w:rsidR="00073820">
        <w:t xml:space="preserve">This thesis proposes using values-based </w:t>
      </w:r>
      <w:r w:rsidR="002A2321">
        <w:t>lens</w:t>
      </w:r>
      <w:r w:rsidR="00073820">
        <w:t xml:space="preserve"> and recognizing that farms are a part </w:t>
      </w:r>
    </w:p>
    <w:p w14:paraId="58FE9805" w14:textId="7930F32A" w:rsidR="00335AA2" w:rsidRDefault="00073820" w:rsidP="002A2321">
      <w:r>
        <w:lastRenderedPageBreak/>
        <w:t>of an ecosystem, not the whole</w:t>
      </w:r>
      <w:r w:rsidR="002A2321">
        <w:t xml:space="preserve"> context</w:t>
      </w:r>
      <w:r>
        <w:t xml:space="preserve">. </w:t>
      </w:r>
      <w:r w:rsidR="002A2321">
        <w:t xml:space="preserve">Using the Chesapeake Bay watershed as a resource highlights the relationship between farms and another at risk landscape. </w:t>
      </w:r>
      <w:r>
        <w:t>There is a need for farms to be sustainable and the integrated landscape approach and using the traditional cultural property lens are two important adaptations to historic preservation thinking. Without these adaptations to practice, it will be difficult for historic preservation to aid</w:t>
      </w:r>
      <w:bookmarkStart w:id="0" w:name="_GoBack"/>
      <w:bookmarkEnd w:id="0"/>
      <w:r>
        <w:t xml:space="preserve"> in the future sustainability of farms.</w:t>
      </w:r>
      <w:r w:rsidR="002A2321">
        <w:t xml:space="preserve"> Thinking of farm preservation as a wicked problem helps one to understand the complexity of successful preservation.</w:t>
      </w:r>
    </w:p>
    <w:p w14:paraId="3DD08F3E" w14:textId="4447A2DA" w:rsidR="00073820" w:rsidRDefault="00073820" w:rsidP="00335AA2">
      <w:pPr>
        <w:ind w:firstLine="720"/>
      </w:pPr>
      <w:r>
        <w:t xml:space="preserve">Historic preservation is tasked with preserving elements from the past for the future.  Recognizing that farms are more than a collection of buildings and walls and that it is the continued practice that makes the space important </w:t>
      </w:r>
      <w:r w:rsidR="00603FA4">
        <w:t>involves different approaches. This is very different work from the preservation of the farm architecture. The practices of the farm give value to the land and vice-a-versa. Allowing, and encouraging, farms to change is integral to their survival and sustainability and therefore their long-term preservation.</w:t>
      </w:r>
    </w:p>
    <w:p w14:paraId="67ADEC7D" w14:textId="77777777" w:rsidR="00603FA4" w:rsidRDefault="00603FA4" w:rsidP="00603FA4"/>
    <w:p w14:paraId="4FDAAEC8" w14:textId="77777777" w:rsidR="00051387" w:rsidRDefault="00051387" w:rsidP="00603FA4">
      <w:pPr>
        <w:spacing w:line="240" w:lineRule="auto"/>
        <w:rPr>
          <w:u w:val="single"/>
        </w:rPr>
      </w:pPr>
    </w:p>
    <w:p w14:paraId="4E58A6E9" w14:textId="77777777" w:rsidR="00051387" w:rsidRDefault="00051387" w:rsidP="00603FA4">
      <w:pPr>
        <w:spacing w:line="240" w:lineRule="auto"/>
        <w:rPr>
          <w:u w:val="single"/>
        </w:rPr>
      </w:pPr>
    </w:p>
    <w:p w14:paraId="60AEC841" w14:textId="77777777" w:rsidR="00051387" w:rsidRDefault="00051387" w:rsidP="00603FA4">
      <w:pPr>
        <w:spacing w:line="240" w:lineRule="auto"/>
        <w:rPr>
          <w:u w:val="single"/>
        </w:rPr>
      </w:pPr>
    </w:p>
    <w:p w14:paraId="7AB9731E" w14:textId="77777777" w:rsidR="00051387" w:rsidRDefault="00051387" w:rsidP="00603FA4">
      <w:pPr>
        <w:spacing w:line="240" w:lineRule="auto"/>
        <w:rPr>
          <w:u w:val="single"/>
        </w:rPr>
      </w:pPr>
    </w:p>
    <w:p w14:paraId="17FC90E8" w14:textId="77777777" w:rsidR="00051387" w:rsidRDefault="00051387" w:rsidP="00603FA4">
      <w:pPr>
        <w:spacing w:line="240" w:lineRule="auto"/>
        <w:rPr>
          <w:u w:val="single"/>
        </w:rPr>
      </w:pPr>
    </w:p>
    <w:p w14:paraId="456F6F77" w14:textId="77777777" w:rsidR="00051387" w:rsidRDefault="00051387" w:rsidP="00603FA4">
      <w:pPr>
        <w:spacing w:line="240" w:lineRule="auto"/>
        <w:rPr>
          <w:u w:val="single"/>
        </w:rPr>
      </w:pPr>
    </w:p>
    <w:p w14:paraId="1BBA7412" w14:textId="77777777" w:rsidR="00051387" w:rsidRDefault="00051387" w:rsidP="00603FA4">
      <w:pPr>
        <w:spacing w:line="240" w:lineRule="auto"/>
        <w:rPr>
          <w:u w:val="single"/>
        </w:rPr>
      </w:pPr>
    </w:p>
    <w:p w14:paraId="32A463AF" w14:textId="77777777" w:rsidR="00051387" w:rsidRDefault="00051387" w:rsidP="00603FA4">
      <w:pPr>
        <w:spacing w:line="240" w:lineRule="auto"/>
        <w:rPr>
          <w:u w:val="single"/>
        </w:rPr>
      </w:pPr>
    </w:p>
    <w:p w14:paraId="4320EC7B" w14:textId="77777777" w:rsidR="00051387" w:rsidRDefault="00051387" w:rsidP="00603FA4">
      <w:pPr>
        <w:spacing w:line="240" w:lineRule="auto"/>
        <w:rPr>
          <w:u w:val="single"/>
        </w:rPr>
      </w:pPr>
    </w:p>
    <w:p w14:paraId="30DEBEE1" w14:textId="77777777" w:rsidR="00051387" w:rsidRDefault="00051387" w:rsidP="00603FA4">
      <w:pPr>
        <w:spacing w:line="240" w:lineRule="auto"/>
        <w:rPr>
          <w:u w:val="single"/>
        </w:rPr>
      </w:pPr>
    </w:p>
    <w:p w14:paraId="764A0B1E" w14:textId="77777777" w:rsidR="00051387" w:rsidRDefault="00051387" w:rsidP="00603FA4">
      <w:pPr>
        <w:spacing w:line="240" w:lineRule="auto"/>
        <w:rPr>
          <w:u w:val="single"/>
        </w:rPr>
      </w:pPr>
    </w:p>
    <w:p w14:paraId="47A74748" w14:textId="77777777" w:rsidR="00051387" w:rsidRDefault="00051387" w:rsidP="00603FA4">
      <w:pPr>
        <w:spacing w:line="240" w:lineRule="auto"/>
        <w:rPr>
          <w:u w:val="single"/>
        </w:rPr>
      </w:pPr>
    </w:p>
    <w:p w14:paraId="2D24FC2F" w14:textId="77777777" w:rsidR="00051387" w:rsidRDefault="00051387" w:rsidP="00603FA4">
      <w:pPr>
        <w:spacing w:line="240" w:lineRule="auto"/>
        <w:rPr>
          <w:u w:val="single"/>
        </w:rPr>
      </w:pPr>
    </w:p>
    <w:p w14:paraId="28381F9D" w14:textId="77777777" w:rsidR="00051387" w:rsidRDefault="00051387" w:rsidP="00603FA4">
      <w:pPr>
        <w:spacing w:line="240" w:lineRule="auto"/>
        <w:rPr>
          <w:u w:val="single"/>
        </w:rPr>
      </w:pPr>
    </w:p>
    <w:p w14:paraId="5BD1D80F" w14:textId="77777777" w:rsidR="00603FA4" w:rsidRDefault="00603FA4" w:rsidP="00603FA4">
      <w:pPr>
        <w:spacing w:line="240" w:lineRule="auto"/>
      </w:pPr>
      <w:r w:rsidRPr="00603FA4">
        <w:rPr>
          <w:u w:val="single"/>
        </w:rPr>
        <w:t>Subject Headings:</w:t>
      </w:r>
      <w:r>
        <w:t xml:space="preserve"> historic preservation, traditional cultural properties, cultural landscapes, natural resource management, farms, sustainability, sustainable farms, integrated landscape, Chesapeake Bay, values-based lens, </w:t>
      </w:r>
      <w:r w:rsidR="00051387">
        <w:t xml:space="preserve">wicked problems </w:t>
      </w:r>
    </w:p>
    <w:p w14:paraId="5471106C" w14:textId="5BDD5A86" w:rsidR="002A2321" w:rsidRPr="00603FA4" w:rsidRDefault="002A2321" w:rsidP="00603FA4">
      <w:pPr>
        <w:spacing w:line="240" w:lineRule="auto"/>
        <w:sectPr w:rsidR="002A2321" w:rsidRPr="00603FA4" w:rsidSect="00694EB5">
          <w:pgSz w:w="12240" w:h="15840"/>
          <w:pgMar w:top="1440" w:right="1440" w:bottom="1440" w:left="1440" w:header="1440" w:footer="720" w:gutter="0"/>
          <w:pgNumType w:fmt="lowerRoman" w:start="1"/>
          <w:cols w:space="720"/>
          <w:titlePg/>
          <w:docGrid w:linePitch="326"/>
        </w:sectPr>
      </w:pPr>
    </w:p>
    <w:p w14:paraId="454DED6C" w14:textId="761D34DE" w:rsidR="0079383E" w:rsidRDefault="0079383E">
      <w:pPr>
        <w:rPr>
          <w:sz w:val="6"/>
          <w:szCs w:val="6"/>
        </w:rPr>
      </w:pPr>
    </w:p>
    <w:p w14:paraId="598212BF" w14:textId="4349CA75" w:rsidR="005C0567" w:rsidRDefault="005C0567">
      <w:pPr>
        <w:rPr>
          <w:sz w:val="6"/>
          <w:szCs w:val="6"/>
        </w:rPr>
      </w:pPr>
    </w:p>
    <w:p w14:paraId="5EB18C4A" w14:textId="77777777" w:rsidR="005C0567" w:rsidRPr="005C0567" w:rsidRDefault="005C0567">
      <w:pPr>
        <w:rPr>
          <w:sz w:val="6"/>
          <w:szCs w:val="6"/>
        </w:rPr>
      </w:pPr>
    </w:p>
    <w:p w14:paraId="1C84110C" w14:textId="6934ABA9" w:rsidR="0079383E" w:rsidRPr="007A2D5D" w:rsidRDefault="0079383E" w:rsidP="007A2D5D">
      <w:pPr>
        <w:jc w:val="center"/>
        <w:rPr>
          <w:sz w:val="28"/>
          <w:szCs w:val="28"/>
        </w:rPr>
      </w:pPr>
      <w:r w:rsidRPr="007A2D5D">
        <w:rPr>
          <w:sz w:val="28"/>
          <w:szCs w:val="28"/>
        </w:rPr>
        <w:t>SUSTAINABLE FARMS: THE ROLE OF HISTORIC PRESERVATION ON WORKING FARMS</w:t>
      </w:r>
    </w:p>
    <w:p w14:paraId="24AA6363" w14:textId="37B3A382" w:rsidR="007A2D5D" w:rsidRDefault="007A2D5D" w:rsidP="007A2D5D">
      <w:pPr>
        <w:jc w:val="center"/>
      </w:pPr>
    </w:p>
    <w:p w14:paraId="01948434" w14:textId="39A0676D" w:rsidR="007A2D5D" w:rsidRDefault="007A2D5D" w:rsidP="007A2D5D">
      <w:pPr>
        <w:jc w:val="center"/>
      </w:pPr>
    </w:p>
    <w:p w14:paraId="59ACA4B4" w14:textId="77777777" w:rsidR="007A2D5D" w:rsidRDefault="007A2D5D" w:rsidP="007A2D5D">
      <w:pPr>
        <w:jc w:val="center"/>
      </w:pPr>
    </w:p>
    <w:p w14:paraId="3C364A77" w14:textId="5310A4B6" w:rsidR="0079383E" w:rsidRDefault="0079383E" w:rsidP="0079383E">
      <w:pPr>
        <w:jc w:val="center"/>
      </w:pPr>
      <w:r>
        <w:t>David</w:t>
      </w:r>
      <w:r w:rsidR="007A2D5D">
        <w:t xml:space="preserve"> L.</w:t>
      </w:r>
      <w:r>
        <w:t xml:space="preserve"> Weir</w:t>
      </w:r>
    </w:p>
    <w:p w14:paraId="133D9F0D" w14:textId="77777777" w:rsidR="0079383E" w:rsidRDefault="0079383E" w:rsidP="0079383E">
      <w:pPr>
        <w:jc w:val="center"/>
      </w:pPr>
    </w:p>
    <w:p w14:paraId="59959B41" w14:textId="77777777" w:rsidR="0079383E" w:rsidRDefault="0079383E" w:rsidP="0079383E">
      <w:pPr>
        <w:jc w:val="center"/>
      </w:pPr>
    </w:p>
    <w:p w14:paraId="3E4083AE" w14:textId="77777777" w:rsidR="0079383E" w:rsidRDefault="0079383E" w:rsidP="0079383E">
      <w:pPr>
        <w:jc w:val="center"/>
      </w:pPr>
    </w:p>
    <w:p w14:paraId="68C5C2C1" w14:textId="692508E5" w:rsidR="0079383E" w:rsidRDefault="0079383E" w:rsidP="001A467F">
      <w:pPr>
        <w:jc w:val="center"/>
      </w:pPr>
      <w:r>
        <w:t>Thesis submitted to the Faculty of Goucher College in partial</w:t>
      </w:r>
    </w:p>
    <w:p w14:paraId="3EAD04AA" w14:textId="78106D9B" w:rsidR="0079383E" w:rsidRDefault="001A467F" w:rsidP="0079383E">
      <w:pPr>
        <w:jc w:val="center"/>
      </w:pPr>
      <w:r>
        <w:t>fulfillment of the requirements for the degree of</w:t>
      </w:r>
    </w:p>
    <w:p w14:paraId="672D2A91" w14:textId="77777777" w:rsidR="001A467F" w:rsidRDefault="001A467F" w:rsidP="0079383E">
      <w:pPr>
        <w:jc w:val="center"/>
      </w:pPr>
      <w:r>
        <w:t>Master of Arts in Historic Preservation</w:t>
      </w:r>
    </w:p>
    <w:p w14:paraId="3313974F" w14:textId="77777777" w:rsidR="001A467F" w:rsidRDefault="001A467F" w:rsidP="0079383E">
      <w:pPr>
        <w:jc w:val="center"/>
      </w:pPr>
      <w:r>
        <w:t>2019</w:t>
      </w:r>
    </w:p>
    <w:p w14:paraId="555B52B8" w14:textId="77777777" w:rsidR="001A467F" w:rsidRDefault="001A467F" w:rsidP="0079383E">
      <w:pPr>
        <w:jc w:val="center"/>
      </w:pPr>
    </w:p>
    <w:p w14:paraId="1A298612" w14:textId="77777777" w:rsidR="001A467F" w:rsidRDefault="001A467F" w:rsidP="0079383E">
      <w:pPr>
        <w:jc w:val="center"/>
      </w:pPr>
    </w:p>
    <w:p w14:paraId="69BE3C2B" w14:textId="77777777" w:rsidR="001A467F" w:rsidRDefault="001A467F" w:rsidP="0079383E">
      <w:pPr>
        <w:jc w:val="center"/>
      </w:pPr>
    </w:p>
    <w:p w14:paraId="7B143273" w14:textId="77777777" w:rsidR="001A467F" w:rsidRDefault="001A467F" w:rsidP="001A467F">
      <w:pPr>
        <w:jc w:val="both"/>
      </w:pPr>
      <w:r>
        <w:t>Advisory Committee:</w:t>
      </w:r>
    </w:p>
    <w:p w14:paraId="4B3BB60D" w14:textId="2A91E226" w:rsidR="001A467F" w:rsidRDefault="001A467F" w:rsidP="001A467F">
      <w:pPr>
        <w:jc w:val="both"/>
      </w:pPr>
      <w:r>
        <w:t xml:space="preserve">Lauren </w:t>
      </w:r>
      <w:proofErr w:type="spellStart"/>
      <w:r>
        <w:t>Schiszi</w:t>
      </w:r>
      <w:r w:rsidR="0059515E">
        <w:t>k</w:t>
      </w:r>
      <w:proofErr w:type="spellEnd"/>
      <w:r>
        <w:t>, Director</w:t>
      </w:r>
    </w:p>
    <w:p w14:paraId="230EA281" w14:textId="50944397" w:rsidR="001A467F" w:rsidRDefault="001A467F" w:rsidP="001A467F">
      <w:pPr>
        <w:jc w:val="both"/>
      </w:pPr>
      <w:r>
        <w:t>Brenda Barret</w:t>
      </w:r>
      <w:r w:rsidR="00E47B47">
        <w:t>t</w:t>
      </w:r>
    </w:p>
    <w:p w14:paraId="7F36E294" w14:textId="6939AE33" w:rsidR="001A467F" w:rsidRDefault="001A467F" w:rsidP="001A467F">
      <w:pPr>
        <w:jc w:val="both"/>
        <w:sectPr w:rsidR="001A467F" w:rsidSect="00694EB5">
          <w:pgSz w:w="12240" w:h="15840"/>
          <w:pgMar w:top="1440" w:right="1440" w:bottom="1440" w:left="1440" w:header="1440" w:footer="720" w:gutter="0"/>
          <w:pgNumType w:fmt="lowerRoman" w:start="1"/>
          <w:cols w:space="720"/>
          <w:titlePg/>
          <w:docGrid w:linePitch="326"/>
        </w:sectPr>
      </w:pPr>
      <w:r>
        <w:t xml:space="preserve">Bryan D. Orthel, </w:t>
      </w:r>
      <w:r w:rsidR="00E47B47">
        <w:t>Ph.D.</w:t>
      </w:r>
    </w:p>
    <w:p w14:paraId="0DA76037" w14:textId="77777777" w:rsidR="00E47B47" w:rsidRDefault="00E47B47"/>
    <w:p w14:paraId="75B67F19" w14:textId="77777777" w:rsidR="00E47B47" w:rsidRDefault="00E47B47"/>
    <w:p w14:paraId="54C7C55F" w14:textId="77777777" w:rsidR="00E47B47" w:rsidRDefault="00E47B47"/>
    <w:p w14:paraId="050C5081" w14:textId="77777777" w:rsidR="00E47B47" w:rsidRDefault="00E47B47"/>
    <w:p w14:paraId="74E6D06E" w14:textId="77777777" w:rsidR="00E47B47" w:rsidRDefault="00E47B47"/>
    <w:p w14:paraId="33D291D6" w14:textId="77777777" w:rsidR="00E47B47" w:rsidRDefault="00E47B47"/>
    <w:p w14:paraId="78898B60" w14:textId="77777777" w:rsidR="00E47B47" w:rsidRDefault="00E47B47"/>
    <w:p w14:paraId="6ADBB938" w14:textId="77777777" w:rsidR="00E47B47" w:rsidRDefault="00E47B47"/>
    <w:p w14:paraId="3FA831EC" w14:textId="77777777" w:rsidR="00E47B47" w:rsidRDefault="00E47B47"/>
    <w:p w14:paraId="56B6937C" w14:textId="4D05531E" w:rsidR="00E47B47" w:rsidRDefault="00E47B47">
      <w:pPr>
        <w:rPr>
          <w:sz w:val="6"/>
          <w:szCs w:val="6"/>
        </w:rPr>
      </w:pPr>
    </w:p>
    <w:p w14:paraId="605285E1" w14:textId="58E6FCBA" w:rsidR="00E47B47" w:rsidRDefault="00E47B47">
      <w:pPr>
        <w:rPr>
          <w:sz w:val="6"/>
          <w:szCs w:val="6"/>
        </w:rPr>
      </w:pPr>
    </w:p>
    <w:p w14:paraId="307A4C4E" w14:textId="5ECE12EB" w:rsidR="00E47B47" w:rsidRDefault="00E47B47">
      <w:pPr>
        <w:rPr>
          <w:sz w:val="6"/>
          <w:szCs w:val="6"/>
        </w:rPr>
      </w:pPr>
    </w:p>
    <w:p w14:paraId="22B89F42" w14:textId="1FC2714F" w:rsidR="00E47B47" w:rsidRDefault="00E47B47">
      <w:pPr>
        <w:rPr>
          <w:sz w:val="6"/>
          <w:szCs w:val="6"/>
        </w:rPr>
      </w:pPr>
    </w:p>
    <w:p w14:paraId="01819E5F" w14:textId="77777777" w:rsidR="00E47B47" w:rsidRPr="00E47B47" w:rsidRDefault="00E47B47">
      <w:pPr>
        <w:rPr>
          <w:sz w:val="6"/>
          <w:szCs w:val="6"/>
        </w:rPr>
      </w:pPr>
    </w:p>
    <w:p w14:paraId="2C301E40" w14:textId="77777777" w:rsidR="00E47B47" w:rsidRDefault="00E47B47"/>
    <w:p w14:paraId="372B2DB6" w14:textId="77777777" w:rsidR="00984185" w:rsidRDefault="0079383E" w:rsidP="00E47B47">
      <w:pPr>
        <w:jc w:val="center"/>
      </w:pPr>
      <w:r>
        <w:t xml:space="preserve">Copyright </w:t>
      </w:r>
      <w:r w:rsidR="00E47B47">
        <w:t>by:</w:t>
      </w:r>
    </w:p>
    <w:p w14:paraId="7A634ADC" w14:textId="77777777" w:rsidR="00E47B47" w:rsidRDefault="00E47B47" w:rsidP="00E47B47">
      <w:pPr>
        <w:jc w:val="center"/>
      </w:pPr>
      <w:r>
        <w:t>David Weir</w:t>
      </w:r>
    </w:p>
    <w:p w14:paraId="5EFBF378" w14:textId="1C4F1F28" w:rsidR="00E47B47" w:rsidRDefault="00E47B47" w:rsidP="00E47B47">
      <w:pPr>
        <w:jc w:val="center"/>
        <w:sectPr w:rsidR="00E47B47" w:rsidSect="00694EB5">
          <w:pgSz w:w="12240" w:h="15840"/>
          <w:pgMar w:top="1440" w:right="1440" w:bottom="1440" w:left="1440" w:header="1440" w:footer="720" w:gutter="0"/>
          <w:pgNumType w:fmt="lowerRoman" w:start="1"/>
          <w:cols w:space="720"/>
          <w:titlePg/>
          <w:docGrid w:linePitch="326"/>
        </w:sectPr>
      </w:pPr>
      <w:r>
        <w:t>2019</w:t>
      </w:r>
    </w:p>
    <w:p w14:paraId="5431FAC3" w14:textId="3EEA874B" w:rsidR="00EA53EF" w:rsidRDefault="00EA53EF" w:rsidP="00BE71CE">
      <w:pPr>
        <w:rPr>
          <w:sz w:val="6"/>
          <w:szCs w:val="6"/>
        </w:rPr>
      </w:pPr>
    </w:p>
    <w:p w14:paraId="46550B3B" w14:textId="479CBF1C" w:rsidR="005C0567" w:rsidRDefault="005C0567" w:rsidP="00BE71CE">
      <w:pPr>
        <w:rPr>
          <w:sz w:val="6"/>
          <w:szCs w:val="6"/>
        </w:rPr>
      </w:pPr>
    </w:p>
    <w:p w14:paraId="635C657E" w14:textId="6AAE882F" w:rsidR="005C0567" w:rsidRDefault="005C0567" w:rsidP="00BE71CE">
      <w:pPr>
        <w:rPr>
          <w:sz w:val="6"/>
          <w:szCs w:val="6"/>
        </w:rPr>
      </w:pPr>
    </w:p>
    <w:p w14:paraId="44AB651D" w14:textId="77777777" w:rsidR="005C0567" w:rsidRPr="005C0567" w:rsidRDefault="005C0567" w:rsidP="00BE71CE">
      <w:pPr>
        <w:rPr>
          <w:sz w:val="6"/>
          <w:szCs w:val="6"/>
        </w:rPr>
      </w:pPr>
    </w:p>
    <w:p w14:paraId="41D33763" w14:textId="77777777" w:rsidR="00EA53EF" w:rsidRDefault="00EA53EF" w:rsidP="00767EC3">
      <w:pPr>
        <w:jc w:val="center"/>
        <w:rPr>
          <w:sz w:val="28"/>
          <w:szCs w:val="28"/>
        </w:rPr>
      </w:pPr>
    </w:p>
    <w:p w14:paraId="446BC7B4" w14:textId="1C6DF816" w:rsidR="00767EC3" w:rsidRPr="00767EC3" w:rsidRDefault="00767EC3" w:rsidP="00767EC3">
      <w:pPr>
        <w:jc w:val="center"/>
        <w:rPr>
          <w:sz w:val="28"/>
          <w:szCs w:val="28"/>
        </w:rPr>
      </w:pPr>
      <w:r w:rsidRPr="00767EC3">
        <w:rPr>
          <w:sz w:val="28"/>
          <w:szCs w:val="28"/>
        </w:rPr>
        <w:t>PREFACE: MY RELATIONSHIP WITH A FARM</w:t>
      </w:r>
    </w:p>
    <w:p w14:paraId="75D92C63" w14:textId="77777777" w:rsidR="00767EC3" w:rsidRDefault="00767EC3" w:rsidP="00767EC3"/>
    <w:p w14:paraId="2788D6AA" w14:textId="77777777" w:rsidR="00767EC3" w:rsidRPr="007D2107" w:rsidRDefault="00767EC3" w:rsidP="00767EC3">
      <w:r>
        <w:tab/>
      </w:r>
      <w:r w:rsidRPr="00F14C20">
        <w:t>How do you preserve a farm? I have been asking myself this question since I was very young. In fact, farm preservation was the business of my family, saving our own farm. By focusing on saving the open spaces of our family farm, my uncles and grandparents helped to start a movement in the town that emphasized open space preservation. I did not (and to some degree still don’t) see the difference between land conservation and historic preservation. To my mind, they are both aimed at saving places. I never saw a clear distinction between the buildings on the farm and the land surrounding them. It is all part of the heritage that was passed on to me and reinforced through objects and stories</w:t>
      </w:r>
      <w:r w:rsidRPr="007D2107">
        <w:t xml:space="preserve">. </w:t>
      </w:r>
      <w:r w:rsidRPr="007D2107">
        <w:rPr>
          <w:highlight w:val="white"/>
        </w:rPr>
        <w:t>Because ours meant so much to my family, I assumed this was how everyone felt about farms. However, even for those who do care deeply about farms, it is not always an easy decision to preserve the farm rather than sell it to be used for other purposes.</w:t>
      </w:r>
      <w:r w:rsidRPr="007D2107">
        <w:t xml:space="preserve"> </w:t>
      </w:r>
    </w:p>
    <w:p w14:paraId="47A0059C" w14:textId="77777777" w:rsidR="00767EC3" w:rsidRPr="00F14C20" w:rsidRDefault="00767EC3" w:rsidP="00767EC3">
      <w:r w:rsidRPr="00F14C20">
        <w:tab/>
        <w:t>Working through a master’s degree, I know conceptually that there are differences between land conservation and historic preservation. There are different core values for each discipline. That said, they complement each other in the working landscape of farms.</w:t>
      </w:r>
    </w:p>
    <w:p w14:paraId="610400F2" w14:textId="4F8A4D49" w:rsidR="00767EC3" w:rsidRPr="00F14C20" w:rsidRDefault="00767EC3" w:rsidP="00767EC3">
      <w:pPr>
        <w:ind w:firstLine="720"/>
      </w:pPr>
      <w:r w:rsidRPr="00F14C20">
        <w:t xml:space="preserve"> I believe two things about farm preservation now that I did not know when I was younger: one, the field of historic preservation is ill-equipped to deal with farms and, two, the preservation of farms involves deep layers of context that are difficult to parse. To the former </w:t>
      </w:r>
      <w:r w:rsidRPr="00F14C20">
        <w:lastRenderedPageBreak/>
        <w:t xml:space="preserve">point, historic preservation and preservation are not always the same thing but are conflated at times in the minds of the non-practitioner. They do not </w:t>
      </w:r>
      <w:r w:rsidRPr="00F14C20">
        <w:rPr>
          <w:i/>
        </w:rPr>
        <w:t>have</w:t>
      </w:r>
      <w:r w:rsidRPr="00F14C20">
        <w:t xml:space="preserve"> to be completely separate fields, and they have not always been. To the second point, regarding layers of context, there are few things that historic preservation engages with as complex as a working landscape due to the environmental implications of a working </w:t>
      </w:r>
      <w:r w:rsidR="002C0E5F">
        <w:t>space</w:t>
      </w:r>
      <w:r w:rsidRPr="00F14C20">
        <w:t xml:space="preserve"> that is deeply tied to the larger landscape through commerce, people and environment. An understanding these two approaches is integral to th</w:t>
      </w:r>
      <w:r w:rsidR="002C0E5F">
        <w:t>is thesis</w:t>
      </w:r>
      <w:r w:rsidRPr="00F14C20">
        <w:t>. The two topics are intertwined, affecting each other and developing further complexity.</w:t>
      </w:r>
    </w:p>
    <w:p w14:paraId="71A5247E" w14:textId="1D74A971" w:rsidR="00767EC3" w:rsidRPr="00F14C20" w:rsidRDefault="00767EC3" w:rsidP="00767EC3">
      <w:pPr>
        <w:ind w:firstLine="720"/>
      </w:pPr>
      <w:r w:rsidRPr="00F14C20">
        <w:t xml:space="preserve">In the following chapters, I try to </w:t>
      </w:r>
      <w:r w:rsidR="0079383E" w:rsidRPr="00F14C20">
        <w:t>separate</w:t>
      </w:r>
      <w:r w:rsidRPr="00F14C20">
        <w:t xml:space="preserve"> preservation and historic preservation. </w:t>
      </w:r>
      <w:r w:rsidR="002C0E5F">
        <w:t>I</w:t>
      </w:r>
      <w:r w:rsidRPr="00F14C20">
        <w:t>n Chapter</w:t>
      </w:r>
      <w:r w:rsidR="002C0E5F">
        <w:t>s I</w:t>
      </w:r>
      <w:r w:rsidRPr="00F14C20">
        <w:t xml:space="preserve"> and III, I give more detailed explanations of the differences. In general, preservation can be considered as working with the environment and in these pages the </w:t>
      </w:r>
      <w:r w:rsidR="002C0E5F">
        <w:t>practice</w:t>
      </w:r>
      <w:r w:rsidRPr="00F14C20">
        <w:t xml:space="preserve"> is often represented by conservationists. Historic preservation deals more with the interaction between people and place. In landscapes like farms, the two practices come together but with different focuses. In </w:t>
      </w:r>
      <w:r w:rsidRPr="00F14C20">
        <w:rPr>
          <w:i/>
        </w:rPr>
        <w:t>farm preservation</w:t>
      </w:r>
      <w:r w:rsidRPr="00F14C20">
        <w:t xml:space="preserve"> there is an opportunity for the two fields to come together with the same focus. This becomes the landscape approach, where multidisciplinary thinking is the best way to understanding working farms.</w:t>
      </w:r>
    </w:p>
    <w:p w14:paraId="40CF49E2" w14:textId="4AC1A6A5" w:rsidR="00497FA4" w:rsidRPr="00497FA4" w:rsidRDefault="00767EC3" w:rsidP="00497FA4">
      <w:pPr>
        <w:ind w:firstLine="720"/>
      </w:pPr>
      <w:r w:rsidRPr="00F14C20">
        <w:t>Complexity of sites is a challenge facing historic preservation</w:t>
      </w:r>
      <w:r w:rsidR="00497FA4" w:rsidRPr="00F14C20">
        <w:t>.</w:t>
      </w:r>
      <w:r w:rsidRPr="00F14C20">
        <w:t xml:space="preserve"> This focus should occur with the inclusion of other groups that work in the field of landscapes.</w:t>
      </w:r>
      <w:r>
        <w:t xml:space="preserve"> </w:t>
      </w:r>
      <w:r w:rsidR="00497FA4" w:rsidRPr="00497FA4">
        <w:t xml:space="preserve">I am using the term more broadly than just historic preservation’s landscape approach. Part of the writing of this paper was coming to understand that many different disciplines are concerned with the topics of sustainability on farms and in landscapes. In this way of thinking, many disciplines can partake in the </w:t>
      </w:r>
      <w:r w:rsidR="00497FA4" w:rsidRPr="00497FA4">
        <w:rPr>
          <w:i/>
        </w:rPr>
        <w:t>field of landscapes</w:t>
      </w:r>
      <w:r w:rsidR="00497FA4" w:rsidRPr="00497FA4">
        <w:t xml:space="preserve">, it is not reserved for one specialty though each can have a targeted </w:t>
      </w:r>
      <w:r w:rsidR="00497FA4" w:rsidRPr="00497FA4">
        <w:lastRenderedPageBreak/>
        <w:t>interest that helps to understand a better path to preservation and sustainability. A cross disciplinary approach is encouraged for farms in this thesis.</w:t>
      </w:r>
    </w:p>
    <w:p w14:paraId="3430A092" w14:textId="59B2D9D1" w:rsidR="00767EC3" w:rsidRDefault="00767EC3" w:rsidP="00497FA4">
      <w:pPr>
        <w:ind w:firstLine="720"/>
      </w:pPr>
      <w:r>
        <w:t xml:space="preserve">Historic preservation focus has historically </w:t>
      </w:r>
      <w:r w:rsidR="002C0E5F">
        <w:t xml:space="preserve">been </w:t>
      </w:r>
      <w:r>
        <w:t xml:space="preserve">on sites that are considered important for </w:t>
      </w:r>
      <w:r w:rsidR="002C0E5F">
        <w:t>their</w:t>
      </w:r>
      <w:r>
        <w:t xml:space="preserve"> connections with important or significant individuals or events. Historic preservation has a long relationship with the house museum, but it is more recently that </w:t>
      </w:r>
      <w:r w:rsidR="00F14C20">
        <w:t>historic preservation</w:t>
      </w:r>
      <w:r>
        <w:t xml:space="preserve"> </w:t>
      </w:r>
      <w:r w:rsidR="00F14C20">
        <w:t>is</w:t>
      </w:r>
      <w:r>
        <w:t xml:space="preserve"> expanding to include lesser known narratives, such as places that appear simpler in design and have traditionally gone unrecognized but are vital parts of American history. This includes landscapes.</w:t>
      </w:r>
    </w:p>
    <w:p w14:paraId="488CCA9E" w14:textId="1F9514DE" w:rsidR="00767EC3" w:rsidRDefault="00767EC3" w:rsidP="00767EC3">
      <w:pPr>
        <w:ind w:firstLine="720"/>
      </w:pPr>
      <w:r>
        <w:t xml:space="preserve">I want </w:t>
      </w:r>
      <w:r>
        <w:rPr>
          <w:i/>
        </w:rPr>
        <w:t>my family’s</w:t>
      </w:r>
      <w:r>
        <w:t xml:space="preserve"> farm to survive. </w:t>
      </w:r>
      <w:r w:rsidR="002C0E5F">
        <w:t>My childhood summers were spent on the family farm.</w:t>
      </w:r>
      <w:r>
        <w:t xml:space="preserve"> I have grown New England crop rocks and sown orchard grass and corn. But that is nothing compared to what my grandfather, Warren Flint, went through. At the end of a summer with my grandparents and uncles, I would go home. I am a continuation of practice and of a family heritage, but I did not rely on farm work to eat, and I never felt the full pressure of preserving the heritage</w:t>
      </w:r>
      <w:r w:rsidR="002C0E5F">
        <w:t xml:space="preserve"> through my labors</w:t>
      </w:r>
      <w:r>
        <w:t xml:space="preserve">. My grandfather gave up dreams of college when the farm fell on hard times. His ancestors gave money to the formation of Harvard University and his mother graduated from the first class at Radcliffe College. Wanting a college education was part of who he was, but it was second to keeping the farm from defaulting. He took care of his family with a dairy herd and ploughed gardens with team horses--Queenie and </w:t>
      </w:r>
      <w:proofErr w:type="spellStart"/>
      <w:r>
        <w:t>Baerta</w:t>
      </w:r>
      <w:proofErr w:type="spellEnd"/>
      <w:r>
        <w:t>--for 25 cents during the Great Depression. In 1949, Warren qualified his farm for the</w:t>
      </w:r>
      <w:r w:rsidR="009A1EAB">
        <w:t xml:space="preserve"> </w:t>
      </w:r>
      <w:r>
        <w:t xml:space="preserve">Green Pasture </w:t>
      </w:r>
      <w:r>
        <w:lastRenderedPageBreak/>
        <w:t>Club. At that time, this New England group advocated for better pastures and forage management, policies that have a positive environmental impact.</w:t>
      </w:r>
      <w:r>
        <w:rPr>
          <w:vertAlign w:val="superscript"/>
        </w:rPr>
        <w:footnoteReference w:id="2"/>
      </w:r>
    </w:p>
    <w:p w14:paraId="5C45F779" w14:textId="77777777" w:rsidR="00767EC3" w:rsidRDefault="00767EC3" w:rsidP="00767EC3">
      <w:pPr>
        <w:ind w:firstLine="720"/>
      </w:pPr>
      <w:r>
        <w:t>This year our family is discussing new, more environmentally sound ideas for the farm. The hay crops are being overrun by weeds and need to be reseeded. In the past, this meant attaching the three-bottom plow and sending waves of soil behind the tractor, siting trees across the field to create the straightest furrow. This</w:t>
      </w:r>
      <w:r w:rsidR="002C0E5F">
        <w:t xml:space="preserve"> hard and </w:t>
      </w:r>
      <w:r w:rsidR="00C94DCE">
        <w:t>time-consuming</w:t>
      </w:r>
      <w:r w:rsidR="002C0E5F">
        <w:t xml:space="preserve"> work</w:t>
      </w:r>
      <w:r>
        <w:t xml:space="preserve"> will most likely not happen this year. Not enough people have the time to work a field like that on this farm. Instead, we are talking about conservation tillage, which is an expensive way to get new seed in the ground, but one that is more environmentally sensitive than traditional whole field ploughing. That is, if the town allows the herbicide needed to keep weeds under control.</w:t>
      </w:r>
    </w:p>
    <w:p w14:paraId="0333C244" w14:textId="77777777" w:rsidR="00767EC3" w:rsidRDefault="00767EC3" w:rsidP="00767EC3">
      <w:pPr>
        <w:ind w:firstLine="720"/>
      </w:pPr>
      <w:r>
        <w:t xml:space="preserve">There is not always a good solution. In the past decade we have talked more and more about what we want the farm to look like. Our farm has been many different things over </w:t>
      </w:r>
      <w:r w:rsidR="002C0E5F">
        <w:t xml:space="preserve">the </w:t>
      </w:r>
      <w:r>
        <w:t>300 years that it has been in the family, and it will need to keep evolving if it is to remain a farm.</w:t>
      </w:r>
      <w:r>
        <w:rPr>
          <w:vertAlign w:val="superscript"/>
        </w:rPr>
        <w:footnoteReference w:id="3"/>
      </w:r>
      <w:r>
        <w:t xml:space="preserve"> The conservation and agricultural easements that protect the land from development and alteration require that the stone walls need to be maintained and the brush must be kept under control, so at least there will be fields even if they aren’t worked.</w:t>
      </w:r>
    </w:p>
    <w:p w14:paraId="73B04DFE" w14:textId="77777777" w:rsidR="00767EC3" w:rsidRDefault="00767EC3" w:rsidP="00694EB5">
      <w:pPr>
        <w:ind w:firstLine="720"/>
      </w:pPr>
      <w:r>
        <w:t xml:space="preserve">I want my family’s farm to survive in a changing world, and I realize my family’s farm is not particularly special. </w:t>
      </w:r>
      <w:r w:rsidR="002C0E5F">
        <w:t xml:space="preserve">But it is special to us and the town. </w:t>
      </w:r>
      <w:r>
        <w:t xml:space="preserve">Farms are important for how they </w:t>
      </w:r>
      <w:r>
        <w:lastRenderedPageBreak/>
        <w:t>affect the passerby, what they mean to historic patterns, what they contribute to the economy and, at least for me, they are a place for grounding--remembering where part of my family comes from. They need to be supported. They need to adapt to changing values, both on the farm and in society. Farming is rarely easy.</w:t>
      </w:r>
    </w:p>
    <w:p w14:paraId="5B8C1FD6" w14:textId="77777777" w:rsidR="00C4601E" w:rsidRDefault="00C4601E">
      <w:r>
        <w:rPr>
          <w:b/>
          <w:bCs/>
        </w:rPr>
        <w:br w:type="page"/>
      </w:r>
    </w:p>
    <w:p w14:paraId="7F1F4DA3" w14:textId="77777777" w:rsidR="00D158BE" w:rsidRDefault="00D158BE"/>
    <w:p w14:paraId="65301E87" w14:textId="77777777" w:rsidR="00D158BE" w:rsidRDefault="00D158BE"/>
    <w:p w14:paraId="3EA78D44" w14:textId="77777777" w:rsidR="00D158BE" w:rsidRDefault="00D158BE"/>
    <w:p w14:paraId="77CAFB56" w14:textId="77777777" w:rsidR="00D158BE" w:rsidRDefault="00D158BE"/>
    <w:p w14:paraId="7AA048AD" w14:textId="77777777" w:rsidR="00D158BE" w:rsidRDefault="00D158BE"/>
    <w:p w14:paraId="146A0529" w14:textId="77777777" w:rsidR="00D158BE" w:rsidRDefault="00D158BE"/>
    <w:p w14:paraId="4520711D" w14:textId="77777777" w:rsidR="00D158BE" w:rsidRDefault="00D158BE"/>
    <w:p w14:paraId="0838C5B4" w14:textId="77777777" w:rsidR="00D158BE" w:rsidRDefault="00D158BE"/>
    <w:p w14:paraId="3614B475" w14:textId="77777777" w:rsidR="00D158BE" w:rsidRDefault="00D158BE"/>
    <w:p w14:paraId="02A131F9" w14:textId="77777777" w:rsidR="00D158BE" w:rsidRDefault="00D158BE"/>
    <w:p w14:paraId="091737AD" w14:textId="264AB1A2" w:rsidR="00D158BE" w:rsidRDefault="00D158BE">
      <w:pPr>
        <w:rPr>
          <w:sz w:val="6"/>
          <w:szCs w:val="6"/>
        </w:rPr>
      </w:pPr>
    </w:p>
    <w:p w14:paraId="1A8D5CE9" w14:textId="3C320DF1" w:rsidR="00D158BE" w:rsidRDefault="00D158BE">
      <w:pPr>
        <w:rPr>
          <w:sz w:val="6"/>
          <w:szCs w:val="6"/>
        </w:rPr>
      </w:pPr>
    </w:p>
    <w:p w14:paraId="674DB256" w14:textId="1A75A7A9" w:rsidR="00D158BE" w:rsidRDefault="00D158BE">
      <w:pPr>
        <w:rPr>
          <w:sz w:val="6"/>
          <w:szCs w:val="6"/>
        </w:rPr>
      </w:pPr>
    </w:p>
    <w:p w14:paraId="2EADB58B" w14:textId="591A6358" w:rsidR="0001734B" w:rsidRDefault="0001734B">
      <w:pPr>
        <w:rPr>
          <w:sz w:val="6"/>
          <w:szCs w:val="6"/>
        </w:rPr>
      </w:pPr>
    </w:p>
    <w:p w14:paraId="64621C9B" w14:textId="22F046E5" w:rsidR="0001734B" w:rsidRDefault="0001734B">
      <w:pPr>
        <w:rPr>
          <w:sz w:val="6"/>
          <w:szCs w:val="6"/>
        </w:rPr>
      </w:pPr>
    </w:p>
    <w:p w14:paraId="76DC77D6" w14:textId="02EE32E0" w:rsidR="0001734B" w:rsidRDefault="0001734B">
      <w:pPr>
        <w:rPr>
          <w:sz w:val="6"/>
          <w:szCs w:val="6"/>
        </w:rPr>
      </w:pPr>
    </w:p>
    <w:p w14:paraId="07225EAC" w14:textId="4C968ECE" w:rsidR="0001734B" w:rsidRDefault="0001734B">
      <w:pPr>
        <w:rPr>
          <w:sz w:val="6"/>
          <w:szCs w:val="6"/>
        </w:rPr>
      </w:pPr>
    </w:p>
    <w:p w14:paraId="46F146A6" w14:textId="31302659" w:rsidR="0001734B" w:rsidRDefault="0001734B">
      <w:pPr>
        <w:rPr>
          <w:sz w:val="6"/>
          <w:szCs w:val="6"/>
        </w:rPr>
      </w:pPr>
    </w:p>
    <w:p w14:paraId="1F3BE838" w14:textId="5848758C" w:rsidR="0001734B" w:rsidRDefault="0001734B">
      <w:pPr>
        <w:rPr>
          <w:sz w:val="6"/>
          <w:szCs w:val="6"/>
        </w:rPr>
      </w:pPr>
    </w:p>
    <w:p w14:paraId="6ED26774" w14:textId="18D7C70D" w:rsidR="0001734B" w:rsidRDefault="0001734B">
      <w:pPr>
        <w:rPr>
          <w:sz w:val="6"/>
          <w:szCs w:val="6"/>
        </w:rPr>
      </w:pPr>
    </w:p>
    <w:p w14:paraId="28FC0595" w14:textId="676EE005" w:rsidR="0001734B" w:rsidRDefault="0001734B">
      <w:pPr>
        <w:rPr>
          <w:sz w:val="6"/>
          <w:szCs w:val="6"/>
        </w:rPr>
      </w:pPr>
    </w:p>
    <w:p w14:paraId="2395172E" w14:textId="29A700C0" w:rsidR="0001734B" w:rsidRDefault="0001734B">
      <w:pPr>
        <w:rPr>
          <w:sz w:val="6"/>
          <w:szCs w:val="6"/>
        </w:rPr>
      </w:pPr>
    </w:p>
    <w:p w14:paraId="06D492B5" w14:textId="77777777" w:rsidR="0001734B" w:rsidRPr="00D158BE" w:rsidRDefault="0001734B">
      <w:pPr>
        <w:rPr>
          <w:sz w:val="6"/>
          <w:szCs w:val="6"/>
        </w:rPr>
      </w:pPr>
    </w:p>
    <w:p w14:paraId="58810491" w14:textId="77777777" w:rsidR="00D158BE" w:rsidRDefault="00D158BE"/>
    <w:p w14:paraId="540D88EC" w14:textId="77777777" w:rsidR="00D158BE" w:rsidRDefault="00D158BE"/>
    <w:p w14:paraId="511C2A54" w14:textId="77777777" w:rsidR="00356744" w:rsidRDefault="0001734B" w:rsidP="0001734B">
      <w:pPr>
        <w:jc w:val="center"/>
      </w:pPr>
      <w:r>
        <w:t>For Caroline, I traded time with you for this work but your smile and love never wavered.</w:t>
      </w:r>
      <w:r w:rsidR="00356744">
        <w:t xml:space="preserve"> </w:t>
      </w:r>
    </w:p>
    <w:p w14:paraId="449BBEC2" w14:textId="665031A2" w:rsidR="00767EC3" w:rsidRDefault="00356744" w:rsidP="0001734B">
      <w:pPr>
        <w:jc w:val="center"/>
        <w:rPr>
          <w:sz w:val="28"/>
          <w:szCs w:val="28"/>
        </w:rPr>
      </w:pPr>
      <w:r>
        <w:t xml:space="preserve">It was not a </w:t>
      </w:r>
      <w:r w:rsidR="001A77DB">
        <w:t>balanced</w:t>
      </w:r>
      <w:r>
        <w:t xml:space="preserve"> trade.</w:t>
      </w:r>
      <w:r w:rsidR="00E307C6">
        <w:t xml:space="preserve"> But, hopefully you will love the farm the way I have and maybe we can spend some time there and I can share what my grandparents taught me.</w:t>
      </w:r>
      <w:r w:rsidR="00767EC3">
        <w:br w:type="page"/>
      </w:r>
    </w:p>
    <w:p w14:paraId="1177FFEB" w14:textId="43A18A66" w:rsidR="00407A27" w:rsidRDefault="00407A27" w:rsidP="00767EC3">
      <w:pPr>
        <w:rPr>
          <w:sz w:val="6"/>
          <w:szCs w:val="6"/>
        </w:rPr>
      </w:pPr>
    </w:p>
    <w:p w14:paraId="27475574" w14:textId="76A61A47" w:rsidR="00407A27" w:rsidRDefault="00407A27" w:rsidP="00767EC3">
      <w:pPr>
        <w:rPr>
          <w:sz w:val="6"/>
          <w:szCs w:val="6"/>
        </w:rPr>
      </w:pPr>
    </w:p>
    <w:p w14:paraId="5D4B1F82" w14:textId="2604B909" w:rsidR="00407A27" w:rsidRDefault="00407A27" w:rsidP="00767EC3">
      <w:pPr>
        <w:rPr>
          <w:sz w:val="6"/>
          <w:szCs w:val="6"/>
        </w:rPr>
      </w:pPr>
    </w:p>
    <w:p w14:paraId="1E3B5CF2" w14:textId="66697F1C" w:rsidR="00407A27" w:rsidRDefault="00407A27" w:rsidP="00767EC3">
      <w:pPr>
        <w:rPr>
          <w:sz w:val="6"/>
          <w:szCs w:val="6"/>
        </w:rPr>
      </w:pPr>
    </w:p>
    <w:p w14:paraId="783E5525" w14:textId="0A5575F0" w:rsidR="00407A27" w:rsidRDefault="00407A27" w:rsidP="00767EC3">
      <w:pPr>
        <w:rPr>
          <w:sz w:val="6"/>
          <w:szCs w:val="6"/>
        </w:rPr>
      </w:pPr>
    </w:p>
    <w:p w14:paraId="0B9A37A8" w14:textId="3655D5BD" w:rsidR="00407A27" w:rsidRDefault="00407A27" w:rsidP="00767EC3">
      <w:pPr>
        <w:rPr>
          <w:sz w:val="6"/>
          <w:szCs w:val="6"/>
        </w:rPr>
      </w:pPr>
    </w:p>
    <w:p w14:paraId="15F585DC" w14:textId="071D065E" w:rsidR="00407A27" w:rsidRDefault="00407A27" w:rsidP="00767EC3">
      <w:pPr>
        <w:rPr>
          <w:sz w:val="6"/>
          <w:szCs w:val="6"/>
        </w:rPr>
      </w:pPr>
    </w:p>
    <w:p w14:paraId="7F89F586" w14:textId="6A9D0A6A" w:rsidR="00407A27" w:rsidRDefault="00407A27" w:rsidP="00767EC3">
      <w:pPr>
        <w:rPr>
          <w:sz w:val="6"/>
          <w:szCs w:val="6"/>
        </w:rPr>
      </w:pPr>
    </w:p>
    <w:p w14:paraId="25A584B6" w14:textId="77777777" w:rsidR="00407A27" w:rsidRPr="00407A27" w:rsidRDefault="00407A27" w:rsidP="00767EC3">
      <w:pPr>
        <w:rPr>
          <w:sz w:val="6"/>
          <w:szCs w:val="6"/>
        </w:rPr>
      </w:pPr>
    </w:p>
    <w:p w14:paraId="5329575E" w14:textId="4C190328" w:rsidR="00C4601E" w:rsidRPr="00185D0F" w:rsidRDefault="0001734B" w:rsidP="00185D0F">
      <w:pPr>
        <w:spacing w:line="240" w:lineRule="auto"/>
        <w:jc w:val="center"/>
        <w:rPr>
          <w:sz w:val="28"/>
          <w:szCs w:val="28"/>
        </w:rPr>
      </w:pPr>
      <w:r w:rsidRPr="00185D0F">
        <w:rPr>
          <w:sz w:val="28"/>
          <w:szCs w:val="28"/>
        </w:rPr>
        <w:t>ACKNOWLEDGEMENTS</w:t>
      </w:r>
    </w:p>
    <w:p w14:paraId="769AE148" w14:textId="2EC17980" w:rsidR="00407A27" w:rsidRDefault="00407A27" w:rsidP="00407A27">
      <w:pPr>
        <w:spacing w:line="240" w:lineRule="auto"/>
      </w:pPr>
    </w:p>
    <w:p w14:paraId="4F5EDE2B" w14:textId="057DFA15" w:rsidR="00407A27" w:rsidRDefault="00407A27" w:rsidP="00407A27">
      <w:pPr>
        <w:spacing w:line="240" w:lineRule="auto"/>
      </w:pPr>
    </w:p>
    <w:p w14:paraId="4CEF9EAB" w14:textId="1FA6D1F3" w:rsidR="00407A27" w:rsidRDefault="00407A27" w:rsidP="00407A27">
      <w:pPr>
        <w:spacing w:line="240" w:lineRule="auto"/>
      </w:pPr>
    </w:p>
    <w:p w14:paraId="5DD12A39" w14:textId="7CE7A237" w:rsidR="00407A27" w:rsidRDefault="00407A27" w:rsidP="00407A27">
      <w:r>
        <w:tab/>
        <w:t xml:space="preserve">This thesis was not possible without a lot of assistance and support. My wife Katie and sister in law Kathryn showed amazing patience reading and re-reading my pages. They now know more about historic preservation and </w:t>
      </w:r>
      <w:r w:rsidRPr="00F14C20">
        <w:t>farms</w:t>
      </w:r>
      <w:r>
        <w:t xml:space="preserve"> than they probably ever wanted to. Katie in particular never gave up on this endeavor, not only reading the thesis but keeping our house together. </w:t>
      </w:r>
      <w:r w:rsidR="00E307C6">
        <w:t>The best thanks I can give my wife is to successfully complete this project and rejoin the family.</w:t>
      </w:r>
    </w:p>
    <w:p w14:paraId="029D6756" w14:textId="2D0C44D0" w:rsidR="00407A27" w:rsidRDefault="00407A27" w:rsidP="00407A27">
      <w:r>
        <w:tab/>
        <w:t xml:space="preserve">I also owe my grandparents, Warren and Margaret Flint. </w:t>
      </w:r>
      <w:r w:rsidR="00185D0F">
        <w:t xml:space="preserve">Grandmother </w:t>
      </w:r>
      <w:r>
        <w:t xml:space="preserve">gave me a love of history and place. </w:t>
      </w:r>
      <w:r w:rsidR="00185D0F">
        <w:t>She and I</w:t>
      </w:r>
      <w:r>
        <w:t xml:space="preserve"> spent my early summers on the farm talking about the family history and visiting Minuteman National Park. When I was old enough to work with my grandfather in the fields, he reinforced my grandmother’s lessons but added a conservation ethos</w:t>
      </w:r>
      <w:r w:rsidR="00185D0F">
        <w:t xml:space="preserve"> and a hard work ethic. </w:t>
      </w:r>
    </w:p>
    <w:p w14:paraId="4AB8A40C" w14:textId="5F648AA0" w:rsidR="00185D0F" w:rsidRDefault="00185D0F" w:rsidP="00407A27">
      <w:r>
        <w:tab/>
        <w:t xml:space="preserve">Finally, there are all the people that pushed me to go this far. John and Esther Sprinkle, Dennis Pogue, Eleanor Breen, and John O’Rourke were always there to push me and point me in the right direction when I had questions. </w:t>
      </w:r>
    </w:p>
    <w:p w14:paraId="4059D0C6" w14:textId="7E417CF2" w:rsidR="00BE71CE" w:rsidRDefault="00BE71CE">
      <w:r>
        <w:br w:type="page"/>
      </w:r>
    </w:p>
    <w:p w14:paraId="31633DD6" w14:textId="77777777" w:rsidR="00767EC3" w:rsidRPr="00767EC3" w:rsidRDefault="00767EC3" w:rsidP="00767EC3"/>
    <w:sdt>
      <w:sdtPr>
        <w:rPr>
          <w:rFonts w:eastAsia="Times New Roman"/>
          <w:color w:val="auto"/>
          <w:sz w:val="24"/>
          <w:szCs w:val="24"/>
          <w:lang w:val="en"/>
        </w:rPr>
        <w:id w:val="294109206"/>
        <w:docPartObj>
          <w:docPartGallery w:val="Table of Contents"/>
          <w:docPartUnique/>
        </w:docPartObj>
      </w:sdtPr>
      <w:sdtEndPr>
        <w:rPr>
          <w:rFonts w:eastAsiaTheme="majorEastAsia"/>
          <w:noProof/>
          <w:color w:val="365F91" w:themeColor="accent1" w:themeShade="BF"/>
          <w:sz w:val="28"/>
          <w:szCs w:val="28"/>
          <w:lang w:val="en-US"/>
        </w:rPr>
      </w:sdtEndPr>
      <w:sdtContent>
        <w:p w14:paraId="4608AC52" w14:textId="4B7AEFA5" w:rsidR="00C0070D" w:rsidRDefault="00C0070D" w:rsidP="00335AA2">
          <w:pPr>
            <w:pStyle w:val="TOCHeading"/>
            <w:jc w:val="center"/>
            <w:rPr>
              <w:rFonts w:ascii="Times New Roman" w:hAnsi="Times New Roman" w:cs="Times New Roman"/>
              <w:b w:val="0"/>
              <w:noProof/>
              <w:color w:val="000000" w:themeColor="text1"/>
            </w:rPr>
          </w:pPr>
          <w:r>
            <w:fldChar w:fldCharType="begin"/>
          </w:r>
          <w:r>
            <w:instrText xml:space="preserve"> TOC \o "1-3" \u </w:instrText>
          </w:r>
          <w:r>
            <w:fldChar w:fldCharType="separate"/>
          </w:r>
          <w:r w:rsidR="00335AA2" w:rsidRPr="00335AA2">
            <w:rPr>
              <w:rFonts w:ascii="Times New Roman" w:hAnsi="Times New Roman" w:cs="Times New Roman"/>
              <w:noProof/>
            </w:rPr>
            <w:t xml:space="preserve"> </w:t>
          </w:r>
          <w:r w:rsidR="00335AA2" w:rsidRPr="00335AA2">
            <w:rPr>
              <w:rFonts w:ascii="Times New Roman" w:hAnsi="Times New Roman" w:cs="Times New Roman"/>
              <w:b w:val="0"/>
              <w:noProof/>
              <w:color w:val="000000" w:themeColor="text1"/>
            </w:rPr>
            <w:t>TABLE OF CONTENTS</w:t>
          </w:r>
        </w:p>
        <w:p w14:paraId="46487B89" w14:textId="77777777" w:rsidR="00335AA2" w:rsidRPr="00335AA2" w:rsidRDefault="00335AA2" w:rsidP="00335AA2">
          <w:pPr>
            <w:rPr>
              <w:noProof/>
              <w:lang w:val="en-US"/>
            </w:rPr>
          </w:pPr>
        </w:p>
        <w:p w14:paraId="55C7A5D9" w14:textId="4A2CF7A1" w:rsidR="00C0070D" w:rsidRDefault="00C0070D" w:rsidP="00CB658F">
          <w:pPr>
            <w:pStyle w:val="TOC1"/>
            <w:rPr>
              <w:rFonts w:asciiTheme="minorHAnsi" w:eastAsiaTheme="minorEastAsia" w:hAnsiTheme="minorHAnsi" w:cstheme="minorBidi"/>
              <w:noProof/>
              <w:szCs w:val="24"/>
              <w:lang w:val="en-US"/>
            </w:rPr>
          </w:pPr>
          <w:r>
            <w:rPr>
              <w:noProof/>
            </w:rPr>
            <w:t>CHAPTER I</w:t>
          </w:r>
          <w:r w:rsidR="00335AA2">
            <w:rPr>
              <w:noProof/>
            </w:rPr>
            <w:t>:</w:t>
          </w:r>
          <w:r w:rsidR="00335AA2" w:rsidRPr="00335AA2">
            <w:rPr>
              <w:noProof/>
            </w:rPr>
            <w:t xml:space="preserve"> </w:t>
          </w:r>
          <w:r w:rsidR="00335AA2">
            <w:rPr>
              <w:noProof/>
            </w:rPr>
            <w:t>ADDRESSING FARM PRESERVATION</w:t>
          </w:r>
          <w:r>
            <w:rPr>
              <w:noProof/>
            </w:rPr>
            <w:tab/>
          </w:r>
          <w:r>
            <w:rPr>
              <w:noProof/>
            </w:rPr>
            <w:fldChar w:fldCharType="begin"/>
          </w:r>
          <w:r>
            <w:rPr>
              <w:noProof/>
            </w:rPr>
            <w:instrText xml:space="preserve"> PAGEREF _Toc7863376 \h </w:instrText>
          </w:r>
          <w:r>
            <w:rPr>
              <w:noProof/>
            </w:rPr>
          </w:r>
          <w:r>
            <w:rPr>
              <w:noProof/>
            </w:rPr>
            <w:fldChar w:fldCharType="separate"/>
          </w:r>
          <w:r w:rsidR="0059515E">
            <w:rPr>
              <w:noProof/>
            </w:rPr>
            <w:t>1</w:t>
          </w:r>
          <w:r>
            <w:rPr>
              <w:noProof/>
            </w:rPr>
            <w:fldChar w:fldCharType="end"/>
          </w:r>
        </w:p>
        <w:p w14:paraId="0F5E1436" w14:textId="2E97BA51" w:rsidR="00C0070D" w:rsidRDefault="00C0070D">
          <w:pPr>
            <w:pStyle w:val="TOC3"/>
            <w:rPr>
              <w:rFonts w:asciiTheme="minorHAnsi" w:eastAsiaTheme="minorEastAsia" w:hAnsiTheme="minorHAnsi" w:cstheme="minorBidi"/>
              <w:iCs w:val="0"/>
              <w:noProof/>
              <w:szCs w:val="24"/>
              <w:lang w:val="en-US"/>
            </w:rPr>
          </w:pPr>
          <w:r>
            <w:rPr>
              <w:noProof/>
            </w:rPr>
            <w:t>Focus on the Chesapeake Bay Region</w:t>
          </w:r>
          <w:r>
            <w:rPr>
              <w:noProof/>
            </w:rPr>
            <w:tab/>
          </w:r>
          <w:r>
            <w:rPr>
              <w:noProof/>
            </w:rPr>
            <w:fldChar w:fldCharType="begin"/>
          </w:r>
          <w:r>
            <w:rPr>
              <w:noProof/>
            </w:rPr>
            <w:instrText xml:space="preserve"> PAGEREF _Toc7863378 \h </w:instrText>
          </w:r>
          <w:r>
            <w:rPr>
              <w:noProof/>
            </w:rPr>
          </w:r>
          <w:r>
            <w:rPr>
              <w:noProof/>
            </w:rPr>
            <w:fldChar w:fldCharType="separate"/>
          </w:r>
          <w:r w:rsidR="0059515E">
            <w:rPr>
              <w:noProof/>
            </w:rPr>
            <w:t>6</w:t>
          </w:r>
          <w:r>
            <w:rPr>
              <w:noProof/>
            </w:rPr>
            <w:fldChar w:fldCharType="end"/>
          </w:r>
        </w:p>
        <w:p w14:paraId="273A2293" w14:textId="06126D90" w:rsidR="00C0070D" w:rsidRDefault="00C0070D">
          <w:pPr>
            <w:pStyle w:val="TOC2"/>
            <w:tabs>
              <w:tab w:val="right" w:leader="dot" w:pos="9350"/>
            </w:tabs>
            <w:rPr>
              <w:rFonts w:asciiTheme="minorHAnsi" w:eastAsiaTheme="minorEastAsia" w:hAnsiTheme="minorHAnsi" w:cstheme="minorBidi"/>
              <w:smallCaps w:val="0"/>
              <w:noProof/>
              <w:szCs w:val="24"/>
              <w:lang w:val="en-US"/>
            </w:rPr>
          </w:pPr>
          <w:r>
            <w:rPr>
              <w:noProof/>
            </w:rPr>
            <w:t>Concepts Introduced in this Paper</w:t>
          </w:r>
          <w:r>
            <w:rPr>
              <w:noProof/>
            </w:rPr>
            <w:tab/>
          </w:r>
          <w:r>
            <w:rPr>
              <w:noProof/>
            </w:rPr>
            <w:fldChar w:fldCharType="begin"/>
          </w:r>
          <w:r>
            <w:rPr>
              <w:noProof/>
            </w:rPr>
            <w:instrText xml:space="preserve"> PAGEREF _Toc7863379 \h </w:instrText>
          </w:r>
          <w:r>
            <w:rPr>
              <w:noProof/>
            </w:rPr>
          </w:r>
          <w:r>
            <w:rPr>
              <w:noProof/>
            </w:rPr>
            <w:fldChar w:fldCharType="separate"/>
          </w:r>
          <w:r w:rsidR="0059515E">
            <w:rPr>
              <w:noProof/>
            </w:rPr>
            <w:t>10</w:t>
          </w:r>
          <w:r>
            <w:rPr>
              <w:noProof/>
            </w:rPr>
            <w:fldChar w:fldCharType="end"/>
          </w:r>
        </w:p>
        <w:p w14:paraId="7C4D3BC3" w14:textId="3F899203" w:rsidR="00C0070D" w:rsidRDefault="00C0070D">
          <w:pPr>
            <w:pStyle w:val="TOC3"/>
            <w:rPr>
              <w:rFonts w:asciiTheme="minorHAnsi" w:eastAsiaTheme="minorEastAsia" w:hAnsiTheme="minorHAnsi" w:cstheme="minorBidi"/>
              <w:iCs w:val="0"/>
              <w:noProof/>
              <w:szCs w:val="24"/>
              <w:lang w:val="en-US"/>
            </w:rPr>
          </w:pPr>
          <w:r>
            <w:rPr>
              <w:noProof/>
            </w:rPr>
            <w:t>Farm Preservation Through a Values-Based Lens</w:t>
          </w:r>
          <w:r>
            <w:rPr>
              <w:noProof/>
            </w:rPr>
            <w:tab/>
          </w:r>
          <w:r>
            <w:rPr>
              <w:noProof/>
            </w:rPr>
            <w:fldChar w:fldCharType="begin"/>
          </w:r>
          <w:r>
            <w:rPr>
              <w:noProof/>
            </w:rPr>
            <w:instrText xml:space="preserve"> PAGEREF _Toc7863380 \h </w:instrText>
          </w:r>
          <w:r>
            <w:rPr>
              <w:noProof/>
            </w:rPr>
          </w:r>
          <w:r>
            <w:rPr>
              <w:noProof/>
            </w:rPr>
            <w:fldChar w:fldCharType="separate"/>
          </w:r>
          <w:r w:rsidR="0059515E">
            <w:rPr>
              <w:noProof/>
            </w:rPr>
            <w:t>11</w:t>
          </w:r>
          <w:r>
            <w:rPr>
              <w:noProof/>
            </w:rPr>
            <w:fldChar w:fldCharType="end"/>
          </w:r>
        </w:p>
        <w:p w14:paraId="39FAAA4A" w14:textId="48F2A774" w:rsidR="00C0070D" w:rsidRDefault="00C0070D">
          <w:pPr>
            <w:pStyle w:val="TOC3"/>
            <w:rPr>
              <w:rFonts w:asciiTheme="minorHAnsi" w:eastAsiaTheme="minorEastAsia" w:hAnsiTheme="minorHAnsi" w:cstheme="minorBidi"/>
              <w:iCs w:val="0"/>
              <w:noProof/>
              <w:szCs w:val="24"/>
              <w:lang w:val="en-US"/>
            </w:rPr>
          </w:pPr>
          <w:r>
            <w:rPr>
              <w:noProof/>
            </w:rPr>
            <w:t>Sustainability</w:t>
          </w:r>
          <w:r>
            <w:rPr>
              <w:noProof/>
            </w:rPr>
            <w:tab/>
          </w:r>
          <w:r>
            <w:rPr>
              <w:noProof/>
            </w:rPr>
            <w:fldChar w:fldCharType="begin"/>
          </w:r>
          <w:r>
            <w:rPr>
              <w:noProof/>
            </w:rPr>
            <w:instrText xml:space="preserve"> PAGEREF _Toc7863381 \h </w:instrText>
          </w:r>
          <w:r>
            <w:rPr>
              <w:noProof/>
            </w:rPr>
          </w:r>
          <w:r>
            <w:rPr>
              <w:noProof/>
            </w:rPr>
            <w:fldChar w:fldCharType="separate"/>
          </w:r>
          <w:r w:rsidR="0059515E">
            <w:rPr>
              <w:noProof/>
            </w:rPr>
            <w:t>12</w:t>
          </w:r>
          <w:r>
            <w:rPr>
              <w:noProof/>
            </w:rPr>
            <w:fldChar w:fldCharType="end"/>
          </w:r>
        </w:p>
        <w:p w14:paraId="6063BBDD" w14:textId="770D995C" w:rsidR="00C0070D" w:rsidRDefault="00C0070D">
          <w:pPr>
            <w:pStyle w:val="TOC3"/>
            <w:rPr>
              <w:rFonts w:asciiTheme="minorHAnsi" w:eastAsiaTheme="minorEastAsia" w:hAnsiTheme="minorHAnsi" w:cstheme="minorBidi"/>
              <w:iCs w:val="0"/>
              <w:noProof/>
              <w:szCs w:val="24"/>
              <w:lang w:val="en-US"/>
            </w:rPr>
          </w:pPr>
          <w:r>
            <w:rPr>
              <w:noProof/>
            </w:rPr>
            <w:t>Integrated Landscape Approach</w:t>
          </w:r>
          <w:r>
            <w:rPr>
              <w:noProof/>
            </w:rPr>
            <w:tab/>
          </w:r>
          <w:r>
            <w:rPr>
              <w:noProof/>
            </w:rPr>
            <w:fldChar w:fldCharType="begin"/>
          </w:r>
          <w:r>
            <w:rPr>
              <w:noProof/>
            </w:rPr>
            <w:instrText xml:space="preserve"> PAGEREF _Toc7863382 \h </w:instrText>
          </w:r>
          <w:r>
            <w:rPr>
              <w:noProof/>
            </w:rPr>
          </w:r>
          <w:r>
            <w:rPr>
              <w:noProof/>
            </w:rPr>
            <w:fldChar w:fldCharType="separate"/>
          </w:r>
          <w:r w:rsidR="0059515E">
            <w:rPr>
              <w:noProof/>
            </w:rPr>
            <w:t>13</w:t>
          </w:r>
          <w:r>
            <w:rPr>
              <w:noProof/>
            </w:rPr>
            <w:fldChar w:fldCharType="end"/>
          </w:r>
        </w:p>
        <w:p w14:paraId="6D2AE519" w14:textId="18D94BFB" w:rsidR="00C0070D" w:rsidRDefault="00C0070D">
          <w:pPr>
            <w:pStyle w:val="TOC3"/>
            <w:rPr>
              <w:rFonts w:asciiTheme="minorHAnsi" w:eastAsiaTheme="minorEastAsia" w:hAnsiTheme="minorHAnsi" w:cstheme="minorBidi"/>
              <w:iCs w:val="0"/>
              <w:noProof/>
              <w:szCs w:val="24"/>
              <w:lang w:val="en-US"/>
            </w:rPr>
          </w:pPr>
          <w:r>
            <w:rPr>
              <w:noProof/>
            </w:rPr>
            <w:t>Wicked Problems</w:t>
          </w:r>
          <w:r>
            <w:rPr>
              <w:noProof/>
            </w:rPr>
            <w:tab/>
          </w:r>
          <w:r>
            <w:rPr>
              <w:noProof/>
            </w:rPr>
            <w:fldChar w:fldCharType="begin"/>
          </w:r>
          <w:r>
            <w:rPr>
              <w:noProof/>
            </w:rPr>
            <w:instrText xml:space="preserve"> PAGEREF _Toc7863383 \h </w:instrText>
          </w:r>
          <w:r>
            <w:rPr>
              <w:noProof/>
            </w:rPr>
          </w:r>
          <w:r>
            <w:rPr>
              <w:noProof/>
            </w:rPr>
            <w:fldChar w:fldCharType="separate"/>
          </w:r>
          <w:r w:rsidR="0059515E">
            <w:rPr>
              <w:noProof/>
            </w:rPr>
            <w:t>14</w:t>
          </w:r>
          <w:r>
            <w:rPr>
              <w:noProof/>
            </w:rPr>
            <w:fldChar w:fldCharType="end"/>
          </w:r>
        </w:p>
        <w:p w14:paraId="21A3EBCA" w14:textId="592B2DD9" w:rsidR="00C0070D" w:rsidRDefault="00C0070D">
          <w:pPr>
            <w:pStyle w:val="TOC2"/>
            <w:tabs>
              <w:tab w:val="right" w:leader="dot" w:pos="9350"/>
            </w:tabs>
            <w:rPr>
              <w:rFonts w:asciiTheme="minorHAnsi" w:eastAsiaTheme="minorEastAsia" w:hAnsiTheme="minorHAnsi" w:cstheme="minorBidi"/>
              <w:smallCaps w:val="0"/>
              <w:noProof/>
              <w:szCs w:val="24"/>
              <w:lang w:val="en-US"/>
            </w:rPr>
          </w:pPr>
          <w:r>
            <w:rPr>
              <w:noProof/>
            </w:rPr>
            <w:t>The Chapters</w:t>
          </w:r>
          <w:r>
            <w:rPr>
              <w:noProof/>
            </w:rPr>
            <w:tab/>
          </w:r>
          <w:r>
            <w:rPr>
              <w:noProof/>
            </w:rPr>
            <w:fldChar w:fldCharType="begin"/>
          </w:r>
          <w:r>
            <w:rPr>
              <w:noProof/>
            </w:rPr>
            <w:instrText xml:space="preserve"> PAGEREF _Toc7863384 \h </w:instrText>
          </w:r>
          <w:r>
            <w:rPr>
              <w:noProof/>
            </w:rPr>
          </w:r>
          <w:r>
            <w:rPr>
              <w:noProof/>
            </w:rPr>
            <w:fldChar w:fldCharType="separate"/>
          </w:r>
          <w:r w:rsidR="0059515E">
            <w:rPr>
              <w:noProof/>
            </w:rPr>
            <w:t>22</w:t>
          </w:r>
          <w:r>
            <w:rPr>
              <w:noProof/>
            </w:rPr>
            <w:fldChar w:fldCharType="end"/>
          </w:r>
        </w:p>
        <w:p w14:paraId="28997A07" w14:textId="2F97D1EC" w:rsidR="00C0070D" w:rsidRDefault="00C0070D">
          <w:pPr>
            <w:pStyle w:val="TOC2"/>
            <w:tabs>
              <w:tab w:val="right" w:leader="dot" w:pos="9350"/>
            </w:tabs>
            <w:rPr>
              <w:rFonts w:asciiTheme="minorHAnsi" w:eastAsiaTheme="minorEastAsia" w:hAnsiTheme="minorHAnsi" w:cstheme="minorBidi"/>
              <w:smallCaps w:val="0"/>
              <w:noProof/>
              <w:szCs w:val="24"/>
              <w:lang w:val="en-US"/>
            </w:rPr>
          </w:pPr>
          <w:r>
            <w:rPr>
              <w:noProof/>
            </w:rPr>
            <w:t>Conclusion</w:t>
          </w:r>
          <w:r>
            <w:rPr>
              <w:noProof/>
            </w:rPr>
            <w:tab/>
          </w:r>
          <w:r>
            <w:rPr>
              <w:noProof/>
            </w:rPr>
            <w:fldChar w:fldCharType="begin"/>
          </w:r>
          <w:r>
            <w:rPr>
              <w:noProof/>
            </w:rPr>
            <w:instrText xml:space="preserve"> PAGEREF _Toc7863385 \h </w:instrText>
          </w:r>
          <w:r>
            <w:rPr>
              <w:noProof/>
            </w:rPr>
          </w:r>
          <w:r>
            <w:rPr>
              <w:noProof/>
            </w:rPr>
            <w:fldChar w:fldCharType="separate"/>
          </w:r>
          <w:r w:rsidR="0059515E">
            <w:rPr>
              <w:noProof/>
            </w:rPr>
            <w:t>26</w:t>
          </w:r>
          <w:r>
            <w:rPr>
              <w:noProof/>
            </w:rPr>
            <w:fldChar w:fldCharType="end"/>
          </w:r>
        </w:p>
        <w:p w14:paraId="7F337E06" w14:textId="77777777" w:rsidR="00335AA2" w:rsidRDefault="00335AA2" w:rsidP="00CB658F">
          <w:pPr>
            <w:pStyle w:val="TOC1"/>
            <w:rPr>
              <w:noProof/>
            </w:rPr>
          </w:pPr>
        </w:p>
        <w:p w14:paraId="22EB29A0" w14:textId="02C1B613" w:rsidR="00C0070D" w:rsidRDefault="00C0070D" w:rsidP="00CB658F">
          <w:pPr>
            <w:pStyle w:val="TOC1"/>
            <w:rPr>
              <w:rFonts w:asciiTheme="minorHAnsi" w:eastAsiaTheme="minorEastAsia" w:hAnsiTheme="minorHAnsi" w:cstheme="minorBidi"/>
              <w:noProof/>
              <w:szCs w:val="24"/>
              <w:lang w:val="en-US"/>
            </w:rPr>
          </w:pPr>
          <w:r>
            <w:rPr>
              <w:noProof/>
            </w:rPr>
            <w:t>CHAPTER II</w:t>
          </w:r>
          <w:r w:rsidR="00335AA2">
            <w:rPr>
              <w:noProof/>
            </w:rPr>
            <w:t>:</w:t>
          </w:r>
          <w:r w:rsidR="00335AA2" w:rsidRPr="00335AA2">
            <w:rPr>
              <w:noProof/>
            </w:rPr>
            <w:t xml:space="preserve"> </w:t>
          </w:r>
          <w:r w:rsidR="00335AA2">
            <w:rPr>
              <w:noProof/>
            </w:rPr>
            <w:t>THE BIGGER PICTURE: BEYOND THE FENCELINE</w:t>
          </w:r>
          <w:r>
            <w:rPr>
              <w:noProof/>
            </w:rPr>
            <w:tab/>
          </w:r>
          <w:r>
            <w:rPr>
              <w:noProof/>
            </w:rPr>
            <w:fldChar w:fldCharType="begin"/>
          </w:r>
          <w:r>
            <w:rPr>
              <w:noProof/>
            </w:rPr>
            <w:instrText xml:space="preserve"> PAGEREF _Toc7863386 \h </w:instrText>
          </w:r>
          <w:r>
            <w:rPr>
              <w:noProof/>
            </w:rPr>
          </w:r>
          <w:r>
            <w:rPr>
              <w:noProof/>
            </w:rPr>
            <w:fldChar w:fldCharType="separate"/>
          </w:r>
          <w:r w:rsidR="0059515E">
            <w:rPr>
              <w:noProof/>
            </w:rPr>
            <w:t>27</w:t>
          </w:r>
          <w:r>
            <w:rPr>
              <w:noProof/>
            </w:rPr>
            <w:fldChar w:fldCharType="end"/>
          </w:r>
        </w:p>
        <w:p w14:paraId="0812AF5D" w14:textId="363E5A11" w:rsidR="00C0070D" w:rsidRDefault="00C0070D">
          <w:pPr>
            <w:pStyle w:val="TOC2"/>
            <w:tabs>
              <w:tab w:val="right" w:leader="dot" w:pos="9350"/>
            </w:tabs>
            <w:rPr>
              <w:rFonts w:asciiTheme="minorHAnsi" w:eastAsiaTheme="minorEastAsia" w:hAnsiTheme="minorHAnsi" w:cstheme="minorBidi"/>
              <w:smallCaps w:val="0"/>
              <w:noProof/>
              <w:szCs w:val="24"/>
              <w:lang w:val="en-US"/>
            </w:rPr>
          </w:pPr>
          <w:r>
            <w:rPr>
              <w:noProof/>
            </w:rPr>
            <w:t>The Integrated Landscape Approach</w:t>
          </w:r>
          <w:r>
            <w:rPr>
              <w:noProof/>
            </w:rPr>
            <w:tab/>
          </w:r>
          <w:r>
            <w:rPr>
              <w:noProof/>
            </w:rPr>
            <w:fldChar w:fldCharType="begin"/>
          </w:r>
          <w:r>
            <w:rPr>
              <w:noProof/>
            </w:rPr>
            <w:instrText xml:space="preserve"> PAGEREF _Toc7863388 \h </w:instrText>
          </w:r>
          <w:r>
            <w:rPr>
              <w:noProof/>
            </w:rPr>
          </w:r>
          <w:r>
            <w:rPr>
              <w:noProof/>
            </w:rPr>
            <w:fldChar w:fldCharType="separate"/>
          </w:r>
          <w:r w:rsidR="0059515E">
            <w:rPr>
              <w:noProof/>
            </w:rPr>
            <w:t>29</w:t>
          </w:r>
          <w:r>
            <w:rPr>
              <w:noProof/>
            </w:rPr>
            <w:fldChar w:fldCharType="end"/>
          </w:r>
        </w:p>
        <w:p w14:paraId="4FDE2D92" w14:textId="7F7AB440" w:rsidR="00C0070D" w:rsidRDefault="00C0070D">
          <w:pPr>
            <w:pStyle w:val="TOC2"/>
            <w:tabs>
              <w:tab w:val="right" w:leader="dot" w:pos="9350"/>
            </w:tabs>
            <w:rPr>
              <w:rFonts w:asciiTheme="minorHAnsi" w:eastAsiaTheme="minorEastAsia" w:hAnsiTheme="minorHAnsi" w:cstheme="minorBidi"/>
              <w:smallCaps w:val="0"/>
              <w:noProof/>
              <w:szCs w:val="24"/>
              <w:lang w:val="en-US"/>
            </w:rPr>
          </w:pPr>
          <w:r>
            <w:rPr>
              <w:noProof/>
            </w:rPr>
            <w:t>Farms and the Chesapeake Bay</w:t>
          </w:r>
          <w:r>
            <w:rPr>
              <w:noProof/>
            </w:rPr>
            <w:tab/>
          </w:r>
          <w:r>
            <w:rPr>
              <w:noProof/>
            </w:rPr>
            <w:fldChar w:fldCharType="begin"/>
          </w:r>
          <w:r>
            <w:rPr>
              <w:noProof/>
            </w:rPr>
            <w:instrText xml:space="preserve"> PAGEREF _Toc7863389 \h </w:instrText>
          </w:r>
          <w:r>
            <w:rPr>
              <w:noProof/>
            </w:rPr>
          </w:r>
          <w:r>
            <w:rPr>
              <w:noProof/>
            </w:rPr>
            <w:fldChar w:fldCharType="separate"/>
          </w:r>
          <w:r w:rsidR="0059515E">
            <w:rPr>
              <w:noProof/>
            </w:rPr>
            <w:t>35</w:t>
          </w:r>
          <w:r>
            <w:rPr>
              <w:noProof/>
            </w:rPr>
            <w:fldChar w:fldCharType="end"/>
          </w:r>
        </w:p>
        <w:p w14:paraId="19870904" w14:textId="44DEDAFF" w:rsidR="00C0070D" w:rsidRDefault="00C0070D">
          <w:pPr>
            <w:pStyle w:val="TOC3"/>
            <w:rPr>
              <w:rFonts w:asciiTheme="minorHAnsi" w:eastAsiaTheme="minorEastAsia" w:hAnsiTheme="minorHAnsi" w:cstheme="minorBidi"/>
              <w:iCs w:val="0"/>
              <w:noProof/>
              <w:szCs w:val="24"/>
              <w:lang w:val="en-US"/>
            </w:rPr>
          </w:pPr>
          <w:r>
            <w:rPr>
              <w:noProof/>
            </w:rPr>
            <w:t>Farms, Waterways and the Concept of Commons</w:t>
          </w:r>
          <w:r>
            <w:rPr>
              <w:noProof/>
            </w:rPr>
            <w:tab/>
          </w:r>
          <w:r>
            <w:rPr>
              <w:noProof/>
            </w:rPr>
            <w:fldChar w:fldCharType="begin"/>
          </w:r>
          <w:r>
            <w:rPr>
              <w:noProof/>
            </w:rPr>
            <w:instrText xml:space="preserve"> PAGEREF _Toc7863390 \h </w:instrText>
          </w:r>
          <w:r>
            <w:rPr>
              <w:noProof/>
            </w:rPr>
          </w:r>
          <w:r>
            <w:rPr>
              <w:noProof/>
            </w:rPr>
            <w:fldChar w:fldCharType="separate"/>
          </w:r>
          <w:r w:rsidR="0059515E">
            <w:rPr>
              <w:noProof/>
            </w:rPr>
            <w:t>36</w:t>
          </w:r>
          <w:r>
            <w:rPr>
              <w:noProof/>
            </w:rPr>
            <w:fldChar w:fldCharType="end"/>
          </w:r>
        </w:p>
        <w:p w14:paraId="6C71A329" w14:textId="51672EF3" w:rsidR="00C0070D" w:rsidRDefault="00C0070D">
          <w:pPr>
            <w:pStyle w:val="TOC3"/>
            <w:rPr>
              <w:rFonts w:asciiTheme="minorHAnsi" w:eastAsiaTheme="minorEastAsia" w:hAnsiTheme="minorHAnsi" w:cstheme="minorBidi"/>
              <w:iCs w:val="0"/>
              <w:noProof/>
              <w:szCs w:val="24"/>
              <w:lang w:val="en-US"/>
            </w:rPr>
          </w:pPr>
          <w:r>
            <w:rPr>
              <w:noProof/>
            </w:rPr>
            <w:t>Farms and the Larger Environment of the Chesapeake Bay</w:t>
          </w:r>
          <w:r>
            <w:rPr>
              <w:noProof/>
            </w:rPr>
            <w:tab/>
          </w:r>
          <w:r>
            <w:rPr>
              <w:noProof/>
            </w:rPr>
            <w:fldChar w:fldCharType="begin"/>
          </w:r>
          <w:r>
            <w:rPr>
              <w:noProof/>
            </w:rPr>
            <w:instrText xml:space="preserve"> PAGEREF _Toc7863391 \h </w:instrText>
          </w:r>
          <w:r>
            <w:rPr>
              <w:noProof/>
            </w:rPr>
          </w:r>
          <w:r>
            <w:rPr>
              <w:noProof/>
            </w:rPr>
            <w:fldChar w:fldCharType="separate"/>
          </w:r>
          <w:r w:rsidR="0059515E">
            <w:rPr>
              <w:noProof/>
            </w:rPr>
            <w:t>38</w:t>
          </w:r>
          <w:r>
            <w:rPr>
              <w:noProof/>
            </w:rPr>
            <w:fldChar w:fldCharType="end"/>
          </w:r>
        </w:p>
        <w:p w14:paraId="5E8D4B63" w14:textId="33E00FE4" w:rsidR="00C0070D" w:rsidRDefault="00C0070D">
          <w:pPr>
            <w:pStyle w:val="TOC2"/>
            <w:tabs>
              <w:tab w:val="right" w:leader="dot" w:pos="9350"/>
            </w:tabs>
            <w:rPr>
              <w:rFonts w:asciiTheme="minorHAnsi" w:eastAsiaTheme="minorEastAsia" w:hAnsiTheme="minorHAnsi" w:cstheme="minorBidi"/>
              <w:smallCaps w:val="0"/>
              <w:noProof/>
              <w:szCs w:val="24"/>
              <w:lang w:val="en-US"/>
            </w:rPr>
          </w:pPr>
          <w:r>
            <w:rPr>
              <w:noProof/>
            </w:rPr>
            <w:t>Farms and Two Views of Sustainability</w:t>
          </w:r>
          <w:r>
            <w:rPr>
              <w:noProof/>
            </w:rPr>
            <w:tab/>
          </w:r>
          <w:r>
            <w:rPr>
              <w:noProof/>
            </w:rPr>
            <w:fldChar w:fldCharType="begin"/>
          </w:r>
          <w:r>
            <w:rPr>
              <w:noProof/>
            </w:rPr>
            <w:instrText xml:space="preserve"> PAGEREF _Toc7863392 \h </w:instrText>
          </w:r>
          <w:r>
            <w:rPr>
              <w:noProof/>
            </w:rPr>
          </w:r>
          <w:r>
            <w:rPr>
              <w:noProof/>
            </w:rPr>
            <w:fldChar w:fldCharType="separate"/>
          </w:r>
          <w:r w:rsidR="0059515E">
            <w:rPr>
              <w:noProof/>
            </w:rPr>
            <w:t>44</w:t>
          </w:r>
          <w:r>
            <w:rPr>
              <w:noProof/>
            </w:rPr>
            <w:fldChar w:fldCharType="end"/>
          </w:r>
        </w:p>
        <w:p w14:paraId="6D91F997" w14:textId="4D22292C" w:rsidR="00C0070D" w:rsidRDefault="00C0070D">
          <w:pPr>
            <w:pStyle w:val="TOC3"/>
            <w:rPr>
              <w:rFonts w:asciiTheme="minorHAnsi" w:eastAsiaTheme="minorEastAsia" w:hAnsiTheme="minorHAnsi" w:cstheme="minorBidi"/>
              <w:iCs w:val="0"/>
              <w:noProof/>
              <w:szCs w:val="24"/>
              <w:lang w:val="en-US"/>
            </w:rPr>
          </w:pPr>
          <w:r>
            <w:rPr>
              <w:noProof/>
            </w:rPr>
            <w:t>Challenges on the Farm</w:t>
          </w:r>
          <w:r>
            <w:rPr>
              <w:noProof/>
            </w:rPr>
            <w:tab/>
          </w:r>
          <w:r>
            <w:rPr>
              <w:noProof/>
            </w:rPr>
            <w:fldChar w:fldCharType="begin"/>
          </w:r>
          <w:r>
            <w:rPr>
              <w:noProof/>
            </w:rPr>
            <w:instrText xml:space="preserve"> PAGEREF _Toc7863393 \h </w:instrText>
          </w:r>
          <w:r>
            <w:rPr>
              <w:noProof/>
            </w:rPr>
          </w:r>
          <w:r>
            <w:rPr>
              <w:noProof/>
            </w:rPr>
            <w:fldChar w:fldCharType="separate"/>
          </w:r>
          <w:r w:rsidR="0059515E">
            <w:rPr>
              <w:noProof/>
            </w:rPr>
            <w:t>48</w:t>
          </w:r>
          <w:r>
            <w:rPr>
              <w:noProof/>
            </w:rPr>
            <w:fldChar w:fldCharType="end"/>
          </w:r>
        </w:p>
        <w:p w14:paraId="142113E3" w14:textId="32FCEF9E" w:rsidR="00C0070D" w:rsidRDefault="00C0070D">
          <w:pPr>
            <w:pStyle w:val="TOC3"/>
            <w:rPr>
              <w:rFonts w:asciiTheme="minorHAnsi" w:eastAsiaTheme="minorEastAsia" w:hAnsiTheme="minorHAnsi" w:cstheme="minorBidi"/>
              <w:iCs w:val="0"/>
              <w:noProof/>
              <w:szCs w:val="24"/>
              <w:lang w:val="en-US"/>
            </w:rPr>
          </w:pPr>
          <w:r>
            <w:rPr>
              <w:noProof/>
            </w:rPr>
            <w:t>Focusing Historic Preservation Efforts</w:t>
          </w:r>
          <w:r>
            <w:rPr>
              <w:noProof/>
            </w:rPr>
            <w:tab/>
          </w:r>
          <w:r>
            <w:rPr>
              <w:noProof/>
            </w:rPr>
            <w:fldChar w:fldCharType="begin"/>
          </w:r>
          <w:r>
            <w:rPr>
              <w:noProof/>
            </w:rPr>
            <w:instrText xml:space="preserve"> PAGEREF _Toc7863394 \h </w:instrText>
          </w:r>
          <w:r>
            <w:rPr>
              <w:noProof/>
            </w:rPr>
          </w:r>
          <w:r>
            <w:rPr>
              <w:noProof/>
            </w:rPr>
            <w:fldChar w:fldCharType="separate"/>
          </w:r>
          <w:r w:rsidR="0059515E">
            <w:rPr>
              <w:noProof/>
            </w:rPr>
            <w:t>54</w:t>
          </w:r>
          <w:r>
            <w:rPr>
              <w:noProof/>
            </w:rPr>
            <w:fldChar w:fldCharType="end"/>
          </w:r>
        </w:p>
        <w:p w14:paraId="5404B305" w14:textId="79CBA3B1" w:rsidR="00C0070D" w:rsidRDefault="00C0070D">
          <w:pPr>
            <w:pStyle w:val="TOC2"/>
            <w:tabs>
              <w:tab w:val="right" w:leader="dot" w:pos="9350"/>
            </w:tabs>
            <w:rPr>
              <w:rFonts w:asciiTheme="minorHAnsi" w:eastAsiaTheme="minorEastAsia" w:hAnsiTheme="minorHAnsi" w:cstheme="minorBidi"/>
              <w:smallCaps w:val="0"/>
              <w:noProof/>
              <w:szCs w:val="24"/>
              <w:lang w:val="en-US"/>
            </w:rPr>
          </w:pPr>
          <w:r>
            <w:rPr>
              <w:noProof/>
            </w:rPr>
            <w:t>Conclusion</w:t>
          </w:r>
          <w:r>
            <w:rPr>
              <w:noProof/>
            </w:rPr>
            <w:tab/>
          </w:r>
          <w:r>
            <w:rPr>
              <w:noProof/>
            </w:rPr>
            <w:fldChar w:fldCharType="begin"/>
          </w:r>
          <w:r>
            <w:rPr>
              <w:noProof/>
            </w:rPr>
            <w:instrText xml:space="preserve"> PAGEREF _Toc7863395 \h </w:instrText>
          </w:r>
          <w:r>
            <w:rPr>
              <w:noProof/>
            </w:rPr>
          </w:r>
          <w:r>
            <w:rPr>
              <w:noProof/>
            </w:rPr>
            <w:fldChar w:fldCharType="separate"/>
          </w:r>
          <w:r w:rsidR="0059515E">
            <w:rPr>
              <w:noProof/>
            </w:rPr>
            <w:t>58</w:t>
          </w:r>
          <w:r>
            <w:rPr>
              <w:noProof/>
            </w:rPr>
            <w:fldChar w:fldCharType="end"/>
          </w:r>
        </w:p>
        <w:p w14:paraId="628C96B2" w14:textId="77777777" w:rsidR="00335AA2" w:rsidRDefault="00335AA2" w:rsidP="00CB658F">
          <w:pPr>
            <w:pStyle w:val="TOC1"/>
            <w:rPr>
              <w:noProof/>
            </w:rPr>
          </w:pPr>
        </w:p>
        <w:p w14:paraId="5354B290" w14:textId="6904AD5A" w:rsidR="00C0070D" w:rsidRDefault="00C0070D" w:rsidP="00CB658F">
          <w:pPr>
            <w:pStyle w:val="TOC1"/>
            <w:rPr>
              <w:rFonts w:asciiTheme="minorHAnsi" w:eastAsiaTheme="minorEastAsia" w:hAnsiTheme="minorHAnsi" w:cstheme="minorBidi"/>
              <w:noProof/>
              <w:szCs w:val="24"/>
              <w:lang w:val="en-US"/>
            </w:rPr>
          </w:pPr>
          <w:r>
            <w:rPr>
              <w:noProof/>
            </w:rPr>
            <w:t>CHAPTER III</w:t>
          </w:r>
          <w:r w:rsidR="00335AA2">
            <w:rPr>
              <w:noProof/>
            </w:rPr>
            <w:t>:</w:t>
          </w:r>
          <w:r w:rsidR="00335AA2" w:rsidRPr="00335AA2">
            <w:rPr>
              <w:noProof/>
            </w:rPr>
            <w:t xml:space="preserve"> </w:t>
          </w:r>
          <w:r w:rsidR="00335AA2">
            <w:rPr>
              <w:noProof/>
            </w:rPr>
            <w:t>SUSTAINABLE PRACTICES IN THE CHESAPEAKE</w:t>
          </w:r>
          <w:r>
            <w:rPr>
              <w:noProof/>
            </w:rPr>
            <w:tab/>
          </w:r>
          <w:r>
            <w:rPr>
              <w:noProof/>
            </w:rPr>
            <w:fldChar w:fldCharType="begin"/>
          </w:r>
          <w:r>
            <w:rPr>
              <w:noProof/>
            </w:rPr>
            <w:instrText xml:space="preserve"> PAGEREF _Toc7863396 \h </w:instrText>
          </w:r>
          <w:r>
            <w:rPr>
              <w:noProof/>
            </w:rPr>
          </w:r>
          <w:r>
            <w:rPr>
              <w:noProof/>
            </w:rPr>
            <w:fldChar w:fldCharType="separate"/>
          </w:r>
          <w:r w:rsidR="0059515E">
            <w:rPr>
              <w:noProof/>
            </w:rPr>
            <w:t>61</w:t>
          </w:r>
          <w:r>
            <w:rPr>
              <w:noProof/>
            </w:rPr>
            <w:fldChar w:fldCharType="end"/>
          </w:r>
        </w:p>
        <w:p w14:paraId="56F794A6" w14:textId="5CE6125F" w:rsidR="00C0070D" w:rsidRDefault="00C0070D">
          <w:pPr>
            <w:pStyle w:val="TOC2"/>
            <w:tabs>
              <w:tab w:val="right" w:leader="dot" w:pos="9350"/>
            </w:tabs>
            <w:rPr>
              <w:rFonts w:asciiTheme="minorHAnsi" w:eastAsiaTheme="minorEastAsia" w:hAnsiTheme="minorHAnsi" w:cstheme="minorBidi"/>
              <w:smallCaps w:val="0"/>
              <w:noProof/>
              <w:szCs w:val="24"/>
              <w:lang w:val="en-US"/>
            </w:rPr>
          </w:pPr>
          <w:r>
            <w:rPr>
              <w:noProof/>
            </w:rPr>
            <w:t>Terminology and Ideology</w:t>
          </w:r>
          <w:r>
            <w:rPr>
              <w:noProof/>
            </w:rPr>
            <w:tab/>
          </w:r>
          <w:r>
            <w:rPr>
              <w:noProof/>
            </w:rPr>
            <w:fldChar w:fldCharType="begin"/>
          </w:r>
          <w:r>
            <w:rPr>
              <w:noProof/>
            </w:rPr>
            <w:instrText xml:space="preserve"> PAGEREF _Toc7863398 \h </w:instrText>
          </w:r>
          <w:r>
            <w:rPr>
              <w:noProof/>
            </w:rPr>
          </w:r>
          <w:r>
            <w:rPr>
              <w:noProof/>
            </w:rPr>
            <w:fldChar w:fldCharType="separate"/>
          </w:r>
          <w:r w:rsidR="0059515E">
            <w:rPr>
              <w:noProof/>
            </w:rPr>
            <w:t>65</w:t>
          </w:r>
          <w:r>
            <w:rPr>
              <w:noProof/>
            </w:rPr>
            <w:fldChar w:fldCharType="end"/>
          </w:r>
        </w:p>
        <w:p w14:paraId="730E7F57" w14:textId="377EBC31" w:rsidR="00C0070D" w:rsidRDefault="00C0070D">
          <w:pPr>
            <w:pStyle w:val="TOC2"/>
            <w:tabs>
              <w:tab w:val="right" w:leader="dot" w:pos="9350"/>
            </w:tabs>
            <w:rPr>
              <w:rFonts w:asciiTheme="minorHAnsi" w:eastAsiaTheme="minorEastAsia" w:hAnsiTheme="minorHAnsi" w:cstheme="minorBidi"/>
              <w:smallCaps w:val="0"/>
              <w:noProof/>
              <w:szCs w:val="24"/>
              <w:lang w:val="en-US"/>
            </w:rPr>
          </w:pPr>
          <w:r>
            <w:rPr>
              <w:noProof/>
            </w:rPr>
            <w:t>Guiding the Chesapeake Bay Restoration</w:t>
          </w:r>
          <w:r>
            <w:rPr>
              <w:noProof/>
            </w:rPr>
            <w:tab/>
          </w:r>
          <w:r>
            <w:rPr>
              <w:noProof/>
            </w:rPr>
            <w:fldChar w:fldCharType="begin"/>
          </w:r>
          <w:r>
            <w:rPr>
              <w:noProof/>
            </w:rPr>
            <w:instrText xml:space="preserve"> PAGEREF _Toc7863399 \h </w:instrText>
          </w:r>
          <w:r>
            <w:rPr>
              <w:noProof/>
            </w:rPr>
          </w:r>
          <w:r>
            <w:rPr>
              <w:noProof/>
            </w:rPr>
            <w:fldChar w:fldCharType="separate"/>
          </w:r>
          <w:r w:rsidR="0059515E">
            <w:rPr>
              <w:noProof/>
            </w:rPr>
            <w:t>70</w:t>
          </w:r>
          <w:r>
            <w:rPr>
              <w:noProof/>
            </w:rPr>
            <w:fldChar w:fldCharType="end"/>
          </w:r>
        </w:p>
        <w:p w14:paraId="0E38210C" w14:textId="5415477F" w:rsidR="00C0070D" w:rsidRDefault="00C0070D">
          <w:pPr>
            <w:pStyle w:val="TOC2"/>
            <w:tabs>
              <w:tab w:val="right" w:leader="dot" w:pos="9350"/>
            </w:tabs>
            <w:rPr>
              <w:rFonts w:asciiTheme="minorHAnsi" w:eastAsiaTheme="minorEastAsia" w:hAnsiTheme="minorHAnsi" w:cstheme="minorBidi"/>
              <w:smallCaps w:val="0"/>
              <w:noProof/>
              <w:szCs w:val="24"/>
              <w:lang w:val="en-US"/>
            </w:rPr>
          </w:pPr>
          <w:r>
            <w:rPr>
              <w:noProof/>
            </w:rPr>
            <w:t>Changing Farm Practices</w:t>
          </w:r>
          <w:r>
            <w:rPr>
              <w:noProof/>
            </w:rPr>
            <w:tab/>
          </w:r>
          <w:r>
            <w:rPr>
              <w:noProof/>
            </w:rPr>
            <w:fldChar w:fldCharType="begin"/>
          </w:r>
          <w:r>
            <w:rPr>
              <w:noProof/>
            </w:rPr>
            <w:instrText xml:space="preserve"> PAGEREF _Toc7863400 \h </w:instrText>
          </w:r>
          <w:r>
            <w:rPr>
              <w:noProof/>
            </w:rPr>
          </w:r>
          <w:r>
            <w:rPr>
              <w:noProof/>
            </w:rPr>
            <w:fldChar w:fldCharType="separate"/>
          </w:r>
          <w:r w:rsidR="0059515E">
            <w:rPr>
              <w:noProof/>
            </w:rPr>
            <w:t>73</w:t>
          </w:r>
          <w:r>
            <w:rPr>
              <w:noProof/>
            </w:rPr>
            <w:fldChar w:fldCharType="end"/>
          </w:r>
        </w:p>
        <w:p w14:paraId="1A588754" w14:textId="6330314B" w:rsidR="00C0070D" w:rsidRDefault="00C0070D">
          <w:pPr>
            <w:pStyle w:val="TOC3"/>
            <w:rPr>
              <w:rFonts w:asciiTheme="minorHAnsi" w:eastAsiaTheme="minorEastAsia" w:hAnsiTheme="minorHAnsi" w:cstheme="minorBidi"/>
              <w:iCs w:val="0"/>
              <w:noProof/>
              <w:szCs w:val="24"/>
              <w:lang w:val="en-US"/>
            </w:rPr>
          </w:pPr>
          <w:r>
            <w:rPr>
              <w:noProof/>
            </w:rPr>
            <w:t>No-Till and Cover Crops</w:t>
          </w:r>
          <w:r>
            <w:rPr>
              <w:noProof/>
            </w:rPr>
            <w:tab/>
          </w:r>
          <w:r>
            <w:rPr>
              <w:noProof/>
            </w:rPr>
            <w:fldChar w:fldCharType="begin"/>
          </w:r>
          <w:r>
            <w:rPr>
              <w:noProof/>
            </w:rPr>
            <w:instrText xml:space="preserve"> PAGEREF _Toc7863401 \h </w:instrText>
          </w:r>
          <w:r>
            <w:rPr>
              <w:noProof/>
            </w:rPr>
          </w:r>
          <w:r>
            <w:rPr>
              <w:noProof/>
            </w:rPr>
            <w:fldChar w:fldCharType="separate"/>
          </w:r>
          <w:r w:rsidR="0059515E">
            <w:rPr>
              <w:noProof/>
            </w:rPr>
            <w:t>74</w:t>
          </w:r>
          <w:r>
            <w:rPr>
              <w:noProof/>
            </w:rPr>
            <w:fldChar w:fldCharType="end"/>
          </w:r>
        </w:p>
        <w:p w14:paraId="514C5D4F" w14:textId="0DD2E86A" w:rsidR="00C0070D" w:rsidRDefault="00C0070D">
          <w:pPr>
            <w:pStyle w:val="TOC3"/>
            <w:rPr>
              <w:rFonts w:asciiTheme="minorHAnsi" w:eastAsiaTheme="minorEastAsia" w:hAnsiTheme="minorHAnsi" w:cstheme="minorBidi"/>
              <w:iCs w:val="0"/>
              <w:noProof/>
              <w:szCs w:val="24"/>
              <w:lang w:val="en-US"/>
            </w:rPr>
          </w:pPr>
          <w:r>
            <w:rPr>
              <w:noProof/>
            </w:rPr>
            <w:t>Using Buffers Between Fields and Waterways</w:t>
          </w:r>
          <w:r>
            <w:rPr>
              <w:noProof/>
            </w:rPr>
            <w:tab/>
          </w:r>
          <w:r>
            <w:rPr>
              <w:noProof/>
            </w:rPr>
            <w:fldChar w:fldCharType="begin"/>
          </w:r>
          <w:r>
            <w:rPr>
              <w:noProof/>
            </w:rPr>
            <w:instrText xml:space="preserve"> PAGEREF _Toc7863402 \h </w:instrText>
          </w:r>
          <w:r>
            <w:rPr>
              <w:noProof/>
            </w:rPr>
          </w:r>
          <w:r>
            <w:rPr>
              <w:noProof/>
            </w:rPr>
            <w:fldChar w:fldCharType="separate"/>
          </w:r>
          <w:r w:rsidR="0059515E">
            <w:rPr>
              <w:noProof/>
            </w:rPr>
            <w:t>77</w:t>
          </w:r>
          <w:r>
            <w:rPr>
              <w:noProof/>
            </w:rPr>
            <w:fldChar w:fldCharType="end"/>
          </w:r>
        </w:p>
        <w:p w14:paraId="79A47796" w14:textId="58F7D0B6" w:rsidR="00C0070D" w:rsidRDefault="00C0070D">
          <w:pPr>
            <w:pStyle w:val="TOC2"/>
            <w:tabs>
              <w:tab w:val="right" w:leader="dot" w:pos="9350"/>
            </w:tabs>
            <w:rPr>
              <w:rFonts w:asciiTheme="minorHAnsi" w:eastAsiaTheme="minorEastAsia" w:hAnsiTheme="minorHAnsi" w:cstheme="minorBidi"/>
              <w:smallCaps w:val="0"/>
              <w:noProof/>
              <w:szCs w:val="24"/>
              <w:lang w:val="en-US"/>
            </w:rPr>
          </w:pPr>
          <w:r>
            <w:rPr>
              <w:noProof/>
            </w:rPr>
            <w:t>Other Conservation Programs</w:t>
          </w:r>
          <w:r>
            <w:rPr>
              <w:noProof/>
            </w:rPr>
            <w:tab/>
          </w:r>
          <w:r>
            <w:rPr>
              <w:noProof/>
            </w:rPr>
            <w:fldChar w:fldCharType="begin"/>
          </w:r>
          <w:r>
            <w:rPr>
              <w:noProof/>
            </w:rPr>
            <w:instrText xml:space="preserve"> PAGEREF _Toc7863403 \h </w:instrText>
          </w:r>
          <w:r>
            <w:rPr>
              <w:noProof/>
            </w:rPr>
          </w:r>
          <w:r>
            <w:rPr>
              <w:noProof/>
            </w:rPr>
            <w:fldChar w:fldCharType="separate"/>
          </w:r>
          <w:r w:rsidR="0059515E">
            <w:rPr>
              <w:noProof/>
            </w:rPr>
            <w:t>84</w:t>
          </w:r>
          <w:r>
            <w:rPr>
              <w:noProof/>
            </w:rPr>
            <w:fldChar w:fldCharType="end"/>
          </w:r>
        </w:p>
        <w:p w14:paraId="358CB82B" w14:textId="6E868465" w:rsidR="00C0070D" w:rsidRDefault="00C0070D">
          <w:pPr>
            <w:pStyle w:val="TOC2"/>
            <w:tabs>
              <w:tab w:val="right" w:leader="dot" w:pos="9350"/>
            </w:tabs>
            <w:rPr>
              <w:rFonts w:asciiTheme="minorHAnsi" w:eastAsiaTheme="minorEastAsia" w:hAnsiTheme="minorHAnsi" w:cstheme="minorBidi"/>
              <w:smallCaps w:val="0"/>
              <w:noProof/>
              <w:szCs w:val="24"/>
              <w:lang w:val="en-US"/>
            </w:rPr>
          </w:pPr>
          <w:r>
            <w:rPr>
              <w:noProof/>
            </w:rPr>
            <w:lastRenderedPageBreak/>
            <w:t>Conclusions</w:t>
          </w:r>
          <w:r>
            <w:rPr>
              <w:noProof/>
            </w:rPr>
            <w:tab/>
          </w:r>
          <w:r>
            <w:rPr>
              <w:noProof/>
            </w:rPr>
            <w:fldChar w:fldCharType="begin"/>
          </w:r>
          <w:r>
            <w:rPr>
              <w:noProof/>
            </w:rPr>
            <w:instrText xml:space="preserve"> PAGEREF _Toc7863404 \h </w:instrText>
          </w:r>
          <w:r>
            <w:rPr>
              <w:noProof/>
            </w:rPr>
          </w:r>
          <w:r>
            <w:rPr>
              <w:noProof/>
            </w:rPr>
            <w:fldChar w:fldCharType="separate"/>
          </w:r>
          <w:r w:rsidR="0059515E">
            <w:rPr>
              <w:noProof/>
            </w:rPr>
            <w:t>87</w:t>
          </w:r>
          <w:r>
            <w:rPr>
              <w:noProof/>
            </w:rPr>
            <w:fldChar w:fldCharType="end"/>
          </w:r>
        </w:p>
        <w:p w14:paraId="59D7D860" w14:textId="77777777" w:rsidR="00335AA2" w:rsidRDefault="00335AA2" w:rsidP="00CB658F">
          <w:pPr>
            <w:pStyle w:val="TOC1"/>
            <w:rPr>
              <w:noProof/>
            </w:rPr>
          </w:pPr>
        </w:p>
        <w:p w14:paraId="72821B11" w14:textId="328577F6" w:rsidR="00C0070D" w:rsidRDefault="00C0070D" w:rsidP="00CB658F">
          <w:pPr>
            <w:pStyle w:val="TOC1"/>
            <w:rPr>
              <w:rFonts w:asciiTheme="minorHAnsi" w:eastAsiaTheme="minorEastAsia" w:hAnsiTheme="minorHAnsi" w:cstheme="minorBidi"/>
              <w:noProof/>
              <w:szCs w:val="24"/>
              <w:lang w:val="en-US"/>
            </w:rPr>
          </w:pPr>
          <w:r>
            <w:rPr>
              <w:noProof/>
            </w:rPr>
            <w:t>CHAPTER IV</w:t>
          </w:r>
          <w:r w:rsidR="00335AA2">
            <w:rPr>
              <w:noProof/>
            </w:rPr>
            <w:t>:</w:t>
          </w:r>
          <w:r w:rsidR="00335AA2" w:rsidRPr="00335AA2">
            <w:rPr>
              <w:noProof/>
            </w:rPr>
            <w:t xml:space="preserve"> </w:t>
          </w:r>
          <w:r w:rsidR="00335AA2">
            <w:rPr>
              <w:noProof/>
            </w:rPr>
            <w:t>PRESERVATION THINKING AND EVOLVING VALUES</w:t>
          </w:r>
          <w:r>
            <w:rPr>
              <w:noProof/>
            </w:rPr>
            <w:tab/>
          </w:r>
          <w:r>
            <w:rPr>
              <w:noProof/>
            </w:rPr>
            <w:fldChar w:fldCharType="begin"/>
          </w:r>
          <w:r>
            <w:rPr>
              <w:noProof/>
            </w:rPr>
            <w:instrText xml:space="preserve"> PAGEREF _Toc7863405 \h </w:instrText>
          </w:r>
          <w:r>
            <w:rPr>
              <w:noProof/>
            </w:rPr>
          </w:r>
          <w:r>
            <w:rPr>
              <w:noProof/>
            </w:rPr>
            <w:fldChar w:fldCharType="separate"/>
          </w:r>
          <w:r w:rsidR="0059515E">
            <w:rPr>
              <w:noProof/>
            </w:rPr>
            <w:t>90</w:t>
          </w:r>
          <w:r>
            <w:rPr>
              <w:noProof/>
            </w:rPr>
            <w:fldChar w:fldCharType="end"/>
          </w:r>
        </w:p>
        <w:p w14:paraId="566C2EEB" w14:textId="55E03BDF" w:rsidR="00C0070D" w:rsidRDefault="00C0070D">
          <w:pPr>
            <w:pStyle w:val="TOC2"/>
            <w:tabs>
              <w:tab w:val="right" w:leader="dot" w:pos="9350"/>
            </w:tabs>
            <w:rPr>
              <w:rFonts w:asciiTheme="minorHAnsi" w:eastAsiaTheme="minorEastAsia" w:hAnsiTheme="minorHAnsi" w:cstheme="minorBidi"/>
              <w:smallCaps w:val="0"/>
              <w:noProof/>
              <w:szCs w:val="24"/>
              <w:lang w:val="en-US"/>
            </w:rPr>
          </w:pPr>
          <w:r>
            <w:rPr>
              <w:noProof/>
            </w:rPr>
            <w:t>Farms: Work</w:t>
          </w:r>
          <w:r w:rsidRPr="00DC3888">
            <w:rPr>
              <w:i/>
              <w:noProof/>
            </w:rPr>
            <w:t xml:space="preserve">ing </w:t>
          </w:r>
          <w:r>
            <w:rPr>
              <w:noProof/>
            </w:rPr>
            <w:t>Landscapes</w:t>
          </w:r>
          <w:r>
            <w:rPr>
              <w:noProof/>
            </w:rPr>
            <w:tab/>
          </w:r>
          <w:r>
            <w:rPr>
              <w:noProof/>
            </w:rPr>
            <w:fldChar w:fldCharType="begin"/>
          </w:r>
          <w:r>
            <w:rPr>
              <w:noProof/>
            </w:rPr>
            <w:instrText xml:space="preserve"> PAGEREF _Toc7863407 \h </w:instrText>
          </w:r>
          <w:r>
            <w:rPr>
              <w:noProof/>
            </w:rPr>
          </w:r>
          <w:r>
            <w:rPr>
              <w:noProof/>
            </w:rPr>
            <w:fldChar w:fldCharType="separate"/>
          </w:r>
          <w:r w:rsidR="0059515E">
            <w:rPr>
              <w:noProof/>
            </w:rPr>
            <w:t>91</w:t>
          </w:r>
          <w:r>
            <w:rPr>
              <w:noProof/>
            </w:rPr>
            <w:fldChar w:fldCharType="end"/>
          </w:r>
        </w:p>
        <w:p w14:paraId="0F50C5F1" w14:textId="5697A508" w:rsidR="00C0070D" w:rsidRDefault="00C0070D">
          <w:pPr>
            <w:pStyle w:val="TOC2"/>
            <w:tabs>
              <w:tab w:val="right" w:leader="dot" w:pos="9350"/>
            </w:tabs>
            <w:rPr>
              <w:rFonts w:asciiTheme="minorHAnsi" w:eastAsiaTheme="minorEastAsia" w:hAnsiTheme="minorHAnsi" w:cstheme="minorBidi"/>
              <w:smallCaps w:val="0"/>
              <w:noProof/>
              <w:szCs w:val="24"/>
              <w:lang w:val="en-US"/>
            </w:rPr>
          </w:pPr>
          <w:r>
            <w:rPr>
              <w:noProof/>
            </w:rPr>
            <w:t>Cultural Landscapes: The Wrong Tool for Working Farms</w:t>
          </w:r>
          <w:r>
            <w:rPr>
              <w:noProof/>
            </w:rPr>
            <w:tab/>
          </w:r>
          <w:r>
            <w:rPr>
              <w:noProof/>
            </w:rPr>
            <w:fldChar w:fldCharType="begin"/>
          </w:r>
          <w:r>
            <w:rPr>
              <w:noProof/>
            </w:rPr>
            <w:instrText xml:space="preserve"> PAGEREF _Toc7863408 \h </w:instrText>
          </w:r>
          <w:r>
            <w:rPr>
              <w:noProof/>
            </w:rPr>
          </w:r>
          <w:r>
            <w:rPr>
              <w:noProof/>
            </w:rPr>
            <w:fldChar w:fldCharType="separate"/>
          </w:r>
          <w:r w:rsidR="0059515E">
            <w:rPr>
              <w:noProof/>
            </w:rPr>
            <w:t>93</w:t>
          </w:r>
          <w:r>
            <w:rPr>
              <w:noProof/>
            </w:rPr>
            <w:fldChar w:fldCharType="end"/>
          </w:r>
        </w:p>
        <w:p w14:paraId="28C6567D" w14:textId="11AB3D09" w:rsidR="00C0070D" w:rsidRDefault="00C0070D">
          <w:pPr>
            <w:pStyle w:val="TOC3"/>
            <w:rPr>
              <w:rFonts w:asciiTheme="minorHAnsi" w:eastAsiaTheme="minorEastAsia" w:hAnsiTheme="minorHAnsi" w:cstheme="minorBidi"/>
              <w:iCs w:val="0"/>
              <w:noProof/>
              <w:szCs w:val="24"/>
              <w:lang w:val="en-US"/>
            </w:rPr>
          </w:pPr>
          <w:r>
            <w:rPr>
              <w:noProof/>
            </w:rPr>
            <w:t>Treatments for Farms as Cultural Landscapes</w:t>
          </w:r>
          <w:r>
            <w:rPr>
              <w:noProof/>
            </w:rPr>
            <w:tab/>
          </w:r>
          <w:r>
            <w:rPr>
              <w:noProof/>
            </w:rPr>
            <w:fldChar w:fldCharType="begin"/>
          </w:r>
          <w:r>
            <w:rPr>
              <w:noProof/>
            </w:rPr>
            <w:instrText xml:space="preserve"> PAGEREF _Toc7863409 \h </w:instrText>
          </w:r>
          <w:r>
            <w:rPr>
              <w:noProof/>
            </w:rPr>
          </w:r>
          <w:r>
            <w:rPr>
              <w:noProof/>
            </w:rPr>
            <w:fldChar w:fldCharType="separate"/>
          </w:r>
          <w:r w:rsidR="0059515E">
            <w:rPr>
              <w:noProof/>
            </w:rPr>
            <w:t>94</w:t>
          </w:r>
          <w:r>
            <w:rPr>
              <w:noProof/>
            </w:rPr>
            <w:fldChar w:fldCharType="end"/>
          </w:r>
        </w:p>
        <w:p w14:paraId="5BF0CC21" w14:textId="562B33AA" w:rsidR="00C0070D" w:rsidRDefault="00C0070D">
          <w:pPr>
            <w:pStyle w:val="TOC3"/>
            <w:rPr>
              <w:rFonts w:asciiTheme="minorHAnsi" w:eastAsiaTheme="minorEastAsia" w:hAnsiTheme="minorHAnsi" w:cstheme="minorBidi"/>
              <w:iCs w:val="0"/>
              <w:noProof/>
              <w:szCs w:val="24"/>
              <w:lang w:val="en-US"/>
            </w:rPr>
          </w:pPr>
          <w:r>
            <w:rPr>
              <w:noProof/>
            </w:rPr>
            <w:t>Traditional Cultural Properties: A Better Fit; But with Little Guidance</w:t>
          </w:r>
          <w:r>
            <w:rPr>
              <w:noProof/>
            </w:rPr>
            <w:tab/>
          </w:r>
          <w:r>
            <w:rPr>
              <w:noProof/>
            </w:rPr>
            <w:fldChar w:fldCharType="begin"/>
          </w:r>
          <w:r>
            <w:rPr>
              <w:noProof/>
            </w:rPr>
            <w:instrText xml:space="preserve"> PAGEREF _Toc7863410 \h </w:instrText>
          </w:r>
          <w:r>
            <w:rPr>
              <w:noProof/>
            </w:rPr>
          </w:r>
          <w:r>
            <w:rPr>
              <w:noProof/>
            </w:rPr>
            <w:fldChar w:fldCharType="separate"/>
          </w:r>
          <w:r w:rsidR="0059515E">
            <w:rPr>
              <w:noProof/>
            </w:rPr>
            <w:t>98</w:t>
          </w:r>
          <w:r>
            <w:rPr>
              <w:noProof/>
            </w:rPr>
            <w:fldChar w:fldCharType="end"/>
          </w:r>
        </w:p>
        <w:p w14:paraId="3FD3FC35" w14:textId="463DFFDA" w:rsidR="00C0070D" w:rsidRDefault="00C0070D">
          <w:pPr>
            <w:pStyle w:val="TOC3"/>
            <w:rPr>
              <w:rFonts w:asciiTheme="minorHAnsi" w:eastAsiaTheme="minorEastAsia" w:hAnsiTheme="minorHAnsi" w:cstheme="minorBidi"/>
              <w:iCs w:val="0"/>
              <w:noProof/>
              <w:szCs w:val="24"/>
              <w:lang w:val="en-US"/>
            </w:rPr>
          </w:pPr>
          <w:r>
            <w:rPr>
              <w:noProof/>
            </w:rPr>
            <w:t>Sense Of Place</w:t>
          </w:r>
          <w:r>
            <w:rPr>
              <w:noProof/>
            </w:rPr>
            <w:tab/>
          </w:r>
          <w:r>
            <w:rPr>
              <w:noProof/>
            </w:rPr>
            <w:fldChar w:fldCharType="begin"/>
          </w:r>
          <w:r>
            <w:rPr>
              <w:noProof/>
            </w:rPr>
            <w:instrText xml:space="preserve"> PAGEREF _Toc7863411 \h </w:instrText>
          </w:r>
          <w:r>
            <w:rPr>
              <w:noProof/>
            </w:rPr>
          </w:r>
          <w:r>
            <w:rPr>
              <w:noProof/>
            </w:rPr>
            <w:fldChar w:fldCharType="separate"/>
          </w:r>
          <w:r w:rsidR="0059515E">
            <w:rPr>
              <w:noProof/>
            </w:rPr>
            <w:t>100</w:t>
          </w:r>
          <w:r>
            <w:rPr>
              <w:noProof/>
            </w:rPr>
            <w:fldChar w:fldCharType="end"/>
          </w:r>
        </w:p>
        <w:p w14:paraId="427F5E83" w14:textId="6900B60B" w:rsidR="00C0070D" w:rsidRDefault="00C0070D">
          <w:pPr>
            <w:pStyle w:val="TOC2"/>
            <w:tabs>
              <w:tab w:val="right" w:leader="dot" w:pos="9350"/>
            </w:tabs>
            <w:rPr>
              <w:rFonts w:asciiTheme="minorHAnsi" w:eastAsiaTheme="minorEastAsia" w:hAnsiTheme="minorHAnsi" w:cstheme="minorBidi"/>
              <w:smallCaps w:val="0"/>
              <w:noProof/>
              <w:szCs w:val="24"/>
              <w:lang w:val="en-US"/>
            </w:rPr>
          </w:pPr>
          <w:r>
            <w:rPr>
              <w:noProof/>
            </w:rPr>
            <w:t>Seeing Connections Between the Farm and Larger Landscape</w:t>
          </w:r>
          <w:r>
            <w:rPr>
              <w:noProof/>
            </w:rPr>
            <w:tab/>
          </w:r>
          <w:r>
            <w:rPr>
              <w:noProof/>
            </w:rPr>
            <w:fldChar w:fldCharType="begin"/>
          </w:r>
          <w:r>
            <w:rPr>
              <w:noProof/>
            </w:rPr>
            <w:instrText xml:space="preserve"> PAGEREF _Toc7863412 \h </w:instrText>
          </w:r>
          <w:r>
            <w:rPr>
              <w:noProof/>
            </w:rPr>
          </w:r>
          <w:r>
            <w:rPr>
              <w:noProof/>
            </w:rPr>
            <w:fldChar w:fldCharType="separate"/>
          </w:r>
          <w:r w:rsidR="0059515E">
            <w:rPr>
              <w:noProof/>
            </w:rPr>
            <w:t>102</w:t>
          </w:r>
          <w:r>
            <w:rPr>
              <w:noProof/>
            </w:rPr>
            <w:fldChar w:fldCharType="end"/>
          </w:r>
        </w:p>
        <w:p w14:paraId="2B599897" w14:textId="5B7986E8" w:rsidR="00C0070D" w:rsidRDefault="00C0070D">
          <w:pPr>
            <w:pStyle w:val="TOC3"/>
            <w:rPr>
              <w:rFonts w:asciiTheme="minorHAnsi" w:eastAsiaTheme="minorEastAsia" w:hAnsiTheme="minorHAnsi" w:cstheme="minorBidi"/>
              <w:iCs w:val="0"/>
              <w:noProof/>
              <w:szCs w:val="24"/>
              <w:lang w:val="en-US"/>
            </w:rPr>
          </w:pPr>
          <w:r>
            <w:rPr>
              <w:noProof/>
            </w:rPr>
            <w:t>Where Preservation Meets Environmentalism</w:t>
          </w:r>
          <w:r>
            <w:rPr>
              <w:noProof/>
            </w:rPr>
            <w:tab/>
          </w:r>
          <w:r>
            <w:rPr>
              <w:noProof/>
            </w:rPr>
            <w:fldChar w:fldCharType="begin"/>
          </w:r>
          <w:r>
            <w:rPr>
              <w:noProof/>
            </w:rPr>
            <w:instrText xml:space="preserve"> PAGEREF _Toc7863413 \h </w:instrText>
          </w:r>
          <w:r>
            <w:rPr>
              <w:noProof/>
            </w:rPr>
          </w:r>
          <w:r>
            <w:rPr>
              <w:noProof/>
            </w:rPr>
            <w:fldChar w:fldCharType="separate"/>
          </w:r>
          <w:r w:rsidR="0059515E">
            <w:rPr>
              <w:noProof/>
            </w:rPr>
            <w:t>103</w:t>
          </w:r>
          <w:r>
            <w:rPr>
              <w:noProof/>
            </w:rPr>
            <w:fldChar w:fldCharType="end"/>
          </w:r>
        </w:p>
        <w:p w14:paraId="273F99E5" w14:textId="15F85B96" w:rsidR="00C0070D" w:rsidRDefault="00C0070D">
          <w:pPr>
            <w:pStyle w:val="TOC3"/>
            <w:rPr>
              <w:rFonts w:asciiTheme="minorHAnsi" w:eastAsiaTheme="minorEastAsia" w:hAnsiTheme="minorHAnsi" w:cstheme="minorBidi"/>
              <w:iCs w:val="0"/>
              <w:noProof/>
              <w:szCs w:val="24"/>
              <w:lang w:val="en-US"/>
            </w:rPr>
          </w:pPr>
          <w:r>
            <w:rPr>
              <w:noProof/>
            </w:rPr>
            <w:t>Integrity and Significance</w:t>
          </w:r>
          <w:r>
            <w:rPr>
              <w:noProof/>
            </w:rPr>
            <w:tab/>
          </w:r>
          <w:r>
            <w:rPr>
              <w:noProof/>
            </w:rPr>
            <w:fldChar w:fldCharType="begin"/>
          </w:r>
          <w:r>
            <w:rPr>
              <w:noProof/>
            </w:rPr>
            <w:instrText xml:space="preserve"> PAGEREF _Toc7863414 \h </w:instrText>
          </w:r>
          <w:r>
            <w:rPr>
              <w:noProof/>
            </w:rPr>
          </w:r>
          <w:r>
            <w:rPr>
              <w:noProof/>
            </w:rPr>
            <w:fldChar w:fldCharType="separate"/>
          </w:r>
          <w:r w:rsidR="0059515E">
            <w:rPr>
              <w:noProof/>
            </w:rPr>
            <w:t>106</w:t>
          </w:r>
          <w:r>
            <w:rPr>
              <w:noProof/>
            </w:rPr>
            <w:fldChar w:fldCharType="end"/>
          </w:r>
        </w:p>
        <w:p w14:paraId="4DFFB324" w14:textId="2FE706FE" w:rsidR="00C0070D" w:rsidRDefault="00C0070D">
          <w:pPr>
            <w:pStyle w:val="TOC2"/>
            <w:tabs>
              <w:tab w:val="right" w:leader="dot" w:pos="9350"/>
            </w:tabs>
            <w:rPr>
              <w:rFonts w:asciiTheme="minorHAnsi" w:eastAsiaTheme="minorEastAsia" w:hAnsiTheme="minorHAnsi" w:cstheme="minorBidi"/>
              <w:smallCaps w:val="0"/>
              <w:noProof/>
              <w:szCs w:val="24"/>
              <w:lang w:val="en-US"/>
            </w:rPr>
          </w:pPr>
          <w:r>
            <w:rPr>
              <w:noProof/>
            </w:rPr>
            <w:t xml:space="preserve">Traditional Cultural Properties: Domestic Values-Based Approach </w:t>
          </w:r>
          <w:r>
            <w:rPr>
              <w:noProof/>
            </w:rPr>
            <w:tab/>
          </w:r>
          <w:r>
            <w:rPr>
              <w:noProof/>
            </w:rPr>
            <w:fldChar w:fldCharType="begin"/>
          </w:r>
          <w:r>
            <w:rPr>
              <w:noProof/>
            </w:rPr>
            <w:instrText xml:space="preserve"> PAGEREF _Toc7863415 \h </w:instrText>
          </w:r>
          <w:r>
            <w:rPr>
              <w:noProof/>
            </w:rPr>
          </w:r>
          <w:r>
            <w:rPr>
              <w:noProof/>
            </w:rPr>
            <w:fldChar w:fldCharType="separate"/>
          </w:r>
          <w:r w:rsidR="0059515E">
            <w:rPr>
              <w:noProof/>
            </w:rPr>
            <w:t>107</w:t>
          </w:r>
          <w:r>
            <w:rPr>
              <w:noProof/>
            </w:rPr>
            <w:fldChar w:fldCharType="end"/>
          </w:r>
        </w:p>
        <w:p w14:paraId="65885AD2" w14:textId="2D580DA9" w:rsidR="00C0070D" w:rsidRDefault="00C0070D">
          <w:pPr>
            <w:pStyle w:val="TOC2"/>
            <w:tabs>
              <w:tab w:val="right" w:leader="dot" w:pos="9350"/>
            </w:tabs>
            <w:rPr>
              <w:rFonts w:asciiTheme="minorHAnsi" w:eastAsiaTheme="minorEastAsia" w:hAnsiTheme="minorHAnsi" w:cstheme="minorBidi"/>
              <w:smallCaps w:val="0"/>
              <w:noProof/>
              <w:szCs w:val="24"/>
              <w:lang w:val="en-US"/>
            </w:rPr>
          </w:pPr>
          <w:r>
            <w:rPr>
              <w:noProof/>
            </w:rPr>
            <w:t>American Landscape Conservation: Another Strategy</w:t>
          </w:r>
          <w:r>
            <w:rPr>
              <w:noProof/>
            </w:rPr>
            <w:tab/>
          </w:r>
          <w:r>
            <w:rPr>
              <w:noProof/>
            </w:rPr>
            <w:fldChar w:fldCharType="begin"/>
          </w:r>
          <w:r>
            <w:rPr>
              <w:noProof/>
            </w:rPr>
            <w:instrText xml:space="preserve"> PAGEREF _Toc7863416 \h </w:instrText>
          </w:r>
          <w:r>
            <w:rPr>
              <w:noProof/>
            </w:rPr>
          </w:r>
          <w:r>
            <w:rPr>
              <w:noProof/>
            </w:rPr>
            <w:fldChar w:fldCharType="separate"/>
          </w:r>
          <w:r w:rsidR="0059515E">
            <w:rPr>
              <w:noProof/>
            </w:rPr>
            <w:t>110</w:t>
          </w:r>
          <w:r>
            <w:rPr>
              <w:noProof/>
            </w:rPr>
            <w:fldChar w:fldCharType="end"/>
          </w:r>
        </w:p>
        <w:p w14:paraId="3B1115F6" w14:textId="71D61809" w:rsidR="00C0070D" w:rsidRDefault="00C0070D">
          <w:pPr>
            <w:pStyle w:val="TOC2"/>
            <w:tabs>
              <w:tab w:val="right" w:leader="dot" w:pos="9350"/>
            </w:tabs>
            <w:rPr>
              <w:rFonts w:asciiTheme="minorHAnsi" w:eastAsiaTheme="minorEastAsia" w:hAnsiTheme="minorHAnsi" w:cstheme="minorBidi"/>
              <w:smallCaps w:val="0"/>
              <w:noProof/>
              <w:szCs w:val="24"/>
              <w:lang w:val="en-US"/>
            </w:rPr>
          </w:pPr>
          <w:r>
            <w:rPr>
              <w:noProof/>
            </w:rPr>
            <w:t>Comparing the Burra Charter and Traditional Cultural Properties</w:t>
          </w:r>
          <w:r>
            <w:rPr>
              <w:noProof/>
            </w:rPr>
            <w:tab/>
          </w:r>
          <w:r>
            <w:rPr>
              <w:noProof/>
            </w:rPr>
            <w:fldChar w:fldCharType="begin"/>
          </w:r>
          <w:r>
            <w:rPr>
              <w:noProof/>
            </w:rPr>
            <w:instrText xml:space="preserve"> PAGEREF _Toc7863417 \h </w:instrText>
          </w:r>
          <w:r>
            <w:rPr>
              <w:noProof/>
            </w:rPr>
          </w:r>
          <w:r>
            <w:rPr>
              <w:noProof/>
            </w:rPr>
            <w:fldChar w:fldCharType="separate"/>
          </w:r>
          <w:r w:rsidR="0059515E">
            <w:rPr>
              <w:noProof/>
            </w:rPr>
            <w:t>114</w:t>
          </w:r>
          <w:r>
            <w:rPr>
              <w:noProof/>
            </w:rPr>
            <w:fldChar w:fldCharType="end"/>
          </w:r>
        </w:p>
        <w:p w14:paraId="198458E2" w14:textId="6659C35C" w:rsidR="00C0070D" w:rsidRDefault="00C0070D">
          <w:pPr>
            <w:pStyle w:val="TOC2"/>
            <w:tabs>
              <w:tab w:val="right" w:leader="dot" w:pos="9350"/>
            </w:tabs>
            <w:rPr>
              <w:rFonts w:asciiTheme="minorHAnsi" w:eastAsiaTheme="minorEastAsia" w:hAnsiTheme="minorHAnsi" w:cstheme="minorBidi"/>
              <w:smallCaps w:val="0"/>
              <w:noProof/>
              <w:szCs w:val="24"/>
              <w:lang w:val="en-US"/>
            </w:rPr>
          </w:pPr>
          <w:r>
            <w:rPr>
              <w:noProof/>
            </w:rPr>
            <w:t>Global Policies for Farms</w:t>
          </w:r>
          <w:r>
            <w:rPr>
              <w:noProof/>
            </w:rPr>
            <w:tab/>
          </w:r>
          <w:r>
            <w:rPr>
              <w:noProof/>
            </w:rPr>
            <w:fldChar w:fldCharType="begin"/>
          </w:r>
          <w:r>
            <w:rPr>
              <w:noProof/>
            </w:rPr>
            <w:instrText xml:space="preserve"> PAGEREF _Toc7863418 \h </w:instrText>
          </w:r>
          <w:r>
            <w:rPr>
              <w:noProof/>
            </w:rPr>
          </w:r>
          <w:r>
            <w:rPr>
              <w:noProof/>
            </w:rPr>
            <w:fldChar w:fldCharType="separate"/>
          </w:r>
          <w:r w:rsidR="0059515E">
            <w:rPr>
              <w:noProof/>
            </w:rPr>
            <w:t>117</w:t>
          </w:r>
          <w:r>
            <w:rPr>
              <w:noProof/>
            </w:rPr>
            <w:fldChar w:fldCharType="end"/>
          </w:r>
        </w:p>
        <w:p w14:paraId="055299C4" w14:textId="0BEA8E84" w:rsidR="00C0070D" w:rsidRDefault="00C0070D">
          <w:pPr>
            <w:pStyle w:val="TOC2"/>
            <w:tabs>
              <w:tab w:val="right" w:leader="dot" w:pos="9350"/>
            </w:tabs>
            <w:rPr>
              <w:rFonts w:asciiTheme="minorHAnsi" w:eastAsiaTheme="minorEastAsia" w:hAnsiTheme="minorHAnsi" w:cstheme="minorBidi"/>
              <w:smallCaps w:val="0"/>
              <w:noProof/>
              <w:szCs w:val="24"/>
              <w:lang w:val="en-US"/>
            </w:rPr>
          </w:pPr>
          <w:r>
            <w:rPr>
              <w:noProof/>
            </w:rPr>
            <w:t>Conclusions</w:t>
          </w:r>
          <w:r>
            <w:rPr>
              <w:noProof/>
            </w:rPr>
            <w:tab/>
          </w:r>
          <w:r>
            <w:rPr>
              <w:noProof/>
            </w:rPr>
            <w:fldChar w:fldCharType="begin"/>
          </w:r>
          <w:r>
            <w:rPr>
              <w:noProof/>
            </w:rPr>
            <w:instrText xml:space="preserve"> PAGEREF _Toc7863419 \h </w:instrText>
          </w:r>
          <w:r>
            <w:rPr>
              <w:noProof/>
            </w:rPr>
          </w:r>
          <w:r>
            <w:rPr>
              <w:noProof/>
            </w:rPr>
            <w:fldChar w:fldCharType="separate"/>
          </w:r>
          <w:r w:rsidR="0059515E">
            <w:rPr>
              <w:noProof/>
            </w:rPr>
            <w:t>122</w:t>
          </w:r>
          <w:r>
            <w:rPr>
              <w:noProof/>
            </w:rPr>
            <w:fldChar w:fldCharType="end"/>
          </w:r>
        </w:p>
        <w:p w14:paraId="0F77B908" w14:textId="77777777" w:rsidR="00335AA2" w:rsidRDefault="00335AA2" w:rsidP="00CB658F">
          <w:pPr>
            <w:pStyle w:val="TOC1"/>
            <w:rPr>
              <w:noProof/>
            </w:rPr>
          </w:pPr>
        </w:p>
        <w:p w14:paraId="4CE1A881" w14:textId="4192CA78" w:rsidR="00C0070D" w:rsidRDefault="00C0070D" w:rsidP="00CB658F">
          <w:pPr>
            <w:pStyle w:val="TOC1"/>
            <w:rPr>
              <w:rFonts w:asciiTheme="minorHAnsi" w:eastAsiaTheme="minorEastAsia" w:hAnsiTheme="minorHAnsi" w:cstheme="minorBidi"/>
              <w:noProof/>
              <w:szCs w:val="24"/>
              <w:lang w:val="en-US"/>
            </w:rPr>
          </w:pPr>
          <w:r>
            <w:rPr>
              <w:noProof/>
            </w:rPr>
            <w:t>CHAPTER V</w:t>
          </w:r>
          <w:r w:rsidR="00335AA2">
            <w:rPr>
              <w:noProof/>
            </w:rPr>
            <w:t>: PRESERVING WORKING LANDSCAPES</w:t>
          </w:r>
          <w:r>
            <w:rPr>
              <w:noProof/>
            </w:rPr>
            <w:tab/>
          </w:r>
          <w:r>
            <w:rPr>
              <w:noProof/>
            </w:rPr>
            <w:fldChar w:fldCharType="begin"/>
          </w:r>
          <w:r>
            <w:rPr>
              <w:noProof/>
            </w:rPr>
            <w:instrText xml:space="preserve"> PAGEREF _Toc7863420 \h </w:instrText>
          </w:r>
          <w:r>
            <w:rPr>
              <w:noProof/>
            </w:rPr>
          </w:r>
          <w:r>
            <w:rPr>
              <w:noProof/>
            </w:rPr>
            <w:fldChar w:fldCharType="separate"/>
          </w:r>
          <w:r w:rsidR="0059515E">
            <w:rPr>
              <w:noProof/>
            </w:rPr>
            <w:t>124</w:t>
          </w:r>
          <w:r>
            <w:rPr>
              <w:noProof/>
            </w:rPr>
            <w:fldChar w:fldCharType="end"/>
          </w:r>
        </w:p>
        <w:p w14:paraId="09A5374B" w14:textId="17CAAC19" w:rsidR="00C0070D" w:rsidRDefault="00C0070D">
          <w:pPr>
            <w:pStyle w:val="TOC2"/>
            <w:tabs>
              <w:tab w:val="right" w:leader="dot" w:pos="9350"/>
            </w:tabs>
            <w:rPr>
              <w:rFonts w:asciiTheme="minorHAnsi" w:eastAsiaTheme="minorEastAsia" w:hAnsiTheme="minorHAnsi" w:cstheme="minorBidi"/>
              <w:smallCaps w:val="0"/>
              <w:noProof/>
              <w:szCs w:val="24"/>
              <w:lang w:val="en-US"/>
            </w:rPr>
          </w:pPr>
          <w:r>
            <w:rPr>
              <w:noProof/>
            </w:rPr>
            <w:t>Preserving Changing Places</w:t>
          </w:r>
          <w:r>
            <w:rPr>
              <w:noProof/>
            </w:rPr>
            <w:tab/>
          </w:r>
          <w:r>
            <w:rPr>
              <w:noProof/>
            </w:rPr>
            <w:fldChar w:fldCharType="begin"/>
          </w:r>
          <w:r>
            <w:rPr>
              <w:noProof/>
            </w:rPr>
            <w:instrText xml:space="preserve"> PAGEREF _Toc7863422 \h </w:instrText>
          </w:r>
          <w:r>
            <w:rPr>
              <w:noProof/>
            </w:rPr>
          </w:r>
          <w:r>
            <w:rPr>
              <w:noProof/>
            </w:rPr>
            <w:fldChar w:fldCharType="separate"/>
          </w:r>
          <w:r w:rsidR="0059515E">
            <w:rPr>
              <w:noProof/>
            </w:rPr>
            <w:t>124</w:t>
          </w:r>
          <w:r>
            <w:rPr>
              <w:noProof/>
            </w:rPr>
            <w:fldChar w:fldCharType="end"/>
          </w:r>
        </w:p>
        <w:p w14:paraId="2246E43B" w14:textId="050D8B26" w:rsidR="00C0070D" w:rsidRDefault="00C0070D">
          <w:pPr>
            <w:pStyle w:val="TOC3"/>
            <w:rPr>
              <w:rFonts w:asciiTheme="minorHAnsi" w:eastAsiaTheme="minorEastAsia" w:hAnsiTheme="minorHAnsi" w:cstheme="minorBidi"/>
              <w:iCs w:val="0"/>
              <w:noProof/>
              <w:szCs w:val="24"/>
              <w:lang w:val="en-US"/>
            </w:rPr>
          </w:pPr>
          <w:r>
            <w:rPr>
              <w:noProof/>
            </w:rPr>
            <w:t>The First Approach to Farm Preservation in a Larger Context</w:t>
          </w:r>
          <w:r>
            <w:rPr>
              <w:noProof/>
            </w:rPr>
            <w:tab/>
          </w:r>
          <w:r>
            <w:rPr>
              <w:noProof/>
            </w:rPr>
            <w:fldChar w:fldCharType="begin"/>
          </w:r>
          <w:r>
            <w:rPr>
              <w:noProof/>
            </w:rPr>
            <w:instrText xml:space="preserve"> PAGEREF _Toc7863423 \h </w:instrText>
          </w:r>
          <w:r>
            <w:rPr>
              <w:noProof/>
            </w:rPr>
          </w:r>
          <w:r>
            <w:rPr>
              <w:noProof/>
            </w:rPr>
            <w:fldChar w:fldCharType="separate"/>
          </w:r>
          <w:r w:rsidR="0059515E">
            <w:rPr>
              <w:noProof/>
            </w:rPr>
            <w:t>129</w:t>
          </w:r>
          <w:r>
            <w:rPr>
              <w:noProof/>
            </w:rPr>
            <w:fldChar w:fldCharType="end"/>
          </w:r>
        </w:p>
        <w:p w14:paraId="14AE76D0" w14:textId="59ABFCD1" w:rsidR="00C0070D" w:rsidRDefault="00C0070D">
          <w:pPr>
            <w:pStyle w:val="TOC2"/>
            <w:tabs>
              <w:tab w:val="right" w:leader="dot" w:pos="9350"/>
            </w:tabs>
            <w:rPr>
              <w:rFonts w:asciiTheme="minorHAnsi" w:eastAsiaTheme="minorEastAsia" w:hAnsiTheme="minorHAnsi" w:cstheme="minorBidi"/>
              <w:smallCaps w:val="0"/>
              <w:noProof/>
              <w:szCs w:val="24"/>
              <w:lang w:val="en-US"/>
            </w:rPr>
          </w:pPr>
          <w:r>
            <w:rPr>
              <w:noProof/>
            </w:rPr>
            <w:t>What Was Learned</w:t>
          </w:r>
          <w:r>
            <w:rPr>
              <w:noProof/>
            </w:rPr>
            <w:tab/>
          </w:r>
          <w:r>
            <w:rPr>
              <w:noProof/>
            </w:rPr>
            <w:fldChar w:fldCharType="begin"/>
          </w:r>
          <w:r>
            <w:rPr>
              <w:noProof/>
            </w:rPr>
            <w:instrText xml:space="preserve"> PAGEREF _Toc7863424 \h </w:instrText>
          </w:r>
          <w:r>
            <w:rPr>
              <w:noProof/>
            </w:rPr>
          </w:r>
          <w:r>
            <w:rPr>
              <w:noProof/>
            </w:rPr>
            <w:fldChar w:fldCharType="separate"/>
          </w:r>
          <w:r w:rsidR="0059515E">
            <w:rPr>
              <w:noProof/>
            </w:rPr>
            <w:t>130</w:t>
          </w:r>
          <w:r>
            <w:rPr>
              <w:noProof/>
            </w:rPr>
            <w:fldChar w:fldCharType="end"/>
          </w:r>
        </w:p>
        <w:p w14:paraId="0410D911" w14:textId="6ED1DEAE" w:rsidR="00C0070D" w:rsidRDefault="00C0070D">
          <w:pPr>
            <w:pStyle w:val="TOC3"/>
            <w:rPr>
              <w:rFonts w:asciiTheme="minorHAnsi" w:eastAsiaTheme="minorEastAsia" w:hAnsiTheme="minorHAnsi" w:cstheme="minorBidi"/>
              <w:iCs w:val="0"/>
              <w:noProof/>
              <w:szCs w:val="24"/>
              <w:lang w:val="en-US"/>
            </w:rPr>
          </w:pPr>
          <w:r>
            <w:rPr>
              <w:noProof/>
            </w:rPr>
            <w:t>The National Register is a Means, Not an End</w:t>
          </w:r>
          <w:r>
            <w:rPr>
              <w:noProof/>
            </w:rPr>
            <w:tab/>
          </w:r>
          <w:r>
            <w:rPr>
              <w:noProof/>
            </w:rPr>
            <w:fldChar w:fldCharType="begin"/>
          </w:r>
          <w:r>
            <w:rPr>
              <w:noProof/>
            </w:rPr>
            <w:instrText xml:space="preserve"> PAGEREF _Toc7863425 \h </w:instrText>
          </w:r>
          <w:r>
            <w:rPr>
              <w:noProof/>
            </w:rPr>
          </w:r>
          <w:r>
            <w:rPr>
              <w:noProof/>
            </w:rPr>
            <w:fldChar w:fldCharType="separate"/>
          </w:r>
          <w:r w:rsidR="0059515E">
            <w:rPr>
              <w:noProof/>
            </w:rPr>
            <w:t>131</w:t>
          </w:r>
          <w:r>
            <w:rPr>
              <w:noProof/>
            </w:rPr>
            <w:fldChar w:fldCharType="end"/>
          </w:r>
        </w:p>
        <w:p w14:paraId="156409F1" w14:textId="5AFBE72F" w:rsidR="00C0070D" w:rsidRDefault="00C0070D">
          <w:pPr>
            <w:pStyle w:val="TOC3"/>
            <w:rPr>
              <w:rFonts w:asciiTheme="minorHAnsi" w:eastAsiaTheme="minorEastAsia" w:hAnsiTheme="minorHAnsi" w:cstheme="minorBidi"/>
              <w:iCs w:val="0"/>
              <w:noProof/>
              <w:szCs w:val="24"/>
              <w:lang w:val="en-US"/>
            </w:rPr>
          </w:pPr>
          <w:r>
            <w:rPr>
              <w:noProof/>
            </w:rPr>
            <w:t>Historic Preservation is Not the Only Expert on Farms</w:t>
          </w:r>
          <w:r>
            <w:rPr>
              <w:noProof/>
            </w:rPr>
            <w:tab/>
          </w:r>
          <w:r>
            <w:rPr>
              <w:noProof/>
            </w:rPr>
            <w:fldChar w:fldCharType="begin"/>
          </w:r>
          <w:r>
            <w:rPr>
              <w:noProof/>
            </w:rPr>
            <w:instrText xml:space="preserve"> PAGEREF _Toc7863426 \h </w:instrText>
          </w:r>
          <w:r>
            <w:rPr>
              <w:noProof/>
            </w:rPr>
          </w:r>
          <w:r>
            <w:rPr>
              <w:noProof/>
            </w:rPr>
            <w:fldChar w:fldCharType="separate"/>
          </w:r>
          <w:r w:rsidR="0059515E">
            <w:rPr>
              <w:noProof/>
            </w:rPr>
            <w:t>132</w:t>
          </w:r>
          <w:r>
            <w:rPr>
              <w:noProof/>
            </w:rPr>
            <w:fldChar w:fldCharType="end"/>
          </w:r>
        </w:p>
        <w:p w14:paraId="39DE0ED6" w14:textId="2A2D17CF" w:rsidR="00C0070D" w:rsidRDefault="00C0070D">
          <w:pPr>
            <w:pStyle w:val="TOC2"/>
            <w:tabs>
              <w:tab w:val="right" w:leader="dot" w:pos="9350"/>
            </w:tabs>
            <w:rPr>
              <w:rFonts w:asciiTheme="minorHAnsi" w:eastAsiaTheme="minorEastAsia" w:hAnsiTheme="minorHAnsi" w:cstheme="minorBidi"/>
              <w:smallCaps w:val="0"/>
              <w:noProof/>
              <w:szCs w:val="24"/>
              <w:lang w:val="en-US"/>
            </w:rPr>
          </w:pPr>
          <w:r>
            <w:rPr>
              <w:noProof/>
            </w:rPr>
            <w:t>Opportunities for Further Study</w:t>
          </w:r>
          <w:r>
            <w:rPr>
              <w:noProof/>
            </w:rPr>
            <w:tab/>
          </w:r>
          <w:r>
            <w:rPr>
              <w:noProof/>
            </w:rPr>
            <w:fldChar w:fldCharType="begin"/>
          </w:r>
          <w:r>
            <w:rPr>
              <w:noProof/>
            </w:rPr>
            <w:instrText xml:space="preserve"> PAGEREF _Toc7863427 \h </w:instrText>
          </w:r>
          <w:r>
            <w:rPr>
              <w:noProof/>
            </w:rPr>
          </w:r>
          <w:r>
            <w:rPr>
              <w:noProof/>
            </w:rPr>
            <w:fldChar w:fldCharType="separate"/>
          </w:r>
          <w:r w:rsidR="0059515E">
            <w:rPr>
              <w:noProof/>
            </w:rPr>
            <w:t>136</w:t>
          </w:r>
          <w:r>
            <w:rPr>
              <w:noProof/>
            </w:rPr>
            <w:fldChar w:fldCharType="end"/>
          </w:r>
        </w:p>
        <w:p w14:paraId="16EBE8A2" w14:textId="08BA7A03" w:rsidR="00C0070D" w:rsidRDefault="00C0070D">
          <w:pPr>
            <w:pStyle w:val="TOC3"/>
            <w:rPr>
              <w:rFonts w:asciiTheme="minorHAnsi" w:eastAsiaTheme="minorEastAsia" w:hAnsiTheme="minorHAnsi" w:cstheme="minorBidi"/>
              <w:iCs w:val="0"/>
              <w:noProof/>
              <w:szCs w:val="24"/>
              <w:lang w:val="en-US"/>
            </w:rPr>
          </w:pPr>
          <w:r>
            <w:rPr>
              <w:noProof/>
            </w:rPr>
            <w:t>The Farm TCP as a Trial Balloon</w:t>
          </w:r>
          <w:r>
            <w:rPr>
              <w:noProof/>
            </w:rPr>
            <w:tab/>
          </w:r>
          <w:r>
            <w:rPr>
              <w:noProof/>
            </w:rPr>
            <w:fldChar w:fldCharType="begin"/>
          </w:r>
          <w:r>
            <w:rPr>
              <w:noProof/>
            </w:rPr>
            <w:instrText xml:space="preserve"> PAGEREF _Toc7863428 \h </w:instrText>
          </w:r>
          <w:r>
            <w:rPr>
              <w:noProof/>
            </w:rPr>
          </w:r>
          <w:r>
            <w:rPr>
              <w:noProof/>
            </w:rPr>
            <w:fldChar w:fldCharType="separate"/>
          </w:r>
          <w:r w:rsidR="0059515E">
            <w:rPr>
              <w:noProof/>
            </w:rPr>
            <w:t>136</w:t>
          </w:r>
          <w:r>
            <w:rPr>
              <w:noProof/>
            </w:rPr>
            <w:fldChar w:fldCharType="end"/>
          </w:r>
        </w:p>
        <w:p w14:paraId="73484DDD" w14:textId="717EA806" w:rsidR="00C0070D" w:rsidRDefault="00C0070D">
          <w:pPr>
            <w:pStyle w:val="TOC3"/>
            <w:rPr>
              <w:rFonts w:asciiTheme="minorHAnsi" w:eastAsiaTheme="minorEastAsia" w:hAnsiTheme="minorHAnsi" w:cstheme="minorBidi"/>
              <w:iCs w:val="0"/>
              <w:noProof/>
              <w:szCs w:val="24"/>
              <w:lang w:val="en-US"/>
            </w:rPr>
          </w:pPr>
          <w:r>
            <w:rPr>
              <w:noProof/>
            </w:rPr>
            <w:t>Century Farms</w:t>
          </w:r>
          <w:r>
            <w:rPr>
              <w:noProof/>
            </w:rPr>
            <w:tab/>
          </w:r>
          <w:r>
            <w:rPr>
              <w:noProof/>
            </w:rPr>
            <w:fldChar w:fldCharType="begin"/>
          </w:r>
          <w:r>
            <w:rPr>
              <w:noProof/>
            </w:rPr>
            <w:instrText xml:space="preserve"> PAGEREF _Toc7863429 \h </w:instrText>
          </w:r>
          <w:r>
            <w:rPr>
              <w:noProof/>
            </w:rPr>
          </w:r>
          <w:r>
            <w:rPr>
              <w:noProof/>
            </w:rPr>
            <w:fldChar w:fldCharType="separate"/>
          </w:r>
          <w:r w:rsidR="0059515E">
            <w:rPr>
              <w:noProof/>
            </w:rPr>
            <w:t>137</w:t>
          </w:r>
          <w:r>
            <w:rPr>
              <w:noProof/>
            </w:rPr>
            <w:fldChar w:fldCharType="end"/>
          </w:r>
        </w:p>
        <w:p w14:paraId="37E00E46" w14:textId="72B25AC8" w:rsidR="00C0070D" w:rsidRDefault="00C0070D">
          <w:pPr>
            <w:pStyle w:val="TOC3"/>
            <w:rPr>
              <w:rFonts w:asciiTheme="minorHAnsi" w:eastAsiaTheme="minorEastAsia" w:hAnsiTheme="minorHAnsi" w:cstheme="minorBidi"/>
              <w:iCs w:val="0"/>
              <w:noProof/>
              <w:szCs w:val="24"/>
              <w:lang w:val="en-US"/>
            </w:rPr>
          </w:pPr>
          <w:r>
            <w:rPr>
              <w:noProof/>
            </w:rPr>
            <w:t>Farmers Spreading Farm Preservation</w:t>
          </w:r>
          <w:r>
            <w:rPr>
              <w:noProof/>
            </w:rPr>
            <w:tab/>
          </w:r>
          <w:r>
            <w:rPr>
              <w:noProof/>
            </w:rPr>
            <w:fldChar w:fldCharType="begin"/>
          </w:r>
          <w:r>
            <w:rPr>
              <w:noProof/>
            </w:rPr>
            <w:instrText xml:space="preserve"> PAGEREF _Toc7863430 \h </w:instrText>
          </w:r>
          <w:r>
            <w:rPr>
              <w:noProof/>
            </w:rPr>
          </w:r>
          <w:r>
            <w:rPr>
              <w:noProof/>
            </w:rPr>
            <w:fldChar w:fldCharType="separate"/>
          </w:r>
          <w:r w:rsidR="0059515E">
            <w:rPr>
              <w:noProof/>
            </w:rPr>
            <w:t>138</w:t>
          </w:r>
          <w:r>
            <w:rPr>
              <w:noProof/>
            </w:rPr>
            <w:fldChar w:fldCharType="end"/>
          </w:r>
        </w:p>
        <w:p w14:paraId="299057FE" w14:textId="38CD05D9" w:rsidR="00C0070D" w:rsidRDefault="00C0070D">
          <w:pPr>
            <w:pStyle w:val="TOC3"/>
            <w:rPr>
              <w:rFonts w:asciiTheme="minorHAnsi" w:eastAsiaTheme="minorEastAsia" w:hAnsiTheme="minorHAnsi" w:cstheme="minorBidi"/>
              <w:iCs w:val="0"/>
              <w:noProof/>
              <w:szCs w:val="24"/>
              <w:lang w:val="en-US"/>
            </w:rPr>
          </w:pPr>
          <w:r>
            <w:rPr>
              <w:noProof/>
            </w:rPr>
            <w:t>Heritage Areas</w:t>
          </w:r>
          <w:r>
            <w:rPr>
              <w:noProof/>
            </w:rPr>
            <w:tab/>
          </w:r>
          <w:r>
            <w:rPr>
              <w:noProof/>
            </w:rPr>
            <w:fldChar w:fldCharType="begin"/>
          </w:r>
          <w:r>
            <w:rPr>
              <w:noProof/>
            </w:rPr>
            <w:instrText xml:space="preserve"> PAGEREF _Toc7863431 \h </w:instrText>
          </w:r>
          <w:r>
            <w:rPr>
              <w:noProof/>
            </w:rPr>
          </w:r>
          <w:r>
            <w:rPr>
              <w:noProof/>
            </w:rPr>
            <w:fldChar w:fldCharType="separate"/>
          </w:r>
          <w:r w:rsidR="0059515E">
            <w:rPr>
              <w:noProof/>
            </w:rPr>
            <w:t>139</w:t>
          </w:r>
          <w:r>
            <w:rPr>
              <w:noProof/>
            </w:rPr>
            <w:fldChar w:fldCharType="end"/>
          </w:r>
        </w:p>
        <w:p w14:paraId="218C6678" w14:textId="6611D8BC" w:rsidR="00C0070D" w:rsidRDefault="00C0070D">
          <w:pPr>
            <w:pStyle w:val="TOC2"/>
            <w:tabs>
              <w:tab w:val="right" w:leader="dot" w:pos="9350"/>
            </w:tabs>
            <w:rPr>
              <w:rFonts w:asciiTheme="minorHAnsi" w:eastAsiaTheme="minorEastAsia" w:hAnsiTheme="minorHAnsi" w:cstheme="minorBidi"/>
              <w:smallCaps w:val="0"/>
              <w:noProof/>
              <w:szCs w:val="24"/>
              <w:lang w:val="en-US"/>
            </w:rPr>
          </w:pPr>
          <w:r>
            <w:rPr>
              <w:noProof/>
            </w:rPr>
            <w:t>Final Thought</w:t>
          </w:r>
          <w:r>
            <w:rPr>
              <w:noProof/>
            </w:rPr>
            <w:tab/>
          </w:r>
          <w:r>
            <w:rPr>
              <w:noProof/>
            </w:rPr>
            <w:fldChar w:fldCharType="begin"/>
          </w:r>
          <w:r>
            <w:rPr>
              <w:noProof/>
            </w:rPr>
            <w:instrText xml:space="preserve"> PAGEREF _Toc7863432 \h </w:instrText>
          </w:r>
          <w:r>
            <w:rPr>
              <w:noProof/>
            </w:rPr>
          </w:r>
          <w:r>
            <w:rPr>
              <w:noProof/>
            </w:rPr>
            <w:fldChar w:fldCharType="separate"/>
          </w:r>
          <w:r w:rsidR="0059515E">
            <w:rPr>
              <w:noProof/>
            </w:rPr>
            <w:t>141</w:t>
          </w:r>
          <w:r>
            <w:rPr>
              <w:noProof/>
            </w:rPr>
            <w:fldChar w:fldCharType="end"/>
          </w:r>
        </w:p>
        <w:p w14:paraId="0DE45BA8" w14:textId="77777777" w:rsidR="00335AA2" w:rsidRDefault="00335AA2" w:rsidP="00CB658F">
          <w:pPr>
            <w:pStyle w:val="TOC1"/>
            <w:rPr>
              <w:noProof/>
            </w:rPr>
          </w:pPr>
        </w:p>
        <w:p w14:paraId="2243D01A" w14:textId="09E1A4AC" w:rsidR="00C0070D" w:rsidRDefault="00C0070D" w:rsidP="00CB658F">
          <w:pPr>
            <w:pStyle w:val="TOC1"/>
            <w:rPr>
              <w:rFonts w:asciiTheme="minorHAnsi" w:eastAsiaTheme="minorEastAsia" w:hAnsiTheme="minorHAnsi" w:cstheme="minorBidi"/>
              <w:noProof/>
              <w:szCs w:val="24"/>
              <w:lang w:val="en-US"/>
            </w:rPr>
          </w:pPr>
          <w:r>
            <w:rPr>
              <w:noProof/>
            </w:rPr>
            <w:t>BIBLIOGRAPHY</w:t>
          </w:r>
          <w:r>
            <w:rPr>
              <w:noProof/>
            </w:rPr>
            <w:tab/>
          </w:r>
          <w:r>
            <w:rPr>
              <w:noProof/>
            </w:rPr>
            <w:fldChar w:fldCharType="begin"/>
          </w:r>
          <w:r>
            <w:rPr>
              <w:noProof/>
            </w:rPr>
            <w:instrText xml:space="preserve"> PAGEREF _Toc7863433 \h </w:instrText>
          </w:r>
          <w:r>
            <w:rPr>
              <w:noProof/>
            </w:rPr>
          </w:r>
          <w:r>
            <w:rPr>
              <w:noProof/>
            </w:rPr>
            <w:fldChar w:fldCharType="separate"/>
          </w:r>
          <w:r w:rsidR="0059515E">
            <w:rPr>
              <w:noProof/>
            </w:rPr>
            <w:t>142</w:t>
          </w:r>
          <w:r>
            <w:rPr>
              <w:noProof/>
            </w:rPr>
            <w:fldChar w:fldCharType="end"/>
          </w:r>
        </w:p>
        <w:p w14:paraId="76C4245F" w14:textId="291B4488" w:rsidR="00E11118" w:rsidRDefault="00C0070D" w:rsidP="00BD6457">
          <w:pPr>
            <w:pStyle w:val="TOCHeading"/>
            <w:sectPr w:rsidR="00E11118" w:rsidSect="00AA007E">
              <w:pgSz w:w="12240" w:h="15840"/>
              <w:pgMar w:top="1440" w:right="1440" w:bottom="1440" w:left="1440" w:header="1440" w:footer="1440" w:gutter="0"/>
              <w:pgNumType w:fmt="lowerRoman" w:start="1"/>
              <w:cols w:space="720"/>
              <w:docGrid w:linePitch="326"/>
            </w:sectPr>
          </w:pPr>
          <w:r>
            <w:fldChar w:fldCharType="end"/>
          </w:r>
        </w:p>
      </w:sdtContent>
    </w:sdt>
    <w:p w14:paraId="4776EB67" w14:textId="77777777" w:rsidR="00115E79" w:rsidRPr="00115E79" w:rsidRDefault="00115E79">
      <w:pPr>
        <w:rPr>
          <w:sz w:val="6"/>
          <w:szCs w:val="6"/>
        </w:rPr>
      </w:pPr>
      <w:bookmarkStart w:id="1" w:name="_1fob9te" w:colFirst="0" w:colLast="0"/>
      <w:bookmarkEnd w:id="1"/>
    </w:p>
    <w:p w14:paraId="324E48F2" w14:textId="6C53EF07" w:rsidR="00115E79" w:rsidRDefault="00115E79">
      <w:pPr>
        <w:rPr>
          <w:sz w:val="12"/>
          <w:szCs w:val="12"/>
        </w:rPr>
      </w:pPr>
    </w:p>
    <w:p w14:paraId="6B05CFEF" w14:textId="77777777" w:rsidR="00115E79" w:rsidRDefault="00115E79">
      <w:pPr>
        <w:rPr>
          <w:sz w:val="12"/>
          <w:szCs w:val="12"/>
        </w:rPr>
      </w:pPr>
    </w:p>
    <w:p w14:paraId="0000004F" w14:textId="77777777" w:rsidR="00D7661C" w:rsidRDefault="00D7661C">
      <w:pPr>
        <w:rPr>
          <w:sz w:val="12"/>
          <w:szCs w:val="12"/>
        </w:rPr>
      </w:pPr>
    </w:p>
    <w:p w14:paraId="00000050" w14:textId="02129AA1" w:rsidR="00D7661C" w:rsidRDefault="004B2BBB" w:rsidP="00115E79">
      <w:pPr>
        <w:pStyle w:val="Heading1"/>
      </w:pPr>
      <w:bookmarkStart w:id="2" w:name="_Toc7863376"/>
      <w:r w:rsidRPr="00CC1EF7">
        <w:t>CHAPTER</w:t>
      </w:r>
      <w:r>
        <w:t xml:space="preserve"> I</w:t>
      </w:r>
      <w:bookmarkEnd w:id="2"/>
    </w:p>
    <w:p w14:paraId="00000051" w14:textId="0DD63D7A" w:rsidR="00D7661C" w:rsidRDefault="004B2BBB" w:rsidP="00115E79">
      <w:pPr>
        <w:pStyle w:val="Heading1"/>
      </w:pPr>
      <w:bookmarkStart w:id="3" w:name="_Toc7108152"/>
      <w:bookmarkStart w:id="4" w:name="_Toc7863377"/>
      <w:r>
        <w:t>ADDRESSING FARM PRESERVATION</w:t>
      </w:r>
      <w:bookmarkEnd w:id="3"/>
      <w:bookmarkEnd w:id="4"/>
    </w:p>
    <w:p w14:paraId="33B962AA" w14:textId="6A0ADADD" w:rsidR="00EA53EF" w:rsidRDefault="00EA53EF" w:rsidP="00EA53EF">
      <w:bookmarkStart w:id="5" w:name="_3dy6vkm" w:colFirst="0" w:colLast="0"/>
      <w:bookmarkEnd w:id="5"/>
    </w:p>
    <w:p w14:paraId="3847C237" w14:textId="6B340EB8" w:rsidR="00356744" w:rsidRDefault="00356744"/>
    <w:p w14:paraId="0B09A0BA" w14:textId="0183E1D6" w:rsidR="00356744" w:rsidRDefault="004B2BBB">
      <w:pPr>
        <w:rPr>
          <w:highlight w:val="white"/>
        </w:rPr>
      </w:pPr>
      <w:r>
        <w:tab/>
      </w:r>
      <w:r w:rsidR="004E23CC">
        <w:t xml:space="preserve">In traditional historic preservation practice, </w:t>
      </w:r>
      <w:r w:rsidR="004E23CC">
        <w:rPr>
          <w:highlight w:val="white"/>
        </w:rPr>
        <w:t>t</w:t>
      </w:r>
      <w:r>
        <w:rPr>
          <w:highlight w:val="white"/>
        </w:rPr>
        <w:t xml:space="preserve">o </w:t>
      </w:r>
      <w:r w:rsidR="004E23CC">
        <w:rPr>
          <w:highlight w:val="white"/>
        </w:rPr>
        <w:t>“</w:t>
      </w:r>
      <w:r>
        <w:rPr>
          <w:highlight w:val="white"/>
        </w:rPr>
        <w:t>preserve</w:t>
      </w:r>
      <w:r w:rsidR="004E23CC">
        <w:rPr>
          <w:highlight w:val="white"/>
        </w:rPr>
        <w:t>”</w:t>
      </w:r>
      <w:r>
        <w:rPr>
          <w:highlight w:val="white"/>
        </w:rPr>
        <w:t xml:space="preserve"> a place is to designate a point in time when the place achieved significance and attempt to either </w:t>
      </w:r>
      <w:r w:rsidR="004E23CC">
        <w:rPr>
          <w:highlight w:val="white"/>
        </w:rPr>
        <w:t>restore</w:t>
      </w:r>
      <w:r>
        <w:rPr>
          <w:highlight w:val="white"/>
        </w:rPr>
        <w:t xml:space="preserve"> it to that time or keep it in its current state. </w:t>
      </w:r>
      <w:r w:rsidR="00356744">
        <w:rPr>
          <w:highlight w:val="white"/>
        </w:rPr>
        <w:t xml:space="preserve">This has no benefit to living spaces such as farms. The idea of preserving something that is an ongoing </w:t>
      </w:r>
      <w:r w:rsidR="00C94DCE">
        <w:rPr>
          <w:highlight w:val="white"/>
        </w:rPr>
        <w:t>practice</w:t>
      </w:r>
      <w:r w:rsidR="00356744">
        <w:rPr>
          <w:highlight w:val="white"/>
        </w:rPr>
        <w:t xml:space="preserve"> are antithetical ideas in the current practice of historic preservation in the U.S. </w:t>
      </w:r>
      <w:r w:rsidR="00CB658F">
        <w:rPr>
          <w:highlight w:val="white"/>
        </w:rPr>
        <w:t>What historic preservation c</w:t>
      </w:r>
      <w:r w:rsidR="00C94DCE">
        <w:rPr>
          <w:highlight w:val="white"/>
        </w:rPr>
        <w:t>an</w:t>
      </w:r>
      <w:r w:rsidR="00CB658F">
        <w:rPr>
          <w:highlight w:val="white"/>
        </w:rPr>
        <w:t xml:space="preserve"> offer farms is increased recognition that c</w:t>
      </w:r>
      <w:r w:rsidR="00C94DCE">
        <w:rPr>
          <w:highlight w:val="white"/>
        </w:rPr>
        <w:t>an</w:t>
      </w:r>
      <w:r w:rsidR="00CB658F">
        <w:rPr>
          <w:highlight w:val="white"/>
        </w:rPr>
        <w:t xml:space="preserve"> be used to support the farms, preserving them through increased value imbued by the local community that can engage with the farm.</w:t>
      </w:r>
      <w:r w:rsidR="00C94DCE">
        <w:rPr>
          <w:highlight w:val="white"/>
        </w:rPr>
        <w:t xml:space="preserve"> H</w:t>
      </w:r>
      <w:r w:rsidR="00293286">
        <w:rPr>
          <w:highlight w:val="white"/>
        </w:rPr>
        <w:t xml:space="preserve">istoric </w:t>
      </w:r>
      <w:r w:rsidR="00C94DCE">
        <w:rPr>
          <w:highlight w:val="white"/>
        </w:rPr>
        <w:t>P</w:t>
      </w:r>
      <w:r w:rsidR="00293286">
        <w:rPr>
          <w:highlight w:val="white"/>
        </w:rPr>
        <w:t>reservation</w:t>
      </w:r>
      <w:r w:rsidR="00C94DCE">
        <w:rPr>
          <w:highlight w:val="white"/>
        </w:rPr>
        <w:t xml:space="preserve"> reminds people that these places matter.</w:t>
      </w:r>
    </w:p>
    <w:p w14:paraId="70452A48" w14:textId="01CEDBE6" w:rsidR="00CB658F" w:rsidRDefault="00CB658F">
      <w:pPr>
        <w:rPr>
          <w:highlight w:val="white"/>
        </w:rPr>
      </w:pPr>
      <w:r>
        <w:rPr>
          <w:highlight w:val="white"/>
        </w:rPr>
        <w:tab/>
        <w:t>This thesis proposes that the complexity of farms puts them beyond the ability of historic preservation to effectively preserve them through current practices. A shift in historic preservation thinking is needed that acknowledges farming practice as important to the historic significance of a place. Historic preservation also needs to look at places not just in themselves but how they interact with a larger environment.</w:t>
      </w:r>
    </w:p>
    <w:p w14:paraId="00000053" w14:textId="3B7B6E83" w:rsidR="00D7661C" w:rsidRDefault="00C94DCE" w:rsidP="00356744">
      <w:pPr>
        <w:ind w:firstLine="720"/>
        <w:rPr>
          <w:highlight w:val="white"/>
        </w:rPr>
      </w:pPr>
      <w:r>
        <w:rPr>
          <w:highlight w:val="white"/>
        </w:rPr>
        <w:t xml:space="preserve">The National Register is the common guidance for U.S. preservation practices. </w:t>
      </w:r>
      <w:r w:rsidR="004B2BBB">
        <w:rPr>
          <w:highlight w:val="white"/>
        </w:rPr>
        <w:t xml:space="preserve">The National Register of Historic Places emphasizes </w:t>
      </w:r>
      <w:r w:rsidR="004B2BBB">
        <w:rPr>
          <w:i/>
          <w:highlight w:val="white"/>
        </w:rPr>
        <w:t xml:space="preserve">integrity </w:t>
      </w:r>
      <w:r w:rsidR="004B2BBB">
        <w:rPr>
          <w:highlight w:val="white"/>
        </w:rPr>
        <w:t xml:space="preserve">and </w:t>
      </w:r>
      <w:r w:rsidR="004B2BBB">
        <w:rPr>
          <w:i/>
          <w:highlight w:val="white"/>
        </w:rPr>
        <w:t>authenticity</w:t>
      </w:r>
      <w:r w:rsidR="004B2BBB">
        <w:rPr>
          <w:highlight w:val="white"/>
        </w:rPr>
        <w:t xml:space="preserve">. The National Park Service defines integrity as the “authenticity of a property's historic identity, evidenced by the </w:t>
      </w:r>
      <w:r w:rsidR="004B2BBB">
        <w:rPr>
          <w:highlight w:val="white"/>
        </w:rPr>
        <w:lastRenderedPageBreak/>
        <w:t>survival of physical characteristics that existed during the property's prehistoric or historic period.”</w:t>
      </w:r>
      <w:r w:rsidR="004B2BBB">
        <w:rPr>
          <w:highlight w:val="white"/>
          <w:vertAlign w:val="superscript"/>
        </w:rPr>
        <w:footnoteReference w:id="4"/>
      </w:r>
      <w:r w:rsidR="004B2BBB">
        <w:rPr>
          <w:highlight w:val="white"/>
        </w:rPr>
        <w:t xml:space="preserve"> John Sprinkle, Jr. writes that authenticity is often a line “between history (what happened in the past) and heritage (what people feel happened in the past.)”</w:t>
      </w:r>
      <w:r w:rsidR="004B2BBB">
        <w:rPr>
          <w:highlight w:val="white"/>
          <w:vertAlign w:val="superscript"/>
        </w:rPr>
        <w:footnoteReference w:id="5"/>
      </w:r>
      <w:r w:rsidR="004B2BBB">
        <w:rPr>
          <w:highlight w:val="white"/>
        </w:rPr>
        <w:t xml:space="preserve"> </w:t>
      </w:r>
    </w:p>
    <w:p w14:paraId="19D04EA9" w14:textId="2E626510" w:rsidR="00497FA4" w:rsidRPr="00497FA4" w:rsidRDefault="00497FA4" w:rsidP="00497FA4">
      <w:pPr>
        <w:ind w:firstLine="720"/>
      </w:pPr>
      <w:r>
        <w:t>Modern historic preservation is rooted in architecture but there was a period when there was a more landscape-oriented focus. Ann Pamela Cunningham and the Mount Vernon Ladies Association are often given credit for kicking off the U.S. historic preservation movement. But other preservation efforts followed including preservation of important landscapes</w:t>
      </w:r>
      <w:r w:rsidR="00C94DCE">
        <w:t xml:space="preserve"> such as battlefields</w:t>
      </w:r>
      <w:r>
        <w:t xml:space="preserve">. Amalia </w:t>
      </w:r>
      <w:proofErr w:type="spellStart"/>
      <w:r>
        <w:t>Leifeste</w:t>
      </w:r>
      <w:proofErr w:type="spellEnd"/>
      <w:r>
        <w:t xml:space="preserve"> and Barry </w:t>
      </w:r>
      <w:proofErr w:type="spellStart"/>
      <w:r>
        <w:t>Stiefel</w:t>
      </w:r>
      <w:proofErr w:type="spellEnd"/>
      <w:r>
        <w:t xml:space="preserve"> write in </w:t>
      </w:r>
      <w:r>
        <w:rPr>
          <w:i/>
        </w:rPr>
        <w:t>Sustainable Heritage: Merging Environmental Conservation and Historic Preservation,</w:t>
      </w:r>
      <w:r>
        <w:t xml:space="preserve"> that this early historic preservation of important sites turn more to historic structures and less to environmental spaces in the 20th century.</w:t>
      </w:r>
      <w:r>
        <w:rPr>
          <w:vertAlign w:val="superscript"/>
        </w:rPr>
        <w:footnoteReference w:id="6"/>
      </w:r>
      <w:r>
        <w:t xml:space="preserve"> They write: “This reality of the parting of ways of heritage preservation and land conservation has repercussions in terms of the perceived relationship between the preservation of buildings and the landscapes for cultural reasons and the arena of land conservation in the United States to this day.”</w:t>
      </w:r>
      <w:r>
        <w:rPr>
          <w:vertAlign w:val="superscript"/>
        </w:rPr>
        <w:footnoteReference w:id="7"/>
      </w:r>
      <w:r>
        <w:t xml:space="preserve"> It was in 1979 that Hugh Miller, then the National Park Service’s Chief Historical Architect, and Professor Robert Melnick started to evaluate the cultural landscapes approach, in particular, </w:t>
      </w:r>
      <w:r w:rsidR="00C94DCE">
        <w:t>the</w:t>
      </w:r>
      <w:r>
        <w:t xml:space="preserve"> vernacular landscapes.</w:t>
      </w:r>
      <w:r>
        <w:rPr>
          <w:vertAlign w:val="superscript"/>
        </w:rPr>
        <w:footnoteReference w:id="8"/>
      </w:r>
      <w:r>
        <w:t xml:space="preserve"> </w:t>
      </w:r>
    </w:p>
    <w:p w14:paraId="00000054" w14:textId="77777777" w:rsidR="00D7661C" w:rsidRDefault="004B2BBB">
      <w:r>
        <w:lastRenderedPageBreak/>
        <w:tab/>
        <w:t xml:space="preserve">The idea that historic preservation is not well adapted to farms is not a new concern. Beyond my own family’s experience with farm preservation, Nancy Rottle’s chapter in the Richard Longstreth-edited book, </w:t>
      </w:r>
      <w:r>
        <w:rPr>
          <w:i/>
        </w:rPr>
        <w:t>Cultural Landscapes: Balancing Nature and Heritage in Preservation Practice,</w:t>
      </w:r>
      <w:r>
        <w:t xml:space="preserve"> had a large impact on my thoughts of how historic preservation engages with these spaces. </w:t>
      </w:r>
      <w:proofErr w:type="spellStart"/>
      <w:r>
        <w:t>Rottle</w:t>
      </w:r>
      <w:proofErr w:type="spellEnd"/>
      <w:r>
        <w:t xml:space="preserve"> writes the following in the conclusion of her chapter: </w:t>
      </w:r>
    </w:p>
    <w:p w14:paraId="00000055" w14:textId="1D94C411" w:rsidR="00D7661C" w:rsidRDefault="004B2BBB">
      <w:pPr>
        <w:ind w:left="720"/>
      </w:pPr>
      <w:r>
        <w:t xml:space="preserve">            If the National Register criteria were to recognize the inevitable dynamic nature of agricultural landscapes, historic designation could provide a critical preservation impetus for scores of additional farms and rural districts that are vulnerable to development, thereby enabling significance and stories of these cultural legacies to be studied and told. By adopting a more fluid framework of continuum and process for the designation criteria, we would recognize that living farms and ranches should not be locked into a static condition that disables viability and eventually leads to wholesale erasure of the historic resource.</w:t>
      </w:r>
      <w:r>
        <w:rPr>
          <w:vertAlign w:val="superscript"/>
        </w:rPr>
        <w:footnoteReference w:id="9"/>
      </w:r>
    </w:p>
    <w:p w14:paraId="6F3274C6" w14:textId="77777777" w:rsidR="006672D1" w:rsidRDefault="006672D1">
      <w:pPr>
        <w:ind w:left="720"/>
      </w:pPr>
    </w:p>
    <w:p w14:paraId="00000056" w14:textId="0FCBED95" w:rsidR="00D7661C" w:rsidRDefault="004B2BBB">
      <w:pPr>
        <w:ind w:firstLine="720"/>
        <w:rPr>
          <w:highlight w:val="white"/>
        </w:rPr>
      </w:pPr>
      <w:r>
        <w:t xml:space="preserve">This thesis applies some of Rottle’s logic and expands upon it </w:t>
      </w:r>
      <w:r w:rsidR="00C94DCE">
        <w:t>to examine</w:t>
      </w:r>
      <w:r>
        <w:t xml:space="preserve"> the Chesapeake Bay Region. The Chesapeake region presents a situation where there is a conflict between two resources--farms and the watershed--that are also areas with deep heritage, different social groups (urban, suburban, rural, farms, commuters, etc.), and continuous population growth. According to The Chesapeake Bay Program, the multi-state organization coordinating Bay </w:t>
      </w:r>
      <w:r>
        <w:lastRenderedPageBreak/>
        <w:t>restoration efforts, 18.2 million people lived in the watershed area in 2017 and that number is estimated to surpass 20 million by 2030.</w:t>
      </w:r>
      <w:r>
        <w:rPr>
          <w:vertAlign w:val="superscript"/>
        </w:rPr>
        <w:footnoteReference w:id="10"/>
      </w:r>
      <w:r>
        <w:t xml:space="preserve"> This growth puts pressure on both resources--farms and the watershed. </w:t>
      </w:r>
    </w:p>
    <w:p w14:paraId="00000057" w14:textId="1FC047C5" w:rsidR="00D7661C" w:rsidRPr="004E23CC" w:rsidRDefault="004B2BBB" w:rsidP="004E23CC">
      <w:pPr>
        <w:ind w:firstLine="720"/>
        <w:rPr>
          <w:highlight w:val="white"/>
        </w:rPr>
      </w:pPr>
      <w:r>
        <w:rPr>
          <w:highlight w:val="white"/>
        </w:rPr>
        <w:t xml:space="preserve">The practice of historic preservation becomes more complicated in the preservation of farms. </w:t>
      </w:r>
      <w:r w:rsidR="00C94DCE">
        <w:rPr>
          <w:highlight w:val="white"/>
        </w:rPr>
        <w:t>H</w:t>
      </w:r>
      <w:r w:rsidR="00293286">
        <w:rPr>
          <w:highlight w:val="white"/>
        </w:rPr>
        <w:t>istoric preservation</w:t>
      </w:r>
      <w:r w:rsidR="00C94DCE">
        <w:rPr>
          <w:highlight w:val="white"/>
        </w:rPr>
        <w:t xml:space="preserve"> wants to identify a period of significance, while farms need to be living and evolving places. This challenges the traditional ideas of authenticity and integrity.</w:t>
      </w:r>
      <w:r>
        <w:rPr>
          <w:highlight w:val="white"/>
        </w:rPr>
        <w:t xml:space="preserve"> </w:t>
      </w:r>
      <w:r w:rsidR="004E23CC">
        <w:rPr>
          <w:highlight w:val="white"/>
        </w:rPr>
        <w:t xml:space="preserve">Complexity arises even in the juxtaposition of these values within historic preservation for there is no fixed understanding of what makes a place authentic. </w:t>
      </w:r>
      <w:r>
        <w:rPr>
          <w:highlight w:val="white"/>
        </w:rPr>
        <w:t>Because farms must remain dynamic to stay viable, they must change--that is, a working farm is alive and growing. Within the field of historic preservation, change is controversial because of the fear of altering the historical significance of a place. Therefore, preservation of farms brings new challenges to historic preservation because of their very nature as active and working landscapes with financial challenges and issues of succession.</w:t>
      </w:r>
      <w:r>
        <w:rPr>
          <w:rFonts w:ascii="Roboto" w:eastAsia="Roboto" w:hAnsi="Roboto" w:cs="Roboto"/>
          <w:sz w:val="20"/>
          <w:szCs w:val="20"/>
          <w:highlight w:val="white"/>
        </w:rPr>
        <w:t xml:space="preserve"> </w:t>
      </w:r>
      <w:r>
        <w:rPr>
          <w:highlight w:val="white"/>
        </w:rPr>
        <w:t>The number of farms owned by a family or individual are in decline, replaced by larger operations, commercial or residential development or</w:t>
      </w:r>
      <w:r w:rsidR="000F40A2">
        <w:rPr>
          <w:highlight w:val="white"/>
        </w:rPr>
        <w:t xml:space="preserve"> </w:t>
      </w:r>
      <w:r>
        <w:rPr>
          <w:highlight w:val="white"/>
        </w:rPr>
        <w:t xml:space="preserve">are simply abandoned. This should concern preservationists as these spaces represent patterns of change, development, as well as architecture representative of rural living. Although </w:t>
      </w:r>
      <w:r>
        <w:t xml:space="preserve">the current rate for loss of family- or individual-run farms has slowed in the last several years, the loss of 77,389 </w:t>
      </w:r>
      <w:r>
        <w:lastRenderedPageBreak/>
        <w:t>family- or individual-run farms between the 2007 and 2012 agricultural census was a more rapid decline than in the previous twenty years.</w:t>
      </w:r>
      <w:r>
        <w:rPr>
          <w:vertAlign w:val="superscript"/>
        </w:rPr>
        <w:footnoteReference w:id="11"/>
      </w:r>
      <w:r>
        <w:t xml:space="preserve"> </w:t>
      </w:r>
    </w:p>
    <w:p w14:paraId="00000058" w14:textId="7D50F33C" w:rsidR="00D7661C" w:rsidRDefault="004B2BBB">
      <w:pPr>
        <w:ind w:firstLine="720"/>
      </w:pPr>
      <w:r>
        <w:t>This thesis presents the hypothesis that with the total number of farms in decline, efforts to preserve and maintain them need a paradigm shift from more traditional historic preservation treatments to an integrated approach. The new thinking promotes historic preservation engaging with sustainable practices to mitigate adverse environmental impacts of farming practices.  Historic preservationists need to engage with historic farms to develop sustainability plans that incorporate this integrative approach. This approach requires historic preservation practitioners to reassess what it is that historic preservation values in the farm landscape. It is my proposal that integrity and character are more rooted in the continuing practice--the engagement of the farmers with the land--than the period-of-significance approach. This continuing practice approach allows farms to continue updating their farming practices</w:t>
      </w:r>
      <w:r w:rsidR="000F40A2">
        <w:t xml:space="preserve"> </w:t>
      </w:r>
      <w:r>
        <w:t xml:space="preserve">to meet changing needs from both societal and environmental perspectives. </w:t>
      </w:r>
    </w:p>
    <w:p w14:paraId="00000059" w14:textId="20206555" w:rsidR="00D7661C" w:rsidRDefault="004B2BBB">
      <w:pPr>
        <w:ind w:firstLine="720"/>
        <w:rPr>
          <w:shd w:val="clear" w:color="auto" w:fill="FFF3D7"/>
        </w:rPr>
      </w:pPr>
      <w:r>
        <w:t>The traditional preservation treatments are those that we use to identify and treat farms using the Secretary of the Interior’s Standards and guidance from the National Park Service. While not the only available lens to use in U.S. historic preservation practice, these standards are the foundation for the majority of</w:t>
      </w:r>
      <w:r w:rsidR="000F40A2">
        <w:t xml:space="preserve"> </w:t>
      </w:r>
      <w:r>
        <w:t xml:space="preserve">practitioners. We often think of farms as cultural landscapes, </w:t>
      </w:r>
      <w:r>
        <w:lastRenderedPageBreak/>
        <w:t>defined in Preservation Brief 36 as</w:t>
      </w:r>
      <w:r>
        <w:rPr>
          <w:highlight w:val="white"/>
        </w:rPr>
        <w:t xml:space="preserve"> “a geographic area, including both cultural and natural resources and the wildlife or domestic animals therein, associated with a historic event, activity, or person or exhibiting other cultural or aesthetic values.”</w:t>
      </w:r>
      <w:r>
        <w:rPr>
          <w:highlight w:val="white"/>
          <w:vertAlign w:val="superscript"/>
        </w:rPr>
        <w:footnoteReference w:id="12"/>
      </w:r>
      <w:r>
        <w:rPr>
          <w:highlight w:val="white"/>
        </w:rPr>
        <w:t xml:space="preserve"> Instead, I propose looking at</w:t>
      </w:r>
      <w:r w:rsidR="00EA53EF">
        <w:rPr>
          <w:highlight w:val="white"/>
        </w:rPr>
        <w:t xml:space="preserve"> </w:t>
      </w:r>
      <w:r>
        <w:rPr>
          <w:highlight w:val="white"/>
        </w:rPr>
        <w:t>farms as Traditional Cultural Properties (TCP), partly defined in Preservation Brief 38 as “those beliefs, customs, and practices of a living community of people that have been passed down through the generations, usually orally or through practice.”</w:t>
      </w:r>
      <w:r>
        <w:rPr>
          <w:highlight w:val="white"/>
          <w:vertAlign w:val="superscript"/>
        </w:rPr>
        <w:footnoteReference w:id="13"/>
      </w:r>
      <w:r>
        <w:rPr>
          <w:highlight w:val="white"/>
        </w:rPr>
        <w:t xml:space="preserve"> While this challenges how the National Park Service currently views TCPs, it encourages historic preservation to value the intangible elements of farm practice and recognize farms as living communities.</w:t>
      </w:r>
    </w:p>
    <w:p w14:paraId="0000005A" w14:textId="25598178" w:rsidR="00D7661C" w:rsidRPr="00ED1D73" w:rsidRDefault="004B2BBB" w:rsidP="00ED1D73">
      <w:pPr>
        <w:pStyle w:val="Heading3"/>
      </w:pPr>
      <w:bookmarkStart w:id="6" w:name="_Toc7863378"/>
      <w:r w:rsidRPr="00ED1D73">
        <w:t>Focus on the Chesapeake Bay Region</w:t>
      </w:r>
      <w:bookmarkEnd w:id="6"/>
    </w:p>
    <w:p w14:paraId="0000005B" w14:textId="2E8E0817" w:rsidR="00D7661C" w:rsidRDefault="004B2BBB">
      <w:pPr>
        <w:ind w:firstLine="720"/>
      </w:pPr>
      <w:r>
        <w:t xml:space="preserve">Although the focus area for this thesis is farms in the Chesapeake Bay region, the issues affecting the Bay are also issues found in other areas and are therefore applicable to a range of landscapes. This context shows the multi-disciplinary efforts that come together to try and protect (or preserve) a region. This means that conservation, biology, preservation and other fields are all engaged in the Chesapeake restoration. The Chesapeake is a good focus area due to the length of time that is has been studied to understand how pollution has adversely impacted the waterway. While efforts to restore the waterway can be linked to the Clean Water Act (1972), recent archaeobotanical studies of oyster shells suggest that humans have been causing damage </w:t>
      </w:r>
      <w:r>
        <w:lastRenderedPageBreak/>
        <w:t>to the Bay’s water quality since the 19th century, when industrialization, lumbering, and farming were likely the dominant causes of elevated nitrogen levels in the water.</w:t>
      </w:r>
      <w:r>
        <w:rPr>
          <w:vertAlign w:val="superscript"/>
        </w:rPr>
        <w:footnoteReference w:id="14"/>
      </w:r>
      <w:r>
        <w:t xml:space="preserve"> The Chesapeake states--Maryland, Virginia, Pennsylvania--are not alone in dealing with loss of farmland </w:t>
      </w:r>
      <w:r>
        <w:rPr>
          <w:i/>
        </w:rPr>
        <w:t>or</w:t>
      </w:r>
      <w:r>
        <w:t xml:space="preserve"> declining health of waterways. The Chesapeake watershed extends well beyond these states to include New York, West Virginia, and Delaware. This is a very large region to cover and issues get murky with </w:t>
      </w:r>
      <w:r w:rsidR="00ED1D73">
        <w:t xml:space="preserve">different </w:t>
      </w:r>
      <w:r>
        <w:t>interests from multiple states</w:t>
      </w:r>
      <w:r w:rsidR="005F441C">
        <w:t>, needing to support their population needs</w:t>
      </w:r>
      <w:r>
        <w:t>. Due to long-running efforts by state and federal, and government agencies</w:t>
      </w:r>
      <w:r w:rsidR="000F40A2">
        <w:t xml:space="preserve"> a</w:t>
      </w:r>
      <w:r>
        <w:t>long with non-government organizations (discussed in more detail in Chapter III), there is a rich conversation about the impediments to restoring a healthy Chesapeake.</w:t>
      </w:r>
    </w:p>
    <w:p w14:paraId="0000005C" w14:textId="5CEBA108" w:rsidR="00D7661C" w:rsidRDefault="004B2BBB">
      <w:r>
        <w:tab/>
        <w:t xml:space="preserve">There is an intersection between efforts to preserve farms and restore the Chesapeake Bay, and finding a balance where both can be sustainable. The focused issue in this thesis is the negative effects of polluted runoff from farms entering the Chesapeake watershed. There is a direct correlation here between the activities on the farm and the consequences for waterways. This is an historic preservation issue in that interaction has an effect on the overall sustainability of farms, not only from their own potentially degraded soil, but also in how the farm relates to a surrounding community that may come to judge the farm harshly for its farming practices Societal response is part of the concept that preservation needs to treat resources with regard to their larger context, not just the thing itself. The unchecked runoff contains nitrogen, </w:t>
      </w:r>
      <w:r>
        <w:lastRenderedPageBreak/>
        <w:t>phosphorous, and herbicides that impair the water quality of the Chesapeake and its tributaries.</w:t>
      </w:r>
      <w:r>
        <w:rPr>
          <w:vertAlign w:val="superscript"/>
        </w:rPr>
        <w:footnoteReference w:id="15"/>
      </w:r>
      <w:r>
        <w:t xml:space="preserve"> This negative impact on water quality affects recreational activities, fish populations, sea grasses, and any other organism that relies on the water quality of the Bay for survival. </w:t>
      </w:r>
    </w:p>
    <w:p w14:paraId="0000005D" w14:textId="44424F96" w:rsidR="00D7661C" w:rsidRDefault="004B2BBB">
      <w:pPr>
        <w:ind w:firstLine="720"/>
      </w:pPr>
      <w:r>
        <w:t xml:space="preserve">Understanding the connection between a farm and the larger environment sets the stage for the changes that can happen on farms. These are changes that will make the farms more environmentally sound. The discussions surrounding farming practices--those changes or adaptations not seen as part of the historic context of the farm--are generally beyond what we consider as historic preservation issues. Farm activities can be classified by the positive and negative environmental impacts of the farm on the larger landscape. </w:t>
      </w:r>
      <w:r w:rsidR="007870F2">
        <w:t>Also,</w:t>
      </w:r>
      <w:r>
        <w:t xml:space="preserve"> in need of</w:t>
      </w:r>
      <w:r w:rsidR="00EA53EF">
        <w:t xml:space="preserve"> </w:t>
      </w:r>
      <w:r>
        <w:t>consideration are how changes to practices or farm layout can enhance the farm’s</w:t>
      </w:r>
      <w:r w:rsidR="00EA53EF">
        <w:t xml:space="preserve"> </w:t>
      </w:r>
      <w:r>
        <w:t xml:space="preserve">success or detract from its historic significance. </w:t>
      </w:r>
    </w:p>
    <w:p w14:paraId="0000005E" w14:textId="3AB3769B" w:rsidR="00D7661C" w:rsidRDefault="004B2BBB">
      <w:pPr>
        <w:ind w:firstLine="720"/>
      </w:pPr>
      <w:r>
        <w:t>Historic preservationists</w:t>
      </w:r>
      <w:r w:rsidR="00303428">
        <w:t>—</w:t>
      </w:r>
      <w:r>
        <w:t>while</w:t>
      </w:r>
      <w:r w:rsidR="00303428">
        <w:t xml:space="preserve"> </w:t>
      </w:r>
      <w:r>
        <w:t>encouraging best practices learned from other fields of research--will no doubt challenge long-held ideas on how farms can be most profitable.</w:t>
      </w:r>
      <w:r>
        <w:rPr>
          <w:vertAlign w:val="superscript"/>
        </w:rPr>
        <w:footnoteReference w:id="16"/>
      </w:r>
      <w:r>
        <w:t xml:space="preserve"> Best management practices (BMPs) are concepts, principles, or actions that are provided to improve practices. In the context of farm stewardship, BMPs can refer to methods to improve crop yields, crop rotation, etc. In general, and particularly for the purposes of this paper, BMPs are those </w:t>
      </w:r>
      <w:r>
        <w:lastRenderedPageBreak/>
        <w:t>practices on farms that create beneficial outcomes or mitigate negative interactions between farms and the watershed. Examples</w:t>
      </w:r>
      <w:r w:rsidR="00303428">
        <w:t xml:space="preserve"> </w:t>
      </w:r>
      <w:r>
        <w:t>of BMPs for farms in the Chesapeake watershed include not planting crops in wet areas where they do not grow well, using cover crops,</w:t>
      </w:r>
      <w:r>
        <w:rPr>
          <w:vertAlign w:val="superscript"/>
        </w:rPr>
        <w:footnoteReference w:id="17"/>
      </w:r>
      <w:r>
        <w:t xml:space="preserve"> or planting tree buffers along waterways to absorb nutrients.</w:t>
      </w:r>
      <w:r>
        <w:rPr>
          <w:vertAlign w:val="superscript"/>
        </w:rPr>
        <w:footnoteReference w:id="18"/>
      </w:r>
      <w:r>
        <w:t xml:space="preserve"> The idea of sacrificing potential farm land to buffer areas or changing farming practices is </w:t>
      </w:r>
      <w:r w:rsidR="005F441C">
        <w:t>potentially challenging</w:t>
      </w:r>
      <w:r>
        <w:t xml:space="preserve"> for farmers who rely on every acre to maximize revenues or </w:t>
      </w:r>
      <w:r w:rsidR="005F441C">
        <w:t xml:space="preserve">who </w:t>
      </w:r>
      <w:r>
        <w:t>value the efficiency of tasks that have always been done a certain way. New methods of farming that are environmentally sustainable can also be more labor-intensive or time-consuming. These three environmental adaptations also impact the landscape, but are considered outside the purview of historic preservation</w:t>
      </w:r>
      <w:r w:rsidR="00CB658F">
        <w:t xml:space="preserve"> since practice is often based on stagnation not innovation as the latter is a deviation from the past</w:t>
      </w:r>
      <w:r>
        <w:t>. Although this causes a</w:t>
      </w:r>
      <w:r w:rsidR="005F441C">
        <w:t>n expansion</w:t>
      </w:r>
      <w:r>
        <w:t xml:space="preserve"> in the scope of the thesis, it is important </w:t>
      </w:r>
      <w:r w:rsidR="005F441C">
        <w:t>to</w:t>
      </w:r>
      <w:r>
        <w:t xml:space="preserve"> framing the entire context of farm preservation. If preservationists can expand beyond the </w:t>
      </w:r>
      <w:r w:rsidR="00F60F80">
        <w:t>National Park Service</w:t>
      </w:r>
      <w:r>
        <w:t>’s ideas of landscape preservation, and towards a model of sustainability, there is an increased likelihood that we can preserve farms.</w:t>
      </w:r>
    </w:p>
    <w:p w14:paraId="0000005F" w14:textId="11D9E424" w:rsidR="00D7661C" w:rsidRDefault="004B2BBB">
      <w:pPr>
        <w:ind w:firstLine="720"/>
      </w:pPr>
      <w:r>
        <w:t xml:space="preserve">Farms should not represent a certain time period but </w:t>
      </w:r>
      <w:r w:rsidR="005F441C">
        <w:t>be</w:t>
      </w:r>
      <w:r>
        <w:t xml:space="preserve"> encouraged to follow best management policies that create a sustainable practice for the farmer and environment. Whether changes occur will depend on how the farmer and stakeholders (including preservationists) </w:t>
      </w:r>
      <w:r>
        <w:lastRenderedPageBreak/>
        <w:t xml:space="preserve">decide to engage change. Changing farming practices, for example, may have the benefit of making a current farm function more like a historic farm. Traditionally, farmers would grow multiple crops and sell them at market. There may have </w:t>
      </w:r>
      <w:r w:rsidR="006D48D9">
        <w:t>be</w:t>
      </w:r>
      <w:r>
        <w:t>en a cash crop or a dairy that was the main focus of the farm, but also peripheral planting and livestock that would</w:t>
      </w:r>
      <w:r w:rsidR="006D48D9">
        <w:t xml:space="preserve"> be</w:t>
      </w:r>
      <w:r>
        <w:t xml:space="preserve"> for the sustenance of the farmer. This paper will not romanticize the idea of returning to simple or subsistence farming. Instead, the paper discourages the idea of returning to a “period accurate” farming practice and therefore an attempt at a locked-down period of significance. While there may be a standout period of a farm’s history, this is not always going to be replicable in a modern context and could be environmentally or culturally irresponsible. More likely, and in keeping with the theme of the paper, farms are important for what they are and have been historically and what they mean in the larger context, and not simply their importance for one specific period of time.</w:t>
      </w:r>
    </w:p>
    <w:p w14:paraId="00000060" w14:textId="54B59E95" w:rsidR="00D7661C" w:rsidRDefault="004B2BBB" w:rsidP="009D59A3">
      <w:pPr>
        <w:pStyle w:val="Heading2"/>
      </w:pPr>
      <w:bookmarkStart w:id="7" w:name="_Toc7863379"/>
      <w:r>
        <w:t>Concepts Introduced in this Paper</w:t>
      </w:r>
      <w:bookmarkEnd w:id="7"/>
    </w:p>
    <w:p w14:paraId="00000061" w14:textId="4EBAA75A" w:rsidR="00D7661C" w:rsidRDefault="004B2BBB">
      <w:r>
        <w:tab/>
        <w:t xml:space="preserve">In order to accommodate different sorts of heritage that do not fit in with traditional American historic preservation models, there is a need for expanded thinking in our field. To that end, I am introducing a different perspective of how new concepts regarding historic preservation interact and relate to places. Much of what I discuss in this thesis is pulled from other fields where these concepts have been in practice for many years. This next section highlights some of these major concepts that are discussed further in subsequent chapters. </w:t>
      </w:r>
    </w:p>
    <w:p w14:paraId="00000062" w14:textId="604B36AF" w:rsidR="00D7661C" w:rsidRDefault="004B2BBB">
      <w:pPr>
        <w:ind w:firstLine="720"/>
      </w:pPr>
      <w:r>
        <w:t xml:space="preserve">In the following subsections, I will introduce the concepts of a </w:t>
      </w:r>
      <w:r w:rsidR="005F441C">
        <w:t>v</w:t>
      </w:r>
      <w:r>
        <w:t xml:space="preserve">alues-based </w:t>
      </w:r>
      <w:r w:rsidR="005F441C">
        <w:t>l</w:t>
      </w:r>
      <w:r>
        <w:t xml:space="preserve">ens, sustainability, and the Integrated Landscape Approach (ILA). These ideas are more fully </w:t>
      </w:r>
      <w:r>
        <w:lastRenderedPageBreak/>
        <w:t>discussed in the body of the paper where they are given more detailed context</w:t>
      </w:r>
      <w:r w:rsidR="00127F72">
        <w:t xml:space="preserve"> as they are necessary tools for understanding the complexity of farm preservation and how to engage with the larger context that informs pressures being placed on farms</w:t>
      </w:r>
      <w:r>
        <w:t xml:space="preserve">. I will then discuss in greater detail the concept of wicked problems which serves as a background for the overall approach that I am taking to farm preservation. </w:t>
      </w:r>
    </w:p>
    <w:p w14:paraId="00000063" w14:textId="69301093" w:rsidR="00D7661C" w:rsidRDefault="004B2BBB">
      <w:pPr>
        <w:ind w:firstLine="720"/>
      </w:pPr>
      <w:r>
        <w:t>In order to better understand the challenges to protecting farms, we must break down farm preservation and sustainability into components: first, understanding why farms need new preservation approaches and the existing challenges to farms; second, constructing a definition of sustainability that encompasses the scope of what it means to have a successful farm; finally, discussing how preservation can incorporate a different model of sustainable farms in the form of Integrated Landscape Approach that is more sensitive to the larger environment, thereby increasing the odds that farm preservation will succeed.</w:t>
      </w:r>
    </w:p>
    <w:p w14:paraId="00000064" w14:textId="4907B230" w:rsidR="00D7661C" w:rsidRDefault="004B2BBB">
      <w:pPr>
        <w:pStyle w:val="Heading3"/>
      </w:pPr>
      <w:bookmarkStart w:id="8" w:name="_Toc7863380"/>
      <w:r>
        <w:t>Farm Preservation Through a Values-Based Lens</w:t>
      </w:r>
      <w:bookmarkEnd w:id="8"/>
    </w:p>
    <w:p w14:paraId="00000065" w14:textId="3037093B" w:rsidR="00D7661C" w:rsidRDefault="004B2BBB">
      <w:pPr>
        <w:ind w:firstLine="720"/>
      </w:pPr>
      <w:r>
        <w:t>Throughout this chapter and the following</w:t>
      </w:r>
      <w:r w:rsidR="00582501">
        <w:t xml:space="preserve"> chapters</w:t>
      </w:r>
      <w:r>
        <w:t xml:space="preserve">, particularly Chapter IV, there is a discussion of values-based preservation and how that reframes historic preservation. This does not mean that historic preservation currently is not based on some sort of value assessment. Much of the early historic preservation efforts are tied to sites associated with the founding </w:t>
      </w:r>
      <w:r w:rsidR="006D48D9">
        <w:t>f</w:t>
      </w:r>
      <w:r>
        <w:t>athers or great events in history. Certainly, the preservation of Mount Vernon has a value association to American society as the home of George Washington. This</w:t>
      </w:r>
      <w:r w:rsidR="005F441C">
        <w:t xml:space="preserve"> traditional practice</w:t>
      </w:r>
      <w:r>
        <w:t xml:space="preserve"> is an easy realm for historic preservationists to be the expert, identifying significance of the place in history.</w:t>
      </w:r>
    </w:p>
    <w:p w14:paraId="00000066" w14:textId="3308D18E" w:rsidR="00D7661C" w:rsidRDefault="004B2BBB">
      <w:pPr>
        <w:ind w:firstLine="720"/>
      </w:pPr>
      <w:r>
        <w:lastRenderedPageBreak/>
        <w:t xml:space="preserve">The values-based lens is a way of </w:t>
      </w:r>
      <w:r w:rsidR="00582501">
        <w:t xml:space="preserve">developing historic preservation </w:t>
      </w:r>
      <w:r w:rsidR="00C078CC">
        <w:t xml:space="preserve">as a less professional driven practice by </w:t>
      </w:r>
      <w:r>
        <w:t>letting people identify what is significant to them as a community.</w:t>
      </w:r>
      <w:r w:rsidR="000005B6">
        <w:t xml:space="preserve"> </w:t>
      </w:r>
      <w:r>
        <w:t>Preservation architect Pamela Jerome cites the Burra Charter as the best example of historic preservation using values-based management and notes its ability to allow a place to change “over time depending on stakeholders’ viewpoints.”</w:t>
      </w:r>
      <w:r>
        <w:rPr>
          <w:vertAlign w:val="superscript"/>
        </w:rPr>
        <w:footnoteReference w:id="19"/>
      </w:r>
      <w:r>
        <w:t xml:space="preserve"> This way of seeing spaces acknowledges that places and values change. Looking at farms, we know that they are a valuable resource on many levels. We also see that our national values, some still emerging </w:t>
      </w:r>
      <w:r w:rsidR="005F441C">
        <w:t>values</w:t>
      </w:r>
      <w:r>
        <w:t xml:space="preserve"> are represented by the Green New Deal</w:t>
      </w:r>
      <w:r w:rsidR="005F441C">
        <w:t>,</w:t>
      </w:r>
      <w:r>
        <w:t xml:space="preserve"> are shifting towards a healthier environment and sustainability</w:t>
      </w:r>
      <w:r w:rsidR="00293286">
        <w:t>.</w:t>
      </w:r>
      <w:r w:rsidR="000005B6">
        <w:rPr>
          <w:vertAlign w:val="superscript"/>
        </w:rPr>
        <w:footnoteReference w:id="20"/>
      </w:r>
      <w:r>
        <w:t xml:space="preserve"> By using a values-based lens, best represented </w:t>
      </w:r>
      <w:r w:rsidR="005F441C">
        <w:t xml:space="preserve">in U.S. practice </w:t>
      </w:r>
      <w:r>
        <w:t xml:space="preserve">by the Traditional Cultural Property, preservationists can acknowledge the value of farms while being free to encourage sustainable change. </w:t>
      </w:r>
    </w:p>
    <w:p w14:paraId="00000067" w14:textId="092F4553" w:rsidR="00D7661C" w:rsidRDefault="004B2BBB">
      <w:pPr>
        <w:ind w:firstLine="720"/>
      </w:pPr>
      <w:r>
        <w:t>This paper seeks to recognize the farmer and their practice as the best determinant of what they need. That</w:t>
      </w:r>
      <w:r w:rsidR="005F441C">
        <w:t xml:space="preserve"> need</w:t>
      </w:r>
      <w:r>
        <w:t xml:space="preserve"> is then balanced with other stakeholders beyond the farm. The professionals are guided by this information to then understand what is significant to whom, and where changes can best happen.</w:t>
      </w:r>
    </w:p>
    <w:p w14:paraId="00000068" w14:textId="7D35E1C2" w:rsidR="00D7661C" w:rsidRDefault="004B2BBB">
      <w:pPr>
        <w:pStyle w:val="Heading3"/>
      </w:pPr>
      <w:bookmarkStart w:id="9" w:name="_Toc7863381"/>
      <w:r>
        <w:t>Sustainability</w:t>
      </w:r>
      <w:bookmarkEnd w:id="9"/>
    </w:p>
    <w:p w14:paraId="00000069" w14:textId="5BAF257A" w:rsidR="00D7661C" w:rsidRDefault="004B2BBB">
      <w:pPr>
        <w:ind w:firstLine="720"/>
      </w:pPr>
      <w:r>
        <w:t xml:space="preserve">Sustainability, in this conversation, will not only have traditional “sustainable farming” connotations, but will also reflect a changing natural environment, the concerns of environmentalists, conservationists, and agriculturalists, as well as historic preservationists. </w:t>
      </w:r>
      <w:r>
        <w:lastRenderedPageBreak/>
        <w:t xml:space="preserve">Farms have impacts, both positive and negative, on their surrounding environments. Although farms help to create sense of place, provide food, and provide an alternative to urban and suburban landscapes, they also add sediment to waterways and seep polluted runoff from fields. If </w:t>
      </w:r>
      <w:r w:rsidR="00293286">
        <w:t xml:space="preserve">historic </w:t>
      </w:r>
      <w:r>
        <w:t xml:space="preserve">preservationists cannot amend their practices to encourage environmental responsibility beyond the farm, these practices will not be sustainable in the face of increasing economic pressures and environmental awareness. </w:t>
      </w:r>
      <w:r w:rsidR="000005B6">
        <w:t>S</w:t>
      </w:r>
      <w:r>
        <w:t>takeholders working to preserve farms must not only examine a farm’s financial sustainability or historical significance but must also include how to make the area impacted by the farm sustainable--that is, ecologically healthy. The area impacted by the farm includes not only the nearby area of the farm but also those areas connected to it by water and wind.</w:t>
      </w:r>
    </w:p>
    <w:p w14:paraId="0000006A" w14:textId="02520931" w:rsidR="00D7661C" w:rsidRDefault="004B2BBB">
      <w:pPr>
        <w:pStyle w:val="Heading3"/>
      </w:pPr>
      <w:bookmarkStart w:id="10" w:name="_Toc7863382"/>
      <w:r>
        <w:t>Integrated Landscape Approach</w:t>
      </w:r>
      <w:bookmarkEnd w:id="10"/>
      <w:r>
        <w:t xml:space="preserve"> </w:t>
      </w:r>
    </w:p>
    <w:p w14:paraId="0000006B" w14:textId="34734F7F" w:rsidR="00D7661C" w:rsidRDefault="004B2BBB">
      <w:pPr>
        <w:ind w:firstLine="720"/>
      </w:pPr>
      <w:r>
        <w:t xml:space="preserve">Farms can either be a seen as contained systems defined by their boundaries, (as </w:t>
      </w:r>
      <w:r w:rsidR="005F441C">
        <w:t xml:space="preserve">historic </w:t>
      </w:r>
      <w:r>
        <w:t>preservation currently sees them) or as part of a larger landscape system (a regional model). The Integrated Landscape Approach (</w:t>
      </w:r>
      <w:r w:rsidR="00D50823">
        <w:t>ILA</w:t>
      </w:r>
      <w:r>
        <w:t xml:space="preserve">), developed by ecologists Freeman, </w:t>
      </w:r>
      <w:proofErr w:type="spellStart"/>
      <w:r>
        <w:t>Duguma</w:t>
      </w:r>
      <w:proofErr w:type="spellEnd"/>
      <w:r>
        <w:t xml:space="preserve"> and </w:t>
      </w:r>
      <w:proofErr w:type="spellStart"/>
      <w:r>
        <w:t>Minang</w:t>
      </w:r>
      <w:proofErr w:type="spellEnd"/>
      <w:r>
        <w:t>, recognizes a landscape as a “complex social-ecological system, usually made up of a mosaic of different land uses.”</w:t>
      </w:r>
      <w:r>
        <w:rPr>
          <w:vertAlign w:val="superscript"/>
        </w:rPr>
        <w:footnoteReference w:id="21"/>
      </w:r>
      <w:r>
        <w:t xml:space="preserve"> The idea of a landscape as a mosaic recognizes the interconnected nature of multiple contiguous landscapes. Depending on how broad the scale, the level of connectivity and related parts changes within a landscape. This is to say that the sustainability needs of a </w:t>
      </w:r>
      <w:r>
        <w:lastRenderedPageBreak/>
        <w:t>small farm will look different than the sustainability needs of that same area viewed as part of a larger a picture.</w:t>
      </w:r>
    </w:p>
    <w:p w14:paraId="0000006C" w14:textId="468FB7DB" w:rsidR="00D7661C" w:rsidRDefault="004B2BBB">
      <w:pPr>
        <w:ind w:firstLine="720"/>
      </w:pPr>
      <w:r>
        <w:t>The two conversations that I am adding to the narrative of farm preservatio</w:t>
      </w:r>
      <w:r w:rsidR="00D50823">
        <w:t>n--</w:t>
      </w:r>
      <w:r>
        <w:t>that of encouraging new practices and the larger landscape affected by the farm</w:t>
      </w:r>
      <w:r w:rsidR="00D50823">
        <w:t>--</w:t>
      </w:r>
      <w:r>
        <w:t xml:space="preserve">illustrate that farms do not operate in a vacuum. This is also true for all </w:t>
      </w:r>
      <w:r w:rsidR="005F441C">
        <w:t xml:space="preserve">historic </w:t>
      </w:r>
      <w:r>
        <w:t xml:space="preserve">preservation projects, including architecture. Outside of the preserved “object” there are people and places that react to that object. This reactive context has the potential to be a determining factor in the success or failure of the object. </w:t>
      </w:r>
    </w:p>
    <w:p w14:paraId="0000006D" w14:textId="4206DF2D" w:rsidR="00D7661C" w:rsidRDefault="004B2BBB">
      <w:pPr>
        <w:pStyle w:val="Heading3"/>
      </w:pPr>
      <w:bookmarkStart w:id="11" w:name="_Toc7863383"/>
      <w:r>
        <w:t>Wicked Problems</w:t>
      </w:r>
      <w:bookmarkEnd w:id="11"/>
    </w:p>
    <w:p w14:paraId="0000006E" w14:textId="77777777" w:rsidR="00D7661C" w:rsidRDefault="004B2BBB">
      <w:r>
        <w:tab/>
        <w:t>Throughout this thesis, I reach intersections of problems where the solutions require difficult choices. Generally, these choices involve value judgements where the success of farms is weighed against the health of the Chesapeake. Not only are the problems complicated now, but they are changing--societal values, markets, and environmental conditions are changing. These layers of change make the preservation of farms and the restoration of the Chesapeake difficult tasks. When looked at together, the problems are even more complicated because of diverse interests and multi-layered problem solving, making it difficult to come to a reasonable consensus that satisfies all parties.</w:t>
      </w:r>
    </w:p>
    <w:p w14:paraId="0000006F" w14:textId="632F8477" w:rsidR="00D7661C" w:rsidRDefault="004B2BBB">
      <w:r>
        <w:tab/>
        <w:t>In 1973,</w:t>
      </w:r>
      <w:r w:rsidR="00D50823">
        <w:t xml:space="preserve"> </w:t>
      </w:r>
      <w:r>
        <w:t xml:space="preserve">planners Horst Rittel and Melvin Webber wrote an article titled “Dilemmas in a General Theory of Planning” where they laid out their concept of </w:t>
      </w:r>
      <w:r>
        <w:rPr>
          <w:i/>
        </w:rPr>
        <w:t xml:space="preserve">wicked problems </w:t>
      </w:r>
      <w:r>
        <w:t xml:space="preserve">and the ten factors that define that condition. Farm preservation and larger environmental considerations fit </w:t>
      </w:r>
      <w:r>
        <w:lastRenderedPageBreak/>
        <w:t xml:space="preserve">well into this </w:t>
      </w:r>
      <w:r w:rsidR="00303428">
        <w:t>“</w:t>
      </w:r>
      <w:r>
        <w:rPr>
          <w:i/>
        </w:rPr>
        <w:t>wicked problems</w:t>
      </w:r>
      <w:r w:rsidR="00303428">
        <w:t>”</w:t>
      </w:r>
      <w:r>
        <w:rPr>
          <w:i/>
        </w:rPr>
        <w:t xml:space="preserve"> </w:t>
      </w:r>
      <w:r>
        <w:t xml:space="preserve">model, which </w:t>
      </w:r>
      <w:r w:rsidR="00C53C0C">
        <w:t>helps illuminate</w:t>
      </w:r>
      <w:r>
        <w:t xml:space="preserve"> the interwoven nature of the challenges this thesis engages.</w:t>
      </w:r>
    </w:p>
    <w:p w14:paraId="00000070" w14:textId="79E4573F" w:rsidR="00D7661C" w:rsidRDefault="004B2BBB">
      <w:r>
        <w:tab/>
        <w:t>“1. There is no definitive formulation of a wicked problem.”</w:t>
      </w:r>
      <w:r>
        <w:rPr>
          <w:vertAlign w:val="superscript"/>
        </w:rPr>
        <w:footnoteReference w:id="22"/>
      </w:r>
      <w:r>
        <w:t xml:space="preserve"> For farm preservation, many variables are involved, including the evolving needs of the farmer and societal values. These variables are hard to predict and hard to account for, except as things happen in real time. When the impacts on the larger landscape are included, certain elements--such as biological inputs from excess nitrogen--can be modeled, but it is nearly impossible to model all of the possible secondary or tertiary results.</w:t>
      </w:r>
    </w:p>
    <w:p w14:paraId="00000071" w14:textId="46786244" w:rsidR="00D7661C" w:rsidRDefault="004B2BBB">
      <w:r>
        <w:tab/>
        <w:t>“2. Wicked Problems have no stopping rule.”</w:t>
      </w:r>
      <w:r>
        <w:rPr>
          <w:vertAlign w:val="superscript"/>
        </w:rPr>
        <w:footnoteReference w:id="23"/>
      </w:r>
      <w:r>
        <w:t xml:space="preserve"> If farm preservation is “successful” there is no end</w:t>
      </w:r>
      <w:r w:rsidR="00C53C0C">
        <w:t>-</w:t>
      </w:r>
      <w:r w:rsidR="003D7F5A">
        <w:t>-</w:t>
      </w:r>
      <w:r w:rsidR="00C53C0C">
        <w:t>preservation</w:t>
      </w:r>
      <w:r>
        <w:t xml:space="preserve"> is a process that needs to continue. To engage with farms means that this is an ongoing relationship, whether it is with a farmer, preservationist, or consumer. As long as the farm and the waterways exist, there is an ongoing relationship. In other words, there is no point--other than the dissolution of the farm--at which engagement with a farm is finished.</w:t>
      </w:r>
    </w:p>
    <w:p w14:paraId="00000072" w14:textId="77777777" w:rsidR="00D7661C" w:rsidRDefault="004B2BBB">
      <w:r>
        <w:tab/>
        <w:t>“3. Solutions to wicked problems are not true-or-false, but good-or-bad.”</w:t>
      </w:r>
      <w:r>
        <w:rPr>
          <w:vertAlign w:val="superscript"/>
        </w:rPr>
        <w:footnoteReference w:id="24"/>
      </w:r>
      <w:r>
        <w:t xml:space="preserve"> This point is based on perspective, and as perspective changes so can the perception of whether a result is good or bad. Making choices between two options creates a winner and a loser. A decision for the Bay has consequences for the farm. Increased production on the farm has consequences for the Bay. Social scientist Anne Effland writes about how the Green Revolution helped to feed </w:t>
      </w:r>
      <w:r>
        <w:lastRenderedPageBreak/>
        <w:t xml:space="preserve">more people but later saw the environmental and societal consequences that tempered </w:t>
      </w:r>
      <w:r w:rsidR="00C53C0C">
        <w:t xml:space="preserve">the movement’s </w:t>
      </w:r>
      <w:r>
        <w:t>enthusiasm.</w:t>
      </w:r>
      <w:r>
        <w:rPr>
          <w:vertAlign w:val="superscript"/>
        </w:rPr>
        <w:footnoteReference w:id="25"/>
      </w:r>
      <w:r>
        <w:t xml:space="preserve"> Even though the Green Revolution had the best intentions of increasing food production through “better” farm practices to feed a growing population, there were unforeseen consequences that put the movement</w:t>
      </w:r>
      <w:r w:rsidR="00C53C0C">
        <w:t>--</w:t>
      </w:r>
      <w:r>
        <w:t xml:space="preserve"> and improved farms</w:t>
      </w:r>
      <w:r w:rsidR="00C53C0C">
        <w:t>--</w:t>
      </w:r>
      <w:r>
        <w:t xml:space="preserve"> in a negative light. From one perspective the movement was successful and from another it was not.</w:t>
      </w:r>
    </w:p>
    <w:p w14:paraId="00000073" w14:textId="5611666A" w:rsidR="00D7661C" w:rsidRDefault="004B2BBB">
      <w:r>
        <w:tab/>
        <w:t>“4. There is no immediate and no ultimate test of a solution to a wicked problem.”</w:t>
      </w:r>
      <w:r>
        <w:rPr>
          <w:vertAlign w:val="superscript"/>
        </w:rPr>
        <w:footnoteReference w:id="26"/>
      </w:r>
      <w:r>
        <w:t xml:space="preserve"> The idea that there is no easy or be-all and end-all solution to a wicked problem ties into the modeling mentioned in Factor 1. Because farms and the Bay have societal components--both engage with consumers of the landscape and products as well as other farmers and people connected to the farm and the Bay through environment--it is difficult to map out the long-term ramifications of any one change. Therefore, it is difficult to model</w:t>
      </w:r>
      <w:r w:rsidR="00C53C0C">
        <w:t xml:space="preserve"> outcomes</w:t>
      </w:r>
      <w:r>
        <w:t xml:space="preserve">. Science and technology have progressed with social modeling in the past 40 years. </w:t>
      </w:r>
      <w:proofErr w:type="spellStart"/>
      <w:r>
        <w:rPr>
          <w:color w:val="222222"/>
          <w:highlight w:val="white"/>
        </w:rPr>
        <w:t>Paolisso</w:t>
      </w:r>
      <w:proofErr w:type="spellEnd"/>
      <w:r>
        <w:rPr>
          <w:color w:val="222222"/>
          <w:highlight w:val="white"/>
        </w:rPr>
        <w:t xml:space="preserve"> et al. describe how environmental anthropologists are creating cultural models to study “the complex interactions of attitudes, values, modes of understanding, and discourse surrounding an array of environmental and conservation issues, including climate change,...[and] landscape conservation", citing Kempton, </w:t>
      </w:r>
      <w:proofErr w:type="spellStart"/>
      <w:r>
        <w:rPr>
          <w:color w:val="222222"/>
          <w:highlight w:val="white"/>
        </w:rPr>
        <w:t>Boster</w:t>
      </w:r>
      <w:proofErr w:type="spellEnd"/>
      <w:r>
        <w:rPr>
          <w:color w:val="222222"/>
          <w:highlight w:val="white"/>
        </w:rPr>
        <w:t xml:space="preserve">, and Hartley's book </w:t>
      </w:r>
      <w:r>
        <w:rPr>
          <w:i/>
          <w:highlight w:val="white"/>
        </w:rPr>
        <w:t xml:space="preserve">Environmental Values in American Culture, </w:t>
      </w:r>
      <w:r>
        <w:rPr>
          <w:highlight w:val="white"/>
        </w:rPr>
        <w:t xml:space="preserve">and Mark Dailey's </w:t>
      </w:r>
      <w:r>
        <w:rPr>
          <w:i/>
          <w:highlight w:val="white"/>
        </w:rPr>
        <w:t xml:space="preserve">Cultural Models of Forests and Ecological Change on the Appalachian Plateau, 1750-1840 </w:t>
      </w:r>
      <w:r>
        <w:rPr>
          <w:highlight w:val="white"/>
        </w:rPr>
        <w:t>as examples of these cultural models.</w:t>
      </w:r>
      <w:r>
        <w:rPr>
          <w:highlight w:val="white"/>
          <w:vertAlign w:val="superscript"/>
        </w:rPr>
        <w:footnoteReference w:id="27"/>
      </w:r>
      <w:r>
        <w:t xml:space="preserve"> When models like these </w:t>
      </w:r>
      <w:r>
        <w:lastRenderedPageBreak/>
        <w:t xml:space="preserve">are improved, they may mitigate some of the complexities of </w:t>
      </w:r>
      <w:r>
        <w:rPr>
          <w:i/>
        </w:rPr>
        <w:t>wicked problems.</w:t>
      </w:r>
      <w:r>
        <w:t xml:space="preserve"> Even with </w:t>
      </w:r>
      <w:r w:rsidR="00C53C0C">
        <w:t>more accurate</w:t>
      </w:r>
      <w:r>
        <w:t xml:space="preserve"> modeling, it would be difficult to account for all the variables provided by a diverse population.</w:t>
      </w:r>
    </w:p>
    <w:p w14:paraId="00000074" w14:textId="135EB22F" w:rsidR="00D7661C" w:rsidRDefault="004B2BBB">
      <w:r>
        <w:tab/>
        <w:t>“5. Every solution to a wicked problem is a ‘one-shot operation’; because there is no opportunity to learn by trial-and-error, every attempt counts significantly.”</w:t>
      </w:r>
      <w:r>
        <w:rPr>
          <w:vertAlign w:val="superscript"/>
        </w:rPr>
        <w:footnoteReference w:id="28"/>
      </w:r>
      <w:r>
        <w:t xml:space="preserve"> This is true for farmers and the Bay</w:t>
      </w:r>
      <w:r w:rsidR="00C53C0C">
        <w:t xml:space="preserve"> where livelihoods and ecosystems are in play</w:t>
      </w:r>
      <w:r>
        <w:t>. In taking a new approach to farm preservation, some loss is acceptable. If there needs to be a course correction, one hopes that it is manageable. Given the circumstances, it is unlikely that historic preservation efforts will end a farm--that is to say, their efforts are not necessarily “one-shot.” However, the consequences for the Bay can be more long term and multiple ineffectual attempts at restoration make success a more distant goal.</w:t>
      </w:r>
      <w:r w:rsidR="00C53C0C">
        <w:t xml:space="preserve"> Therefore, efforts to save the Bay may have serious consequences for farms.</w:t>
      </w:r>
    </w:p>
    <w:p w14:paraId="00000075" w14:textId="77777777" w:rsidR="00D7661C" w:rsidRDefault="004B2BBB">
      <w:r>
        <w:tab/>
        <w:t>“6. Wicked problems do not have an enumerable (or an exhaustively describable) set of potential solutions, nor is there a well-described set of permissible operations that may be incorporated into the plan.”</w:t>
      </w:r>
      <w:r>
        <w:rPr>
          <w:vertAlign w:val="superscript"/>
        </w:rPr>
        <w:footnoteReference w:id="29"/>
      </w:r>
      <w:r>
        <w:t xml:space="preserve"> In farm preservation there are a lot of potential solutions. There are a lot of solutions to the problem of the Bay restoration. Taken together there are many possible resolutions to the interaction between the two but it is difficult to assess if </w:t>
      </w:r>
      <w:r>
        <w:rPr>
          <w:i/>
        </w:rPr>
        <w:t>all</w:t>
      </w:r>
      <w:r>
        <w:t xml:space="preserve"> potential solutions are known. The odds are that all solutions are not known and this could include the </w:t>
      </w:r>
      <w:r>
        <w:rPr>
          <w:i/>
        </w:rPr>
        <w:t xml:space="preserve">best possible </w:t>
      </w:r>
      <w:r>
        <w:lastRenderedPageBreak/>
        <w:t xml:space="preserve">solution. Because the “rules” governing the environment and preservation are not finite--they change with each previous decision--new options result from each choice, even </w:t>
      </w:r>
      <w:r w:rsidR="00C53C0C">
        <w:t xml:space="preserve">from </w:t>
      </w:r>
      <w:r>
        <w:t>inaction.</w:t>
      </w:r>
    </w:p>
    <w:p w14:paraId="00000076" w14:textId="32E662A2" w:rsidR="00D7661C" w:rsidRDefault="004B2BBB">
      <w:r>
        <w:tab/>
        <w:t>“7. Every wicked problem is essentially unique.”</w:t>
      </w:r>
      <w:r>
        <w:rPr>
          <w:vertAlign w:val="superscript"/>
        </w:rPr>
        <w:footnoteReference w:id="30"/>
      </w:r>
      <w:r>
        <w:t xml:space="preserve"> In our context of farms and waterways, this means that each farm, river, and stream will have its own variables. There will be commonalities between farms, but no two are identical. Plans to preserve farms, or help them engage with the environment, may work in most cases, but for some, the difference will cause an alteration to the plan. This encourages farms and places to be looked at individually, to make sure they are addressed in a manner that helps the farm integrate in</w:t>
      </w:r>
      <w:r w:rsidR="00C53C0C">
        <w:t>to</w:t>
      </w:r>
      <w:r>
        <w:t xml:space="preserve"> the larger landscape.</w:t>
      </w:r>
    </w:p>
    <w:p w14:paraId="00000077" w14:textId="4B62A51C" w:rsidR="00D7661C" w:rsidRDefault="004B2BBB">
      <w:r>
        <w:tab/>
        <w:t>“8. Every Wicked problem can be considered to be a symptom of another wicked problem.”</w:t>
      </w:r>
      <w:r>
        <w:rPr>
          <w:vertAlign w:val="superscript"/>
        </w:rPr>
        <w:footnoteReference w:id="31"/>
      </w:r>
      <w:r>
        <w:t xml:space="preserve"> This can be as simple as the health of the Bay being a symptom (in part) of farm practices. Detrimental farm practices are a symptom of farm “improvements” developed to increase production. This point encourages one to believe that there is a wicked problem caused by the health of the Bay and farm preservation.</w:t>
      </w:r>
    </w:p>
    <w:p w14:paraId="00000078" w14:textId="77777777" w:rsidR="00D7661C" w:rsidRDefault="004B2BBB">
      <w:r>
        <w:tab/>
        <w:t>“9. The existence of a discrepancy representing a wicked problem can be explained in numerous ways. The choice of explanation determines the nature of the problem’s solution.”</w:t>
      </w:r>
      <w:r>
        <w:rPr>
          <w:vertAlign w:val="superscript"/>
        </w:rPr>
        <w:footnoteReference w:id="32"/>
      </w:r>
      <w:r>
        <w:t xml:space="preserve"> Discrepancies come from constituents having a range of opinions. This is why understanding stakeholder motivations in farm preservation and the Bay restoration is important. Knowing where bias comes from helps when trying to build consensus. Consensus building among various </w:t>
      </w:r>
      <w:r>
        <w:lastRenderedPageBreak/>
        <w:t>stakeholders improves the chances for a “better” solution that all groups can accept. The discrepancies can also show a constituent bias.</w:t>
      </w:r>
    </w:p>
    <w:p w14:paraId="00000079" w14:textId="2EAD4313" w:rsidR="00D7661C" w:rsidRDefault="004B2BBB">
      <w:r>
        <w:tab/>
        <w:t xml:space="preserve">“10. The planner has no right to be wrong.” We are dealing with people </w:t>
      </w:r>
      <w:r w:rsidR="00C53C0C">
        <w:t>and ecosystems</w:t>
      </w:r>
      <w:r>
        <w:t xml:space="preserve"> and therefore the consequences are real. Mistakes in preservation may not end a farm but asking a farmer to change practices can cause financial hardship. If the new practice is a failure, or if locking in old methods keeps a farm from being successful, these are not acceptable solutions. When historic preservation engages with a site, we need to be sure we have done the requisite research to make the most informed proposals. Where we are not the ideal subject expert to engage in a topic, the right one needs to be brought in so that the aspect in question is handled properly. As the “professional”, we also need to understand the other “non-professional” stakeholders, so that viewpoints are better understood. As each profession brings different understandings and approaches to a common problem, the stakeholders have a vantage, understanding, and interest in the solution that may be most important to the solution. Without stakeholder “buy in”, approaches may not be fully implemented. This appears to complicate things, some might say unnecessarily, but the point is to reach a “best” solution.</w:t>
      </w:r>
    </w:p>
    <w:p w14:paraId="0000007A" w14:textId="77777777" w:rsidR="00D7661C" w:rsidRDefault="004B2BBB">
      <w:r>
        <w:tab/>
        <w:t xml:space="preserve">The interaction between farms and the Chesapeake involves deep connections that spread to stakeholders beyond the farm and waterways. Efforts to improve farm sustainability (namely production, although this can be challenged) or the health of the Bay incur consequences for the other resource. “Good” solutions are not always welcomed among the diverse stakeholders which creates a challenge in conceptualizing new solutions. Although the term </w:t>
      </w:r>
      <w:r>
        <w:rPr>
          <w:i/>
        </w:rPr>
        <w:t xml:space="preserve">wicked problem </w:t>
      </w:r>
      <w:r>
        <w:t xml:space="preserve">was initially laid out by Rittel and Webber, my first encounter with the term was in the article “Preserving Tangible Assets: A Framework for a New Dialogue in Preservation” by Eric W. </w:t>
      </w:r>
      <w:r>
        <w:lastRenderedPageBreak/>
        <w:t>Allison and Mary Ann Allison. The article discusses the preservation of both the tangible and intangible. Discussing preservation of the tangible as a wicked problem, the authors write:</w:t>
      </w:r>
    </w:p>
    <w:p w14:paraId="43B4B1AE" w14:textId="093CE0B5" w:rsidR="00F54982" w:rsidRDefault="004B2BBB" w:rsidP="003D7F5A">
      <w:pPr>
        <w:ind w:left="720"/>
      </w:pPr>
      <w:r>
        <w:t xml:space="preserve">Wicked problems do not have “solutions” in the conventional sense, but they can be </w:t>
      </w:r>
      <w:r>
        <w:rPr>
          <w:i/>
        </w:rPr>
        <w:t>addressed</w:t>
      </w:r>
      <w:r>
        <w:t xml:space="preserve"> in a continually evolving process that often produces widely satisfactory results. This process produces coevolutionary “solutions,” which will require adaptation as circumstances--culture, society, and needs--change. This process of considering wicked problems offers a framework or context within which historic preservation may address tangible cultural resources.</w:t>
      </w:r>
      <w:r>
        <w:rPr>
          <w:vertAlign w:val="superscript"/>
        </w:rPr>
        <w:footnoteReference w:id="33"/>
      </w:r>
    </w:p>
    <w:p w14:paraId="7F85334D" w14:textId="77777777" w:rsidR="006672D1" w:rsidRDefault="006672D1" w:rsidP="003D7F5A">
      <w:pPr>
        <w:ind w:left="720"/>
      </w:pPr>
    </w:p>
    <w:p w14:paraId="0000007C" w14:textId="1A05AE57" w:rsidR="00D7661C" w:rsidRDefault="004B2BBB">
      <w:r>
        <w:t xml:space="preserve">This statement applies well to both farm and Bay preservation efforts, historic and restorative. Some involved in these preservation efforts recognize that objects or places need to change or evolve in relation to their surroundings or other objects. This thesis looks at farms and their need to change and evolve. We can look at farm preservation within the context of the ILA as a wicked problem: an effort addressed in an evolving manner, one that is not static. This is also in line with the reasoning put forward by </w:t>
      </w:r>
      <w:proofErr w:type="spellStart"/>
      <w:r>
        <w:t>Rottle</w:t>
      </w:r>
      <w:proofErr w:type="spellEnd"/>
      <w:r>
        <w:t>, who acknowledged the need for farms to evolve and not be static.</w:t>
      </w:r>
    </w:p>
    <w:p w14:paraId="0000007D" w14:textId="1F3C51B0" w:rsidR="00D7661C" w:rsidRDefault="004B2BBB">
      <w:pPr>
        <w:ind w:firstLine="720"/>
      </w:pPr>
      <w:r>
        <w:t>The interdisciplinary challenge present in the integrated landscape approach is part of the solution to wicked problems.</w:t>
      </w:r>
      <w:r>
        <w:tab/>
        <w:t xml:space="preserve">Sandra Batie discusses how “normal science is ill suited for wicked problems,” further suggesting that to get a complete picture of facts and values, “it is necessary </w:t>
      </w:r>
      <w:r>
        <w:lastRenderedPageBreak/>
        <w:t xml:space="preserve">not only to have many disciplines involved, but also to </w:t>
      </w:r>
      <w:proofErr w:type="gramStart"/>
      <w:r>
        <w:t>have interaction with</w:t>
      </w:r>
      <w:proofErr w:type="gramEnd"/>
      <w:r>
        <w:t xml:space="preserve"> those whose resources and cooperation are indispensable for tackling the problem--that is, the stakeholders.”</w:t>
      </w:r>
      <w:r>
        <w:rPr>
          <w:vertAlign w:val="superscript"/>
        </w:rPr>
        <w:footnoteReference w:id="34"/>
      </w:r>
      <w:r>
        <w:t xml:space="preserve"> As mentioned throughout this paper, stakeholders in farms are varied.  Because stakeholders are varied, historic preservation professionals do not need to act necessarily as the </w:t>
      </w:r>
      <w:r>
        <w:rPr>
          <w:i/>
        </w:rPr>
        <w:t>expert</w:t>
      </w:r>
      <w:r>
        <w:t xml:space="preserve"> of how a farm is engaged or </w:t>
      </w:r>
      <w:r>
        <w:rPr>
          <w:i/>
        </w:rPr>
        <w:t xml:space="preserve">what </w:t>
      </w:r>
      <w:r>
        <w:t xml:space="preserve">is significant, but as an advocate for the tangible and intangible values of the farm. Because the expert has no right to be wrong, listening to and being guided by the stakeholders will help historic preservation practitioners identify and preserve those values. </w:t>
      </w:r>
    </w:p>
    <w:p w14:paraId="0000007E" w14:textId="6EF01FE8" w:rsidR="00D7661C" w:rsidRDefault="004B2BBB">
      <w:r>
        <w:tab/>
        <w:t>Allison and Allison use the terms “consensus</w:t>
      </w:r>
      <w:r w:rsidR="003E017A">
        <w:t>,</w:t>
      </w:r>
      <w:r w:rsidR="00D50823">
        <w:t xml:space="preserve">” </w:t>
      </w:r>
      <w:r>
        <w:t>“stakeholder,” and “community support” throughout their article in order to illustrate values-based assessments where the engaged community is relied on as much as the “expert.” Stakeholder involvement is not only helpful but is indeed vital for successful historic preservation. Furthermore, to solve a wicked problem like farm preservation, the farmer and the expert need support from the larger community. If that community feels that farms are a danger to waterways, then the preservation efforts lose the support of that community. However, if consensus can be built that shows value for farms and waterways, and historic preservation supports the evolution of farms, then farm preservation is more likely.</w:t>
      </w:r>
    </w:p>
    <w:p w14:paraId="0000007F" w14:textId="4191DF3F" w:rsidR="00D7661C" w:rsidRDefault="004B2BBB">
      <w:r>
        <w:tab/>
      </w:r>
      <w:r>
        <w:rPr>
          <w:i/>
        </w:rPr>
        <w:t xml:space="preserve">Wicked problem </w:t>
      </w:r>
      <w:r w:rsidRPr="003E017A">
        <w:rPr>
          <w:i/>
        </w:rPr>
        <w:t>theory</w:t>
      </w:r>
      <w:r>
        <w:t xml:space="preserve"> is an important concept for engaging with the complexity of farm preservation. Because of the inherently complex nature of wicked problems with regard to farms, </w:t>
      </w:r>
      <w:r>
        <w:lastRenderedPageBreak/>
        <w:t xml:space="preserve">it is possible that the historic preservationist will opt to not get involved. Rittel and Webber go to lengths to explain their use of the term </w:t>
      </w:r>
      <w:r w:rsidRPr="003E017A">
        <w:t>wicked</w:t>
      </w:r>
      <w:r>
        <w:t>, saying it does not imply “ethically deplorable” but rather malignant, vicious, tricky, or aggressive challenges.</w:t>
      </w:r>
      <w:r>
        <w:rPr>
          <w:vertAlign w:val="superscript"/>
        </w:rPr>
        <w:footnoteReference w:id="35"/>
      </w:r>
      <w:r>
        <w:t xml:space="preserve"> While these terms, and the way Rittel and Webber define them, do relate well to farm preservation and the larger landscape issues, some may see these terms as a deterrent to engagement. While I feel that the concept of </w:t>
      </w:r>
      <w:r>
        <w:rPr>
          <w:i/>
        </w:rPr>
        <w:t>wicked problems</w:t>
      </w:r>
      <w:r>
        <w:t xml:space="preserve"> fits well with this thesis and needs to be understood by the reader because it emphasizes the complex nature of farm preservation, the term will not be heavily used beyond this introductory framing.</w:t>
      </w:r>
    </w:p>
    <w:p w14:paraId="00000080" w14:textId="6EA41FED" w:rsidR="00D7661C" w:rsidRDefault="004B2BBB" w:rsidP="009D59A3">
      <w:pPr>
        <w:pStyle w:val="Heading2"/>
      </w:pPr>
      <w:bookmarkStart w:id="12" w:name="_Toc7863384"/>
      <w:r>
        <w:t>The Chapters</w:t>
      </w:r>
      <w:bookmarkEnd w:id="12"/>
    </w:p>
    <w:p w14:paraId="00000081" w14:textId="21639163" w:rsidR="00D7661C" w:rsidRDefault="004B2BBB">
      <w:r>
        <w:tab/>
        <w:t>Chapter II seeks to describe a larger context in which to view farms. Farms are tied to a larger landscape. Historic preservation is generally concerned with a site, not the connection between that site and the larger landscape context. This connection involves the broader definition of sustainability, one that looks at the farm and its surroundings. To illustrate, I draw parallels between how architecture is adapting to “green” and sustainable challenges and how historic preservation should look at farms. The ideas of adaptive reuse, greening, and embodied energy are addressed to make the reader aware that there is an underlying connection between saving an individual building (a more typical scope for historic preservation)</w:t>
      </w:r>
      <w:r w:rsidR="003E017A">
        <w:t xml:space="preserve"> </w:t>
      </w:r>
      <w:r>
        <w:t xml:space="preserve">and concern for the larger environment. Farms can both maintain their significance and adapt to changes in production and societal values. </w:t>
      </w:r>
    </w:p>
    <w:p w14:paraId="00000082" w14:textId="17A6B34A" w:rsidR="00D7661C" w:rsidRDefault="004B2BBB">
      <w:r>
        <w:lastRenderedPageBreak/>
        <w:tab/>
        <w:t>This larger context also looks at the Chesapeake Bay. The correlation between</w:t>
      </w:r>
      <w:r w:rsidR="003E017A">
        <w:t xml:space="preserve"> </w:t>
      </w:r>
      <w:r>
        <w:t>the health of the Bay</w:t>
      </w:r>
      <w:r w:rsidR="003E017A">
        <w:t xml:space="preserve"> </w:t>
      </w:r>
      <w:r>
        <w:t>and farming practices is explored. If the Chesapeake Bay is a political priority--an issue that motivates voters and politicians--or consumers decide to place blame on farmers for the condition of the waterways, farms could suffer. There are provisions in the Clean Water Act that could impose stricter regulations on farms which would, in turn, increase the financial burdens of farms. There is also the more likely potential that consumers will actively not support farms that act in a contrary manner to local values. To put it simply, farms cannot alienate consumers.</w:t>
      </w:r>
    </w:p>
    <w:p w14:paraId="00000083" w14:textId="52C3E70C" w:rsidR="00D7661C" w:rsidRDefault="004B2BBB">
      <w:r>
        <w:tab/>
        <w:t>Finally, the chapter looks at some of the challenges that farmers face. Farms suffer from</w:t>
      </w:r>
      <w:r w:rsidR="003E017A">
        <w:t xml:space="preserve"> </w:t>
      </w:r>
      <w:r>
        <w:t>lan</w:t>
      </w:r>
      <w:r w:rsidR="003E017A">
        <w:t xml:space="preserve">d </w:t>
      </w:r>
      <w:r>
        <w:t xml:space="preserve">development </w:t>
      </w:r>
      <w:r w:rsidR="003E017A">
        <w:t xml:space="preserve">pressure </w:t>
      </w:r>
      <w:r>
        <w:t xml:space="preserve">and segmentation; farms become isolated from other farms as population growth spurs more development. Farmers face generational succession issues--who will take over the farm or </w:t>
      </w:r>
      <w:r w:rsidR="00BD5F18">
        <w:t>will</w:t>
      </w:r>
      <w:r>
        <w:t xml:space="preserve"> it</w:t>
      </w:r>
      <w:r w:rsidR="00BD5F18">
        <w:t xml:space="preserve"> be sold</w:t>
      </w:r>
      <w:r>
        <w:t xml:space="preserve"> off so the next generation can have a financial benefit</w:t>
      </w:r>
      <w:r w:rsidR="00BD5F18">
        <w:t>.</w:t>
      </w:r>
      <w:r>
        <w:t xml:space="preserve"> To understand all of the challenges facing farmers and farms, each challenge would have to be looked at individually and this requires more of a scope than this paper allows. Instead, I touch on the general challenges farmers face in order to show that farms are more than a bucolic setting for Sunday drives</w:t>
      </w:r>
      <w:r w:rsidR="00BD5F18">
        <w:t>. They</w:t>
      </w:r>
      <w:r>
        <w:t xml:space="preserve"> are more than a romanticized, back-to-the-land notion</w:t>
      </w:r>
      <w:r w:rsidR="00BD5F18">
        <w:t>. They</w:t>
      </w:r>
      <w:r>
        <w:t xml:space="preserve"> are more than polluters of waterways.</w:t>
      </w:r>
    </w:p>
    <w:p w14:paraId="00000084" w14:textId="56B6C803" w:rsidR="00D7661C" w:rsidRDefault="004B2BBB">
      <w:r>
        <w:tab/>
        <w:t xml:space="preserve">Chapter III more closely examines how farms in the Bay are being asked to change.  Much of the literature is from the fields of conservation, ecology, and biology. In some ways, conservation groups share similar methods, terminology, and goals as historic preservation. They are parallel fields with sometimes conflicting and sometimes congruous goals. Later in this </w:t>
      </w:r>
      <w:r>
        <w:lastRenderedPageBreak/>
        <w:t xml:space="preserve">chapter, I will touch on some of the history between these related fields within the National Park Service. </w:t>
      </w:r>
    </w:p>
    <w:p w14:paraId="00000085" w14:textId="72B8E6E6" w:rsidR="00D7661C" w:rsidRDefault="004B2BBB">
      <w:r>
        <w:tab/>
        <w:t>The fields listed above have helped to develop best management practices (BMPs)</w:t>
      </w:r>
      <w:r w:rsidR="00BD5F18">
        <w:t xml:space="preserve"> </w:t>
      </w:r>
      <w:r>
        <w:t xml:space="preserve">for farms. Two of these best management practices--riparian buffers and conservation tillage--are highlighted in this chapter because they have the most impact on the larger environment but also require the nature </w:t>
      </w:r>
      <w:r w:rsidR="00BD5F18">
        <w:t xml:space="preserve">and appearance </w:t>
      </w:r>
      <w:r>
        <w:t>of the farm to change. This adaptability to change is the heart of the matter, allowing farms to develop</w:t>
      </w:r>
      <w:r w:rsidR="003E017A">
        <w:t>--continue to grow and change--</w:t>
      </w:r>
      <w:r>
        <w:t xml:space="preserve">with less impact to their historic character. There of course need to be limits so that </w:t>
      </w:r>
      <w:r w:rsidR="00BD5F18">
        <w:t xml:space="preserve">the </w:t>
      </w:r>
      <w:r>
        <w:t>defining historic character is maintained, but this is best done in the context of individual farms. Historic preservation needs to look at the proposed changes, BMPs, as well as development, and decide if those are significant enough to challenge the authenticity of the farm.</w:t>
      </w:r>
      <w:r w:rsidR="00BD5F18">
        <w:t xml:space="preserve"> This reminds us that </w:t>
      </w:r>
      <w:r w:rsidR="003D7F5A">
        <w:t xml:space="preserve">farm </w:t>
      </w:r>
      <w:r w:rsidR="00BD5F18">
        <w:t xml:space="preserve">practices need to be forward </w:t>
      </w:r>
      <w:r w:rsidR="003D7F5A">
        <w:t>in historic preservation thinking</w:t>
      </w:r>
      <w:r w:rsidR="00BD5F18">
        <w:t xml:space="preserve"> but also need a place to happen.</w:t>
      </w:r>
    </w:p>
    <w:p w14:paraId="00000086" w14:textId="094CFA0D" w:rsidR="00D7661C" w:rsidRDefault="004B2BBB">
      <w:r>
        <w:tab/>
        <w:t xml:space="preserve">Chapter IV is concerned with the need to incorporate a values-based approach to U.S. historic preservation practice. Current ways of looking at farms are </w:t>
      </w:r>
      <w:r w:rsidR="003E017A">
        <w:t>analyzed</w:t>
      </w:r>
      <w:r>
        <w:t xml:space="preserve"> critically and compared to other approaches to how farms</w:t>
      </w:r>
      <w:r w:rsidR="003E017A">
        <w:t xml:space="preserve"> </w:t>
      </w:r>
      <w:r>
        <w:t>can function while being preserved. This chapter explores examples outside of the U.S. of diverse ways of dealing with large landscapes as potential guides for U.S. practice  such as new practices endorsed by ICOMOS and the Burra Charter.</w:t>
      </w:r>
      <w:r>
        <w:rPr>
          <w:vertAlign w:val="superscript"/>
        </w:rPr>
        <w:footnoteReference w:id="36"/>
      </w:r>
      <w:r>
        <w:t xml:space="preserve"> Notably, the Burra Charter adopts a more progressive, values-based model for the preservation of changing landscapes that identifies significance but allows and acknowledges the </w:t>
      </w:r>
      <w:r>
        <w:lastRenderedPageBreak/>
        <w:t>evolution of a landscape.</w:t>
      </w:r>
      <w:r>
        <w:rPr>
          <w:vertAlign w:val="superscript"/>
        </w:rPr>
        <w:footnoteReference w:id="37"/>
      </w:r>
      <w:r>
        <w:t xml:space="preserve"> While this chapter touches on these outside practices, it recognize</w:t>
      </w:r>
      <w:r w:rsidR="00F04BF0">
        <w:t xml:space="preserve"> </w:t>
      </w:r>
      <w:r>
        <w:t>also the systems that we have currently, such as Traditional Cultural Propert</w:t>
      </w:r>
      <w:r w:rsidR="00F04BF0">
        <w:t>ies</w:t>
      </w:r>
      <w:r>
        <w:t xml:space="preserve"> (TCP</w:t>
      </w:r>
      <w:r w:rsidR="00F04BF0">
        <w:t>s</w:t>
      </w:r>
      <w:r>
        <w:t>) where values-based assessments of the place help to guide what is significant; however, there is little guidance other than how to treat the property.</w:t>
      </w:r>
      <w:r>
        <w:rPr>
          <w:vertAlign w:val="superscript"/>
        </w:rPr>
        <w:footnoteReference w:id="38"/>
      </w:r>
    </w:p>
    <w:p w14:paraId="00000087" w14:textId="4BBC07FB" w:rsidR="00D7661C" w:rsidRDefault="004B2BBB">
      <w:r>
        <w:tab/>
        <w:t xml:space="preserve">It is unlikely that the National Historic Preservation Act of 1966 is going to change any time soon. Therefore, historic preservation needs to work with the tools that we have. Although TCPs are not the perfect fit for farms, their focus on continuing communities and practice does work nicely with farm preservation. I contend that it is the best fit we have currently. Similarly, the cultural landscape model does seem to fit farm preservation, and this model allows some </w:t>
      </w:r>
      <w:r w:rsidR="00F04BF0">
        <w:t>accommodation</w:t>
      </w:r>
      <w:r>
        <w:t xml:space="preserve"> for change; but it does not contain the focus on practice. </w:t>
      </w:r>
    </w:p>
    <w:p w14:paraId="00000088" w14:textId="77777777" w:rsidR="00D7661C" w:rsidRDefault="004B2BBB">
      <w:r>
        <w:tab/>
        <w:t xml:space="preserve">Chapter V gathers the major ideas of the previous chapters. The broad concepts discussed in chapters two through four are not always part of historic preservation thinking, and they are brought together in chapter five. Integrated landscape approach, multi-layer sustainability, values-based approaches are drawn together in the context of farms. </w:t>
      </w:r>
    </w:p>
    <w:p w14:paraId="00000089" w14:textId="23E37253" w:rsidR="00D7661C" w:rsidRDefault="004B2BBB">
      <w:r>
        <w:tab/>
        <w:t xml:space="preserve">Here I also revisit why </w:t>
      </w:r>
      <w:r w:rsidR="00BD5F18">
        <w:t xml:space="preserve">historic </w:t>
      </w:r>
      <w:r>
        <w:t xml:space="preserve">preservation matters to farms. None of </w:t>
      </w:r>
      <w:proofErr w:type="gramStart"/>
      <w:r>
        <w:t>this rethinking matters</w:t>
      </w:r>
      <w:proofErr w:type="gramEnd"/>
      <w:r>
        <w:t xml:space="preserve"> if there is not an audience. It also does not matter if historic preservation does not actually benefit farms. This section will look at the potential benefits of preservation efforts because monetization is important to the sustainability of farms. </w:t>
      </w:r>
    </w:p>
    <w:p w14:paraId="0000008A" w14:textId="5299AC2B" w:rsidR="00D7661C" w:rsidRDefault="004B2BBB" w:rsidP="009D59A3">
      <w:pPr>
        <w:pStyle w:val="Heading2"/>
      </w:pPr>
      <w:bookmarkStart w:id="13" w:name="_Toc7863385"/>
      <w:r>
        <w:lastRenderedPageBreak/>
        <w:t>Conclusion</w:t>
      </w:r>
      <w:bookmarkEnd w:id="13"/>
    </w:p>
    <w:p w14:paraId="0000008B" w14:textId="35E12ED8" w:rsidR="00D7661C" w:rsidRDefault="004B2BBB">
      <w:r>
        <w:tab/>
      </w:r>
      <w:r w:rsidR="00C078CC">
        <w:t xml:space="preserve">Historic preservation is an evolving practice and needs to keep changing as communities redefine what is historically significant to them. A shift in how we engage with and think about places is necessary to keep preservation relevant to diverse groups. </w:t>
      </w:r>
      <w:r>
        <w:t>This thesis is a critique of how historic preservation sees farms. I believe that many people engaged with farm or landscape preservation (either through historic preservation or natural resource management) may already be engaging with the topics that I am proposing through this work. The complexity of landscape preservation may not be as obvious to historic preservation practitioners not directly involved in it or just getting started in the field. Understanding a changing world and how we see landscapes and buildings will inform future historic preservation practice, and how values are measured.</w:t>
      </w:r>
    </w:p>
    <w:p w14:paraId="0000008D" w14:textId="2AA1976B" w:rsidR="00D7661C" w:rsidRPr="00115E79" w:rsidRDefault="004B2BBB">
      <w:pPr>
        <w:rPr>
          <w:sz w:val="6"/>
          <w:szCs w:val="6"/>
        </w:rPr>
      </w:pPr>
      <w:r>
        <w:br w:type="page"/>
      </w:r>
    </w:p>
    <w:p w14:paraId="1336EA33" w14:textId="77777777" w:rsidR="00115E79" w:rsidRDefault="00115E79" w:rsidP="00115E79">
      <w:pPr>
        <w:pStyle w:val="Heading1"/>
      </w:pPr>
    </w:p>
    <w:p w14:paraId="3235D299" w14:textId="77777777" w:rsidR="00115E79" w:rsidRDefault="00115E79" w:rsidP="00115E79">
      <w:pPr>
        <w:pStyle w:val="Heading1"/>
      </w:pPr>
    </w:p>
    <w:p w14:paraId="60299E50" w14:textId="37AB5CE6" w:rsidR="006672D1" w:rsidRDefault="006672D1" w:rsidP="006672D1">
      <w:pPr>
        <w:rPr>
          <w:sz w:val="6"/>
          <w:szCs w:val="6"/>
        </w:rPr>
      </w:pPr>
    </w:p>
    <w:p w14:paraId="4417BB5F" w14:textId="134C48E9" w:rsidR="006672D1" w:rsidRDefault="006672D1" w:rsidP="006672D1">
      <w:pPr>
        <w:rPr>
          <w:sz w:val="6"/>
          <w:szCs w:val="6"/>
        </w:rPr>
      </w:pPr>
    </w:p>
    <w:p w14:paraId="7095BCD4" w14:textId="77777777" w:rsidR="006672D1" w:rsidRPr="006672D1" w:rsidRDefault="006672D1" w:rsidP="006672D1">
      <w:pPr>
        <w:rPr>
          <w:sz w:val="6"/>
          <w:szCs w:val="6"/>
        </w:rPr>
      </w:pPr>
    </w:p>
    <w:p w14:paraId="00000090" w14:textId="7E42A4FD" w:rsidR="00D7661C" w:rsidRDefault="004B2BBB" w:rsidP="00115E79">
      <w:pPr>
        <w:pStyle w:val="Heading1"/>
      </w:pPr>
      <w:bookmarkStart w:id="14" w:name="_Toc7806070"/>
      <w:bookmarkStart w:id="15" w:name="_Toc7863386"/>
      <w:r>
        <w:t>CHAPTER II</w:t>
      </w:r>
      <w:bookmarkEnd w:id="14"/>
      <w:bookmarkEnd w:id="15"/>
    </w:p>
    <w:p w14:paraId="00000092" w14:textId="034F9B8F" w:rsidR="00D7661C" w:rsidRDefault="004B2BBB" w:rsidP="00115E79">
      <w:pPr>
        <w:pStyle w:val="Heading1"/>
      </w:pPr>
      <w:bookmarkStart w:id="16" w:name="_Toc7108162"/>
      <w:bookmarkStart w:id="17" w:name="_Toc7863387"/>
      <w:r>
        <w:t>THE BIGGER PICTURE: BEYOND THE FENCELINE</w:t>
      </w:r>
      <w:bookmarkEnd w:id="16"/>
      <w:bookmarkEnd w:id="17"/>
    </w:p>
    <w:p w14:paraId="1D07C3F0" w14:textId="77777777" w:rsidR="00EA53EF" w:rsidRDefault="00EA53EF"/>
    <w:p w14:paraId="39895823" w14:textId="77777777" w:rsidR="00EA53EF" w:rsidRDefault="00EA53EF"/>
    <w:p w14:paraId="00000093" w14:textId="2A1AF968" w:rsidR="00D7661C" w:rsidRDefault="004B2BBB">
      <w:r>
        <w:tab/>
        <w:t xml:space="preserve">Farms are more than just a place of activity for those that live and work on them. They are part of the landscape that defines rural areas. Cities grow, and suburban sprawl encroaches on these open spaces, making them scarcer and by consequence, more valuable. Their value goes beyond commerce and the visual beauty. Farms create habitats and are an environmental resource worth protecting and nourishing. Working farms are part of local food and products generation. In fact, farms are part of a larger economy, tied to markets and secondary manufacturing of goods--turning cotton or wool into new products is one example. Working farms are important for understanding agrarian heritage and also these current value needs. </w:t>
      </w:r>
    </w:p>
    <w:p w14:paraId="00000094" w14:textId="12A55BB7" w:rsidR="00D7661C" w:rsidRDefault="004B2BBB">
      <w:pPr>
        <w:ind w:firstLine="720"/>
      </w:pPr>
      <w:r>
        <w:t xml:space="preserve">All the above listed benefits derived from farms make them worthy of preservation and the attention of historic preservation practitioners. My focus for this thesis is more on the environmental issues that are part of the activities of farming. The Chesapeake Bay region is working to restore the health of the Bay and its tributaries. This has brought polluters into the news headlines, including farms. I believe that farm preservation needs to look more closely at environmental factors, because these may have a large impact on the appearance and viability of farms. Preservationists looking to protect farmland need to recognize the larger interconnected </w:t>
      </w:r>
      <w:r>
        <w:lastRenderedPageBreak/>
        <w:t xml:space="preserve">nature of the landscapes around farms to further influence best farming practices and encourage changes that do not negatively disrupt the environment. </w:t>
      </w:r>
    </w:p>
    <w:p w14:paraId="00000095" w14:textId="6CBC2CDB" w:rsidR="00D7661C" w:rsidRDefault="004B2BBB">
      <w:r>
        <w:tab/>
        <w:t>The following chapter examines factors that influence the survival of farms. To do this, we will first look at unique ways for preservationists to engage with objects</w:t>
      </w:r>
      <w:r w:rsidR="00F95376">
        <w:t>—the spaces and places that represent an interaction between people and their environment</w:t>
      </w:r>
      <w:r>
        <w:t xml:space="preserve">. This </w:t>
      </w:r>
      <w:r w:rsidR="00F54982">
        <w:t>integrated landscape approach</w:t>
      </w:r>
      <w:r>
        <w:t xml:space="preserve"> looks at the larger context around farms and how they </w:t>
      </w:r>
      <w:proofErr w:type="gramStart"/>
      <w:r>
        <w:t>influence</w:t>
      </w:r>
      <w:proofErr w:type="gramEnd"/>
      <w:r>
        <w:t xml:space="preserve"> the surrounding environment. This is an important lens for historic preservation (historic preservation) practitioners to understand how peoples</w:t>
      </w:r>
      <w:r w:rsidR="005F3E7C">
        <w:t>’</w:t>
      </w:r>
      <w:r>
        <w:t xml:space="preserve"> perceptions of an historic resource such as a farm are impacted--for better or worse--by how the farm affects its surroundings. To that end, the next section will cover some of the negative impacts on the Chesapeake Bay watershed that have been traced back to farms.</w:t>
      </w:r>
    </w:p>
    <w:p w14:paraId="00000096" w14:textId="57DDDE33" w:rsidR="00D7661C" w:rsidRDefault="004B2BBB">
      <w:r>
        <w:tab/>
        <w:t>As we look more closely at farms, it is important to acknowledge the diverse types of farms in the Chesapeake watershed which raise dairy, beef, poultry, soybeans, and corn,</w:t>
      </w:r>
      <w:r w:rsidR="005F3E7C">
        <w:t xml:space="preserve"> </w:t>
      </w:r>
      <w:r>
        <w:t xml:space="preserve">using methods ranging from factory to organic and historic to modern. As diverse as the types of farms are the challenges that face farmers. While some farmers are able to look at the larger environmental relationships with the farm, many have other more immediate concerns regarding succession and farm survivability. Regardless of where the pressure on the farm comes from, recognizing these pressures will help </w:t>
      </w:r>
      <w:r w:rsidR="00F54982">
        <w:t xml:space="preserve">historic </w:t>
      </w:r>
      <w:r>
        <w:t xml:space="preserve">preservationists better understand the perspectives of farmers and come up with preservation plans that collaborate with other professional fields to aid in the continued health of farms. </w:t>
      </w:r>
    </w:p>
    <w:p w14:paraId="00000097" w14:textId="742BD396" w:rsidR="00D7661C" w:rsidRDefault="004B2BBB">
      <w:pPr>
        <w:ind w:firstLine="720"/>
      </w:pPr>
      <w:r>
        <w:t xml:space="preserve">It is important to establish the heritage value of farms, reaffirming their importance to the landscape as scenery, the place in </w:t>
      </w:r>
      <w:r w:rsidR="005F3E7C">
        <w:t>food ways</w:t>
      </w:r>
      <w:r>
        <w:t xml:space="preserve">, and role in history. This is why farms should be a </w:t>
      </w:r>
      <w:r>
        <w:lastRenderedPageBreak/>
        <w:t>priority for historic preservation professionals. It is easy to lose sight of these positive aspects when also trying to address the negatives. Both do exist in the interaction between the farm and the larger landscape, the challenge to preservation is to be part of mitigating the negative while promoting the positive aspects of the farms.</w:t>
      </w:r>
    </w:p>
    <w:p w14:paraId="00000098" w14:textId="59970C92" w:rsidR="00D7661C" w:rsidRDefault="004B2BBB" w:rsidP="009D59A3">
      <w:pPr>
        <w:pStyle w:val="Heading2"/>
      </w:pPr>
      <w:bookmarkStart w:id="18" w:name="_Toc7863388"/>
      <w:r>
        <w:t>The Integrated Landscape Approach</w:t>
      </w:r>
      <w:bookmarkEnd w:id="18"/>
    </w:p>
    <w:p w14:paraId="00000099" w14:textId="6657B772" w:rsidR="00D7661C" w:rsidRDefault="004B2BBB">
      <w:r>
        <w:tab/>
        <w:t>The challenges to farms are as real as th</w:t>
      </w:r>
      <w:r w:rsidR="00F54982">
        <w:t>ose facing</w:t>
      </w:r>
      <w:r>
        <w:t xml:space="preserve"> the Chesapeake Bay. Therefore, those involved in the Bay restoration need to be as cognizant of the </w:t>
      </w:r>
      <w:r w:rsidR="00F54982">
        <w:t>threats</w:t>
      </w:r>
      <w:r>
        <w:t xml:space="preserve"> to farms, as those involved in farm preservation are to the challenges to the Bay. The two preservation issues are intertwined and need to be considered in conjunction to find solutions that satisfy both efforts. Historic preservation is site based, there is a singular object or place</w:t>
      </w:r>
      <w:r w:rsidR="00F95376">
        <w:t>--including a historic district--</w:t>
      </w:r>
      <w:r>
        <w:t>that is being addressed. Historic preservation defines the parameters of the site or object as part of the</w:t>
      </w:r>
      <w:r w:rsidR="005F3E7C">
        <w:t xml:space="preserve"> </w:t>
      </w:r>
      <w:r>
        <w:t xml:space="preserve">defining characteristics. </w:t>
      </w:r>
      <w:r w:rsidR="005F3E7C">
        <w:t>Generally,</w:t>
      </w:r>
      <w:r>
        <w:t xml:space="preserve"> the field is less concerned with the area outside the site unless it has a negative effect on the site, this is represented by Section 106 Review</w:t>
      </w:r>
      <w:r>
        <w:rPr>
          <w:vertAlign w:val="superscript"/>
        </w:rPr>
        <w:footnoteReference w:id="39"/>
      </w:r>
      <w:r>
        <w:t xml:space="preserve">, where visual and audible effects of federal actions are considered for potential adverse effects on the site. </w:t>
      </w:r>
    </w:p>
    <w:p w14:paraId="0000009A" w14:textId="77777777" w:rsidR="00D7661C" w:rsidRDefault="004B2BBB">
      <w:pPr>
        <w:ind w:firstLine="720"/>
      </w:pPr>
      <w:r>
        <w:t xml:space="preserve">Landscapes, with a focus on farms for this thesis, do not operate in a vacuum and therefore historic preservation needs to consider the larger environmental setting. It is important for all disciplines looking at systems--whether social or environmental--to acknowledge interconnectivity between seemingly distinct groups. This interconnected nature is not always apparent, but the consequences can be significant. It is not easy to trace a decline in eelgrass at </w:t>
      </w:r>
      <w:r>
        <w:lastRenderedPageBreak/>
        <w:t xml:space="preserve">the mouth of the Chesapeake Bay back to farms in Pennsylvania, but the connection does exist. Farm activity and eelgrass are linked. </w:t>
      </w:r>
    </w:p>
    <w:p w14:paraId="0000009B" w14:textId="4ED15A44" w:rsidR="00D7661C" w:rsidRDefault="004B2BBB">
      <w:pPr>
        <w:ind w:firstLine="720"/>
      </w:pPr>
      <w:r>
        <w:t xml:space="preserve">Looking beyond the conservation of </w:t>
      </w:r>
      <w:r w:rsidR="00F95376">
        <w:t>an</w:t>
      </w:r>
      <w:r>
        <w:t xml:space="preserve"> object takes a broader view not typically addressed in preservation. It is advisable to look at other fields to see how they approach the complex relationship between interconnected places. This will make historic preservation practice more holistic as the site or object will work with the larger landscape instead of being a possible detriment. </w:t>
      </w:r>
    </w:p>
    <w:p w14:paraId="0000009C" w14:textId="72D47999" w:rsidR="00D7661C" w:rsidRDefault="004B2BBB">
      <w:pPr>
        <w:ind w:firstLine="720"/>
      </w:pPr>
      <w:r>
        <w:t>The landscape approach is commonly used in ecology, a way of looking at landscape-scale areas and trying to address their functionality. Sayer et al. explain that the landscape approach “seek</w:t>
      </w:r>
      <w:r w:rsidR="005F3E7C">
        <w:t>[</w:t>
      </w:r>
      <w:r>
        <w:t>s</w:t>
      </w:r>
      <w:r w:rsidR="005F3E7C">
        <w:t>]</w:t>
      </w:r>
      <w:r>
        <w:t xml:space="preserve"> to provide tools and concepts for allocating and managing land to achieve social, economic, and environmental objectives in areas where agriculture, mining, and other productive land uses compete with environmental and biodiversity goals.”</w:t>
      </w:r>
      <w:r>
        <w:rPr>
          <w:vertAlign w:val="superscript"/>
        </w:rPr>
        <w:footnoteReference w:id="40"/>
      </w:r>
      <w:r>
        <w:t xml:space="preserve"> </w:t>
      </w:r>
    </w:p>
    <w:p w14:paraId="0000009D" w14:textId="74FEA8D8" w:rsidR="00D7661C" w:rsidRDefault="004B2BBB">
      <w:pPr>
        <w:ind w:firstLine="720"/>
      </w:pPr>
      <w:r>
        <w:t>Sayer et al. go on to acknowledge the complexity of landscapes and that the interests listed above will not always have similar values, and therefore managing the landscape becomes a wicked problem.</w:t>
      </w:r>
      <w:r>
        <w:rPr>
          <w:vertAlign w:val="superscript"/>
        </w:rPr>
        <w:footnoteReference w:id="41"/>
      </w:r>
      <w:r>
        <w:t xml:space="preserve"> In Chapter </w:t>
      </w:r>
      <w:proofErr w:type="gramStart"/>
      <w:r w:rsidR="006672D1">
        <w:t>I</w:t>
      </w:r>
      <w:r w:rsidR="00F54982">
        <w:t>.</w:t>
      </w:r>
      <w:r w:rsidR="006672D1">
        <w:t>,</w:t>
      </w:r>
      <w:r>
        <w:t>,</w:t>
      </w:r>
      <w:proofErr w:type="gramEnd"/>
      <w:r>
        <w:t xml:space="preserve"> I proposed that farm preservation is a wicked problem in itself. It is easier for the historic preservation practitioner to look at the farm as a singular object, contained within the fences, and move on. This is not historic preservation for me, as it does not set up the long-term viability of a farm that relies on a larger environment for its ultimate success and longevity.</w:t>
      </w:r>
    </w:p>
    <w:p w14:paraId="0000009E" w14:textId="77777777" w:rsidR="00D7661C" w:rsidRDefault="004B2BBB">
      <w:pPr>
        <w:ind w:firstLine="720"/>
      </w:pPr>
      <w:r>
        <w:lastRenderedPageBreak/>
        <w:t xml:space="preserve">Freeman, et al. developed the landscape approach further and refer to their version as the Integrated Landscape Approach (ILA). Their approach lists “five characterizing concepts for an integrated landscape approach” in the article </w:t>
      </w:r>
      <w:r>
        <w:rPr>
          <w:i/>
        </w:rPr>
        <w:t>Operationalizing the Integrated Landscape Approach in Practice</w:t>
      </w:r>
      <w:r>
        <w:t xml:space="preserve">: </w:t>
      </w:r>
    </w:p>
    <w:p w14:paraId="0000009F" w14:textId="77777777" w:rsidR="00D7661C" w:rsidRDefault="004B2BBB" w:rsidP="00303428">
      <w:pPr>
        <w:numPr>
          <w:ilvl w:val="0"/>
          <w:numId w:val="1"/>
        </w:numPr>
      </w:pPr>
      <w:r>
        <w:t xml:space="preserve">Multifunctionality: recognizing and trying to achieve multiple objectives arising from different aspects of the landscape; </w:t>
      </w:r>
    </w:p>
    <w:p w14:paraId="000000A0" w14:textId="77777777" w:rsidR="00D7661C" w:rsidRDefault="004B2BBB" w:rsidP="00303428">
      <w:pPr>
        <w:numPr>
          <w:ilvl w:val="0"/>
          <w:numId w:val="1"/>
        </w:numPr>
      </w:pPr>
      <w:r>
        <w:t xml:space="preserve">Interdisciplinarity and </w:t>
      </w:r>
      <w:proofErr w:type="spellStart"/>
      <w:r>
        <w:t>transdisciplinarity</w:t>
      </w:r>
      <w:proofErr w:type="spellEnd"/>
      <w:r>
        <w:t>: engaging with different disciplines and stakeholders to better address issues in the landscape such as “conflicting land values and land uses”;</w:t>
      </w:r>
    </w:p>
    <w:p w14:paraId="000000A1" w14:textId="77777777" w:rsidR="00D7661C" w:rsidRDefault="004B2BBB" w:rsidP="00303428">
      <w:pPr>
        <w:numPr>
          <w:ilvl w:val="0"/>
          <w:numId w:val="1"/>
        </w:numPr>
      </w:pPr>
      <w:r>
        <w:t>Participation: again, engaging with stakeholders through consultation, engagement and giving participants decision making powers;</w:t>
      </w:r>
    </w:p>
    <w:p w14:paraId="000000A2" w14:textId="77777777" w:rsidR="00D7661C" w:rsidRDefault="004B2BBB" w:rsidP="00303428">
      <w:pPr>
        <w:numPr>
          <w:ilvl w:val="0"/>
          <w:numId w:val="1"/>
        </w:numPr>
      </w:pPr>
      <w:r>
        <w:t>Complexity: recognizing the whole landscape at the same time as the different parts and functions that comprise the landscape;</w:t>
      </w:r>
    </w:p>
    <w:p w14:paraId="000000A3" w14:textId="77777777" w:rsidR="00D7661C" w:rsidRDefault="004B2BBB" w:rsidP="00303428">
      <w:pPr>
        <w:numPr>
          <w:ilvl w:val="0"/>
          <w:numId w:val="1"/>
        </w:numPr>
      </w:pPr>
      <w:r>
        <w:t>Sustainability: finding a balance between human need and environmental limits and recognizing that these are not static conditions.</w:t>
      </w:r>
      <w:r>
        <w:rPr>
          <w:vertAlign w:val="superscript"/>
        </w:rPr>
        <w:footnoteReference w:id="42"/>
      </w:r>
    </w:p>
    <w:p w14:paraId="000000A4" w14:textId="77777777" w:rsidR="00D7661C" w:rsidRDefault="00D7661C">
      <w:pPr>
        <w:ind w:firstLine="720"/>
      </w:pPr>
    </w:p>
    <w:p w14:paraId="0C4D9216" w14:textId="68A05895" w:rsidR="005F3E7C" w:rsidRDefault="004B2BBB">
      <w:pPr>
        <w:ind w:firstLine="720"/>
      </w:pPr>
      <w:r>
        <w:t xml:space="preserve">Historic preservation is positioned to work well with the ILA through points 1, 2 and 4. Points 3 and 5 are those elements that I propose historic preservation should be more engaged with. In the multifunctionality of a large landscape, historic preservation is charged with saving physical places that show human activity while ecology focuses on the functioning ecosystems. </w:t>
      </w:r>
      <w:r>
        <w:lastRenderedPageBreak/>
        <w:t xml:space="preserve">At times, the human interaction with a natural landscape (valued as a cultural landscape by historic preservation) are at odds with what </w:t>
      </w:r>
      <w:proofErr w:type="gramStart"/>
      <w:r>
        <w:t>ecologists</w:t>
      </w:r>
      <w:proofErr w:type="gramEnd"/>
      <w:r>
        <w:t xml:space="preserve"> think is best for the natural environment. Farms are places within the larger landscape where such conflicts arise. </w:t>
      </w:r>
      <w:r w:rsidR="00F54982">
        <w:t>Hum</w:t>
      </w:r>
      <w:r w:rsidR="007648C1">
        <w:t>an interaction with a place</w:t>
      </w:r>
      <w:r>
        <w:t xml:space="preserve"> is just one piece of what happens at the landscape level, but it is one that </w:t>
      </w:r>
      <w:r w:rsidR="007648C1">
        <w:t xml:space="preserve">historic </w:t>
      </w:r>
      <w:r>
        <w:t xml:space="preserve">preservationists consider important to help convey a shared history to future generations. For this reason, historic preservation needs to take a seat at the table when landscape-scale conversations are happening. </w:t>
      </w:r>
    </w:p>
    <w:p w14:paraId="000000A5" w14:textId="55B10732" w:rsidR="00D7661C" w:rsidRDefault="004B2BBB">
      <w:pPr>
        <w:ind w:firstLine="720"/>
      </w:pPr>
      <w:r>
        <w:t xml:space="preserve">Concept four recognizes the complexity at the landscape level. Historic preservationists are needed not only to advocate for historic properties like farms but also to be part of discussions about how farms can work better with the larger landscape. Through this cross disciplinary dialogue--that importantly includes stakeholders directly and indirectly affected (point three </w:t>
      </w:r>
      <w:r w:rsidR="005F3E7C">
        <w:t>above)</w:t>
      </w:r>
      <w:r w:rsidR="006672D1">
        <w:t xml:space="preserve"> </w:t>
      </w:r>
      <w:r w:rsidR="005F3E7C">
        <w:t>--</w:t>
      </w:r>
      <w:r>
        <w:t>we can preserve the historic integrity of farms while keeping them financially and environmentally sustainable (point f</w:t>
      </w:r>
      <w:r w:rsidR="007648C1">
        <w:t>ive</w:t>
      </w:r>
      <w:r>
        <w:t xml:space="preserve">). The presence of </w:t>
      </w:r>
      <w:r w:rsidR="007648C1">
        <w:t xml:space="preserve">historic </w:t>
      </w:r>
      <w:r>
        <w:t>preservationists in these discussions will help to underscore the significance of farms in our culture as well as in the landscapes that contain them. Historic preservation adds more context to the landscape through highlighting the presence of people and their effect on the landscape but also the continuing practices that are part of a community’s heritage.</w:t>
      </w:r>
    </w:p>
    <w:p w14:paraId="000000A6" w14:textId="77777777" w:rsidR="00D7661C" w:rsidRDefault="004B2BBB">
      <w:pPr>
        <w:ind w:firstLine="720"/>
      </w:pPr>
      <w:r>
        <w:t xml:space="preserve">Farms are large “objects” for preservationists to engage with. They have many systems and components that make up the whole. These </w:t>
      </w:r>
      <w:r w:rsidR="007648C1">
        <w:t>components</w:t>
      </w:r>
      <w:r>
        <w:t xml:space="preserve"> are buildings and fence lines but also landforms and tree lines. These components make up the evidence of engagement between a human and the land. The ILA recognizes that--in environmental terms--the existence (or not) of </w:t>
      </w:r>
      <w:r>
        <w:lastRenderedPageBreak/>
        <w:t xml:space="preserve">fences and boundaries make little difference to nature which tends to bypass or overcome these obstacles. These boundaries are arbitrary from the perspective of wildlife, flora, and fauna. </w:t>
      </w:r>
      <w:r>
        <w:tab/>
      </w:r>
    </w:p>
    <w:p w14:paraId="000000A7" w14:textId="2C597021" w:rsidR="00D7661C" w:rsidRDefault="004B2BBB">
      <w:pPr>
        <w:ind w:firstLine="720"/>
      </w:pPr>
      <w:r>
        <w:t xml:space="preserve">The ILA also encourages preservationists to look at the negatives as well as the positives associated with a place. Historic preservationists act to save objects that larger society sees as culturally significant. </w:t>
      </w:r>
      <w:r w:rsidR="007648C1">
        <w:t>H</w:t>
      </w:r>
      <w:r>
        <w:t xml:space="preserve">istoric preservation also seeks to represent both aspects of history. </w:t>
      </w:r>
      <w:r w:rsidR="00F95376">
        <w:t>Generally,</w:t>
      </w:r>
      <w:r>
        <w:t xml:space="preserve"> we “save” sites that have positive connotations but some are important historic reminders. An example of this is the preservation of sites where “bad” things happened such as battlefields. There are other negatives that need consideration when looking at sites, ones that reflect current societal values</w:t>
      </w:r>
      <w:r w:rsidR="00F95376">
        <w:t xml:space="preserve"> such as sites that pollute the environment</w:t>
      </w:r>
      <w:r>
        <w:t>.</w:t>
      </w:r>
    </w:p>
    <w:p w14:paraId="000000A8" w14:textId="77777777" w:rsidR="00D7661C" w:rsidRDefault="004B2BBB">
      <w:pPr>
        <w:rPr>
          <w:vertAlign w:val="superscript"/>
        </w:rPr>
      </w:pPr>
      <w:r>
        <w:tab/>
        <w:t xml:space="preserve">A version of ILA thinking is integrating with historic preservation practice when we look at saving old buildings. Encouraged by the philosophy of sustainability, thinking beyond the object (or place) and considering the larger environment (or context) is a developing way of thinking for </w:t>
      </w:r>
      <w:r w:rsidR="007648C1">
        <w:t xml:space="preserve">historic </w:t>
      </w:r>
      <w:r>
        <w:t>preservationists. Historic preservation professionals argue that part of the value in an older building is that energy and materials are in place and should be reused, instead of expending energy to remove the existing structure, create new materials, and then construct a new building.</w:t>
      </w:r>
      <w:r>
        <w:rPr>
          <w:vertAlign w:val="superscript"/>
        </w:rPr>
        <w:footnoteReference w:id="43"/>
      </w:r>
      <w:r>
        <w:t xml:space="preserve"> Destruction and rebuilding from new materials requires energy and materials and </w:t>
      </w:r>
      <w:proofErr w:type="spellStart"/>
      <w:r>
        <w:t>Rypkema</w:t>
      </w:r>
      <w:proofErr w:type="spellEnd"/>
      <w:r>
        <w:t xml:space="preserve"> (and others) discusses the loss of “embodied energy” through the replacement of elements such as windows.</w:t>
      </w:r>
      <w:r>
        <w:rPr>
          <w:vertAlign w:val="superscript"/>
        </w:rPr>
        <w:footnoteReference w:id="44"/>
      </w:r>
    </w:p>
    <w:p w14:paraId="000000A9" w14:textId="77777777" w:rsidR="00D7661C" w:rsidRDefault="004B2BBB">
      <w:pPr>
        <w:ind w:firstLine="720"/>
      </w:pPr>
      <w:r>
        <w:lastRenderedPageBreak/>
        <w:t xml:space="preserve">We do not generally think of embodied energy in farms from a historic preservation perspective. I believe that there is more to the embodied energy discussion than the structure, its relationship to the source of materials and deposit of spent materials. The argument for adaptive reuse may be couched in terms of saving </w:t>
      </w:r>
      <w:r>
        <w:rPr>
          <w:i/>
        </w:rPr>
        <w:t>a</w:t>
      </w:r>
      <w:r>
        <w:t xml:space="preserve"> structure but the argument is fully realized when acknowledging the underlying larger environmental issue caused by the creation and destruction of materials and places. This is historic preservation indirectly acknowledging a larger landscape that is affected by the creation and destruction of buildings. Likewise, materials removed from the building have to go somewhere else. Whether the materials are coming or going, this has an impact on the source and destination, affecting those environments that would otherwise have no relation to the site. The existing building has a value that touches on areas well beyond the lot lines--just as farms go beyond their bounds. There are positive aspects to material sourcing and creation like added jobs but also costs such as depleted resources and energy expenditure. These distant effects may not be evident at the building site but are evident on a larger regional and global level. There are also negatives associated with keeping an old structure as is. Older buildings are likely to contain discontinued or banned materials (asbestos, lead paint), systems that are inefficient or dirty (coal furnaces, drafty spaces), making them less appealing, and potentially hazardous to occupants. Abatements and upgrades also affect a larger landscape as these materials need to go somewhere and be replaced by something to make the structure function and comply with current values.</w:t>
      </w:r>
    </w:p>
    <w:p w14:paraId="000000AA" w14:textId="20B0114F" w:rsidR="00D7661C" w:rsidRDefault="004B2BBB">
      <w:pPr>
        <w:ind w:firstLine="720"/>
      </w:pPr>
      <w:r>
        <w:t xml:space="preserve">Historic Preservation needs to </w:t>
      </w:r>
      <w:r w:rsidR="005F3E7C">
        <w:t>consider</w:t>
      </w:r>
      <w:r>
        <w:t xml:space="preserve"> this big picture approach if farm preservation is going to be viable. In the following pages, I will address different concepts of sustainability, one of which recognizes that farms are part of the ILA. historic preservation can continue to look at </w:t>
      </w:r>
      <w:r>
        <w:lastRenderedPageBreak/>
        <w:t>farms as individual objects, but</w:t>
      </w:r>
      <w:r w:rsidR="005F3E7C">
        <w:t xml:space="preserve"> </w:t>
      </w:r>
      <w:r>
        <w:t xml:space="preserve">object-centric approaches are myopic; they are not furthering the historic preservation practice or encouraging the future viability of the farm. Using the ILA, historic preservation achieves a more holistic understanding of farms. The hope being that better understanding will lead to better preservation in both historic preservation and </w:t>
      </w:r>
      <w:r w:rsidR="006672D1">
        <w:t>n</w:t>
      </w:r>
      <w:r w:rsidR="007648C1">
        <w:t xml:space="preserve">atural </w:t>
      </w:r>
      <w:r w:rsidR="006672D1">
        <w:t>r</w:t>
      </w:r>
      <w:r w:rsidR="007648C1">
        <w:t xml:space="preserve">esource </w:t>
      </w:r>
      <w:r w:rsidR="006672D1">
        <w:t>m</w:t>
      </w:r>
      <w:r w:rsidR="007648C1">
        <w:t>anagement preservation</w:t>
      </w:r>
      <w:r>
        <w:t>. Otherwise there is no point in listing or otherwise recognizing a historically significant place if it is not able to continue due to outside pressures.</w:t>
      </w:r>
    </w:p>
    <w:p w14:paraId="000000AB" w14:textId="23DF54D4" w:rsidR="00D7661C" w:rsidRDefault="004B2BBB" w:rsidP="009D59A3">
      <w:pPr>
        <w:pStyle w:val="Heading2"/>
      </w:pPr>
      <w:bookmarkStart w:id="19" w:name="_Toc7863389"/>
      <w:r>
        <w:t>Farms and the Chesapeake Bay</w:t>
      </w:r>
      <w:bookmarkEnd w:id="19"/>
    </w:p>
    <w:p w14:paraId="000000AC" w14:textId="5BB28527" w:rsidR="00D7661C" w:rsidRDefault="004B2BBB">
      <w:r>
        <w:tab/>
        <w:t>The Chesapeake Bay and its tributaries are an example of an ecosystem affected by farm activities. The contaminated runoff from farms entering the waterways is one of the Chesapeake’s largest contributing factors to pollution.</w:t>
      </w:r>
      <w:r>
        <w:rPr>
          <w:vertAlign w:val="superscript"/>
        </w:rPr>
        <w:footnoteReference w:id="45"/>
      </w:r>
      <w:r>
        <w:t xml:space="preserve"> Nitrogen and phosphates from fields leach into waterways and enter the Bay causing algal blooms and other significant impacts that reduce water quality. This pollution has, at times, prompted state officials to declare the Bay unfit for recreational activities, such as swimming and fishing; these consequences are in addition to the environmental repercussions that are less obvious to recreational users of the Bay.</w:t>
      </w:r>
      <w:r>
        <w:rPr>
          <w:vertAlign w:val="superscript"/>
        </w:rPr>
        <w:footnoteReference w:id="46"/>
      </w:r>
      <w:r>
        <w:t xml:space="preserve"> The Chesapeake and its tributaries are a </w:t>
      </w:r>
      <w:r w:rsidR="007648C1">
        <w:t>“</w:t>
      </w:r>
      <w:r w:rsidR="005F3E7C">
        <w:t>common</w:t>
      </w:r>
      <w:r w:rsidR="007648C1">
        <w:t>”</w:t>
      </w:r>
      <w:r>
        <w:t xml:space="preserve">, accessible for use in fisheries and recreation, as well as commercial transportation. </w:t>
      </w:r>
    </w:p>
    <w:p w14:paraId="000000AD" w14:textId="7489336D" w:rsidR="00D7661C" w:rsidRDefault="004B2BBB">
      <w:pPr>
        <w:pStyle w:val="Heading3"/>
      </w:pPr>
      <w:bookmarkStart w:id="20" w:name="_Toc7863390"/>
      <w:r>
        <w:lastRenderedPageBreak/>
        <w:t>Farms, Waterways and the Concept of Commons</w:t>
      </w:r>
      <w:bookmarkEnd w:id="20"/>
    </w:p>
    <w:p w14:paraId="000000AE" w14:textId="359B223B" w:rsidR="00D7661C" w:rsidRDefault="004B2BBB">
      <w:r>
        <w:tab/>
        <w:t>The idea of “the commons” in the US is part of American colonial history from the era when Europeans were settling these shores. Travelling through New England, one still comes across town commons in places like Boston, Lexington, and Concord, all in Massachusetts. These early commons were the center of the town, bordered by housing lots and often containing a meeting house, “cemeteries, military training areas, and the ‘close’ in which livestock were kept before and after grazing on common pastures outside of town.”</w:t>
      </w:r>
      <w:r>
        <w:rPr>
          <w:vertAlign w:val="superscript"/>
        </w:rPr>
        <w:footnoteReference w:id="47"/>
      </w:r>
      <w:r>
        <w:t xml:space="preserve"> While we easily recognize these town greens as commons, today we often miss other examples of commons, such as waterways. Bryan Burke defines “</w:t>
      </w:r>
      <w:r>
        <w:rPr>
          <w:i/>
        </w:rPr>
        <w:t>common resources</w:t>
      </w:r>
      <w:r>
        <w:t xml:space="preserve"> as any natural resource from which individuals directly accrue benefit while sharing costs collectively” and includes areas not easily bounded where “the </w:t>
      </w:r>
      <w:r>
        <w:rPr>
          <w:i/>
        </w:rPr>
        <w:t xml:space="preserve">biophysical </w:t>
      </w:r>
      <w:r>
        <w:t xml:space="preserve">characteristics of a resource can create a common despite societal attempts to privatize that resource, such as with large bodies of water, rivers, fish, and other wildlife and air that are called </w:t>
      </w:r>
      <w:r>
        <w:rPr>
          <w:i/>
        </w:rPr>
        <w:t>common pool resources</w:t>
      </w:r>
      <w:r>
        <w:t>.”</w:t>
      </w:r>
      <w:r>
        <w:rPr>
          <w:vertAlign w:val="superscript"/>
        </w:rPr>
        <w:footnoteReference w:id="48"/>
      </w:r>
    </w:p>
    <w:p w14:paraId="000000AF" w14:textId="607A023F" w:rsidR="00D7661C" w:rsidRDefault="004B2BBB">
      <w:r>
        <w:tab/>
        <w:t>Some scholars look to waterways and fisheries as examples of commons because they were once thought of as inexhaustible resources.</w:t>
      </w:r>
      <w:r>
        <w:rPr>
          <w:vertAlign w:val="superscript"/>
        </w:rPr>
        <w:footnoteReference w:id="49"/>
      </w:r>
      <w:r>
        <w:t xml:space="preserve"> The Chesapeake Bay is not owned privately but managed and regulated by states. Generally speaking, anyone who can access the Chesapeake and its tributaries can use them for recreation and occupation. Parts of the oyster </w:t>
      </w:r>
      <w:r>
        <w:lastRenderedPageBreak/>
        <w:t>fishery are based on the commons--the areas of the bottom where oysters breed are predominantly held as a commons--but the fishery is regulated by the states.</w:t>
      </w:r>
      <w:r>
        <w:rPr>
          <w:vertAlign w:val="superscript"/>
        </w:rPr>
        <w:footnoteReference w:id="50"/>
      </w:r>
      <w:r>
        <w:t xml:space="preserve"> For the purposes of this paper, </w:t>
      </w:r>
      <w:proofErr w:type="gramStart"/>
      <w:r>
        <w:t>It</w:t>
      </w:r>
      <w:proofErr w:type="gramEnd"/>
      <w:r>
        <w:t xml:space="preserve"> is important to understand that the Chesapeake Bay and its tributaries are commons held for the benefit of the many, and the actions of private landowners are degrading </w:t>
      </w:r>
      <w:r w:rsidR="007648C1">
        <w:t>the waterway</w:t>
      </w:r>
      <w:r>
        <w:t>.</w:t>
      </w:r>
    </w:p>
    <w:p w14:paraId="000000B0" w14:textId="3180BF70" w:rsidR="00D7661C" w:rsidRDefault="004B2BBB">
      <w:pPr>
        <w:ind w:firstLine="720"/>
      </w:pPr>
      <w:r>
        <w:t>When a stakeholder treats a common poorly, this negatively affects the larger community. Burke argues that if “resource users are not aware of the degradation, there cannot be a dilemma between pursuing individual gain and avoiding collective ruin because the users lack knowledge of the collective costs.”</w:t>
      </w:r>
      <w:r>
        <w:rPr>
          <w:vertAlign w:val="superscript"/>
        </w:rPr>
        <w:footnoteReference w:id="51"/>
      </w:r>
      <w:r>
        <w:t xml:space="preserve"> Savage and Ribaudo,  referencing work by Robinson and Napier, state that “the traditional diffusion model for practice adoption asserts that potential adopters cannot be expected to adopt innovations unless they become aware a problem exists”.</w:t>
      </w:r>
      <w:r>
        <w:rPr>
          <w:vertAlign w:val="superscript"/>
        </w:rPr>
        <w:footnoteReference w:id="52"/>
      </w:r>
      <w:r>
        <w:t xml:space="preserve"> </w:t>
      </w:r>
      <w:r w:rsidR="00056C9D">
        <w:t>S</w:t>
      </w:r>
      <w:r>
        <w:t>tudies of farmers show a lack of understanding that there is a link between farm practices and water quality. Savage and Ribaudo touch on the idea of commons, suggesting that farmers will likely amend practices when they see demand for water quality (and are convinced that their practices have an impact on this) and that conservation practices will “increase net returns.”</w:t>
      </w:r>
      <w:r>
        <w:rPr>
          <w:vertAlign w:val="superscript"/>
        </w:rPr>
        <w:footnoteReference w:id="53"/>
      </w:r>
    </w:p>
    <w:p w14:paraId="000000B1" w14:textId="63C5F452" w:rsidR="00D7661C" w:rsidRDefault="004B2BBB">
      <w:pPr>
        <w:ind w:firstLine="720"/>
      </w:pPr>
      <w:r>
        <w:lastRenderedPageBreak/>
        <w:t xml:space="preserve">The integrated landscape model for sustainability relates to farms and the Chesapeake Bay. While not always directly connected, the passage of water from farms to waterways links them. The relationship between a farm and the larger landscape is not obviously a historic preservation issue. If historic preservation practitioners look at farms through an ILA lens, we see how water physically ties farms to other spaces. </w:t>
      </w:r>
      <w:r w:rsidR="00056C9D">
        <w:t>H</w:t>
      </w:r>
      <w:r>
        <w:t>istoric preservation</w:t>
      </w:r>
      <w:r w:rsidR="00056C9D">
        <w:t xml:space="preserve"> </w:t>
      </w:r>
      <w:r>
        <w:t>practitioners do think about contexts for objects</w:t>
      </w:r>
      <w:r w:rsidR="007648C1">
        <w:t xml:space="preserve"> (discussed in the earlier IL</w:t>
      </w:r>
      <w:r w:rsidR="00A9267E">
        <w:t>A</w:t>
      </w:r>
      <w:r w:rsidR="007648C1">
        <w:t xml:space="preserve"> section of this chapter)</w:t>
      </w:r>
      <w:r>
        <w:t>, and I believe that the larger environment is the context for the farm. This connection is more than just through economic factors. There are many other connections: wildlife, pollen and seeds, pollution and smells carried by the wind, and water moving through the farm to waterways. When we see the connections as the link between the farm and a larger context, we see that historic preservation efforts on a farm need to at least consider the roll that the farm plays in the larger landscape.</w:t>
      </w:r>
    </w:p>
    <w:p w14:paraId="000000B2" w14:textId="45462A3A" w:rsidR="00D7661C" w:rsidRDefault="004B2BBB">
      <w:pPr>
        <w:pStyle w:val="Heading3"/>
      </w:pPr>
      <w:bookmarkStart w:id="21" w:name="_Toc7863391"/>
      <w:r>
        <w:t xml:space="preserve">Farms and the Larger Environment </w:t>
      </w:r>
      <w:r w:rsidR="00056C9D">
        <w:t>of</w:t>
      </w:r>
      <w:r>
        <w:t xml:space="preserve"> the </w:t>
      </w:r>
      <w:r w:rsidR="00056C9D">
        <w:t xml:space="preserve">Chesapeake </w:t>
      </w:r>
      <w:r>
        <w:t>Bay</w:t>
      </w:r>
      <w:bookmarkEnd w:id="21"/>
    </w:p>
    <w:p w14:paraId="000000B3" w14:textId="63B362C8" w:rsidR="00D7661C" w:rsidRDefault="004B2BBB">
      <w:pPr>
        <w:ind w:firstLine="720"/>
      </w:pPr>
      <w:r>
        <w:t xml:space="preserve">There are several different types of farms in the Chesapeake watershed. In Maryland, </w:t>
      </w:r>
      <w:proofErr w:type="spellStart"/>
      <w:r>
        <w:t>Montaire</w:t>
      </w:r>
      <w:proofErr w:type="spellEnd"/>
      <w:r w:rsidR="00F95376">
        <w:t xml:space="preserve"> Farms</w:t>
      </w:r>
      <w:r>
        <w:t>, Tyson, and Perdue have extensive industrial chicken operations to satisfy a growing demand for poultry.</w:t>
      </w:r>
      <w:r>
        <w:rPr>
          <w:vertAlign w:val="superscript"/>
        </w:rPr>
        <w:footnoteReference w:id="54"/>
      </w:r>
      <w:r>
        <w:t xml:space="preserve"> The 2012 Agriculture Census ranked Maryland number </w:t>
      </w:r>
      <w:r w:rsidR="00056C9D">
        <w:t>seven</w:t>
      </w:r>
      <w:r>
        <w:t xml:space="preserve"> in the nation for production of broiler chickens, and the “quick stats” reported on January 13, 2018 </w:t>
      </w:r>
      <w:r>
        <w:lastRenderedPageBreak/>
        <w:t>list production of over 306 million head of chicken.</w:t>
      </w:r>
      <w:r>
        <w:rPr>
          <w:vertAlign w:val="superscript"/>
        </w:rPr>
        <w:footnoteReference w:id="55"/>
      </w:r>
      <w:r>
        <w:t xml:space="preserve"> In Maryland, chickens are the main agricultural industry, but farms also produce soybeans, wheat, feed corn and cattle for beef and dairy.</w:t>
      </w:r>
      <w:r>
        <w:rPr>
          <w:vertAlign w:val="superscript"/>
        </w:rPr>
        <w:footnoteReference w:id="56"/>
      </w:r>
      <w:r>
        <w:t xml:space="preserve"> Of Maryland’s 12,256 farms, 10,132 are owned by a family or individual.</w:t>
      </w:r>
      <w:r>
        <w:rPr>
          <w:vertAlign w:val="superscript"/>
        </w:rPr>
        <w:footnoteReference w:id="57"/>
      </w:r>
    </w:p>
    <w:p w14:paraId="000000B4" w14:textId="1DF7D950" w:rsidR="00D7661C" w:rsidRDefault="004B2BBB">
      <w:r>
        <w:tab/>
        <w:t>Comparatively, Pennsylvania derives most of their agricultural income from the dairy industry, ranked as the number five producer in the nation.</w:t>
      </w:r>
      <w:r>
        <w:rPr>
          <w:vertAlign w:val="superscript"/>
        </w:rPr>
        <w:footnoteReference w:id="58"/>
      </w:r>
      <w:r>
        <w:t xml:space="preserve"> Pennsylvania farms also produce a variety of crops like soybeans and corn and livestock such as poultry and hogs.</w:t>
      </w:r>
      <w:r>
        <w:rPr>
          <w:vertAlign w:val="superscript"/>
        </w:rPr>
        <w:footnoteReference w:id="59"/>
      </w:r>
      <w:r>
        <w:t xml:space="preserve"> The 2012 Agricultural Census listed 59,309 farms of which 52,390 are owned by a family or individual.</w:t>
      </w:r>
      <w:r>
        <w:rPr>
          <w:vertAlign w:val="superscript"/>
        </w:rPr>
        <w:footnoteReference w:id="60"/>
      </w:r>
      <w:r>
        <w:t xml:space="preserve"> </w:t>
      </w:r>
    </w:p>
    <w:p w14:paraId="000000B5" w14:textId="3C3ACBC0" w:rsidR="00D7661C" w:rsidRDefault="004B2BBB">
      <w:r>
        <w:tab/>
      </w:r>
      <w:r w:rsidR="00F95376">
        <w:t>O</w:t>
      </w:r>
      <w:r>
        <w:t xml:space="preserve">wnership </w:t>
      </w:r>
      <w:r w:rsidR="00F95376">
        <w:t xml:space="preserve">of a farm </w:t>
      </w:r>
      <w:r>
        <w:t xml:space="preserve">by an industrial-scale producer should not be a barrier </w:t>
      </w:r>
      <w:r w:rsidR="007648C1">
        <w:t xml:space="preserve">or deterrent </w:t>
      </w:r>
      <w:r>
        <w:t xml:space="preserve">to </w:t>
      </w:r>
      <w:r w:rsidR="007648C1">
        <w:t>historic</w:t>
      </w:r>
      <w:r>
        <w:t xml:space="preserve"> preservation</w:t>
      </w:r>
      <w:r w:rsidR="00F95376">
        <w:t xml:space="preserve">. The aesthetic or corporate nature of the large producer may </w:t>
      </w:r>
      <w:r w:rsidR="007648C1">
        <w:t xml:space="preserve">actually </w:t>
      </w:r>
      <w:r w:rsidR="00F95376">
        <w:t>make it important to historic preservation. Conversely,</w:t>
      </w:r>
      <w:r>
        <w:t xml:space="preserve"> </w:t>
      </w:r>
      <w:r w:rsidR="00042233">
        <w:t>just because a farm may fit the “ideal” for a landscape to engage with, does not mean that the farm has a benign roll in the larger landscape. S</w:t>
      </w:r>
      <w:r>
        <w:t xml:space="preserve">mall farms are not without responsibility for polluting the watershed. It is easy to assume that it </w:t>
      </w:r>
      <w:r>
        <w:lastRenderedPageBreak/>
        <w:t>is the larger industrial producers that are the problem. The Bay Journal reports that the Environmental Protection Agency would have to start “regulating farms with as few as 50 cows to cover half of the dairy manure produced in [Lancaster] county” when they currently regulate farms with at least 700 head.</w:t>
      </w:r>
      <w:r>
        <w:rPr>
          <w:vertAlign w:val="superscript"/>
        </w:rPr>
        <w:footnoteReference w:id="61"/>
      </w:r>
      <w:r>
        <w:t xml:space="preserve"> This area of Pennsylvania is also home to a large Amish population. Normally outsiders idealize the Amish for embodying a simpler, cleaner way of life, but they are also contributors to polluted waterways. They have many small individual farms that when added up contribute heavily to the runoff entering the Chesapeake watershed.</w:t>
      </w:r>
      <w:r>
        <w:rPr>
          <w:vertAlign w:val="superscript"/>
        </w:rPr>
        <w:footnoteReference w:id="62"/>
      </w:r>
    </w:p>
    <w:p w14:paraId="000000B6" w14:textId="4C9CE745" w:rsidR="00D7661C" w:rsidRDefault="004B2BBB">
      <w:r>
        <w:tab/>
        <w:t>One threat to farms and the greater environment in the Mid-Atlantic is the projected annual increase of rainfall. In 2018, Baltimore Washington International Airport received 71.82” of rain, almost 30” more than the yearly average of approximately 42”.</w:t>
      </w:r>
      <w:r>
        <w:rPr>
          <w:vertAlign w:val="superscript"/>
        </w:rPr>
        <w:footnoteReference w:id="63"/>
      </w:r>
      <w:r>
        <w:t xml:space="preserve"> With significantly greater rainfall becoming a common trend, more water is moving from fields to waterways, increasing the potential for erosion from farms and polluted runoff entering </w:t>
      </w:r>
      <w:r w:rsidR="007648C1">
        <w:t>streams and rivers</w:t>
      </w:r>
      <w:r>
        <w:t>. Satellite images of the lower Mid-Atlantic after Hurricane Florence showed swollen rivers and sediment rushing into the Atlantic.</w:t>
      </w:r>
      <w:r>
        <w:rPr>
          <w:vertAlign w:val="superscript"/>
        </w:rPr>
        <w:footnoteReference w:id="64"/>
      </w:r>
      <w:r>
        <w:t xml:space="preserve"> </w:t>
      </w:r>
      <w:r w:rsidR="007648C1">
        <w:t>Runoff c</w:t>
      </w:r>
      <w:r>
        <w:t xml:space="preserve">arrying sediment is an issue because of the use of </w:t>
      </w:r>
      <w:r>
        <w:lastRenderedPageBreak/>
        <w:t>fertilizers and pesticides on fields, lawns and elsewhere, as well as the use of excess salts from treating roads. Rain overwhelmed farms’ retention ponds that held fecal matter from pigs, which ended up in the waterways.</w:t>
      </w:r>
      <w:r>
        <w:rPr>
          <w:vertAlign w:val="superscript"/>
        </w:rPr>
        <w:footnoteReference w:id="65"/>
      </w:r>
      <w:r>
        <w:t xml:space="preserve"> The media coverage of this issue put the relationship between farmers and the larger environment at the top of citizens’ news feeds. While the harshest attention focused on farmers in North Carolina, it is a reminder to inhabitants of the Chesapeake region that we face similar issues, a balance between farmland and recovering damaged ecosystems. The media coverage eventually goes away, but the problems continue. These problems are not limited to the Chesapeake region or the East Coast, but this is where some of the longest efforts to recover a waterway in the U.S. have taken place.</w:t>
      </w:r>
    </w:p>
    <w:p w14:paraId="000000B7" w14:textId="62497142" w:rsidR="00D7661C" w:rsidRDefault="004B2BBB">
      <w:r>
        <w:tab/>
        <w:t>Farming in the Chesapeake region helps to define the landscape but also challenges the larger environment. The sources for pollution addressed in the Clean Water Act generally fall into two categories. The first are point sources--industrial operation sites--and the second are nonpoint sources--less concentrated, diffuse sites. The 2010 Clean Water Act sets a pollution diet, and, where waterways are impaired, states must set Total Maximum Daily Loads (TMDL) and monitor them.</w:t>
      </w:r>
      <w:r>
        <w:rPr>
          <w:vertAlign w:val="superscript"/>
        </w:rPr>
        <w:footnoteReference w:id="66"/>
      </w:r>
      <w:r>
        <w:t xml:space="preserve"> Agriculture straddles the point and nonpoint line with the regulation of large feeding operations while other smaller operations are either voluntary or unregulated with regards to the TMDL.</w:t>
      </w:r>
      <w:r>
        <w:rPr>
          <w:vertAlign w:val="superscript"/>
        </w:rPr>
        <w:footnoteReference w:id="67"/>
      </w:r>
      <w:r>
        <w:t xml:space="preserve"> Both types of operations have potential interest to historic preservation, </w:t>
      </w:r>
      <w:r>
        <w:lastRenderedPageBreak/>
        <w:t>depending on their historic value. There is an opportunity for preservationists to work with nonpoint sources as well as point sources to try and mitigate downstream impacts. A negative public perception of farms as environmental polluters works against historic preservation goals of protecting and maintaining farms as historically significant parts of the landscape.</w:t>
      </w:r>
    </w:p>
    <w:p w14:paraId="000000B8" w14:textId="70832C90" w:rsidR="00D7661C" w:rsidRDefault="004B2BBB">
      <w:r>
        <w:tab/>
        <w:t>Agriculture in general is one of the largest contributors of nitrogen, phosphorus, and sediment to the Chesapeake Bay watershed from “surface applied fertilizers, manures/litter, sludge, and animal operations through surface runoff, groundwater, and volatilization and subsequent deposition.”</w:t>
      </w:r>
      <w:r>
        <w:rPr>
          <w:vertAlign w:val="superscript"/>
        </w:rPr>
        <w:footnoteReference w:id="68"/>
      </w:r>
      <w:r>
        <w:t xml:space="preserve"> In 2009, when the Obama administration worked to revitalize Bay</w:t>
      </w:r>
      <w:r w:rsidR="00056C9D">
        <w:t xml:space="preserve"> </w:t>
      </w:r>
      <w:r>
        <w:t>restoration efforts, farms</w:t>
      </w:r>
      <w:r w:rsidR="00056C9D">
        <w:t xml:space="preserve"> </w:t>
      </w:r>
      <w:r>
        <w:t>were identified as the single largest source of nutrients entering the Bay, even when compared to the discharge from sewage plants.</w:t>
      </w:r>
      <w:r>
        <w:rPr>
          <w:vertAlign w:val="superscript"/>
        </w:rPr>
        <w:footnoteReference w:id="69"/>
      </w:r>
      <w:r>
        <w:t xml:space="preserve"> Much of the problem comes from the over-application of fertilizer in the form of manure that is hard to otherwise dispose of from dense livestock facilities or the inappropriate application of chemical fertilizers.</w:t>
      </w:r>
      <w:r>
        <w:rPr>
          <w:vertAlign w:val="superscript"/>
        </w:rPr>
        <w:footnoteReference w:id="70"/>
      </w:r>
      <w:r>
        <w:t xml:space="preserve"> Intensification of farm production, whether it is chickens, soybeans, or cattle, takes an increased toll on the larger environment over conventional farming methods. This can be attributed to the desire to produce more from a single acre and therefore having to work the land harder and add more chemicals. This returns to the complexities of the Green Revolution discussed in the first chapter.</w:t>
      </w:r>
    </w:p>
    <w:p w14:paraId="000000B9" w14:textId="3A6124E6" w:rsidR="00D7661C" w:rsidRDefault="004B2BBB">
      <w:r>
        <w:lastRenderedPageBreak/>
        <w:tab/>
        <w:t xml:space="preserve">When it rains, nitrogen, phosphorus, and sediments leach into the waterways. Harding et al. explain that “climate variability significantly affects </w:t>
      </w:r>
      <w:proofErr w:type="spellStart"/>
      <w:r>
        <w:rPr>
          <w:i/>
        </w:rPr>
        <w:t>chl</w:t>
      </w:r>
      <w:proofErr w:type="spellEnd"/>
      <w:r>
        <w:rPr>
          <w:i/>
        </w:rPr>
        <w:t xml:space="preserve">-a </w:t>
      </w:r>
      <w:r>
        <w:t xml:space="preserve">[chlorophyll </w:t>
      </w:r>
      <w:r>
        <w:rPr>
          <w:i/>
        </w:rPr>
        <w:t>a</w:t>
      </w:r>
      <w:r>
        <w:t>] in the Bay via freshwater runoff and associated delivery of sediments and nutrients from an extensive watershed.”</w:t>
      </w:r>
      <w:r>
        <w:rPr>
          <w:vertAlign w:val="superscript"/>
        </w:rPr>
        <w:footnoteReference w:id="71"/>
      </w:r>
      <w:r>
        <w:t xml:space="preserve"> In a dry year, one with low rainfall, fewer of the nutrients are transported into the watershed.</w:t>
      </w:r>
      <w:r>
        <w:rPr>
          <w:vertAlign w:val="superscript"/>
        </w:rPr>
        <w:footnoteReference w:id="72"/>
      </w:r>
      <w:r>
        <w:t xml:space="preserve"> With 2018 being exceptionally wet in the Chesapeake region, more nutrients are expected. The “excess nutrients” contribute to algae growth which become blooms that die off and through the process of decomposition,</w:t>
      </w:r>
      <w:r w:rsidR="00056C9D">
        <w:t xml:space="preserve"> </w:t>
      </w:r>
      <w:r>
        <w:t>they deplete the water of oxygen creating a “dead zone.”</w:t>
      </w:r>
      <w:r>
        <w:rPr>
          <w:vertAlign w:val="superscript"/>
        </w:rPr>
        <w:footnoteReference w:id="73"/>
      </w:r>
    </w:p>
    <w:p w14:paraId="000000BA" w14:textId="77777777" w:rsidR="00D7661C" w:rsidRDefault="004B2BBB">
      <w:r>
        <w:tab/>
        <w:t>Dead zones have a devastating effect on the Chesapeake. The initial algae bloom when combined with sediment can block the light from reaching the bottom, making it hard for grasses to thrive, which crabs need to reproduce successfully.</w:t>
      </w:r>
      <w:r>
        <w:rPr>
          <w:vertAlign w:val="superscript"/>
        </w:rPr>
        <w:footnoteReference w:id="74"/>
      </w:r>
      <w:r>
        <w:t xml:space="preserve"> Once the water is robbed of oxygen through the decomposition of the algae, fish suffocate and die.</w:t>
      </w:r>
      <w:r>
        <w:rPr>
          <w:vertAlign w:val="superscript"/>
        </w:rPr>
        <w:footnoteReference w:id="75"/>
      </w:r>
      <w:r>
        <w:t xml:space="preserve"> The duration and severity of the low oxygen dead zone influences the living population of the Chesapeake--the grasses, oysters, crabs, and fish--that relies on the health of the environment to survive. A low-level event results in a migration of mobile species from one area to another while in a more sustained event, “mass </w:t>
      </w:r>
      <w:r>
        <w:lastRenderedPageBreak/>
        <w:t>mortality occurs in all but the most tolerant of species.”</w:t>
      </w:r>
      <w:r>
        <w:rPr>
          <w:vertAlign w:val="superscript"/>
        </w:rPr>
        <w:footnoteReference w:id="76"/>
      </w:r>
      <w:r>
        <w:t xml:space="preserve"> It follows that there are consequences for the fishing industry, both commercial and recreational. An impaired fishing industry ripples out through the larger seafood sales and the processing markets which employs about 24,000 people.</w:t>
      </w:r>
      <w:r>
        <w:rPr>
          <w:vertAlign w:val="superscript"/>
        </w:rPr>
        <w:footnoteReference w:id="77"/>
      </w:r>
      <w:r>
        <w:t xml:space="preserve"> </w:t>
      </w:r>
    </w:p>
    <w:p w14:paraId="000000BB" w14:textId="18717193" w:rsidR="00D7661C" w:rsidRDefault="004B2BBB">
      <w:pPr>
        <w:ind w:firstLine="720"/>
      </w:pPr>
      <w:r>
        <w:t xml:space="preserve">The effects of farm pollution--combined with other sources--are felt far beyond the </w:t>
      </w:r>
      <w:r w:rsidR="000B75E6">
        <w:t>fence line</w:t>
      </w:r>
      <w:r>
        <w:t>. The resources and industries that must deal with these diminished environments spread the effects even farther. The farmer spreading excess manure to get rid of it on his crops and the person wondering why crabs are smaller than they remember do not have to see the connection between the two for it to exist. The Clean Water Act, the main federal law that addresses water pollution, recognizes these connections. The 2010 Clean Water Act sets a pollution diet, and, where waterways are impaired, states must set Total Maximum Daily Loads (TMDL) and monitor them.</w:t>
      </w:r>
      <w:r>
        <w:rPr>
          <w:vertAlign w:val="superscript"/>
        </w:rPr>
        <w:footnoteReference w:id="78"/>
      </w:r>
      <w:r>
        <w:t xml:space="preserve"> </w:t>
      </w:r>
    </w:p>
    <w:p w14:paraId="000000BC" w14:textId="122CFDED" w:rsidR="00D7661C" w:rsidRDefault="004B2BBB" w:rsidP="009D59A3">
      <w:pPr>
        <w:pStyle w:val="Heading2"/>
      </w:pPr>
      <w:bookmarkStart w:id="22" w:name="_Toc7863392"/>
      <w:r>
        <w:t>Farms and Two Views of Sustainability</w:t>
      </w:r>
      <w:bookmarkEnd w:id="22"/>
    </w:p>
    <w:p w14:paraId="000000BD" w14:textId="77777777" w:rsidR="00D7661C" w:rsidRDefault="004B2BBB">
      <w:r>
        <w:tab/>
        <w:t xml:space="preserve">Farms are dynamic in their operation and varied in their ownership. Their preservation must take different forms to accommodate these differences. What makes them </w:t>
      </w:r>
      <w:r>
        <w:rPr>
          <w:i/>
        </w:rPr>
        <w:t>sustainable</w:t>
      </w:r>
      <w:r>
        <w:t xml:space="preserve"> is also multilayered and varied. Stephen </w:t>
      </w:r>
      <w:proofErr w:type="spellStart"/>
      <w:r>
        <w:t>Viederman</w:t>
      </w:r>
      <w:proofErr w:type="spellEnd"/>
      <w:r>
        <w:t xml:space="preserve"> uses a broad definition of sustainability where the vision reflects what people want for the future and therefore requires the input of “poets and </w:t>
      </w:r>
      <w:r>
        <w:lastRenderedPageBreak/>
        <w:t>painters,” of “experts and activists,” as well as “economists and ecologists.”</w:t>
      </w:r>
      <w:r>
        <w:rPr>
          <w:vertAlign w:val="superscript"/>
        </w:rPr>
        <w:footnoteReference w:id="79"/>
      </w:r>
      <w:r>
        <w:t xml:space="preserve"> </w:t>
      </w:r>
      <w:proofErr w:type="spellStart"/>
      <w:r>
        <w:t>Viederman’s</w:t>
      </w:r>
      <w:proofErr w:type="spellEnd"/>
      <w:r>
        <w:t xml:space="preserve"> definition of sustainability--which I adopt for this thesis--is: “... a community’s control and prudent use of capital--all forms of capital: nature’s capital, human capital, human-created, social capital, and cultural capital--to ensure, to the degree possible, that present and future generations can attain a high degree of economic security and achieve democracy while maintaining the integrity of the ecological systems upon which all life and all production depends.”</w:t>
      </w:r>
      <w:r>
        <w:rPr>
          <w:vertAlign w:val="superscript"/>
        </w:rPr>
        <w:footnoteReference w:id="80"/>
      </w:r>
      <w:r>
        <w:t xml:space="preserve"> </w:t>
      </w:r>
    </w:p>
    <w:p w14:paraId="000000BE" w14:textId="738B0869" w:rsidR="00D7661C" w:rsidRDefault="004B2BBB">
      <w:pPr>
        <w:ind w:firstLine="720"/>
      </w:pPr>
      <w:r>
        <w:t>Even those who actively work in the field of sustainability, such as ecologists, broadly define the term. Michael Weinstein defined sustainable science as “addressing the fundamental character of interactions between nature and society and society’s capacity to guide those interactions along sustainable trajectories.”</w:t>
      </w:r>
      <w:r>
        <w:rPr>
          <w:vertAlign w:val="superscript"/>
        </w:rPr>
        <w:footnoteReference w:id="81"/>
      </w:r>
      <w:r>
        <w:t xml:space="preserve"> Farms can either be interpreted as an ecosystem to themselves, as </w:t>
      </w:r>
      <w:r w:rsidR="00FC4B33">
        <w:t xml:space="preserve">historic </w:t>
      </w:r>
      <w:r>
        <w:t>preservation currently sees them, or as part of a larger landscape, or regional model, as the integrated landscape approach (ILA) does. For purposes of sustainability, farms are not an ecosystem contained, they are tied and depend</w:t>
      </w:r>
      <w:r w:rsidR="00056C9D">
        <w:t>e</w:t>
      </w:r>
      <w:r>
        <w:t>nt on the larger environment as well, thus influencing that larger landscape. The ILA recognizes a landscape as a “complex social-ecological system, usually made up of a mosaic of different land uses.”</w:t>
      </w:r>
      <w:r>
        <w:rPr>
          <w:vertAlign w:val="superscript"/>
        </w:rPr>
        <w:footnoteReference w:id="82"/>
      </w:r>
      <w:r>
        <w:t xml:space="preserve"> The idea of a landscape being a mosaic recognizes that there is an interconnected nature to landscapes. Depending on how broad the scale used, the level of connectivity and related parts changes.</w:t>
      </w:r>
    </w:p>
    <w:p w14:paraId="000000BF" w14:textId="77777777" w:rsidR="00D7661C" w:rsidRDefault="004B2BBB">
      <w:pPr>
        <w:ind w:firstLine="720"/>
      </w:pPr>
      <w:r>
        <w:lastRenderedPageBreak/>
        <w:t>Those concerned about sustainability can invite the field of historic preservation to the discussion as experts and activists, but also through the shared goal of providing the future with something of the past. William Murtagh, the first keeper of the National Register of Historic Places, said “</w:t>
      </w:r>
      <w:r>
        <w:rPr>
          <w:highlight w:val="white"/>
        </w:rPr>
        <w:t>...at its best, preservation engages the past in a conversation with the present over a mutual concern for the future.”</w:t>
      </w:r>
      <w:r>
        <w:rPr>
          <w:highlight w:val="white"/>
          <w:vertAlign w:val="superscript"/>
        </w:rPr>
        <w:footnoteReference w:id="83"/>
      </w:r>
      <w:r>
        <w:rPr>
          <w:highlight w:val="white"/>
        </w:rPr>
        <w:t xml:space="preserve"> This is what preservationists should aim to do when working in cooperation with other fields to transition farms to more sustainable models. Historic preservation interests are best served when the significance of a place passes on to successive generations; with farms, preservation is best carried out by embracing change that will help farms succeed into the future even at the sacrifice of some historic integrity.</w:t>
      </w:r>
    </w:p>
    <w:p w14:paraId="000000C0" w14:textId="5F0AAE64" w:rsidR="00D7661C" w:rsidRDefault="004B2BBB">
      <w:pPr>
        <w:ind w:firstLine="720"/>
      </w:pPr>
      <w:r>
        <w:t xml:space="preserve">This large context argues that farms do not operate in a vacuum. What happens on a farm does not always stay on the farm and that affects both the farm itself (the immediate vicinity) and areas beyond the farm (the larger landscape). Therefore, farm sustainability is not limited to financially </w:t>
      </w:r>
      <w:r w:rsidR="00056C9D">
        <w:t>viability</w:t>
      </w:r>
      <w:r>
        <w:t xml:space="preserve"> into the future. The article “Scope and Precision of Sustainability Assessment Approaches to Food Systems”</w:t>
      </w:r>
      <w:r w:rsidRPr="00056C9D">
        <w:rPr>
          <w:i/>
        </w:rPr>
        <w:t xml:space="preserve"> </w:t>
      </w:r>
      <w:r>
        <w:t>by Schader et al.</w:t>
      </w:r>
      <w:r w:rsidR="00056C9D">
        <w:t xml:space="preserve"> </w:t>
      </w:r>
      <w:r>
        <w:t>lays out two models for addressing food system sustainability, which also works well as a general sustainability model for farms</w:t>
      </w:r>
      <w:r w:rsidR="00042233">
        <w:t>. T</w:t>
      </w:r>
      <w:r w:rsidR="00CB1057">
        <w:t>hey write the following</w:t>
      </w:r>
      <w:r>
        <w:t xml:space="preserve">: </w:t>
      </w:r>
    </w:p>
    <w:p w14:paraId="000000C1" w14:textId="77777777" w:rsidR="00D7661C" w:rsidRDefault="004B2BBB" w:rsidP="00CB1057">
      <w:pPr>
        <w:numPr>
          <w:ilvl w:val="0"/>
          <w:numId w:val="4"/>
        </w:numPr>
      </w:pPr>
      <w:r>
        <w:t xml:space="preserve">The business or farm perspective of sustainability describes whether the farm, as an economic entity, is resilient enough to use its natural, social, and economic </w:t>
      </w:r>
      <w:r>
        <w:lastRenderedPageBreak/>
        <w:t>resources without depleting them and is also able to cope with possible future changes in the societal, economic, and environmental framework.</w:t>
      </w:r>
      <w:r>
        <w:rPr>
          <w:vertAlign w:val="superscript"/>
        </w:rPr>
        <w:footnoteReference w:id="84"/>
      </w:r>
      <w:r>
        <w:t xml:space="preserve"> and </w:t>
      </w:r>
    </w:p>
    <w:p w14:paraId="000000C2" w14:textId="77777777" w:rsidR="00D7661C" w:rsidRDefault="004B2BBB" w:rsidP="00CB1057">
      <w:pPr>
        <w:numPr>
          <w:ilvl w:val="0"/>
          <w:numId w:val="4"/>
        </w:numPr>
      </w:pPr>
      <w:r>
        <w:t xml:space="preserve">The societal perspective, as defined in our report </w:t>
      </w:r>
      <w:r>
        <w:rPr>
          <w:i/>
        </w:rPr>
        <w:t xml:space="preserve">Our Common Future </w:t>
      </w:r>
      <w:r>
        <w:t>(WCED 1987),</w:t>
      </w:r>
      <w:r>
        <w:rPr>
          <w:vertAlign w:val="superscript"/>
        </w:rPr>
        <w:footnoteReference w:id="85"/>
      </w:r>
      <w:r>
        <w:t xml:space="preserve"> assesses whether a farm contributes to a sustainable development of society. This means that the assessments focus on the impacts of farm management on the economic, social, and environmental resources of society. These impacts can be either positive, i.e., services delivered, or negative, i.e., damages or costs induced. The societal perspective is often also employed in the concept of multifunctionality of agriculture (OECD 2001).</w:t>
      </w:r>
      <w:r>
        <w:rPr>
          <w:vertAlign w:val="superscript"/>
        </w:rPr>
        <w:footnoteReference w:id="86"/>
      </w:r>
      <w:r>
        <w:rPr>
          <w:vertAlign w:val="superscript"/>
        </w:rPr>
        <w:footnoteReference w:id="87"/>
      </w:r>
    </w:p>
    <w:p w14:paraId="000000C3" w14:textId="3D7257DB" w:rsidR="00D7661C" w:rsidRDefault="004B2BBB">
      <w:r>
        <w:t xml:space="preserve">The first aspect illustrates the need for a farm to be sustainable financially now and into the future. This is likely the dominant model, as farmers can often find themselves living closer to the margins of financial success. The second model works well with the ILA, by acknowledging that the sustainability of a farm is tied to factors other than those seen on a day-to-day basis through normal business operations. This connects to the earlier discussion about how players in a system do not always know the impact they have on the larger environment. Historic preservationists need to be aware of both models when working with farms since success in both models is important for farms to be truly be sustainable as defined above by </w:t>
      </w:r>
      <w:proofErr w:type="spellStart"/>
      <w:r>
        <w:t>Viederman</w:t>
      </w:r>
      <w:proofErr w:type="spellEnd"/>
      <w:r>
        <w:t>.</w:t>
      </w:r>
    </w:p>
    <w:p w14:paraId="000000C4" w14:textId="1C79C10C" w:rsidR="00D7661C" w:rsidRDefault="004B2BBB">
      <w:r>
        <w:lastRenderedPageBreak/>
        <w:tab/>
        <w:t xml:space="preserve">As historic preservationists address farms in the U.S., they must focus more on the societal perspective of sustainability. Because farms are part of a larger physical environment, </w:t>
      </w:r>
      <w:r w:rsidR="00FC4B33">
        <w:t xml:space="preserve">knowing </w:t>
      </w:r>
      <w:r>
        <w:t xml:space="preserve">their impact on the larger landscape is vital. If the negative ecological/environmental effects of a farm outweigh the positive, then this also compromises the cultural value of the farm; consequently, historic preservation efforts may end up working against societal will. I contend that societal will is important to maintaining sustainability from the </w:t>
      </w:r>
      <w:r>
        <w:rPr>
          <w:i/>
        </w:rPr>
        <w:t>societal perspective.</w:t>
      </w:r>
      <w:r>
        <w:t xml:space="preserve"> While this perspective is not a traditional historic preservation goal--normally we look at the site not the surroundings--I believe that societal perspective is key to a farms’ long-term survival. If a farm loses its societal value due to its negative ecological/environmental aspects, it is no longer sustainable regardless of whether it is in the National Register or protected by easement</w:t>
      </w:r>
      <w:r w:rsidR="00042233">
        <w:t>--these measures are not guarantors of farm sustainability though they might help</w:t>
      </w:r>
      <w:r>
        <w:t>. Neither of these preservation measures can ensure longevity of practice.</w:t>
      </w:r>
    </w:p>
    <w:p w14:paraId="000000C5" w14:textId="6959383A" w:rsidR="00D7661C" w:rsidRDefault="004B2BBB">
      <w:pPr>
        <w:pStyle w:val="Heading3"/>
      </w:pPr>
      <w:bookmarkStart w:id="23" w:name="_Toc7863393"/>
      <w:r>
        <w:t>Challenges on the Farm</w:t>
      </w:r>
      <w:bookmarkEnd w:id="23"/>
    </w:p>
    <w:p w14:paraId="000000C6" w14:textId="5AB3EBAC" w:rsidR="00D7661C" w:rsidRDefault="004B2BBB">
      <w:r>
        <w:tab/>
        <w:t>Farms have their own problems, without worrying about the larger landscape implications of their local actions. Some farmers are able to take on a more global green perspective</w:t>
      </w:r>
      <w:r w:rsidR="00042233">
        <w:t xml:space="preserve"> (environmentally friendly)</w:t>
      </w:r>
      <w:r>
        <w:t xml:space="preserve"> while others are concerned with how to keep turning a profit so that the farm can maintain solvency.  Going “green” takes the will and/or finances of the farmer to make those changes. Once done, that investment can be recouped, but takes the initial will to change and buck current farming systems. Each farm has its own challenges to success. Development pressures, generational transfer and financial farm sustainability are three major challenges to farm success. Through an understanding of these issues, preservationists can </w:t>
      </w:r>
      <w:r>
        <w:lastRenderedPageBreak/>
        <w:t>make sure other communities are aware of these pressures. These three issues listed are part of the first aspect of sustainability listed above - the business or farm perspective, that I have borrowed from Schader et al. They do not address issues of soil quality or altered practices to farming that can increase profitability, a key component to sustainability. Addressing these problems does not solve them but the awareness will help</w:t>
      </w:r>
      <w:r w:rsidR="00042233">
        <w:t xml:space="preserve"> historic preservation practitioners and preservationists</w:t>
      </w:r>
      <w:r>
        <w:t xml:space="preserve"> to work with farmers to implement changes that will benefit the farm and the larger landscape.</w:t>
      </w:r>
    </w:p>
    <w:p w14:paraId="000000C7" w14:textId="7BACC801" w:rsidR="00D7661C" w:rsidRDefault="004B2BBB">
      <w:r>
        <w:tab/>
        <w:t>With a trend towards larger yards and rural lifestyles, there has been an increased conversion of farmland to housing parcels, a process dubbed “rural sprawl.”</w:t>
      </w:r>
      <w:r>
        <w:rPr>
          <w:vertAlign w:val="superscript"/>
        </w:rPr>
        <w:footnoteReference w:id="88"/>
      </w:r>
      <w:r>
        <w:t xml:space="preserve">  Rural sprawl extends beyond suburbia, eating up land that was previously in agriculture or open space. Lachman et al. estimate that “[b]</w:t>
      </w:r>
      <w:proofErr w:type="spellStart"/>
      <w:r>
        <w:t>etween</w:t>
      </w:r>
      <w:proofErr w:type="spellEnd"/>
      <w:r>
        <w:t xml:space="preserve"> 1982 and 2001, nearly 34 million acres of forest land, crop land, pasture land, range land, and other undeveloped land in the Unite[d] States were converted to developed land” and a large driver of this development is population growth.</w:t>
      </w:r>
      <w:r>
        <w:rPr>
          <w:vertAlign w:val="superscript"/>
        </w:rPr>
        <w:footnoteReference w:id="89"/>
      </w:r>
      <w:r>
        <w:t xml:space="preserve"> Citing the USDA Census of Agriculture data for the years 1997 and 2002, the Chesapeake Bay Foundation found that 319,000 acres of farmland were lost in Pennsylvania, Virginia, and Maryland during that time period, also driven by development pressures.</w:t>
      </w:r>
      <w:r>
        <w:rPr>
          <w:vertAlign w:val="superscript"/>
        </w:rPr>
        <w:footnoteReference w:id="90"/>
      </w:r>
      <w:r>
        <w:t xml:space="preserve"> By 2060, the U.S. Census Bureau estimates that the population will have grown by nearly 100 million people, </w:t>
      </w:r>
      <w:r>
        <w:lastRenderedPageBreak/>
        <w:t>increasing from 319 to 417 million people.</w:t>
      </w:r>
      <w:r>
        <w:rPr>
          <w:vertAlign w:val="superscript"/>
        </w:rPr>
        <w:footnoteReference w:id="91"/>
      </w:r>
      <w:r>
        <w:t xml:space="preserve"> New homes will have to be built to accommodate this growing population. Even if multi-family homes, infill development, and rehabilitation of underused existing housing stock become more prevalent, it will not be sufficient to accommodate this population growth. With these new homes, there will be a need for an increased number of shopping districts, roads, and schools. All of these will increase the need for developable land. This in turn helps to drive up the value of the land that is near existing suburbs.</w:t>
      </w:r>
    </w:p>
    <w:p w14:paraId="000000C8" w14:textId="77777777" w:rsidR="00D7661C" w:rsidRDefault="004B2BBB">
      <w:r>
        <w:tab/>
        <w:t>Development pressures tie into generational transfer concerns with the issue being whether there is a party able or interested in taking over the farm. If there is no interest by a younger generation, or if there is a feeling that the farm will become a burden, then selling the property for development is likely the most financially beneficial option. Mishra et al. discuss an exchange model where parents act as mentors and provide support to their children--transferring their land wealth eventually--in the hope that the children will take over the farm and support their parents, a model that counts on “family legacies, emotional ties to the land, and other personal factors.”</w:t>
      </w:r>
      <w:r>
        <w:rPr>
          <w:vertAlign w:val="superscript"/>
        </w:rPr>
        <w:footnoteReference w:id="92"/>
      </w:r>
      <w:r>
        <w:t xml:space="preserve"> </w:t>
      </w:r>
    </w:p>
    <w:p w14:paraId="000000C9" w14:textId="401EE9C8" w:rsidR="00D7661C" w:rsidRDefault="004B2BBB">
      <w:pPr>
        <w:ind w:firstLine="720"/>
      </w:pPr>
      <w:r>
        <w:t>Driving this issue is the average age of the principle farmer, which in 2012 was 58</w:t>
      </w:r>
      <w:r w:rsidR="00FC4B33">
        <w:t xml:space="preserve"> years of age</w:t>
      </w:r>
      <w:r>
        <w:t>.</w:t>
      </w:r>
      <w:r>
        <w:rPr>
          <w:vertAlign w:val="superscript"/>
        </w:rPr>
        <w:footnoteReference w:id="93"/>
      </w:r>
      <w:r>
        <w:t xml:space="preserve"> As farmers approach retirement age, they have to think about who will inherit the farm, whether through sale of the property or through transitioning to a new generation or hiring an </w:t>
      </w:r>
      <w:r>
        <w:lastRenderedPageBreak/>
        <w:t>operator to manage the property. April Orwig of the Pennsylvania Department of Agriculture explains that many Pennsylvania farms face “issues with what it takes (the cost, etc.) legally to pass the farm to the next generation... more than development pressure.”</w:t>
      </w:r>
      <w:r>
        <w:rPr>
          <w:vertAlign w:val="superscript"/>
        </w:rPr>
        <w:footnoteReference w:id="94"/>
      </w:r>
      <w:r>
        <w:t xml:space="preserve">  Similarly, Ann Shephard of the New York Agricultural Society says that “Having a viable business model and successful generational planning may be bigger issues for most in determining long term viability.”</w:t>
      </w:r>
      <w:r>
        <w:rPr>
          <w:vertAlign w:val="superscript"/>
        </w:rPr>
        <w:footnoteReference w:id="95"/>
      </w:r>
      <w:r>
        <w:t xml:space="preserve"> These concerns touch on the succession issue, not only in the cost of inheriting a farm, but also the interest that the next generation may or may not have in farming. If there is an interest in farming, Orwig points out, it may need to be less intensive than an occupation such as dairy farming or raising beef cattle.</w:t>
      </w:r>
      <w:r>
        <w:rPr>
          <w:vertAlign w:val="superscript"/>
        </w:rPr>
        <w:footnoteReference w:id="96"/>
      </w:r>
      <w:r>
        <w:t xml:space="preserve"> These occupations demand a large amount of time from the farmer, time that could be spent working off of the farm to supplement income. Linda </w:t>
      </w:r>
      <w:proofErr w:type="spellStart"/>
      <w:r>
        <w:t>Piotrowicz</w:t>
      </w:r>
      <w:proofErr w:type="spellEnd"/>
      <w:r>
        <w:t xml:space="preserve"> with the Connecticut Department of Agriculture expanded the succession issue further by pointing out that with multiple heirs and only one interested in farming, there becomes a choice between breaking up the family farm to deal equally with heirs or leaving the farm cash poor in favor of the heirs not inheriting land.</w:t>
      </w:r>
      <w:r>
        <w:rPr>
          <w:vertAlign w:val="superscript"/>
        </w:rPr>
        <w:footnoteReference w:id="97"/>
      </w:r>
      <w:r>
        <w:t xml:space="preserve"> A farmer who sets up his heirs to inherit the farm may also be concerned about their intentions and whether divergent interests may serve to tear apart the farm after it has passed to them.</w:t>
      </w:r>
    </w:p>
    <w:p w14:paraId="000000CA" w14:textId="77777777" w:rsidR="00D7661C" w:rsidRDefault="004B2BBB">
      <w:r>
        <w:tab/>
        <w:t xml:space="preserve">The succession issue ties into sustainability. Mishra et al. looked at Agricultural Census data which records secondary employment held by farmers.  They report in their paper, </w:t>
      </w:r>
      <w:r>
        <w:rPr>
          <w:i/>
        </w:rPr>
        <w:lastRenderedPageBreak/>
        <w:t xml:space="preserve">Succession Decisions in U.S. Family Farm Businesses, </w:t>
      </w:r>
      <w:r>
        <w:t>that not only have more farmers started to supplement income through off-farm employment, but they also spend more time working at these second jobs.</w:t>
      </w:r>
      <w:r>
        <w:rPr>
          <w:vertAlign w:val="superscript"/>
        </w:rPr>
        <w:footnoteReference w:id="98"/>
      </w:r>
      <w:r>
        <w:t xml:space="preserve"> With the need to supplement farm income with off-farm work, the challenge to farm viability rises. Farming is an occupation that is unforgiving, dependent on weather for crops to be successful, and livestock that do not take off weekends or holidays. This means that farmers also must be ready to work regardless of weather conditions and always be on hand to tend animals. </w:t>
      </w:r>
    </w:p>
    <w:p w14:paraId="000000CB" w14:textId="77777777" w:rsidR="00D7661C" w:rsidRDefault="004B2BBB">
      <w:pPr>
        <w:ind w:firstLine="720"/>
      </w:pPr>
      <w:r>
        <w:t xml:space="preserve">In order to help support the farmer and agricultural land use, states such as Maryland have implemented </w:t>
      </w:r>
      <w:r>
        <w:rPr>
          <w:i/>
        </w:rPr>
        <w:t>Agricultural Use Assessments.</w:t>
      </w:r>
      <w:r>
        <w:t xml:space="preserve"> This is a modified tax formula for verified farmland that helps to significantly reduce property tax by adjusting the land value down, negating some of the development value of that land.</w:t>
      </w:r>
      <w:r>
        <w:rPr>
          <w:vertAlign w:val="superscript"/>
        </w:rPr>
        <w:footnoteReference w:id="99"/>
      </w:r>
      <w:r>
        <w:t xml:space="preserve"> On the federal level, farms can transfer a total estate value of at least $5 million (adjusted yearly for inflation - $5.45m in 2016) without paying estate taxes.</w:t>
      </w:r>
      <w:r>
        <w:rPr>
          <w:vertAlign w:val="superscript"/>
        </w:rPr>
        <w:footnoteReference w:id="100"/>
      </w:r>
      <w:r>
        <w:t xml:space="preserve"> According to the United States Department of Agriculture (USDA), 98.3% of farms will not meet the $5.45m threshold required to file the estate tax return.</w:t>
      </w:r>
      <w:r>
        <w:rPr>
          <w:vertAlign w:val="superscript"/>
        </w:rPr>
        <w:footnoteReference w:id="101"/>
      </w:r>
      <w:r>
        <w:t xml:space="preserve"> It is possible that increased land values near growing populations will push farm values up so that it is not only wealthy, but also the “land rich” can approach this threshold, but this is still going to be very few farms. New tax laws double the exemption so that an individual is exempted up to </w:t>
      </w:r>
      <w:r>
        <w:lastRenderedPageBreak/>
        <w:t>approximately $11m ($22m for a couple).</w:t>
      </w:r>
      <w:r>
        <w:rPr>
          <w:vertAlign w:val="superscript"/>
        </w:rPr>
        <w:footnoteReference w:id="102"/>
      </w:r>
      <w:r>
        <w:t xml:space="preserve"> The net result is that farms not owned by the very wealthy are generally exempt from the federal estate tax.</w:t>
      </w:r>
    </w:p>
    <w:p w14:paraId="000000CC" w14:textId="134A9D60" w:rsidR="00D7661C" w:rsidRDefault="004B2BBB">
      <w:pPr>
        <w:ind w:firstLine="720"/>
      </w:pPr>
      <w:r>
        <w:t>That farms still struggle financially even with the tax reliefs available is troubling and speaks to the lack of resources accessible to farmers. Once tax relief is maxed out, farmers</w:t>
      </w:r>
      <w:r w:rsidR="00CB1057">
        <w:t xml:space="preserve"> </w:t>
      </w:r>
      <w:r>
        <w:t>that are still struggling have to look for other options to improve their financial sustainability. A struggling farmer has the option of financial restructure or selling. There are a few financial assistance options to help farms that are on the brink of collapse, with the most significant being conservation funding through private organizations and provisions put forward in the Farm Bill. The 2014 Farm Bill established the Agricultural Conservation Easement Program (ACEP) with the goal of slowing the loss of agricultural land to non-agricultural uses.</w:t>
      </w:r>
      <w:r>
        <w:rPr>
          <w:vertAlign w:val="superscript"/>
        </w:rPr>
        <w:footnoteReference w:id="103"/>
      </w:r>
      <w:r>
        <w:t xml:space="preserve"> Over a ten-year period, $1 billion will become available through matching grants to help land trusts purchase easements on agricultural land. </w:t>
      </w:r>
    </w:p>
    <w:p w14:paraId="000000CD" w14:textId="77777777" w:rsidR="00D7661C" w:rsidRDefault="004B2BBB">
      <w:pPr>
        <w:ind w:firstLine="720"/>
      </w:pPr>
      <w:r>
        <w:t xml:space="preserve">Easements come in many different forms, representing the different aspects of land ownership. They range from development rights--the ability to build on the land--to conservation easements that regulate how the land is used. These rights can be severed through donation or sale, and are </w:t>
      </w:r>
      <w:r w:rsidRPr="00CB1057">
        <w:rPr>
          <w:i/>
        </w:rPr>
        <w:t>often</w:t>
      </w:r>
      <w:r>
        <w:t xml:space="preserve"> done in perpetuity. If the easement is made in perpetuity and for the public good, then there is a tax benefit that can be taken on the unrealized value. The federal tax code states that for donations to be tax deductible, the farm must inspire a genuine conservation </w:t>
      </w:r>
      <w:r>
        <w:lastRenderedPageBreak/>
        <w:t>interest, serve a public need such as scenic enjoyment, be donated to a certified not-for-profit entity, and exist in perpetuity.</w:t>
      </w:r>
      <w:r>
        <w:rPr>
          <w:vertAlign w:val="superscript"/>
        </w:rPr>
        <w:footnoteReference w:id="104"/>
      </w:r>
    </w:p>
    <w:p w14:paraId="000000CE" w14:textId="26C90F84" w:rsidR="00D7661C" w:rsidRDefault="004B2BBB">
      <w:pPr>
        <w:pStyle w:val="Heading3"/>
      </w:pPr>
      <w:bookmarkStart w:id="24" w:name="_Toc7863394"/>
      <w:r>
        <w:t>Focusing Historic Preservation Efforts</w:t>
      </w:r>
      <w:bookmarkEnd w:id="24"/>
    </w:p>
    <w:p w14:paraId="000000CF" w14:textId="3BD1556F" w:rsidR="00D7661C" w:rsidRDefault="004B2BBB">
      <w:r>
        <w:tab/>
        <w:t xml:space="preserve">Historic preservation cannot decide that all farms are historically significant. There needs to be some sort of metric developed that helps to focus efforts. It is easy to say that from a landscape view, they all are significant to the preservation of our surroundings. This thinking crosses into land conservation and preservation as practiced through Natural Resource Management (NRM) fields. In order to maintain the integrity of historic preservation as a discipline, significance is in part derived from the interaction between humankind and the landscape. </w:t>
      </w:r>
      <w:r w:rsidR="000B75E6">
        <w:t>This does not need to be as narrow as listing in the National Register of Historic Places</w:t>
      </w:r>
      <w:r w:rsidR="00FC4B33">
        <w:t>.</w:t>
      </w:r>
      <w:r w:rsidR="000B75E6">
        <w:t xml:space="preserve"> </w:t>
      </w:r>
      <w:r>
        <w:t>Meeting the criteria for listing will exclude some properties that need attention. Historic preservation also happens outside of the standards set by the National Park Service and this allow</w:t>
      </w:r>
      <w:r w:rsidR="00FC4B33">
        <w:t>s</w:t>
      </w:r>
      <w:r>
        <w:t xml:space="preserve"> freedom for practitioners to engage with sites using </w:t>
      </w:r>
      <w:r w:rsidR="00FC4B33">
        <w:t xml:space="preserve">different </w:t>
      </w:r>
      <w:r>
        <w:t>preservation strategies for recognizing significance, documentation, and potential treatments.</w:t>
      </w:r>
    </w:p>
    <w:p w14:paraId="000000D0" w14:textId="43DD9F77" w:rsidR="00D7661C" w:rsidRDefault="004B2BBB">
      <w:r>
        <w:tab/>
        <w:t xml:space="preserve">Farming is difficult to define, and it may be dangerous to over-define. The size of farms varies based on production and location-- a small farm in the west is likely larger than a farm in New England. Similarly, a family-owned farm can be raising chickens for a national producer or for their local market. For preservation purposes, a farm generally needs to be at least 50 years </w:t>
      </w:r>
      <w:r>
        <w:lastRenderedPageBreak/>
        <w:t>old.</w:t>
      </w:r>
      <w:r>
        <w:rPr>
          <w:vertAlign w:val="superscript"/>
        </w:rPr>
        <w:footnoteReference w:id="105"/>
      </w:r>
      <w:r>
        <w:t xml:space="preserve"> This does not specify that the farm is in one family</w:t>
      </w:r>
      <w:r w:rsidR="00FC4B33">
        <w:t xml:space="preserve"> for its entire existence</w:t>
      </w:r>
      <w:r>
        <w:t>. I believe that a farm that has remained in one family can contain more significance than one that changes hands. This is based on the idea that ideas and knowledge of place are more easily communicated between family members than from seller to buyer</w:t>
      </w:r>
      <w:r w:rsidR="00FC4B33">
        <w:t xml:space="preserve"> and therefore are more easily conveyed to the larger community</w:t>
      </w:r>
      <w:r>
        <w:t xml:space="preserve">. This is not reflected in National Register criteria, but I argue that sense of place and community connection are increased by long term occupancy by a family. </w:t>
      </w:r>
    </w:p>
    <w:p w14:paraId="000000D1" w14:textId="0337BA00" w:rsidR="00D7661C" w:rsidRDefault="004B2BBB">
      <w:pPr>
        <w:ind w:firstLine="720"/>
      </w:pPr>
      <w:r>
        <w:t>Farm preservation will best be accomplished on a local level where communities can share their values and input. Part of what makes a farm significant is that relationship between a farmer and the land. When significance is defined by the local or effected community, it likely follows that the longer the relationship exists between a farm (occupied by a farming family) and a neighboring community, the stronger the sense of significance. There is the association of the family with the place by the community. That significance is enhanced as the farm passes from generation to generation, even when it changes hands, though it can be more significant to see a farm in one family for successive generations. For this reason, it is not necessarily (but not explicitly exclusive of) architecture, a single period of time, or an individual person that make a farm significant, it is the continued practice.</w:t>
      </w:r>
    </w:p>
    <w:p w14:paraId="000000D2" w14:textId="09608790" w:rsidR="00D7661C" w:rsidRDefault="004B2BBB">
      <w:r>
        <w:tab/>
        <w:t>There are plenty of reasons that farms are significant in our current societal context as well as historic context. They play a key role in food</w:t>
      </w:r>
      <w:r w:rsidR="00042233">
        <w:t xml:space="preserve"> </w:t>
      </w:r>
      <w:r>
        <w:t xml:space="preserve">ways and </w:t>
      </w:r>
      <w:r w:rsidR="00D21B1C">
        <w:t>currently</w:t>
      </w:r>
      <w:r>
        <w:t xml:space="preserve"> there is some return to older more direct “producer to consumer” buying habits through buy local programs seen in the </w:t>
      </w:r>
      <w:r>
        <w:lastRenderedPageBreak/>
        <w:t>increased popularity of organic and locally grown foods. Farm-to-table restaurants are also increasing in popularity, focusing more on seasonal and locally sourced foods. Their meats are often selected by a butcher who also gets to know the farmer who is raising the livestock. Farmers markets and Community Supported Agriculture (CSAs) are becoming more popular shopping alternatives because of the farm-to-table and buy local movements.</w:t>
      </w:r>
      <w:r>
        <w:rPr>
          <w:vertAlign w:val="superscript"/>
        </w:rPr>
        <w:footnoteReference w:id="106"/>
      </w:r>
      <w:r>
        <w:t xml:space="preserve"> The</w:t>
      </w:r>
      <w:r w:rsidR="001E238A">
        <w:t xml:space="preserve"> above listed movements</w:t>
      </w:r>
      <w:r>
        <w:t xml:space="preserve"> are still challenged by the supermarket chains that have seen the rising income potential of organic foods, which are </w:t>
      </w:r>
      <w:r w:rsidR="001E238A">
        <w:t>less</w:t>
      </w:r>
      <w:r>
        <w:t xml:space="preserve"> likely to be sourced locally.</w:t>
      </w:r>
      <w:r>
        <w:rPr>
          <w:vertAlign w:val="superscript"/>
        </w:rPr>
        <w:footnoteReference w:id="107"/>
      </w:r>
      <w:r>
        <w:t xml:space="preserve"> However, t</w:t>
      </w:r>
      <w:r w:rsidR="00CB1057">
        <w:t>here</w:t>
      </w:r>
      <w:r>
        <w:t xml:space="preserve"> have also been some examples of supply chain changes</w:t>
      </w:r>
      <w:r w:rsidR="00CB1057">
        <w:t xml:space="preserve"> </w:t>
      </w:r>
      <w:r>
        <w:t>in grocery stores benefitting family farms, with one small egg raiser in Maryland able to sell her products through the local Whole Foods Market</w:t>
      </w:r>
      <w:r>
        <w:rPr>
          <w:vertAlign w:val="superscript"/>
        </w:rPr>
        <w:footnoteReference w:id="108"/>
      </w:r>
      <w:r>
        <w:t xml:space="preserve"> and a small dairy in California able to sell their product through Costco.</w:t>
      </w:r>
      <w:r>
        <w:rPr>
          <w:vertAlign w:val="superscript"/>
        </w:rPr>
        <w:footnoteReference w:id="109"/>
      </w:r>
    </w:p>
    <w:p w14:paraId="000000D3" w14:textId="77777777" w:rsidR="00D7661C" w:rsidRDefault="004B2BBB">
      <w:r>
        <w:tab/>
        <w:t xml:space="preserve">Open space and food production are just two reasons why farms deserve preservation attention. It is important to engage the communities that could see the most benefit from </w:t>
      </w:r>
      <w:r>
        <w:lastRenderedPageBreak/>
        <w:t xml:space="preserve">protecting these farms and educating them about those benefits and how they can become engaged with and interact with those in their community. </w:t>
      </w:r>
    </w:p>
    <w:p w14:paraId="000000D4" w14:textId="4BDCC912" w:rsidR="00D7661C" w:rsidRDefault="004B2BBB">
      <w:pPr>
        <w:ind w:firstLine="720"/>
      </w:pPr>
      <w:r>
        <w:t xml:space="preserve">When we lose a farm, it will not come back. That green space that was the backdrop to </w:t>
      </w:r>
      <w:r w:rsidR="001E238A">
        <w:t>a</w:t>
      </w:r>
      <w:r>
        <w:t xml:space="preserve"> weekend drive is gone. The birds and other wildlife that worked over the fields are pushed further away. A farmer loses a way of life that could be generations old. Most farms are not new, and </w:t>
      </w:r>
      <w:r w:rsidR="001E238A">
        <w:t xml:space="preserve">once developed the </w:t>
      </w:r>
      <w:r>
        <w:t xml:space="preserve">archaeology and history are lost. In </w:t>
      </w:r>
      <w:r w:rsidR="001E238A">
        <w:t>historic</w:t>
      </w:r>
      <w:r>
        <w:t xml:space="preserve"> preservation terms, we lose a connection with our history that has helped to define us as a culture.</w:t>
      </w:r>
    </w:p>
    <w:p w14:paraId="000000D5" w14:textId="45C6ADBB" w:rsidR="00D7661C" w:rsidRDefault="004B2BBB">
      <w:r>
        <w:tab/>
        <w:t xml:space="preserve">Not all farms in the Chesapeake watershed fit the above models. The diverse nature of farms in the region means that individual concepts of what is historically significant will need to be set aside. What is happening in the Chesapeake challenges the </w:t>
      </w:r>
      <w:r w:rsidR="001E238A">
        <w:t>notion</w:t>
      </w:r>
      <w:r>
        <w:t xml:space="preserve"> that </w:t>
      </w:r>
      <w:r w:rsidR="001E238A">
        <w:t xml:space="preserve">the idealized farm </w:t>
      </w:r>
      <w:r>
        <w:t xml:space="preserve">scenery is </w:t>
      </w:r>
      <w:r w:rsidR="001E238A">
        <w:t>most</w:t>
      </w:r>
      <w:r>
        <w:t xml:space="preserve"> important. The farms are the rolling landscapes with roaming cattle, and also the home of factory farm operations that changed the way we eat. Remember that Herbert Hoover wanted a “chicken for every pot”, implying that this was a sign of prosperity in 1928.</w:t>
      </w:r>
      <w:r>
        <w:rPr>
          <w:vertAlign w:val="superscript"/>
        </w:rPr>
        <w:footnoteReference w:id="110"/>
      </w:r>
      <w:r>
        <w:t xml:space="preserve"> Frank Perdue--a large producer on the eastern s</w:t>
      </w:r>
      <w:r w:rsidR="001E238A">
        <w:t>hore</w:t>
      </w:r>
      <w:r>
        <w:t xml:space="preserve"> of the Bay--was one of a few chicken farmers that revolutionized chicken production</w:t>
      </w:r>
      <w:r>
        <w:rPr>
          <w:vertAlign w:val="superscript"/>
        </w:rPr>
        <w:footnoteReference w:id="111"/>
      </w:r>
      <w:r>
        <w:t xml:space="preserve"> and that company is again changing practice to keep up with changing societal tastes, resulting in more humane animal husbandry in this factory farm context</w:t>
      </w:r>
      <w:r w:rsidR="00CB1057">
        <w:t>.</w:t>
      </w:r>
      <w:r>
        <w:rPr>
          <w:vertAlign w:val="superscript"/>
        </w:rPr>
        <w:footnoteReference w:id="112"/>
      </w:r>
      <w:r>
        <w:t xml:space="preserve"> These are changes that reflect societal values and how we eat as well as how that food </w:t>
      </w:r>
      <w:r>
        <w:lastRenderedPageBreak/>
        <w:t xml:space="preserve">is produced. </w:t>
      </w:r>
      <w:r w:rsidR="001E238A">
        <w:t xml:space="preserve">These farms do not fit the image of pastoral landscapes with their long houses. </w:t>
      </w:r>
      <w:r>
        <w:t xml:space="preserve">While industrial dairy or chicken producers do not ring out as preservation worthy, some are. </w:t>
      </w:r>
    </w:p>
    <w:p w14:paraId="000000D6" w14:textId="7203B207" w:rsidR="00D7661C" w:rsidRDefault="004B2BBB">
      <w:pPr>
        <w:ind w:firstLine="720"/>
      </w:pPr>
      <w:r>
        <w:t>Thinking about farm preservation, we need to think about all types of farms, not just those that have a “natural” feel but also those that reflect important cultural changes. If we disengage from an industrial chicken farm due to aesthetic value, we will miss not only an opportunity to show the significance of that place but to also to engage with it in a way that brings adaptation that can have environmental benefits. In fact, the ugly (but significant to cultural history) factories have more regulation on their environmental pollution than the small farms. Both can have significance to historic preservation and both need to be underst</w:t>
      </w:r>
      <w:r w:rsidR="00CB1057">
        <w:t>ood</w:t>
      </w:r>
      <w:r>
        <w:t xml:space="preserve"> for what creates that significance and how they also need to change. Historic preservation needs to find a way to recognize historically significant places for what they represent, while allowing them to change in ways that make them adaptable to current practices that are more environmentally sound.</w:t>
      </w:r>
    </w:p>
    <w:p w14:paraId="000000D7" w14:textId="56FCC00C" w:rsidR="00D7661C" w:rsidRDefault="004B2BBB" w:rsidP="009D59A3">
      <w:pPr>
        <w:pStyle w:val="Heading2"/>
      </w:pPr>
      <w:bookmarkStart w:id="25" w:name="_Toc7863395"/>
      <w:r>
        <w:t>Conclusion</w:t>
      </w:r>
      <w:bookmarkEnd w:id="25"/>
      <w:r>
        <w:t xml:space="preserve"> </w:t>
      </w:r>
    </w:p>
    <w:p w14:paraId="000000D8" w14:textId="12D1A13E" w:rsidR="00D7661C" w:rsidRDefault="004B2BBB">
      <w:r>
        <w:tab/>
        <w:t>In December 2018, the Trump administration started the process to roll back the 2015 Obama changes to the Clean Water Act.</w:t>
      </w:r>
      <w:r>
        <w:rPr>
          <w:vertAlign w:val="superscript"/>
        </w:rPr>
        <w:footnoteReference w:id="113"/>
      </w:r>
      <w:r>
        <w:t xml:space="preserve"> The 2015 changes </w:t>
      </w:r>
      <w:r w:rsidR="00D936DD">
        <w:t>to the Clean Water Act</w:t>
      </w:r>
      <w:r>
        <w:t xml:space="preserve"> brought not just navigable waters under federal regulation, but also streams and wetlands that tie into the larger bodies of water.</w:t>
      </w:r>
      <w:r>
        <w:rPr>
          <w:vertAlign w:val="superscript"/>
        </w:rPr>
        <w:footnoteReference w:id="114"/>
      </w:r>
      <w:r>
        <w:t xml:space="preserve"> Without the</w:t>
      </w:r>
      <w:r w:rsidR="00D936DD">
        <w:t>se</w:t>
      </w:r>
      <w:r>
        <w:t xml:space="preserve"> regulations, there will be less federal oversight of farms </w:t>
      </w:r>
      <w:r>
        <w:lastRenderedPageBreak/>
        <w:t>that are currently regulated. If thi</w:t>
      </w:r>
      <w:r w:rsidR="00CB1057">
        <w:t xml:space="preserve">s change </w:t>
      </w:r>
      <w:r>
        <w:t xml:space="preserve">passes, the onus will be on farmers and states to make hard choices regarding the use of fertilizers and pesticides that impair the Chesapeake. I see that there is need for </w:t>
      </w:r>
      <w:r>
        <w:rPr>
          <w:i/>
        </w:rPr>
        <w:t xml:space="preserve">more oversight </w:t>
      </w:r>
      <w:r>
        <w:t>as small farms are not regulated currently and that is where much of the pollution is coming from. Rolling back regulations opens farms up to returning to practices that have negative impacts on the environment but increase profit margins.</w:t>
      </w:r>
    </w:p>
    <w:p w14:paraId="000000D9" w14:textId="10B9E1C6" w:rsidR="00D7661C" w:rsidRDefault="004B2BBB">
      <w:r>
        <w:tab/>
        <w:t xml:space="preserve">There is a direct line between farming activities and the health of the Chesapeake Bay. However, farms are not the lone contributor to the health of the Bay. They are something that people can single out as the largest contributor and thus, scapegoat. That the effects of farm practices are felt so widely through the region and impact a </w:t>
      </w:r>
      <w:proofErr w:type="gramStart"/>
      <w:r>
        <w:t>large commons</w:t>
      </w:r>
      <w:proofErr w:type="gramEnd"/>
      <w:r>
        <w:t xml:space="preserve">, leaves farms open to challenges from concerned parties. Using the integrated landscape approach, historic preservationists must measure the value of a single place in the larger context. The downstream consequences of farm activities need to be understood when trying to help preserve a farm and its landscape for future generations. </w:t>
      </w:r>
    </w:p>
    <w:p w14:paraId="000000DA" w14:textId="1F5E013F" w:rsidR="00D7661C" w:rsidRDefault="004B2BBB">
      <w:r>
        <w:tab/>
        <w:t xml:space="preserve">Many of the articles cited for this chapter use models to predict and explain what is happening in the watershed. They also recognize that there is a need for the multidisciplinary approach to address the problems. Freeman et al.--who modeled the ILA--write that “integrated landscape approaches are needed to address complex landscape scale challenges,” and that these challenges can be called </w:t>
      </w:r>
      <w:r>
        <w:rPr>
          <w:i/>
        </w:rPr>
        <w:t>wicked problems.</w:t>
      </w:r>
      <w:r>
        <w:rPr>
          <w:vertAlign w:val="superscript"/>
        </w:rPr>
        <w:footnoteReference w:id="115"/>
      </w:r>
      <w:r>
        <w:t xml:space="preserve"> The idea of the wicked problem can be traced back to Horst Rittel and Melvin Webber and are described by his colleague, C. West Churchman, as </w:t>
      </w:r>
      <w:r>
        <w:lastRenderedPageBreak/>
        <w:t>“</w:t>
      </w:r>
      <w:proofErr w:type="spellStart"/>
      <w:r>
        <w:t>referr</w:t>
      </w:r>
      <w:proofErr w:type="spellEnd"/>
      <w:r>
        <w:t>[</w:t>
      </w:r>
      <w:proofErr w:type="spellStart"/>
      <w:r>
        <w:t>ing</w:t>
      </w:r>
      <w:proofErr w:type="spellEnd"/>
      <w:r>
        <w:t>] to that class of social system problems which are ill-formulated, where the information is confusing, where there are many clients and decision makers with conflicting values, and where the ramifications in the whole system are thoroughly confusing.”</w:t>
      </w:r>
      <w:r>
        <w:rPr>
          <w:vertAlign w:val="superscript"/>
        </w:rPr>
        <w:footnoteReference w:id="116"/>
      </w:r>
      <w:r>
        <w:t xml:space="preserve"> Davies et al. take the definition further: “Wicked problems are characterized by complexity, uncertainty, interdependence, and dispute, and tend to be found in highly interconnected social-ecological systems. Problems associated with climate change, genetically modified foods, and aquaculture can all be classified as wicked.”</w:t>
      </w:r>
      <w:r>
        <w:rPr>
          <w:vertAlign w:val="superscript"/>
        </w:rPr>
        <w:footnoteReference w:id="117"/>
      </w:r>
      <w:r>
        <w:t xml:space="preserve"> </w:t>
      </w:r>
    </w:p>
    <w:p w14:paraId="5158A3FB" w14:textId="0F23942E" w:rsidR="00EA53EF" w:rsidRPr="00115E79" w:rsidRDefault="004B2BBB">
      <w:pPr>
        <w:rPr>
          <w:sz w:val="12"/>
          <w:szCs w:val="12"/>
        </w:rPr>
      </w:pPr>
      <w:r>
        <w:tab/>
        <w:t>The issues of farm preservation and the Chesapeake Bay restoration individually are wicked problems. Both</w:t>
      </w:r>
      <w:r w:rsidR="00D936DD">
        <w:t xml:space="preserve"> problems</w:t>
      </w:r>
      <w:r>
        <w:t xml:space="preserve"> are multilayered and have input from multiple disciplines</w:t>
      </w:r>
      <w:r w:rsidR="00D936DD">
        <w:t xml:space="preserve"> and stakeholders</w:t>
      </w:r>
      <w:r>
        <w:t>. The problems</w:t>
      </w:r>
      <w:r w:rsidR="00D936DD">
        <w:t xml:space="preserve"> taken individually</w:t>
      </w:r>
      <w:r>
        <w:t xml:space="preserve"> are wicked in that all of the elements are hard to reconcile for the whole system to work. Combining two systems makes this even more complicated. Historic preservation has a role to play in both separate landscapes. Working with farms, preservationists can advocate for their success while also working to elevate the historic and landscape value of farms, encouraging adaptation on the farm to help ensure sustainability that is not just on the farm but also reflects the circumstances of the larger environment in which the farm interacts.</w:t>
      </w:r>
      <w:bookmarkStart w:id="26" w:name="_2bn6wsx" w:colFirst="0" w:colLast="0"/>
      <w:bookmarkEnd w:id="26"/>
    </w:p>
    <w:p w14:paraId="64721F91" w14:textId="66713595" w:rsidR="00EA53EF" w:rsidRDefault="00EA53EF" w:rsidP="00115E79">
      <w:pPr>
        <w:pStyle w:val="Heading1"/>
      </w:pPr>
    </w:p>
    <w:p w14:paraId="20217B8F" w14:textId="77777777" w:rsidR="00CC1EF7" w:rsidRPr="00CC1EF7" w:rsidRDefault="00CC1EF7" w:rsidP="00CC1EF7"/>
    <w:p w14:paraId="5C3365F0" w14:textId="5AE58F97" w:rsidR="00115E79" w:rsidRDefault="00115E79">
      <w:pPr>
        <w:rPr>
          <w:sz w:val="28"/>
          <w:szCs w:val="28"/>
        </w:rPr>
      </w:pPr>
      <w:r>
        <w:br w:type="page"/>
      </w:r>
    </w:p>
    <w:p w14:paraId="4B2D6386" w14:textId="449514CF" w:rsidR="00115E79" w:rsidRDefault="00115E79" w:rsidP="00115E79">
      <w:pPr>
        <w:rPr>
          <w:sz w:val="6"/>
          <w:szCs w:val="6"/>
        </w:rPr>
      </w:pPr>
    </w:p>
    <w:p w14:paraId="264C243D" w14:textId="4CF9F1FF" w:rsidR="00115E79" w:rsidRDefault="00115E79" w:rsidP="00115E79">
      <w:pPr>
        <w:rPr>
          <w:sz w:val="6"/>
          <w:szCs w:val="6"/>
        </w:rPr>
      </w:pPr>
    </w:p>
    <w:p w14:paraId="2BC59A7B" w14:textId="794BB97D" w:rsidR="00115E79" w:rsidRDefault="00115E79" w:rsidP="00115E79">
      <w:pPr>
        <w:rPr>
          <w:sz w:val="6"/>
          <w:szCs w:val="6"/>
        </w:rPr>
      </w:pPr>
    </w:p>
    <w:p w14:paraId="6917D63C" w14:textId="187AA8B6" w:rsidR="00115E79" w:rsidRDefault="00115E79" w:rsidP="00115E79">
      <w:pPr>
        <w:rPr>
          <w:sz w:val="6"/>
          <w:szCs w:val="6"/>
        </w:rPr>
      </w:pPr>
    </w:p>
    <w:p w14:paraId="34A71AC5" w14:textId="00A1E3FE" w:rsidR="00115E79" w:rsidRDefault="00115E79" w:rsidP="00115E79">
      <w:pPr>
        <w:rPr>
          <w:sz w:val="6"/>
          <w:szCs w:val="6"/>
        </w:rPr>
      </w:pPr>
    </w:p>
    <w:p w14:paraId="5DB42D1C" w14:textId="3D48E057" w:rsidR="00115E79" w:rsidRDefault="00115E79" w:rsidP="00115E79">
      <w:pPr>
        <w:rPr>
          <w:sz w:val="6"/>
          <w:szCs w:val="6"/>
        </w:rPr>
      </w:pPr>
    </w:p>
    <w:p w14:paraId="2FD34BD6" w14:textId="49F08B25" w:rsidR="00115E79" w:rsidRDefault="00115E79" w:rsidP="00115E79">
      <w:pPr>
        <w:rPr>
          <w:sz w:val="6"/>
          <w:szCs w:val="6"/>
        </w:rPr>
      </w:pPr>
    </w:p>
    <w:p w14:paraId="2C16E87A" w14:textId="77777777" w:rsidR="00115E79" w:rsidRPr="00115E79" w:rsidRDefault="00115E79" w:rsidP="00115E79">
      <w:pPr>
        <w:rPr>
          <w:sz w:val="6"/>
          <w:szCs w:val="6"/>
        </w:rPr>
      </w:pPr>
    </w:p>
    <w:p w14:paraId="000000E2" w14:textId="0931F291" w:rsidR="00D7661C" w:rsidRDefault="004B2BBB" w:rsidP="00115E79">
      <w:pPr>
        <w:pStyle w:val="Heading1"/>
      </w:pPr>
      <w:bookmarkStart w:id="27" w:name="_Toc7806080"/>
      <w:bookmarkStart w:id="28" w:name="_Toc7863396"/>
      <w:r>
        <w:t>CHAPTER III</w:t>
      </w:r>
      <w:bookmarkEnd w:id="27"/>
      <w:bookmarkEnd w:id="28"/>
    </w:p>
    <w:p w14:paraId="000000E3" w14:textId="660CD0B0" w:rsidR="00D7661C" w:rsidRDefault="004B2BBB" w:rsidP="00115E79">
      <w:pPr>
        <w:pStyle w:val="Heading1"/>
      </w:pPr>
      <w:bookmarkStart w:id="29" w:name="_Toc7108172"/>
      <w:bookmarkStart w:id="30" w:name="_Toc7863397"/>
      <w:r>
        <w:t>SUSTAINABLE PRACTICES IN THE CHESAPEAKE</w:t>
      </w:r>
      <w:bookmarkEnd w:id="29"/>
      <w:bookmarkEnd w:id="30"/>
    </w:p>
    <w:p w14:paraId="71542059" w14:textId="4369FCD4" w:rsidR="007F1519" w:rsidRDefault="007F1519" w:rsidP="007F1519"/>
    <w:p w14:paraId="54152CA7" w14:textId="77777777" w:rsidR="007F1519" w:rsidRPr="007F1519" w:rsidRDefault="007F1519" w:rsidP="007F1519"/>
    <w:p w14:paraId="000000E4" w14:textId="77777777" w:rsidR="00D7661C" w:rsidRDefault="00D7661C" w:rsidP="007F1519">
      <w:pPr>
        <w:spacing w:line="120" w:lineRule="auto"/>
      </w:pPr>
    </w:p>
    <w:p w14:paraId="000000E5" w14:textId="6BEA1B22" w:rsidR="00D7661C" w:rsidRDefault="004B2BBB">
      <w:r>
        <w:tab/>
        <w:t xml:space="preserve">It is often easier to see the results of a problem than to deal with the root causes. This is part of what makes them difficult to address due to the multiple layers of context. With many interests colliding, it is hard to make the necessary changes. While there is little opposition to the </w:t>
      </w:r>
      <w:r>
        <w:rPr>
          <w:i/>
        </w:rPr>
        <w:t xml:space="preserve">idea of </w:t>
      </w:r>
      <w:r>
        <w:t xml:space="preserve">farms needing protection </w:t>
      </w:r>
      <w:r w:rsidR="00D936DD">
        <w:t>or</w:t>
      </w:r>
      <w:r>
        <w:t xml:space="preserve"> the </w:t>
      </w:r>
      <w:r>
        <w:rPr>
          <w:i/>
        </w:rPr>
        <w:t xml:space="preserve">idea of </w:t>
      </w:r>
      <w:r>
        <w:t xml:space="preserve">Chesapeake Bay restoration, the truth of the situation is that there is unlikely to be a single solution </w:t>
      </w:r>
      <w:r w:rsidR="00D936DD">
        <w:t xml:space="preserve">to both efforts </w:t>
      </w:r>
      <w:r>
        <w:t xml:space="preserve">that is not going to impinge on the character or quality of farms and the Chesapeake watershed. </w:t>
      </w:r>
    </w:p>
    <w:p w14:paraId="000000E6" w14:textId="5AC40B76" w:rsidR="00D7661C" w:rsidRDefault="004B2BBB">
      <w:pPr>
        <w:ind w:firstLine="720"/>
      </w:pPr>
      <w:r>
        <w:t xml:space="preserve">Character is what we see and feel from a place. The character of farms are the open spaces filled with livestock, or neatly planted rows of corn or soybeans, or the pastoral backdrop of silos and barns. </w:t>
      </w:r>
      <w:r w:rsidR="00DB5892">
        <w:t xml:space="preserve">Sometimes it is a more industrial landscape. </w:t>
      </w:r>
      <w:r>
        <w:t>The character of the Chesapeake includes the unspoiled shorelines (where they can be found), working watermen and recreational boaters as well as the cargo ships heading to and from Baltimore. All of these aspects create a feel and association between people and a biophysical environment.</w:t>
      </w:r>
      <w:r>
        <w:rPr>
          <w:vertAlign w:val="superscript"/>
        </w:rPr>
        <w:footnoteReference w:id="118"/>
      </w:r>
      <w:r>
        <w:t xml:space="preserve"> Chapin and Knapp expand this definition stating that sense of place “reflects not only the experiences with places, </w:t>
      </w:r>
      <w:r>
        <w:lastRenderedPageBreak/>
        <w:t>but also the cultural, religious, historical, and personal meanings of places and the power and economic relationships that shape historical and current interactions with places.”</w:t>
      </w:r>
      <w:r>
        <w:rPr>
          <w:vertAlign w:val="superscript"/>
        </w:rPr>
        <w:footnoteReference w:id="119"/>
      </w:r>
    </w:p>
    <w:p w14:paraId="000000E7" w14:textId="55E365AE" w:rsidR="00D7661C" w:rsidRDefault="004B2BBB">
      <w:pPr>
        <w:ind w:firstLine="720"/>
      </w:pPr>
      <w:r>
        <w:t>Interesting and important for this paper, is that Chapin &amp; Knapp and Masterson et al. are writing about sense of place from an environmental perspective. It is important as it shows the cross disciplinary concepts and how they are used in similar ways. Chapin and Knapp’s paper discusses how sense of place does not necessarily mean “good stewardship” of the land</w:t>
      </w:r>
      <w:r w:rsidR="00DB5892">
        <w:t>,</w:t>
      </w:r>
      <w:r>
        <w:t xml:space="preserve"> citing that regulation and incentives are not sufficient to move some groups toward sustainability.</w:t>
      </w:r>
      <w:r>
        <w:rPr>
          <w:vertAlign w:val="superscript"/>
        </w:rPr>
        <w:footnoteReference w:id="120"/>
      </w:r>
      <w:r>
        <w:t xml:space="preserve"> Here, historic preservation can play a role in parsing sense of place in the historic context, and helping to maintain that while encouraging the changes to help make farms sustainable.</w:t>
      </w:r>
    </w:p>
    <w:p w14:paraId="000000E8" w14:textId="0F613A92" w:rsidR="00D7661C" w:rsidRDefault="004B2BBB">
      <w:pPr>
        <w:ind w:firstLine="720"/>
      </w:pPr>
      <w:r>
        <w:t xml:space="preserve">A discussion of the quality of both farms and the Bay gets into how well the systems of these resources function. </w:t>
      </w:r>
      <w:r w:rsidR="00DB5892">
        <w:t>T</w:t>
      </w:r>
      <w:r>
        <w:t xml:space="preserve">hey </w:t>
      </w:r>
      <w:r w:rsidR="00DB5892">
        <w:t>need to be</w:t>
      </w:r>
      <w:r>
        <w:t xml:space="preserve"> healthy in relation to their internal functioning and how they </w:t>
      </w:r>
      <w:r w:rsidR="00042233">
        <w:t>relate</w:t>
      </w:r>
      <w:r>
        <w:t xml:space="preserve"> to their greater environment</w:t>
      </w:r>
      <w:r w:rsidR="00CB1057">
        <w:t>.</w:t>
      </w:r>
      <w:r>
        <w:t xml:space="preserve"> For the Chesapeake, water quality issues--such as water clarity that de</w:t>
      </w:r>
      <w:r w:rsidR="00DB5892">
        <w:t>creases</w:t>
      </w:r>
      <w:r>
        <w:t xml:space="preserve"> from </w:t>
      </w:r>
      <w:r w:rsidR="00DB5892">
        <w:t>increased</w:t>
      </w:r>
      <w:r>
        <w:t xml:space="preserve"> sediment deposition and other polluting factors--influence the character and health of the bay. For farms, operational quality--maintaining soil quality and/or efficiency--can be a part of how the land is optimized to produce the greatest yield to the farmer. These are only examples of quality and character. Depending on the perspective of the person being asked--environmentalist, farmer, conservationist, developer--these characteristics will change. These are wicked problems.</w:t>
      </w:r>
    </w:p>
    <w:p w14:paraId="000000E9" w14:textId="3B568FE7" w:rsidR="00D7661C" w:rsidRDefault="004B2BBB">
      <w:pPr>
        <w:ind w:firstLine="720"/>
      </w:pPr>
      <w:r>
        <w:lastRenderedPageBreak/>
        <w:t>The role of historic preservationists is to try and protect the character of the farm and mitigate any damage to the quality of place resulting through changing production</w:t>
      </w:r>
      <w:r w:rsidR="00A9267E">
        <w:t>.</w:t>
      </w:r>
      <w:r w:rsidR="00DB5892">
        <w:rPr>
          <w:vertAlign w:val="superscript"/>
        </w:rPr>
        <w:footnoteReference w:id="121"/>
      </w:r>
      <w:r>
        <w:t xml:space="preserve"> This is not a traditional role that historic preservation plays, but one that needs to be considered as historic sites adapt to changing societal values. Chapter II examined some of the consequences of nutrient management on farms, and what proper management of nutrients means for the health of the Chesapeake Bay. The Chesapeake is a large and important commons in many ways, and its degradation can be partially attributed to actions on farms. Farmers, and groups involved in farm preservation and conservation, need to take an interest in the health of the Chesapeake. This can be done for moral, environmental, or fiscal reasons and any combination thereof. This does not only pertain to one type of farm. All farms have ties to the larger environment, whether they are agricultural or livestock based, Amish or industrial farms, historic or first generation.</w:t>
      </w:r>
    </w:p>
    <w:p w14:paraId="000000EA" w14:textId="7E8E2911" w:rsidR="00D7661C" w:rsidRDefault="004B2BBB">
      <w:pPr>
        <w:ind w:firstLine="720"/>
      </w:pPr>
      <w:r>
        <w:t>The</w:t>
      </w:r>
      <w:r w:rsidR="00467761">
        <w:t xml:space="preserve"> </w:t>
      </w:r>
      <w:r>
        <w:t>multistate effort of Chesapeake Bay restoration has been ongoing since 1983.</w:t>
      </w:r>
      <w:r>
        <w:rPr>
          <w:vertAlign w:val="superscript"/>
        </w:rPr>
        <w:footnoteReference w:id="122"/>
      </w:r>
      <w:r>
        <w:t xml:space="preserve"> Understanding where that program is now and what is being asked of farmers will help show where historic preservation fits into protecting farms. Restoration programs go beyond federal regulation through the Clean Water Act. Local efforts of conservation groups work with farmers to improve the interaction between the farms and the watershed. The Environmental Protection Agency</w:t>
      </w:r>
      <w:r w:rsidR="00467761">
        <w:t>’s</w:t>
      </w:r>
      <w:r>
        <w:t xml:space="preserve"> Bay Program has made recommendations to states and farmers regarding manure </w:t>
      </w:r>
      <w:r>
        <w:lastRenderedPageBreak/>
        <w:t xml:space="preserve">storage and application, field management practices, as well as stream protections. Some of these are tied back to the Farm Bills that provide </w:t>
      </w:r>
      <w:r w:rsidR="00DB5892">
        <w:t>some</w:t>
      </w:r>
      <w:r>
        <w:t xml:space="preserve"> funding for mitigation.</w:t>
      </w:r>
    </w:p>
    <w:p w14:paraId="000000EB" w14:textId="02DB54F5" w:rsidR="00D7661C" w:rsidRDefault="004B2BBB">
      <w:pPr>
        <w:ind w:firstLine="720"/>
      </w:pPr>
      <w:r>
        <w:t xml:space="preserve">Using the </w:t>
      </w:r>
      <w:r w:rsidR="00DB5892">
        <w:t>I</w:t>
      </w:r>
      <w:r>
        <w:t xml:space="preserve">ntegrated </w:t>
      </w:r>
      <w:r w:rsidR="00DB5892">
        <w:t>L</w:t>
      </w:r>
      <w:r>
        <w:t xml:space="preserve">andscape </w:t>
      </w:r>
      <w:r w:rsidR="00DB5892">
        <w:t>A</w:t>
      </w:r>
      <w:r>
        <w:t>pproach (ILA), historic preservationists need to be aware of the interests of overlapping fields and the language that they use. As discussed in the previous chapter, the ILA is way for historic preservationists to look at farms that puts the farm in a larger context. I think that this lens needs to be at least considered when farm preservation is approached as this bares on the long-term sustainability of farms. This includes how farms relate</w:t>
      </w:r>
      <w:r w:rsidR="00467761">
        <w:t xml:space="preserve"> </w:t>
      </w:r>
      <w:r>
        <w:t xml:space="preserve">directly to the Chesapeake Bay restoration. Much of what is happening when we look at the Bay restoration--and the impacts that the restoration has on farms--falls under </w:t>
      </w:r>
      <w:r>
        <w:rPr>
          <w:i/>
        </w:rPr>
        <w:t xml:space="preserve">conservation </w:t>
      </w:r>
      <w:r>
        <w:t xml:space="preserve">and not </w:t>
      </w:r>
      <w:r>
        <w:rPr>
          <w:i/>
        </w:rPr>
        <w:t>historic preservation</w:t>
      </w:r>
      <w:r>
        <w:t xml:space="preserve">; however, many of the efforts of the two fields are congruous as they relate to open spaces such as farms. Nevertheless, within the two fields, differences in focus and approach, as well as language, must be understood. </w:t>
      </w:r>
    </w:p>
    <w:p w14:paraId="000000EC" w14:textId="30621025" w:rsidR="00D7661C" w:rsidRDefault="004B2BBB">
      <w:pPr>
        <w:ind w:firstLine="720"/>
      </w:pPr>
      <w:r>
        <w:t xml:space="preserve">The first section of this chapter looks at land conservation, how it came to be, and how it shares terms that are also used in the field of historic preservation. Knowing this history helps to illuminate the role that historic preservation can play in augmenting conservation by highlighting the importance of farming as practice, not just open space preservation. While this happens some already, I consider it a best practice for landscapes for the multidisciplinary approach it lends. The subsequent sections look at the conservation programs already in place, their purpose, and how historic preservation interests are--or are not--being addressed and how it needs to more fully engage with decisions. Pennsylvania, as a large source of farm pollutants entering the Bay, will be the focus of this conversation and how that state’s efforts differ from those of Maryland and Virginia.  </w:t>
      </w:r>
    </w:p>
    <w:p w14:paraId="000000ED" w14:textId="1FC6AA0E" w:rsidR="00D7661C" w:rsidRDefault="004B2BBB" w:rsidP="009D59A3">
      <w:pPr>
        <w:pStyle w:val="Heading2"/>
      </w:pPr>
      <w:bookmarkStart w:id="31" w:name="_Toc7863398"/>
      <w:r>
        <w:lastRenderedPageBreak/>
        <w:t>Terminology and Ideology</w:t>
      </w:r>
      <w:bookmarkEnd w:id="31"/>
    </w:p>
    <w:p w14:paraId="000000EE" w14:textId="77777777" w:rsidR="00D7661C" w:rsidRDefault="004B2BBB">
      <w:pPr>
        <w:ind w:firstLine="720"/>
      </w:pPr>
      <w:r>
        <w:t xml:space="preserve">I use the term </w:t>
      </w:r>
      <w:r>
        <w:rPr>
          <w:i/>
        </w:rPr>
        <w:t xml:space="preserve">historic preservation </w:t>
      </w:r>
      <w:r>
        <w:t xml:space="preserve">instead of simply </w:t>
      </w:r>
      <w:r>
        <w:rPr>
          <w:i/>
        </w:rPr>
        <w:t>preservation</w:t>
      </w:r>
      <w:r>
        <w:t xml:space="preserve"> as is common in our discipline. With the </w:t>
      </w:r>
      <w:r w:rsidR="00DB5892" w:rsidRPr="00DB5892">
        <w:rPr>
          <w:i/>
        </w:rPr>
        <w:t>historic</w:t>
      </w:r>
      <w:r w:rsidRPr="00BE6AFE">
        <w:rPr>
          <w:i/>
        </w:rPr>
        <w:t xml:space="preserve"> </w:t>
      </w:r>
      <w:r>
        <w:rPr>
          <w:i/>
        </w:rPr>
        <w:t>preservation</w:t>
      </w:r>
      <w:r>
        <w:t xml:space="preserve"> of large landscapes, there is an intersection with the existing partner fields of ecology and conservation. Within these fields, professionals have their own definitions and traditions associated with the term </w:t>
      </w:r>
      <w:r>
        <w:rPr>
          <w:i/>
        </w:rPr>
        <w:t xml:space="preserve">preservation </w:t>
      </w:r>
      <w:r>
        <w:t xml:space="preserve">and also </w:t>
      </w:r>
      <w:r>
        <w:rPr>
          <w:i/>
        </w:rPr>
        <w:t>conservation.</w:t>
      </w:r>
      <w:r>
        <w:t xml:space="preserve"> When I contacted conservation groups to understand better the work they are doing, their reaction to me, a historic preservationist, was that I wanted to save the buildings, arrest the landscape, or return it to a previous state. </w:t>
      </w:r>
    </w:p>
    <w:p w14:paraId="000000EF" w14:textId="51B34FCF" w:rsidR="00D7661C" w:rsidRDefault="004B2BBB">
      <w:pPr>
        <w:ind w:firstLine="720"/>
      </w:pPr>
      <w:r>
        <w:t>These interactions revealed that not only do I not have a full comprehension of their field, but they also do not always realize that historic preservation is starting to occupy the same space</w:t>
      </w:r>
      <w:r w:rsidR="00DB5892">
        <w:t>s</w:t>
      </w:r>
      <w:r>
        <w:t xml:space="preserve"> as conservation and ecology. This reflects a common problem in academic fields where particular research methods are developed by each field and often implemented in isolation from others.</w:t>
      </w:r>
      <w:r>
        <w:rPr>
          <w:vertAlign w:val="superscript"/>
        </w:rPr>
        <w:footnoteReference w:id="123"/>
      </w:r>
      <w:r>
        <w:t xml:space="preserve"> A </w:t>
      </w:r>
      <w:r w:rsidR="00DB5892">
        <w:t>f</w:t>
      </w:r>
      <w:r w:rsidR="001E71E5">
        <w:t xml:space="preserve">arm </w:t>
      </w:r>
      <w:r>
        <w:t xml:space="preserve">is a particular point of intersection for many different </w:t>
      </w:r>
      <w:r w:rsidR="00DB5892">
        <w:t>disciplines</w:t>
      </w:r>
      <w:r>
        <w:t xml:space="preserve">. In the space of a farm, or a farming district, you have land in which conservationists, historic preservationists, agriculturalists, and ecologists all have an interest. Among these groups, historic preservationists and agriculturalists are more likely to emphasize the importance of human interaction with the environment. Individual disciplines can acknowledge the complexity of farm preservation (the term here meaning historic and otherwise) and the limitations of their individual approaches, coming together in a multidisciplinary approach. The ILA and wicked problems both call for multi--or trans-disciplinary approaches that engage with the local stakeholders. I believe that the </w:t>
      </w:r>
      <w:r>
        <w:lastRenderedPageBreak/>
        <w:t>stakeholders give guidance to the professionals who then develop the multidisciplinary approach that fits the local environment best. Best solutions recognize that there are potential negatives that are mitigated as opposed to thinking there is a binary right or wrong approach to farm preservation.</w:t>
      </w:r>
    </w:p>
    <w:p w14:paraId="000000F0" w14:textId="4F660081" w:rsidR="00D7661C" w:rsidRDefault="004B2BBB">
      <w:pPr>
        <w:ind w:firstLine="720"/>
      </w:pPr>
      <w:r>
        <w:t>Land conservancy is a varied field, as evident among groups such as the American Farmland Trust (AFT)</w:t>
      </w:r>
      <w:r>
        <w:rPr>
          <w:vertAlign w:val="superscript"/>
        </w:rPr>
        <w:footnoteReference w:id="124"/>
      </w:r>
      <w:r>
        <w:t xml:space="preserve"> who </w:t>
      </w:r>
      <w:r w:rsidR="00DB5892">
        <w:t>advocate for the</w:t>
      </w:r>
      <w:r>
        <w:t xml:space="preserve"> protect</w:t>
      </w:r>
      <w:r w:rsidR="00DB5892">
        <w:t>ion of</w:t>
      </w:r>
      <w:r>
        <w:t xml:space="preserve"> working land, and </w:t>
      </w:r>
      <w:r w:rsidR="00DB5892">
        <w:t>others</w:t>
      </w:r>
      <w:r>
        <w:t xml:space="preserve"> such as the Sierra Club, founded by John Muir, aiming to protect the more natural state of the environment.</w:t>
      </w:r>
      <w:r>
        <w:rPr>
          <w:vertAlign w:val="superscript"/>
        </w:rPr>
        <w:footnoteReference w:id="125"/>
      </w:r>
      <w:r>
        <w:t xml:space="preserve"> Despite their different focuses, these groups have developed tools in common, such as </w:t>
      </w:r>
      <w:r w:rsidR="00061E34">
        <w:t xml:space="preserve">creative </w:t>
      </w:r>
      <w:r>
        <w:t>easement</w:t>
      </w:r>
      <w:r w:rsidR="00295108">
        <w:t>s</w:t>
      </w:r>
      <w:r>
        <w:t xml:space="preserve"> and purchase of development rights programs that can protect open space--both farms and wilderness--from development.</w:t>
      </w:r>
      <w:r>
        <w:rPr>
          <w:vertAlign w:val="superscript"/>
        </w:rPr>
        <w:footnoteReference w:id="126"/>
      </w:r>
      <w:r>
        <w:t xml:space="preserve"> The activity of conservation groups protecting farms (land more than the structures) may be part of why historic preservation professionals are willing to cede this area of preservation to another group. Historic preservation has an increasing interest in vernacular structures and landscapes but it is fairly recent and the two fields should be able to pair the mutual interests and share strategies and benefits such as Section 106 and the use of easements to protect spaces.</w:t>
      </w:r>
    </w:p>
    <w:p w14:paraId="000000F1" w14:textId="172E391F" w:rsidR="00D7661C" w:rsidRDefault="004B2BBB">
      <w:pPr>
        <w:ind w:firstLine="720"/>
      </w:pPr>
      <w:r>
        <w:t xml:space="preserve">Historic preservation looks at the interaction between structures and people. Natural </w:t>
      </w:r>
      <w:r w:rsidR="001E71E5">
        <w:t>R</w:t>
      </w:r>
      <w:r>
        <w:t xml:space="preserve">esource </w:t>
      </w:r>
      <w:r w:rsidR="001E71E5">
        <w:t>M</w:t>
      </w:r>
      <w:r>
        <w:t xml:space="preserve">anagement (NRM) is generally more engaged with the natural aspects of landscapes in the form of land conservation. There are groups that bridge this divide but generally they come from NRM conservation. American Farmland Trust has already been mentioned as a group </w:t>
      </w:r>
      <w:r>
        <w:lastRenderedPageBreak/>
        <w:t>with a farm conservation focus. By historic preservationists actively engaging with conservation groups who have this farm focus</w:t>
      </w:r>
      <w:r w:rsidR="00295108">
        <w:t>,</w:t>
      </w:r>
      <w:r>
        <w:t xml:space="preserve"> a more holistic approach to farm preservation </w:t>
      </w:r>
      <w:r w:rsidR="00295108">
        <w:t>is</w:t>
      </w:r>
      <w:r>
        <w:t xml:space="preserve"> achieved. </w:t>
      </w:r>
    </w:p>
    <w:p w14:paraId="000000F2" w14:textId="63520F16" w:rsidR="00D7661C" w:rsidRDefault="004B2BBB">
      <w:pPr>
        <w:ind w:firstLine="720"/>
      </w:pPr>
      <w:r>
        <w:t>Farms are working landscapes</w:t>
      </w:r>
      <w:r w:rsidR="00295108">
        <w:t>,</w:t>
      </w:r>
      <w:r>
        <w:t xml:space="preserve"> with structures and activities that accentuate the landscapes where they are located. Some of these farms are considered vernacular under guidance from the Cultural Landscapes Bulletin.</w:t>
      </w:r>
      <w:r>
        <w:rPr>
          <w:vertAlign w:val="superscript"/>
        </w:rPr>
        <w:footnoteReference w:id="127"/>
      </w:r>
      <w:r>
        <w:t xml:space="preserve"> The continued working of the landscape through farming creates a sense of place that influences communities that surround farms, as well as highlighting benefits associated with biodiversity and </w:t>
      </w:r>
      <w:r w:rsidR="000B75E6">
        <w:t>food ways</w:t>
      </w:r>
      <w:r>
        <w:t>.</w:t>
      </w:r>
      <w:r>
        <w:rPr>
          <w:vertAlign w:val="superscript"/>
        </w:rPr>
        <w:footnoteReference w:id="128"/>
      </w:r>
      <w:r>
        <w:t xml:space="preserve"> By working with land conservancies and trusts, more farms will be protected more completely, through tools developed by multiple fields of practice. There is also the recognition of different aspects of importance as seen through different fields of study. Some of the tools of other fields that are useful to farm preservation are deeper environmental understanding developed by biologists, effective use and parsing of the different easements by conservationists, cultural histories developed by ethnographers and anthropologists. The list can go on because farms (and most historic sites) are not representative of just an historic preservation context, and therefore the holistic preservation of a farm should be reflective of these other professions when possible. Historic preservation practitioners do not need to take over the tools used by conservationists; rather, they need to engage with these groups as partners in </w:t>
      </w:r>
      <w:r w:rsidR="000B75E6">
        <w:t>farm</w:t>
      </w:r>
      <w:r>
        <w:t xml:space="preserve"> protection. </w:t>
      </w:r>
    </w:p>
    <w:p w14:paraId="000000F3" w14:textId="0D3CC65F" w:rsidR="00D7661C" w:rsidRDefault="004B2BBB">
      <w:pPr>
        <w:ind w:firstLine="720"/>
      </w:pPr>
      <w:r>
        <w:lastRenderedPageBreak/>
        <w:t xml:space="preserve">As discussed earlier, </w:t>
      </w:r>
      <w:r>
        <w:rPr>
          <w:i/>
        </w:rPr>
        <w:t>conservation</w:t>
      </w:r>
      <w:r>
        <w:t xml:space="preserve"> and </w:t>
      </w:r>
      <w:r>
        <w:rPr>
          <w:i/>
        </w:rPr>
        <w:t xml:space="preserve">preservation </w:t>
      </w:r>
      <w:r>
        <w:t xml:space="preserve">are two terms used in historic preservation and also in natural resource management (NRM). Most texts regarding NRM that explore the difference between conservation and preservation link it back to the philosophies of John Muir, Gifford Pinchot, and the debate over the treatment of the </w:t>
      </w:r>
      <w:proofErr w:type="spellStart"/>
      <w:r>
        <w:t>Hetch</w:t>
      </w:r>
      <w:proofErr w:type="spellEnd"/>
      <w:r>
        <w:t xml:space="preserve"> Hetchy Valley in California. Muir, the preservationist, advocated for protection, not management, of the environment whereas Pinchot, the conservationist, advocated thoughtful management of land. In this manner of thinking, </w:t>
      </w:r>
      <w:r>
        <w:rPr>
          <w:i/>
        </w:rPr>
        <w:t>preservationists</w:t>
      </w:r>
      <w:r>
        <w:t xml:space="preserve"> believe that natural areas have their own value that is not derived from what they can provide for humans.</w:t>
      </w:r>
      <w:r>
        <w:rPr>
          <w:vertAlign w:val="superscript"/>
        </w:rPr>
        <w:footnoteReference w:id="129"/>
      </w:r>
      <w:r>
        <w:t xml:space="preserve"> This is similar to how the National Park Service defines preservation in the Secretary of the Interior’s Standards for Preservation: “the act or process of applying measures necessary to sustain the existing form, integrity, and materials of an historic property.”</w:t>
      </w:r>
      <w:r>
        <w:rPr>
          <w:vertAlign w:val="superscript"/>
        </w:rPr>
        <w:footnoteReference w:id="130"/>
      </w:r>
      <w:r>
        <w:t xml:space="preserve"> Both historic preservation and NRM preservation see preservation as saving a place in its current state and protecting it from future change that could compromise its integrity. The environmental preservationist may be willing to let the site return to a previous, more natural state that existed before human interaction. The historic preservation practitioner would call this a restoration, not preservation. It is unlikely that an environmental preservationist would become involved in the protection of a </w:t>
      </w:r>
      <w:r w:rsidR="000B75E6">
        <w:t>farm</w:t>
      </w:r>
      <w:r>
        <w:t xml:space="preserve"> due to their objection to commodification of a natural setting (the objection possibly being stronger to post-industrial versus pre-colonial </w:t>
      </w:r>
      <w:r>
        <w:lastRenderedPageBreak/>
        <w:t xml:space="preserve">occupation), which is the foundation of farming, where the land is exploited to grow crops for monetary gain or sustenance. </w:t>
      </w:r>
    </w:p>
    <w:p w14:paraId="000000F4" w14:textId="358A92FE" w:rsidR="00D7661C" w:rsidRDefault="004B2BBB">
      <w:pPr>
        <w:ind w:firstLine="720"/>
      </w:pPr>
      <w:r>
        <w:t>The discipline commonly associated with preservation--or protection--of open space</w:t>
      </w:r>
      <w:r w:rsidR="00295108">
        <w:t>, such as farms,</w:t>
      </w:r>
      <w:r>
        <w:t xml:space="preserve"> is conservation. Conservation, as practiced by Pinchot, focuses on the management of places as assets that need to be managed for longevity but also utilized as a resource--in other words, “the greatest good for the greatest number.”</w:t>
      </w:r>
      <w:r>
        <w:rPr>
          <w:vertAlign w:val="superscript"/>
        </w:rPr>
        <w:footnoteReference w:id="131"/>
      </w:r>
      <w:r>
        <w:t xml:space="preserve"> In this thinking, selective logging of forests instead of clear cutting is a way to not only maintain the forest but also to derive a benefit for people. Conservationists recognize the value of the forest to people, as a resource for timber and recreation as well as preserving natural ecosystems. There is an understanding that a forest is a finite resource and therefore cannot be mistreated if it is to be sustainable. While the two fields of historic preservation and natural resource management use similar definitions for preservation, conservation has rather different meanings. historic preservation practitioners often use the term conservation in the curatorial sense, as pointed out by historic preservationist Vince Michael who promotes </w:t>
      </w:r>
      <w:r>
        <w:rPr>
          <w:i/>
        </w:rPr>
        <w:t>heritage conservation</w:t>
      </w:r>
      <w:r>
        <w:t xml:space="preserve"> as a better way for historic preservation to move forward.</w:t>
      </w:r>
      <w:r>
        <w:rPr>
          <w:vertAlign w:val="superscript"/>
        </w:rPr>
        <w:footnoteReference w:id="132"/>
      </w:r>
      <w:r>
        <w:t xml:space="preserve"> This idea of heritage conservation is more in line with NRM conservation in that the idea is to “manage change, not stop change.”</w:t>
      </w:r>
      <w:r>
        <w:rPr>
          <w:vertAlign w:val="superscript"/>
        </w:rPr>
        <w:footnoteReference w:id="133"/>
      </w:r>
      <w:r>
        <w:t xml:space="preserve"> </w:t>
      </w:r>
    </w:p>
    <w:p w14:paraId="000000F5" w14:textId="77777777" w:rsidR="00D7661C" w:rsidRDefault="004B2BBB">
      <w:pPr>
        <w:ind w:firstLine="720"/>
      </w:pPr>
      <w:r>
        <w:t xml:space="preserve">The term preservation is used almost as often as conservation in articles, reports and other Chesapeake Bay restoration literature. This might lead one to believe that preservation </w:t>
      </w:r>
      <w:r>
        <w:lastRenderedPageBreak/>
        <w:t xml:space="preserve">efforts are underway, but this is from a </w:t>
      </w:r>
      <w:r>
        <w:rPr>
          <w:i/>
        </w:rPr>
        <w:t>natural resource management</w:t>
      </w:r>
      <w:r>
        <w:t xml:space="preserve"> perspective, not that of </w:t>
      </w:r>
      <w:r>
        <w:rPr>
          <w:i/>
        </w:rPr>
        <w:t>historic preservation</w:t>
      </w:r>
      <w:r>
        <w:t>. While the two are not mutually exclusive--and some NRM results align well with historic preservation goals--it is worth understanding the ongoing efforts to see where ideas mesh, conflict, or not fully developed.</w:t>
      </w:r>
    </w:p>
    <w:p w14:paraId="000000F6" w14:textId="03817DA1" w:rsidR="00D7661C" w:rsidRDefault="004B2BBB" w:rsidP="009D59A3">
      <w:pPr>
        <w:pStyle w:val="Heading2"/>
      </w:pPr>
      <w:bookmarkStart w:id="32" w:name="_Toc7863399"/>
      <w:r>
        <w:t>Guiding the Chesapeake Bay Restoration</w:t>
      </w:r>
      <w:bookmarkEnd w:id="32"/>
    </w:p>
    <w:p w14:paraId="000000F7" w14:textId="16AF3858" w:rsidR="00D7661C" w:rsidRDefault="004B2BBB">
      <w:r>
        <w:tab/>
        <w:t xml:space="preserve">Trying to figure out who the players are in the Chesapeake Bay restoration is tricky. There is a Chesapeake Bay Program, Chesapeake Bay Commission, the EPA, and states and state agencies, such as Departments of </w:t>
      </w:r>
      <w:r w:rsidR="001E71E5">
        <w:t>N</w:t>
      </w:r>
      <w:r>
        <w:t xml:space="preserve">atural Resources, </w:t>
      </w:r>
      <w:r w:rsidR="001E71E5">
        <w:t>P</w:t>
      </w:r>
      <w:r>
        <w:t>arks and Recreation</w:t>
      </w:r>
      <w:r w:rsidR="001E71E5">
        <w:t xml:space="preserve"> and </w:t>
      </w:r>
      <w:r>
        <w:t>P</w:t>
      </w:r>
      <w:r w:rsidR="001E71E5">
        <w:t xml:space="preserve">ublic </w:t>
      </w:r>
      <w:r>
        <w:t>Works.</w:t>
      </w:r>
      <w:r>
        <w:rPr>
          <w:vertAlign w:val="superscript"/>
        </w:rPr>
        <w:footnoteReference w:id="134"/>
      </w:r>
      <w:r>
        <w:t xml:space="preserve"> The Chesapeake Bay Program website lists partnerships with 19 federal agencies, 40 state agencies and programs representing Delaware, Maryland, Virginia, Pennsylvania, New York, West Virginia, and Washington, D.C., 1,800 local governments, 20 academic institutions, and 60 non-government organizations (NGOs).</w:t>
      </w:r>
      <w:r>
        <w:rPr>
          <w:vertAlign w:val="superscript"/>
        </w:rPr>
        <w:footnoteReference w:id="135"/>
      </w:r>
      <w:r>
        <w:t xml:space="preserve"> With so many groups, it is difficult to assess who is doing what and what their objectives are, not to mention measuring the success of their efforts. Other than the National Park Service and the U.S. Department of the Interior, historic preservation is not represented by the lists of partnerships. Farmers are represented through the U.S. Department of Agriculture, the Pennsylvania Farm Bureau, the Maryland Department of Agriculture and the Farm Service Agency. The bulk of the list consists of conservation and environmental groups as well as educational institutions. </w:t>
      </w:r>
    </w:p>
    <w:p w14:paraId="000000F8" w14:textId="38928753" w:rsidR="00D7661C" w:rsidRDefault="004B2BBB">
      <w:r>
        <w:lastRenderedPageBreak/>
        <w:tab/>
        <w:t>The Chesapeake Bay Agreement of 1983 established an executive council to “assess and oversee the implementation of coordinated plans to improve and protect the water quality and living resources of the Chesapeake Bay estuarine systems.”</w:t>
      </w:r>
      <w:r>
        <w:rPr>
          <w:vertAlign w:val="superscript"/>
        </w:rPr>
        <w:footnoteReference w:id="136"/>
      </w:r>
      <w:r>
        <w:t xml:space="preserve"> This executive council is comprised of the three governors representing Maryland, Virginia, and Pennsylvania; the mayor of D.C.; an EPA administrator; and a commission chair, which is supported by the Chesapeake Bay Program (CBP).</w:t>
      </w:r>
      <w:r>
        <w:rPr>
          <w:vertAlign w:val="superscript"/>
        </w:rPr>
        <w:footnoteReference w:id="137"/>
      </w:r>
      <w:r>
        <w:t xml:space="preserve"> In 1980, the Chesapeake Bay Commission (CBC) was formed through legislation that came out of Chesapeake Bay Legislative Advisory Commission with a goal of increasing the cooperation between states creating a more unified approach to restoring the Bay.</w:t>
      </w:r>
      <w:r>
        <w:rPr>
          <w:vertAlign w:val="superscript"/>
        </w:rPr>
        <w:footnoteReference w:id="138"/>
      </w:r>
      <w:r>
        <w:t xml:space="preserve"> These two groups help to direct efforts and guide state policies, but much of the research and public engagement is done by smaller, not-for-profit organizations or NGOs. The Chesapeake Bay Foundation (CBF), established in 1967, “is the largest independent conservation organization dedicated solely to saving the Bay” and is a 501(c)(3) tax exempt</w:t>
      </w:r>
      <w:r w:rsidR="001E71E5">
        <w:t xml:space="preserve"> </w:t>
      </w:r>
      <w:r>
        <w:t>organization.</w:t>
      </w:r>
      <w:r>
        <w:rPr>
          <w:vertAlign w:val="superscript"/>
        </w:rPr>
        <w:footnoteReference w:id="139"/>
      </w:r>
      <w:r>
        <w:t xml:space="preserve"> Unlike the Chesapeake Bay Commission and the Chesapeake Bay Project, CBF can approach policy but has to remain politically neutral, or non-partisan, to maintain their tax-exempt status with the Internal Revenue Service.</w:t>
      </w:r>
      <w:r>
        <w:rPr>
          <w:vertAlign w:val="superscript"/>
        </w:rPr>
        <w:footnoteReference w:id="140"/>
      </w:r>
      <w:r>
        <w:t xml:space="preserve"> </w:t>
      </w:r>
    </w:p>
    <w:p w14:paraId="000000F9" w14:textId="38CE3A62" w:rsidR="00D7661C" w:rsidRDefault="004B2BBB">
      <w:pPr>
        <w:ind w:firstLine="720"/>
      </w:pPr>
      <w:r>
        <w:lastRenderedPageBreak/>
        <w:t>The three organizations listed above represent what author Howard Ernst and others call “the light green movement,” which depends on consensus building and science-based reasoning and compromise.</w:t>
      </w:r>
      <w:r>
        <w:rPr>
          <w:vertAlign w:val="superscript"/>
        </w:rPr>
        <w:footnoteReference w:id="141"/>
      </w:r>
      <w:r>
        <w:t xml:space="preserve"> This light green movement, which plays a large role in the Bay restoration, is relevant to the issue of farms in that much of what is produced from the commissions and nonprofits is only advisory or generates non-binding resolutions. This leaves the Clean Water Act (EPA) and state legislation as the regulators, and as discussed in Chapter II, the regulations do not apply to all farms and are not always enforceable.</w:t>
      </w:r>
    </w:p>
    <w:p w14:paraId="000000FA" w14:textId="704FD483" w:rsidR="00D7661C" w:rsidRDefault="004B2BBB">
      <w:pPr>
        <w:ind w:firstLine="720"/>
      </w:pPr>
      <w:r>
        <w:t xml:space="preserve">Despite trying to unify the states’ strategies through various organizations, the states involved in the Bay restoration do not in fact all behave in the same manner or implement the same plans of action. Often, those plans of action are not binding but are recommendations. This is a similar condition found in historic preservation where we have the Secretary of the Interior’s Standards and Guidelines but they are not always followed and they do not ensure that the listed property is saved. Some policies become </w:t>
      </w:r>
      <w:r w:rsidR="00295108">
        <w:t>B</w:t>
      </w:r>
      <w:r>
        <w:t xml:space="preserve">est </w:t>
      </w:r>
      <w:r w:rsidR="00295108">
        <w:t>M</w:t>
      </w:r>
      <w:r>
        <w:t xml:space="preserve">anagement </w:t>
      </w:r>
      <w:r w:rsidR="00295108">
        <w:t>P</w:t>
      </w:r>
      <w:r>
        <w:t xml:space="preserve">ractices (BMP) and some carry more weight than others. Generally, there are incentives that are associated with BMPs, such as cost sharing, but they </w:t>
      </w:r>
      <w:r w:rsidR="00295108">
        <w:t xml:space="preserve">are </w:t>
      </w:r>
      <w:r>
        <w:t xml:space="preserve">not legally required </w:t>
      </w:r>
      <w:r w:rsidR="00295108">
        <w:t>on</w:t>
      </w:r>
      <w:r>
        <w:t xml:space="preserve"> all farms.</w:t>
      </w:r>
    </w:p>
    <w:p w14:paraId="000000FB" w14:textId="5B063350" w:rsidR="00D7661C" w:rsidRDefault="004B2BBB">
      <w:pPr>
        <w:ind w:firstLine="720"/>
      </w:pPr>
      <w:r>
        <w:t xml:space="preserve">The policies that are encouraged for farms go beyond nutrient management plans. Groups like CBF and American Farmland Trust (AFT) work to develop BMPs. These practices are not necessarily mandated, but aid in meeting nutrient management goals. Best management practices vary from how, when, and how much fertilizer is applied to the management of riparian buffers. </w:t>
      </w:r>
      <w:r>
        <w:lastRenderedPageBreak/>
        <w:t>While the former is not visible to the onlooker, the latter changes the appearance of a farm. This can be an issue for historic preservation if there is a strict adherence to maintaining the historic appearance, or the integrity, of the farm.</w:t>
      </w:r>
    </w:p>
    <w:p w14:paraId="000000FC" w14:textId="71680906" w:rsidR="00D7661C" w:rsidRDefault="004B2BBB" w:rsidP="009D59A3">
      <w:pPr>
        <w:pStyle w:val="Heading2"/>
      </w:pPr>
      <w:bookmarkStart w:id="33" w:name="_Toc7863400"/>
      <w:r>
        <w:t>Changing Farm Practices</w:t>
      </w:r>
      <w:bookmarkEnd w:id="33"/>
    </w:p>
    <w:p w14:paraId="000000FD" w14:textId="25DF47FD" w:rsidR="00D7661C" w:rsidRDefault="004B2BBB">
      <w:pPr>
        <w:ind w:firstLine="720"/>
      </w:pPr>
      <w:r>
        <w:t xml:space="preserve">In 2008, the State of Maryland produced a report titled, </w:t>
      </w:r>
      <w:r>
        <w:rPr>
          <w:i/>
        </w:rPr>
        <w:t>Maryland’s Chesapeake Bay Tributary Strategy Statewide Implementation Plan</w:t>
      </w:r>
      <w:r>
        <w:t>. The report is a product of the Maryland Department of Natural Resources, the Maryland Department of the Environment, the Maryland Department of Planning, and the Maryland Department of Agriculture. The plan was put together to help guide stakeholders through processes to lower the amount of nutrients and pollutants entering the Bay to meet with the requirements of the Clean Water Act.</w:t>
      </w:r>
      <w:r>
        <w:rPr>
          <w:vertAlign w:val="superscript"/>
        </w:rPr>
        <w:footnoteReference w:id="142"/>
      </w:r>
      <w:r>
        <w:t xml:space="preserve"> The report covers farms and other sources, which include </w:t>
      </w:r>
      <w:r w:rsidR="000B75E6">
        <w:t>storm water</w:t>
      </w:r>
      <w:r>
        <w:t xml:space="preserve"> runoff (not just from fields), urban sources, sewage disposal, and air deposition. Within the agricultural strategy for controlling nutrients, 21 BMPs and goals are listed. Some of the strategies listed as BMPs for farms are no-till (conservation tillage), cover crops, and planted buffers. The following sections cover in more detail the benefits and support for these programs.</w:t>
      </w:r>
    </w:p>
    <w:p w14:paraId="000000FE" w14:textId="5CFC4F1B" w:rsidR="00D7661C" w:rsidRDefault="004B2BBB">
      <w:pPr>
        <w:pStyle w:val="Heading3"/>
      </w:pPr>
      <w:bookmarkStart w:id="34" w:name="_Toc7863401"/>
      <w:r>
        <w:lastRenderedPageBreak/>
        <w:t>No-Till and Cover Crops</w:t>
      </w:r>
      <w:bookmarkEnd w:id="34"/>
    </w:p>
    <w:p w14:paraId="000000FF" w14:textId="4198AC3C" w:rsidR="00D7661C" w:rsidRDefault="004B2BBB">
      <w:pPr>
        <w:ind w:firstLine="720"/>
      </w:pPr>
      <w:r>
        <w:t>Among the BMPs listed in the 2008 report is the use of conservation plans to manage soil and water, including cover crops and managing tillage.</w:t>
      </w:r>
      <w:r>
        <w:rPr>
          <w:vertAlign w:val="superscript"/>
        </w:rPr>
        <w:footnoteReference w:id="143"/>
      </w:r>
      <w:r>
        <w:t xml:space="preserve"> Cover crops are plantings that are done at the end of the cash crop growing season. When soy, corn, or other field crops have ended their life cycle and are harvested, the fields are replanted with a winter crop that is </w:t>
      </w:r>
      <w:proofErr w:type="spellStart"/>
      <w:r>
        <w:t>hardy</w:t>
      </w:r>
      <w:proofErr w:type="spellEnd"/>
      <w:r>
        <w:t xml:space="preserve"> enough to endure the winter months until replanting. The use of cover crops has two main benefits to the water system: controlling erosion, and taking up excess nitrates from the soil. In studies conducted by the University of Maryland, researchers found that excess nitrates remain in the soil when crops like corn have reached the end of their growing cycle and the nitrates then leach into waterways.</w:t>
      </w:r>
      <w:r>
        <w:rPr>
          <w:vertAlign w:val="superscript"/>
        </w:rPr>
        <w:footnoteReference w:id="144"/>
      </w:r>
      <w:r>
        <w:t xml:space="preserve"> This leaching can happen through runoff or absorption into groundwater. With the use of cover crops, some of the excess nitrates in the soil are absorbed (removed from the soil) by crops like winter wheat.</w:t>
      </w:r>
      <w:r>
        <w:rPr>
          <w:vertAlign w:val="superscript"/>
        </w:rPr>
        <w:footnoteReference w:id="145"/>
      </w:r>
      <w:r>
        <w:t xml:space="preserve"> The second benefit of using cover crops is that they help prevent soil erosion from wind and water on fields.</w:t>
      </w:r>
      <w:r>
        <w:rPr>
          <w:vertAlign w:val="superscript"/>
        </w:rPr>
        <w:footnoteReference w:id="146"/>
      </w:r>
      <w:r>
        <w:t xml:space="preserve"> The University of Maryland studies were carried out in controlled environments where soil conservation and BMPs were the goal. The crop fields investigated by the researchers were using proper fertilizing amounts and techniques at the appropriate times.</w:t>
      </w:r>
      <w:r>
        <w:rPr>
          <w:vertAlign w:val="superscript"/>
        </w:rPr>
        <w:footnoteReference w:id="147"/>
      </w:r>
      <w:r>
        <w:t xml:space="preserve"> </w:t>
      </w:r>
    </w:p>
    <w:p w14:paraId="00000100" w14:textId="77777777" w:rsidR="00D7661C" w:rsidRDefault="004B2BBB">
      <w:pPr>
        <w:ind w:firstLine="720"/>
      </w:pPr>
      <w:r>
        <w:lastRenderedPageBreak/>
        <w:t>When cover crops are paired with no-till practices--also known as conservation tilling--soil conservation improves, which then improves nutrient absorption and reduces runoff. Continuous no-till is based on, at most, using minimally invasive equipment to break the soil surface and plant the spring crop without tilling under the previous year’s crop residue and/or cover crop.</w:t>
      </w:r>
      <w:r>
        <w:rPr>
          <w:vertAlign w:val="superscript"/>
        </w:rPr>
        <w:footnoteReference w:id="148"/>
      </w:r>
      <w:r>
        <w:t xml:space="preserve"> Growing up on a small farm in New England, we added a cover crop of winter wheat in the fall to corn fields. In the spring we “turned the soil under” with a plow in a process that we believed added nutrients to the soil, reduced compaction, and increased aeration, all of which are needed to ensure the success of the next corn planting. Elements of what I was taught were true but not sustainable. Studies show that cover crops and no-till actually allows topsoil to hold water longer, providing benefits to plants as well as allowing organisms to break down herbicides.</w:t>
      </w:r>
      <w:r>
        <w:rPr>
          <w:vertAlign w:val="superscript"/>
        </w:rPr>
        <w:footnoteReference w:id="149"/>
      </w:r>
      <w:r>
        <w:t xml:space="preserve"> Because equipment spends less time in the fields, there is less soil compaction and thus no “hardpan”--compacted soil--and also results in savings in fuel costs.</w:t>
      </w:r>
      <w:r>
        <w:rPr>
          <w:vertAlign w:val="superscript"/>
        </w:rPr>
        <w:footnoteReference w:id="150"/>
      </w:r>
      <w:r>
        <w:t xml:space="preserve"> The reduction of fuel usage not only impacts the farmer’s bottom line, but also reduces yet another source of pollution from the farm.</w:t>
      </w:r>
    </w:p>
    <w:p w14:paraId="00000101" w14:textId="0DB16231" w:rsidR="00D7661C" w:rsidRDefault="004B2BBB">
      <w:pPr>
        <w:ind w:firstLine="720"/>
      </w:pPr>
      <w:r>
        <w:t xml:space="preserve">Cover crops and conservation tillage will help to improve the condition of the watershed when coupled with proper nutrient application. These BMPs also bring potential benefits to the farmer even though these benefits will take multiple crop cycles (seven to nine years) to start </w:t>
      </w:r>
      <w:r>
        <w:lastRenderedPageBreak/>
        <w:t>yielding benefits.</w:t>
      </w:r>
      <w:r>
        <w:rPr>
          <w:vertAlign w:val="superscript"/>
        </w:rPr>
        <w:footnoteReference w:id="151"/>
      </w:r>
      <w:r>
        <w:t xml:space="preserve"> Although these plans not only have implications for the health of the Bay but also for the success of the farmer, there is a cost involved with change. This cost may be breaking with known practices for the unknown, the price of cover crops, or the potential for lost revenue while soil is correcting during the first few cycles of no-till and cover crops. There is also potential for interference between the cover and cash crops, new machinery for the new techniques, and the potential for pests to reside in the residue and cover.</w:t>
      </w:r>
      <w:r>
        <w:rPr>
          <w:vertAlign w:val="superscript"/>
        </w:rPr>
        <w:footnoteReference w:id="152"/>
      </w:r>
      <w:r>
        <w:t xml:space="preserve"> Farmers living on the margins may be </w:t>
      </w:r>
      <w:r w:rsidR="000B75E6">
        <w:t>loath</w:t>
      </w:r>
      <w:r>
        <w:t xml:space="preserve"> to change known practices for uncertainty. Not all farmers can adapt their land based purely on environmentally conscious reasoning. Many farmers may </w:t>
      </w:r>
      <w:r>
        <w:rPr>
          <w:i/>
        </w:rPr>
        <w:t>want</w:t>
      </w:r>
      <w:r>
        <w:t xml:space="preserve"> to act in best interests of a larger environment but fear of changing known practices if there is not the financial stability to invite potential risk, may slow them from taking a chance on new techniques. It is naive to believe that farmers can simply respond to what they are told is best policy when they are financial considerations. Some farmers who are financially able can act on BMPs, others may leverage land value to meet BMP’s. </w:t>
      </w:r>
    </w:p>
    <w:p w14:paraId="00000102" w14:textId="77777777" w:rsidR="00D7661C" w:rsidRDefault="004B2BBB">
      <w:pPr>
        <w:ind w:firstLine="720"/>
      </w:pPr>
      <w:r>
        <w:t>In Maryland there is an effort to support farmers who are willing to alter their practices. The Maryland Department of Agriculture has set aside $22.5 million to help eligible farmers buy and plant seed for cover crops in 2019--up to $75 per acre.</w:t>
      </w:r>
      <w:r>
        <w:rPr>
          <w:vertAlign w:val="superscript"/>
        </w:rPr>
        <w:footnoteReference w:id="153"/>
      </w:r>
      <w:r>
        <w:t xml:space="preserve"> Virginia has a similar no-till incentive program with a one-time $50 per acre payment coupled with tax incentives and a five-</w:t>
      </w:r>
      <w:r>
        <w:lastRenderedPageBreak/>
        <w:t>year contract to ensure continuous no-till.</w:t>
      </w:r>
      <w:r>
        <w:rPr>
          <w:vertAlign w:val="superscript"/>
        </w:rPr>
        <w:footnoteReference w:id="154"/>
      </w:r>
      <w:r>
        <w:t xml:space="preserve"> In Pennsylvania, no-till and cover crops are both increasing in popularity among farmers. While it is unclear if </w:t>
      </w:r>
      <w:r>
        <w:rPr>
          <w:i/>
        </w:rPr>
        <w:t xml:space="preserve">continuous </w:t>
      </w:r>
      <w:r>
        <w:t>no-till farming is being implemented, 60% of the Pennsylvania land was no-till in 2014 up from 20% in 2002.</w:t>
      </w:r>
      <w:r>
        <w:rPr>
          <w:vertAlign w:val="superscript"/>
        </w:rPr>
        <w:footnoteReference w:id="155"/>
      </w:r>
      <w:r>
        <w:t xml:space="preserve"> </w:t>
      </w:r>
    </w:p>
    <w:p w14:paraId="00000103" w14:textId="5E86E8F0" w:rsidR="00D7661C" w:rsidRDefault="004B2BBB">
      <w:pPr>
        <w:ind w:firstLine="720"/>
      </w:pPr>
      <w:r>
        <w:t xml:space="preserve">The programs to develop more acres in no-till and cover crops are growing in popularity. Incentives ease some of the financial burden that is placed on farmers. In reducing the financial burden, farmers are more likely to stay with their land and continue farming. With so many farmers needing to work second jobs, changes to farming practices cannot be so onerous that they take so much more time from a work day.  If the farmer is stretched too thin, they might be forced to decide between farming and outside work. From the historic preservation perspective, keeping the farm active needs to be the priority. </w:t>
      </w:r>
    </w:p>
    <w:p w14:paraId="00000104" w14:textId="4C837338" w:rsidR="00D7661C" w:rsidRDefault="004B2BBB">
      <w:pPr>
        <w:pStyle w:val="Heading3"/>
      </w:pPr>
      <w:bookmarkStart w:id="35" w:name="_Toc7863402"/>
      <w:r>
        <w:t>Using Buffers Between Fields and Waterways</w:t>
      </w:r>
      <w:bookmarkEnd w:id="35"/>
    </w:p>
    <w:p w14:paraId="00000105" w14:textId="3713C5B1" w:rsidR="00D7661C" w:rsidRDefault="004B2BBB">
      <w:r>
        <w:tab/>
        <w:t xml:space="preserve">A second major agricultural strategy to improve water quality in the Bay is the use of various types of buffers between fields and waterways. I am using the term </w:t>
      </w:r>
      <w:r>
        <w:rPr>
          <w:i/>
        </w:rPr>
        <w:t>buffer</w:t>
      </w:r>
      <w:r>
        <w:t xml:space="preserve"> in a more general way to include different implementations that all create a distance between the farm and body of water. Where the no-till and cover crop strategies apply to the planted field aspect of farms</w:t>
      </w:r>
      <w:r>
        <w:rPr>
          <w:vertAlign w:val="superscript"/>
        </w:rPr>
        <w:footnoteReference w:id="156"/>
      </w:r>
      <w:r>
        <w:t xml:space="preserve">, buffers are valuable to mitigation for large Concentrated Animal Feeding Operations </w:t>
      </w:r>
      <w:r>
        <w:lastRenderedPageBreak/>
        <w:t>(CAFO</w:t>
      </w:r>
      <w:r w:rsidR="001E71E5">
        <w:t xml:space="preserve">) </w:t>
      </w:r>
      <w:r>
        <w:t>which are p</w:t>
      </w:r>
      <w:r w:rsidR="001E71E5">
        <w:t>oint</w:t>
      </w:r>
      <w:r>
        <w:t xml:space="preserve"> sources regulated under the Clean Water Act (CWA) a</w:t>
      </w:r>
      <w:r w:rsidR="001E71E5">
        <w:t>s</w:t>
      </w:r>
      <w:r>
        <w:t xml:space="preserve"> well as Animal Feeding Operations (AFO), which are non-point sources not necessarily covered under the CWA, as well as planted and grazed fields. Most buffers will change not only how the farm functions but also how it appears. In some </w:t>
      </w:r>
      <w:r w:rsidR="00AB4715">
        <w:t>cases,</w:t>
      </w:r>
      <w:r>
        <w:t xml:space="preserve"> this change is through the addition of watering facilities or non-historic tree lines and fences. They are changes that are proven effective in increasing water quality, but meet resistance from farmers as they are not affordable changes and reduce the amount of arable land at their disposal.</w:t>
      </w:r>
    </w:p>
    <w:p w14:paraId="00000106" w14:textId="45C3DD9C" w:rsidR="00D7661C" w:rsidRDefault="004B2BBB">
      <w:r>
        <w:tab/>
        <w:t xml:space="preserve">When looking at installation of buffers, the riparian zone receives a lot of attention from biologists and conservationists. The reasons are touched on above when discussing nutrient loss and water retention both through runoff and through water held in the soil. Authors </w:t>
      </w:r>
      <w:proofErr w:type="spellStart"/>
      <w:r>
        <w:t>Naimen</w:t>
      </w:r>
      <w:proofErr w:type="spellEnd"/>
      <w:r>
        <w:t xml:space="preserve"> and </w:t>
      </w:r>
      <w:proofErr w:type="spellStart"/>
      <w:r>
        <w:t>Décamps</w:t>
      </w:r>
      <w:proofErr w:type="spellEnd"/>
      <w:r>
        <w:t xml:space="preserve"> define the riparian zone as encompassing “the stream channel between the low and </w:t>
      </w:r>
      <w:proofErr w:type="gramStart"/>
      <w:r>
        <w:t>high water</w:t>
      </w:r>
      <w:proofErr w:type="gramEnd"/>
      <w:r>
        <w:t xml:space="preserve"> marks and that portion of the terrestrial landscape from the high water mark toward the uplands where vegetation may be influenced by elevated water tables or flooding and by the ability of the soils to hold water.”</w:t>
      </w:r>
      <w:r>
        <w:rPr>
          <w:vertAlign w:val="superscript"/>
        </w:rPr>
        <w:footnoteReference w:id="157"/>
      </w:r>
      <w:r>
        <w:t xml:space="preserve"> Management of the riparian zone, is central to farms and the Bay restoration. </w:t>
      </w:r>
    </w:p>
    <w:p w14:paraId="00000107" w14:textId="14D40381" w:rsidR="00D7661C" w:rsidRDefault="004B2BBB">
      <w:r>
        <w:tab/>
        <w:t xml:space="preserve">Closer to the stream edges are other equally important methods to control the nutrient runoff from both the topsoil and the subsurface waters before they enter waterways. </w:t>
      </w:r>
      <w:proofErr w:type="spellStart"/>
      <w:r>
        <w:t>Hassett</w:t>
      </w:r>
      <w:proofErr w:type="spellEnd"/>
      <w:r>
        <w:t xml:space="preserve"> et al. note that the two major efforts to riparian restoration are the planting of new vegetative buffers--including trees--and the installation of fences that keep cattle and other livestock from entering </w:t>
      </w:r>
      <w:r>
        <w:lastRenderedPageBreak/>
        <w:t>the streams.</w:t>
      </w:r>
      <w:r>
        <w:rPr>
          <w:vertAlign w:val="superscript"/>
        </w:rPr>
        <w:footnoteReference w:id="158"/>
      </w:r>
      <w:r>
        <w:t xml:space="preserve"> These strategies have a restorative effect and help control pollution and runoff. Not only do the trees absorb nitrogen, but as they drop leaves and branches, they create an organically rich layer of soil. The Maryland Department of Natural Resources (DNR) cites this layer as an absorptive layer “that stores water and nutrients, and converts fertilizers and pollutants into environmentally-safe compounds that can be absorbed by trees and vegetation.”</w:t>
      </w:r>
      <w:r>
        <w:rPr>
          <w:vertAlign w:val="superscript"/>
        </w:rPr>
        <w:footnoteReference w:id="159"/>
      </w:r>
      <w:r>
        <w:t xml:space="preserve"> DNR lists additional benefits to streams from planted trees, such as creating cooling shade (10-20 degrees cooler than unshaded areas) and encouraging “microenvironments,” both enabling greater biodiversity in the local ecosystem.</w:t>
      </w:r>
      <w:r>
        <w:rPr>
          <w:vertAlign w:val="superscript"/>
        </w:rPr>
        <w:footnoteReference w:id="160"/>
      </w:r>
    </w:p>
    <w:p w14:paraId="00000108" w14:textId="04D6B4DF" w:rsidR="00D7661C" w:rsidRDefault="004B2BBB">
      <w:pPr>
        <w:ind w:firstLine="720"/>
      </w:pPr>
      <w:r>
        <w:t xml:space="preserve">These are two BMPs that occur closer to the water’s edge. They require a balance between the restoration of the waterway and the needs of the farmer. A third perspective is from the vantage of someone who enjoys the scenery but does not know the interconnected nature of the farm and waterways. From the passersby perspective, there is the bucolic vista created by neatly planted fields--or pastureland with animals--rolling down to a stream. This vision is disrupted by the addition of a fence line or fully blocked with the addition of a tree line. I argued in Chapter II that this vision may be supported by a general public and therefore receive more attention from historic preservation and NRM, but it should not be the only consideration for historic preservation. Historic Preservation generally looks at changes and sees if they disrupt the integrity of a site. I will discuss integrity more in Chapter IV, but briefly it is the ability of a site to convey its significance. When the landscape is altered in the manner described above, the </w:t>
      </w:r>
      <w:r>
        <w:lastRenderedPageBreak/>
        <w:t xml:space="preserve">aesthetic value that helps define the farm is altered. This matters more when a farm is listed in the National Register than if it is </w:t>
      </w:r>
      <w:r w:rsidR="007443D1">
        <w:t>receiving</w:t>
      </w:r>
      <w:r>
        <w:t xml:space="preserve"> local historic preservation attention</w:t>
      </w:r>
      <w:r w:rsidR="00BC2006">
        <w:t xml:space="preserve"> without intent to list</w:t>
      </w:r>
      <w:r>
        <w:t xml:space="preserve">. </w:t>
      </w:r>
    </w:p>
    <w:p w14:paraId="00000109" w14:textId="2245F956" w:rsidR="00D7661C" w:rsidRDefault="004B2BBB" w:rsidP="007443D1">
      <w:pPr>
        <w:ind w:firstLine="720"/>
      </w:pPr>
      <w:r>
        <w:t>While fencing and riparian buffers are demonstrably successful at decreasing farm runoff into waterways, t</w:t>
      </w:r>
      <w:r w:rsidR="007443D1">
        <w:t>he</w:t>
      </w:r>
      <w:r>
        <w:t xml:space="preserve"> Chesapeake Bay Commission listed 10 reasons why farmers resist these practices, which include lack of financial support for installations and the perception of intrusion by government in farm business.</w:t>
      </w:r>
      <w:r>
        <w:rPr>
          <w:vertAlign w:val="superscript"/>
        </w:rPr>
        <w:footnoteReference w:id="161"/>
      </w:r>
      <w:r>
        <w:t xml:space="preserve"> Land that is allocated for fencing or riparian buffers is either arable crop land or pasture, both of which help to generate revenue for the farmer. The creation of these buffers results in a loss of usable land for the farmer. Tom Pelton writes in </w:t>
      </w:r>
      <w:r>
        <w:rPr>
          <w:i/>
        </w:rPr>
        <w:t>The Chesapeake in Focus: Transforming the Natural World,</w:t>
      </w:r>
      <w:r>
        <w:t xml:space="preserve"> that he found farmers saying that planting trees, even with subsidies, would not balance what they could earn in the ethanol market by planting corn in that same acreage.</w:t>
      </w:r>
      <w:r>
        <w:rPr>
          <w:vertAlign w:val="superscript"/>
        </w:rPr>
        <w:footnoteReference w:id="162"/>
      </w:r>
      <w:r>
        <w:t xml:space="preserve"> The </w:t>
      </w:r>
      <w:r w:rsidR="00295108">
        <w:t xml:space="preserve">Chesapeake </w:t>
      </w:r>
      <w:r>
        <w:t>B</w:t>
      </w:r>
      <w:r w:rsidR="00295108">
        <w:t xml:space="preserve">ay </w:t>
      </w:r>
      <w:r>
        <w:t>P</w:t>
      </w:r>
      <w:r w:rsidR="00295108">
        <w:t>rogram</w:t>
      </w:r>
      <w:r>
        <w:t xml:space="preserve"> echoes the high cost of commodities limiting or reducing the planting of new riparian buffers, as well as a lack of resources to help farmers.</w:t>
      </w:r>
      <w:r>
        <w:rPr>
          <w:vertAlign w:val="superscript"/>
        </w:rPr>
        <w:footnoteReference w:id="163"/>
      </w:r>
      <w:r>
        <w:t xml:space="preserve"> There is also the issue of livestock needing access to water for drinking and cooling. If the waterway access is removed farmers would have to invest in alternative systems.</w:t>
      </w:r>
      <w:r>
        <w:rPr>
          <w:vertAlign w:val="superscript"/>
        </w:rPr>
        <w:footnoteReference w:id="164"/>
      </w:r>
      <w:r>
        <w:t xml:space="preserve"> Again, this is a situation where some farmers will make the decision to </w:t>
      </w:r>
      <w:r>
        <w:lastRenderedPageBreak/>
        <w:t>plant the buffers despite the financial loss. Their decision may be driven either from environmentally conscious motives or an ability to lose that income without jeopardizing the farm’s prosperity.</w:t>
      </w:r>
    </w:p>
    <w:p w14:paraId="0000010A" w14:textId="717B2378" w:rsidR="00D7661C" w:rsidRDefault="004B2BBB">
      <w:r>
        <w:tab/>
        <w:t>The benefits to water quality by implementing stream exclusion through fencing and riparian buffers are significant. Cattle grazing into the streams remove vegetation from the banks leaves them susceptible to erosion.</w:t>
      </w:r>
      <w:r>
        <w:rPr>
          <w:vertAlign w:val="superscript"/>
        </w:rPr>
        <w:footnoteReference w:id="165"/>
      </w:r>
      <w:r>
        <w:t xml:space="preserve"> This vegetation is also the last filter for upland deposits before entering the waterway. As livestock enter the waterways to cool off and drink, they increase sedimentation in the water as well as adding their excrement directly without filtration.</w:t>
      </w:r>
      <w:r>
        <w:rPr>
          <w:vertAlign w:val="superscript"/>
        </w:rPr>
        <w:footnoteReference w:id="166"/>
      </w:r>
      <w:r>
        <w:t xml:space="preserve"> The C</w:t>
      </w:r>
      <w:r w:rsidR="00295108">
        <w:t xml:space="preserve">hesapeake </w:t>
      </w:r>
      <w:r>
        <w:t>B</w:t>
      </w:r>
      <w:r w:rsidR="00295108">
        <w:t xml:space="preserve">ay </w:t>
      </w:r>
      <w:r>
        <w:t>C</w:t>
      </w:r>
      <w:r w:rsidR="00295108">
        <w:t>ommission</w:t>
      </w:r>
      <w:r>
        <w:t xml:space="preserve"> also notes that livestock exposed to waterways that are degraded in quality due to pollution have related health issues.</w:t>
      </w:r>
      <w:r>
        <w:rPr>
          <w:vertAlign w:val="superscript"/>
        </w:rPr>
        <w:footnoteReference w:id="167"/>
      </w:r>
    </w:p>
    <w:p w14:paraId="0000010B" w14:textId="56492B6F" w:rsidR="00D7661C" w:rsidRDefault="004B2BBB">
      <w:r>
        <w:tab/>
        <w:t>In most cases, stream exclusion is voluntary but encouraged as a BMP. In the case that a farm is designated a concentrated animal feed operation, it is required under the C</w:t>
      </w:r>
      <w:r w:rsidR="000360BB">
        <w:t xml:space="preserve">lean </w:t>
      </w:r>
      <w:r>
        <w:t>W</w:t>
      </w:r>
      <w:r w:rsidR="000360BB">
        <w:t xml:space="preserve">ater </w:t>
      </w:r>
      <w:r>
        <w:t>A</w:t>
      </w:r>
      <w:r w:rsidR="000360BB">
        <w:t>ct</w:t>
      </w:r>
      <w:r>
        <w:t xml:space="preserve"> to apply for a permit to handle waste discharge. The National Pollution Discharge Elimination System (NPDES, known as VPDES in Virginia) regulates the activities on CAFOs to minimize polluting effects of large quantities of manure being stored. One of the EPA’s criteria through permitting is to prevent these animals from ever entering waterways. In Maryland, the permit language says farm operators must avoid “direct contact of confined animals with waters of the </w:t>
      </w:r>
      <w:r>
        <w:lastRenderedPageBreak/>
        <w:t>State.”</w:t>
      </w:r>
      <w:r>
        <w:rPr>
          <w:vertAlign w:val="superscript"/>
        </w:rPr>
        <w:footnoteReference w:id="168"/>
      </w:r>
      <w:r>
        <w:t xml:space="preserve"> In 1980, Pennsylvania passed a statute that keeps farmers from having to erect fences to keep animals out of waterways. This “fence law” does not differentiate between a CAFO or smaller operation. The legislation reads, “No administrative agency of the Commonwealth or any political subdivision thereof shall require any person to erect a fence along a stream in a pasture or other field used for grazing of farm livestock for the purpose of keeping farm livestock out of the stream.”</w:t>
      </w:r>
      <w:r>
        <w:rPr>
          <w:vertAlign w:val="superscript"/>
        </w:rPr>
        <w:footnoteReference w:id="169"/>
      </w:r>
      <w:r>
        <w:t xml:space="preserve"> This shows that even armed with knowledge that stream exclusion is a benefit to the larger environment, there is still political interest in supporting farmers in how they currently operate. Farmers are not being forced to erect fences under the CWA or NPDEs, but it is an acknowledged best practice that meets resistance due to how it changes farm operations and</w:t>
      </w:r>
      <w:r w:rsidR="007443D1">
        <w:t xml:space="preserve"> </w:t>
      </w:r>
      <w:r>
        <w:t>its potential cost.</w:t>
      </w:r>
    </w:p>
    <w:p w14:paraId="0000010D" w14:textId="294E0EDC" w:rsidR="00D7661C" w:rsidRDefault="004B2BBB">
      <w:r>
        <w:tab/>
        <w:t>Exclusion fencing and riparian buffers are certainly important to the Bay restoration. Fencing and buffers also have on-farm benefits of keeping animals healthier, but they have a cost to the farmer for construction.</w:t>
      </w:r>
      <w:r>
        <w:rPr>
          <w:vertAlign w:val="superscript"/>
        </w:rPr>
        <w:footnoteReference w:id="170"/>
      </w:r>
      <w:r>
        <w:t xml:space="preserve"> As with the cover crop and no-till programs, there are incentives in place to aid farmers in the implementation of these programs. The largest federal </w:t>
      </w:r>
      <w:r>
        <w:lastRenderedPageBreak/>
        <w:t>program is the Conservation Reserve Enhancement Program (CREP) which is supplemented by the individual states to provide land rents--a payment to at least temporarily retire the parcel from agricultural use--of buffered areas, which also includes 50-100% coverage of fencing costs depending on the individual state program.</w:t>
      </w:r>
      <w:r>
        <w:rPr>
          <w:vertAlign w:val="superscript"/>
        </w:rPr>
        <w:footnoteReference w:id="171"/>
      </w:r>
      <w:r>
        <w:t xml:space="preserve"> A second federal program that aids farms is the Environmental Quality Improvement Program (EQIP) which can also be paired with state dollars to cost share the addition of exclusion fencing.</w:t>
      </w:r>
      <w:r>
        <w:rPr>
          <w:vertAlign w:val="superscript"/>
        </w:rPr>
        <w:footnoteReference w:id="172"/>
      </w:r>
      <w:r w:rsidR="007443D1">
        <w:t xml:space="preserve"> </w:t>
      </w:r>
      <w:r>
        <w:t>The federal and state incentives to defray these costs show how important federal and state agencies see these BMPs to ongoing restoration efforts. Unfortunately, this does not always guarantee that the funds from governments will be available. Program popularity has left farmers under-compensated at times or there have been cut-offs due to lack of funding. Thus, waivers and increased allocation of funding are part of the newest Farm Bill, which is now called the Agricultural Improvement Act of 2018.</w:t>
      </w:r>
      <w:r>
        <w:rPr>
          <w:vertAlign w:val="superscript"/>
        </w:rPr>
        <w:footnoteReference w:id="173"/>
      </w:r>
    </w:p>
    <w:p w14:paraId="0000010E" w14:textId="30CC14A2" w:rsidR="00D7661C" w:rsidRDefault="004B2BBB" w:rsidP="009D59A3">
      <w:pPr>
        <w:pStyle w:val="Heading2"/>
      </w:pPr>
      <w:bookmarkStart w:id="36" w:name="_Toc7863403"/>
      <w:r>
        <w:lastRenderedPageBreak/>
        <w:t>Other Conservation Programs</w:t>
      </w:r>
      <w:bookmarkEnd w:id="36"/>
    </w:p>
    <w:p w14:paraId="0000010F" w14:textId="18959CB7" w:rsidR="00D7661C" w:rsidRDefault="004B2BBB">
      <w:r>
        <w:tab/>
        <w:t>Changes to the nature of farmland through cover crops and tillage practice are affected not just through states making them BMPs or through federal and state funding like CREP and EQIP. Conservation groups--sometimes state organizations like Virginia Outdoors Foundation (VOF) or Maryland Environmental Trust (MET)--use easements to get permanent restrictions on agricultural lands and implement these BMPs. Easements are often tailored to particular farms or places. There are different “rights” that can be retired through the easement process and others right that are protected. Agricultural easements are designed to help protect the use of the land from development.</w:t>
      </w:r>
      <w:r>
        <w:rPr>
          <w:vertAlign w:val="superscript"/>
        </w:rPr>
        <w:footnoteReference w:id="174"/>
      </w:r>
      <w:r>
        <w:t xml:space="preserve"> Purchase Development Rights (PDRs) are one type of easement that, will prevent the further development of structures on the land. Easements are also used to regulate practices on the land as well as regulate resources that have conservation value. </w:t>
      </w:r>
    </w:p>
    <w:p w14:paraId="00000110" w14:textId="7F7977E8" w:rsidR="00D7661C" w:rsidRDefault="004B2BBB">
      <w:pPr>
        <w:ind w:firstLine="720"/>
      </w:pPr>
      <w:r>
        <w:t>Pennsylvania touts itself as being the national leader in “permanent farmland preservation.”</w:t>
      </w:r>
      <w:r>
        <w:rPr>
          <w:vertAlign w:val="superscript"/>
        </w:rPr>
        <w:footnoteReference w:id="175"/>
      </w:r>
      <w:r>
        <w:t xml:space="preserve"> The state has preserved over 500,000 acres of farmland through conservation easements.</w:t>
      </w:r>
      <w:r>
        <w:rPr>
          <w:vertAlign w:val="superscript"/>
        </w:rPr>
        <w:footnoteReference w:id="176"/>
      </w:r>
      <w:r>
        <w:t xml:space="preserve">  Of the 16,236 acres of farmland preserved in 2017, roughly  75% of farmers were willing to modify tillage practices, but only 9% were willing to improve stream bank protections </w:t>
      </w:r>
      <w:r>
        <w:lastRenderedPageBreak/>
        <w:t>like riparian buffers.</w:t>
      </w:r>
      <w:r>
        <w:rPr>
          <w:vertAlign w:val="superscript"/>
        </w:rPr>
        <w:footnoteReference w:id="177"/>
      </w:r>
      <w:r>
        <w:t xml:space="preserve"> This suggests that conservation goals of protecting the farm’s sustainability are being met, but not from the perspective of the ILA. On farm BMPs are working but more attention is needed to improve the stream banks. The banks are the buffer that can keep farm by-products from entering the waterways and compromising the larger environment. </w:t>
      </w:r>
      <w:r w:rsidR="007443D1">
        <w:t>Certainly,</w:t>
      </w:r>
      <w:r>
        <w:t xml:space="preserve"> tillage practices help, but there are still issues with animal waste, erosion and other pollutants that the buffers are shown to help with when installed.</w:t>
      </w:r>
    </w:p>
    <w:p w14:paraId="00000111" w14:textId="1EE5EFBF" w:rsidR="00D7661C" w:rsidRDefault="004B2BBB">
      <w:pPr>
        <w:ind w:firstLine="720"/>
      </w:pPr>
      <w:r>
        <w:t>The easement guidelines also take the historic significance of a place and structures into account when developing restrictions, though they will often pass on structures or archaeology to historic preservation groups--for example the Maryland Historic Trust (MHT) or Virginia Department of Historic Resources (VDHR)--who create their own restrictions based on historic preservation practices as opposed to NRM.</w:t>
      </w:r>
      <w:r>
        <w:rPr>
          <w:vertAlign w:val="superscript"/>
        </w:rPr>
        <w:footnoteReference w:id="178"/>
      </w:r>
    </w:p>
    <w:p w14:paraId="00000112" w14:textId="322A13F2" w:rsidR="00D7661C" w:rsidRDefault="004B2BBB">
      <w:pPr>
        <w:ind w:firstLine="720"/>
      </w:pPr>
      <w:r>
        <w:t xml:space="preserve">The use of easements also </w:t>
      </w:r>
      <w:r w:rsidR="007443D1">
        <w:t>applies</w:t>
      </w:r>
      <w:r>
        <w:t xml:space="preserve"> to the creation of stream buffers as well as the protection of wetlands and other sensitive areas. </w:t>
      </w:r>
      <w:r w:rsidR="007443D1">
        <w:t>The non-profit organization Eastern Shore Land Conservancy (ESLC) focuses on lands along the Chesapeake’s eastern shore of Maryland and has preserved 60,000 acres of land.</w:t>
      </w:r>
      <w:r w:rsidR="007443D1">
        <w:rPr>
          <w:vertAlign w:val="superscript"/>
        </w:rPr>
        <w:footnoteReference w:id="179"/>
      </w:r>
      <w:r w:rsidR="007443D1">
        <w:t xml:space="preserve"> In their easements, they create a 100’ buffer between waterways and agricultural land, that does not have to be planted with trees but cannot be </w:t>
      </w:r>
      <w:r w:rsidR="007443D1">
        <w:lastRenderedPageBreak/>
        <w:t>tilled.</w:t>
      </w:r>
      <w:r w:rsidR="007443D1">
        <w:rPr>
          <w:vertAlign w:val="superscript"/>
        </w:rPr>
        <w:footnoteReference w:id="180"/>
      </w:r>
      <w:r w:rsidR="007443D1">
        <w:t xml:space="preserve"> In Virginia, the Virginia Outdoors Foundation (VOF) easement templates “contain language to put buffers on any significant streams.”</w:t>
      </w:r>
      <w:r w:rsidR="007443D1">
        <w:rPr>
          <w:vertAlign w:val="superscript"/>
        </w:rPr>
        <w:footnoteReference w:id="181"/>
      </w:r>
      <w:r w:rsidR="007443D1">
        <w:t xml:space="preserve"> The VOF considers the size and impact of a waterway when considering riparian buffers and animal exclusion from the waterway instead of a flat regulation on all waterways.</w:t>
      </w:r>
      <w:r w:rsidR="007443D1">
        <w:rPr>
          <w:vertAlign w:val="superscript"/>
        </w:rPr>
        <w:footnoteReference w:id="182"/>
      </w:r>
      <w:r w:rsidR="007443D1">
        <w:t xml:space="preserve"> A one-size-fits-all strategy is replaced by  individual site-based  best solutions. Conservation groups see the importance of buffers and are incorporating them into their easements as another way of encouraging farmers to implement these practices.</w:t>
      </w:r>
    </w:p>
    <w:p w14:paraId="00000113" w14:textId="74328AA3" w:rsidR="00D7661C" w:rsidRDefault="004B2BBB">
      <w:r>
        <w:tab/>
        <w:t>The purchase of easements is being facilitated by the federal government. The 2014 Farm Bill established the Agricultural Conservation Easement Program (ACEP) with the goal of slowing the loss of agricultural land to non-agricultural uses.</w:t>
      </w:r>
      <w:r>
        <w:rPr>
          <w:vertAlign w:val="superscript"/>
        </w:rPr>
        <w:footnoteReference w:id="183"/>
      </w:r>
      <w:r>
        <w:t xml:space="preserve"> Over a </w:t>
      </w:r>
      <w:r w:rsidR="000C5FDD">
        <w:t>ten-year</w:t>
      </w:r>
      <w:r>
        <w:t xml:space="preserve"> period, $1 billion is being made available through matching grants to help land trusts purchase easements on agricultural land.</w:t>
      </w:r>
      <w:r>
        <w:rPr>
          <w:vertAlign w:val="superscript"/>
        </w:rPr>
        <w:footnoteReference w:id="184"/>
      </w:r>
      <w:r>
        <w:t xml:space="preserve"> In essence, the value of the easement is based on the fair market value of the land less the agricultural value. This difference is the development value that can be severed with an easement. There are other easement types that have corresponding </w:t>
      </w:r>
      <w:r w:rsidR="000005B6">
        <w:t>values-based</w:t>
      </w:r>
      <w:r>
        <w:t xml:space="preserve"> on the lost value when the development right is severed from the property. </w:t>
      </w:r>
    </w:p>
    <w:p w14:paraId="00000114" w14:textId="77777777" w:rsidR="00D7661C" w:rsidRDefault="004B2BBB">
      <w:pPr>
        <w:ind w:firstLine="720"/>
      </w:pPr>
      <w:r>
        <w:lastRenderedPageBreak/>
        <w:t>There are alternatives to the outright purchase of an easement such as a bargain sale. If the easement is sold for less than the fair market value, the difference can be considered a donation.</w:t>
      </w:r>
      <w:r>
        <w:rPr>
          <w:vertAlign w:val="superscript"/>
        </w:rPr>
        <w:footnoteReference w:id="185"/>
      </w:r>
      <w:r>
        <w:t xml:space="preserve"> The federal tax code states that for donations to be tax deductible, the farm must inspire a genuine conservation interest, serve a public need such as scenic enjoyment, be donated to a certified not-for-profit entity, and exist in perpetuity.</w:t>
      </w:r>
      <w:r>
        <w:rPr>
          <w:vertAlign w:val="superscript"/>
        </w:rPr>
        <w:footnoteReference w:id="186"/>
      </w:r>
      <w:r>
        <w:t xml:space="preserve"> The bargain sale is a useful tool if the value of an easement is too high for purchase, but the farmer can use the charitable donation to offset tax burden when the easement purchase is in the best interest of preserving the farm.</w:t>
      </w:r>
    </w:p>
    <w:p w14:paraId="00000115" w14:textId="77777777" w:rsidR="00D7661C" w:rsidRDefault="004B2BBB">
      <w:pPr>
        <w:ind w:firstLine="720"/>
      </w:pPr>
      <w:r>
        <w:t>These easement tools help incentivize farmers to divest their development rights. In Virginia, much of the conservation easements are donated, but that is changing with the growth of PDRs and a 40% Land Preservation Tax Credit.</w:t>
      </w:r>
      <w:r>
        <w:rPr>
          <w:vertAlign w:val="superscript"/>
        </w:rPr>
        <w:footnoteReference w:id="187"/>
      </w:r>
      <w:r>
        <w:t xml:space="preserve"> When these programs are successfully coupled with BMPs, there is a large benefit not only to the farmer, but to that land’s continued use and the larger landscape.</w:t>
      </w:r>
    </w:p>
    <w:p w14:paraId="00000116" w14:textId="585A1A4D" w:rsidR="00D7661C" w:rsidRDefault="004B2BBB" w:rsidP="009D59A3">
      <w:pPr>
        <w:pStyle w:val="Heading2"/>
      </w:pPr>
      <w:bookmarkStart w:id="37" w:name="_Toc7863404"/>
      <w:r>
        <w:t>Conclusions</w:t>
      </w:r>
      <w:bookmarkEnd w:id="37"/>
    </w:p>
    <w:p w14:paraId="00000117" w14:textId="308AC349" w:rsidR="00D7661C" w:rsidRDefault="004B2BBB">
      <w:r>
        <w:tab/>
        <w:t xml:space="preserve">The work of the Chesapeake Bay Commission and partner groups recognizes that the Chesapeake Bay restoration does not happen without actions by farms. There is also the recognition among these groups that farms need to be supported. The Chesapeake Bay Foundation points out that the filtration capacity of farmland is better than developed land--and </w:t>
      </w:r>
      <w:r>
        <w:lastRenderedPageBreak/>
        <w:t>developed land is unlikely to ever revert to green space once developed.</w:t>
      </w:r>
      <w:r>
        <w:rPr>
          <w:vertAlign w:val="superscript"/>
        </w:rPr>
        <w:footnoteReference w:id="188"/>
      </w:r>
      <w:r>
        <w:t xml:space="preserve"> Therefore, there is more benefit to the Chesapeake Bay if farms are better managed than if they are lost to development. Farms can become filters for pollutants whereas developed areas of impervious surfaces act as both “conduits and sources of pollution.”</w:t>
      </w:r>
      <w:r>
        <w:rPr>
          <w:vertAlign w:val="superscript"/>
        </w:rPr>
        <w:footnoteReference w:id="189"/>
      </w:r>
      <w:r>
        <w:t xml:space="preserve"> This is all reflective of the integrated landscape approach, where correcting one part of a damaged system cannot be done without balancing the needs of another part.</w:t>
      </w:r>
    </w:p>
    <w:p w14:paraId="00000118" w14:textId="5DD8D485" w:rsidR="00D7661C" w:rsidRDefault="004B2BBB">
      <w:r>
        <w:tab/>
        <w:t>This chapter does not cover every aspect of the best management practices suggested for farms in the Chesapeake watershed. Cover crops, tillage, buffers, and fences are some of the most prominent and beneficial programs. By creating funding sources on the private, state and federal levels, there is an opportunity to affect change on farms without substantial financial hardship to the farmer. The most difficult aspects of engaging farmers as stakeholders in the Bay restoration are encouraging change and then aiding farmers in the technical aspects. The Chesapeake Bay Commission recognizes the lack of technical assistance and the shortage of funding to implement pollution controls on farms.</w:t>
      </w:r>
      <w:r>
        <w:rPr>
          <w:vertAlign w:val="superscript"/>
        </w:rPr>
        <w:footnoteReference w:id="190"/>
      </w:r>
      <w:r>
        <w:t xml:space="preserve"> Farmers need to be engaged as stakeholders, given financial support, and shown that their contributions are also valued as part of the landscape and the community.</w:t>
      </w:r>
    </w:p>
    <w:p w14:paraId="00000119" w14:textId="2C01370C" w:rsidR="00D7661C" w:rsidRDefault="004B2BBB">
      <w:pPr>
        <w:ind w:firstLine="720"/>
      </w:pPr>
      <w:r>
        <w:t xml:space="preserve">From a historic preservation perspective, there are challenges to the integrity of the farms introduced by the changes in their appearance and function. If the idea of historic preservation is </w:t>
      </w:r>
      <w:r>
        <w:lastRenderedPageBreak/>
        <w:t>to signal a period of significance for a landscape, then changing the practices and built environment of the landscape to meet contemporary needs signifies a challenge to the historic integrity of that place. These changes to historic landscapes are needed not only for the restoration of the Bay, but also to keep the farms sustainable in the larger context as pointed out in Chapter II. These needed changes challenge historic preservation to identify what it is about farms that makes them significant--the land or the practice.</w:t>
      </w:r>
    </w:p>
    <w:p w14:paraId="0000011A" w14:textId="77777777" w:rsidR="00D7661C" w:rsidRDefault="004B2BBB">
      <w:r>
        <w:br w:type="page"/>
      </w:r>
    </w:p>
    <w:p w14:paraId="0000011B" w14:textId="77777777" w:rsidR="00D7661C" w:rsidRDefault="00D7661C">
      <w:pPr>
        <w:rPr>
          <w:sz w:val="12"/>
          <w:szCs w:val="12"/>
        </w:rPr>
      </w:pPr>
    </w:p>
    <w:p w14:paraId="0000011C" w14:textId="77777777" w:rsidR="00D7661C" w:rsidRDefault="00D7661C">
      <w:pPr>
        <w:rPr>
          <w:sz w:val="12"/>
          <w:szCs w:val="12"/>
        </w:rPr>
      </w:pPr>
    </w:p>
    <w:p w14:paraId="0000011D" w14:textId="77777777" w:rsidR="00D7661C" w:rsidRDefault="00D7661C">
      <w:pPr>
        <w:rPr>
          <w:sz w:val="12"/>
          <w:szCs w:val="12"/>
        </w:rPr>
      </w:pPr>
    </w:p>
    <w:p w14:paraId="0000011E" w14:textId="77777777" w:rsidR="00D7661C" w:rsidRDefault="00D7661C">
      <w:pPr>
        <w:rPr>
          <w:sz w:val="12"/>
          <w:szCs w:val="12"/>
        </w:rPr>
      </w:pPr>
    </w:p>
    <w:p w14:paraId="0000011F" w14:textId="4D839C20" w:rsidR="00D7661C" w:rsidRDefault="004B2BBB" w:rsidP="00115E79">
      <w:pPr>
        <w:pStyle w:val="Heading1"/>
      </w:pPr>
      <w:bookmarkStart w:id="38" w:name="_Toc7863405"/>
      <w:r>
        <w:t>CHAPTER IV</w:t>
      </w:r>
      <w:bookmarkEnd w:id="38"/>
    </w:p>
    <w:p w14:paraId="00000120" w14:textId="3AD00EC4" w:rsidR="00D7661C" w:rsidRDefault="004B2BBB" w:rsidP="00115E79">
      <w:pPr>
        <w:pStyle w:val="Heading1"/>
      </w:pPr>
      <w:bookmarkStart w:id="39" w:name="_Toc7806090"/>
      <w:bookmarkStart w:id="40" w:name="_Toc7863406"/>
      <w:r>
        <w:t>PRESERVATION THINKING AND EVOLVING VALUES</w:t>
      </w:r>
      <w:bookmarkEnd w:id="39"/>
      <w:bookmarkEnd w:id="40"/>
    </w:p>
    <w:p w14:paraId="00000121" w14:textId="03FB7141" w:rsidR="00D7661C" w:rsidRDefault="00D7661C"/>
    <w:p w14:paraId="60348C79" w14:textId="77777777" w:rsidR="00CC1EF7" w:rsidRDefault="00CC1EF7"/>
    <w:p w14:paraId="00000122" w14:textId="4112B6A0" w:rsidR="00D7661C" w:rsidRDefault="004B2BBB">
      <w:r>
        <w:tab/>
        <w:t xml:space="preserve">Chapters II and III look at the current restoration efforts focused on the Chesapeake Bay. Chapter II links the farm directly to pollutants harming the Bay while Chapter III addresses how conservation efforts are trying to implement change on the farm. The discussion thus far focuses less on how </w:t>
      </w:r>
      <w:r>
        <w:rPr>
          <w:i/>
        </w:rPr>
        <w:t>historic preservation</w:t>
      </w:r>
      <w:r>
        <w:t xml:space="preserve"> is--or should be--engaging with farm preservation. Some of this lack of engagement by historic preservation professionals can be attributed to the historic preservation field being less adapted to the preservation of working landscapes and accommodating change. </w:t>
      </w:r>
      <w:r w:rsidRPr="009378AF">
        <w:rPr>
          <w:i/>
        </w:rPr>
        <w:t xml:space="preserve">Natural </w:t>
      </w:r>
      <w:r w:rsidR="009378AF">
        <w:rPr>
          <w:i/>
        </w:rPr>
        <w:t>R</w:t>
      </w:r>
      <w:r w:rsidRPr="009378AF">
        <w:rPr>
          <w:i/>
        </w:rPr>
        <w:t xml:space="preserve">esource </w:t>
      </w:r>
      <w:r w:rsidR="009378AF">
        <w:rPr>
          <w:i/>
        </w:rPr>
        <w:t>M</w:t>
      </w:r>
      <w:r w:rsidRPr="009378AF">
        <w:rPr>
          <w:i/>
        </w:rPr>
        <w:t xml:space="preserve">anagement </w:t>
      </w:r>
      <w:r>
        <w:t>(NRM),</w:t>
      </w:r>
      <w:r w:rsidR="009378AF">
        <w:t xml:space="preserve"> </w:t>
      </w:r>
      <w:r>
        <w:t xml:space="preserve">a separate but related field, has developed its own preservation standards for landscapes and is often more engaged in these spaces (including farms and the Chesapeake Bay) than historic preservation.  </w:t>
      </w:r>
    </w:p>
    <w:p w14:paraId="00000123" w14:textId="76E345E0" w:rsidR="00D7661C" w:rsidRDefault="004B2BBB">
      <w:r>
        <w:tab/>
        <w:t>This chapter will provide a critical analysis of how historic pre</w:t>
      </w:r>
      <w:r w:rsidR="000C5FDD">
        <w:t>servation engages with farms</w:t>
      </w:r>
      <w:r>
        <w:t xml:space="preserve">. The first part of this chapter looks at historic preservation in the U.S. and how the field can address farm preservation through the lens of Traditional Cultural Properties (TCPs). The TCP is a category laid out by the National Park Service often reserved for designating Native American sites as historic resources. Whether or not the goal of farm preservation is listing in the National Register, the TCP framework is helpful for looking at and understanding a dynamic natural and cultural landscape like a farm </w:t>
      </w:r>
    </w:p>
    <w:p w14:paraId="00000124" w14:textId="780B587C" w:rsidR="00D7661C" w:rsidRDefault="004B2BBB">
      <w:r>
        <w:lastRenderedPageBreak/>
        <w:tab/>
        <w:t>The second part of the chapter explores how other countries think about their farm landscapes. Because other cultures</w:t>
      </w:r>
      <w:r w:rsidR="009378AF">
        <w:t>,</w:t>
      </w:r>
      <w:r>
        <w:t xml:space="preserve"> both within the U.S. as well as abroad, have different ways of seeing the significance and expressing the values of a place, it is helpful to look at what other countries and regions are doing to address the issues of sustainability and disappearing agricultural landscapes. Some of these approaches are already present or are being developed in U.S. practice, while other approaches are not present.</w:t>
      </w:r>
    </w:p>
    <w:p w14:paraId="00000125" w14:textId="2A90B7C2" w:rsidR="00D7661C" w:rsidRDefault="004B2BBB">
      <w:r>
        <w:tab/>
        <w:t>Historic preservation is bound to look at farms either for their architecture--the house and outbuildings--or as a cultural landscape. Using a</w:t>
      </w:r>
      <w:r w:rsidR="009378AF">
        <w:t xml:space="preserve"> </w:t>
      </w:r>
      <w:r>
        <w:t>comparative</w:t>
      </w:r>
      <w:r w:rsidR="009378AF">
        <w:t xml:space="preserve"> </w:t>
      </w:r>
      <w:r>
        <w:t xml:space="preserve">critical analysis, this chapter will look at the traditional way historic preservation has viewed farms. The chapter breaks down how the cultural landscape concept fails a working landscape. It is possible that </w:t>
      </w:r>
      <w:r>
        <w:rPr>
          <w:i/>
        </w:rPr>
        <w:t xml:space="preserve">historic </w:t>
      </w:r>
      <w:r>
        <w:t xml:space="preserve">preservation has no place in a landscape that is still working. The history of a working landscape is ongoing--not relegated to the past--so there is not necessarily something that has stopped, or in need of preservation in the traditional sense. If historic preservation is involved with working farms, the TCP (which I argue uses a values-based approach) is a better strategy for preservation. </w:t>
      </w:r>
      <w:r w:rsidR="00295108">
        <w:t>H</w:t>
      </w:r>
      <w:r>
        <w:t>istoric preservation practitioners need to see farms for what they are, not what they were. Instead of using an expert driven approach, the values</w:t>
      </w:r>
      <w:r w:rsidR="009378AF">
        <w:t>-</w:t>
      </w:r>
      <w:r>
        <w:t xml:space="preserve">based approach necessitates that the experts work collaboratively with the constituent parties to assess a place for what is significant. </w:t>
      </w:r>
    </w:p>
    <w:p w14:paraId="00000126" w14:textId="254DC30F" w:rsidR="00D7661C" w:rsidRDefault="004B2BBB" w:rsidP="009D59A3">
      <w:pPr>
        <w:pStyle w:val="Heading2"/>
      </w:pPr>
      <w:bookmarkStart w:id="41" w:name="_Toc7863407"/>
      <w:r>
        <w:t>Farms: Work</w:t>
      </w:r>
      <w:r>
        <w:rPr>
          <w:i/>
        </w:rPr>
        <w:t xml:space="preserve">ing </w:t>
      </w:r>
      <w:r>
        <w:t>Landscapes</w:t>
      </w:r>
      <w:bookmarkEnd w:id="41"/>
    </w:p>
    <w:p w14:paraId="00000127" w14:textId="114C3B4B" w:rsidR="00D7661C" w:rsidRDefault="004B2BBB">
      <w:r>
        <w:tab/>
        <w:t xml:space="preserve">Deciding where farms fall into historic preservation is difficult. The structures of older farms can achieve significance on their own based on architecture or use, but it is the </w:t>
      </w:r>
      <w:r>
        <w:rPr>
          <w:i/>
        </w:rPr>
        <w:t>spaces--</w:t>
      </w:r>
      <w:r>
        <w:t>planted fields, paddocks, and pasture</w:t>
      </w:r>
      <w:r>
        <w:rPr>
          <w:i/>
        </w:rPr>
        <w:t>--</w:t>
      </w:r>
      <w:r>
        <w:t xml:space="preserve">where the nature of the farm also exists that are equally or </w:t>
      </w:r>
      <w:r>
        <w:lastRenderedPageBreak/>
        <w:t xml:space="preserve">more important. Deciding if a farm’s significance is related to the architecture, a cultural landscape, or a traditional cultural property is one challenge faced by </w:t>
      </w:r>
      <w:r w:rsidR="00295108">
        <w:t xml:space="preserve">historic </w:t>
      </w:r>
      <w:r>
        <w:t>preservationists and how they engage with a farm. Current historic preservation treatments do not embrace the changing nature of farms. The field of land conservation has engaged with maintaining open spaces, including working farms, to try to protect them from significant</w:t>
      </w:r>
      <w:r w:rsidR="009378AF">
        <w:t xml:space="preserve"> </w:t>
      </w:r>
      <w:r>
        <w:t>change while keeping them viable.</w:t>
      </w:r>
    </w:p>
    <w:p w14:paraId="00000128" w14:textId="411DA01D" w:rsidR="00D7661C" w:rsidRDefault="004B2BBB">
      <w:pPr>
        <w:ind w:firstLine="720"/>
        <w:rPr>
          <w:highlight w:val="white"/>
        </w:rPr>
      </w:pPr>
      <w:r>
        <w:rPr>
          <w:highlight w:val="white"/>
        </w:rPr>
        <w:t>Agriculture includes both the tangible and the intangible elements that contribute to cultural heritage. The National Park Service sees its mission as the preservation of the tangible (through preservation efforts such as listing in the National Register of Historic Places and the National Historic Landmarks Program) but acknowledges that the tangible and intangible are “often deeply intertwined,” going on to list federal agencies like the American Folklife Center, who work with intangible culture through recordation in various forms and acknowledgement.</w:t>
      </w:r>
      <w:r>
        <w:rPr>
          <w:highlight w:val="white"/>
          <w:vertAlign w:val="superscript"/>
        </w:rPr>
        <w:footnoteReference w:id="191"/>
      </w:r>
      <w:r>
        <w:rPr>
          <w:highlight w:val="white"/>
        </w:rPr>
        <w:t xml:space="preserve"> </w:t>
      </w:r>
    </w:p>
    <w:p w14:paraId="00000129" w14:textId="77777777" w:rsidR="00D7661C" w:rsidRDefault="004B2BBB">
      <w:pPr>
        <w:ind w:firstLine="720"/>
        <w:rPr>
          <w:highlight w:val="white"/>
        </w:rPr>
      </w:pPr>
      <w:r>
        <w:rPr>
          <w:highlight w:val="white"/>
        </w:rPr>
        <w:t xml:space="preserve">It is indeed difficult to separate the tangible from the intangible. Farms are a great example of this. Farming is a practice that is typically passed on from generation to generation, that happens in a fixed place. Depending on where that place is and when it took place (or continues to take place), the practice of farming changes. This difference in practice is impacted by the climate of a region. It also depends on where the ancestors of the practitioners came from, which may be expressed through the architecture and other traditions. Through modern farming techniques, farmers have the ability to adapt a landscape and techniques to better suit new and developing markets, and also develop approaches that are environmentally responsible as seen in </w:t>
      </w:r>
      <w:r>
        <w:rPr>
          <w:highlight w:val="white"/>
        </w:rPr>
        <w:lastRenderedPageBreak/>
        <w:t xml:space="preserve">Chapter III. While these adaptations and changing approaches dilute inherited traditions, the practice of farming remains. </w:t>
      </w:r>
    </w:p>
    <w:p w14:paraId="4B6D1F7D" w14:textId="6252FA8D" w:rsidR="00383D71" w:rsidRDefault="004B2BBB" w:rsidP="009D59A3">
      <w:pPr>
        <w:pStyle w:val="Heading2"/>
      </w:pPr>
      <w:bookmarkStart w:id="42" w:name="_Toc7863408"/>
      <w:r>
        <w:t>Cultural Landscapes: The Wrong Tool for Working Farms</w:t>
      </w:r>
      <w:bookmarkEnd w:id="42"/>
    </w:p>
    <w:p w14:paraId="7D283311" w14:textId="0A3C18A0" w:rsidR="00383D71" w:rsidRDefault="004B2BBB">
      <w:pPr>
        <w:ind w:firstLine="720"/>
      </w:pPr>
      <w:r>
        <w:t>Historic preservation of farms should be focused on keeping practice and place tied together. For historic preservationists, this often means the listing of a place in the National Register. For listing, I argue that the TCP</w:t>
      </w:r>
      <w:r w:rsidR="009378AF">
        <w:t xml:space="preserve"> </w:t>
      </w:r>
      <w:r>
        <w:t>designation is best situated for this task using Criterion A which allows inclusion of sites in the National Register of Historic Places “that are associated with events that have made a significant contribution to the broad patterns of our history.”</w:t>
      </w:r>
      <w:r>
        <w:rPr>
          <w:vertAlign w:val="superscript"/>
        </w:rPr>
        <w:footnoteReference w:id="192"/>
      </w:r>
      <w:r>
        <w:t xml:space="preserve"> Practitioners can look to Bulletin 38: Guidelines for the Evaluation of Traditional Cultural Properties</w:t>
      </w:r>
      <w:r>
        <w:rPr>
          <w:vertAlign w:val="superscript"/>
        </w:rPr>
        <w:footnoteReference w:id="193"/>
      </w:r>
      <w:r>
        <w:t xml:space="preserve"> for how to list the property. However, there is no guidance on treatments for TCPs the way there is for Cultural Landscapes in Preservation Brief 36.</w:t>
      </w:r>
      <w:r>
        <w:rPr>
          <w:vertAlign w:val="superscript"/>
        </w:rPr>
        <w:footnoteReference w:id="194"/>
      </w:r>
      <w:r>
        <w:t xml:space="preserve"> Nor are there further instructions for TCPs from the guidelines as there are for the treatment of Cultural Landscapes</w:t>
      </w:r>
      <w:r>
        <w:rPr>
          <w:vertAlign w:val="superscript"/>
        </w:rPr>
        <w:footnoteReference w:id="195"/>
      </w:r>
      <w:r>
        <w:t xml:space="preserve"> which are based on the four treatments laid out in the Secretary of the Interior’s Standards for the Treatment of Historic Properties.</w:t>
      </w:r>
      <w:r>
        <w:rPr>
          <w:vertAlign w:val="superscript"/>
        </w:rPr>
        <w:footnoteReference w:id="196"/>
      </w:r>
      <w:r>
        <w:t xml:space="preserve"> </w:t>
      </w:r>
    </w:p>
    <w:p w14:paraId="3E8978EF" w14:textId="308BE34D" w:rsidR="00383D71" w:rsidRDefault="00383D71">
      <w:pPr>
        <w:ind w:firstLine="720"/>
      </w:pPr>
      <w:r>
        <w:t xml:space="preserve">This can help to explain why the Cultural Landscape designation is easier for historic preservation practitioners. Having the guidance and treatments laid out makes it easier for </w:t>
      </w:r>
      <w:r>
        <w:lastRenderedPageBreak/>
        <w:t xml:space="preserve">preservationists to work with a site. Without instructions on guidance and treatments, the lens through which one looks at an object is unfocused. That the cultural landscape has these elements </w:t>
      </w:r>
      <w:r w:rsidR="00295108">
        <w:t xml:space="preserve">but this </w:t>
      </w:r>
      <w:r>
        <w:t xml:space="preserve">does not make it the better means for addressing or even viewing farms, just the easiest to access. </w:t>
      </w:r>
    </w:p>
    <w:p w14:paraId="0000012B" w14:textId="0CE66658" w:rsidR="00D7661C" w:rsidRDefault="004B2BBB">
      <w:pPr>
        <w:ind w:firstLine="720"/>
      </w:pPr>
      <w:r>
        <w:t xml:space="preserve">The treatments are discussed later in this chapter, but a quick review will show how they do not fit perfectly with the maintenance of farms. Successful preservation of farms should not be an “ok fit” but a tailored approach or one that allows accommodation for the particularities of individual farms and their needs which keep them sustainable. Each farm is different and engages with its environment in an individual way. For historic preservation to work in an </w:t>
      </w:r>
      <w:r w:rsidR="00295108">
        <w:t>I</w:t>
      </w:r>
      <w:r>
        <w:t xml:space="preserve">ntegrated </w:t>
      </w:r>
      <w:r w:rsidR="00295108">
        <w:t>L</w:t>
      </w:r>
      <w:r>
        <w:t xml:space="preserve">andscape </w:t>
      </w:r>
      <w:r w:rsidR="00295108">
        <w:t>A</w:t>
      </w:r>
      <w:r>
        <w:t xml:space="preserve">pproach (ILA) context, stakeholders need to be given their say in how historic preservation works. </w:t>
      </w:r>
      <w:r w:rsidR="009378AF">
        <w:t>T</w:t>
      </w:r>
      <w:r>
        <w:t xml:space="preserve">he </w:t>
      </w:r>
      <w:r w:rsidR="009378AF">
        <w:t>t</w:t>
      </w:r>
      <w:r>
        <w:t>reatment</w:t>
      </w:r>
      <w:r w:rsidR="009378AF">
        <w:t>s</w:t>
      </w:r>
      <w:r>
        <w:t xml:space="preserve"> of Cultural Landscapes are generally what is thought of when approaching the preservation of farms and other open spaces; however, I argue that it is not the right tools for farms based on an analysis of each of the four Treatments for Cultural Landscapes</w:t>
      </w:r>
      <w:r w:rsidR="000C5FDD">
        <w:t>.</w:t>
      </w:r>
    </w:p>
    <w:p w14:paraId="0000012C" w14:textId="26A1B231" w:rsidR="00D7661C" w:rsidRDefault="004B2BBB">
      <w:pPr>
        <w:pStyle w:val="Heading3"/>
      </w:pPr>
      <w:bookmarkStart w:id="43" w:name="_Toc7863409"/>
      <w:r>
        <w:t>Treatments for Farms as Cultural Landscapes</w:t>
      </w:r>
      <w:bookmarkEnd w:id="43"/>
    </w:p>
    <w:p w14:paraId="0000012D" w14:textId="77777777" w:rsidR="00D7661C" w:rsidRDefault="004B2BBB">
      <w:pPr>
        <w:ind w:firstLine="720"/>
      </w:pPr>
      <w:r>
        <w:t xml:space="preserve">The first treatment is </w:t>
      </w:r>
      <w:r>
        <w:rPr>
          <w:i/>
        </w:rPr>
        <w:t>preservation</w:t>
      </w:r>
      <w:r>
        <w:t xml:space="preserve">. While incorporated into practitioners’ titles and job descriptions, preservation is only one aspect of historic preservation practice. In the Standards, </w:t>
      </w:r>
      <w:r>
        <w:rPr>
          <w:i/>
        </w:rPr>
        <w:t xml:space="preserve">preservation </w:t>
      </w:r>
      <w:r>
        <w:t xml:space="preserve">is defined as “the act or process of applying measures necessary to sustain the existing form, integrity, and materials of an historic property” and goes further to say “[t]he Standards for Preservation require retention of the greatest amount of historic fabric along with </w:t>
      </w:r>
      <w:r>
        <w:lastRenderedPageBreak/>
        <w:t>the building’s historic form.”</w:t>
      </w:r>
      <w:r>
        <w:rPr>
          <w:vertAlign w:val="superscript"/>
        </w:rPr>
        <w:footnoteReference w:id="197"/>
      </w:r>
      <w:r>
        <w:t xml:space="preserve"> The Treatment of Cultural Landscapes expands on this by noting that “The character of a cultural landscape is defined by its spatial organization and land patterns; features such as topography, vegetation, and circulation; and materials, such as an embedded aggregate pavement.”</w:t>
      </w:r>
      <w:r>
        <w:rPr>
          <w:vertAlign w:val="superscript"/>
        </w:rPr>
        <w:footnoteReference w:id="198"/>
      </w:r>
      <w:r>
        <w:t xml:space="preserve"> </w:t>
      </w:r>
    </w:p>
    <w:p w14:paraId="0000012E" w14:textId="0A2A605F" w:rsidR="00D7661C" w:rsidRDefault="004B2BBB">
      <w:pPr>
        <w:ind w:firstLine="720"/>
      </w:pPr>
      <w:r>
        <w:t>When discussing preservation of farms, it is important to acknowledge the different meanings of terms when multiple disciplines are present in the same space. Natural Resource Management (NRM) is present in farm preservation and often more recognizable to outsiders. In NRM terminology, the idea of preservation is tied to a concept of arresting the development of a space, keeping it in as natural a state as possible.</w:t>
      </w:r>
      <w:r>
        <w:rPr>
          <w:vertAlign w:val="superscript"/>
        </w:rPr>
        <w:footnoteReference w:id="199"/>
      </w:r>
      <w:r>
        <w:t xml:space="preserve"> If an NRM definition of preservation is strictly understood when applied to farms, this can lead some to believe that the form of the farm or what existed before there was a farm, is more important than the engagement between humans and the land. Taken to its end, the NRM preservation approach leads one to question what aspects of the farm can change and still maintain integrity. </w:t>
      </w:r>
    </w:p>
    <w:p w14:paraId="0000012F" w14:textId="05FA6655" w:rsidR="00D7661C" w:rsidRDefault="004B2BBB">
      <w:pPr>
        <w:ind w:firstLine="720"/>
      </w:pPr>
      <w:r>
        <w:t xml:space="preserve">Whether a crop is changed or a dairy is built, these are changes to the form of the farm. While the methods of documenting a space called for under the historic preservation treatment can be of great benefit for study and knowing the current state of a farm, it is impractical to suggest that a farm can forever be maintained at a static point in time and remain viable. The historic preservation treatment </w:t>
      </w:r>
      <w:r w:rsidR="00232A61">
        <w:t>assumes</w:t>
      </w:r>
      <w:r>
        <w:t xml:space="preserve"> that what is currently present is the most important form </w:t>
      </w:r>
      <w:r>
        <w:lastRenderedPageBreak/>
        <w:t>and that prior iterations were not significant. To the contrary, those changes are significant in that they are what kept the farm active and viable, and that change in the future is what is needed if the farm is to remain financially sustainable.</w:t>
      </w:r>
    </w:p>
    <w:p w14:paraId="00000130" w14:textId="12BDFF06" w:rsidR="00D7661C" w:rsidRDefault="004B2BBB">
      <w:pPr>
        <w:ind w:firstLine="720"/>
      </w:pPr>
      <w:r>
        <w:t xml:space="preserve">The second treatment from the Standards is </w:t>
      </w:r>
      <w:r>
        <w:rPr>
          <w:i/>
        </w:rPr>
        <w:t>rehabilitation,</w:t>
      </w:r>
      <w:r>
        <w:t xml:space="preserve"> defined as the “act or process of making possible a compatible use for a property through repair, alterations, and additions while preserving those portions or features which convey its historical, cultural, or architectural values.”</w:t>
      </w:r>
      <w:r>
        <w:rPr>
          <w:vertAlign w:val="superscript"/>
        </w:rPr>
        <w:footnoteReference w:id="200"/>
      </w:r>
      <w:r>
        <w:t xml:space="preserve"> This is the most compatible treatment for landscapes. The acknowledgement that there will be some degree of adaptation seemingly allows for the necessary changes that a farm undergoes. Still, this treatment emphasizes that there needs to be a retained tangible element that validates the farm. The Cultural Landscape guidance says that “The historic character of a property will be retained and preserved. The removal of distinctive materials or alteration of features, spaces, and spatial relationships that characterize a property will be avoided” and “</w:t>
      </w:r>
      <w:r>
        <w:rPr>
          <w:color w:val="333333"/>
        </w:rPr>
        <w:t>Each property will be recognized as a physical record of its time, place, and use.</w:t>
      </w:r>
      <w:r>
        <w:t>”</w:t>
      </w:r>
      <w:r>
        <w:rPr>
          <w:vertAlign w:val="superscript"/>
        </w:rPr>
        <w:footnoteReference w:id="201"/>
      </w:r>
      <w:r>
        <w:t xml:space="preserve"> This guidance can potentially run afoul of continued farming practice. Rehabilitation still puts the emphasis on the built environment alone and not enough emphasis on the relationships between the people and the place. While a better fit than the preservation treatment, it still does not capture the complete historic value of the farm in continued use.</w:t>
      </w:r>
    </w:p>
    <w:p w14:paraId="00000131" w14:textId="4A7C4822" w:rsidR="00D7661C" w:rsidRDefault="004B2BBB">
      <w:pPr>
        <w:ind w:firstLine="720"/>
      </w:pPr>
      <w:r>
        <w:rPr>
          <w:i/>
        </w:rPr>
        <w:lastRenderedPageBreak/>
        <w:t>Restoration</w:t>
      </w:r>
      <w:r>
        <w:t xml:space="preserve"> is defined in the Standards as “the act or process of accurately depicting the form, features, and character of a property as it appeared at a particular period of time by means of the removal of features from other periods in its history and reconstruction of missing features from the restoration period.”</w:t>
      </w:r>
      <w:r>
        <w:rPr>
          <w:vertAlign w:val="superscript"/>
        </w:rPr>
        <w:footnoteReference w:id="202"/>
      </w:r>
      <w:r>
        <w:t xml:space="preserve"> This is just backwards in terms of how farms work. Although there are inevitably going to be instances when a particular farm reverts to an earlier way of working, it is unlikely that a farmer would choose to revert to an earlier appearance and remove structures or conveniences that have been added to the farm over time. These too are part of the farm’s changes over time and while not always integral to the interpretation of significance, they can be. Restoration is not a practical treatment for active working farms.</w:t>
      </w:r>
    </w:p>
    <w:p w14:paraId="00000132" w14:textId="4F1D570C" w:rsidR="00D7661C" w:rsidRDefault="004B2BBB">
      <w:pPr>
        <w:ind w:firstLine="720"/>
      </w:pPr>
      <w:r>
        <w:t>The final treatment is</w:t>
      </w:r>
      <w:r>
        <w:rPr>
          <w:i/>
        </w:rPr>
        <w:t xml:space="preserve"> reconstruction</w:t>
      </w:r>
      <w:r>
        <w:t xml:space="preserve">. There is little need to go </w:t>
      </w:r>
      <w:r w:rsidR="00B520B3">
        <w:t>too deeply</w:t>
      </w:r>
      <w:r>
        <w:t xml:space="preserve"> into definitions of reconstruction. Reconstruction is the idea of recreating something that no longer exists.</w:t>
      </w:r>
      <w:r>
        <w:rPr>
          <w:vertAlign w:val="superscript"/>
        </w:rPr>
        <w:footnoteReference w:id="203"/>
      </w:r>
      <w:r>
        <w:t xml:space="preserve"> Like restoration, it is not a likely treatment for active farms. Because a farm is a currently working place, there is no need to reconstruct. Based on the idea that the heritage value of a farm is the relationship between farmer and land and community, this relationship is not something that can be reconstructed. For purposes of tourism, some form of reconstruction</w:t>
      </w:r>
      <w:r w:rsidR="00B520B3">
        <w:t>, recreation of a period barn for example,</w:t>
      </w:r>
      <w:r>
        <w:t xml:space="preserve"> could happen to try to engage the public. This may aide in the financial sustainability of the farm so may be a treatment that is an aside to the larger task of preserving the farm.</w:t>
      </w:r>
      <w:r w:rsidR="00B520B3">
        <w:t xml:space="preserve"> </w:t>
      </w:r>
    </w:p>
    <w:p w14:paraId="0DE09729" w14:textId="03F0FCC2" w:rsidR="00A14B17" w:rsidRDefault="00A14B17">
      <w:pPr>
        <w:ind w:firstLine="720"/>
      </w:pPr>
      <w:r>
        <w:lastRenderedPageBreak/>
        <w:t>These treatments are more appropriate for a museum environment than a working farm. They tie the farm to an interpretation of the past instead of accommodating for the present or future needs of the landscape. The reality is that farms have to function as farms first then as possible tourist destinations. Tourist appeal changes the essence of the farm, potentially forcing a departure from the original significance and practice.</w:t>
      </w:r>
    </w:p>
    <w:p w14:paraId="00000133" w14:textId="2B6E8959" w:rsidR="00D7661C" w:rsidRDefault="004B2BBB">
      <w:pPr>
        <w:pStyle w:val="Heading3"/>
      </w:pPr>
      <w:bookmarkStart w:id="44" w:name="_Toc7863410"/>
      <w:r>
        <w:t xml:space="preserve">Traditional </w:t>
      </w:r>
      <w:r w:rsidR="009378AF">
        <w:t>C</w:t>
      </w:r>
      <w:r>
        <w:t xml:space="preserve">ultural </w:t>
      </w:r>
      <w:r w:rsidR="009378AF">
        <w:t>P</w:t>
      </w:r>
      <w:r>
        <w:t>ropertie</w:t>
      </w:r>
      <w:r w:rsidR="009378AF">
        <w:t>s</w:t>
      </w:r>
      <w:r>
        <w:t xml:space="preserve">: A Better Fit; But </w:t>
      </w:r>
      <w:r w:rsidR="009378AF">
        <w:t>with</w:t>
      </w:r>
      <w:r>
        <w:t xml:space="preserve"> Little Guidance</w:t>
      </w:r>
      <w:bookmarkEnd w:id="44"/>
    </w:p>
    <w:p w14:paraId="00000134" w14:textId="42EACBAA" w:rsidR="00D7661C" w:rsidRDefault="004B2BBB">
      <w:pPr>
        <w:ind w:firstLine="720"/>
      </w:pPr>
      <w:r>
        <w:t>None of the existing treatments described above are adequate for farms. T</w:t>
      </w:r>
      <w:r w:rsidR="009378AF">
        <w:t>he</w:t>
      </w:r>
      <w:r>
        <w:t xml:space="preserve"> practice of farming is critical and, these treatments do not accommodate the interactive and evolving nature of farms. The treatments and standards are geared toward a built environment. While there are built elements to farms such as designed gardens, stone walls, and structures that are worthy of listing, these elements do not encompass the entire value of the farm. </w:t>
      </w:r>
    </w:p>
    <w:p w14:paraId="00000135" w14:textId="15A9AFEB" w:rsidR="00D7661C" w:rsidRDefault="004B2BBB">
      <w:pPr>
        <w:ind w:firstLine="720"/>
      </w:pPr>
      <w:r>
        <w:t xml:space="preserve">Discarding the Secretary of the Interior’s Standards for the Treatment of Historic Properties for farms means that there is no specific guidance for these kinds of properties. Treatments are an important factor in how we as preservationists approach a space. To study a space--the first step in </w:t>
      </w:r>
      <w:r w:rsidR="009F2141">
        <w:t>any</w:t>
      </w:r>
      <w:r>
        <w:t xml:space="preserve"> preservation--we need a framework with which to understand the space. While not perfect, the Standards and Treatments are what students are taught to help address places. These are the prescribed methods that help to maintain the significance of a place as wholly as possible. If there is not a prescribed treatment, then it is difficult to know when a change has compromised the significance of a site. Therefore, it is important that preservationists develop responsible treatments for landscapes including Traditional Cultural Properties. </w:t>
      </w:r>
    </w:p>
    <w:p w14:paraId="00000136" w14:textId="77777777" w:rsidR="00D7661C" w:rsidRDefault="004B2BBB">
      <w:pPr>
        <w:ind w:firstLine="720"/>
      </w:pPr>
      <w:r>
        <w:lastRenderedPageBreak/>
        <w:t xml:space="preserve">Among farms, there are tangible and intangible elements. A farm is the place where intangible activity happens. Farming is an activity that connects people to the land. While the activity itself is intangible, the tangible place also matters. Both the intangible practice and the tangible place are significant: the land can show past action and the practice is a continuation of past activity. Together they have more significance. </w:t>
      </w:r>
    </w:p>
    <w:p w14:paraId="00000137" w14:textId="23813213" w:rsidR="00D7661C" w:rsidRDefault="004B2BBB">
      <w:pPr>
        <w:ind w:firstLine="720"/>
      </w:pPr>
      <w:r>
        <w:t xml:space="preserve">Through the treatment of farms as TCPs, historic preservationists will protect the space where farming practices occur while placing few limitations on the development of those practices. This means consultation with stakeholders is integral to identifying the significance of a space, developing the elements that encourage continued practice, and identifying those factors that compromise significance. The TCP engages the farmer and the stakeholders to gauge significance and then allow adaptation. The </w:t>
      </w:r>
      <w:r w:rsidR="00F60F80">
        <w:t>N</w:t>
      </w:r>
      <w:r w:rsidR="009378AF">
        <w:t>ational</w:t>
      </w:r>
      <w:r w:rsidR="00F60F80">
        <w:t xml:space="preserve"> P</w:t>
      </w:r>
      <w:r w:rsidR="009378AF">
        <w:t>ark</w:t>
      </w:r>
      <w:r w:rsidR="00F60F80">
        <w:t xml:space="preserve"> S</w:t>
      </w:r>
      <w:r w:rsidR="009378AF">
        <w:t>ervice</w:t>
      </w:r>
      <w:r>
        <w:t xml:space="preserve"> already looks to other fields for aid with documentation of intangible heritage. historic preservation should look to land conservation for the treatment for farms and TCPs. Conservation groups such as the American Farmland Trust (AFT) have been working on the national level to try and protect farmland--and farmers--from development and other pressures placed on farmers. In fact, historic preservation is already looking towards these groups for assistance; however, it is not yet an acknowledged practice. </w:t>
      </w:r>
    </w:p>
    <w:p w14:paraId="00000138" w14:textId="45FD934B" w:rsidR="00D7661C" w:rsidRDefault="004B2BBB">
      <w:r>
        <w:tab/>
        <w:t xml:space="preserve">Historic preservation is still trying to find a new relevance </w:t>
      </w:r>
      <w:r w:rsidR="00A14B17">
        <w:t>as focus</w:t>
      </w:r>
      <w:r>
        <w:t xml:space="preserve"> has moved away from the house museum, </w:t>
      </w:r>
      <w:r w:rsidR="00A14B17">
        <w:t>and the</w:t>
      </w:r>
      <w:r>
        <w:t xml:space="preserve"> field spreads into intangible heritage, vernacular spaces, and sustainability. With this evolution has come the recognition that landscapes--vernacular and designed--are important to the creation of a sense of place. Landscapes are the larger context for </w:t>
      </w:r>
      <w:r>
        <w:lastRenderedPageBreak/>
        <w:t xml:space="preserve">the architecture that we preserve and, as such, are significant resources for understanding the architecture and activities of people. </w:t>
      </w:r>
    </w:p>
    <w:p w14:paraId="00000139" w14:textId="6C45F84E" w:rsidR="00D7661C" w:rsidRDefault="004B2BBB">
      <w:pPr>
        <w:pStyle w:val="Heading3"/>
      </w:pPr>
      <w:bookmarkStart w:id="45" w:name="_Toc7863411"/>
      <w:r>
        <w:t xml:space="preserve">Sense </w:t>
      </w:r>
      <w:r w:rsidR="00383D71">
        <w:t>of</w:t>
      </w:r>
      <w:r>
        <w:t xml:space="preserve"> Place</w:t>
      </w:r>
      <w:bookmarkEnd w:id="45"/>
    </w:p>
    <w:p w14:paraId="0000013A" w14:textId="77569222" w:rsidR="00D7661C" w:rsidRDefault="004B2BBB">
      <w:pPr>
        <w:ind w:firstLine="720"/>
      </w:pPr>
      <w:r>
        <w:t>When an established built structure is the focus of preservation efforts, the context surrounding the structure helps to create the “sense of place.” Sense of place is described, in part, by Hugh Prince as a feeling of nostalgia for a place sometimes derived from childhood attachment or developed for an audience by artists who romanticize a place.</w:t>
      </w:r>
      <w:r>
        <w:rPr>
          <w:vertAlign w:val="superscript"/>
        </w:rPr>
        <w:footnoteReference w:id="204"/>
      </w:r>
      <w:r>
        <w:t xml:space="preserve"> “Place” is where the stories and practices happen that historic preservation practitioners need to ensure are in continued use for future generations. Farms help to create a sense of place for more than rural communities. To outsiders, farms help to define the countryside and provide that nostalgia for what is perceived as a more bucolic and serene lifestyle; to others, farms represent making a living from the earth through honest, hard labor. Still, others see farms as open canvasses for development. </w:t>
      </w:r>
      <w:r w:rsidR="009378AF">
        <w:t>A</w:t>
      </w:r>
      <w:r>
        <w:t xml:space="preserve"> farm is typically perceived</w:t>
      </w:r>
      <w:r w:rsidR="009378AF">
        <w:t xml:space="preserve"> </w:t>
      </w:r>
      <w:r>
        <w:t xml:space="preserve">as a counterpoint to the hustle and bustle of urban and suburban life. This likely is not how the farmer sees their own life--one of early mornings and late nights, and concern about how the farm will continue in the face of growing pressures, encroaching development, modernization, and generational succession. </w:t>
      </w:r>
    </w:p>
    <w:p w14:paraId="0000013B" w14:textId="76D75BA2" w:rsidR="00D7661C" w:rsidRDefault="004B2BBB">
      <w:pPr>
        <w:ind w:firstLine="720"/>
      </w:pPr>
      <w:r>
        <w:t xml:space="preserve">Protecting this sense of place created by farm landscapes has become the task of a diverse group of disciplines. Conservationists, environmentalists, cultural sustainability professionals, ethnographers, and preservationists all have a stake in helping farmers protect their land and way of life. Farms are difficult for historic preservationists in the U.S. to engage with because the </w:t>
      </w:r>
      <w:r>
        <w:lastRenderedPageBreak/>
        <w:t>tools that we rely on are generally not adequate for a robust preservation of active landscapes. Preservation is often a backward-looking discipline--the 50-year rule, for example</w:t>
      </w:r>
      <w:r>
        <w:rPr>
          <w:vertAlign w:val="superscript"/>
        </w:rPr>
        <w:footnoteReference w:id="205"/>
      </w:r>
      <w:r>
        <w:t>-- and therefore does not always accommodate continuing practices. Farms are important to American historical development and patterns, fitting into Criterion A for nomination to the National Register.</w:t>
      </w:r>
      <w:r>
        <w:rPr>
          <w:vertAlign w:val="superscript"/>
        </w:rPr>
        <w:footnoteReference w:id="206"/>
      </w:r>
      <w:r>
        <w:t xml:space="preserve"> Farms also impact our current lifestyles, and, as stated above, help develop our sense of place. Farms are the starting point of the food</w:t>
      </w:r>
      <w:r w:rsidR="009378AF">
        <w:t xml:space="preserve"> </w:t>
      </w:r>
      <w:r>
        <w:t>ways that are part of the multiethnic framework of the United States.</w:t>
      </w:r>
      <w:r>
        <w:rPr>
          <w:vertAlign w:val="superscript"/>
        </w:rPr>
        <w:footnoteReference w:id="207"/>
      </w:r>
      <w:r>
        <w:t xml:space="preserve"> Ongoing farming is the preservation of a historically significant practice which touches a vast community that is directly and indirectly benefiting from its continuation.</w:t>
      </w:r>
    </w:p>
    <w:p w14:paraId="0000013C" w14:textId="50B4F281" w:rsidR="00D7661C" w:rsidRDefault="004B2BBB">
      <w:pPr>
        <w:ind w:firstLine="720"/>
      </w:pPr>
      <w:r>
        <w:t>In many ways, protecting landscapes is a larger task for preservation than the task of “saving” historic buildings. To save a structure, the Secretary of the Interior’s Standards are the</w:t>
      </w:r>
      <w:r w:rsidR="00A14B17">
        <w:t xml:space="preserve"> lens to understand a place</w:t>
      </w:r>
      <w:r>
        <w:t xml:space="preserve"> and often the prescribed guide for historic preservationists.</w:t>
      </w:r>
      <w:r>
        <w:rPr>
          <w:vertAlign w:val="superscript"/>
        </w:rPr>
        <w:footnoteReference w:id="208"/>
      </w:r>
      <w:r>
        <w:t xml:space="preserve"> These Standards are supplemented by bulletins</w:t>
      </w:r>
      <w:r>
        <w:rPr>
          <w:vertAlign w:val="superscript"/>
        </w:rPr>
        <w:footnoteReference w:id="209"/>
      </w:r>
      <w:r>
        <w:t xml:space="preserve"> and briefs</w:t>
      </w:r>
      <w:r>
        <w:rPr>
          <w:vertAlign w:val="superscript"/>
        </w:rPr>
        <w:footnoteReference w:id="210"/>
      </w:r>
      <w:r>
        <w:t xml:space="preserve"> that expand and guide practitioners </w:t>
      </w:r>
      <w:r>
        <w:lastRenderedPageBreak/>
        <w:t>through the best practices for treatments, providing clear and detailed guidelines. Looking at these guides, it is obvious that preservation treatments are still deeply rooted in architecture. The Guidelines for the Treatment of Cultural Landscapes--guidelines that do engage with cultural landscapes and their treatment--rely on the previously discussed four treatments: preservation, restoration, rehabilitation, and reconstruction.</w:t>
      </w:r>
      <w:r>
        <w:rPr>
          <w:vertAlign w:val="superscript"/>
        </w:rPr>
        <w:footnoteReference w:id="211"/>
      </w:r>
      <w:r>
        <w:t xml:space="preserve"> Each of these treatments makes assumptions that the period of significance for a landscape is in the past, rather than in the present as an ongoing activity. </w:t>
      </w:r>
    </w:p>
    <w:p w14:paraId="0000013D" w14:textId="50E74BCC" w:rsidR="00D7661C" w:rsidRDefault="004B2BBB" w:rsidP="009D59A3">
      <w:pPr>
        <w:pStyle w:val="Heading2"/>
      </w:pPr>
      <w:bookmarkStart w:id="46" w:name="_Toc7863412"/>
      <w:r>
        <w:t>Seeing Connections Between the Farm and Larger Landscape</w:t>
      </w:r>
      <w:bookmarkEnd w:id="46"/>
    </w:p>
    <w:p w14:paraId="0000013E" w14:textId="3E5C9BE0" w:rsidR="00D7661C" w:rsidRDefault="004B2BBB">
      <w:r>
        <w:tab/>
        <w:t xml:space="preserve">The best long-term preservation of farms (and probably most landscapes) is to not only see farms’ immediate historic attributes, but also examine how farms are connected to the larger landscape. This examination should be part of normal historic preservation practice even when environmental or other concerns are not apparent. Looking at farms, we can consider them solely as distinct structures </w:t>
      </w:r>
      <w:r w:rsidR="00A14B17">
        <w:t xml:space="preserve">and spaces </w:t>
      </w:r>
      <w:r>
        <w:t>or consider them in terms of their relationship to the larger environment. Seeing the farm as part of a larger ecosystem is what ecologists call an Integrated Landscape Approach (ILA</w:t>
      </w:r>
      <w:r w:rsidR="00A14B17">
        <w:t>- discussed in previous chapters</w:t>
      </w:r>
      <w:r>
        <w:t>).</w:t>
      </w:r>
      <w:r>
        <w:rPr>
          <w:vertAlign w:val="superscript"/>
        </w:rPr>
        <w:footnoteReference w:id="212"/>
      </w:r>
      <w:r>
        <w:t xml:space="preserve"> This approach acknowledges that spaces do not exist as islands apart from one another. Farms are generally appreciated from a distance, giving them a visual value and knowledge of where our food comes from. However, farms also affect habitat both positively and negatively. </w:t>
      </w:r>
    </w:p>
    <w:p w14:paraId="0000013F" w14:textId="7E27DD46" w:rsidR="00D7661C" w:rsidRDefault="004B2BBB">
      <w:pPr>
        <w:ind w:firstLine="720"/>
      </w:pPr>
      <w:r>
        <w:lastRenderedPageBreak/>
        <w:t xml:space="preserve">When ecologists and conservationists look to the management of farms, the larger environment needs to be </w:t>
      </w:r>
      <w:r w:rsidR="00F83E70">
        <w:t>considered</w:t>
      </w:r>
      <w:r>
        <w:t xml:space="preserve">. Protection of farm space is de facto preservation. Although historic preservationists can bring a different valuation and breadth of documentation to a farm, the protection of the place can </w:t>
      </w:r>
      <w:r w:rsidR="00D121BA">
        <w:t xml:space="preserve">also </w:t>
      </w:r>
      <w:r>
        <w:t xml:space="preserve">be achieved by the other professions. While historic preservation works to preserve the human-environment connection, </w:t>
      </w:r>
      <w:r w:rsidR="00F83E70">
        <w:t>NRM</w:t>
      </w:r>
      <w:r>
        <w:t xml:space="preserve"> for example,</w:t>
      </w:r>
      <w:r w:rsidR="00F83E70">
        <w:t xml:space="preserve"> </w:t>
      </w:r>
      <w:r>
        <w:t xml:space="preserve">also looks at the human-environment connection but with more emphasis on the environment than the human element. By protecting the landscape, farming has a place to continue. The preservation of a farm depends on the implementation of long-term goals that keep the farm active with much of its character intact. </w:t>
      </w:r>
    </w:p>
    <w:p w14:paraId="00000140" w14:textId="2DBC902F" w:rsidR="00D7661C" w:rsidRDefault="004B2BBB">
      <w:pPr>
        <w:pStyle w:val="Heading3"/>
      </w:pPr>
      <w:bookmarkStart w:id="47" w:name="_Toc7863413"/>
      <w:r>
        <w:t>Where Preservation Meets Environmentalism</w:t>
      </w:r>
      <w:bookmarkEnd w:id="47"/>
    </w:p>
    <w:p w14:paraId="00000141" w14:textId="129AEAD4" w:rsidR="00D7661C" w:rsidRDefault="004B2BBB">
      <w:r>
        <w:tab/>
        <w:t xml:space="preserve">Historic preservationists do not always deal with the larger environmental issues when looking at the preservation of a place. We have an interest in defining a place through period(s) of significance, and the object/place that makes it important. We draw boundaries to contain the significant place, and these boundaries delineate what is being preserved from what is not. Without these boundaries, a house flows into a yard, a yard flows into a landscape, and a landscape becomes a viewshed. On such a grand scale, it is difficult to know where to stop. Certainly, the yard is necessary to create the setting for the house. But the viewshed is also important for creating that sense of place. For example, George Washington’s Mount Vernon fought to prevent Dominion Energy from building a transfer station in the viewshed from the </w:t>
      </w:r>
      <w:r>
        <w:lastRenderedPageBreak/>
        <w:t>mansion.</w:t>
      </w:r>
      <w:r>
        <w:rPr>
          <w:vertAlign w:val="superscript"/>
        </w:rPr>
        <w:footnoteReference w:id="213"/>
      </w:r>
      <w:r>
        <w:t xml:space="preserve"> While others benefit from Dominion Energy not building the facility in this location, it was the jeopardy to the view from Mount Vernon that halted the project. </w:t>
      </w:r>
      <w:r w:rsidR="00D121BA">
        <w:t xml:space="preserve">The project, had it gone through, would have had positive effects for many Maryland homes. </w:t>
      </w:r>
      <w:r>
        <w:t>Nevertheless, many see this as a preservation victory.</w:t>
      </w:r>
    </w:p>
    <w:p w14:paraId="00000142" w14:textId="7787A8BA" w:rsidR="00D7661C" w:rsidRDefault="004B2BBB">
      <w:r>
        <w:tab/>
        <w:t>The National Historic Preservation Act</w:t>
      </w:r>
      <w:r w:rsidR="00F83E70">
        <w:t xml:space="preserve"> </w:t>
      </w:r>
      <w:r>
        <w:t>reinforces the idea that the viewshed and context of an historic place are important for its interpretation.</w:t>
      </w:r>
      <w:r>
        <w:rPr>
          <w:vertAlign w:val="superscript"/>
        </w:rPr>
        <w:footnoteReference w:id="214"/>
      </w:r>
      <w:r>
        <w:t xml:space="preserve"> Under Section 106 of the N</w:t>
      </w:r>
      <w:r w:rsidR="00F83E70">
        <w:t>ational H</w:t>
      </w:r>
      <w:r>
        <w:t xml:space="preserve">istoric </w:t>
      </w:r>
      <w:r w:rsidR="00F83E70">
        <w:t>P</w:t>
      </w:r>
      <w:r>
        <w:t>reservation</w:t>
      </w:r>
      <w:r w:rsidR="00F83E70">
        <w:t xml:space="preserve"> </w:t>
      </w:r>
      <w:r>
        <w:t>A</w:t>
      </w:r>
      <w:r w:rsidR="00F83E70">
        <w:t>ct</w:t>
      </w:r>
      <w:r>
        <w:t>, adverse effects to be mitigated include those changes to a site, or its surroundings, which alter the historic characteristics of the site.</w:t>
      </w:r>
      <w:r>
        <w:rPr>
          <w:vertAlign w:val="superscript"/>
        </w:rPr>
        <w:footnoteReference w:id="215"/>
      </w:r>
      <w:r>
        <w:t xml:space="preserve"> This is a natural focus for some preservationists--to start with the object and expand outward using influence on the larger environment to protect the object. What this focus does not do, however, is </w:t>
      </w:r>
      <w:r w:rsidR="00D121BA">
        <w:t>consider</w:t>
      </w:r>
      <w:r>
        <w:t xml:space="preserve"> the potential negative actions that stem from the preservation of the historic site. To protect the viewshed at Mount Vernon, Dominion Energy now must find a new location for their plant which is likely to affect another community that may lack the resources to fight it. Interestingly, Mount Vernon has also made decisions regarding its property that could have unintentional negative consequences for other communities</w:t>
      </w:r>
      <w:r w:rsidR="00F83E70">
        <w:t xml:space="preserve">. </w:t>
      </w:r>
      <w:r>
        <w:t>An aquifer</w:t>
      </w:r>
      <w:r w:rsidR="00F83E70">
        <w:t xml:space="preserve"> </w:t>
      </w:r>
      <w:r>
        <w:t>on the property was tapped in 1903-04 with the hope of controlling the erosion of the hillside east of the mansion, and that water still flows today.</w:t>
      </w:r>
      <w:r>
        <w:rPr>
          <w:vertAlign w:val="superscript"/>
        </w:rPr>
        <w:footnoteReference w:id="216"/>
      </w:r>
      <w:r>
        <w:t xml:space="preserve"> This </w:t>
      </w:r>
      <w:r>
        <w:lastRenderedPageBreak/>
        <w:t>action could lead to groundwater depletion through “over-pumping” with potential effects on the communities near Mount Vernon that also tie into that groundwater.</w:t>
      </w:r>
      <w:r>
        <w:rPr>
          <w:vertAlign w:val="superscript"/>
        </w:rPr>
        <w:footnoteReference w:id="217"/>
      </w:r>
      <w:r>
        <w:t xml:space="preserve"> In the effort to preserve Mount Vernon, there have been consequences for a wider landscape that are not acknowledged.</w:t>
      </w:r>
      <w:r w:rsidR="00D121BA">
        <w:t xml:space="preserve"> The community around Mount Vernon has not complained about any negative effects of the estate tampering with the aquafer, but the neighboring community may not know to look for collateral effects of this forgotten project.</w:t>
      </w:r>
    </w:p>
    <w:p w14:paraId="00000143" w14:textId="1FACFFF2" w:rsidR="00D7661C" w:rsidRDefault="004B2BBB">
      <w:r>
        <w:tab/>
        <w:t>Singling out Mount Verno</w:t>
      </w:r>
      <w:r w:rsidR="00F83E70">
        <w:t>n--</w:t>
      </w:r>
      <w:r>
        <w:t>a site home to both a large farm and a famous house--is expedient to the argument because it is an icon of historic preservation. The above cases also show the outward-looking, object-centric perspective that is part of historic preservation. Mount Vernon will endure challenges to its authenticity and integrity that lesser sites will not. A site that is not Mount Vernon would likely lose community support if people see it as having a more negative impact on the larger landscape than see it as having a benefit through continued preservation. An historic farm that pollutes streams</w:t>
      </w:r>
      <w:r w:rsidR="00D121BA">
        <w:t>--spreading pollution into a larger ecosystem--</w:t>
      </w:r>
      <w:r>
        <w:t>will likely suffer from public relations in a way that Mount Vernon has not</w:t>
      </w:r>
      <w:r w:rsidR="0054378F">
        <w:t xml:space="preserve"> and is not likely to be subjected</w:t>
      </w:r>
      <w:r>
        <w:t>. This is to acknowledge that while there is not a higher or lower valuation on designated historic sites, a hierarchy does exist.</w:t>
      </w:r>
    </w:p>
    <w:p w14:paraId="00000144" w14:textId="2235582D" w:rsidR="00D7661C" w:rsidRDefault="004B2BBB">
      <w:pPr>
        <w:pStyle w:val="Heading3"/>
      </w:pPr>
      <w:bookmarkStart w:id="48" w:name="_Toc7863414"/>
      <w:r>
        <w:lastRenderedPageBreak/>
        <w:t>Integrity and Significance</w:t>
      </w:r>
      <w:bookmarkEnd w:id="48"/>
    </w:p>
    <w:p w14:paraId="00000145" w14:textId="46FF712F" w:rsidR="00D7661C" w:rsidRDefault="004B2BBB">
      <w:pPr>
        <w:ind w:firstLine="720"/>
      </w:pPr>
      <w:r>
        <w:t>This is a challenge to the ideas of site integrity and significance. Integrity is the ability of a site to convey significance, or to justify why the site is worthy of listing.</w:t>
      </w:r>
      <w:r>
        <w:rPr>
          <w:vertAlign w:val="superscript"/>
        </w:rPr>
        <w:footnoteReference w:id="218"/>
      </w:r>
      <w:r>
        <w:t xml:space="preserve"> Significance of a site, as related to the viewer through intact integrity, is traditionally vital to the site. This is an outward-looking preservation perspective where a site is intrinsically significant</w:t>
      </w:r>
      <w:r w:rsidR="00D121BA">
        <w:t>--the object embodies and reflects the significance--</w:t>
      </w:r>
      <w:r>
        <w:t>and therefore deserving of preservation. For a farm, much of its significance is external in that many of those who engage with the space will not think of the farm in preservation terms--and perhaps won’t be part of it as more than a purchaser--but are likely to appreciate how the presence of the farm affects their surroundings. Randall Mason suggests that significance is not fixed but rather changes with time and the observers.</w:t>
      </w:r>
      <w:r>
        <w:rPr>
          <w:vertAlign w:val="superscript"/>
        </w:rPr>
        <w:footnoteReference w:id="219"/>
      </w:r>
      <w:r>
        <w:t xml:space="preserve"> If significance can change over time, it is also possible that significance is diminishable. As societal values change, a place may lose significance as the values that once made it important change. </w:t>
      </w:r>
    </w:p>
    <w:p w14:paraId="00000146" w14:textId="77777777" w:rsidR="00D7661C" w:rsidRDefault="004B2BBB">
      <w:pPr>
        <w:ind w:firstLine="720"/>
      </w:pPr>
      <w:r>
        <w:t xml:space="preserve">To remain significant, a place must remain relevant. If people no longer care about a place, do not visit a place, or do not maintain a place, then the intrinsic significance of a place is only important upon rediscovery. What happens to the place in the intervening time can impact its integrity. As this applies to farms, the more relevant they are in the community, the higher their societal value, and therefore, the more likely they will be to receive community support. </w:t>
      </w:r>
      <w:r>
        <w:lastRenderedPageBreak/>
        <w:t>Relevance is achievable through being reactive to changes in cultural thinking as opposed to behaving in a contrary manner and isolating the farm from the larger community.</w:t>
      </w:r>
    </w:p>
    <w:p w14:paraId="00000147" w14:textId="234E7F8E" w:rsidR="00D7661C" w:rsidRDefault="004B2BBB" w:rsidP="009D59A3">
      <w:pPr>
        <w:pStyle w:val="Heading2"/>
      </w:pPr>
      <w:bookmarkStart w:id="49" w:name="_Toc7863415"/>
      <w:r>
        <w:t xml:space="preserve">Traditional Cultural Properties: Domestic Values-Based Approach </w:t>
      </w:r>
      <w:bookmarkEnd w:id="49"/>
    </w:p>
    <w:p w14:paraId="00000148" w14:textId="4F9F0782" w:rsidR="00D7661C" w:rsidRDefault="004B2BBB">
      <w:pPr>
        <w:ind w:firstLine="720"/>
      </w:pPr>
      <w:r>
        <w:t>Applying a critical analysis lens, a better option for listing farms, or farming areas, is to think of them as Traditional Cultural Properties (TCPs). Guidance from the National Park Service on what constitutes a TCP includes the following: “a rural community whose organization, buildings and structures, or patterns of land use reflect the cultural traditions valued by its long-term residents.”</w:t>
      </w:r>
      <w:r>
        <w:rPr>
          <w:vertAlign w:val="superscript"/>
        </w:rPr>
        <w:footnoteReference w:id="220"/>
      </w:r>
      <w:r>
        <w:t xml:space="preserve"> TCPs have generally been used to “preserve”--to acknowledge and to some degree protect--Native American sites that often contain intangible history or other aspects that are generally more difficult to identify and “preserve” under traditional Western definitions laid out in the National Historic Preservation Act</w:t>
      </w:r>
      <w:r w:rsidR="00F83E70">
        <w:t>.</w:t>
      </w:r>
    </w:p>
    <w:p w14:paraId="00000149" w14:textId="705D503D" w:rsidR="00D7661C" w:rsidRDefault="004B2BBB">
      <w:pPr>
        <w:ind w:firstLine="720"/>
        <w:rPr>
          <w:highlight w:val="white"/>
        </w:rPr>
      </w:pPr>
      <w:r>
        <w:t>Within the guidance for TCPs, there is a note requiring that sites need to retain their integrity.</w:t>
      </w:r>
      <w:r>
        <w:rPr>
          <w:vertAlign w:val="superscript"/>
        </w:rPr>
        <w:footnoteReference w:id="221"/>
      </w:r>
      <w:r>
        <w:t xml:space="preserve"> The seven aspects of integrity are: location, design, setting, materials, workmanship, feeling, and association, and that “</w:t>
      </w:r>
      <w:r>
        <w:rPr>
          <w:highlight w:val="white"/>
        </w:rPr>
        <w:t>To retain historic integrity a property will always possess several, and usually most, of the aspects.”</w:t>
      </w:r>
      <w:r>
        <w:rPr>
          <w:highlight w:val="white"/>
          <w:vertAlign w:val="superscript"/>
        </w:rPr>
        <w:footnoteReference w:id="222"/>
      </w:r>
      <w:r>
        <w:rPr>
          <w:highlight w:val="white"/>
        </w:rPr>
        <w:t xml:space="preserve"> Farms easily maintain their integrity with regard to location (which is static even though buildings within a farm might move or change use), setting (farms actually help to create the setting though this changes over time through natural growth), feeling (sense of place described above) and association (again, sense of place and historic </w:t>
      </w:r>
      <w:r>
        <w:rPr>
          <w:highlight w:val="white"/>
        </w:rPr>
        <w:lastRenderedPageBreak/>
        <w:t>connotations, as well as food</w:t>
      </w:r>
      <w:r w:rsidR="00232A61">
        <w:rPr>
          <w:highlight w:val="white"/>
        </w:rPr>
        <w:t xml:space="preserve"> </w:t>
      </w:r>
      <w:r>
        <w:rPr>
          <w:highlight w:val="white"/>
        </w:rPr>
        <w:t xml:space="preserve">ways). Aspects of the farms are bound to change. Some changes are greater than others, such as moving from hay production to raising cattle. The preservationist must </w:t>
      </w:r>
      <w:r w:rsidR="00232A61">
        <w:rPr>
          <w:highlight w:val="white"/>
        </w:rPr>
        <w:t>decide</w:t>
      </w:r>
      <w:r>
        <w:rPr>
          <w:highlight w:val="white"/>
        </w:rPr>
        <w:t xml:space="preserve">: “Does the place make the practice significant or does the practice make the place significant?” I believe it is the latter. When practice ceases, the land loses the significance of association </w:t>
      </w:r>
      <w:r>
        <w:rPr>
          <w:i/>
          <w:highlight w:val="white"/>
        </w:rPr>
        <w:t xml:space="preserve">with the farming practice, </w:t>
      </w:r>
      <w:r>
        <w:rPr>
          <w:highlight w:val="white"/>
        </w:rPr>
        <w:t xml:space="preserve">other than through memory. </w:t>
      </w:r>
    </w:p>
    <w:p w14:paraId="0000014A" w14:textId="355E6CAB" w:rsidR="00D7661C" w:rsidRDefault="004B2BBB">
      <w:pPr>
        <w:ind w:firstLine="720"/>
        <w:rPr>
          <w:highlight w:val="white"/>
        </w:rPr>
      </w:pPr>
      <w:r>
        <w:rPr>
          <w:highlight w:val="white"/>
        </w:rPr>
        <w:t>The home of a historical figure is a place where memory suffices for the presence of a deceased individual. The home and the possessions are an adequate conveyance of the memory of a person, but the action or impact they are remembered for is likely something that outlived them. If the significance of the action or impact fades, or if modern context moves past the individual or they are replaced by someone else, the memory will fade and the place will lose significance. Similarly, if farming practice ends, that relationship between the farmer and the land fades. For the farm, it is a very tangible decline as fences fall, furrows lay flat, and fields are overtaken by nature or development. Eventually, the memory of the farm is replaced by new memories created by the changed place.</w:t>
      </w:r>
    </w:p>
    <w:p w14:paraId="0000014B" w14:textId="65E31C81" w:rsidR="00D7661C" w:rsidRDefault="004B2BBB">
      <w:pPr>
        <w:ind w:firstLine="720"/>
        <w:rPr>
          <w:highlight w:val="white"/>
        </w:rPr>
      </w:pPr>
      <w:r>
        <w:rPr>
          <w:highlight w:val="white"/>
        </w:rPr>
        <w:t xml:space="preserve">We can expand this to say that there is a difference between an event and a continuing practice. For example, a famous person has a finite lifetime whereas a traditional practice is ongoing. A place--such as a house--where the famous person is remembered is not necessarily where the significant act </w:t>
      </w:r>
      <w:r>
        <w:rPr>
          <w:i/>
          <w:highlight w:val="white"/>
        </w:rPr>
        <w:t>had</w:t>
      </w:r>
      <w:r>
        <w:rPr>
          <w:highlight w:val="white"/>
        </w:rPr>
        <w:t xml:space="preserve"> to take place</w:t>
      </w:r>
      <w:r w:rsidR="00D121BA">
        <w:rPr>
          <w:highlight w:val="white"/>
        </w:rPr>
        <w:t xml:space="preserve"> but where it </w:t>
      </w:r>
      <w:r w:rsidR="00D121BA">
        <w:rPr>
          <w:i/>
          <w:highlight w:val="white"/>
        </w:rPr>
        <w:t>did</w:t>
      </w:r>
      <w:r w:rsidR="00D121BA">
        <w:rPr>
          <w:highlight w:val="white"/>
        </w:rPr>
        <w:t xml:space="preserve"> take place</w:t>
      </w:r>
      <w:r>
        <w:rPr>
          <w:highlight w:val="white"/>
        </w:rPr>
        <w:t xml:space="preserve">. In contrast, farming is tied to a place, the land helps define practice and vice a versa. </w:t>
      </w:r>
      <w:r w:rsidR="00D121BA">
        <w:rPr>
          <w:highlight w:val="white"/>
        </w:rPr>
        <w:t xml:space="preserve">Practice is an ongoing act not defined by one lifetime. </w:t>
      </w:r>
      <w:r>
        <w:rPr>
          <w:highlight w:val="white"/>
        </w:rPr>
        <w:t xml:space="preserve">The practice of farming leaves signs of work on the land, and those signs continue to change. The practice can happen somewhere new, but that separates it from the previous actions. Therefore, when the farm practice ceases on the land, that connection or </w:t>
      </w:r>
      <w:r>
        <w:rPr>
          <w:highlight w:val="white"/>
        </w:rPr>
        <w:lastRenderedPageBreak/>
        <w:t xml:space="preserve">traditional practice is ended. One could argue </w:t>
      </w:r>
      <w:r w:rsidR="00DD479F">
        <w:rPr>
          <w:highlight w:val="white"/>
        </w:rPr>
        <w:t xml:space="preserve">that </w:t>
      </w:r>
      <w:r>
        <w:rPr>
          <w:highlight w:val="white"/>
        </w:rPr>
        <w:t xml:space="preserve">although farming has stopped in a place, it can resume </w:t>
      </w:r>
      <w:r w:rsidR="00DD479F">
        <w:rPr>
          <w:highlight w:val="white"/>
        </w:rPr>
        <w:t>at another point in time</w:t>
      </w:r>
      <w:r>
        <w:rPr>
          <w:highlight w:val="white"/>
        </w:rPr>
        <w:t xml:space="preserve">; however, any other change, including reversion to a woodland, erases </w:t>
      </w:r>
      <w:r w:rsidR="00DD479F">
        <w:rPr>
          <w:highlight w:val="white"/>
        </w:rPr>
        <w:t xml:space="preserve">or obscures </w:t>
      </w:r>
      <w:r>
        <w:rPr>
          <w:highlight w:val="white"/>
        </w:rPr>
        <w:t>the memory and physical signs of the farm practice.</w:t>
      </w:r>
    </w:p>
    <w:p w14:paraId="0000014C" w14:textId="1B1D4C27" w:rsidR="00D7661C" w:rsidRDefault="004B2BBB">
      <w:pPr>
        <w:ind w:firstLine="720"/>
        <w:rPr>
          <w:highlight w:val="white"/>
        </w:rPr>
      </w:pPr>
      <w:r>
        <w:rPr>
          <w:highlight w:val="white"/>
        </w:rPr>
        <w:t>Challenges to integrity are easier for historic preservationists to negotiate in a values-based model such as the Traditional Cultural Property</w:t>
      </w:r>
      <w:r w:rsidR="00DD479F">
        <w:rPr>
          <w:highlight w:val="white"/>
        </w:rPr>
        <w:t xml:space="preserve"> (TCP)</w:t>
      </w:r>
      <w:r>
        <w:rPr>
          <w:highlight w:val="white"/>
        </w:rPr>
        <w:t>. A strong challenge to the traditional historic preservation-based notion of integrity of farms is their need to change over time. Cash crops change as demand changes; new structures and practices are introduced to ease labor or increase yields; fence lines move. The advantage of the TCP over the cultural landscape is that the TCP allows for change with the recognition that there is an ongoing practice associated with a place by a “living community.”</w:t>
      </w:r>
      <w:r>
        <w:rPr>
          <w:highlight w:val="white"/>
          <w:vertAlign w:val="superscript"/>
        </w:rPr>
        <w:footnoteReference w:id="223"/>
      </w:r>
      <w:r>
        <w:rPr>
          <w:highlight w:val="white"/>
        </w:rPr>
        <w:t xml:space="preserve"> Thomas King--who helped develop the idea of TCPs--suggests that challenges to integrity are gauged by the people who are part of the tradition, and that those outside of the tradition may not recognize important aspects.</w:t>
      </w:r>
      <w:r>
        <w:rPr>
          <w:highlight w:val="white"/>
          <w:vertAlign w:val="superscript"/>
        </w:rPr>
        <w:footnoteReference w:id="224"/>
      </w:r>
      <w:r>
        <w:rPr>
          <w:highlight w:val="white"/>
        </w:rPr>
        <w:t xml:space="preserve"> The National Park Service offers no guidance for treatments of TCPs. This is a possible result of TCPs being geared more toward traditional and indigenous peoples and the recognition that outside parties need to engage with the community to not only identify the important elements, but to also understand what will compromise the integrity of those elements. It is the community that establishes what is significant and how that significance is maintained.</w:t>
      </w:r>
    </w:p>
    <w:p w14:paraId="0000014D" w14:textId="77777777" w:rsidR="00D7661C" w:rsidRDefault="004B2BBB">
      <w:pPr>
        <w:ind w:firstLine="720"/>
      </w:pPr>
      <w:r>
        <w:rPr>
          <w:highlight w:val="white"/>
        </w:rPr>
        <w:t xml:space="preserve">Traditional Cultural Properties are an example of values-based preservation. Pamela Jerome wrote an Association for Preservation Technology article titled “Values-based Approach </w:t>
      </w:r>
      <w:r>
        <w:rPr>
          <w:highlight w:val="white"/>
        </w:rPr>
        <w:lastRenderedPageBreak/>
        <w:t>to Cultural-Heritage Preservation” in which she states that this approach is not “expert-driven; rather it involves consultation with stakeholders, who may have conflicting values.”</w:t>
      </w:r>
      <w:r>
        <w:rPr>
          <w:highlight w:val="white"/>
          <w:vertAlign w:val="superscript"/>
        </w:rPr>
        <w:footnoteReference w:id="225"/>
      </w:r>
      <w:r>
        <w:rPr>
          <w:highlight w:val="white"/>
        </w:rPr>
        <w:t xml:space="preserve"> Cultural heritage is all of those things that are passed on to us from our predecessors and includes both the tangible and intangible. The idea of values-based preservation is not necessarily new in and of itself. Places listed in the National Register, or landmarked, are by definition places of cultural significance. In her article, Jerome explores instances where the preservation community engaged with local stakeholders to highlight “additional social values” and notes that this engagement with stakeholder values informs “how to manage and intervene in a site.”</w:t>
      </w:r>
      <w:r>
        <w:rPr>
          <w:highlight w:val="white"/>
          <w:vertAlign w:val="superscript"/>
        </w:rPr>
        <w:footnoteReference w:id="226"/>
      </w:r>
      <w:r>
        <w:rPr>
          <w:highlight w:val="white"/>
        </w:rPr>
        <w:t xml:space="preserve"> This strategy is also supported by King when he addresses the integrity of sites, saying, “one thing an Advisory Council version of Bulletin 38 might say is, you’ve got to consider whether a potential change constitutes an adverse effect in the eyes of those who value the property.”</w:t>
      </w:r>
      <w:r>
        <w:rPr>
          <w:highlight w:val="white"/>
          <w:vertAlign w:val="superscript"/>
        </w:rPr>
        <w:footnoteReference w:id="227"/>
      </w:r>
    </w:p>
    <w:p w14:paraId="0000014E" w14:textId="0E96EA5B" w:rsidR="00D7661C" w:rsidRDefault="004B2BBB" w:rsidP="009D59A3">
      <w:pPr>
        <w:pStyle w:val="Heading2"/>
      </w:pPr>
      <w:bookmarkStart w:id="50" w:name="_Toc7863416"/>
      <w:r>
        <w:t>American Landscape Conservation: Another Strategy</w:t>
      </w:r>
      <w:bookmarkEnd w:id="50"/>
    </w:p>
    <w:p w14:paraId="0000014F" w14:textId="1B7DE718" w:rsidR="00D7661C" w:rsidRDefault="004B2BBB">
      <w:pPr>
        <w:ind w:firstLine="720"/>
      </w:pPr>
      <w:r>
        <w:t>Historic preservation can act as a bridge between the social and natural sciences, tying together continuing practices of farming and conservation. Landscape conservation is a separate field outside of historic preservation but both refer to their work as preservation and that work overlaps on farms.</w:t>
      </w:r>
      <w:r>
        <w:rPr>
          <w:vertAlign w:val="superscript"/>
        </w:rPr>
        <w:footnoteReference w:id="228"/>
      </w:r>
      <w:r>
        <w:t xml:space="preserve"> This is not an obstacle but an opportunity. Preservation looks to social science for help interpreting and documenting intangible resources that are more readily understood by practitioners such as folklorists. Preservationists have their own role beyond being </w:t>
      </w:r>
      <w:r>
        <w:lastRenderedPageBreak/>
        <w:t>a bridge, in recognizing historic value in the built environment. Coming at farms from only an academic perspective will not work. All fields should aim to work</w:t>
      </w:r>
      <w:r w:rsidR="00F83E70">
        <w:t xml:space="preserve"> </w:t>
      </w:r>
      <w:r>
        <w:t>collaboratively</w:t>
      </w:r>
      <w:r w:rsidR="00F83E70">
        <w:t xml:space="preserve"> </w:t>
      </w:r>
      <w:r>
        <w:t>with the stakeholders--the people who make up the community not only on the farms but also those who are most immediately affected by the farms--to determine the values and characteristics that need to be maintained for integrity to be preserved.</w:t>
      </w:r>
    </w:p>
    <w:p w14:paraId="00000150" w14:textId="77777777" w:rsidR="00D7661C" w:rsidRDefault="004B2BBB">
      <w:pPr>
        <w:ind w:firstLine="720"/>
      </w:pPr>
      <w:r>
        <w:t xml:space="preserve">The following passage from </w:t>
      </w:r>
      <w:r>
        <w:rPr>
          <w:u w:val="single"/>
        </w:rPr>
        <w:t>Saving America’s Countryside: A Guide to Rural Conservation</w:t>
      </w:r>
      <w:r>
        <w:t xml:space="preserve"> describes the aim of rural conservation efforts in 1989. Reading this consolidated passage, it is easy to see how conservation ideology aligns nicely with TCPs: </w:t>
      </w:r>
    </w:p>
    <w:p w14:paraId="00000151" w14:textId="506CF8F1" w:rsidR="00D7661C" w:rsidRDefault="004B2BBB">
      <w:pPr>
        <w:ind w:left="720"/>
      </w:pPr>
      <w:r>
        <w:t>Our own, expanded concept of conservation not only acknowledges this more modern attitude [towards the management of spaces] but also embraces the idea of community as a resource…. Rural conservation, then, includes protecting natural and scenic resources, preserving buildings and places of cultural significance, and enhancing the local economy and social institutions. Rural America has never been static. We recognize the inevitability, and desirability, of change. Rural conservation calls for the foresight to manage change: to minimize its negative effects…We believe change can occur while respecting natural areas, retaining agriculture, and preserving diverse cultural resources.</w:t>
      </w:r>
      <w:r>
        <w:rPr>
          <w:vertAlign w:val="superscript"/>
        </w:rPr>
        <w:footnoteReference w:id="229"/>
      </w:r>
    </w:p>
    <w:p w14:paraId="7F970C64" w14:textId="77777777" w:rsidR="00DD479F" w:rsidRDefault="00DD479F">
      <w:pPr>
        <w:ind w:left="720"/>
      </w:pPr>
    </w:p>
    <w:p w14:paraId="00000152" w14:textId="3A84E7ED" w:rsidR="00D7661C" w:rsidRDefault="004B2BBB">
      <w:r>
        <w:t xml:space="preserve">Of particular note in this passage is the interest in working with a community, which shows that conservationists were already working towards a values-based model for cultural heritage thirty </w:t>
      </w:r>
      <w:r>
        <w:lastRenderedPageBreak/>
        <w:t>years ago There is little point in preservation or conservation if the community is not engaged in the process. Generally speaking, working farms</w:t>
      </w:r>
      <w:r>
        <w:rPr>
          <w:vertAlign w:val="superscript"/>
        </w:rPr>
        <w:footnoteReference w:id="230"/>
      </w:r>
      <w:r>
        <w:t xml:space="preserve"> need a market, and the local market supports smaller farms. </w:t>
      </w:r>
    </w:p>
    <w:p w14:paraId="00000153" w14:textId="590871CB" w:rsidR="00D7661C" w:rsidRDefault="004B2BBB">
      <w:pPr>
        <w:ind w:firstLine="720"/>
      </w:pPr>
      <w:r>
        <w:t>Another important part of the above quote is the recognition that within a single landscape there will be different types of resources. Resources can be divided into those that need to change and those that have more cultural value if preserved in their current state. This conservation approach recognizes a need for both change and preservation but also recognizes that, within a landscape, change and preservation are not mutually exclusive. In a sample easement developed by the Pennsylvania Land Trust, guidance is given for calling out historic features that should be subject to the Secretary of the Interior’s Standards.</w:t>
      </w:r>
      <w:r>
        <w:rPr>
          <w:vertAlign w:val="superscript"/>
        </w:rPr>
        <w:footnoteReference w:id="231"/>
      </w:r>
      <w:r>
        <w:t xml:space="preserve"> </w:t>
      </w:r>
    </w:p>
    <w:p w14:paraId="00000154" w14:textId="400249D4" w:rsidR="00D7661C" w:rsidRDefault="004B2BBB">
      <w:r>
        <w:tab/>
        <w:t>Easements are possibly the best tool for protecting a place. Easements can be tailored to fit the needs of a place, offering different levels of protection and restrictions. They can be subsidized by the government or used for tax relief. Although the field of historic preservation has access to easements and has used them to protect both architecture and landscapes,</w:t>
      </w:r>
      <w:r>
        <w:rPr>
          <w:vertAlign w:val="superscript"/>
        </w:rPr>
        <w:footnoteReference w:id="232"/>
      </w:r>
      <w:r>
        <w:t xml:space="preserve"> easements are not one of the field’s “go to” tools. </w:t>
      </w:r>
      <w:r w:rsidR="00DD479F">
        <w:t>Historic p</w:t>
      </w:r>
      <w:r>
        <w:t xml:space="preserve">reservationists generally look to the limited (limited because they only apply to federal undertakings and not always successful if </w:t>
      </w:r>
      <w:r>
        <w:lastRenderedPageBreak/>
        <w:t>there is a finding of no significant impact) protections of Section 106 of the National Historic Preservation Act. By layering protections on farms in the form of various easements and Section 106, it becomes less likely that development (federal or private) pressures will encroach on farms, leading to farmers sell</w:t>
      </w:r>
      <w:r w:rsidR="00DD479F">
        <w:t>ing</w:t>
      </w:r>
      <w:r>
        <w:t xml:space="preserve"> their </w:t>
      </w:r>
      <w:r w:rsidR="00DD479F">
        <w:t>land</w:t>
      </w:r>
      <w:r>
        <w:t>. When contemplating if historic preservation has a role in saving farms, Section 106 or its counterpart legislation at the state or local level needs to be considered as a potential benefit.</w:t>
      </w:r>
      <w:r>
        <w:rPr>
          <w:vertAlign w:val="superscript"/>
        </w:rPr>
        <w:footnoteReference w:id="233"/>
      </w:r>
      <w:r>
        <w:t xml:space="preserve"> With culturally important sites in general, there is not a sufficient amount of money, time, attention, or legal protections to fully ensure </w:t>
      </w:r>
      <w:r w:rsidRPr="00DD479F">
        <w:rPr>
          <w:i/>
        </w:rPr>
        <w:t>long</w:t>
      </w:r>
      <w:r>
        <w:t xml:space="preserve"> </w:t>
      </w:r>
      <w:r>
        <w:rPr>
          <w:i/>
        </w:rPr>
        <w:t>lasting</w:t>
      </w:r>
      <w:r>
        <w:t xml:space="preserve"> preservation. Multi-disciplinary approaches to farm preservation will access different resources that, when pooled, have the best chance for long term preservation success. </w:t>
      </w:r>
    </w:p>
    <w:p w14:paraId="00000155" w14:textId="0E1F9E75" w:rsidR="00D7661C" w:rsidRDefault="004B2BBB">
      <w:pPr>
        <w:ind w:firstLine="720"/>
      </w:pPr>
      <w:r>
        <w:t>By engaging with conservationists, historic preservationists also have the opportunity to tap different (if not new) financing sources. The federal and local historic preservation tax incentives have been one source of financing. But farm landscapes--and open spaces in general--are not eligible for federal tax credits, as they are only available to income-generating structures.</w:t>
      </w:r>
      <w:r>
        <w:rPr>
          <w:vertAlign w:val="superscript"/>
        </w:rPr>
        <w:footnoteReference w:id="234"/>
      </w:r>
      <w:r>
        <w:t xml:space="preserve"> There are also limited funding sources available for private businesses. The sale of easements on properties is a strong method of protecting farms that can also help the Chesapeake through buffer zones (Chapter III), but unless the owner is in a financial position to donate easements, money needs to be raised by private organizations or budgeted by government agencies in order</w:t>
      </w:r>
      <w:r w:rsidR="00F83E70">
        <w:t xml:space="preserve"> </w:t>
      </w:r>
      <w:r>
        <w:t xml:space="preserve">to purchase them. Conservation has been developing public-private </w:t>
      </w:r>
      <w:r>
        <w:lastRenderedPageBreak/>
        <w:t>partnerships</w:t>
      </w:r>
      <w:r>
        <w:rPr>
          <w:vertAlign w:val="superscript"/>
        </w:rPr>
        <w:footnoteReference w:id="235"/>
      </w:r>
      <w:r>
        <w:t xml:space="preserve"> and also engaging with philanthropic private groups who are environmentally focused.</w:t>
      </w:r>
      <w:r>
        <w:rPr>
          <w:vertAlign w:val="superscript"/>
        </w:rPr>
        <w:footnoteReference w:id="236"/>
      </w:r>
    </w:p>
    <w:p w14:paraId="00000156" w14:textId="77777777" w:rsidR="00D7661C" w:rsidRDefault="004B2BBB">
      <w:pPr>
        <w:ind w:firstLine="720"/>
      </w:pPr>
      <w:r>
        <w:t>Conservation, using the example provided by Stokes et al., has more to offer historic preservation than easements. Potentially the biggest benefit of engaging with conservationists (land conservation groups, community land trusts, rural land foundations, etc.) to help manage space is the broadening of a base. Farm preservation is an arduous task. Farmers are facing numerous challenges and the best way to protect them is to make them successful. Again, my concept of success lies with the practice of farming and the farm itself continuing together. The way to accomplish this success is to have a surrounding community that embraces and supports their agricultural stakeholders. By valuing farms, engagement with them can increase. Community engagement is likely the first step to preservation. In efforts to preserve farms, it is important to remember that farmers may not want to engage with preservation or conservation groups. The way to make inroads with farmers and communities surrounding farms is through community engagement and assessing the local values and needs. To accomplish this, historic preservation needs to be willing to work with as many fields as it takes to make these inroads.</w:t>
      </w:r>
    </w:p>
    <w:p w14:paraId="00000157" w14:textId="0013F48F" w:rsidR="00D7661C" w:rsidRDefault="004B2BBB" w:rsidP="009D59A3">
      <w:pPr>
        <w:pStyle w:val="Heading2"/>
      </w:pPr>
      <w:bookmarkStart w:id="51" w:name="_Toc7863417"/>
      <w:r>
        <w:t>Comparing the Burra Charter and Traditional Cultural Properties</w:t>
      </w:r>
      <w:bookmarkEnd w:id="51"/>
    </w:p>
    <w:p w14:paraId="00000158" w14:textId="2C40BB44" w:rsidR="00D7661C" w:rsidRDefault="004B2BBB">
      <w:pPr>
        <w:ind w:firstLine="720"/>
        <w:rPr>
          <w:highlight w:val="white"/>
        </w:rPr>
      </w:pPr>
      <w:r>
        <w:t xml:space="preserve">Some guidance for farm preservation can be gained by looking at how other countries address similar landscapes, namely the Burra Charter in Australia. </w:t>
      </w:r>
      <w:r>
        <w:rPr>
          <w:highlight w:val="white"/>
        </w:rPr>
        <w:t xml:space="preserve">Jerome and King both reference the Burra Charter as an example of preservation that engages with the stakeholder </w:t>
      </w:r>
      <w:r>
        <w:rPr>
          <w:highlight w:val="white"/>
        </w:rPr>
        <w:lastRenderedPageBreak/>
        <w:t>community to establish their values for the integrity of a place. The preamble to the Burra Charter (2013) states that the goal of the document is to “provide guidance for the conservation and management of places of cultural significance (cultural heritage places),” and that “conservation is an integral part of the management of the places of cultural significance and is an ongoing responsibility.”</w:t>
      </w:r>
      <w:r>
        <w:rPr>
          <w:highlight w:val="white"/>
          <w:vertAlign w:val="superscript"/>
        </w:rPr>
        <w:footnoteReference w:id="237"/>
      </w:r>
      <w:r>
        <w:rPr>
          <w:highlight w:val="white"/>
        </w:rPr>
        <w:t xml:space="preserve"> Conservation is defined in the Burra Charter as “all the processes of looking after a </w:t>
      </w:r>
      <w:r>
        <w:rPr>
          <w:i/>
          <w:highlight w:val="white"/>
        </w:rPr>
        <w:t>place</w:t>
      </w:r>
      <w:r>
        <w:rPr>
          <w:highlight w:val="white"/>
        </w:rPr>
        <w:t xml:space="preserve"> so as to retain its </w:t>
      </w:r>
      <w:r>
        <w:rPr>
          <w:i/>
          <w:highlight w:val="white"/>
        </w:rPr>
        <w:t>cultural significance</w:t>
      </w:r>
      <w:r>
        <w:rPr>
          <w:highlight w:val="white"/>
        </w:rPr>
        <w:t>.”</w:t>
      </w:r>
      <w:r>
        <w:rPr>
          <w:highlight w:val="white"/>
          <w:vertAlign w:val="superscript"/>
        </w:rPr>
        <w:footnoteReference w:id="238"/>
      </w:r>
      <w:r>
        <w:rPr>
          <w:highlight w:val="white"/>
        </w:rPr>
        <w:t xml:space="preserve"> The Charter favors conservation over preservation, with preservation defined as “maintaining a place in its existing state and retarding deterioration.”</w:t>
      </w:r>
      <w:r>
        <w:rPr>
          <w:highlight w:val="white"/>
          <w:vertAlign w:val="superscript"/>
        </w:rPr>
        <w:footnoteReference w:id="239"/>
      </w:r>
      <w:r>
        <w:rPr>
          <w:highlight w:val="white"/>
        </w:rPr>
        <w:t xml:space="preserve"> This is similar to the NRM definition of conservation which gr</w:t>
      </w:r>
      <w:r w:rsidR="00CD0456">
        <w:rPr>
          <w:highlight w:val="white"/>
        </w:rPr>
        <w:t>e</w:t>
      </w:r>
      <w:r>
        <w:rPr>
          <w:highlight w:val="white"/>
        </w:rPr>
        <w:t xml:space="preserve">w out of the thinking of Gifford Pinchot, which is: the wise and </w:t>
      </w:r>
      <w:r>
        <w:rPr>
          <w:i/>
          <w:highlight w:val="white"/>
        </w:rPr>
        <w:t>sustainable</w:t>
      </w:r>
      <w:r>
        <w:rPr>
          <w:highlight w:val="white"/>
        </w:rPr>
        <w:t xml:space="preserve"> </w:t>
      </w:r>
      <w:r>
        <w:rPr>
          <w:i/>
          <w:highlight w:val="white"/>
        </w:rPr>
        <w:t>use</w:t>
      </w:r>
      <w:r>
        <w:rPr>
          <w:highlight w:val="white"/>
        </w:rPr>
        <w:t xml:space="preserve"> of land so that it is maintained and available to future generations without being depleted.</w:t>
      </w:r>
      <w:r>
        <w:rPr>
          <w:highlight w:val="white"/>
          <w:vertAlign w:val="superscript"/>
        </w:rPr>
        <w:footnoteReference w:id="240"/>
      </w:r>
    </w:p>
    <w:p w14:paraId="00000159" w14:textId="6258778C" w:rsidR="00D7661C" w:rsidRDefault="004B2BBB">
      <w:pPr>
        <w:ind w:firstLine="720"/>
      </w:pPr>
      <w:r>
        <w:rPr>
          <w:highlight w:val="white"/>
        </w:rPr>
        <w:t>The International Council on Monuments and Sites (ICOMOS) recognizes agriculture as cultural heritage.</w:t>
      </w:r>
      <w:r>
        <w:rPr>
          <w:highlight w:val="white"/>
          <w:vertAlign w:val="superscript"/>
        </w:rPr>
        <w:footnoteReference w:id="241"/>
      </w:r>
      <w:r>
        <w:rPr>
          <w:highlight w:val="white"/>
        </w:rPr>
        <w:t xml:space="preserve"> The Burra Charter, authored by Australia ICOMOS, is seen as a more flexible way of dealing with cultural heritage places, but the format for the Traditional Cultural Property has similarities in practice as noted above. The hesitation among American preservationists to invoke the TCP more often and in varied ways is possibly a limitation in thinking. While wanting a better system to deal with places that challenge us to fit them into our categories and treatments, it is difficult for historic preservation to break free of the systems that </w:t>
      </w:r>
      <w:r>
        <w:rPr>
          <w:highlight w:val="white"/>
        </w:rPr>
        <w:lastRenderedPageBreak/>
        <w:t xml:space="preserve">practitioners have used thus far to identify and catalog tangible history. </w:t>
      </w:r>
      <w:r w:rsidR="008B7DCB">
        <w:rPr>
          <w:highlight w:val="white"/>
        </w:rPr>
        <w:t xml:space="preserve">Historic preservation is even more difficult when practitioners are engaging with intangible heritage. </w:t>
      </w:r>
      <w:r>
        <w:rPr>
          <w:highlight w:val="white"/>
        </w:rPr>
        <w:t>This could be a result of inertia--an unwillingness to press boundaries when things are working “well enough.” It could also be that historic preservation still has trouble recognizing the different values of people have that are not in line with traditional historic preservation thinking which values “important” architecture and famous people.</w:t>
      </w:r>
    </w:p>
    <w:p w14:paraId="0000015A" w14:textId="10F7EE35" w:rsidR="00D7661C" w:rsidRDefault="004B2BBB">
      <w:pPr>
        <w:ind w:firstLine="720"/>
      </w:pPr>
      <w:r>
        <w:t xml:space="preserve">The Burra Charter, as discussed above, aligns with the current trends in U.S. historic preservation thinking (touched on by Jerome with values-based management) and TCPs, and the focus on the treatment of </w:t>
      </w:r>
      <w:r>
        <w:rPr>
          <w:i/>
        </w:rPr>
        <w:t xml:space="preserve">conservation </w:t>
      </w:r>
      <w:r>
        <w:t xml:space="preserve">over </w:t>
      </w:r>
      <w:r>
        <w:rPr>
          <w:i/>
        </w:rPr>
        <w:t>preservation.</w:t>
      </w:r>
      <w:r>
        <w:t xml:space="preserve"> In further clarifications, not only is it laid out in the Charter that conservation may include aspects of other treatments to maintain cultural significance</w:t>
      </w:r>
      <w:r>
        <w:rPr>
          <w:vertAlign w:val="superscript"/>
        </w:rPr>
        <w:footnoteReference w:id="242"/>
      </w:r>
      <w:r>
        <w:t>, but also it recognizes that places are not static and some forms of change need to be accommodated by conservation maintenance.</w:t>
      </w:r>
      <w:r>
        <w:rPr>
          <w:vertAlign w:val="superscript"/>
        </w:rPr>
        <w:footnoteReference w:id="243"/>
      </w:r>
      <w:r>
        <w:t xml:space="preserve"> The Burra Charter suggests using preservation treatment when “existing </w:t>
      </w:r>
      <w:r>
        <w:rPr>
          <w:i/>
        </w:rPr>
        <w:t xml:space="preserve">fabric </w:t>
      </w:r>
      <w:r>
        <w:t xml:space="preserve">or its condition constitutes evidence of </w:t>
      </w:r>
      <w:r>
        <w:rPr>
          <w:i/>
        </w:rPr>
        <w:t>cultural significance</w:t>
      </w:r>
      <w:r>
        <w:t xml:space="preserve">, or when insufficient evidence is available to allow other </w:t>
      </w:r>
      <w:r>
        <w:rPr>
          <w:i/>
        </w:rPr>
        <w:t>conservation</w:t>
      </w:r>
      <w:r>
        <w:t xml:space="preserve"> processes to be carried out.”</w:t>
      </w:r>
      <w:r>
        <w:rPr>
          <w:vertAlign w:val="superscript"/>
        </w:rPr>
        <w:footnoteReference w:id="244"/>
      </w:r>
      <w:r>
        <w:t xml:space="preserve"> The main difference between the Burra Charter and the </w:t>
      </w:r>
      <w:r w:rsidR="00F60F80">
        <w:t>N</w:t>
      </w:r>
      <w:r w:rsidR="00CD0456">
        <w:t>ational</w:t>
      </w:r>
      <w:r w:rsidR="00F60F80">
        <w:t xml:space="preserve"> </w:t>
      </w:r>
      <w:r w:rsidR="00CD0456">
        <w:t>Park</w:t>
      </w:r>
      <w:r w:rsidR="00F60F80">
        <w:t xml:space="preserve"> S</w:t>
      </w:r>
      <w:r w:rsidR="00CD0456">
        <w:t>ervice</w:t>
      </w:r>
      <w:r>
        <w:t xml:space="preserve"> treatments is that conservation, as defined by the Burra Charter, does not aim to entirely arrest a space in time, recognizing that there is natural growth of a space (whether this includes changes in practice or the simple growth of vegetation changing a space) that can be either a part of its cultural significance or necessary for the retention of its cultural significance. </w:t>
      </w:r>
    </w:p>
    <w:p w14:paraId="0000015B" w14:textId="68E765B5" w:rsidR="00D7661C" w:rsidRDefault="004B2BBB">
      <w:pPr>
        <w:ind w:firstLine="720"/>
      </w:pPr>
      <w:r>
        <w:lastRenderedPageBreak/>
        <w:t>Comparing U.S. historic preservation practice with the ideology behind the Burra Charter is helpful, and it shows that some of the thinking in the Burra</w:t>
      </w:r>
      <w:r w:rsidR="00CD0456">
        <w:t xml:space="preserve"> </w:t>
      </w:r>
      <w:r>
        <w:t>Charter is more in line with landscape conservation. Historic preservationists in the U.S. do not necessarily think of landscape conservation as a treatment, as landscape conservation aligns more with the ideology of Traditional Cultural Properties and the Burra Charter.</w:t>
      </w:r>
    </w:p>
    <w:p w14:paraId="0000015C" w14:textId="3327B571" w:rsidR="00D7661C" w:rsidRDefault="004B2BBB" w:rsidP="009D59A3">
      <w:pPr>
        <w:pStyle w:val="Heading2"/>
      </w:pPr>
      <w:bookmarkStart w:id="52" w:name="_Toc7863418"/>
      <w:r>
        <w:t>Global Policies for Farms</w:t>
      </w:r>
      <w:bookmarkEnd w:id="52"/>
      <w:r>
        <w:t xml:space="preserve"> </w:t>
      </w:r>
    </w:p>
    <w:p w14:paraId="0000015D" w14:textId="1E51C833" w:rsidR="00D7661C" w:rsidRDefault="004B2BBB">
      <w:pPr>
        <w:ind w:firstLine="720"/>
      </w:pPr>
      <w:r>
        <w:t>Part of conserving (or preserving) farms in the ILA, means that farm practices in the U.S.</w:t>
      </w:r>
      <w:r w:rsidR="00CD0456">
        <w:t xml:space="preserve"> </w:t>
      </w:r>
      <w:r>
        <w:t>may need amending</w:t>
      </w:r>
      <w:r w:rsidR="00CD0456">
        <w:t>.</w:t>
      </w:r>
      <w:r>
        <w:t xml:space="preserve"> In the European Union, Canada, Thailand, some Latin American countries, there is a developing interest in the idea of repaying farmers for changes made to their land which have environmental benefits that come at a cost to the farmers’ production.</w:t>
      </w:r>
      <w:r>
        <w:rPr>
          <w:vertAlign w:val="superscript"/>
        </w:rPr>
        <w:footnoteReference w:id="245"/>
      </w:r>
      <w:r>
        <w:t xml:space="preserve"> In compensating farmers for potentially lost profits, a balance is struck between the need for agriculture and environmental sustainability. This compensation to farmers is commonly known as Payments for Environmental Services (PES). There is a similar program in the U.S. called the Environmental Quality Incentive Program (EQIP) mentioned in Chapter III.</w:t>
      </w:r>
      <w:r>
        <w:rPr>
          <w:vertAlign w:val="superscript"/>
        </w:rPr>
        <w:footnoteReference w:id="246"/>
      </w:r>
      <w:r>
        <w:t xml:space="preserve"> These </w:t>
      </w:r>
      <w:r>
        <w:lastRenderedPageBreak/>
        <w:t>conservation programs partially supplement lost revenue to farmers for retiring parts of their land to conservation</w:t>
      </w:r>
      <w:r w:rsidR="00ED6E90">
        <w:t xml:space="preserve"> land</w:t>
      </w:r>
      <w:r>
        <w:t>.</w:t>
      </w:r>
    </w:p>
    <w:p w14:paraId="0000015E" w14:textId="77777777" w:rsidR="00D7661C" w:rsidRDefault="004B2BBB">
      <w:pPr>
        <w:ind w:firstLine="720"/>
      </w:pPr>
      <w:r>
        <w:t>The European Union developed the Common Agricultural Policy (CAP) in 1962 as a way to help farmers in the EU.</w:t>
      </w:r>
      <w:r>
        <w:rPr>
          <w:vertAlign w:val="superscript"/>
        </w:rPr>
        <w:footnoteReference w:id="247"/>
      </w:r>
      <w:r>
        <w:t xml:space="preserve"> The policy has developed over the years to move from a market- driven model to one that intends to support farmers, ensure food safety and supply, address environmental and sustainability concerns, and “maintain rural areas and landscapes across the EU.”</w:t>
      </w:r>
      <w:r>
        <w:rPr>
          <w:vertAlign w:val="superscript"/>
        </w:rPr>
        <w:footnoteReference w:id="248"/>
      </w:r>
      <w:r>
        <w:t xml:space="preserve"> CAP cites the Rio Declaration on Environment and Development (1992)</w:t>
      </w:r>
      <w:r>
        <w:rPr>
          <w:vertAlign w:val="superscript"/>
        </w:rPr>
        <w:footnoteReference w:id="249"/>
      </w:r>
      <w:r>
        <w:t xml:space="preserve"> for encouraging the need for sustainability in agriculture but adds that farmers are custodians for “our beautiful landscapes and caring for our rural heritage.”</w:t>
      </w:r>
      <w:r>
        <w:rPr>
          <w:vertAlign w:val="superscript"/>
        </w:rPr>
        <w:footnoteReference w:id="250"/>
      </w:r>
      <w:r>
        <w:t xml:space="preserve"> CAP helped to develop a landscape category for Environmentally Sensitive Areas (ESA) wherein the management of farming practices encourages maintenance of the current landscape.</w:t>
      </w:r>
      <w:r>
        <w:rPr>
          <w:vertAlign w:val="superscript"/>
        </w:rPr>
        <w:footnoteReference w:id="251"/>
      </w:r>
      <w:r>
        <w:t xml:space="preserve"> The regulations specifically address this and state that farmers may receive aid if:</w:t>
      </w:r>
    </w:p>
    <w:p w14:paraId="0000015F" w14:textId="427A204C" w:rsidR="00D7661C" w:rsidRDefault="004B2BBB">
      <w:pPr>
        <w:ind w:left="720"/>
      </w:pPr>
      <w:r>
        <w:t xml:space="preserve"> </w:t>
      </w:r>
      <w:r>
        <w:tab/>
        <w:t>…[F]</w:t>
      </w:r>
      <w:proofErr w:type="spellStart"/>
      <w:r>
        <w:t>armers</w:t>
      </w:r>
      <w:proofErr w:type="spellEnd"/>
      <w:r>
        <w:t xml:space="preserve"> who undertake to farm environmentally important areas in a manner that preserves or improves the environment. The farmers must not further the intensification of agricultural production, and the stock density and level of intensity of </w:t>
      </w:r>
      <w:r>
        <w:lastRenderedPageBreak/>
        <w:t>agricultural production must be compatible with the specific environmental needs of the area.</w:t>
      </w:r>
      <w:r>
        <w:rPr>
          <w:vertAlign w:val="superscript"/>
        </w:rPr>
        <w:footnoteReference w:id="252"/>
      </w:r>
    </w:p>
    <w:p w14:paraId="6235E04B" w14:textId="77777777" w:rsidR="008B7DCB" w:rsidRDefault="008B7DCB">
      <w:pPr>
        <w:ind w:left="720"/>
      </w:pPr>
    </w:p>
    <w:p w14:paraId="00000160" w14:textId="77777777" w:rsidR="00D7661C" w:rsidRDefault="004B2BBB">
      <w:r>
        <w:t xml:space="preserve">The literature often refers to programs as </w:t>
      </w:r>
      <w:r>
        <w:rPr>
          <w:i/>
        </w:rPr>
        <w:t>schemes</w:t>
      </w:r>
      <w:r>
        <w:t>. Following guidance from Rio, different countries and regions generate various schemes tailored to the specific needs of a location.</w:t>
      </w:r>
      <w:r>
        <w:rPr>
          <w:vertAlign w:val="superscript"/>
        </w:rPr>
        <w:footnoteReference w:id="253"/>
      </w:r>
      <w:r>
        <w:t xml:space="preserve"> The schemes tend to follow the direction of CAP (where applicable), moving affected farms to more traditional practices instead of intensification, acknowledging “environment as a cultural artefact dependent on agricultural practices.”</w:t>
      </w:r>
      <w:r>
        <w:rPr>
          <w:vertAlign w:val="superscript"/>
        </w:rPr>
        <w:footnoteReference w:id="254"/>
      </w:r>
    </w:p>
    <w:p w14:paraId="00000161" w14:textId="3C2004AA" w:rsidR="00D7661C" w:rsidRDefault="004B2BBB">
      <w:pPr>
        <w:ind w:firstLine="720"/>
      </w:pPr>
      <w:r>
        <w:t>There are many threats to the survival of farm landscapes. Intensification is just one, but</w:t>
      </w:r>
      <w:r w:rsidR="00232A61">
        <w:t xml:space="preserve"> </w:t>
      </w:r>
      <w:r>
        <w:t xml:space="preserve">it is an important one to this thesis because the intensification process </w:t>
      </w:r>
      <w:r w:rsidR="00B329F6">
        <w:t xml:space="preserve">has implications that </w:t>
      </w:r>
      <w:r>
        <w:t>tie farms to the watershed. Intensification is when an existing area of farmland is manipulated through labor, fertilizer, or other means to generate more produce, a process once thought to help conservation efforts to save forest land.</w:t>
      </w:r>
      <w:r>
        <w:rPr>
          <w:vertAlign w:val="superscript"/>
        </w:rPr>
        <w:footnoteReference w:id="255"/>
      </w:r>
      <w:r>
        <w:t xml:space="preserve"> At first, intensification seems like a benefit to the ILA, minimizing the area being farmed. However, if intensification is not thoughtfully carried out, it can lead to serious harms to the environment. Large populations of livestock contribute to greenhouse gases, and high-capacity agriculture production can have negative impacts on </w:t>
      </w:r>
      <w:r>
        <w:lastRenderedPageBreak/>
        <w:t>“environmental health and the quality of human life.”</w:t>
      </w:r>
      <w:r>
        <w:rPr>
          <w:vertAlign w:val="superscript"/>
        </w:rPr>
        <w:footnoteReference w:id="256"/>
      </w:r>
      <w:r>
        <w:t xml:space="preserve"> What CAP is acknowledging through limiting intensification is the finite resources of soil and water, and that the drive to produce more food per acre comes at a cost to the landscape. While CAP is designed to defray some of the absorbed costs of returning to more traditional farming practices, it does not always make up for the entire loss.</w:t>
      </w:r>
      <w:r>
        <w:rPr>
          <w:vertAlign w:val="superscript"/>
        </w:rPr>
        <w:footnoteReference w:id="257"/>
      </w:r>
    </w:p>
    <w:p w14:paraId="00000162" w14:textId="1C27AE0A" w:rsidR="00D7661C" w:rsidRDefault="004B2BBB">
      <w:pPr>
        <w:ind w:firstLine="720"/>
      </w:pPr>
      <w:r>
        <w:t>In the U.S., model farms have embraced conservation and less intensive farming practices while remaining financially viable. In California, the Straus Family Creamery has embraced organic dairy farming using a small herd size, which works within the landscape’s carrying capacity. They also sold easements on the land which helped raise money to develop the farm.</w:t>
      </w:r>
      <w:r>
        <w:rPr>
          <w:vertAlign w:val="superscript"/>
        </w:rPr>
        <w:footnoteReference w:id="258"/>
      </w:r>
      <w:r>
        <w:t xml:space="preserve"> An example in the Chesapeake watershed is the Even’ Star Farm which has also transitioned to an organic and sustainable practice using mostly hand labor to do the work.</w:t>
      </w:r>
      <w:r>
        <w:rPr>
          <w:vertAlign w:val="superscript"/>
        </w:rPr>
        <w:footnoteReference w:id="259"/>
      </w:r>
      <w:r>
        <w:t xml:space="preserve"> These models align with CAP intentions: Both farms are located in environmentally sensitive watershed areas. Both farm work at a scale dictated by the needs of their larger environment and, in so doing, maintain a sustainably preserved landscape. Both farms have moved away from intensification and are financially viable because they have found interested markets. Both farms have developed a business plan that has an environmental ethos as a large component. </w:t>
      </w:r>
    </w:p>
    <w:p w14:paraId="00000163" w14:textId="47682B0E" w:rsidR="00D7661C" w:rsidRDefault="004B2BBB">
      <w:pPr>
        <w:ind w:firstLine="720"/>
      </w:pPr>
      <w:r>
        <w:lastRenderedPageBreak/>
        <w:t>CAP-style payments are an incentive that has worked in Thailand to encourage change in farming practices amongst poorer farmers, but not necessarily among the wealthier.</w:t>
      </w:r>
      <w:r>
        <w:rPr>
          <w:vertAlign w:val="superscript"/>
        </w:rPr>
        <w:footnoteReference w:id="260"/>
      </w:r>
      <w:r>
        <w:t xml:space="preserve"> In Canada, public perception about the pollution from livestock operations may have been a larger motivator than the payments.</w:t>
      </w:r>
      <w:r>
        <w:rPr>
          <w:vertAlign w:val="superscript"/>
        </w:rPr>
        <w:footnoteReference w:id="261"/>
      </w:r>
      <w:r>
        <w:t xml:space="preserve"> </w:t>
      </w:r>
    </w:p>
    <w:p w14:paraId="00000164" w14:textId="672C563C" w:rsidR="00D7661C" w:rsidRDefault="004B2BBB">
      <w:pPr>
        <w:ind w:firstLine="720"/>
      </w:pPr>
      <w:r>
        <w:t>The three motivators--financial incentives, environmental conscience, and market perceptions--all play into whether a farm will turn from intensification models to an integrated landscape model that relies on more traditional methods.</w:t>
      </w:r>
      <w:r>
        <w:rPr>
          <w:vertAlign w:val="superscript"/>
        </w:rPr>
        <w:footnoteReference w:id="262"/>
      </w:r>
      <w:r>
        <w:t xml:space="preserve"> All of these factors </w:t>
      </w:r>
      <w:r w:rsidR="009D59A3">
        <w:t>consider</w:t>
      </w:r>
      <w:r>
        <w:t xml:space="preserve"> a landscape that is larger than the farm itself. The European Union--through CAP--acknowledges the heritage value of farms and the need to preserve them to maintain the integrity of the rural landscape.</w:t>
      </w:r>
      <w:r>
        <w:rPr>
          <w:vertAlign w:val="superscript"/>
        </w:rPr>
        <w:footnoteReference w:id="263"/>
      </w:r>
      <w:r>
        <w:t xml:space="preserve"> While programs similar to CAP have been attempted in the Chesapeake watershed, there seems to be a hesitation among farmers to move to new models even in environmentally sensitive areas. Possibly the catalyst for change will come from the consumers valuing the Chesapeake as a resource and changing purchase patterns as a reflection of that value. Preservationists need to engage with historic farms to develop sustainability plans that incorporate ILA thinking. The move away from intensification benefits preservation through the maintenance of the landscape and farming practice.</w:t>
      </w:r>
    </w:p>
    <w:p w14:paraId="00000165" w14:textId="4D361451" w:rsidR="00D7661C" w:rsidRDefault="004B2BBB" w:rsidP="009D59A3">
      <w:pPr>
        <w:pStyle w:val="Heading2"/>
      </w:pPr>
      <w:bookmarkStart w:id="53" w:name="_Toc7863419"/>
      <w:r>
        <w:lastRenderedPageBreak/>
        <w:t>Conclusions</w:t>
      </w:r>
      <w:bookmarkEnd w:id="53"/>
    </w:p>
    <w:p w14:paraId="00000166" w14:textId="77777777" w:rsidR="00D7661C" w:rsidRDefault="004B2BBB">
      <w:pPr>
        <w:ind w:firstLine="720"/>
      </w:pPr>
      <w:r>
        <w:t xml:space="preserve">This chapter has addressed two large topics about </w:t>
      </w:r>
      <w:r w:rsidRPr="00CD0456">
        <w:rPr>
          <w:i/>
        </w:rPr>
        <w:t>farm preservation and sustainability</w:t>
      </w:r>
      <w:r>
        <w:t xml:space="preserve">: how U.S. historic preservation policies can address farms and how international practices address farms. The overarching concept is that farms need to be saved, they need to be viable, and they have to engage with the larger landscape in a positive way. These are Preservation issues with a capital “P” because the issues are not solely the concern of historic preservation </w:t>
      </w:r>
      <w:r>
        <w:rPr>
          <w:i/>
        </w:rPr>
        <w:t xml:space="preserve">or </w:t>
      </w:r>
      <w:r>
        <w:t>natural resource management; these issues should be the concern of both.</w:t>
      </w:r>
    </w:p>
    <w:p w14:paraId="00000167" w14:textId="2134C868" w:rsidR="00D7661C" w:rsidRDefault="004B2BBB">
      <w:pPr>
        <w:ind w:firstLine="720"/>
      </w:pPr>
      <w:r>
        <w:t>The values-based approach--like the wicked problems approach from Chapter I--requires identifying stakeholders and partner disciplines. To determine significance to a local community, historic preservationists need to engage with the community. Some knowledge of proposed changes from other fields will elicit responses helping to guide preservationists to “hot button” issues which could indicate areas of significance to the community. Working with a community is a time-consuming process, but it is the only way to have significance not determined by the expert but by the participants.</w:t>
      </w:r>
    </w:p>
    <w:p w14:paraId="00000168" w14:textId="27273FEF" w:rsidR="00D7661C" w:rsidRDefault="004B2BBB">
      <w:pPr>
        <w:ind w:firstLine="720"/>
      </w:pPr>
      <w:r>
        <w:t>Changing how we think about spaces by adopting a values-based approach allows historic preservation to address farms in a different manner and to adopt conservation practices that respond to circumstances. A values-based approach does not negate standard preservation thinking but shifts the emphasis to practice preservation as opposed to object preservation. This shift in emphasis is important to not only maintain the continued significance of farms but also acknowledging different valuation of farms that includes those working the land currently as well as their ancestors or previous land owners.</w:t>
      </w:r>
    </w:p>
    <w:p w14:paraId="00000169" w14:textId="77777777" w:rsidR="00D7661C" w:rsidRDefault="004B2BBB">
      <w:pPr>
        <w:ind w:firstLine="720"/>
      </w:pPr>
      <w:r>
        <w:lastRenderedPageBreak/>
        <w:t xml:space="preserve">If we think of farmers as the stewards of land, we can think in bold terms about the ILA. In this sense, farms are part of a common because they have an impact on the larger landscape, and the land resources found within farms will outlast current tenants. This is not a call to unilaterally dictate to farmers what they must do to be better stewards. Rather, it is an acknowledgement that we have a stake in the success of farms and need to engage with them to help encourage best management practices. </w:t>
      </w:r>
    </w:p>
    <w:p w14:paraId="0000016A" w14:textId="77777777" w:rsidR="00D7661C" w:rsidRDefault="004B2BBB">
      <w:pPr>
        <w:pStyle w:val="Heading3"/>
      </w:pPr>
      <w:bookmarkStart w:id="54" w:name="_46r0co2" w:colFirst="0" w:colLast="0"/>
      <w:bookmarkEnd w:id="54"/>
      <w:r>
        <w:br w:type="page"/>
      </w:r>
    </w:p>
    <w:p w14:paraId="0000016B" w14:textId="78DABC81" w:rsidR="00D7661C" w:rsidRDefault="00D7661C">
      <w:pPr>
        <w:rPr>
          <w:sz w:val="12"/>
          <w:szCs w:val="12"/>
        </w:rPr>
      </w:pPr>
      <w:bookmarkStart w:id="55" w:name="_2lwamvv" w:colFirst="0" w:colLast="0"/>
      <w:bookmarkEnd w:id="55"/>
    </w:p>
    <w:p w14:paraId="0000016D" w14:textId="335FC3DA" w:rsidR="00D7661C" w:rsidRDefault="00D7661C">
      <w:pPr>
        <w:rPr>
          <w:sz w:val="6"/>
          <w:szCs w:val="6"/>
        </w:rPr>
      </w:pPr>
    </w:p>
    <w:p w14:paraId="7BE950B8" w14:textId="77777777" w:rsidR="00B329F6" w:rsidRPr="001E4096" w:rsidRDefault="00B329F6">
      <w:pPr>
        <w:rPr>
          <w:sz w:val="6"/>
          <w:szCs w:val="6"/>
        </w:rPr>
      </w:pPr>
    </w:p>
    <w:p w14:paraId="0000016E" w14:textId="489A3681" w:rsidR="00D7661C" w:rsidRDefault="00D7661C">
      <w:pPr>
        <w:rPr>
          <w:sz w:val="12"/>
          <w:szCs w:val="12"/>
        </w:rPr>
      </w:pPr>
    </w:p>
    <w:p w14:paraId="03602E2A" w14:textId="77777777" w:rsidR="001E4096" w:rsidRPr="00B329F6" w:rsidRDefault="001E4096">
      <w:pPr>
        <w:rPr>
          <w:sz w:val="6"/>
          <w:szCs w:val="6"/>
        </w:rPr>
      </w:pPr>
    </w:p>
    <w:p w14:paraId="0000016F" w14:textId="347228C6" w:rsidR="00D7661C" w:rsidRDefault="004B2BBB" w:rsidP="00115E79">
      <w:pPr>
        <w:pStyle w:val="Heading1"/>
      </w:pPr>
      <w:bookmarkStart w:id="56" w:name="_Toc7863420"/>
      <w:r>
        <w:t>CHAPTER V</w:t>
      </w:r>
      <w:bookmarkEnd w:id="56"/>
    </w:p>
    <w:p w14:paraId="00000170" w14:textId="5C207609" w:rsidR="00D7661C" w:rsidRDefault="004B2BBB" w:rsidP="00115E79">
      <w:pPr>
        <w:pStyle w:val="Heading1"/>
      </w:pPr>
      <w:bookmarkStart w:id="57" w:name="_Toc7806105"/>
      <w:bookmarkStart w:id="58" w:name="_Toc7863421"/>
      <w:r>
        <w:t>PRESERVING WORKING LANDSCAPES</w:t>
      </w:r>
      <w:bookmarkEnd w:id="57"/>
      <w:bookmarkEnd w:id="58"/>
    </w:p>
    <w:p w14:paraId="645D2869" w14:textId="77777777" w:rsidR="00EA53EF" w:rsidRPr="00EA53EF" w:rsidRDefault="00EA53EF" w:rsidP="007F1519">
      <w:pPr>
        <w:spacing w:line="120" w:lineRule="auto"/>
      </w:pPr>
    </w:p>
    <w:p w14:paraId="666F2B56" w14:textId="77777777" w:rsidR="007F1519" w:rsidRDefault="007F1519" w:rsidP="009D59A3">
      <w:pPr>
        <w:pStyle w:val="Heading2"/>
      </w:pPr>
    </w:p>
    <w:p w14:paraId="00000171" w14:textId="78FFDDBA" w:rsidR="00D7661C" w:rsidRDefault="004B2BBB" w:rsidP="009D59A3">
      <w:pPr>
        <w:pStyle w:val="Heading2"/>
      </w:pPr>
      <w:bookmarkStart w:id="59" w:name="_Toc7863422"/>
      <w:r>
        <w:t>Preserving Changing Places</w:t>
      </w:r>
      <w:bookmarkEnd w:id="59"/>
    </w:p>
    <w:p w14:paraId="00000172" w14:textId="0F48FBEB" w:rsidR="00D7661C" w:rsidRDefault="004B2BBB">
      <w:pPr>
        <w:ind w:firstLine="720"/>
      </w:pPr>
      <w:r>
        <w:t xml:space="preserve">This thesis deals with the idea of preserving places that are ever-changing. Out of necessity, farms change to adapt and grow. </w:t>
      </w:r>
      <w:r w:rsidR="00B329F6">
        <w:t xml:space="preserve">If farms do not change the risk becoming obsolete. </w:t>
      </w:r>
      <w:r>
        <w:t xml:space="preserve">Historic preservation is often associated with protecting historic structures and landscapes by representing periods of significance, which is not congruous with ongoing change. Historic preservation is about </w:t>
      </w:r>
      <w:r>
        <w:rPr>
          <w:i/>
        </w:rPr>
        <w:t>managing</w:t>
      </w:r>
      <w:r>
        <w:t xml:space="preserve"> change of significant places. The natural aging of materials, for instance, requires maintenance through replacement. While maintenance concerns a management of change, this thesis deals more with an allowance for</w:t>
      </w:r>
      <w:r w:rsidR="00CD0456">
        <w:t>--</w:t>
      </w:r>
      <w:r>
        <w:t>and often encouragement of--change. Therefore, finding a way for historic preservation to engage with these active landscapes is necessary.</w:t>
      </w:r>
    </w:p>
    <w:p w14:paraId="00000173" w14:textId="7AA8EE60" w:rsidR="00D7661C" w:rsidRDefault="004B2BBB">
      <w:pPr>
        <w:ind w:firstLine="720"/>
      </w:pPr>
      <w:r>
        <w:t xml:space="preserve">In examining how historic preservation can preserve farms, this thesis grapples with concepts of how preservation </w:t>
      </w:r>
      <w:r>
        <w:rPr>
          <w:i/>
        </w:rPr>
        <w:t>should</w:t>
      </w:r>
      <w:r>
        <w:t xml:space="preserve"> engage with farms. Initially the paper intended to explore the role of historic preservation in helping farms. </w:t>
      </w:r>
      <w:r w:rsidR="00B329F6">
        <w:t>My</w:t>
      </w:r>
      <w:r>
        <w:t xml:space="preserve"> first concept </w:t>
      </w:r>
      <w:r w:rsidR="00B329F6">
        <w:t>for the thesis involved exploring how</w:t>
      </w:r>
      <w:r>
        <w:t xml:space="preserve"> U.S.-style historic preservation, as practiced, is not sufficient for engaging with working landscapes. Second, preservation needs to </w:t>
      </w:r>
      <w:r w:rsidR="00B329F6">
        <w:t>consider</w:t>
      </w:r>
      <w:r>
        <w:t xml:space="preserve"> not only the historical significance of farms, but also the contemporary values of stakeholders, even those with a tangential </w:t>
      </w:r>
      <w:r>
        <w:lastRenderedPageBreak/>
        <w:t>connection to farms. Nevertheless, most of the underlying concepts from my thesis proposal have not changed.</w:t>
      </w:r>
    </w:p>
    <w:p w14:paraId="00000174" w14:textId="67A56EB8" w:rsidR="00D7661C" w:rsidRDefault="004B2BBB">
      <w:pPr>
        <w:ind w:firstLine="720"/>
      </w:pPr>
      <w:r>
        <w:t xml:space="preserve">A major challenge to the preservation of farms is how historic preservation addresses the concept of significance with regard to </w:t>
      </w:r>
      <w:r w:rsidR="009017C1">
        <w:t>working landscapes</w:t>
      </w:r>
      <w:r>
        <w:t xml:space="preserve">. Because a site is supposed to be able to convey its historical significance, historic preservation practitioners have to decide how much change a place can undergo before that ability to convey meaning is compromised. I continue to believe where working landscapes are concerned, this fine line between change and compromise puts importance on the wrong aspects of the farm. This conventional historic preservation approach does not recognize the fact that significance is also derived from practice, and these working farms </w:t>
      </w:r>
      <w:r w:rsidR="00B329F6">
        <w:t>represent</w:t>
      </w:r>
      <w:r>
        <w:t xml:space="preserve"> continuous practice.</w:t>
      </w:r>
      <w:r w:rsidR="009017C1">
        <w:t xml:space="preserve"> </w:t>
      </w:r>
    </w:p>
    <w:p w14:paraId="00000175" w14:textId="4CA2ADEE" w:rsidR="00D7661C" w:rsidRDefault="004B2BBB">
      <w:pPr>
        <w:ind w:firstLine="720"/>
      </w:pPr>
      <w:r>
        <w:t>This thesis addressed how historic preservation engages with farms, which inevitably leads to more questions. Historic preservation needs to think about farms the way ecologists and environmentalists think about farms</w:t>
      </w:r>
      <w:r w:rsidR="009017C1">
        <w:t xml:space="preserve"> or make sure these fields are incorporated into historic preservation so that these perspectives are incorporated in the preservation</w:t>
      </w:r>
      <w:r>
        <w:t xml:space="preserve">. </w:t>
      </w:r>
      <w:r w:rsidR="009017C1">
        <w:t xml:space="preserve">This is the multidisciplinary approach. </w:t>
      </w:r>
      <w:r>
        <w:t>The thesis also</w:t>
      </w:r>
      <w:r w:rsidR="00EA53EF">
        <w:t xml:space="preserve"> </w:t>
      </w:r>
      <w:r>
        <w:t xml:space="preserve">explored how sustainability relates to farms. The initial </w:t>
      </w:r>
      <w:r w:rsidR="00B329F6">
        <w:t>concept for the paper</w:t>
      </w:r>
      <w:r>
        <w:t xml:space="preserve"> used simpler concepts of farm sustainability that are derived from financial success. Acknowledgement of th</w:t>
      </w:r>
      <w:r w:rsidR="0059451D">
        <w:t>i</w:t>
      </w:r>
      <w:r>
        <w:t xml:space="preserve">s concept is only one way of seeing sustainability and </w:t>
      </w:r>
      <w:r w:rsidR="0059451D">
        <w:t>is</w:t>
      </w:r>
      <w:r>
        <w:t xml:space="preserve"> not a guarantee of long-term viability. </w:t>
      </w:r>
      <w:r w:rsidR="0059451D">
        <w:t xml:space="preserve">A more comprehensive definition of </w:t>
      </w:r>
      <w:r w:rsidR="00351B98">
        <w:t>s</w:t>
      </w:r>
      <w:r>
        <w:t xml:space="preserve">ustainability, as discussed in Chapter II, is defined by a larger landscape and timeline and extends to how the farm relates to a larger environment. This thinking about sustainability includes environmental concerns, relationships with communities, and fiscal well-being. These are bigger concepts that </w:t>
      </w:r>
      <w:r>
        <w:lastRenderedPageBreak/>
        <w:t xml:space="preserve">do not easily integrate with historic preservation, which looks at place and not necessarily the interaction between place and its larger context. </w:t>
      </w:r>
    </w:p>
    <w:p w14:paraId="00000176" w14:textId="2B1D4BCD" w:rsidR="00D7661C" w:rsidRDefault="004B2BBB">
      <w:pPr>
        <w:ind w:firstLine="720"/>
      </w:pPr>
      <w:r>
        <w:t xml:space="preserve">The complexity of the issue resulted in different ways of thinking about the underlying concepts. Indeed, it was difficult to synthesize new ways of thinking about landscape preservation with historic preservation. </w:t>
      </w:r>
      <w:r w:rsidR="00351B98">
        <w:t>H</w:t>
      </w:r>
      <w:r>
        <w:t xml:space="preserve">istoric preservation does not always have a role to play; sometimes objectives are </w:t>
      </w:r>
      <w:r w:rsidR="00351B98">
        <w:t xml:space="preserve">better </w:t>
      </w:r>
      <w:r>
        <w:t xml:space="preserve">achieved by other fields. Historic preservation is less a solution to a problem than a way of addressing a place. </w:t>
      </w:r>
      <w:r w:rsidR="00351B98">
        <w:t>W</w:t>
      </w:r>
      <w:r>
        <w:t xml:space="preserve">e need to address environmental concerns as part of </w:t>
      </w:r>
      <w:r w:rsidR="00351B98">
        <w:t xml:space="preserve">historic </w:t>
      </w:r>
      <w:r>
        <w:t xml:space="preserve">preservation, but historic preservation </w:t>
      </w:r>
      <w:r w:rsidR="00351B98">
        <w:t xml:space="preserve">practice </w:t>
      </w:r>
      <w:r>
        <w:t>cannot expect to have a larger impact than on the target site. In other words, historic preservation can help (or not limit) changes to an historic farm that benefit both farms and/or the Chesapeake Bay, but these changes may be all historic preservation can address. Therefore, in a context such as the Chesapeake Bay watershed, historic preservation is a limited partner in the Bay restoration.</w:t>
      </w:r>
    </w:p>
    <w:p w14:paraId="00000177" w14:textId="3B6C2B4F" w:rsidR="00D7661C" w:rsidRDefault="004B2BBB">
      <w:pPr>
        <w:ind w:firstLine="720"/>
      </w:pPr>
      <w:r>
        <w:t xml:space="preserve">One could argue that seeing the limits of historic preservation should all be very obvious and not a starting point for a thesis. However, </w:t>
      </w:r>
      <w:r w:rsidR="00351B98">
        <w:t>I</w:t>
      </w:r>
      <w:r>
        <w:t xml:space="preserve"> think about the preservation of places when </w:t>
      </w:r>
      <w:r w:rsidR="00351B98">
        <w:t>I</w:t>
      </w:r>
      <w:r>
        <w:t xml:space="preserve"> think about historic preservation. A foundation </w:t>
      </w:r>
      <w:r w:rsidR="00351B98">
        <w:t xml:space="preserve">for practice stemming from </w:t>
      </w:r>
      <w:r>
        <w:t xml:space="preserve">architecture makes “saving” a deceptive concept for historic preservation. </w:t>
      </w:r>
      <w:r w:rsidR="00351B98">
        <w:t xml:space="preserve">A structure can be considered wither saved or lost. </w:t>
      </w:r>
      <w:r>
        <w:t>Indeed, the concept of “saving” is not only deceptive but also simplistic if applied to landscapes</w:t>
      </w:r>
      <w:r w:rsidR="00351B98">
        <w:t xml:space="preserve"> because change is inherent in these spaces</w:t>
      </w:r>
      <w:r>
        <w:t>.</w:t>
      </w:r>
      <w:r>
        <w:rPr>
          <w:vertAlign w:val="superscript"/>
        </w:rPr>
        <w:footnoteReference w:id="264"/>
      </w:r>
      <w:r>
        <w:t xml:space="preserve"> You </w:t>
      </w:r>
      <w:r>
        <w:rPr>
          <w:i/>
        </w:rPr>
        <w:t>can</w:t>
      </w:r>
      <w:r>
        <w:t xml:space="preserve"> save a building from demolition by the wrecking ball, by neglect, by inappropriate change, and even </w:t>
      </w:r>
      <w:r w:rsidR="00351B98">
        <w:t>from</w:t>
      </w:r>
      <w:r>
        <w:t xml:space="preserve"> being </w:t>
      </w:r>
      <w:r>
        <w:lastRenderedPageBreak/>
        <w:t>forgotten. But farms are as intangible as they are tangible; the activity ties people to the place. This thesis</w:t>
      </w:r>
      <w:r w:rsidR="00CD0456">
        <w:t xml:space="preserve"> </w:t>
      </w:r>
      <w:r>
        <w:t xml:space="preserve">hinges on the belief that the activity of farming is as important as the views and the structures. The activity of farming continues to define the place. Saving an “activity” is different and more complex than saving a building. A building has more finite parameters such as when it was built, what materials were used, even how to determine future use. Landscapes, in contrast, contain more variables, and </w:t>
      </w:r>
      <w:r>
        <w:rPr>
          <w:i/>
        </w:rPr>
        <w:t xml:space="preserve">working </w:t>
      </w:r>
      <w:r>
        <w:t xml:space="preserve">landscapes contain people. </w:t>
      </w:r>
      <w:r w:rsidR="00351B98">
        <w:t>A building’s tangible and definable nature make it easier to know and control for the professional historic preservationist.</w:t>
      </w:r>
    </w:p>
    <w:p w14:paraId="00000178" w14:textId="41C56934" w:rsidR="00D7661C" w:rsidRDefault="004B2BBB">
      <w:pPr>
        <w:ind w:firstLine="720"/>
      </w:pPr>
      <w:r>
        <w:t xml:space="preserve">The preservation of farms is not the only place where historic preservation is confronting how to maintain continuing practice and historic fabric. </w:t>
      </w:r>
      <w:r w:rsidR="00351B98">
        <w:t xml:space="preserve">Even with the knowable nature of buildings the intangible activities of the place make for difficult historic preservation action. </w:t>
      </w:r>
      <w:r>
        <w:t>Is the historic New York City bookstore The Strand the same if it no longer sells books? The</w:t>
      </w:r>
      <w:r w:rsidRPr="00CD0456">
        <w:t xml:space="preserve"> New York Times </w:t>
      </w:r>
      <w:r>
        <w:t>quotes the New York Landmarks Conservancy board president, Peg Breen as saying, “No one is doing this to hurt The Strand, or add difficulties. They’re doing it to honor the building.”</w:t>
      </w:r>
      <w:r>
        <w:rPr>
          <w:vertAlign w:val="superscript"/>
        </w:rPr>
        <w:footnoteReference w:id="265"/>
      </w:r>
      <w:r>
        <w:t xml:space="preserve"> Isolated, Breen’s quote makes it seem like only the architecture matters. Landmarking—and by consequence making adaptation of the structure more difficult</w:t>
      </w:r>
      <w:r w:rsidR="00CD0456">
        <w:t>--</w:t>
      </w:r>
      <w:r>
        <w:t>may jeopardize the viability of the practice contained within.</w:t>
      </w:r>
      <w:r>
        <w:rPr>
          <w:vertAlign w:val="superscript"/>
        </w:rPr>
        <w:footnoteReference w:id="266"/>
      </w:r>
      <w:r>
        <w:t xml:space="preserve"> Jackson Gilman-Forlini questions </w:t>
      </w:r>
      <w:r>
        <w:lastRenderedPageBreak/>
        <w:t>which is more significant to the community: the books or the architecture?</w:t>
      </w:r>
      <w:r>
        <w:rPr>
          <w:vertAlign w:val="superscript"/>
        </w:rPr>
        <w:footnoteReference w:id="267"/>
      </w:r>
      <w:r>
        <w:t xml:space="preserve"> The Strand owner has even offered to take an easement on the facade if landmarking is dropped.</w:t>
      </w:r>
      <w:r>
        <w:rPr>
          <w:vertAlign w:val="superscript"/>
        </w:rPr>
        <w:footnoteReference w:id="268"/>
      </w:r>
      <w:r>
        <w:t xml:space="preserve"> This question of what is more significant can be asked about most buildings and spaces. This is an example of the bifurcation of traditional historic preservation values and the more recent layering that comes from social values fo</w:t>
      </w:r>
      <w:r w:rsidR="00351B98">
        <w:t xml:space="preserve">cusing on </w:t>
      </w:r>
      <w:r>
        <w:t>a</w:t>
      </w:r>
      <w:r w:rsidR="00351B98">
        <w:t>n</w:t>
      </w:r>
      <w:r>
        <w:t xml:space="preserve"> historic business.</w:t>
      </w:r>
    </w:p>
    <w:p w14:paraId="00000179" w14:textId="5D306A2B" w:rsidR="00D7661C" w:rsidRDefault="004B2BBB">
      <w:pPr>
        <w:ind w:firstLine="720"/>
      </w:pPr>
      <w:r>
        <w:t xml:space="preserve">With farms we remove the “architecture” focus but a similar question remains: Are we seeking to preserve the practice of farming or are we seeking to preserve the landscape of the farm? I have argued that the practice of farming defines the place and gives it </w:t>
      </w:r>
      <w:r w:rsidR="00351B98">
        <w:t xml:space="preserve">deeper </w:t>
      </w:r>
      <w:r>
        <w:t xml:space="preserve">historical significance. Therefore, the bookstore and the farm need preserving in a manner that allows </w:t>
      </w:r>
      <w:r w:rsidR="00351B98">
        <w:t>practice</w:t>
      </w:r>
      <w:r>
        <w:t xml:space="preserve"> to develop and adjust, thereby remaining relevant and sustainable, and continue their practices of selling books and farming. There are more impediments </w:t>
      </w:r>
      <w:r w:rsidR="00351B98">
        <w:t>that play in</w:t>
      </w:r>
      <w:r>
        <w:t>to continuing the farm, preserving the practice, as pointed out in this thesis. It is easier to save a building than to save a practice--an unfortunate reality when the practice helps to define the significance of a place.</w:t>
      </w:r>
    </w:p>
    <w:p w14:paraId="0000017A" w14:textId="4DF3C814" w:rsidR="00D7661C" w:rsidRDefault="004B2BBB">
      <w:pPr>
        <w:ind w:firstLine="720"/>
      </w:pPr>
      <w:r>
        <w:t xml:space="preserve">As </w:t>
      </w:r>
      <w:r w:rsidR="009D59A3">
        <w:t>I</w:t>
      </w:r>
      <w:r>
        <w:t xml:space="preserve"> delved deeper into the research of the topic, </w:t>
      </w:r>
      <w:r w:rsidR="00351B98">
        <w:t>I</w:t>
      </w:r>
      <w:r>
        <w:t xml:space="preserve"> found more layers and context for farm preservation where the environment is a factor which makes the already complicated problem of farm preservation more complex. Perhaps these layers of complexity also should have been obvious. Rittel and Weber’s ten</w:t>
      </w:r>
      <w:r w:rsidR="00CD0456">
        <w:t>th</w:t>
      </w:r>
      <w:r>
        <w:t xml:space="preserve"> factor of wicked problems is that the expert has no right to be wrong. Therefore, if we accept that farm preservation is a wicked problem, then we have a </w:t>
      </w:r>
      <w:r>
        <w:lastRenderedPageBreak/>
        <w:t>responsibility to understand the problem as fully as possible.</w:t>
      </w:r>
      <w:r w:rsidR="00351B98">
        <w:t xml:space="preserve"> That means being open to and looking for added layers of complexity to better understand farms and mitigate future problems</w:t>
      </w:r>
      <w:r w:rsidR="00673296">
        <w:t xml:space="preserve"> that could jeopardize the place or objects future.</w:t>
      </w:r>
    </w:p>
    <w:p w14:paraId="0000017B" w14:textId="0BD872B7" w:rsidR="00D7661C" w:rsidRDefault="004B2BBB">
      <w:pPr>
        <w:pStyle w:val="Heading3"/>
      </w:pPr>
      <w:bookmarkStart w:id="60" w:name="_Toc7863423"/>
      <w:r>
        <w:t>The First Approach to Farm Preservation in a Larger Context</w:t>
      </w:r>
      <w:bookmarkEnd w:id="60"/>
    </w:p>
    <w:p w14:paraId="0000017C" w14:textId="77777777" w:rsidR="00D7661C" w:rsidRDefault="004B2BBB">
      <w:pPr>
        <w:ind w:firstLine="720"/>
      </w:pPr>
      <w:r>
        <w:t>This thesis started with the idea that historic preservation can play a larger role in helping farms in the Chesapeake region adapt to changing values and a changing environment. The idea was that preservation can shine a light on the importance of the practice and heritage of farming, thereby creating buy-in from farmers and helping them engage with change. This change would have benefits to the larger environment with the potential to garner community support for the farm as locals recognize environmental efforts.</w:t>
      </w:r>
    </w:p>
    <w:p w14:paraId="0000017D" w14:textId="77777777" w:rsidR="00D7661C" w:rsidRDefault="004B2BBB">
      <w:pPr>
        <w:ind w:firstLine="720"/>
      </w:pPr>
      <w:r>
        <w:t>The emphasis on the preservation of practice versus the preservation of architecture or objects is to show that significance is imbued on the landscape by the practice. Practice and place are an intersection, each influencing and developing the other. In the case of farms, this relationship is not a snapshot in time. Farming is an ongoing process or system, the maintenance of which is integral to the significance of the farm as a place.</w:t>
      </w:r>
    </w:p>
    <w:p w14:paraId="0000017E" w14:textId="5F3F7B07" w:rsidR="00D7661C" w:rsidRDefault="004B2BBB">
      <w:pPr>
        <w:ind w:firstLine="720"/>
      </w:pPr>
      <w:r>
        <w:t xml:space="preserve">The original hypothesis of the thesis--that historic preservation could help </w:t>
      </w:r>
      <w:r>
        <w:rPr>
          <w:i/>
        </w:rPr>
        <w:t xml:space="preserve">save </w:t>
      </w:r>
      <w:r>
        <w:t xml:space="preserve">farms--didn’t </w:t>
      </w:r>
      <w:r w:rsidR="00C0543F">
        <w:t>consider</w:t>
      </w:r>
      <w:r>
        <w:t xml:space="preserve"> the sheer number of government and non-government organizations that are engaged in trying to save the Bay and working with farmers to help them adapt to change. The work that these organizations are doing is important and they are working hard to help farmers and the Chesapeake. In light of this, this thesis argues that for historic farms to be addressed by historic preservation,</w:t>
      </w:r>
      <w:r w:rsidR="00C0543F">
        <w:t xml:space="preserve"> </w:t>
      </w:r>
      <w:r>
        <w:t>practitioners need to look at</w:t>
      </w:r>
      <w:r w:rsidR="00C0543F">
        <w:t xml:space="preserve"> </w:t>
      </w:r>
      <w:r>
        <w:t xml:space="preserve">farms in a new way that encourages </w:t>
      </w:r>
      <w:r>
        <w:lastRenderedPageBreak/>
        <w:t>meaningful change. Those farmers who are resistant to change are unlikely to be convinced by a state historic preservation office or a historic preservation NGO. The offers</w:t>
      </w:r>
      <w:r w:rsidR="00E14E2B">
        <w:t xml:space="preserve"> of financial assistance to build fences, tax incentives and breaks</w:t>
      </w:r>
      <w:r w:rsidR="008E1B50">
        <w:t>, these</w:t>
      </w:r>
      <w:r>
        <w:t xml:space="preserve"> are already on the table, as both state and federal government are reaching out to farmers. </w:t>
      </w:r>
    </w:p>
    <w:p w14:paraId="0A61649F" w14:textId="77777777" w:rsidR="001A77DB" w:rsidRDefault="004B2BBB">
      <w:pPr>
        <w:ind w:firstLine="720"/>
      </w:pPr>
      <w:r>
        <w:t xml:space="preserve">Those farmers who are resistant to change are likely resistant because change is hard, risky, and costs money. Consequently, if no one is forcing them, there is insufficient incentive to convince farmers to change. This reluctance to change does not mean that the farmers don't love their land or don’t care about the Bay. With wicked problems, the results of change are not binary. Change is on the scale from good to bad and how that is perceived changes with each constituent. </w:t>
      </w:r>
    </w:p>
    <w:p w14:paraId="0000017F" w14:textId="68306806" w:rsidR="00D7661C" w:rsidRDefault="001A77DB">
      <w:pPr>
        <w:ind w:firstLine="720"/>
      </w:pPr>
      <w:r>
        <w:t>For farms to be preserved they have to continue to exist, this makes the issues on farms an historic preservation concern. It does not mean that historic preservation is the solution</w:t>
      </w:r>
      <w:r w:rsidR="00673296">
        <w:t xml:space="preserve"> to farm loss</w:t>
      </w:r>
      <w:r>
        <w:t xml:space="preserve">. The solutions, if they exist, will come from multi-disciplinary approaches that historic preservation needs to understand and be a part of, with the farmers and community. As part of the solution, historic preservation should be advocating for the best practices that encourage the </w:t>
      </w:r>
      <w:r w:rsidR="00673296">
        <w:t>long-term</w:t>
      </w:r>
      <w:r>
        <w:t xml:space="preserve"> sustainability (both contexts that were discussed earlier in the paper), giving the farm the best chance to continue.</w:t>
      </w:r>
    </w:p>
    <w:p w14:paraId="00000180" w14:textId="378B20A7" w:rsidR="00D7661C" w:rsidRDefault="004B2BBB" w:rsidP="009D59A3">
      <w:pPr>
        <w:pStyle w:val="Heading2"/>
      </w:pPr>
      <w:bookmarkStart w:id="61" w:name="_Toc7863424"/>
      <w:r>
        <w:t>What Was Learned</w:t>
      </w:r>
      <w:bookmarkEnd w:id="61"/>
    </w:p>
    <w:p w14:paraId="00000181" w14:textId="77777777" w:rsidR="00D7661C" w:rsidRDefault="004B2BBB">
      <w:r>
        <w:tab/>
        <w:t xml:space="preserve">Working through the ideas in this paper, there were plenty of challenges. Each challenge meant trying to understand the interconnected nature of farms and sustainability. This thesis </w:t>
      </w:r>
      <w:r>
        <w:lastRenderedPageBreak/>
        <w:t>cannot say that there is a single solution for preserving farms, only a different and better approach.</w:t>
      </w:r>
    </w:p>
    <w:p w14:paraId="00000182" w14:textId="7A621A07" w:rsidR="00D7661C" w:rsidRDefault="004B2BBB">
      <w:pPr>
        <w:pStyle w:val="Heading3"/>
      </w:pPr>
      <w:bookmarkStart w:id="62" w:name="_Toc7863425"/>
      <w:r>
        <w:t>The National Register is a Means, Not an End</w:t>
      </w:r>
      <w:bookmarkEnd w:id="62"/>
    </w:p>
    <w:p w14:paraId="00000183" w14:textId="7CC48257" w:rsidR="00D7661C" w:rsidRDefault="004B2BBB">
      <w:pPr>
        <w:rPr>
          <w:i/>
        </w:rPr>
      </w:pPr>
      <w:r>
        <w:tab/>
        <w:t>Throughout the paper, the National Register of Historic Places is used as a reference point, but that does not mean the listing of all (or any) Chesapeake farms in the Register. To look at the farms, I needed a context, or perspective, from which to do so. It is one thing to look at an old farm and say that it has value, but using a format, or lens, such as the N</w:t>
      </w:r>
      <w:r w:rsidR="00C0543F">
        <w:t xml:space="preserve">ational </w:t>
      </w:r>
      <w:r>
        <w:t>R</w:t>
      </w:r>
      <w:r w:rsidR="00C0543F">
        <w:t>egister of Historic Places</w:t>
      </w:r>
      <w:r>
        <w:t xml:space="preserve"> helps to give context and define places. It is a starting point. The actual value of a place to history and society goes beyond the limitations of the N</w:t>
      </w:r>
      <w:r w:rsidR="00C0543F">
        <w:t xml:space="preserve">ational </w:t>
      </w:r>
      <w:r>
        <w:t>R</w:t>
      </w:r>
      <w:r w:rsidR="00C0543F">
        <w:t>egister of Historic Places</w:t>
      </w:r>
      <w:r>
        <w:t xml:space="preserve"> and includes other fields of study. Many disciplines are already involved with farms in the Chesapeake watershed. The challenge is to see what historic preservation brings to the table that other disciplines do not. Historic preservationists need a clear understanding of how our practice </w:t>
      </w:r>
      <w:r>
        <w:rPr>
          <w:i/>
        </w:rPr>
        <w:t>can</w:t>
      </w:r>
      <w:r>
        <w:t xml:space="preserve"> </w:t>
      </w:r>
      <w:r>
        <w:rPr>
          <w:i/>
        </w:rPr>
        <w:t>support farms.</w:t>
      </w:r>
    </w:p>
    <w:p w14:paraId="00000184" w14:textId="125818CC" w:rsidR="00D7661C" w:rsidRDefault="004B2BBB">
      <w:r>
        <w:tab/>
        <w:t xml:space="preserve">There is a value added when historic preservation engages with places--historic preservation emphasizes the interaction between people and the land. This emphasis is what differentiates historic preservation practice from natural resource management/conservation </w:t>
      </w:r>
      <w:r w:rsidR="008E1B50">
        <w:t xml:space="preserve">(an emphasis on the “natural” or landscape) </w:t>
      </w:r>
      <w:r>
        <w:t>on one end of the spectrum and cultural sustainability on the other end</w:t>
      </w:r>
      <w:r w:rsidR="008E1B50">
        <w:t xml:space="preserve"> (an emphasis on people)</w:t>
      </w:r>
      <w:r>
        <w:t xml:space="preserve">. </w:t>
      </w:r>
      <w:r w:rsidR="008E1B50">
        <w:t xml:space="preserve">While struggling with whether I should have gone into land conservation instead of historic preservation I heard a story about </w:t>
      </w:r>
      <w:r w:rsidR="000B75E6">
        <w:t xml:space="preserve">Studs Terkel and remembered wanting to get into folkloristics. Historic does seem to be the middle ground, where the landscape and people come together. </w:t>
      </w:r>
      <w:r>
        <w:t xml:space="preserve">And even among these disciplines there is a large </w:t>
      </w:r>
      <w:r>
        <w:lastRenderedPageBreak/>
        <w:t xml:space="preserve">amount of overlap with historic preservation in the middle. Without a lens through which to understand farms and therefore work towards their preservation, historic preservation practice is unfocused and could wander. </w:t>
      </w:r>
    </w:p>
    <w:p w14:paraId="00000185" w14:textId="13568A7B" w:rsidR="00D7661C" w:rsidRDefault="004B2BBB">
      <w:r>
        <w:tab/>
        <w:t>Historic preservation is more than the N</w:t>
      </w:r>
      <w:r w:rsidR="00C0543F">
        <w:t xml:space="preserve">ational </w:t>
      </w:r>
      <w:r>
        <w:t>R</w:t>
      </w:r>
      <w:r w:rsidR="00C0543F">
        <w:t>egister</w:t>
      </w:r>
      <w:r>
        <w:t>. But the National Register is the current framework although it is not perfectly tailored to the needs of farms. There is not much chance the Register will change anytime soon, which leaves us the current framework within which to work. As this thesis has shown and as</w:t>
      </w:r>
      <w:r w:rsidR="00C0543F">
        <w:t xml:space="preserve"> </w:t>
      </w:r>
      <w:r>
        <w:t>is practiced elsewhere, there is room within the guidelines of the Register to do the work of farm preservation. The issue is whether historic preservation practitioners are willing to adopt a values-based approach to preservation</w:t>
      </w:r>
      <w:r w:rsidR="000B75E6">
        <w:t xml:space="preserve"> as proposed by Jerome and others and practiced by other countries guided by documents like the Burra Charter in Australia</w:t>
      </w:r>
      <w:r>
        <w:t xml:space="preserve">. </w:t>
      </w:r>
    </w:p>
    <w:p w14:paraId="00000186" w14:textId="5AC72DDB" w:rsidR="00D7661C" w:rsidRDefault="004B2BBB">
      <w:pPr>
        <w:pStyle w:val="Heading3"/>
      </w:pPr>
      <w:bookmarkStart w:id="63" w:name="_Toc7863426"/>
      <w:r>
        <w:t>Historic Preservation is Not the Only Expert on Farms</w:t>
      </w:r>
      <w:bookmarkEnd w:id="63"/>
    </w:p>
    <w:p w14:paraId="00000187" w14:textId="67D42430" w:rsidR="00D7661C" w:rsidRDefault="004B2BBB">
      <w:r>
        <w:tab/>
        <w:t>What many of the approaches discussed in this thesis have in common is the need for trans-disciplinary approaches. I have established that the sustainability of farms involves more than just whether a farm can make a profit. The integrated landscape approach shows that farms are deeply connected to the environment and to communities. Therefore, farm preservation is about more than just the interaction between farmers and a place.</w:t>
      </w:r>
    </w:p>
    <w:p w14:paraId="00000188" w14:textId="44D28F08" w:rsidR="00D7661C" w:rsidRDefault="004B2BBB">
      <w:r>
        <w:tab/>
        <w:t xml:space="preserve">Successful farm preservation takes an integrated approach and involves </w:t>
      </w:r>
      <w:r>
        <w:rPr>
          <w:i/>
        </w:rPr>
        <w:t>any</w:t>
      </w:r>
      <w:r>
        <w:t xml:space="preserve"> discipline that is a stakeholder. The thesis relies heavily on natural resource management and environmental studies in this thesis as the major partners for historic preservation on farms. There is also the opportunity to engage with folklorists, cultural sustainability, and most likely </w:t>
      </w:r>
      <w:r>
        <w:lastRenderedPageBreak/>
        <w:t>many more. Recalling Chapter I, wicked problems are hard to tackle because not all the inputs to the problem are always known. Therefore, without getting an understanding of the farm and surroundings it is difficult to know who needs to be involved.</w:t>
      </w:r>
    </w:p>
    <w:p w14:paraId="00000189" w14:textId="1F8EF460" w:rsidR="00D7661C" w:rsidRDefault="004B2BBB">
      <w:r>
        <w:tab/>
      </w:r>
      <w:r w:rsidR="00673296">
        <w:t>I</w:t>
      </w:r>
      <w:r>
        <w:t xml:space="preserve">t is clear is that “experts” need to understand the individual farms. This insight returns us to the need for historic preservation to emphasize practice </w:t>
      </w:r>
      <w:r w:rsidR="000B75E6">
        <w:t>alongside</w:t>
      </w:r>
      <w:r>
        <w:t xml:space="preserve"> the physical characteristics of place. Historic preservation is about the intersection of people and place, and this intersection is where we can be most impactful on farms, by highlighting the importance of farm practice historically and today. But that significance needs to be driven by the farmer and community and then understood and developed with the perspective of the experts. Carrying through with these actions hopefully retains the essence of the significance the community sees; in so doing, the expert can memorialize and share the information, while possibly drawing ties to other communities.</w:t>
      </w:r>
    </w:p>
    <w:p w14:paraId="0000018A" w14:textId="1E961DE9" w:rsidR="00D7661C" w:rsidRDefault="004B2BBB">
      <w:pPr>
        <w:ind w:firstLine="720"/>
      </w:pPr>
      <w:r>
        <w:t>In the wicked problem involving farms and the Chesapeake, the farmers are stakeholders, as are consumers (of the Chesapeake watershed and farm goods), and citizens, so it is not only one group’s values that lead to a “best” approach. The experts represent varied stakeholder interests and should also speak for those interests that cannot lobby. With the ILA approach, farms have to change to integrate better with the landscape. The idea of change challenges traditional historic preservation approaches but more importantly challenges the farmer. The environmentalists, conservationists (think Sierra Club), and ecologists advocate for the more natural systems, while the working landscape is advocated for by historic preservation and the other branches of conservation (think American Farmland Trust). Other stakeholders and experts also need to have their say so the best consensus decision can be reached.</w:t>
      </w:r>
    </w:p>
    <w:p w14:paraId="0000018B" w14:textId="57C4692E" w:rsidR="00D7661C" w:rsidRDefault="004B2BBB">
      <w:pPr>
        <w:ind w:firstLine="720"/>
      </w:pPr>
      <w:r>
        <w:lastRenderedPageBreak/>
        <w:t>What I have not suggested is</w:t>
      </w:r>
      <w:r>
        <w:rPr>
          <w:i/>
        </w:rPr>
        <w:t xml:space="preserve"> who is the arbiter</w:t>
      </w:r>
      <w:r>
        <w:t xml:space="preserve"> in the multidisciplinary approach to farm preservation</w:t>
      </w:r>
      <w:r w:rsidR="00C0543F">
        <w:t>.</w:t>
      </w:r>
      <w:r>
        <w:t xml:space="preserve"> As I have discussed in this paper, the </w:t>
      </w:r>
      <w:r w:rsidR="00C0543F">
        <w:t>C</w:t>
      </w:r>
      <w:r>
        <w:t xml:space="preserve">hesapeake </w:t>
      </w:r>
      <w:r w:rsidR="00C0543F">
        <w:t>B</w:t>
      </w:r>
      <w:r>
        <w:t>ay</w:t>
      </w:r>
      <w:r w:rsidR="00C0543F">
        <w:t xml:space="preserve"> </w:t>
      </w:r>
      <w:r>
        <w:t>Program is central to the Bay restoration effort. Given the interconnected nature of the Bay and farms and the multistate focus, working with B</w:t>
      </w:r>
      <w:r w:rsidR="00673296">
        <w:t xml:space="preserve">ay </w:t>
      </w:r>
      <w:r>
        <w:t>P</w:t>
      </w:r>
      <w:r w:rsidR="00673296">
        <w:t>rogram</w:t>
      </w:r>
      <w:r>
        <w:t xml:space="preserve"> may offer the best access to multiple farms. This collaboration adds another layer of heritage preservation to the B</w:t>
      </w:r>
      <w:r w:rsidR="00673296">
        <w:t xml:space="preserve">ay </w:t>
      </w:r>
      <w:r>
        <w:t>P</w:t>
      </w:r>
      <w:r w:rsidR="00673296">
        <w:t>rogram</w:t>
      </w:r>
      <w:r>
        <w:t>--helping to ensure that value is represented by farms.</w:t>
      </w:r>
      <w:r w:rsidR="00673296">
        <w:t xml:space="preserve"> The Bay Program should not define historic preservation objectives. This is the role of historic preservation practitioners and why we need to be actively engaged in the Chesapeake Bay restoration. </w:t>
      </w:r>
    </w:p>
    <w:p w14:paraId="0000018C" w14:textId="77777777" w:rsidR="00D7661C" w:rsidRDefault="004B2BBB">
      <w:pPr>
        <w:ind w:firstLine="720"/>
      </w:pPr>
      <w:r>
        <w:t xml:space="preserve">There is also potential for historic preservation to be the organizing agent. When arguing my case to a colleague, I created a scenario where a farm is up for listing in the National Register. In assessing the farm, the preservationist can look at the larger context of the farm. The perspective of this thesis is that protecting the farm means the farm is sustainable environmentally as well as fiscally. Therefore, the preservationist </w:t>
      </w:r>
      <w:r>
        <w:rPr>
          <w:i/>
        </w:rPr>
        <w:t>should</w:t>
      </w:r>
      <w:r>
        <w:t xml:space="preserve"> look to other disciplines to gain a deeper understanding of the farm. If the farm is not sustainable, then long-term preservation is difficult.</w:t>
      </w:r>
    </w:p>
    <w:p w14:paraId="0000018D" w14:textId="78C9CAC2" w:rsidR="00D7661C" w:rsidRDefault="004B2BBB">
      <w:pPr>
        <w:ind w:firstLine="720"/>
        <w:rPr>
          <w:i/>
        </w:rPr>
      </w:pPr>
      <w:r>
        <w:t xml:space="preserve">To a large degree, I found that a good deal of this meeting of experts and stakeholders is already happening in the Chesapeake Region. Historic preservation can play a larger role if we can adapt in a way to meld with the other experts. The challenge to historic preservation is when they approach a farm where there is not the activism associated with the Chesapeake restoration. historic preservation needs to push significance and sustainability theories and practice so that they are incorporated regularly. I am encouraging the ILA approach so that historic preservation </w:t>
      </w:r>
      <w:r>
        <w:lastRenderedPageBreak/>
        <w:t xml:space="preserve">consults and understands larger implications of place when addressing long term preservation. This approach encourages more holistic and </w:t>
      </w:r>
      <w:r>
        <w:rPr>
          <w:i/>
        </w:rPr>
        <w:t>forward</w:t>
      </w:r>
      <w:r>
        <w:t>-</w:t>
      </w:r>
      <w:r>
        <w:rPr>
          <w:i/>
        </w:rPr>
        <w:t>looking preservation.</w:t>
      </w:r>
    </w:p>
    <w:p w14:paraId="465D21BE" w14:textId="77777777" w:rsidR="00553277" w:rsidRDefault="00673296">
      <w:pPr>
        <w:ind w:firstLine="720"/>
      </w:pPr>
      <w:r>
        <w:t xml:space="preserve">Historic preservation has a limited </w:t>
      </w:r>
      <w:r w:rsidR="00553277">
        <w:t xml:space="preserve">but important </w:t>
      </w:r>
      <w:r>
        <w:t>role in the Chesapeake Bay restoration. Much of the work is done by the environmental sciences. Preservationists need to have a role in implementation, recordation and public relations. This thesis deals primarily with the implementation of new policies on the farm</w:t>
      </w:r>
      <w:r w:rsidR="00553277">
        <w:t xml:space="preserve">. </w:t>
      </w:r>
    </w:p>
    <w:p w14:paraId="707473ED" w14:textId="5462439D" w:rsidR="00673296" w:rsidRDefault="00553277">
      <w:pPr>
        <w:ind w:firstLine="720"/>
      </w:pPr>
      <w:r>
        <w:t>Farms are going to continue to fail. Recordation of the current styles, means of production, and how farms are coping with change will inform future generations of what was in the Chesapeake region. This recordation role of preservationists takes a snap shot of today, documentation of the past so that even when the physical presence of the farm is changed or lost, it is still knowable to future scholars. Recordation can never replace engagement with a place or object but can create a knowledge base for comparison to other sites.</w:t>
      </w:r>
    </w:p>
    <w:p w14:paraId="58C8BBC5" w14:textId="635BCD76" w:rsidR="00553277" w:rsidRPr="00673296" w:rsidRDefault="00553277">
      <w:pPr>
        <w:ind w:firstLine="720"/>
      </w:pPr>
      <w:r>
        <w:t>Public relations are potentially the largest role for historic preservation so far as relating to the public at large. Raising awareness about farms to a local and larger community will affect long term success. Public engagement with farms working with the Bay and are under preservation</w:t>
      </w:r>
      <w:r w:rsidR="009504A6">
        <w:t xml:space="preserve"> can increase </w:t>
      </w:r>
      <w:r w:rsidR="00EB79F9">
        <w:t>not only awareness but also revenues. A study by the University of Delaware showed that farms under preservation can charge more for their produce.</w:t>
      </w:r>
      <w:r w:rsidR="00EB79F9">
        <w:rPr>
          <w:rStyle w:val="FootnoteReference"/>
        </w:rPr>
        <w:footnoteReference w:id="269"/>
      </w:r>
      <w:r w:rsidR="00E307C6">
        <w:t xml:space="preserve"> We can assume that the study involved land preserved in the natural resource management context, not historic preservation. This thinking can be usurped by historic preservation as we partner with </w:t>
      </w:r>
      <w:r w:rsidR="00E307C6">
        <w:lastRenderedPageBreak/>
        <w:t>the other fields in a shared goal of preserving farms. Again, there does not have to be much daylight between the two professions when the goal is the same.</w:t>
      </w:r>
    </w:p>
    <w:p w14:paraId="0000018E" w14:textId="033FA862" w:rsidR="00D7661C" w:rsidRDefault="004B2BBB" w:rsidP="009D59A3">
      <w:pPr>
        <w:pStyle w:val="Heading2"/>
      </w:pPr>
      <w:bookmarkStart w:id="64" w:name="_Toc7863427"/>
      <w:r>
        <w:t>Opportunities for Further Study</w:t>
      </w:r>
      <w:bookmarkEnd w:id="64"/>
    </w:p>
    <w:p w14:paraId="0000018F" w14:textId="2E727A47" w:rsidR="00D7661C" w:rsidRDefault="004B2BBB">
      <w:r>
        <w:tab/>
        <w:t xml:space="preserve">Almost every topic and proposed theory or change to historic preservation practice has potential to be a paper in itself. </w:t>
      </w:r>
      <w:r w:rsidR="003D5DD7">
        <w:t xml:space="preserve">There is </w:t>
      </w:r>
      <w:r w:rsidR="005B1B23">
        <w:t xml:space="preserve">a multilayered complexity that ties different disciplines together. True to the idea of wicked problems, it is difficult to look at one aspect of sustainable farms without seeing the interconnected nature of the various stressors that make continued farming—and I am referring to small independent farms—a viable pursuit. </w:t>
      </w:r>
      <w:r w:rsidR="00271649">
        <w:t xml:space="preserve">Historic preservation is not the solution to the whole problem but should play an active role when possible. This thesis covers how historic preservation should change the initial approach to farms, viewing them in a larger context, and the importance of practice. What is encouraged through this different approach is just one layer of many. </w:t>
      </w:r>
      <w:r>
        <w:t>Th</w:t>
      </w:r>
      <w:r w:rsidR="00271649">
        <w:t>e</w:t>
      </w:r>
      <w:r>
        <w:t xml:space="preserve"> </w:t>
      </w:r>
      <w:r w:rsidR="00271649">
        <w:t>multi-</w:t>
      </w:r>
      <w:r>
        <w:t xml:space="preserve">layered complexity leaves room for development of the theories included and discovery of issues that come from implementation. </w:t>
      </w:r>
    </w:p>
    <w:p w14:paraId="00000190" w14:textId="026ECE2B" w:rsidR="00D7661C" w:rsidRDefault="004B2BBB">
      <w:pPr>
        <w:pStyle w:val="Heading3"/>
      </w:pPr>
      <w:bookmarkStart w:id="65" w:name="_Toc7863428"/>
      <w:r>
        <w:t>The Farm TCP as a Trial Balloon</w:t>
      </w:r>
      <w:bookmarkEnd w:id="65"/>
    </w:p>
    <w:p w14:paraId="00000191" w14:textId="253CD38B" w:rsidR="00D7661C" w:rsidRDefault="004B2BBB">
      <w:r>
        <w:tab/>
        <w:t>Through the writing of this paper, it was discovered there is little to no literature or documentation for using the traditional cultural property (TCP) lens for farm preservation. Indeed, multiple practitioners of historic preservation that I spoke with were skeptical about doing so. As this thesis states, listing in the N</w:t>
      </w:r>
      <w:r w:rsidR="00ED6E90">
        <w:t xml:space="preserve">ational </w:t>
      </w:r>
      <w:r>
        <w:t>R</w:t>
      </w:r>
      <w:r w:rsidR="00ED6E90">
        <w:t>egister of H</w:t>
      </w:r>
      <w:r>
        <w:t xml:space="preserve">istoric </w:t>
      </w:r>
      <w:r w:rsidR="00ED6E90">
        <w:t>Place</w:t>
      </w:r>
      <w:r>
        <w:t xml:space="preserve"> is not the end goal, but this is based on a belief that not every farm belongs in the Register. I do believe some farms should be listed and therefore there is a need to address the skeptics.</w:t>
      </w:r>
    </w:p>
    <w:p w14:paraId="00000192" w14:textId="77777777" w:rsidR="00D7661C" w:rsidRDefault="004B2BBB">
      <w:r>
        <w:lastRenderedPageBreak/>
        <w:tab/>
        <w:t>A farm can be listed as either a cultural landscape or a TCP. Testing the TCP challenges those who argue for a Burra Charter style values-based approach. The TCP is associated with Native American and small communities that are not well represented by the built environment heavily represented in the other NR categories. Farmers are of all ages, ethnicities, and genders--not just the older white male.</w:t>
      </w:r>
    </w:p>
    <w:p w14:paraId="00000193" w14:textId="77777777" w:rsidR="00D7661C" w:rsidRDefault="004B2BBB">
      <w:r>
        <w:tab/>
        <w:t xml:space="preserve">Once we determine whether or not TCP is a viable avenue, we will know if that is a way to approach and think about farms. If TCP proves not to be viable, then a cultural landscape approach is the best current strategy. The cultural landscape approach allows for change; it acknowledges change happens. The complications arise with the NR and defining the space without enough emphasis on the activity. If the TCP works for farms, this option can be seen as a signal that the National Park Service is recognizing the movement towards values-based preservation. </w:t>
      </w:r>
    </w:p>
    <w:p w14:paraId="00000194" w14:textId="37FC83CD" w:rsidR="00D7661C" w:rsidRDefault="004B2BBB">
      <w:pPr>
        <w:pStyle w:val="Heading3"/>
      </w:pPr>
      <w:bookmarkStart w:id="66" w:name="_Toc7863429"/>
      <w:r>
        <w:t>Century Farms</w:t>
      </w:r>
      <w:bookmarkEnd w:id="66"/>
    </w:p>
    <w:p w14:paraId="00000195" w14:textId="77777777" w:rsidR="00D7661C" w:rsidRDefault="004B2BBB">
      <w:r>
        <w:tab/>
        <w:t>Not every farm is going to be a focus for historic preservation. Most farms likely have historic value but there are not enough preservationists to document and advocate for every farm. This paper did not develop a guide for how to target farms that can benefit from historic preservation attention and possible listing.</w:t>
      </w:r>
    </w:p>
    <w:p w14:paraId="00000196" w14:textId="77777777" w:rsidR="00D7661C" w:rsidRDefault="004B2BBB">
      <w:r>
        <w:tab/>
        <w:t xml:space="preserve">The Century Farm program is a potential way to target efforts of farm preservation. The program emphasizes continued practice through family-owned farms. This paper puts a high value on continual ownership in Chapter IV. A better understanding of the success of Century Farm programs--and how those farms look from an historic preservation perspective--would be </w:t>
      </w:r>
      <w:r>
        <w:lastRenderedPageBreak/>
        <w:t>valuable for locating farms for preservation and seeing how historic preservation can supplement efforts to keep farms active.</w:t>
      </w:r>
    </w:p>
    <w:p w14:paraId="00000197" w14:textId="77777777" w:rsidR="00D7661C" w:rsidRDefault="004B2BBB">
      <w:r>
        <w:tab/>
        <w:t>Historic preservation can work with other fields that are active in places we are not. Impressing upon partner fields the historic preservation ethos is difficult and contrary to how some groups work. The fact that some conservation easement guidance shows deference to the Secretary of the Interior’s Standards for Treatments should be explored and encouraged in the boilerplate models. historic preservation can do conservation--and vice versa--on a basic level that respects the other field. The trick is knowing when to call for help.</w:t>
      </w:r>
    </w:p>
    <w:p w14:paraId="00000198" w14:textId="5211152C" w:rsidR="00D7661C" w:rsidRDefault="004B2BBB">
      <w:pPr>
        <w:pStyle w:val="Heading3"/>
      </w:pPr>
      <w:bookmarkStart w:id="67" w:name="_Toc7863430"/>
      <w:r>
        <w:t>Farmers Spreading Farm Preservation</w:t>
      </w:r>
      <w:bookmarkEnd w:id="67"/>
    </w:p>
    <w:p w14:paraId="00000199" w14:textId="77777777" w:rsidR="00D7661C" w:rsidRDefault="004B2BBB">
      <w:r>
        <w:tab/>
        <w:t>Since the thesis puts forward this somewhat activist role for historic preservation and acknowledging that not all farms in the Chesapeake watershed can be addressed, a further line of inquiry is to study whether working with a handful of farms makes a difference. What happens to a preserved farm if those surrounding farms cease? Research shows that farms perform better in a network as opposed to isolation.</w:t>
      </w:r>
    </w:p>
    <w:p w14:paraId="0000019A" w14:textId="77777777" w:rsidR="00D7661C" w:rsidRDefault="004B2BBB">
      <w:r>
        <w:tab/>
        <w:t xml:space="preserve">It is also possible that successful implementation of best practices and preservation goals can be advertised and used to bring along other farms. In a conversation with Linda </w:t>
      </w:r>
      <w:proofErr w:type="spellStart"/>
      <w:r>
        <w:t>Piotrowicz</w:t>
      </w:r>
      <w:proofErr w:type="spellEnd"/>
      <w:r>
        <w:t xml:space="preserve"> who works with easements in Connecticut, she noted that there can be competition for easement money for farms.</w:t>
      </w:r>
      <w:r>
        <w:rPr>
          <w:vertAlign w:val="superscript"/>
        </w:rPr>
        <w:footnoteReference w:id="270"/>
      </w:r>
      <w:r>
        <w:t xml:space="preserve"> It would be interesting to study if the farmer can pass along an historic preservation ethos to neighbors, where farmers approach the state historic preservation office the way farms actively seek easements. </w:t>
      </w:r>
    </w:p>
    <w:p w14:paraId="0000019B" w14:textId="77777777" w:rsidR="00D7661C" w:rsidRDefault="004B2BBB">
      <w:r>
        <w:lastRenderedPageBreak/>
        <w:tab/>
        <w:t>Word of mouth between farmers is used in South Carolina and Virginia to engage farmers with the Century Farm program.</w:t>
      </w:r>
      <w:r>
        <w:rPr>
          <w:vertAlign w:val="superscript"/>
        </w:rPr>
        <w:footnoteReference w:id="271"/>
      </w:r>
      <w:r>
        <w:t xml:space="preserve"> When farmers believe in programs and get support from them, they are more likely to spread the word. Farmers are the ideal advocates of best management practices for other farmers, so it is a matter of getting the process started. </w:t>
      </w:r>
    </w:p>
    <w:p w14:paraId="0000019C" w14:textId="3DE32893" w:rsidR="00D7661C" w:rsidRDefault="004B2BBB">
      <w:pPr>
        <w:pStyle w:val="Heading3"/>
      </w:pPr>
      <w:bookmarkStart w:id="68" w:name="_Toc7863431"/>
      <w:r>
        <w:t>Heritage Areas</w:t>
      </w:r>
      <w:bookmarkEnd w:id="68"/>
    </w:p>
    <w:p w14:paraId="0000019D" w14:textId="77777777" w:rsidR="00D7661C" w:rsidRDefault="004B2BBB">
      <w:r>
        <w:tab/>
        <w:t xml:space="preserve">This thesis did not explore the potential role of National Heritage Areas (NHAs) in farm preservation for several reasons. Instead, the thesis focused on more direct engagement methods. It is not that they do not work; Nancy </w:t>
      </w:r>
      <w:proofErr w:type="spellStart"/>
      <w:r>
        <w:t>Rottle</w:t>
      </w:r>
      <w:proofErr w:type="spellEnd"/>
      <w:r>
        <w:t xml:space="preserve"> did her studies from within an NHA and used the NHA to form thoughts for how working landscapes should be managed. However, NHAs could be a good way to deal with multiple farm landscapes, while recognizing the constraints that they pose. </w:t>
      </w:r>
    </w:p>
    <w:p w14:paraId="0000019E" w14:textId="315A80DE" w:rsidR="00D7661C" w:rsidRDefault="004B2BBB">
      <w:pPr>
        <w:rPr>
          <w:color w:val="333333"/>
        </w:rPr>
      </w:pPr>
      <w:r>
        <w:tab/>
        <w:t>National Heritage Areas are designated by Congress, and until this year there had not been any designations since 2010.</w:t>
      </w:r>
      <w:r>
        <w:rPr>
          <w:vertAlign w:val="superscript"/>
        </w:rPr>
        <w:footnoteReference w:id="272"/>
      </w:r>
      <w:r>
        <w:t xml:space="preserve"> The Susquehanna National Heritage Area was designated this year and it will be interesting to see how they engage with the farm communities or if efforts will be geared toward the acquisition and retirement of lands. This program will build off of the existing Pennsylvania designation of the Susquehanna as a state heritage area with one goal being: “</w:t>
      </w:r>
      <w:r>
        <w:rPr>
          <w:color w:val="333333"/>
        </w:rPr>
        <w:t xml:space="preserve">Through the Chesapeake Conservation Partnership we help guide efforts to conserve culturally and ecologically important landscapes in the </w:t>
      </w:r>
      <w:proofErr w:type="spellStart"/>
      <w:r>
        <w:rPr>
          <w:color w:val="333333"/>
        </w:rPr>
        <w:t>six­state</w:t>
      </w:r>
      <w:proofErr w:type="spellEnd"/>
      <w:r>
        <w:rPr>
          <w:color w:val="333333"/>
        </w:rPr>
        <w:t xml:space="preserve"> Chesapeake watershed.”</w:t>
      </w:r>
      <w:r>
        <w:rPr>
          <w:color w:val="333333"/>
          <w:vertAlign w:val="superscript"/>
        </w:rPr>
        <w:footnoteReference w:id="273"/>
      </w:r>
      <w:r>
        <w:rPr>
          <w:color w:val="333333"/>
        </w:rPr>
        <w:t xml:space="preserve"> </w:t>
      </w:r>
      <w:r>
        <w:rPr>
          <w:color w:val="333333"/>
        </w:rPr>
        <w:lastRenderedPageBreak/>
        <w:t xml:space="preserve">Following up on how this NHA develops and supports (or hurts) farms and how it is paired with the Chesapeake Bay efforts will be informative. </w:t>
      </w:r>
    </w:p>
    <w:p w14:paraId="0000019F" w14:textId="77777777" w:rsidR="00D7661C" w:rsidRDefault="004B2BBB">
      <w:pPr>
        <w:rPr>
          <w:color w:val="333333"/>
        </w:rPr>
      </w:pPr>
      <w:r>
        <w:rPr>
          <w:color w:val="333333"/>
        </w:rPr>
        <w:tab/>
        <w:t>Of further interest is seeing how the Susquehanna NHA finds balance between the river and farmers. The balance between the Bay and farms was not achieved by the Clean Water Act through enforcement problems and limitations on which farms are regulated. We know some farms are too small individually for federal regulation but when combined along the river they are, collectively, heavy polluters. Pennsylvania farms are a heavy contributor to the degradation of the Chesapeake watershed, so the NHA designation seems like an opportunity to work a new balance and leverage heritage tourism and sales. If the NHA chooses to value the heritage farm in balance with the river, they could find new ways forward which, in turn, could then be a model for other watershed states.</w:t>
      </w:r>
    </w:p>
    <w:p w14:paraId="000001A0" w14:textId="77777777" w:rsidR="00D7661C" w:rsidRDefault="004B2BBB">
      <w:pPr>
        <w:rPr>
          <w:color w:val="333333"/>
        </w:rPr>
      </w:pPr>
      <w:r>
        <w:rPr>
          <w:color w:val="333333"/>
        </w:rPr>
        <w:tab/>
        <w:t>Another problem with the NHA is that while larger than most preservation projects, to cover the Bay watershed would be a massive overlay. Without such coverage there is the opportunity for farmers within the NHA to complain about the behavior of farmers outside or in another state. These complaints are already seen with Maryland farmers digging in their heels pointing the finger at Pennsylvania’s farmers saying they are a bigger source of pollution.</w:t>
      </w:r>
      <w:r>
        <w:rPr>
          <w:color w:val="333333"/>
          <w:vertAlign w:val="superscript"/>
        </w:rPr>
        <w:footnoteReference w:id="274"/>
      </w:r>
      <w:r>
        <w:rPr>
          <w:color w:val="333333"/>
        </w:rPr>
        <w:t xml:space="preserve"> </w:t>
      </w:r>
    </w:p>
    <w:p w14:paraId="000001A1" w14:textId="77777777" w:rsidR="00D7661C" w:rsidRDefault="004B2BBB">
      <w:pPr>
        <w:rPr>
          <w:color w:val="333333"/>
        </w:rPr>
      </w:pPr>
      <w:r>
        <w:rPr>
          <w:color w:val="333333"/>
        </w:rPr>
        <w:tab/>
        <w:t>Finally, within an NHA, historic preservation still needs to address how the historic area views farms. There is more trans-disciplinary involvement in an NHA, including the communities.</w:t>
      </w:r>
      <w:r>
        <w:rPr>
          <w:color w:val="333333"/>
          <w:vertAlign w:val="superscript"/>
        </w:rPr>
        <w:footnoteReference w:id="275"/>
      </w:r>
      <w:r>
        <w:rPr>
          <w:color w:val="333333"/>
        </w:rPr>
        <w:t xml:space="preserve"> Within the NHA there are going to be places that make the area significant from </w:t>
      </w:r>
      <w:r>
        <w:rPr>
          <w:color w:val="333333"/>
        </w:rPr>
        <w:lastRenderedPageBreak/>
        <w:t>an historic preservation perspective. Again, seeing how farms are handled versus the river will be interesting.</w:t>
      </w:r>
    </w:p>
    <w:p w14:paraId="000001A2" w14:textId="77777777" w:rsidR="00D7661C" w:rsidRDefault="00D7661C">
      <w:pPr>
        <w:rPr>
          <w:color w:val="333333"/>
        </w:rPr>
      </w:pPr>
    </w:p>
    <w:p w14:paraId="000001A3" w14:textId="3AAB0D43" w:rsidR="00D7661C" w:rsidRDefault="004B2BBB" w:rsidP="009D59A3">
      <w:pPr>
        <w:pStyle w:val="Heading2"/>
      </w:pPr>
      <w:bookmarkStart w:id="69" w:name="_Toc7863432"/>
      <w:r>
        <w:t>Final Thought</w:t>
      </w:r>
      <w:bookmarkEnd w:id="69"/>
    </w:p>
    <w:p w14:paraId="000001A4" w14:textId="77777777" w:rsidR="00D7661C" w:rsidRDefault="004B2BBB">
      <w:r>
        <w:tab/>
        <w:t xml:space="preserve">Farm preservation is hard but necessary. Farm preservation is not solely an issue to be solved by NRM </w:t>
      </w:r>
      <w:r>
        <w:rPr>
          <w:i/>
        </w:rPr>
        <w:t xml:space="preserve">or </w:t>
      </w:r>
      <w:r>
        <w:t>historic preservation but rather is a large problem that only gets more complicated when interconnected. The variables going into how farm preservation will work are deep and complex but the benefits go beyond traditional historic preservation goals. There is an opportunity to add a relevance to farms and their preservation in a time when climate change is at the front of global concerns. We are recognizing the role farms play in creating green spaces that feed people while also acknowledging how farm can also be environmentally beneficial or detrimental. Historic Preservation can step forward in how farms are engaged, helping farms to remain relevant and continue adding to their significance. There is an opportunity to work with families before they sell to big ag or development. Once a farm is developed, that space and heritage is lost.</w:t>
      </w:r>
    </w:p>
    <w:p w14:paraId="000001A5" w14:textId="77777777" w:rsidR="00D7661C" w:rsidRDefault="00D7661C"/>
    <w:p w14:paraId="000001A6" w14:textId="77777777" w:rsidR="00D7661C" w:rsidRDefault="00D7661C"/>
    <w:p w14:paraId="000001A7" w14:textId="77777777" w:rsidR="00D7661C" w:rsidRDefault="004B2BBB" w:rsidP="009D59A3">
      <w:pPr>
        <w:pStyle w:val="Heading2"/>
      </w:pPr>
      <w:bookmarkStart w:id="70" w:name="_1664s55" w:colFirst="0" w:colLast="0"/>
      <w:bookmarkEnd w:id="70"/>
      <w:r>
        <w:br w:type="page"/>
      </w:r>
    </w:p>
    <w:p w14:paraId="2CA8CD16" w14:textId="77777777" w:rsidR="00115E79" w:rsidRDefault="00115E79" w:rsidP="00115E79">
      <w:pPr>
        <w:pStyle w:val="Heading1"/>
      </w:pPr>
    </w:p>
    <w:p w14:paraId="1AC05D57" w14:textId="679E98AE" w:rsidR="00115E79" w:rsidRDefault="00115E79" w:rsidP="00115E79">
      <w:pPr>
        <w:pStyle w:val="Heading1"/>
        <w:rPr>
          <w:sz w:val="6"/>
          <w:szCs w:val="6"/>
        </w:rPr>
      </w:pPr>
    </w:p>
    <w:p w14:paraId="4A543B01" w14:textId="77777777" w:rsidR="004E3238" w:rsidRPr="004E3238" w:rsidRDefault="004E3238" w:rsidP="004E3238"/>
    <w:p w14:paraId="318AA267" w14:textId="77777777" w:rsidR="004E3238" w:rsidRPr="004E3238" w:rsidRDefault="004E3238" w:rsidP="004E3238">
      <w:pPr>
        <w:spacing w:line="240" w:lineRule="auto"/>
        <w:rPr>
          <w:sz w:val="6"/>
          <w:szCs w:val="6"/>
          <w:lang w:val="en-US"/>
        </w:rPr>
      </w:pPr>
    </w:p>
    <w:p w14:paraId="000001A8" w14:textId="1C686F81" w:rsidR="00D7661C" w:rsidRDefault="004B2BBB" w:rsidP="004E3238">
      <w:pPr>
        <w:pStyle w:val="Heading1"/>
        <w:spacing w:line="240" w:lineRule="auto"/>
        <w:rPr>
          <w:sz w:val="24"/>
          <w:szCs w:val="24"/>
        </w:rPr>
      </w:pPr>
      <w:bookmarkStart w:id="71" w:name="_Toc7863433"/>
      <w:r>
        <w:t>BIBLIOGRAPHY</w:t>
      </w:r>
      <w:bookmarkEnd w:id="71"/>
    </w:p>
    <w:p w14:paraId="20254881" w14:textId="515B4192" w:rsidR="004E3238" w:rsidRDefault="004E3238" w:rsidP="004E3238"/>
    <w:p w14:paraId="34EF6D89" w14:textId="77777777" w:rsidR="004E3238" w:rsidRPr="004E3238" w:rsidRDefault="004E3238" w:rsidP="004E3238"/>
    <w:p w14:paraId="000001AA"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14">
        <w:r w:rsidR="004B2BBB">
          <w:rPr>
            <w:color w:val="000000"/>
            <w:sz w:val="22"/>
            <w:szCs w:val="22"/>
          </w:rPr>
          <w:t xml:space="preserve">“26 U.S. Code § 170 - Charitable, Etc., Contributions and Gifts.” LII / Legal Information Institute. Accessed May 21, 2017. </w:t>
        </w:r>
      </w:hyperlink>
      <w:hyperlink r:id="rId15">
        <w:r w:rsidR="004B2BBB">
          <w:rPr>
            <w:color w:val="000000"/>
            <w:sz w:val="22"/>
            <w:szCs w:val="22"/>
          </w:rPr>
          <w:t>https://www.law.cornell.edu/uscode/text/26/170</w:t>
        </w:r>
      </w:hyperlink>
      <w:hyperlink r:id="rId16">
        <w:r w:rsidR="004B2BBB">
          <w:rPr>
            <w:color w:val="000000"/>
            <w:sz w:val="22"/>
            <w:szCs w:val="22"/>
          </w:rPr>
          <w:t>.</w:t>
        </w:r>
      </w:hyperlink>
    </w:p>
    <w:p w14:paraId="000001AB"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17">
        <w:r w:rsidR="004B2BBB">
          <w:rPr>
            <w:color w:val="000000"/>
            <w:sz w:val="22"/>
            <w:szCs w:val="22"/>
          </w:rPr>
          <w:t xml:space="preserve">36 CFR Part 800 -- Protection of Historic Properties (n.d.). </w:t>
        </w:r>
      </w:hyperlink>
      <w:hyperlink r:id="rId18">
        <w:r w:rsidR="004B2BBB">
          <w:rPr>
            <w:color w:val="000000"/>
            <w:sz w:val="22"/>
            <w:szCs w:val="22"/>
          </w:rPr>
          <w:t>https://www.ac</w:t>
        </w:r>
      </w:hyperlink>
      <w:hyperlink r:id="rId19">
        <w:r w:rsidR="004B2BBB">
          <w:rPr>
            <w:sz w:val="22"/>
            <w:szCs w:val="22"/>
          </w:rPr>
          <w:t>historic preservation</w:t>
        </w:r>
      </w:hyperlink>
      <w:hyperlink r:id="rId20">
        <w:r w:rsidR="004B2BBB">
          <w:rPr>
            <w:color w:val="000000"/>
            <w:sz w:val="22"/>
            <w:szCs w:val="22"/>
          </w:rPr>
          <w:t>.gov/sites/default/files/regulations/2017-02/regs-rev04.pdf</w:t>
        </w:r>
      </w:hyperlink>
      <w:hyperlink r:id="rId21">
        <w:r w:rsidR="004B2BBB">
          <w:rPr>
            <w:color w:val="000000"/>
            <w:sz w:val="22"/>
            <w:szCs w:val="22"/>
          </w:rPr>
          <w:t>.</w:t>
        </w:r>
      </w:hyperlink>
    </w:p>
    <w:p w14:paraId="000001AC"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22">
        <w:r w:rsidR="004B2BBB">
          <w:rPr>
            <w:color w:val="000000"/>
            <w:sz w:val="22"/>
            <w:szCs w:val="22"/>
          </w:rPr>
          <w:t xml:space="preserve">“Agricultural Conservation Easement Purchase Program.” Conservation Tools. Accessed March 30, 2019. </w:t>
        </w:r>
      </w:hyperlink>
      <w:hyperlink r:id="rId23">
        <w:r w:rsidR="004B2BBB">
          <w:rPr>
            <w:color w:val="000000"/>
            <w:sz w:val="22"/>
            <w:szCs w:val="22"/>
          </w:rPr>
          <w:t>https://conservationtools.org/guides/47-agricultural-conservation-easement-purchase-program</w:t>
        </w:r>
      </w:hyperlink>
      <w:hyperlink r:id="rId24">
        <w:r w:rsidR="004B2BBB">
          <w:rPr>
            <w:color w:val="000000"/>
            <w:sz w:val="22"/>
            <w:szCs w:val="22"/>
          </w:rPr>
          <w:t>.</w:t>
        </w:r>
      </w:hyperlink>
    </w:p>
    <w:p w14:paraId="000001AD"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25">
        <w:r w:rsidR="004B2BBB">
          <w:rPr>
            <w:color w:val="000000"/>
            <w:sz w:val="22"/>
            <w:szCs w:val="22"/>
          </w:rPr>
          <w:t xml:space="preserve">Alexander, Rachel. “Historic Preservation Quote.” Bricks + Mortar. Accessed November 24, 2018. </w:t>
        </w:r>
      </w:hyperlink>
      <w:hyperlink r:id="rId26">
        <w:r w:rsidR="004B2BBB">
          <w:rPr>
            <w:color w:val="000000"/>
            <w:sz w:val="22"/>
            <w:szCs w:val="22"/>
          </w:rPr>
          <w:t>https://bricksandmortarpreservation.wordpress.com/tag/historic-preservation-quote/</w:t>
        </w:r>
      </w:hyperlink>
      <w:hyperlink r:id="rId27">
        <w:r w:rsidR="004B2BBB">
          <w:rPr>
            <w:color w:val="000000"/>
            <w:sz w:val="22"/>
            <w:szCs w:val="22"/>
          </w:rPr>
          <w:t>.</w:t>
        </w:r>
      </w:hyperlink>
    </w:p>
    <w:p w14:paraId="000001AE"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28">
        <w:r w:rsidR="004B2BBB">
          <w:rPr>
            <w:color w:val="000000"/>
            <w:sz w:val="22"/>
            <w:szCs w:val="22"/>
          </w:rPr>
          <w:t xml:space="preserve">Allison, Eric W., and Mary Ann Allison. “Preserving Tangible Cultural Assets: A Framework for a New Dialog in Preservation.” </w:t>
        </w:r>
      </w:hyperlink>
      <w:hyperlink r:id="rId29">
        <w:r w:rsidR="004B2BBB">
          <w:rPr>
            <w:i/>
            <w:color w:val="000000"/>
            <w:sz w:val="22"/>
            <w:szCs w:val="22"/>
          </w:rPr>
          <w:t>Preservation Education &amp; Research</w:t>
        </w:r>
      </w:hyperlink>
      <w:hyperlink r:id="rId30">
        <w:r w:rsidR="004B2BBB">
          <w:rPr>
            <w:color w:val="000000"/>
            <w:sz w:val="22"/>
            <w:szCs w:val="22"/>
          </w:rPr>
          <w:t xml:space="preserve"> 1 (2008): 29–40.</w:t>
        </w:r>
      </w:hyperlink>
    </w:p>
    <w:p w14:paraId="000001AF"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31">
        <w:r w:rsidR="004B2BBB">
          <w:rPr>
            <w:color w:val="000000"/>
            <w:sz w:val="22"/>
            <w:szCs w:val="22"/>
          </w:rPr>
          <w:t xml:space="preserve">American Farmland Trust. “American Farmland Trust.” Accessed October 14, 2018. </w:t>
        </w:r>
      </w:hyperlink>
      <w:hyperlink r:id="rId32">
        <w:r w:rsidR="004B2BBB">
          <w:rPr>
            <w:color w:val="000000"/>
            <w:sz w:val="22"/>
            <w:szCs w:val="22"/>
          </w:rPr>
          <w:t>https://www.farmland.org/</w:t>
        </w:r>
      </w:hyperlink>
      <w:hyperlink r:id="rId33">
        <w:r w:rsidR="004B2BBB">
          <w:rPr>
            <w:color w:val="000000"/>
            <w:sz w:val="22"/>
            <w:szCs w:val="22"/>
          </w:rPr>
          <w:t>.</w:t>
        </w:r>
      </w:hyperlink>
    </w:p>
    <w:p w14:paraId="000001B0"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34">
        <w:r w:rsidR="004B2BBB">
          <w:rPr>
            <w:color w:val="000000"/>
            <w:sz w:val="22"/>
            <w:szCs w:val="22"/>
          </w:rPr>
          <w:t xml:space="preserve">———. “Controlling Nutrient Runoff on Farms,” August 2013. </w:t>
        </w:r>
      </w:hyperlink>
      <w:hyperlink r:id="rId35">
        <w:r w:rsidR="004B2BBB">
          <w:rPr>
            <w:color w:val="000000"/>
            <w:sz w:val="22"/>
            <w:szCs w:val="22"/>
          </w:rPr>
          <w:t>https://4aa2dc132bb150caf1aa-7bb737f4349b47aa42dce777a72d5264.ssl.cf5.rackcdn.com/Controlling-Nutrient-Runoff-on-Farms.pdf</w:t>
        </w:r>
      </w:hyperlink>
      <w:hyperlink r:id="rId36">
        <w:r w:rsidR="004B2BBB">
          <w:rPr>
            <w:color w:val="000000"/>
            <w:sz w:val="22"/>
            <w:szCs w:val="22"/>
          </w:rPr>
          <w:t>.</w:t>
        </w:r>
      </w:hyperlink>
    </w:p>
    <w:p w14:paraId="000001B1"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37">
        <w:r w:rsidR="004B2BBB">
          <w:rPr>
            <w:color w:val="000000"/>
            <w:sz w:val="22"/>
            <w:szCs w:val="22"/>
          </w:rPr>
          <w:t xml:space="preserve">———. “Farmers Guide for Protecting Water Quality on Long Island,” 2015. </w:t>
        </w:r>
      </w:hyperlink>
      <w:hyperlink r:id="rId38">
        <w:r w:rsidR="004B2BBB">
          <w:rPr>
            <w:color w:val="000000"/>
            <w:sz w:val="22"/>
            <w:szCs w:val="22"/>
          </w:rPr>
          <w:t>https://4aa2dc132bb150caf1aa-7bb737f4349b47aa42dce777a72d5264.ssl.cf5.rackcdn.com/AFT-Farmers-Guide-for-Protecting-Water-Quality-on-Long-Island.pdf</w:t>
        </w:r>
      </w:hyperlink>
      <w:hyperlink r:id="rId39">
        <w:r w:rsidR="004B2BBB">
          <w:rPr>
            <w:color w:val="000000"/>
            <w:sz w:val="22"/>
            <w:szCs w:val="22"/>
          </w:rPr>
          <w:t>.</w:t>
        </w:r>
      </w:hyperlink>
    </w:p>
    <w:p w14:paraId="000001B2"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40">
        <w:r w:rsidR="004B2BBB">
          <w:rPr>
            <w:color w:val="000000"/>
            <w:sz w:val="22"/>
            <w:szCs w:val="22"/>
          </w:rPr>
          <w:t xml:space="preserve">Australia ICOMOS. “The Burra Charter,” October 31, 2013. </w:t>
        </w:r>
      </w:hyperlink>
      <w:hyperlink r:id="rId41">
        <w:r w:rsidR="004B2BBB">
          <w:rPr>
            <w:color w:val="000000"/>
            <w:sz w:val="22"/>
            <w:szCs w:val="22"/>
          </w:rPr>
          <w:t>https://australia.icomos.org/wp-content/uploads/The-Burra-Charter-2013-Adopted-31.10.2013.pdf</w:t>
        </w:r>
      </w:hyperlink>
      <w:hyperlink r:id="rId42">
        <w:r w:rsidR="004B2BBB">
          <w:rPr>
            <w:color w:val="000000"/>
            <w:sz w:val="22"/>
            <w:szCs w:val="22"/>
          </w:rPr>
          <w:t>.</w:t>
        </w:r>
      </w:hyperlink>
    </w:p>
    <w:p w14:paraId="000001B3"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43">
        <w:r w:rsidR="004B2BBB">
          <w:rPr>
            <w:color w:val="000000"/>
            <w:sz w:val="22"/>
            <w:szCs w:val="22"/>
          </w:rPr>
          <w:t xml:space="preserve">Barrett, Brenda. “New National Heritage Areas: The Time Has Come.” Living Landscape Observer, March 4, 2019. </w:t>
        </w:r>
      </w:hyperlink>
      <w:hyperlink r:id="rId44">
        <w:r w:rsidR="004B2BBB">
          <w:rPr>
            <w:color w:val="000000"/>
            <w:sz w:val="22"/>
            <w:szCs w:val="22"/>
          </w:rPr>
          <w:t>https://livinglandscapeobserver.net/new-national-heritage-areas-the-time-has-come/?utm_source=February+2019&amp;utm_campaign=Jan%2FFeb+Newsletter&amp;utm_medium=email</w:t>
        </w:r>
      </w:hyperlink>
      <w:hyperlink r:id="rId45">
        <w:r w:rsidR="004B2BBB">
          <w:rPr>
            <w:color w:val="000000"/>
            <w:sz w:val="22"/>
            <w:szCs w:val="22"/>
          </w:rPr>
          <w:t>.</w:t>
        </w:r>
      </w:hyperlink>
    </w:p>
    <w:p w14:paraId="000001B4"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46">
        <w:r w:rsidR="004B2BBB">
          <w:rPr>
            <w:color w:val="000000"/>
            <w:sz w:val="22"/>
            <w:szCs w:val="22"/>
          </w:rPr>
          <w:t xml:space="preserve">Batie, Sandra S. “Fellows Address: Wicked Problems and Applied Economics.” </w:t>
        </w:r>
      </w:hyperlink>
      <w:hyperlink r:id="rId47">
        <w:r w:rsidR="004B2BBB">
          <w:rPr>
            <w:i/>
            <w:color w:val="000000"/>
            <w:sz w:val="22"/>
            <w:szCs w:val="22"/>
          </w:rPr>
          <w:t>American Journal of Agricultural Economics</w:t>
        </w:r>
      </w:hyperlink>
      <w:hyperlink r:id="rId48">
        <w:r w:rsidR="004B2BBB">
          <w:rPr>
            <w:color w:val="000000"/>
            <w:sz w:val="22"/>
            <w:szCs w:val="22"/>
          </w:rPr>
          <w:t xml:space="preserve"> 90, no. 5 (2008): 1176–91.</w:t>
        </w:r>
      </w:hyperlink>
    </w:p>
    <w:p w14:paraId="000001B5"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49">
        <w:r w:rsidR="004B2BBB">
          <w:rPr>
            <w:color w:val="000000"/>
            <w:sz w:val="22"/>
            <w:szCs w:val="22"/>
          </w:rPr>
          <w:t xml:space="preserve">Berge, </w:t>
        </w:r>
        <w:proofErr w:type="spellStart"/>
        <w:r w:rsidR="004B2BBB">
          <w:rPr>
            <w:color w:val="000000"/>
            <w:sz w:val="22"/>
            <w:szCs w:val="22"/>
          </w:rPr>
          <w:t>Erling</w:t>
        </w:r>
        <w:proofErr w:type="spellEnd"/>
        <w:r w:rsidR="004B2BBB">
          <w:rPr>
            <w:color w:val="000000"/>
            <w:sz w:val="22"/>
            <w:szCs w:val="22"/>
          </w:rPr>
          <w:t xml:space="preserve">, and Margaret </w:t>
        </w:r>
        <w:proofErr w:type="spellStart"/>
        <w:r w:rsidR="004B2BBB">
          <w:rPr>
            <w:color w:val="000000"/>
            <w:sz w:val="22"/>
            <w:szCs w:val="22"/>
          </w:rPr>
          <w:t>Mckean</w:t>
        </w:r>
        <w:proofErr w:type="spellEnd"/>
        <w:r w:rsidR="004B2BBB">
          <w:rPr>
            <w:color w:val="000000"/>
            <w:sz w:val="22"/>
            <w:szCs w:val="22"/>
          </w:rPr>
          <w:t xml:space="preserve">. “On the Commons of Developed Industrialized Countries.” </w:t>
        </w:r>
      </w:hyperlink>
      <w:hyperlink r:id="rId50">
        <w:r w:rsidR="004B2BBB">
          <w:rPr>
            <w:i/>
            <w:color w:val="000000"/>
            <w:sz w:val="22"/>
            <w:szCs w:val="22"/>
          </w:rPr>
          <w:t>International Journal of the Commons</w:t>
        </w:r>
      </w:hyperlink>
      <w:hyperlink r:id="rId51">
        <w:r w:rsidR="004B2BBB">
          <w:rPr>
            <w:color w:val="000000"/>
            <w:sz w:val="22"/>
            <w:szCs w:val="22"/>
          </w:rPr>
          <w:t xml:space="preserve"> 9, no. 2 (2015): 469–85.</w:t>
        </w:r>
      </w:hyperlink>
    </w:p>
    <w:p w14:paraId="000001B6"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52">
        <w:r w:rsidR="004B2BBB">
          <w:rPr>
            <w:color w:val="000000"/>
            <w:sz w:val="22"/>
            <w:szCs w:val="22"/>
          </w:rPr>
          <w:t xml:space="preserve">Birnbaum, Charles A. “Preservation Brief 36: Protecting Cultural Landscapes: Planning, Treatment and Management of Historic Landscapes.” </w:t>
        </w:r>
      </w:hyperlink>
      <w:hyperlink r:id="rId53">
        <w:r w:rsidR="004B2BBB">
          <w:rPr>
            <w:i/>
            <w:color w:val="000000"/>
            <w:sz w:val="22"/>
            <w:szCs w:val="22"/>
          </w:rPr>
          <w:t>National Park Service</w:t>
        </w:r>
      </w:hyperlink>
      <w:hyperlink r:id="rId54">
        <w:r w:rsidR="004B2BBB">
          <w:rPr>
            <w:color w:val="000000"/>
            <w:sz w:val="22"/>
            <w:szCs w:val="22"/>
          </w:rPr>
          <w:t xml:space="preserve">, 1994. </w:t>
        </w:r>
      </w:hyperlink>
      <w:hyperlink r:id="rId55">
        <w:r w:rsidR="004B2BBB">
          <w:rPr>
            <w:color w:val="000000"/>
            <w:sz w:val="22"/>
            <w:szCs w:val="22"/>
          </w:rPr>
          <w:t>https://www.nps.gov/tps/how-to-preserve/briefs/36-cultural-landscapes.htm</w:t>
        </w:r>
      </w:hyperlink>
      <w:hyperlink r:id="rId56">
        <w:r w:rsidR="004B2BBB">
          <w:rPr>
            <w:color w:val="000000"/>
            <w:sz w:val="22"/>
            <w:szCs w:val="22"/>
          </w:rPr>
          <w:t>.</w:t>
        </w:r>
      </w:hyperlink>
    </w:p>
    <w:p w14:paraId="000001B7"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57">
        <w:r w:rsidR="004B2BBB">
          <w:rPr>
            <w:color w:val="000000"/>
            <w:sz w:val="22"/>
            <w:szCs w:val="22"/>
          </w:rPr>
          <w:t xml:space="preserve">Birnbaum, Charles A., and C. Peters. “Guidelines for the Treatment of Cultural Landscapes.” </w:t>
        </w:r>
      </w:hyperlink>
      <w:hyperlink r:id="rId58">
        <w:r w:rsidR="004B2BBB">
          <w:rPr>
            <w:i/>
            <w:color w:val="000000"/>
            <w:sz w:val="22"/>
            <w:szCs w:val="22"/>
          </w:rPr>
          <w:t>USDI National Park Service. Washington DC</w:t>
        </w:r>
      </w:hyperlink>
      <w:hyperlink r:id="rId59">
        <w:r w:rsidR="004B2BBB">
          <w:rPr>
            <w:color w:val="000000"/>
            <w:sz w:val="22"/>
            <w:szCs w:val="22"/>
          </w:rPr>
          <w:t xml:space="preserve">, 1996. </w:t>
        </w:r>
      </w:hyperlink>
      <w:hyperlink r:id="rId60">
        <w:r w:rsidR="004B2BBB">
          <w:rPr>
            <w:color w:val="000000"/>
            <w:sz w:val="22"/>
            <w:szCs w:val="22"/>
          </w:rPr>
          <w:t>https://www.nps.gov/Tps/standards/four-treatments/landscape-guidelines/index.htm</w:t>
        </w:r>
      </w:hyperlink>
      <w:hyperlink r:id="rId61">
        <w:r w:rsidR="004B2BBB">
          <w:rPr>
            <w:color w:val="000000"/>
            <w:sz w:val="22"/>
            <w:szCs w:val="22"/>
          </w:rPr>
          <w:t>.</w:t>
        </w:r>
      </w:hyperlink>
    </w:p>
    <w:p w14:paraId="000001B8"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62">
        <w:r w:rsidR="004B2BBB">
          <w:rPr>
            <w:color w:val="000000"/>
            <w:sz w:val="22"/>
            <w:szCs w:val="22"/>
          </w:rPr>
          <w:t xml:space="preserve">Black, H. D., C. F. T. Andrus, W. J. Lambert, T. C. Rick, and D. P. </w:t>
        </w:r>
        <w:proofErr w:type="spellStart"/>
        <w:r w:rsidR="004B2BBB">
          <w:rPr>
            <w:color w:val="000000"/>
            <w:sz w:val="22"/>
            <w:szCs w:val="22"/>
          </w:rPr>
          <w:t>Gillikin</w:t>
        </w:r>
        <w:proofErr w:type="spellEnd"/>
        <w:r w:rsidR="004B2BBB">
          <w:rPr>
            <w:color w:val="000000"/>
            <w:sz w:val="22"/>
            <w:szCs w:val="22"/>
          </w:rPr>
          <w:t xml:space="preserve">. “δ15N Values in Crassostrea Virginica Shells Provides Early Direct Evidence for Nitrogen Loading to Chesapeake Bay.” </w:t>
        </w:r>
      </w:hyperlink>
      <w:hyperlink r:id="rId63">
        <w:r w:rsidR="004B2BBB">
          <w:rPr>
            <w:i/>
            <w:color w:val="000000"/>
            <w:sz w:val="22"/>
            <w:szCs w:val="22"/>
          </w:rPr>
          <w:t>Scientific Reports</w:t>
        </w:r>
      </w:hyperlink>
      <w:hyperlink r:id="rId64">
        <w:r w:rsidR="004B2BBB">
          <w:rPr>
            <w:color w:val="000000"/>
            <w:sz w:val="22"/>
            <w:szCs w:val="22"/>
          </w:rPr>
          <w:t xml:space="preserve"> 7 (March 10, 2017): 44241.</w:t>
        </w:r>
      </w:hyperlink>
    </w:p>
    <w:p w14:paraId="000001B9"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65">
        <w:r w:rsidR="004B2BBB">
          <w:rPr>
            <w:color w:val="000000"/>
            <w:sz w:val="22"/>
            <w:szCs w:val="22"/>
          </w:rPr>
          <w:t xml:space="preserve">Blankenship, Karl. “Success of Chesapeake’s Restoration Tied to PA, Which Lags Far behind.” </w:t>
        </w:r>
      </w:hyperlink>
      <w:hyperlink r:id="rId66">
        <w:r w:rsidR="004B2BBB">
          <w:rPr>
            <w:i/>
            <w:color w:val="000000"/>
            <w:sz w:val="22"/>
            <w:szCs w:val="22"/>
          </w:rPr>
          <w:t>Bay Journal</w:t>
        </w:r>
      </w:hyperlink>
      <w:hyperlink r:id="rId67">
        <w:r w:rsidR="004B2BBB">
          <w:rPr>
            <w:color w:val="000000"/>
            <w:sz w:val="22"/>
            <w:szCs w:val="22"/>
          </w:rPr>
          <w:t xml:space="preserve">, October 17, 2018. </w:t>
        </w:r>
      </w:hyperlink>
      <w:hyperlink r:id="rId68">
        <w:r w:rsidR="004B2BBB">
          <w:rPr>
            <w:color w:val="000000"/>
            <w:sz w:val="22"/>
            <w:szCs w:val="22"/>
          </w:rPr>
          <w:t>https://www.bayjournal.com/article/success_of_chesapeakes_restoration_tied_to_pa_which_lags_far_behind</w:t>
        </w:r>
      </w:hyperlink>
      <w:hyperlink r:id="rId69">
        <w:r w:rsidR="004B2BBB">
          <w:rPr>
            <w:color w:val="000000"/>
            <w:sz w:val="22"/>
            <w:szCs w:val="22"/>
          </w:rPr>
          <w:t>.</w:t>
        </w:r>
      </w:hyperlink>
    </w:p>
    <w:p w14:paraId="000001BA"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70">
        <w:r w:rsidR="004B2BBB">
          <w:rPr>
            <w:color w:val="000000"/>
            <w:sz w:val="22"/>
            <w:szCs w:val="22"/>
          </w:rPr>
          <w:t xml:space="preserve">Brewer, Richard. </w:t>
        </w:r>
      </w:hyperlink>
      <w:hyperlink r:id="rId71">
        <w:r w:rsidR="004B2BBB">
          <w:rPr>
            <w:i/>
            <w:color w:val="000000"/>
            <w:sz w:val="22"/>
            <w:szCs w:val="22"/>
          </w:rPr>
          <w:t>Conservancy: The Land Trust Movement in America</w:t>
        </w:r>
      </w:hyperlink>
      <w:hyperlink r:id="rId72">
        <w:r w:rsidR="004B2BBB">
          <w:rPr>
            <w:color w:val="000000"/>
            <w:sz w:val="22"/>
            <w:szCs w:val="22"/>
          </w:rPr>
          <w:t>. Lebanon, New Hampshire: University Press of New England, 2003.</w:t>
        </w:r>
      </w:hyperlink>
    </w:p>
    <w:p w14:paraId="000001BB"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73">
        <w:r w:rsidR="004B2BBB">
          <w:rPr>
            <w:color w:val="000000"/>
            <w:sz w:val="22"/>
            <w:szCs w:val="22"/>
          </w:rPr>
          <w:t xml:space="preserve">Brownridge, Michelle. “Food as a Cultural Meeting Place: Sharing Your Intangible Cultural Heritage.” Museums Association of Saskatchewan: Museums are more..., August 17, 2016. </w:t>
        </w:r>
      </w:hyperlink>
      <w:hyperlink r:id="rId74">
        <w:r w:rsidR="004B2BBB">
          <w:rPr>
            <w:color w:val="000000"/>
            <w:sz w:val="22"/>
            <w:szCs w:val="22"/>
          </w:rPr>
          <w:t>http://saskmuseums.org/blog/entry/food-as-a-cultural-meeting-place-sharing-your-intangible-cultural-heritage</w:t>
        </w:r>
      </w:hyperlink>
      <w:hyperlink r:id="rId75">
        <w:r w:rsidR="004B2BBB">
          <w:rPr>
            <w:color w:val="000000"/>
            <w:sz w:val="22"/>
            <w:szCs w:val="22"/>
          </w:rPr>
          <w:t>.</w:t>
        </w:r>
      </w:hyperlink>
    </w:p>
    <w:p w14:paraId="000001BC"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76">
        <w:proofErr w:type="spellStart"/>
        <w:r w:rsidR="004B2BBB">
          <w:rPr>
            <w:color w:val="000000"/>
            <w:sz w:val="22"/>
            <w:szCs w:val="22"/>
          </w:rPr>
          <w:t>Bueren</w:t>
        </w:r>
        <w:proofErr w:type="spellEnd"/>
        <w:r w:rsidR="004B2BBB">
          <w:rPr>
            <w:color w:val="000000"/>
            <w:sz w:val="22"/>
            <w:szCs w:val="22"/>
          </w:rPr>
          <w:t xml:space="preserve">, Ellen M. van, Erik-Hans </w:t>
        </w:r>
        <w:proofErr w:type="spellStart"/>
        <w:r w:rsidR="004B2BBB">
          <w:rPr>
            <w:color w:val="000000"/>
            <w:sz w:val="22"/>
            <w:szCs w:val="22"/>
          </w:rPr>
          <w:t>Klijn</w:t>
        </w:r>
        <w:proofErr w:type="spellEnd"/>
        <w:r w:rsidR="004B2BBB">
          <w:rPr>
            <w:color w:val="000000"/>
            <w:sz w:val="22"/>
            <w:szCs w:val="22"/>
          </w:rPr>
          <w:t xml:space="preserve">, and </w:t>
        </w:r>
        <w:proofErr w:type="spellStart"/>
        <w:r w:rsidR="004B2BBB">
          <w:rPr>
            <w:color w:val="000000"/>
            <w:sz w:val="22"/>
            <w:szCs w:val="22"/>
          </w:rPr>
          <w:t>Joop</w:t>
        </w:r>
        <w:proofErr w:type="spellEnd"/>
        <w:r w:rsidR="004B2BBB">
          <w:rPr>
            <w:color w:val="000000"/>
            <w:sz w:val="22"/>
            <w:szCs w:val="22"/>
          </w:rPr>
          <w:t xml:space="preserve"> F. M. </w:t>
        </w:r>
        <w:proofErr w:type="spellStart"/>
        <w:r w:rsidR="004B2BBB">
          <w:rPr>
            <w:color w:val="000000"/>
            <w:sz w:val="22"/>
            <w:szCs w:val="22"/>
          </w:rPr>
          <w:t>Koppenjan</w:t>
        </w:r>
        <w:proofErr w:type="spellEnd"/>
        <w:r w:rsidR="004B2BBB">
          <w:rPr>
            <w:color w:val="000000"/>
            <w:sz w:val="22"/>
            <w:szCs w:val="22"/>
          </w:rPr>
          <w:t xml:space="preserve">. “Dealing with Wicked Problems in Networks: Analyzing an Environmental Debate from a Network Perspective.” </w:t>
        </w:r>
      </w:hyperlink>
      <w:hyperlink r:id="rId77">
        <w:r w:rsidR="004B2BBB">
          <w:rPr>
            <w:i/>
            <w:color w:val="000000"/>
            <w:sz w:val="22"/>
            <w:szCs w:val="22"/>
          </w:rPr>
          <w:t>Journal of Public Administration Research and Theory: J-PART</w:t>
        </w:r>
      </w:hyperlink>
      <w:hyperlink r:id="rId78">
        <w:r w:rsidR="004B2BBB">
          <w:rPr>
            <w:color w:val="000000"/>
            <w:sz w:val="22"/>
            <w:szCs w:val="22"/>
          </w:rPr>
          <w:t xml:space="preserve"> 13, no. 2 (2003): 193–212.</w:t>
        </w:r>
      </w:hyperlink>
    </w:p>
    <w:p w14:paraId="000001BD"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79">
        <w:r w:rsidR="004B2BBB">
          <w:rPr>
            <w:color w:val="000000"/>
            <w:sz w:val="22"/>
            <w:szCs w:val="22"/>
          </w:rPr>
          <w:t xml:space="preserve">Bureau of Farmland Preservation. “Bureau of Farmland Preservation 2016-17 Annual Report.” Pennsylvania Department of Agriculture, May 2018. </w:t>
        </w:r>
      </w:hyperlink>
      <w:hyperlink r:id="rId80">
        <w:r w:rsidR="004B2BBB">
          <w:rPr>
            <w:color w:val="000000"/>
            <w:sz w:val="22"/>
            <w:szCs w:val="22"/>
          </w:rPr>
          <w:t>https://www.agriculture.pa.gov/Plants_Land_Water/farmland/Documents/Farmland%20Preservation%20Annual%20Report%202017%20complete.pdf</w:t>
        </w:r>
      </w:hyperlink>
      <w:hyperlink r:id="rId81">
        <w:r w:rsidR="004B2BBB">
          <w:rPr>
            <w:color w:val="000000"/>
            <w:sz w:val="22"/>
            <w:szCs w:val="22"/>
          </w:rPr>
          <w:t>.</w:t>
        </w:r>
      </w:hyperlink>
    </w:p>
    <w:p w14:paraId="000001BE"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82">
        <w:r w:rsidR="004B2BBB">
          <w:rPr>
            <w:color w:val="000000"/>
            <w:sz w:val="22"/>
            <w:szCs w:val="22"/>
          </w:rPr>
          <w:t xml:space="preserve">Burke, Bryan E. “Hardin Revisited: A Critical Look at Perception and the Logic of the Commons.” </w:t>
        </w:r>
      </w:hyperlink>
      <w:hyperlink r:id="rId83">
        <w:r w:rsidR="004B2BBB">
          <w:rPr>
            <w:i/>
            <w:color w:val="000000"/>
            <w:sz w:val="22"/>
            <w:szCs w:val="22"/>
          </w:rPr>
          <w:t>Human Ecology</w:t>
        </w:r>
      </w:hyperlink>
      <w:hyperlink r:id="rId84">
        <w:r w:rsidR="004B2BBB">
          <w:rPr>
            <w:color w:val="000000"/>
            <w:sz w:val="22"/>
            <w:szCs w:val="22"/>
          </w:rPr>
          <w:t xml:space="preserve"> 29, no. 4 (2001): 449–76.</w:t>
        </w:r>
      </w:hyperlink>
    </w:p>
    <w:p w14:paraId="000001BF"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85">
        <w:proofErr w:type="spellStart"/>
        <w:r w:rsidR="004B2BBB">
          <w:rPr>
            <w:color w:val="000000"/>
            <w:sz w:val="22"/>
            <w:szCs w:val="22"/>
          </w:rPr>
          <w:t>Busari</w:t>
        </w:r>
        <w:proofErr w:type="spellEnd"/>
        <w:r w:rsidR="004B2BBB">
          <w:rPr>
            <w:color w:val="000000"/>
            <w:sz w:val="22"/>
            <w:szCs w:val="22"/>
          </w:rPr>
          <w:t xml:space="preserve">, </w:t>
        </w:r>
        <w:proofErr w:type="spellStart"/>
        <w:r w:rsidR="004B2BBB">
          <w:rPr>
            <w:color w:val="000000"/>
            <w:sz w:val="22"/>
            <w:szCs w:val="22"/>
          </w:rPr>
          <w:t>Mutiu</w:t>
        </w:r>
        <w:proofErr w:type="spellEnd"/>
        <w:r w:rsidR="004B2BBB">
          <w:rPr>
            <w:color w:val="000000"/>
            <w:sz w:val="22"/>
            <w:szCs w:val="22"/>
          </w:rPr>
          <w:t xml:space="preserve"> </w:t>
        </w:r>
        <w:proofErr w:type="spellStart"/>
        <w:r w:rsidR="004B2BBB">
          <w:rPr>
            <w:color w:val="000000"/>
            <w:sz w:val="22"/>
            <w:szCs w:val="22"/>
          </w:rPr>
          <w:t>Abolanle</w:t>
        </w:r>
        <w:proofErr w:type="spellEnd"/>
        <w:r w:rsidR="004B2BBB">
          <w:rPr>
            <w:color w:val="000000"/>
            <w:sz w:val="22"/>
            <w:szCs w:val="22"/>
          </w:rPr>
          <w:t xml:space="preserve">, Surinder Singh </w:t>
        </w:r>
        <w:proofErr w:type="spellStart"/>
        <w:r w:rsidR="004B2BBB">
          <w:rPr>
            <w:color w:val="000000"/>
            <w:sz w:val="22"/>
            <w:szCs w:val="22"/>
          </w:rPr>
          <w:t>Kukal</w:t>
        </w:r>
        <w:proofErr w:type="spellEnd"/>
        <w:r w:rsidR="004B2BBB">
          <w:rPr>
            <w:color w:val="000000"/>
            <w:sz w:val="22"/>
            <w:szCs w:val="22"/>
          </w:rPr>
          <w:t xml:space="preserve">, </w:t>
        </w:r>
        <w:proofErr w:type="spellStart"/>
        <w:r w:rsidR="004B2BBB">
          <w:rPr>
            <w:color w:val="000000"/>
            <w:sz w:val="22"/>
            <w:szCs w:val="22"/>
          </w:rPr>
          <w:t>Amanpreet</w:t>
        </w:r>
        <w:proofErr w:type="spellEnd"/>
        <w:r w:rsidR="004B2BBB">
          <w:rPr>
            <w:color w:val="000000"/>
            <w:sz w:val="22"/>
            <w:szCs w:val="22"/>
          </w:rPr>
          <w:t xml:space="preserve"> Kaur, </w:t>
        </w:r>
        <w:proofErr w:type="spellStart"/>
        <w:r w:rsidR="004B2BBB">
          <w:rPr>
            <w:color w:val="000000"/>
            <w:sz w:val="22"/>
            <w:szCs w:val="22"/>
          </w:rPr>
          <w:t>Rajan</w:t>
        </w:r>
        <w:proofErr w:type="spellEnd"/>
        <w:r w:rsidR="004B2BBB">
          <w:rPr>
            <w:color w:val="000000"/>
            <w:sz w:val="22"/>
            <w:szCs w:val="22"/>
          </w:rPr>
          <w:t xml:space="preserve"> Bhatt, and Ashura Ally </w:t>
        </w:r>
        <w:proofErr w:type="spellStart"/>
        <w:r w:rsidR="004B2BBB">
          <w:rPr>
            <w:color w:val="000000"/>
            <w:sz w:val="22"/>
            <w:szCs w:val="22"/>
          </w:rPr>
          <w:t>Dulazi</w:t>
        </w:r>
        <w:proofErr w:type="spellEnd"/>
        <w:r w:rsidR="004B2BBB">
          <w:rPr>
            <w:color w:val="000000"/>
            <w:sz w:val="22"/>
            <w:szCs w:val="22"/>
          </w:rPr>
          <w:t xml:space="preserve">. “Conservation Tillage Impacts on Soil, Crop and the Environment.” </w:t>
        </w:r>
      </w:hyperlink>
      <w:hyperlink r:id="rId86">
        <w:r w:rsidR="004B2BBB">
          <w:rPr>
            <w:i/>
            <w:color w:val="000000"/>
            <w:sz w:val="22"/>
            <w:szCs w:val="22"/>
          </w:rPr>
          <w:t>International Soil and Water Conservation Research</w:t>
        </w:r>
      </w:hyperlink>
      <w:hyperlink r:id="rId87">
        <w:r w:rsidR="004B2BBB">
          <w:rPr>
            <w:color w:val="000000"/>
            <w:sz w:val="22"/>
            <w:szCs w:val="22"/>
          </w:rPr>
          <w:t xml:space="preserve"> 3, no. 2 (June 1, 2015): 119–29.</w:t>
        </w:r>
      </w:hyperlink>
    </w:p>
    <w:p w14:paraId="000001C0"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88">
        <w:r w:rsidR="004B2BBB">
          <w:rPr>
            <w:color w:val="000000"/>
            <w:sz w:val="22"/>
            <w:szCs w:val="22"/>
          </w:rPr>
          <w:t>Carter, Elizabeth. Letter to David Weir, September 25, 2018.</w:t>
        </w:r>
      </w:hyperlink>
    </w:p>
    <w:p w14:paraId="000001C1"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89">
        <w:r w:rsidR="004B2BBB">
          <w:rPr>
            <w:color w:val="000000"/>
            <w:sz w:val="22"/>
            <w:szCs w:val="22"/>
          </w:rPr>
          <w:t xml:space="preserve">Chait, Jennifer. “Largest Organic Retailers in North America.” The Balance, Updated December 16, 2018. </w:t>
        </w:r>
      </w:hyperlink>
      <w:hyperlink r:id="rId90">
        <w:r w:rsidR="004B2BBB">
          <w:rPr>
            <w:color w:val="000000"/>
            <w:sz w:val="22"/>
            <w:szCs w:val="22"/>
          </w:rPr>
          <w:t>https://www.thebalance.com/organic-retailers-in-north-america-2011-2538129</w:t>
        </w:r>
      </w:hyperlink>
      <w:hyperlink r:id="rId91">
        <w:r w:rsidR="004B2BBB">
          <w:rPr>
            <w:color w:val="000000"/>
            <w:sz w:val="22"/>
            <w:szCs w:val="22"/>
          </w:rPr>
          <w:t>.</w:t>
        </w:r>
      </w:hyperlink>
    </w:p>
    <w:p w14:paraId="000001C2"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92">
        <w:r w:rsidR="004B2BBB">
          <w:rPr>
            <w:color w:val="000000"/>
            <w:sz w:val="22"/>
            <w:szCs w:val="22"/>
          </w:rPr>
          <w:t xml:space="preserve">Chapin, F. Stuart, and Corrine N. Knapp. “Sense of Place: A Process for Identifying and Negotiating Potentially Contested Visions of Sustainability.” </w:t>
        </w:r>
      </w:hyperlink>
      <w:hyperlink r:id="rId93">
        <w:r w:rsidR="004B2BBB">
          <w:rPr>
            <w:i/>
            <w:color w:val="000000"/>
            <w:sz w:val="22"/>
            <w:szCs w:val="22"/>
          </w:rPr>
          <w:t>Environmental Science &amp; Policy</w:t>
        </w:r>
      </w:hyperlink>
      <w:hyperlink r:id="rId94">
        <w:r w:rsidR="004B2BBB">
          <w:rPr>
            <w:color w:val="000000"/>
            <w:sz w:val="22"/>
            <w:szCs w:val="22"/>
          </w:rPr>
          <w:t xml:space="preserve"> 53 (November 1, 2015): 38–46.</w:t>
        </w:r>
      </w:hyperlink>
    </w:p>
    <w:p w14:paraId="000001C3"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95">
        <w:r w:rsidR="004B2BBB">
          <w:rPr>
            <w:color w:val="000000"/>
            <w:sz w:val="22"/>
            <w:szCs w:val="22"/>
          </w:rPr>
          <w:t xml:space="preserve">Charles, Dan. “Perdue Farms Signs Up For A Chicken Welfare Revolution.” </w:t>
        </w:r>
      </w:hyperlink>
      <w:hyperlink r:id="rId96">
        <w:r w:rsidR="004B2BBB">
          <w:rPr>
            <w:i/>
            <w:color w:val="000000"/>
            <w:sz w:val="22"/>
            <w:szCs w:val="22"/>
          </w:rPr>
          <w:t>NPR</w:t>
        </w:r>
      </w:hyperlink>
      <w:hyperlink r:id="rId97">
        <w:r w:rsidR="004B2BBB">
          <w:rPr>
            <w:color w:val="000000"/>
            <w:sz w:val="22"/>
            <w:szCs w:val="22"/>
          </w:rPr>
          <w:t xml:space="preserve">, July 27, 2017. </w:t>
        </w:r>
      </w:hyperlink>
      <w:hyperlink r:id="rId98">
        <w:r w:rsidR="004B2BBB">
          <w:rPr>
            <w:color w:val="000000"/>
            <w:sz w:val="22"/>
            <w:szCs w:val="22"/>
          </w:rPr>
          <w:t>https://www.npr.org/sections/thesalt/2017/07/27/537929392/perdue-farms-signs-up-for-a-chicken-welfare-revolution</w:t>
        </w:r>
      </w:hyperlink>
      <w:hyperlink r:id="rId99">
        <w:r w:rsidR="004B2BBB">
          <w:rPr>
            <w:color w:val="000000"/>
            <w:sz w:val="22"/>
            <w:szCs w:val="22"/>
          </w:rPr>
          <w:t>.</w:t>
        </w:r>
      </w:hyperlink>
    </w:p>
    <w:p w14:paraId="000001C4"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100">
        <w:r w:rsidR="004B2BBB">
          <w:rPr>
            <w:color w:val="000000"/>
            <w:sz w:val="22"/>
            <w:szCs w:val="22"/>
          </w:rPr>
          <w:t xml:space="preserve">Chesapeake Bay Commission. “Boots on the Ground: Improving Technical Assistance to Farmers,” November 2017. </w:t>
        </w:r>
      </w:hyperlink>
      <w:hyperlink r:id="rId101">
        <w:r w:rsidR="004B2BBB">
          <w:rPr>
            <w:color w:val="000000"/>
            <w:sz w:val="22"/>
            <w:szCs w:val="22"/>
          </w:rPr>
          <w:t>http://www.chesbay.us/Publications/CBC%20TA%20Report%20Boots%20on%20the%20Ground.pdf</w:t>
        </w:r>
      </w:hyperlink>
      <w:hyperlink r:id="rId102">
        <w:r w:rsidR="004B2BBB">
          <w:rPr>
            <w:color w:val="000000"/>
            <w:sz w:val="22"/>
            <w:szCs w:val="22"/>
          </w:rPr>
          <w:t>.</w:t>
        </w:r>
      </w:hyperlink>
    </w:p>
    <w:p w14:paraId="000001C5"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103">
        <w:r w:rsidR="004B2BBB">
          <w:rPr>
            <w:color w:val="000000"/>
            <w:sz w:val="22"/>
            <w:szCs w:val="22"/>
          </w:rPr>
          <w:t xml:space="preserve">———. “Healthy Livestock, Healthy Streams: Policy Actions to Promote Livestock Stream Exclusion,” May 2015. </w:t>
        </w:r>
      </w:hyperlink>
      <w:hyperlink r:id="rId104">
        <w:r w:rsidR="004B2BBB">
          <w:rPr>
            <w:color w:val="000000"/>
            <w:sz w:val="22"/>
            <w:szCs w:val="22"/>
          </w:rPr>
          <w:t>http://www.chesbay.us/Publications/Healthy%20Livestock,%20Healthy%20Streams.pdf</w:t>
        </w:r>
      </w:hyperlink>
      <w:hyperlink r:id="rId105">
        <w:r w:rsidR="004B2BBB">
          <w:rPr>
            <w:color w:val="000000"/>
            <w:sz w:val="22"/>
            <w:szCs w:val="22"/>
          </w:rPr>
          <w:t>.</w:t>
        </w:r>
      </w:hyperlink>
    </w:p>
    <w:p w14:paraId="000001C6"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106">
        <w:r w:rsidR="004B2BBB">
          <w:rPr>
            <w:color w:val="000000"/>
            <w:sz w:val="22"/>
            <w:szCs w:val="22"/>
          </w:rPr>
          <w:t xml:space="preserve">———. “History of the Commission.” Accessed January 26, 2019. </w:t>
        </w:r>
      </w:hyperlink>
      <w:hyperlink r:id="rId107">
        <w:r w:rsidR="004B2BBB">
          <w:rPr>
            <w:color w:val="000000"/>
            <w:sz w:val="22"/>
            <w:szCs w:val="22"/>
          </w:rPr>
          <w:t>http://www.chesbay.us/history.html</w:t>
        </w:r>
      </w:hyperlink>
      <w:hyperlink r:id="rId108">
        <w:r w:rsidR="004B2BBB">
          <w:rPr>
            <w:color w:val="000000"/>
            <w:sz w:val="22"/>
            <w:szCs w:val="22"/>
          </w:rPr>
          <w:t>.</w:t>
        </w:r>
      </w:hyperlink>
    </w:p>
    <w:p w14:paraId="000001C7"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109">
        <w:r w:rsidR="004B2BBB">
          <w:rPr>
            <w:color w:val="000000"/>
            <w:sz w:val="22"/>
            <w:szCs w:val="22"/>
          </w:rPr>
          <w:t xml:space="preserve">Chesapeake Bay Foundation. “About CBF.” Chesapeake Bay Foundation. Accessed January 26, 2019. </w:t>
        </w:r>
      </w:hyperlink>
      <w:hyperlink r:id="rId110">
        <w:r w:rsidR="004B2BBB">
          <w:rPr>
            <w:color w:val="000000"/>
            <w:sz w:val="22"/>
            <w:szCs w:val="22"/>
          </w:rPr>
          <w:t>http://www.cbf.org/about-cbf/</w:t>
        </w:r>
      </w:hyperlink>
      <w:hyperlink r:id="rId111">
        <w:r w:rsidR="004B2BBB">
          <w:rPr>
            <w:color w:val="000000"/>
            <w:sz w:val="22"/>
            <w:szCs w:val="22"/>
          </w:rPr>
          <w:t>.</w:t>
        </w:r>
      </w:hyperlink>
    </w:p>
    <w:p w14:paraId="000001C8"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112">
        <w:r w:rsidR="004B2BBB">
          <w:rPr>
            <w:color w:val="000000"/>
            <w:sz w:val="22"/>
            <w:szCs w:val="22"/>
          </w:rPr>
          <w:t xml:space="preserve">———. “A Guide to Preserving Agricultural Lands in the Chesapeake Region: Keeping Stewards on the Land,” 2007. </w:t>
        </w:r>
      </w:hyperlink>
      <w:hyperlink r:id="rId113">
        <w:r w:rsidR="004B2BBB">
          <w:rPr>
            <w:color w:val="000000"/>
            <w:sz w:val="22"/>
            <w:szCs w:val="22"/>
          </w:rPr>
          <w:t>http://www.cbf.org/document-library/cbf-guides-fact-sheets/a-guide-to-preserving.pdf</w:t>
        </w:r>
      </w:hyperlink>
      <w:hyperlink r:id="rId114">
        <w:r w:rsidR="004B2BBB">
          <w:rPr>
            <w:color w:val="000000"/>
            <w:sz w:val="22"/>
            <w:szCs w:val="22"/>
          </w:rPr>
          <w:t>.</w:t>
        </w:r>
      </w:hyperlink>
    </w:p>
    <w:p w14:paraId="000001C9"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115">
        <w:r w:rsidR="004B2BBB">
          <w:rPr>
            <w:color w:val="000000"/>
            <w:sz w:val="22"/>
            <w:szCs w:val="22"/>
          </w:rPr>
          <w:t xml:space="preserve">———. “Federal Farm Bill,” December 20, 2018. </w:t>
        </w:r>
      </w:hyperlink>
      <w:hyperlink r:id="rId116">
        <w:r w:rsidR="004B2BBB">
          <w:rPr>
            <w:color w:val="000000"/>
            <w:sz w:val="22"/>
            <w:szCs w:val="22"/>
          </w:rPr>
          <w:t>http://www.cbf.org/about-cbf/locations/washington-dc/issues/federal-farm-bill.html</w:t>
        </w:r>
      </w:hyperlink>
      <w:hyperlink r:id="rId117">
        <w:r w:rsidR="004B2BBB">
          <w:rPr>
            <w:color w:val="000000"/>
            <w:sz w:val="22"/>
            <w:szCs w:val="22"/>
          </w:rPr>
          <w:t>.</w:t>
        </w:r>
      </w:hyperlink>
    </w:p>
    <w:p w14:paraId="000001CA"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118">
        <w:r w:rsidR="004B2BBB">
          <w:rPr>
            <w:color w:val="000000"/>
            <w:sz w:val="22"/>
            <w:szCs w:val="22"/>
          </w:rPr>
          <w:t xml:space="preserve">———. “Rainfall Revelations—Summer 2016.” Accessed November 24, 2018. </w:t>
        </w:r>
      </w:hyperlink>
      <w:hyperlink r:id="rId119">
        <w:r w:rsidR="004B2BBB">
          <w:rPr>
            <w:color w:val="000000"/>
            <w:sz w:val="22"/>
            <w:szCs w:val="22"/>
          </w:rPr>
          <w:t>http://www.cbf.org/issues/polluted-runoff/rainfall-revelations/</w:t>
        </w:r>
      </w:hyperlink>
      <w:hyperlink r:id="rId120">
        <w:r w:rsidR="004B2BBB">
          <w:rPr>
            <w:color w:val="000000"/>
            <w:sz w:val="22"/>
            <w:szCs w:val="22"/>
          </w:rPr>
          <w:t>.</w:t>
        </w:r>
      </w:hyperlink>
    </w:p>
    <w:p w14:paraId="000001CB"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121">
        <w:r w:rsidR="004B2BBB">
          <w:rPr>
            <w:color w:val="000000"/>
            <w:sz w:val="22"/>
            <w:szCs w:val="22"/>
          </w:rPr>
          <w:t xml:space="preserve">———. “The History of Chesapeake Bay Cleanup Efforts.” Accessed February 3, 2019. </w:t>
        </w:r>
      </w:hyperlink>
      <w:hyperlink r:id="rId122">
        <w:r w:rsidR="004B2BBB">
          <w:rPr>
            <w:color w:val="000000"/>
            <w:sz w:val="22"/>
            <w:szCs w:val="22"/>
          </w:rPr>
          <w:t>http://www.cbf.org/how-we-save-the-bay/chesapeake-clean-water-blueprint/the-history-of-bay-cleanup-efforts.html</w:t>
        </w:r>
      </w:hyperlink>
      <w:hyperlink r:id="rId123">
        <w:r w:rsidR="004B2BBB">
          <w:rPr>
            <w:color w:val="000000"/>
            <w:sz w:val="22"/>
            <w:szCs w:val="22"/>
          </w:rPr>
          <w:t>.</w:t>
        </w:r>
      </w:hyperlink>
    </w:p>
    <w:p w14:paraId="000001CC"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124">
        <w:r w:rsidR="004B2BBB">
          <w:rPr>
            <w:color w:val="000000"/>
            <w:sz w:val="22"/>
            <w:szCs w:val="22"/>
          </w:rPr>
          <w:t xml:space="preserve">Chesapeake Bay Program. “Agriculture.” Accessed November 24, 2018. </w:t>
        </w:r>
      </w:hyperlink>
      <w:hyperlink r:id="rId125">
        <w:r w:rsidR="004B2BBB">
          <w:rPr>
            <w:color w:val="000000"/>
            <w:sz w:val="22"/>
            <w:szCs w:val="22"/>
          </w:rPr>
          <w:t>https://www.chesapeakebay.net/issues/agriculture</w:t>
        </w:r>
      </w:hyperlink>
      <w:hyperlink r:id="rId126">
        <w:r w:rsidR="004B2BBB">
          <w:rPr>
            <w:color w:val="000000"/>
            <w:sz w:val="22"/>
            <w:szCs w:val="22"/>
          </w:rPr>
          <w:t>.</w:t>
        </w:r>
      </w:hyperlink>
    </w:p>
    <w:p w14:paraId="000001CD"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127">
        <w:r w:rsidR="004B2BBB">
          <w:rPr>
            <w:color w:val="000000"/>
            <w:sz w:val="22"/>
            <w:szCs w:val="22"/>
          </w:rPr>
          <w:t xml:space="preserve">———. “Bay Program History.” Accessed January 26, 2019. </w:t>
        </w:r>
      </w:hyperlink>
      <w:hyperlink r:id="rId128">
        <w:r w:rsidR="004B2BBB">
          <w:rPr>
            <w:color w:val="000000"/>
            <w:sz w:val="22"/>
            <w:szCs w:val="22"/>
          </w:rPr>
          <w:t>https://www.chesapeakebay.net/who/bay_program_history</w:t>
        </w:r>
      </w:hyperlink>
      <w:hyperlink r:id="rId129">
        <w:r w:rsidR="004B2BBB">
          <w:rPr>
            <w:color w:val="000000"/>
            <w:sz w:val="22"/>
            <w:szCs w:val="22"/>
          </w:rPr>
          <w:t>.</w:t>
        </w:r>
      </w:hyperlink>
    </w:p>
    <w:p w14:paraId="000001CE"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130">
        <w:r w:rsidR="004B2BBB">
          <w:rPr>
            <w:color w:val="000000"/>
            <w:sz w:val="22"/>
            <w:szCs w:val="22"/>
          </w:rPr>
          <w:t xml:space="preserve">———. “Forest Buffers.” Accessed February 2, 2019. </w:t>
        </w:r>
      </w:hyperlink>
      <w:hyperlink r:id="rId131">
        <w:r w:rsidR="004B2BBB">
          <w:rPr>
            <w:color w:val="000000"/>
            <w:sz w:val="22"/>
            <w:szCs w:val="22"/>
          </w:rPr>
          <w:t>https://www.chesapeakebay.net/issues/forest_buffers</w:t>
        </w:r>
      </w:hyperlink>
      <w:hyperlink r:id="rId132">
        <w:r w:rsidR="004B2BBB">
          <w:rPr>
            <w:color w:val="000000"/>
            <w:sz w:val="22"/>
            <w:szCs w:val="22"/>
          </w:rPr>
          <w:t>.</w:t>
        </w:r>
      </w:hyperlink>
    </w:p>
    <w:p w14:paraId="000001CF"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133">
        <w:r w:rsidR="004B2BBB">
          <w:rPr>
            <w:color w:val="000000"/>
            <w:sz w:val="22"/>
            <w:szCs w:val="22"/>
          </w:rPr>
          <w:t xml:space="preserve">———. “Partner Organizations.” Chesapeakebay.net. Accessed January 21, 2019. </w:t>
        </w:r>
      </w:hyperlink>
      <w:hyperlink r:id="rId134">
        <w:r w:rsidR="004B2BBB">
          <w:rPr>
            <w:color w:val="000000"/>
            <w:sz w:val="22"/>
            <w:szCs w:val="22"/>
          </w:rPr>
          <w:t>https://www.chesapeakebay.net/about/partners</w:t>
        </w:r>
      </w:hyperlink>
      <w:hyperlink r:id="rId135">
        <w:r w:rsidR="004B2BBB">
          <w:rPr>
            <w:color w:val="000000"/>
            <w:sz w:val="22"/>
            <w:szCs w:val="22"/>
          </w:rPr>
          <w:t>.</w:t>
        </w:r>
      </w:hyperlink>
    </w:p>
    <w:p w14:paraId="000001D0"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136">
        <w:r w:rsidR="004B2BBB">
          <w:rPr>
            <w:color w:val="000000"/>
            <w:sz w:val="22"/>
            <w:szCs w:val="22"/>
          </w:rPr>
          <w:t xml:space="preserve">———. “Partners.” Accessed January 21, 2019. </w:t>
        </w:r>
      </w:hyperlink>
      <w:hyperlink r:id="rId137">
        <w:r w:rsidR="004B2BBB">
          <w:rPr>
            <w:color w:val="000000"/>
            <w:sz w:val="22"/>
            <w:szCs w:val="22"/>
          </w:rPr>
          <w:t>https://www.chesapeakebay.net/who/partners</w:t>
        </w:r>
      </w:hyperlink>
      <w:hyperlink r:id="rId138">
        <w:r w:rsidR="004B2BBB">
          <w:rPr>
            <w:color w:val="000000"/>
            <w:sz w:val="22"/>
            <w:szCs w:val="22"/>
          </w:rPr>
          <w:t>.</w:t>
        </w:r>
      </w:hyperlink>
    </w:p>
    <w:p w14:paraId="000001D1"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139">
        <w:r w:rsidR="004B2BBB">
          <w:rPr>
            <w:color w:val="000000"/>
            <w:sz w:val="22"/>
            <w:szCs w:val="22"/>
          </w:rPr>
          <w:t xml:space="preserve">———. “Population.” State of the Chesapeake. Accessed March 2, 2019. </w:t>
        </w:r>
      </w:hyperlink>
      <w:hyperlink r:id="rId140">
        <w:r w:rsidR="004B2BBB">
          <w:rPr>
            <w:color w:val="000000"/>
            <w:sz w:val="22"/>
            <w:szCs w:val="22"/>
          </w:rPr>
          <w:t>https://www.chesapeakebay.net/state/population</w:t>
        </w:r>
      </w:hyperlink>
      <w:hyperlink r:id="rId141">
        <w:r w:rsidR="004B2BBB">
          <w:rPr>
            <w:color w:val="000000"/>
            <w:sz w:val="22"/>
            <w:szCs w:val="22"/>
          </w:rPr>
          <w:t>.</w:t>
        </w:r>
      </w:hyperlink>
    </w:p>
    <w:p w14:paraId="000001D2"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142">
        <w:r w:rsidR="004B2BBB">
          <w:rPr>
            <w:color w:val="000000"/>
            <w:sz w:val="22"/>
            <w:szCs w:val="22"/>
          </w:rPr>
          <w:t xml:space="preserve">———. “Turning Over to No-Till.” Accessed January 27, 2019. </w:t>
        </w:r>
      </w:hyperlink>
      <w:hyperlink r:id="rId143">
        <w:r w:rsidR="004B2BBB">
          <w:rPr>
            <w:color w:val="000000"/>
            <w:sz w:val="22"/>
            <w:szCs w:val="22"/>
          </w:rPr>
          <w:t>https://www.chesapeakebay.net/news/blog/turning_over_to_no_till</w:t>
        </w:r>
      </w:hyperlink>
      <w:hyperlink r:id="rId144">
        <w:r w:rsidR="004B2BBB">
          <w:rPr>
            <w:color w:val="000000"/>
            <w:sz w:val="22"/>
            <w:szCs w:val="22"/>
          </w:rPr>
          <w:t>.</w:t>
        </w:r>
      </w:hyperlink>
    </w:p>
    <w:p w14:paraId="000001D3"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145">
        <w:r w:rsidR="004B2BBB">
          <w:rPr>
            <w:color w:val="000000"/>
            <w:sz w:val="22"/>
            <w:szCs w:val="22"/>
          </w:rPr>
          <w:t xml:space="preserve">Churchman, C. West. “Guest Editorial: Wicked Problems.” </w:t>
        </w:r>
      </w:hyperlink>
      <w:hyperlink r:id="rId146">
        <w:r w:rsidR="004B2BBB">
          <w:rPr>
            <w:i/>
            <w:color w:val="000000"/>
            <w:sz w:val="22"/>
            <w:szCs w:val="22"/>
          </w:rPr>
          <w:t>Management Science</w:t>
        </w:r>
      </w:hyperlink>
      <w:hyperlink r:id="rId147">
        <w:r w:rsidR="004B2BBB">
          <w:rPr>
            <w:color w:val="000000"/>
            <w:sz w:val="22"/>
            <w:szCs w:val="22"/>
          </w:rPr>
          <w:t xml:space="preserve"> 14, no. 4 (1967): B141–42.</w:t>
        </w:r>
      </w:hyperlink>
    </w:p>
    <w:p w14:paraId="000001D4"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148">
        <w:r w:rsidR="004B2BBB">
          <w:rPr>
            <w:color w:val="000000"/>
            <w:sz w:val="22"/>
            <w:szCs w:val="22"/>
          </w:rPr>
          <w:t xml:space="preserve">Cohen, Michelle. “Strand Bookstore Owner Offers a Compromise in Last-Ditch Attempt to Avoid Landmark Status.” 6sqft, February 20, 2019. </w:t>
        </w:r>
      </w:hyperlink>
      <w:hyperlink r:id="rId149">
        <w:r w:rsidR="004B2BBB">
          <w:rPr>
            <w:color w:val="000000"/>
            <w:sz w:val="22"/>
            <w:szCs w:val="22"/>
          </w:rPr>
          <w:t>https://www.6sqft.com/strand-bookstore-owner-offers-a-compromise-in-last-ditch-attempt-to-avoid-landmark-status/</w:t>
        </w:r>
      </w:hyperlink>
      <w:hyperlink r:id="rId150">
        <w:r w:rsidR="004B2BBB">
          <w:rPr>
            <w:color w:val="000000"/>
            <w:sz w:val="22"/>
            <w:szCs w:val="22"/>
          </w:rPr>
          <w:t>.</w:t>
        </w:r>
      </w:hyperlink>
    </w:p>
    <w:p w14:paraId="000001D5"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151">
        <w:r w:rsidR="004B2BBB">
          <w:rPr>
            <w:color w:val="000000"/>
            <w:sz w:val="22"/>
            <w:szCs w:val="22"/>
          </w:rPr>
          <w:t xml:space="preserve">“Corporate Organic Brands.” GMO Awareness, November 9, 2012. </w:t>
        </w:r>
      </w:hyperlink>
      <w:hyperlink r:id="rId152">
        <w:r w:rsidR="004B2BBB">
          <w:rPr>
            <w:color w:val="000000"/>
            <w:sz w:val="22"/>
            <w:szCs w:val="22"/>
          </w:rPr>
          <w:t>https://gmo-awareness.com/shopping-list/corporate-organic-brands/</w:t>
        </w:r>
      </w:hyperlink>
      <w:hyperlink r:id="rId153">
        <w:r w:rsidR="004B2BBB">
          <w:rPr>
            <w:color w:val="000000"/>
            <w:sz w:val="22"/>
            <w:szCs w:val="22"/>
          </w:rPr>
          <w:t>.</w:t>
        </w:r>
      </w:hyperlink>
    </w:p>
    <w:p w14:paraId="000001D6"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154">
        <w:r w:rsidR="004B2BBB">
          <w:rPr>
            <w:color w:val="000000"/>
            <w:sz w:val="22"/>
            <w:szCs w:val="22"/>
          </w:rPr>
          <w:t xml:space="preserve">Culture in Development. “What Is Cultural Heritage.” Culture in Development. Accessed November 11, 2018. </w:t>
        </w:r>
      </w:hyperlink>
      <w:hyperlink r:id="rId155">
        <w:r w:rsidR="004B2BBB">
          <w:rPr>
            <w:color w:val="000000"/>
            <w:sz w:val="22"/>
            <w:szCs w:val="22"/>
          </w:rPr>
          <w:t>http://www.cultureindevelopment.nl/Cultural_Heritage/What_is_Cultural_Heritage</w:t>
        </w:r>
      </w:hyperlink>
      <w:hyperlink r:id="rId156">
        <w:r w:rsidR="004B2BBB">
          <w:rPr>
            <w:color w:val="000000"/>
            <w:sz w:val="22"/>
            <w:szCs w:val="22"/>
          </w:rPr>
          <w:t>.</w:t>
        </w:r>
      </w:hyperlink>
    </w:p>
    <w:p w14:paraId="000001D7"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157">
        <w:r w:rsidR="004B2BBB">
          <w:rPr>
            <w:color w:val="000000"/>
            <w:sz w:val="22"/>
            <w:szCs w:val="22"/>
          </w:rPr>
          <w:t xml:space="preserve">Dailey, Mark. </w:t>
        </w:r>
      </w:hyperlink>
      <w:hyperlink r:id="rId158">
        <w:r w:rsidR="004B2BBB">
          <w:rPr>
            <w:i/>
            <w:color w:val="000000"/>
            <w:sz w:val="22"/>
            <w:szCs w:val="22"/>
          </w:rPr>
          <w:t>Cultural Models of Forests and Ecological Change on the Appalachian Plateau, 1750-1840</w:t>
        </w:r>
      </w:hyperlink>
      <w:hyperlink r:id="rId159">
        <w:r w:rsidR="004B2BBB">
          <w:rPr>
            <w:color w:val="000000"/>
            <w:sz w:val="22"/>
            <w:szCs w:val="22"/>
          </w:rPr>
          <w:t>, 1999.</w:t>
        </w:r>
      </w:hyperlink>
    </w:p>
    <w:p w14:paraId="000001D8"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160">
        <w:r w:rsidR="004B2BBB">
          <w:rPr>
            <w:color w:val="000000"/>
            <w:sz w:val="22"/>
            <w:szCs w:val="22"/>
          </w:rPr>
          <w:t xml:space="preserve">Dance, Scott. “2018 Was Baltimore’s Wettest Year on Record. Here Are the Final Numbers.” </w:t>
        </w:r>
      </w:hyperlink>
      <w:hyperlink r:id="rId161">
        <w:r w:rsidR="004B2BBB">
          <w:rPr>
            <w:i/>
            <w:color w:val="000000"/>
            <w:sz w:val="22"/>
            <w:szCs w:val="22"/>
          </w:rPr>
          <w:t>Baltimore Sun</w:t>
        </w:r>
      </w:hyperlink>
      <w:hyperlink r:id="rId162">
        <w:r w:rsidR="004B2BBB">
          <w:rPr>
            <w:color w:val="000000"/>
            <w:sz w:val="22"/>
            <w:szCs w:val="22"/>
          </w:rPr>
          <w:t xml:space="preserve">, January 2, 2019. </w:t>
        </w:r>
      </w:hyperlink>
      <w:hyperlink r:id="rId163">
        <w:r w:rsidR="004B2BBB">
          <w:rPr>
            <w:color w:val="000000"/>
            <w:sz w:val="22"/>
            <w:szCs w:val="22"/>
          </w:rPr>
          <w:t>https://www.baltimoresun.com/news/weather/bs-md-rain-record-numbers-20181115-story.html</w:t>
        </w:r>
      </w:hyperlink>
      <w:hyperlink r:id="rId164">
        <w:r w:rsidR="004B2BBB">
          <w:rPr>
            <w:color w:val="000000"/>
            <w:sz w:val="22"/>
            <w:szCs w:val="22"/>
          </w:rPr>
          <w:t>.</w:t>
        </w:r>
      </w:hyperlink>
    </w:p>
    <w:p w14:paraId="000001D9"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165">
        <w:r w:rsidR="004B2BBB">
          <w:rPr>
            <w:color w:val="000000"/>
            <w:sz w:val="22"/>
            <w:szCs w:val="22"/>
          </w:rPr>
          <w:t xml:space="preserve">———. “Maryland Chicken Production Topped $1 Billion for the First Time Last Year.” </w:t>
        </w:r>
      </w:hyperlink>
      <w:hyperlink r:id="rId166">
        <w:r w:rsidR="004B2BBB">
          <w:rPr>
            <w:i/>
            <w:color w:val="000000"/>
            <w:sz w:val="22"/>
            <w:szCs w:val="22"/>
          </w:rPr>
          <w:t>Baltimore Sun</w:t>
        </w:r>
      </w:hyperlink>
      <w:hyperlink r:id="rId167">
        <w:r w:rsidR="004B2BBB">
          <w:rPr>
            <w:color w:val="000000"/>
            <w:sz w:val="22"/>
            <w:szCs w:val="22"/>
          </w:rPr>
          <w:t xml:space="preserve">, May 8, 2018. </w:t>
        </w:r>
      </w:hyperlink>
      <w:hyperlink r:id="rId168">
        <w:r w:rsidR="004B2BBB">
          <w:rPr>
            <w:color w:val="000000"/>
            <w:sz w:val="22"/>
            <w:szCs w:val="22"/>
          </w:rPr>
          <w:t>https://www.baltimoresun.com/business/bs-md-maryland-chicken-production-20180508-story.html</w:t>
        </w:r>
      </w:hyperlink>
      <w:hyperlink r:id="rId169">
        <w:r w:rsidR="004B2BBB">
          <w:rPr>
            <w:color w:val="000000"/>
            <w:sz w:val="22"/>
            <w:szCs w:val="22"/>
          </w:rPr>
          <w:t>.</w:t>
        </w:r>
      </w:hyperlink>
    </w:p>
    <w:p w14:paraId="000001DA"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170">
        <w:r w:rsidR="004B2BBB">
          <w:rPr>
            <w:color w:val="000000"/>
            <w:sz w:val="22"/>
            <w:szCs w:val="22"/>
          </w:rPr>
          <w:t xml:space="preserve">Davenport, Coral. “Trump Rule Would Limit E.P.A.’s Control Over Water Pollution.” </w:t>
        </w:r>
      </w:hyperlink>
      <w:hyperlink r:id="rId171">
        <w:r w:rsidR="004B2BBB">
          <w:rPr>
            <w:i/>
            <w:color w:val="000000"/>
            <w:sz w:val="22"/>
            <w:szCs w:val="22"/>
          </w:rPr>
          <w:t>The New York Times</w:t>
        </w:r>
      </w:hyperlink>
      <w:hyperlink r:id="rId172">
        <w:r w:rsidR="004B2BBB">
          <w:rPr>
            <w:color w:val="000000"/>
            <w:sz w:val="22"/>
            <w:szCs w:val="22"/>
          </w:rPr>
          <w:t xml:space="preserve">, December 7, 2018. </w:t>
        </w:r>
      </w:hyperlink>
      <w:hyperlink r:id="rId173">
        <w:r w:rsidR="004B2BBB">
          <w:rPr>
            <w:color w:val="000000"/>
            <w:sz w:val="22"/>
            <w:szCs w:val="22"/>
          </w:rPr>
          <w:t>https://www.nytimes.com/2018/12/06/climate/trump-water-pollution-wotus-replacement.html</w:t>
        </w:r>
      </w:hyperlink>
      <w:hyperlink r:id="rId174">
        <w:r w:rsidR="004B2BBB">
          <w:rPr>
            <w:color w:val="000000"/>
            <w:sz w:val="22"/>
            <w:szCs w:val="22"/>
          </w:rPr>
          <w:t>.</w:t>
        </w:r>
      </w:hyperlink>
    </w:p>
    <w:p w14:paraId="000001DB"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175">
        <w:r w:rsidR="004B2BBB">
          <w:rPr>
            <w:color w:val="000000"/>
            <w:sz w:val="22"/>
            <w:szCs w:val="22"/>
          </w:rPr>
          <w:t xml:space="preserve">Davies, Kathryn K., Karen T. Fisher, Mark E. Dickson, Simon F. Thrush, and Richard Le Heron. “Improving Ecosystem Service Frameworks to Address Wicked Problems.” </w:t>
        </w:r>
      </w:hyperlink>
      <w:hyperlink r:id="rId176">
        <w:r w:rsidR="004B2BBB">
          <w:rPr>
            <w:i/>
            <w:color w:val="000000"/>
            <w:sz w:val="22"/>
            <w:szCs w:val="22"/>
          </w:rPr>
          <w:t>Ecology and Society</w:t>
        </w:r>
      </w:hyperlink>
      <w:hyperlink r:id="rId177">
        <w:r w:rsidR="004B2BBB">
          <w:rPr>
            <w:color w:val="000000"/>
            <w:sz w:val="22"/>
            <w:szCs w:val="22"/>
          </w:rPr>
          <w:t xml:space="preserve"> 20, no. 2 (2015). </w:t>
        </w:r>
      </w:hyperlink>
      <w:hyperlink r:id="rId178">
        <w:r w:rsidR="004B2BBB">
          <w:rPr>
            <w:color w:val="000000"/>
            <w:sz w:val="22"/>
            <w:szCs w:val="22"/>
          </w:rPr>
          <w:t>http://www.jstor.org/stable/26270210</w:t>
        </w:r>
      </w:hyperlink>
      <w:hyperlink r:id="rId179">
        <w:r w:rsidR="004B2BBB">
          <w:rPr>
            <w:color w:val="000000"/>
            <w:sz w:val="22"/>
            <w:szCs w:val="22"/>
          </w:rPr>
          <w:t>.</w:t>
        </w:r>
      </w:hyperlink>
    </w:p>
    <w:p w14:paraId="000001DC" w14:textId="7473D350"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180">
        <w:proofErr w:type="spellStart"/>
        <w:r w:rsidR="004B2BBB">
          <w:rPr>
            <w:color w:val="000000"/>
            <w:sz w:val="22"/>
            <w:szCs w:val="22"/>
          </w:rPr>
          <w:t>Deel</w:t>
        </w:r>
        <w:proofErr w:type="spellEnd"/>
        <w:r w:rsidR="004B2BBB">
          <w:rPr>
            <w:color w:val="000000"/>
            <w:sz w:val="22"/>
            <w:szCs w:val="22"/>
          </w:rPr>
          <w:t xml:space="preserve">, Lindsay. “Good News for Chesapeake Bay.” </w:t>
        </w:r>
      </w:hyperlink>
      <w:hyperlink r:id="rId181">
        <w:r w:rsidR="004B2BBB">
          <w:rPr>
            <w:i/>
            <w:color w:val="000000"/>
            <w:sz w:val="22"/>
            <w:szCs w:val="22"/>
          </w:rPr>
          <w:t>Frontiers in Ecology and the Environment</w:t>
        </w:r>
      </w:hyperlink>
      <w:hyperlink r:id="rId182">
        <w:r w:rsidR="004B2BBB">
          <w:rPr>
            <w:color w:val="000000"/>
            <w:sz w:val="22"/>
            <w:szCs w:val="22"/>
          </w:rPr>
          <w:t xml:space="preserve"> 11, no. 6 (2013): 284–284.</w:t>
        </w:r>
      </w:hyperlink>
    </w:p>
    <w:p w14:paraId="3B609519" w14:textId="77777777" w:rsidR="00E307C6" w:rsidRDefault="00EB79F9" w:rsidP="00E307C6">
      <w:pPr>
        <w:pStyle w:val="NormalWeb"/>
        <w:spacing w:before="0" w:beforeAutospacing="0" w:after="0" w:afterAutospacing="0"/>
        <w:rPr>
          <w:sz w:val="22"/>
          <w:szCs w:val="22"/>
        </w:rPr>
      </w:pPr>
      <w:r w:rsidRPr="00EB79F9">
        <w:rPr>
          <w:sz w:val="22"/>
          <w:szCs w:val="22"/>
        </w:rPr>
        <w:t>Delaware, University of. “‘Preserved Farmland:’ The New Buzzword in Produce Marketing.” Science</w:t>
      </w:r>
    </w:p>
    <w:p w14:paraId="1A7EA790" w14:textId="2ECAF320" w:rsidR="00EB79F9" w:rsidRPr="00E307C6" w:rsidRDefault="00E307C6" w:rsidP="00E307C6">
      <w:pPr>
        <w:pStyle w:val="NormalWeb"/>
        <w:spacing w:before="0" w:beforeAutospacing="0" w:after="0" w:afterAutospacing="0"/>
      </w:pPr>
      <w:r>
        <w:rPr>
          <w:sz w:val="22"/>
          <w:szCs w:val="22"/>
        </w:rPr>
        <w:t xml:space="preserve">       </w:t>
      </w:r>
      <w:r w:rsidR="00EB79F9" w:rsidRPr="00EB79F9">
        <w:rPr>
          <w:sz w:val="22"/>
          <w:szCs w:val="22"/>
        </w:rPr>
        <w:t xml:space="preserve"> Daily. Accessed May 21, 2017. </w:t>
      </w:r>
      <w:hyperlink r:id="rId183" w:history="1">
        <w:r w:rsidR="00EB79F9" w:rsidRPr="00EB79F9">
          <w:rPr>
            <w:rStyle w:val="Hyperlink"/>
            <w:color w:val="000000"/>
            <w:sz w:val="22"/>
            <w:szCs w:val="22"/>
            <w:u w:val="none"/>
          </w:rPr>
          <w:t>https://www.sciencedaily.com/releases/2016/09/160916143950.htm</w:t>
        </w:r>
      </w:hyperlink>
      <w:hyperlink r:id="rId184" w:history="1">
        <w:r w:rsidR="00EB79F9" w:rsidRPr="00EB79F9">
          <w:rPr>
            <w:rStyle w:val="Hyperlink"/>
            <w:color w:val="000000"/>
            <w:sz w:val="22"/>
            <w:szCs w:val="22"/>
            <w:u w:val="none"/>
          </w:rPr>
          <w:t>.</w:t>
        </w:r>
      </w:hyperlink>
    </w:p>
    <w:p w14:paraId="000001DD"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185">
        <w:r w:rsidR="004B2BBB">
          <w:rPr>
            <w:color w:val="000000"/>
            <w:sz w:val="22"/>
            <w:szCs w:val="22"/>
          </w:rPr>
          <w:t xml:space="preserve">Depew, Brian. “Water: Overcoming a Tragedy of the Commons.” Center for Rural Affairs, October 22, 2013. </w:t>
        </w:r>
      </w:hyperlink>
      <w:hyperlink r:id="rId186">
        <w:r w:rsidR="004B2BBB">
          <w:rPr>
            <w:color w:val="000000"/>
            <w:sz w:val="22"/>
            <w:szCs w:val="22"/>
          </w:rPr>
          <w:t>https://www.cfra.org/news/131022/water-overcoming-tragedy-commons</w:t>
        </w:r>
      </w:hyperlink>
      <w:hyperlink r:id="rId187">
        <w:r w:rsidR="004B2BBB">
          <w:rPr>
            <w:color w:val="000000"/>
            <w:sz w:val="22"/>
            <w:szCs w:val="22"/>
          </w:rPr>
          <w:t>.</w:t>
        </w:r>
      </w:hyperlink>
    </w:p>
    <w:p w14:paraId="000001DE"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188">
        <w:r w:rsidR="004B2BBB">
          <w:rPr>
            <w:color w:val="000000"/>
            <w:sz w:val="22"/>
            <w:szCs w:val="22"/>
          </w:rPr>
          <w:t>Directorate-General for Agriculture and Rural Development. “The Common Agricultural Policy: A Story To Be Continued.” European Union, 2012. https://doi.org/</w:t>
        </w:r>
      </w:hyperlink>
      <w:hyperlink r:id="rId189">
        <w:r w:rsidR="004B2BBB">
          <w:rPr>
            <w:color w:val="000000"/>
            <w:sz w:val="22"/>
            <w:szCs w:val="22"/>
          </w:rPr>
          <w:t>10.2762/35894</w:t>
        </w:r>
      </w:hyperlink>
      <w:hyperlink r:id="rId190">
        <w:r w:rsidR="004B2BBB">
          <w:rPr>
            <w:color w:val="000000"/>
            <w:sz w:val="22"/>
            <w:szCs w:val="22"/>
          </w:rPr>
          <w:t>.</w:t>
        </w:r>
      </w:hyperlink>
    </w:p>
    <w:p w14:paraId="000001DF"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191">
        <w:r w:rsidR="004B2BBB">
          <w:rPr>
            <w:color w:val="000000"/>
            <w:sz w:val="22"/>
            <w:szCs w:val="22"/>
          </w:rPr>
          <w:t xml:space="preserve">Dodge, Harrison Howell. </w:t>
        </w:r>
      </w:hyperlink>
      <w:hyperlink r:id="rId192">
        <w:r w:rsidR="004B2BBB">
          <w:rPr>
            <w:i/>
            <w:color w:val="000000"/>
            <w:sz w:val="22"/>
            <w:szCs w:val="22"/>
          </w:rPr>
          <w:t xml:space="preserve">Mount Vernon: Its Owner </w:t>
        </w:r>
        <w:proofErr w:type="gramStart"/>
        <w:r w:rsidR="004B2BBB">
          <w:rPr>
            <w:i/>
            <w:color w:val="000000"/>
            <w:sz w:val="22"/>
            <w:szCs w:val="22"/>
          </w:rPr>
          <w:t>And</w:t>
        </w:r>
        <w:proofErr w:type="gramEnd"/>
        <w:r w:rsidR="004B2BBB">
          <w:rPr>
            <w:i/>
            <w:color w:val="000000"/>
            <w:sz w:val="22"/>
            <w:szCs w:val="22"/>
          </w:rPr>
          <w:t xml:space="preserve"> Its Story</w:t>
        </w:r>
      </w:hyperlink>
      <w:hyperlink r:id="rId193">
        <w:r w:rsidR="004B2BBB">
          <w:rPr>
            <w:color w:val="000000"/>
            <w:sz w:val="22"/>
            <w:szCs w:val="22"/>
          </w:rPr>
          <w:t>. First Edition. Philadelphia And London: J. B. Lippincott and Company, 1932.</w:t>
        </w:r>
      </w:hyperlink>
    </w:p>
    <w:p w14:paraId="000001E0"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194">
        <w:r w:rsidR="004B2BBB">
          <w:rPr>
            <w:color w:val="000000"/>
            <w:sz w:val="22"/>
            <w:szCs w:val="22"/>
          </w:rPr>
          <w:t xml:space="preserve">D. Raymond Forney, and Donald E. Davis. “Effects of Low Concentrations of Herbicides on Submersed Aquatic Plants.” </w:t>
        </w:r>
      </w:hyperlink>
      <w:hyperlink r:id="rId195">
        <w:r w:rsidR="004B2BBB">
          <w:rPr>
            <w:i/>
            <w:color w:val="000000"/>
            <w:sz w:val="22"/>
            <w:szCs w:val="22"/>
          </w:rPr>
          <w:t>Weed Science</w:t>
        </w:r>
      </w:hyperlink>
      <w:hyperlink r:id="rId196">
        <w:r w:rsidR="004B2BBB">
          <w:rPr>
            <w:color w:val="000000"/>
            <w:sz w:val="22"/>
            <w:szCs w:val="22"/>
          </w:rPr>
          <w:t xml:space="preserve"> 29, no. 6 (1981): 677–85.</w:t>
        </w:r>
      </w:hyperlink>
    </w:p>
    <w:p w14:paraId="000001E1"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197">
        <w:r w:rsidR="004B2BBB">
          <w:rPr>
            <w:color w:val="000000"/>
            <w:sz w:val="22"/>
            <w:szCs w:val="22"/>
          </w:rPr>
          <w:t xml:space="preserve">Eastern Shore Land Conservancy. “Land Preservation.” Eastern Shore Land Conservancy. Accessed February 3, 2019. </w:t>
        </w:r>
      </w:hyperlink>
      <w:hyperlink r:id="rId198">
        <w:r w:rsidR="004B2BBB">
          <w:rPr>
            <w:color w:val="000000"/>
            <w:sz w:val="22"/>
            <w:szCs w:val="22"/>
          </w:rPr>
          <w:t>https://www.eslc.org/land-preservation/</w:t>
        </w:r>
      </w:hyperlink>
      <w:hyperlink r:id="rId199">
        <w:r w:rsidR="004B2BBB">
          <w:rPr>
            <w:color w:val="000000"/>
            <w:sz w:val="22"/>
            <w:szCs w:val="22"/>
          </w:rPr>
          <w:t>.</w:t>
        </w:r>
      </w:hyperlink>
    </w:p>
    <w:p w14:paraId="000001E2"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200">
        <w:r w:rsidR="004B2BBB">
          <w:rPr>
            <w:color w:val="000000"/>
            <w:sz w:val="22"/>
            <w:szCs w:val="22"/>
          </w:rPr>
          <w:t xml:space="preserve">Effland, Anne. “Small Farms, Cash Crops, Agrarian Ideals, and International Development.” </w:t>
        </w:r>
      </w:hyperlink>
      <w:hyperlink r:id="rId201">
        <w:r w:rsidR="004B2BBB">
          <w:rPr>
            <w:i/>
            <w:color w:val="000000"/>
            <w:sz w:val="22"/>
            <w:szCs w:val="22"/>
          </w:rPr>
          <w:t>Agricultural History</w:t>
        </w:r>
      </w:hyperlink>
      <w:hyperlink r:id="rId202">
        <w:r w:rsidR="004B2BBB">
          <w:rPr>
            <w:color w:val="000000"/>
            <w:sz w:val="22"/>
            <w:szCs w:val="22"/>
          </w:rPr>
          <w:t xml:space="preserve"> 84, no. 1 (Winter 2010): 1–19.</w:t>
        </w:r>
      </w:hyperlink>
    </w:p>
    <w:p w14:paraId="000001E3"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203">
        <w:r w:rsidR="004B2BBB">
          <w:rPr>
            <w:color w:val="000000"/>
            <w:sz w:val="22"/>
            <w:szCs w:val="22"/>
          </w:rPr>
          <w:t xml:space="preserve">Endicott, Eve. </w:t>
        </w:r>
      </w:hyperlink>
      <w:hyperlink r:id="rId204">
        <w:r w:rsidR="004B2BBB">
          <w:rPr>
            <w:i/>
            <w:color w:val="000000"/>
            <w:sz w:val="22"/>
            <w:szCs w:val="22"/>
          </w:rPr>
          <w:t>Land Conservation Through Public/Private Partnerships</w:t>
        </w:r>
      </w:hyperlink>
      <w:hyperlink r:id="rId205">
        <w:r w:rsidR="004B2BBB">
          <w:rPr>
            <w:color w:val="000000"/>
            <w:sz w:val="22"/>
            <w:szCs w:val="22"/>
          </w:rPr>
          <w:t>. Island Press, 1993.</w:t>
        </w:r>
      </w:hyperlink>
    </w:p>
    <w:p w14:paraId="000001E4"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206">
        <w:r w:rsidR="004B2BBB">
          <w:rPr>
            <w:color w:val="000000"/>
            <w:sz w:val="22"/>
            <w:szCs w:val="22"/>
          </w:rPr>
          <w:t xml:space="preserve">Ernst, Howard R. </w:t>
        </w:r>
      </w:hyperlink>
      <w:hyperlink r:id="rId207">
        <w:r w:rsidR="004B2BBB">
          <w:rPr>
            <w:i/>
            <w:color w:val="000000"/>
            <w:sz w:val="22"/>
            <w:szCs w:val="22"/>
          </w:rPr>
          <w:t>Fight for the Bay: Why a Dark Green Environmental Awakening Is Needed to Save the Chesapeake Bay</w:t>
        </w:r>
      </w:hyperlink>
      <w:hyperlink r:id="rId208">
        <w:r w:rsidR="004B2BBB">
          <w:rPr>
            <w:color w:val="000000"/>
            <w:sz w:val="22"/>
            <w:szCs w:val="22"/>
          </w:rPr>
          <w:t>. Lanham: Rowman &amp; Littlefield, 2010.</w:t>
        </w:r>
      </w:hyperlink>
    </w:p>
    <w:p w14:paraId="000001E5"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209">
        <w:r w:rsidR="004B2BBB">
          <w:rPr>
            <w:color w:val="000000"/>
            <w:sz w:val="22"/>
            <w:szCs w:val="22"/>
          </w:rPr>
          <w:t xml:space="preserve">ESRI. “Estimated Market Value of Land and Buildings, Average per Farm: 2012.” 5/14/2017: USDA National Agricultural Statistics Service, ESRI, n.d. </w:t>
        </w:r>
      </w:hyperlink>
      <w:hyperlink r:id="rId210">
        <w:r w:rsidR="004B2BBB">
          <w:rPr>
            <w:color w:val="000000"/>
            <w:sz w:val="22"/>
            <w:szCs w:val="22"/>
          </w:rPr>
          <w:t>https://gis.ers.usda.gov/arcgis/rest/directories/arcgisoutput/Printer/ExportWebMapNASS_GPServer/_ags_db7e80dd5dd545b6b7b4f300b5c22a8a.png?ts=1495908132869</w:t>
        </w:r>
      </w:hyperlink>
      <w:hyperlink r:id="rId211">
        <w:r w:rsidR="004B2BBB">
          <w:rPr>
            <w:color w:val="000000"/>
            <w:sz w:val="22"/>
            <w:szCs w:val="22"/>
          </w:rPr>
          <w:t>.</w:t>
        </w:r>
      </w:hyperlink>
    </w:p>
    <w:p w14:paraId="000001E6"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212">
        <w:r w:rsidR="004B2BBB">
          <w:rPr>
            <w:color w:val="000000"/>
            <w:sz w:val="22"/>
            <w:szCs w:val="22"/>
          </w:rPr>
          <w:t xml:space="preserve">European Commission. “Agriculture and the Environment: Introduction - Agriculture and Rural Development.” Agriculture and rural development, March 2, 2012. </w:t>
        </w:r>
      </w:hyperlink>
      <w:hyperlink r:id="rId213">
        <w:r w:rsidR="004B2BBB">
          <w:rPr>
            <w:color w:val="000000"/>
            <w:sz w:val="22"/>
            <w:szCs w:val="22"/>
          </w:rPr>
          <w:t>https://ec.europa.eu/agriculture/envir_en</w:t>
        </w:r>
      </w:hyperlink>
      <w:hyperlink r:id="rId214">
        <w:r w:rsidR="004B2BBB">
          <w:rPr>
            <w:color w:val="000000"/>
            <w:sz w:val="22"/>
            <w:szCs w:val="22"/>
          </w:rPr>
          <w:t>.</w:t>
        </w:r>
      </w:hyperlink>
    </w:p>
    <w:p w14:paraId="000001E7"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215">
        <w:r w:rsidR="004B2BBB">
          <w:rPr>
            <w:color w:val="000000"/>
            <w:sz w:val="22"/>
            <w:szCs w:val="22"/>
          </w:rPr>
          <w:t xml:space="preserve">———. “The Common Agricultural Policy at a Glance.” European Commission - European Commission, May 29, 2018. </w:t>
        </w:r>
      </w:hyperlink>
      <w:hyperlink r:id="rId216">
        <w:r w:rsidR="004B2BBB">
          <w:rPr>
            <w:color w:val="000000"/>
            <w:sz w:val="22"/>
            <w:szCs w:val="22"/>
          </w:rPr>
          <w:t>https://ec.europa.eu/info/food-farming-fisheries/key-policies/common-agricultural-policy/cap-glance_en</w:t>
        </w:r>
      </w:hyperlink>
      <w:hyperlink r:id="rId217">
        <w:r w:rsidR="004B2BBB">
          <w:rPr>
            <w:color w:val="000000"/>
            <w:sz w:val="22"/>
            <w:szCs w:val="22"/>
          </w:rPr>
          <w:t>.</w:t>
        </w:r>
      </w:hyperlink>
    </w:p>
    <w:p w14:paraId="000001E8"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218">
        <w:r w:rsidR="004B2BBB">
          <w:rPr>
            <w:color w:val="000000"/>
            <w:sz w:val="22"/>
            <w:szCs w:val="22"/>
          </w:rPr>
          <w:t xml:space="preserve">Farley, Robert. “Trump’s Estate Tax Spin.” FactCheck.org, December 22, 2017. </w:t>
        </w:r>
      </w:hyperlink>
      <w:hyperlink r:id="rId219">
        <w:r w:rsidR="004B2BBB">
          <w:rPr>
            <w:color w:val="000000"/>
            <w:sz w:val="22"/>
            <w:szCs w:val="22"/>
          </w:rPr>
          <w:t>https://www.factcheck.org/2017/12/trumps-estate-tax-spin/</w:t>
        </w:r>
      </w:hyperlink>
      <w:hyperlink r:id="rId220">
        <w:r w:rsidR="004B2BBB">
          <w:rPr>
            <w:color w:val="000000"/>
            <w:sz w:val="22"/>
            <w:szCs w:val="22"/>
          </w:rPr>
          <w:t>.</w:t>
        </w:r>
      </w:hyperlink>
    </w:p>
    <w:p w14:paraId="000001E9"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221">
        <w:r w:rsidR="004B2BBB">
          <w:rPr>
            <w:color w:val="000000"/>
            <w:sz w:val="22"/>
            <w:szCs w:val="22"/>
          </w:rPr>
          <w:t xml:space="preserve">Farmland Information Center. “Why Save Farmland?” American Farmland Trust, January 2003. </w:t>
        </w:r>
      </w:hyperlink>
      <w:hyperlink r:id="rId222">
        <w:r w:rsidR="004B2BBB">
          <w:rPr>
            <w:color w:val="000000"/>
            <w:sz w:val="22"/>
            <w:szCs w:val="22"/>
          </w:rPr>
          <w:t>https://www.farmlandinfo.org/sites/default/files/Why_Save_Farmland_1-03_1.pdf</w:t>
        </w:r>
      </w:hyperlink>
      <w:hyperlink r:id="rId223">
        <w:r w:rsidR="004B2BBB">
          <w:rPr>
            <w:color w:val="000000"/>
            <w:sz w:val="22"/>
            <w:szCs w:val="22"/>
          </w:rPr>
          <w:t>.</w:t>
        </w:r>
      </w:hyperlink>
    </w:p>
    <w:p w14:paraId="000001EA"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224">
        <w:r w:rsidR="004B2BBB">
          <w:rPr>
            <w:color w:val="000000"/>
            <w:sz w:val="22"/>
            <w:szCs w:val="22"/>
          </w:rPr>
          <w:t xml:space="preserve">“Farmland Preservation.” Pennsylvania Department of Agriculture. Accessed February 3, 2019. </w:t>
        </w:r>
      </w:hyperlink>
      <w:hyperlink r:id="rId225">
        <w:r w:rsidR="004B2BBB">
          <w:rPr>
            <w:color w:val="000000"/>
            <w:sz w:val="22"/>
            <w:szCs w:val="22"/>
          </w:rPr>
          <w:t>https://www.agriculture.pa.gov/Plants_Land_Water/farmland/Pages/default.aspx</w:t>
        </w:r>
      </w:hyperlink>
      <w:hyperlink r:id="rId226">
        <w:r w:rsidR="004B2BBB">
          <w:rPr>
            <w:color w:val="000000"/>
            <w:sz w:val="22"/>
            <w:szCs w:val="22"/>
          </w:rPr>
          <w:t>.</w:t>
        </w:r>
      </w:hyperlink>
    </w:p>
    <w:p w14:paraId="000001EB"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227">
        <w:r w:rsidR="004B2BBB">
          <w:rPr>
            <w:color w:val="000000"/>
            <w:sz w:val="22"/>
            <w:szCs w:val="22"/>
          </w:rPr>
          <w:t xml:space="preserve">Farm Service Agency. “Conservation Reserve Enhancement Program - Maryland Chesapeake Bay Fact Sheet.” USDA, April 2018. </w:t>
        </w:r>
      </w:hyperlink>
      <w:hyperlink r:id="rId228">
        <w:r w:rsidR="004B2BBB">
          <w:rPr>
            <w:color w:val="000000"/>
            <w:sz w:val="22"/>
            <w:szCs w:val="22"/>
          </w:rPr>
          <w:t>https://www.fsa.usda.gov/Assets/USDA-FSA-Public/usdafiles/FactSheets/2018/crep_maryland_factsheet_apr2018.pdf</w:t>
        </w:r>
      </w:hyperlink>
      <w:hyperlink r:id="rId229">
        <w:r w:rsidR="004B2BBB">
          <w:rPr>
            <w:color w:val="000000"/>
            <w:sz w:val="22"/>
            <w:szCs w:val="22"/>
          </w:rPr>
          <w:t>.</w:t>
        </w:r>
      </w:hyperlink>
    </w:p>
    <w:p w14:paraId="000001EC"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230">
        <w:r w:rsidR="004B2BBB">
          <w:rPr>
            <w:color w:val="000000"/>
            <w:sz w:val="22"/>
            <w:szCs w:val="22"/>
          </w:rPr>
          <w:t xml:space="preserve">———. “Conservation Reserve Enhancement Program - Pennsylvania Chesapeake Bay Watershed Fact Sheet.” USDA, September 2016. </w:t>
        </w:r>
      </w:hyperlink>
      <w:hyperlink r:id="rId231">
        <w:r w:rsidR="004B2BBB">
          <w:rPr>
            <w:color w:val="000000"/>
            <w:sz w:val="22"/>
            <w:szCs w:val="22"/>
          </w:rPr>
          <w:t>https://www.fsa.usda.gov/Assets/USDA-FSA-Public/usdafiles/FactSheets/2016/crep_pennsylvania_chesapeake_bay_watershed.pdf</w:t>
        </w:r>
      </w:hyperlink>
      <w:hyperlink r:id="rId232">
        <w:r w:rsidR="004B2BBB">
          <w:rPr>
            <w:color w:val="000000"/>
            <w:sz w:val="22"/>
            <w:szCs w:val="22"/>
          </w:rPr>
          <w:t>.</w:t>
        </w:r>
      </w:hyperlink>
    </w:p>
    <w:p w14:paraId="000001ED"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233">
        <w:r w:rsidR="004B2BBB">
          <w:rPr>
            <w:color w:val="000000"/>
            <w:sz w:val="22"/>
            <w:szCs w:val="22"/>
          </w:rPr>
          <w:t xml:space="preserve">———. “Conservation Reserve Enhancement Program - Virginia Chesapeake Bay Fact Sheet,” August 2017. </w:t>
        </w:r>
      </w:hyperlink>
      <w:hyperlink r:id="rId234">
        <w:r w:rsidR="004B2BBB">
          <w:rPr>
            <w:color w:val="000000"/>
            <w:sz w:val="22"/>
            <w:szCs w:val="22"/>
          </w:rPr>
          <w:t>https://www.fsa.usda.gov/Assets/USDA-FSA-Public/usdafiles/FactSheets/2017/crep_virginia_chesapeake_bay_aug2017.pdf</w:t>
        </w:r>
      </w:hyperlink>
      <w:hyperlink r:id="rId235">
        <w:r w:rsidR="004B2BBB">
          <w:rPr>
            <w:color w:val="000000"/>
            <w:sz w:val="22"/>
            <w:szCs w:val="22"/>
          </w:rPr>
          <w:t>.</w:t>
        </w:r>
      </w:hyperlink>
    </w:p>
    <w:p w14:paraId="000001EE"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236">
        <w:r w:rsidR="004B2BBB">
          <w:rPr>
            <w:color w:val="000000"/>
            <w:sz w:val="22"/>
            <w:szCs w:val="22"/>
          </w:rPr>
          <w:t xml:space="preserve">“Fencing Out Streams Win-Win for Livestock, Conservation.” Gallagher. Accessed March 30, 2019. </w:t>
        </w:r>
      </w:hyperlink>
      <w:hyperlink r:id="rId237">
        <w:r w:rsidR="004B2BBB">
          <w:rPr>
            <w:color w:val="000000"/>
            <w:sz w:val="22"/>
            <w:szCs w:val="22"/>
          </w:rPr>
          <w:t>https://am.gallagher.com/us/in-practice/fencing-out-streams-win-win-for-livestock-conservation</w:t>
        </w:r>
      </w:hyperlink>
      <w:hyperlink r:id="rId238">
        <w:r w:rsidR="004B2BBB">
          <w:rPr>
            <w:color w:val="000000"/>
            <w:sz w:val="22"/>
            <w:szCs w:val="22"/>
          </w:rPr>
          <w:t>.</w:t>
        </w:r>
      </w:hyperlink>
    </w:p>
    <w:p w14:paraId="000001EF"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239">
        <w:r w:rsidR="004B2BBB">
          <w:rPr>
            <w:color w:val="000000"/>
            <w:sz w:val="22"/>
            <w:szCs w:val="22"/>
          </w:rPr>
          <w:t xml:space="preserve">Fish, Robert, Michael Winter, and Matt </w:t>
        </w:r>
        <w:proofErr w:type="spellStart"/>
        <w:r w:rsidR="004B2BBB">
          <w:rPr>
            <w:color w:val="000000"/>
            <w:sz w:val="22"/>
            <w:szCs w:val="22"/>
          </w:rPr>
          <w:t>Lobley</w:t>
        </w:r>
        <w:proofErr w:type="spellEnd"/>
        <w:r w:rsidR="004B2BBB">
          <w:rPr>
            <w:color w:val="000000"/>
            <w:sz w:val="22"/>
            <w:szCs w:val="22"/>
          </w:rPr>
          <w:t xml:space="preserve">. “Sustainable Intensification and Ecosystem Services: New Directions in Agricultural Governance.” </w:t>
        </w:r>
      </w:hyperlink>
      <w:hyperlink r:id="rId240">
        <w:r w:rsidR="004B2BBB">
          <w:rPr>
            <w:i/>
            <w:color w:val="000000"/>
            <w:sz w:val="22"/>
            <w:szCs w:val="22"/>
          </w:rPr>
          <w:t>Policy Sciences</w:t>
        </w:r>
      </w:hyperlink>
      <w:hyperlink r:id="rId241">
        <w:r w:rsidR="004B2BBB">
          <w:rPr>
            <w:color w:val="000000"/>
            <w:sz w:val="22"/>
            <w:szCs w:val="22"/>
          </w:rPr>
          <w:t xml:space="preserve"> 47, no. 1 (2014): 51–67.</w:t>
        </w:r>
      </w:hyperlink>
    </w:p>
    <w:p w14:paraId="000001F0"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242">
        <w:r w:rsidR="004B2BBB">
          <w:rPr>
            <w:color w:val="000000"/>
            <w:sz w:val="22"/>
            <w:szCs w:val="22"/>
          </w:rPr>
          <w:t xml:space="preserve">Fleishman, Glenn. “Farmers Are Racing to Drain Their Massive Hog Manure Ponds, Before Hurricane Florence Washes Them Away.” </w:t>
        </w:r>
      </w:hyperlink>
      <w:hyperlink r:id="rId243">
        <w:r w:rsidR="004B2BBB">
          <w:rPr>
            <w:i/>
            <w:color w:val="000000"/>
            <w:sz w:val="22"/>
            <w:szCs w:val="22"/>
          </w:rPr>
          <w:t>Fortune</w:t>
        </w:r>
      </w:hyperlink>
      <w:hyperlink r:id="rId244">
        <w:r w:rsidR="004B2BBB">
          <w:rPr>
            <w:color w:val="000000"/>
            <w:sz w:val="22"/>
            <w:szCs w:val="22"/>
          </w:rPr>
          <w:t xml:space="preserve">. Accessed October 17, 2018. </w:t>
        </w:r>
      </w:hyperlink>
      <w:hyperlink r:id="rId245">
        <w:r w:rsidR="004B2BBB">
          <w:rPr>
            <w:color w:val="000000"/>
            <w:sz w:val="22"/>
            <w:szCs w:val="22"/>
          </w:rPr>
          <w:t>http://fortune.com/2018/09/12/hurricane-florence-hog-manure-ponds-lagoons-overflow/</w:t>
        </w:r>
      </w:hyperlink>
      <w:hyperlink r:id="rId246">
        <w:r w:rsidR="004B2BBB">
          <w:rPr>
            <w:color w:val="000000"/>
            <w:sz w:val="22"/>
            <w:szCs w:val="22"/>
          </w:rPr>
          <w:t>.</w:t>
        </w:r>
      </w:hyperlink>
    </w:p>
    <w:p w14:paraId="000001F1"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247">
        <w:r w:rsidR="004B2BBB">
          <w:rPr>
            <w:color w:val="000000"/>
            <w:sz w:val="22"/>
            <w:szCs w:val="22"/>
          </w:rPr>
          <w:t xml:space="preserve">Forest History Society. “Gifford Pinchot (1865-1946).” Forest History Society. Accessed October 14, 2018. </w:t>
        </w:r>
      </w:hyperlink>
      <w:hyperlink r:id="rId248">
        <w:r w:rsidR="004B2BBB">
          <w:rPr>
            <w:color w:val="000000"/>
            <w:sz w:val="22"/>
            <w:szCs w:val="22"/>
          </w:rPr>
          <w:t>https://foresthistory.org/research-explore/us-forest-service-history/people/chiefs/gifford-pinchot-1865-1946/</w:t>
        </w:r>
      </w:hyperlink>
      <w:hyperlink r:id="rId249">
        <w:r w:rsidR="004B2BBB">
          <w:rPr>
            <w:color w:val="000000"/>
            <w:sz w:val="22"/>
            <w:szCs w:val="22"/>
          </w:rPr>
          <w:t>.</w:t>
        </w:r>
      </w:hyperlink>
    </w:p>
    <w:p w14:paraId="000001F2"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250">
        <w:r w:rsidR="004B2BBB">
          <w:rPr>
            <w:color w:val="000000"/>
            <w:sz w:val="22"/>
            <w:szCs w:val="22"/>
          </w:rPr>
          <w:t xml:space="preserve">Freeman, Olivia E., Lalisa A. Duguma, and Peter A. Minang. “Operationalizing the Integrated Landscape </w:t>
        </w:r>
        <w:r w:rsidR="004B2BBB">
          <w:rPr>
            <w:color w:val="000000"/>
            <w:sz w:val="22"/>
            <w:szCs w:val="22"/>
          </w:rPr>
          <w:lastRenderedPageBreak/>
          <w:t xml:space="preserve">Approach in Practice.” </w:t>
        </w:r>
      </w:hyperlink>
      <w:hyperlink r:id="rId251">
        <w:r w:rsidR="004B2BBB">
          <w:rPr>
            <w:i/>
            <w:color w:val="000000"/>
            <w:sz w:val="22"/>
            <w:szCs w:val="22"/>
          </w:rPr>
          <w:t>Ecology and Society</w:t>
        </w:r>
      </w:hyperlink>
      <w:hyperlink r:id="rId252">
        <w:r w:rsidR="004B2BBB">
          <w:rPr>
            <w:color w:val="000000"/>
            <w:sz w:val="22"/>
            <w:szCs w:val="22"/>
          </w:rPr>
          <w:t xml:space="preserve"> 20, no. 1 (2015). </w:t>
        </w:r>
      </w:hyperlink>
      <w:hyperlink r:id="rId253">
        <w:r w:rsidR="004B2BBB">
          <w:rPr>
            <w:color w:val="000000"/>
            <w:sz w:val="22"/>
            <w:szCs w:val="22"/>
          </w:rPr>
          <w:t>http://www.jstor.org/stable/26269763</w:t>
        </w:r>
      </w:hyperlink>
      <w:hyperlink r:id="rId254">
        <w:r w:rsidR="004B2BBB">
          <w:rPr>
            <w:color w:val="000000"/>
            <w:sz w:val="22"/>
            <w:szCs w:val="22"/>
          </w:rPr>
          <w:t>.</w:t>
        </w:r>
      </w:hyperlink>
    </w:p>
    <w:p w14:paraId="000001F3"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255">
        <w:r w:rsidR="004B2BBB">
          <w:rPr>
            <w:color w:val="000000"/>
            <w:sz w:val="22"/>
            <w:szCs w:val="22"/>
          </w:rPr>
          <w:t xml:space="preserve">Gale, Robert, and Stephan </w:t>
        </w:r>
        <w:proofErr w:type="spellStart"/>
        <w:r w:rsidR="004B2BBB">
          <w:rPr>
            <w:color w:val="000000"/>
            <w:sz w:val="22"/>
            <w:szCs w:val="22"/>
          </w:rPr>
          <w:t>Barg</w:t>
        </w:r>
        <w:proofErr w:type="spellEnd"/>
        <w:r w:rsidR="004B2BBB">
          <w:rPr>
            <w:color w:val="000000"/>
            <w:sz w:val="22"/>
            <w:szCs w:val="22"/>
          </w:rPr>
          <w:t xml:space="preserve">. </w:t>
        </w:r>
      </w:hyperlink>
      <w:hyperlink r:id="rId256">
        <w:r w:rsidR="004B2BBB">
          <w:rPr>
            <w:i/>
            <w:color w:val="000000"/>
            <w:sz w:val="22"/>
            <w:szCs w:val="22"/>
          </w:rPr>
          <w:t>Green Budget Reform: An International Casebook of Leading Practices</w:t>
        </w:r>
      </w:hyperlink>
      <w:hyperlink r:id="rId257">
        <w:r w:rsidR="004B2BBB">
          <w:rPr>
            <w:color w:val="000000"/>
            <w:sz w:val="22"/>
            <w:szCs w:val="22"/>
          </w:rPr>
          <w:t>. Routledge, 2014.</w:t>
        </w:r>
      </w:hyperlink>
    </w:p>
    <w:p w14:paraId="000001F4"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258">
        <w:r w:rsidR="004B2BBB">
          <w:rPr>
            <w:color w:val="000000"/>
            <w:sz w:val="22"/>
            <w:szCs w:val="22"/>
          </w:rPr>
          <w:t xml:space="preserve">George D. </w:t>
        </w:r>
        <w:proofErr w:type="spellStart"/>
        <w:r w:rsidR="004B2BBB">
          <w:rPr>
            <w:color w:val="000000"/>
            <w:sz w:val="22"/>
            <w:szCs w:val="22"/>
          </w:rPr>
          <w:t>Santopietro</w:t>
        </w:r>
        <w:proofErr w:type="spellEnd"/>
        <w:r w:rsidR="004B2BBB">
          <w:rPr>
            <w:color w:val="000000"/>
            <w:sz w:val="22"/>
            <w:szCs w:val="22"/>
          </w:rPr>
          <w:t xml:space="preserve">, and Leonard A. </w:t>
        </w:r>
        <w:proofErr w:type="spellStart"/>
        <w:r w:rsidR="004B2BBB">
          <w:rPr>
            <w:color w:val="000000"/>
            <w:sz w:val="22"/>
            <w:szCs w:val="22"/>
          </w:rPr>
          <w:t>Shabman</w:t>
        </w:r>
        <w:proofErr w:type="spellEnd"/>
        <w:r w:rsidR="004B2BBB">
          <w:rPr>
            <w:color w:val="000000"/>
            <w:sz w:val="22"/>
            <w:szCs w:val="22"/>
          </w:rPr>
          <w:t xml:space="preserve">. “Can Privatization Be </w:t>
        </w:r>
        <w:proofErr w:type="gramStart"/>
        <w:r w:rsidR="004B2BBB">
          <w:rPr>
            <w:color w:val="000000"/>
            <w:sz w:val="22"/>
            <w:szCs w:val="22"/>
          </w:rPr>
          <w:t>Inefficient?:</w:t>
        </w:r>
        <w:proofErr w:type="gramEnd"/>
        <w:r w:rsidR="004B2BBB">
          <w:rPr>
            <w:color w:val="000000"/>
            <w:sz w:val="22"/>
            <w:szCs w:val="22"/>
          </w:rPr>
          <w:t xml:space="preserve"> The Case of the Chesapeake Bay Oyster Fishery.” </w:t>
        </w:r>
      </w:hyperlink>
      <w:hyperlink r:id="rId259">
        <w:r w:rsidR="004B2BBB">
          <w:rPr>
            <w:i/>
            <w:color w:val="000000"/>
            <w:sz w:val="22"/>
            <w:szCs w:val="22"/>
          </w:rPr>
          <w:t>Journal of Economic Issues</w:t>
        </w:r>
      </w:hyperlink>
      <w:hyperlink r:id="rId260">
        <w:r w:rsidR="004B2BBB">
          <w:rPr>
            <w:color w:val="000000"/>
            <w:sz w:val="22"/>
            <w:szCs w:val="22"/>
          </w:rPr>
          <w:t xml:space="preserve"> 26, no. 2 (1992): 407–19.</w:t>
        </w:r>
      </w:hyperlink>
    </w:p>
    <w:p w14:paraId="000001F5"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261">
        <w:proofErr w:type="spellStart"/>
        <w:r w:rsidR="004B2BBB">
          <w:rPr>
            <w:color w:val="000000"/>
            <w:sz w:val="22"/>
            <w:szCs w:val="22"/>
          </w:rPr>
          <w:t>Gersmehl</w:t>
        </w:r>
        <w:proofErr w:type="spellEnd"/>
        <w:r w:rsidR="004B2BBB">
          <w:rPr>
            <w:color w:val="000000"/>
            <w:sz w:val="22"/>
            <w:szCs w:val="22"/>
          </w:rPr>
          <w:t xml:space="preserve">, Philip J. “No-Till Farming: The Regional Applicability of a Revolutionary Agricultural Technology.” </w:t>
        </w:r>
      </w:hyperlink>
      <w:hyperlink r:id="rId262">
        <w:r w:rsidR="004B2BBB">
          <w:rPr>
            <w:i/>
            <w:color w:val="000000"/>
            <w:sz w:val="22"/>
            <w:szCs w:val="22"/>
          </w:rPr>
          <w:t>Geographical Review</w:t>
        </w:r>
      </w:hyperlink>
      <w:hyperlink r:id="rId263">
        <w:r w:rsidR="004B2BBB">
          <w:rPr>
            <w:color w:val="000000"/>
            <w:sz w:val="22"/>
            <w:szCs w:val="22"/>
          </w:rPr>
          <w:t xml:space="preserve"> 68, no. 1 (1978): 66–79.</w:t>
        </w:r>
      </w:hyperlink>
    </w:p>
    <w:p w14:paraId="000001F6"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264">
        <w:r w:rsidR="004B2BBB">
          <w:rPr>
            <w:color w:val="000000"/>
            <w:sz w:val="22"/>
            <w:szCs w:val="22"/>
          </w:rPr>
          <w:t xml:space="preserve">Gilan-Fiorlini, Jackson. “Too Historic to Fail: The Strand Bookstore and the Business of Preserving Businesses.” History Preserves, January 14, 2019. </w:t>
        </w:r>
      </w:hyperlink>
      <w:hyperlink r:id="rId265">
        <w:r w:rsidR="004B2BBB">
          <w:rPr>
            <w:color w:val="000000"/>
            <w:sz w:val="22"/>
            <w:szCs w:val="22"/>
          </w:rPr>
          <w:t>https://historypreserves.com/post/182007625014/too-historic-to-fail-the-strand-bookstore-and-the</w:t>
        </w:r>
      </w:hyperlink>
      <w:hyperlink r:id="rId266">
        <w:r w:rsidR="004B2BBB">
          <w:rPr>
            <w:color w:val="000000"/>
            <w:sz w:val="22"/>
            <w:szCs w:val="22"/>
          </w:rPr>
          <w:t>.</w:t>
        </w:r>
      </w:hyperlink>
    </w:p>
    <w:p w14:paraId="000001F7"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267">
        <w:r w:rsidR="004B2BBB">
          <w:rPr>
            <w:color w:val="000000"/>
            <w:sz w:val="22"/>
            <w:szCs w:val="22"/>
          </w:rPr>
          <w:t xml:space="preserve">GRACE Communications Foundation. “Local &amp; Regional Food Systems.” FoodPrint. Accessed October 14, 2018. </w:t>
        </w:r>
      </w:hyperlink>
      <w:hyperlink r:id="rId268">
        <w:r w:rsidR="004B2BBB">
          <w:rPr>
            <w:color w:val="000000"/>
            <w:sz w:val="22"/>
            <w:szCs w:val="22"/>
          </w:rPr>
          <w:t>http://www.sustainabletable.org/254/local-regional-food-systems</w:t>
        </w:r>
      </w:hyperlink>
      <w:hyperlink r:id="rId269">
        <w:r w:rsidR="004B2BBB">
          <w:rPr>
            <w:color w:val="000000"/>
            <w:sz w:val="22"/>
            <w:szCs w:val="22"/>
          </w:rPr>
          <w:t>.</w:t>
        </w:r>
      </w:hyperlink>
    </w:p>
    <w:p w14:paraId="000001F8"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270">
        <w:r w:rsidR="004B2BBB">
          <w:rPr>
            <w:color w:val="000000"/>
            <w:sz w:val="22"/>
            <w:szCs w:val="22"/>
          </w:rPr>
          <w:t xml:space="preserve">“Green New Deal – Full Language.” www.gp.org. Accessed April 6, 2019. </w:t>
        </w:r>
      </w:hyperlink>
      <w:hyperlink r:id="rId271">
        <w:r w:rsidR="004B2BBB">
          <w:rPr>
            <w:color w:val="000000"/>
            <w:sz w:val="22"/>
            <w:szCs w:val="22"/>
          </w:rPr>
          <w:t>https://www.gp.org/gnd_full</w:t>
        </w:r>
      </w:hyperlink>
      <w:hyperlink r:id="rId272">
        <w:r w:rsidR="004B2BBB">
          <w:rPr>
            <w:color w:val="000000"/>
            <w:sz w:val="22"/>
            <w:szCs w:val="22"/>
          </w:rPr>
          <w:t>.</w:t>
        </w:r>
      </w:hyperlink>
    </w:p>
    <w:p w14:paraId="000001F9"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273">
        <w:r w:rsidR="004B2BBB">
          <w:rPr>
            <w:color w:val="000000"/>
            <w:sz w:val="22"/>
            <w:szCs w:val="22"/>
          </w:rPr>
          <w:t xml:space="preserve">Gustin, George. “Giant Chicken Houses Overrun Delmarva, and Neighbors Fear It’s Making Them Sick.” InsideClimate News, April 23, 2018. </w:t>
        </w:r>
      </w:hyperlink>
      <w:hyperlink r:id="rId274">
        <w:r w:rsidR="004B2BBB">
          <w:rPr>
            <w:color w:val="000000"/>
            <w:sz w:val="22"/>
            <w:szCs w:val="22"/>
          </w:rPr>
          <w:t>https://insideclimatenews.org/news/23042018/poultry-industry-epa-asthma-respiratory-illness-chicken-houses-delmarva-legislature-health-study-delaware-maryland-virginia</w:t>
        </w:r>
      </w:hyperlink>
      <w:hyperlink r:id="rId275">
        <w:r w:rsidR="004B2BBB">
          <w:rPr>
            <w:color w:val="000000"/>
            <w:sz w:val="22"/>
            <w:szCs w:val="22"/>
          </w:rPr>
          <w:t>.</w:t>
        </w:r>
      </w:hyperlink>
    </w:p>
    <w:p w14:paraId="000001FA"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276">
        <w:proofErr w:type="spellStart"/>
        <w:r w:rsidR="004B2BBB">
          <w:rPr>
            <w:color w:val="000000"/>
            <w:sz w:val="22"/>
            <w:szCs w:val="22"/>
          </w:rPr>
          <w:t>Guthey</w:t>
        </w:r>
        <w:proofErr w:type="spellEnd"/>
        <w:r w:rsidR="004B2BBB">
          <w:rPr>
            <w:color w:val="000000"/>
            <w:sz w:val="22"/>
            <w:szCs w:val="22"/>
          </w:rPr>
          <w:t xml:space="preserve">, Greig Tor, Lauren </w:t>
        </w:r>
        <w:proofErr w:type="spellStart"/>
        <w:r w:rsidR="004B2BBB">
          <w:rPr>
            <w:color w:val="000000"/>
            <w:sz w:val="22"/>
            <w:szCs w:val="22"/>
          </w:rPr>
          <w:t>Gwin</w:t>
        </w:r>
        <w:proofErr w:type="spellEnd"/>
        <w:r w:rsidR="004B2BBB">
          <w:rPr>
            <w:color w:val="000000"/>
            <w:sz w:val="22"/>
            <w:szCs w:val="22"/>
          </w:rPr>
          <w:t xml:space="preserve">, and Sally Fairfax. “Creative Preservation in California’s Dairy Industry.” </w:t>
        </w:r>
      </w:hyperlink>
      <w:hyperlink r:id="rId277">
        <w:r w:rsidR="004B2BBB">
          <w:rPr>
            <w:i/>
            <w:color w:val="000000"/>
            <w:sz w:val="22"/>
            <w:szCs w:val="22"/>
          </w:rPr>
          <w:t>Geographical Review</w:t>
        </w:r>
      </w:hyperlink>
      <w:hyperlink r:id="rId278">
        <w:r w:rsidR="004B2BBB">
          <w:rPr>
            <w:color w:val="000000"/>
            <w:sz w:val="22"/>
            <w:szCs w:val="22"/>
          </w:rPr>
          <w:t xml:space="preserve"> 93, no. 2 (2003): 171–92.</w:t>
        </w:r>
      </w:hyperlink>
    </w:p>
    <w:p w14:paraId="000001FB"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279">
        <w:r w:rsidR="004B2BBB">
          <w:rPr>
            <w:color w:val="000000"/>
            <w:sz w:val="22"/>
            <w:szCs w:val="22"/>
          </w:rPr>
          <w:t xml:space="preserve">Hardin, Garrett. “Extensions of ‘The Tragedy of the Commons.’” </w:t>
        </w:r>
      </w:hyperlink>
      <w:hyperlink r:id="rId280">
        <w:r w:rsidR="004B2BBB">
          <w:rPr>
            <w:i/>
            <w:color w:val="000000"/>
            <w:sz w:val="22"/>
            <w:szCs w:val="22"/>
          </w:rPr>
          <w:t>Science</w:t>
        </w:r>
      </w:hyperlink>
      <w:hyperlink r:id="rId281">
        <w:r w:rsidR="004B2BBB">
          <w:rPr>
            <w:color w:val="000000"/>
            <w:sz w:val="22"/>
            <w:szCs w:val="22"/>
          </w:rPr>
          <w:t xml:space="preserve"> 280, no. 5364 (1998): 682–83.</w:t>
        </w:r>
      </w:hyperlink>
    </w:p>
    <w:p w14:paraId="000001FC"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282">
        <w:r w:rsidR="004B2BBB">
          <w:rPr>
            <w:color w:val="000000"/>
            <w:sz w:val="22"/>
            <w:szCs w:val="22"/>
          </w:rPr>
          <w:t xml:space="preserve">Harding, L. W., R. A. </w:t>
        </w:r>
        <w:proofErr w:type="spellStart"/>
        <w:r w:rsidR="004B2BBB">
          <w:rPr>
            <w:color w:val="000000"/>
            <w:sz w:val="22"/>
            <w:szCs w:val="22"/>
          </w:rPr>
          <w:t>Batiuk</w:t>
        </w:r>
        <w:proofErr w:type="spellEnd"/>
        <w:r w:rsidR="004B2BBB">
          <w:rPr>
            <w:color w:val="000000"/>
            <w:sz w:val="22"/>
            <w:szCs w:val="22"/>
          </w:rPr>
          <w:t xml:space="preserve">, T. R. Fisher, C. L. Gallegos, T. C. Malone, W. D. Miller, M. R. Mulholland, H. W. </w:t>
        </w:r>
        <w:proofErr w:type="spellStart"/>
        <w:r w:rsidR="004B2BBB">
          <w:rPr>
            <w:color w:val="000000"/>
            <w:sz w:val="22"/>
            <w:szCs w:val="22"/>
          </w:rPr>
          <w:t>Paerl</w:t>
        </w:r>
        <w:proofErr w:type="spellEnd"/>
        <w:r w:rsidR="004B2BBB">
          <w:rPr>
            <w:color w:val="000000"/>
            <w:sz w:val="22"/>
            <w:szCs w:val="22"/>
          </w:rPr>
          <w:t xml:space="preserve">, E. S. Perry, and P. Tango. “Scientific Bases for Numerical Chlorophyll Criteria in Chesapeake Bay.” </w:t>
        </w:r>
      </w:hyperlink>
      <w:hyperlink r:id="rId283">
        <w:r w:rsidR="004B2BBB">
          <w:rPr>
            <w:i/>
            <w:color w:val="000000"/>
            <w:sz w:val="22"/>
            <w:szCs w:val="22"/>
          </w:rPr>
          <w:t>Estuaries and Coasts</w:t>
        </w:r>
      </w:hyperlink>
      <w:hyperlink r:id="rId284">
        <w:r w:rsidR="004B2BBB">
          <w:rPr>
            <w:color w:val="000000"/>
            <w:sz w:val="22"/>
            <w:szCs w:val="22"/>
          </w:rPr>
          <w:t xml:space="preserve"> 37, no. 1 (2014): 134–48.</w:t>
        </w:r>
      </w:hyperlink>
    </w:p>
    <w:p w14:paraId="000001FD"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285">
        <w:r w:rsidR="004B2BBB">
          <w:rPr>
            <w:color w:val="000000"/>
            <w:sz w:val="22"/>
            <w:szCs w:val="22"/>
          </w:rPr>
          <w:t xml:space="preserve">Harding, L. W., Jr, and E. S. Perry. “Long-Term Increase of Phytoplankton Biomass in Chesapeake Bay, 1950-1994.” </w:t>
        </w:r>
      </w:hyperlink>
      <w:hyperlink r:id="rId286">
        <w:r w:rsidR="004B2BBB">
          <w:rPr>
            <w:i/>
            <w:color w:val="000000"/>
            <w:sz w:val="22"/>
            <w:szCs w:val="22"/>
          </w:rPr>
          <w:t>Marine Ecology Progress Series</w:t>
        </w:r>
      </w:hyperlink>
      <w:hyperlink r:id="rId287">
        <w:r w:rsidR="004B2BBB">
          <w:rPr>
            <w:color w:val="000000"/>
            <w:sz w:val="22"/>
            <w:szCs w:val="22"/>
          </w:rPr>
          <w:t xml:space="preserve"> 157 (1997): 39–52.</w:t>
        </w:r>
      </w:hyperlink>
    </w:p>
    <w:p w14:paraId="000001FE"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288">
        <w:r w:rsidR="004B2BBB">
          <w:rPr>
            <w:color w:val="000000"/>
            <w:sz w:val="22"/>
            <w:szCs w:val="22"/>
          </w:rPr>
          <w:t xml:space="preserve">Harris, Elizabeth A., and Stephanie Strom. “Walmart to Sell Organic Food, Undercutting Big Brands.” </w:t>
        </w:r>
      </w:hyperlink>
      <w:hyperlink r:id="rId289">
        <w:r w:rsidR="004B2BBB">
          <w:rPr>
            <w:i/>
            <w:color w:val="000000"/>
            <w:sz w:val="22"/>
            <w:szCs w:val="22"/>
          </w:rPr>
          <w:t>The New York Times</w:t>
        </w:r>
      </w:hyperlink>
      <w:hyperlink r:id="rId290">
        <w:r w:rsidR="004B2BBB">
          <w:rPr>
            <w:color w:val="000000"/>
            <w:sz w:val="22"/>
            <w:szCs w:val="22"/>
          </w:rPr>
          <w:t xml:space="preserve">, April 10, 2014. </w:t>
        </w:r>
      </w:hyperlink>
      <w:hyperlink r:id="rId291">
        <w:r w:rsidR="004B2BBB">
          <w:rPr>
            <w:color w:val="000000"/>
            <w:sz w:val="22"/>
            <w:szCs w:val="22"/>
          </w:rPr>
          <w:t>http://www.nytimes.com/2014/04/10/business/walmart-to-offer-organic-line-of-food-at-cut-rate-prices.html</w:t>
        </w:r>
      </w:hyperlink>
      <w:hyperlink r:id="rId292">
        <w:r w:rsidR="004B2BBB">
          <w:rPr>
            <w:color w:val="000000"/>
            <w:sz w:val="22"/>
            <w:szCs w:val="22"/>
          </w:rPr>
          <w:t>.</w:t>
        </w:r>
      </w:hyperlink>
    </w:p>
    <w:p w14:paraId="000001FF"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293">
        <w:r w:rsidR="004B2BBB">
          <w:rPr>
            <w:color w:val="000000"/>
            <w:sz w:val="22"/>
            <w:szCs w:val="22"/>
          </w:rPr>
          <w:t xml:space="preserve">Hartman, Matt. “The Farm-To-Table Movement and Rural Gentrification.” CityLab. Accessed December 18, 2016. </w:t>
        </w:r>
      </w:hyperlink>
      <w:hyperlink r:id="rId294">
        <w:r w:rsidR="004B2BBB">
          <w:rPr>
            <w:color w:val="000000"/>
            <w:sz w:val="22"/>
            <w:szCs w:val="22"/>
          </w:rPr>
          <w:t>http://www.citylab.com/politics/2016/09/the-farm-to-table-movement-and-rural-gentrification/500816/</w:t>
        </w:r>
      </w:hyperlink>
      <w:hyperlink r:id="rId295">
        <w:r w:rsidR="004B2BBB">
          <w:rPr>
            <w:color w:val="000000"/>
            <w:sz w:val="22"/>
            <w:szCs w:val="22"/>
          </w:rPr>
          <w:t>.</w:t>
        </w:r>
      </w:hyperlink>
    </w:p>
    <w:p w14:paraId="00000200"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296">
        <w:proofErr w:type="spellStart"/>
        <w:r w:rsidR="004B2BBB">
          <w:rPr>
            <w:color w:val="000000"/>
            <w:sz w:val="22"/>
            <w:szCs w:val="22"/>
          </w:rPr>
          <w:t>Hassett</w:t>
        </w:r>
        <w:proofErr w:type="spellEnd"/>
        <w:r w:rsidR="004B2BBB">
          <w:rPr>
            <w:color w:val="000000"/>
            <w:sz w:val="22"/>
            <w:szCs w:val="22"/>
          </w:rPr>
          <w:t xml:space="preserve">, Brooke, Margaret Palmer, Emily Bernhardt, Sean Smith, Jamie </w:t>
        </w:r>
        <w:proofErr w:type="spellStart"/>
        <w:r w:rsidR="004B2BBB">
          <w:rPr>
            <w:color w:val="000000"/>
            <w:sz w:val="22"/>
            <w:szCs w:val="22"/>
          </w:rPr>
          <w:t>Carr</w:t>
        </w:r>
        <w:proofErr w:type="spellEnd"/>
        <w:r w:rsidR="004B2BBB">
          <w:rPr>
            <w:color w:val="000000"/>
            <w:sz w:val="22"/>
            <w:szCs w:val="22"/>
          </w:rPr>
          <w:t xml:space="preserve">, and David Hart. “Restoring Watersheds Project by Project: Trends in Chesapeake Bay Tributary Restoration.” </w:t>
        </w:r>
      </w:hyperlink>
      <w:hyperlink r:id="rId297">
        <w:r w:rsidR="004B2BBB">
          <w:rPr>
            <w:i/>
            <w:color w:val="000000"/>
            <w:sz w:val="22"/>
            <w:szCs w:val="22"/>
          </w:rPr>
          <w:t>Frontiers in Ecology and the Environment</w:t>
        </w:r>
      </w:hyperlink>
      <w:hyperlink r:id="rId298">
        <w:r w:rsidR="004B2BBB">
          <w:rPr>
            <w:color w:val="000000"/>
            <w:sz w:val="22"/>
            <w:szCs w:val="22"/>
          </w:rPr>
          <w:t xml:space="preserve"> 3, no. 5 (2005): 259–67.</w:t>
        </w:r>
      </w:hyperlink>
    </w:p>
    <w:p w14:paraId="00000201"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299">
        <w:r w:rsidR="004B2BBB">
          <w:rPr>
            <w:color w:val="000000"/>
            <w:sz w:val="22"/>
            <w:szCs w:val="22"/>
          </w:rPr>
          <w:t xml:space="preserve">Holley, Joey. “Poultry Magnate Frank Perdue, 84, Dies.” </w:t>
        </w:r>
      </w:hyperlink>
      <w:hyperlink r:id="rId300">
        <w:r w:rsidR="004B2BBB">
          <w:rPr>
            <w:i/>
            <w:color w:val="000000"/>
            <w:sz w:val="22"/>
            <w:szCs w:val="22"/>
          </w:rPr>
          <w:t>The Washington Post</w:t>
        </w:r>
      </w:hyperlink>
      <w:hyperlink r:id="rId301">
        <w:r w:rsidR="004B2BBB">
          <w:rPr>
            <w:color w:val="000000"/>
            <w:sz w:val="22"/>
            <w:szCs w:val="22"/>
          </w:rPr>
          <w:t xml:space="preserve">, April 1, 2005. </w:t>
        </w:r>
      </w:hyperlink>
      <w:hyperlink r:id="rId302">
        <w:r w:rsidR="004B2BBB">
          <w:rPr>
            <w:color w:val="000000"/>
            <w:sz w:val="22"/>
            <w:szCs w:val="22"/>
          </w:rPr>
          <w:t>http://www.washingtonpost.com/wp-dyn/articles/A18416-2005Apr1.html</w:t>
        </w:r>
      </w:hyperlink>
      <w:hyperlink r:id="rId303">
        <w:r w:rsidR="004B2BBB">
          <w:rPr>
            <w:color w:val="000000"/>
            <w:sz w:val="22"/>
            <w:szCs w:val="22"/>
          </w:rPr>
          <w:t>.</w:t>
        </w:r>
      </w:hyperlink>
    </w:p>
    <w:p w14:paraId="00000202"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304">
        <w:r w:rsidR="004B2BBB">
          <w:rPr>
            <w:color w:val="000000"/>
            <w:sz w:val="22"/>
            <w:szCs w:val="22"/>
          </w:rPr>
          <w:t xml:space="preserve">Hoorman, James J., Extension Educator Rafiq Islam, Extension Educator, Ran- Dall Reeder, and Extension Agricultural. “Using Cover Crops to Convert to No-Till,” n.d. </w:t>
        </w:r>
      </w:hyperlink>
      <w:hyperlink r:id="rId305">
        <w:r w:rsidR="004B2BBB">
          <w:rPr>
            <w:color w:val="000000"/>
            <w:sz w:val="22"/>
            <w:szCs w:val="22"/>
          </w:rPr>
          <w:t>https://www.nrcs.usda.gov/Internet/FSE_DOCUMENTS/nrcs142p2_023200.pdf</w:t>
        </w:r>
      </w:hyperlink>
      <w:hyperlink r:id="rId306">
        <w:r w:rsidR="004B2BBB">
          <w:rPr>
            <w:color w:val="000000"/>
            <w:sz w:val="22"/>
            <w:szCs w:val="22"/>
          </w:rPr>
          <w:t>.</w:t>
        </w:r>
      </w:hyperlink>
    </w:p>
    <w:p w14:paraId="00000203"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307">
        <w:r w:rsidR="004B2BBB">
          <w:rPr>
            <w:color w:val="000000"/>
            <w:sz w:val="22"/>
            <w:szCs w:val="22"/>
          </w:rPr>
          <w:t xml:space="preserve">Horst W. J. Rittel, and Melvin M. Webber. “Dilemmas in a General Theory of Planning.” </w:t>
        </w:r>
      </w:hyperlink>
      <w:hyperlink r:id="rId308">
        <w:r w:rsidR="004B2BBB">
          <w:rPr>
            <w:i/>
            <w:color w:val="000000"/>
            <w:sz w:val="22"/>
            <w:szCs w:val="22"/>
          </w:rPr>
          <w:t>Policy Sciences</w:t>
        </w:r>
      </w:hyperlink>
      <w:hyperlink r:id="rId309">
        <w:r w:rsidR="004B2BBB">
          <w:rPr>
            <w:color w:val="000000"/>
            <w:sz w:val="22"/>
            <w:szCs w:val="22"/>
          </w:rPr>
          <w:t xml:space="preserve"> 4, no. 2 (1973): 155–69.</w:t>
        </w:r>
      </w:hyperlink>
    </w:p>
    <w:p w14:paraId="00000204"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310">
        <w:r w:rsidR="004B2BBB">
          <w:rPr>
            <w:color w:val="000000"/>
            <w:sz w:val="22"/>
            <w:szCs w:val="22"/>
          </w:rPr>
          <w:t xml:space="preserve">Howard Perlman, Usgs. “Groundwater Depletion, USGS Water Science.” USGS - U.S. Geological Survey. Accessed December 8, 2018. </w:t>
        </w:r>
      </w:hyperlink>
      <w:hyperlink r:id="rId311">
        <w:r w:rsidR="004B2BBB">
          <w:rPr>
            <w:color w:val="000000"/>
            <w:sz w:val="22"/>
            <w:szCs w:val="22"/>
          </w:rPr>
          <w:t>https://water.usgs.gov/edu/gwdepletion.html</w:t>
        </w:r>
      </w:hyperlink>
      <w:hyperlink r:id="rId312">
        <w:r w:rsidR="004B2BBB">
          <w:rPr>
            <w:color w:val="000000"/>
            <w:sz w:val="22"/>
            <w:szCs w:val="22"/>
          </w:rPr>
          <w:t>.</w:t>
        </w:r>
      </w:hyperlink>
    </w:p>
    <w:p w14:paraId="00000205"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313">
        <w:r w:rsidR="004B2BBB">
          <w:rPr>
            <w:color w:val="000000"/>
            <w:sz w:val="22"/>
            <w:szCs w:val="22"/>
          </w:rPr>
          <w:t xml:space="preserve">“How Cities and Suburbs Affect Chesapeake Bay,” September 20, 2016. </w:t>
        </w:r>
      </w:hyperlink>
      <w:hyperlink r:id="rId314">
        <w:r w:rsidR="004B2BBB">
          <w:rPr>
            <w:color w:val="000000"/>
            <w:sz w:val="22"/>
            <w:szCs w:val="22"/>
          </w:rPr>
          <w:t>https://earthobservatory.nasa.gov/images/88742/how-cities-and-suburbs-affect-chesapeake-bay</w:t>
        </w:r>
      </w:hyperlink>
      <w:hyperlink r:id="rId315">
        <w:r w:rsidR="004B2BBB">
          <w:rPr>
            <w:color w:val="000000"/>
            <w:sz w:val="22"/>
            <w:szCs w:val="22"/>
          </w:rPr>
          <w:t>.</w:t>
        </w:r>
      </w:hyperlink>
    </w:p>
    <w:p w14:paraId="00000206"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316">
        <w:r w:rsidR="004B2BBB">
          <w:rPr>
            <w:color w:val="000000"/>
            <w:sz w:val="22"/>
            <w:szCs w:val="22"/>
          </w:rPr>
          <w:t>ICOMOS. “World Heritage List: Filling in the Gaps - an Action Plan for the Future,” February 2004.</w:t>
        </w:r>
      </w:hyperlink>
    </w:p>
    <w:p w14:paraId="00000207"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317">
        <w:r w:rsidR="004B2BBB">
          <w:rPr>
            <w:color w:val="000000"/>
            <w:sz w:val="22"/>
            <w:szCs w:val="22"/>
          </w:rPr>
          <w:t xml:space="preserve">Internal Revenue Service. “Exemption Requirements Section 501(c)(3) Organizations.” Charities and </w:t>
        </w:r>
        <w:r w:rsidR="004B2BBB">
          <w:rPr>
            <w:color w:val="000000"/>
            <w:sz w:val="22"/>
            <w:szCs w:val="22"/>
          </w:rPr>
          <w:lastRenderedPageBreak/>
          <w:t xml:space="preserve">Non-Profits. Accessed January 26, 2019. </w:t>
        </w:r>
      </w:hyperlink>
      <w:hyperlink r:id="rId318">
        <w:r w:rsidR="004B2BBB">
          <w:rPr>
            <w:color w:val="000000"/>
            <w:sz w:val="22"/>
            <w:szCs w:val="22"/>
          </w:rPr>
          <w:t>https://www.irs.gov/charities-non-profits/charitable-organizations/exemption-requirements-section-501c3-organizations</w:t>
        </w:r>
      </w:hyperlink>
      <w:hyperlink r:id="rId319">
        <w:r w:rsidR="004B2BBB">
          <w:rPr>
            <w:color w:val="000000"/>
            <w:sz w:val="22"/>
            <w:szCs w:val="22"/>
          </w:rPr>
          <w:t>.</w:t>
        </w:r>
      </w:hyperlink>
    </w:p>
    <w:p w14:paraId="00000208"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320">
        <w:r w:rsidR="004B2BBB">
          <w:rPr>
            <w:color w:val="000000"/>
            <w:sz w:val="22"/>
            <w:szCs w:val="22"/>
          </w:rPr>
          <w:t xml:space="preserve">———. “The Restriction of Political Campaign Intervention by Section 501(c)(3) Tax Exempt Organizations.” Accessed January 26, 2019. </w:t>
        </w:r>
      </w:hyperlink>
      <w:hyperlink r:id="rId321">
        <w:r w:rsidR="004B2BBB">
          <w:rPr>
            <w:color w:val="000000"/>
            <w:sz w:val="22"/>
            <w:szCs w:val="22"/>
          </w:rPr>
          <w:t>https://www.irs.gov/charities-non-profits/charitable-organizations/the-restriction-of-political-campaign-intervention-by-section-501c3-tax-exempt-organizations</w:t>
        </w:r>
      </w:hyperlink>
      <w:hyperlink r:id="rId322">
        <w:r w:rsidR="004B2BBB">
          <w:rPr>
            <w:color w:val="000000"/>
            <w:sz w:val="22"/>
            <w:szCs w:val="22"/>
          </w:rPr>
          <w:t>.</w:t>
        </w:r>
      </w:hyperlink>
    </w:p>
    <w:p w14:paraId="00000209"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323">
        <w:r w:rsidR="004B2BBB">
          <w:rPr>
            <w:color w:val="000000"/>
            <w:sz w:val="22"/>
            <w:szCs w:val="22"/>
          </w:rPr>
          <w:t xml:space="preserve">Iowa Department of Cultural Affairs. “‘A Chicken for Every Pot’ Political Ad, October 30, 1928.” Iowa.Gov, April 26, 2017. </w:t>
        </w:r>
      </w:hyperlink>
      <w:hyperlink r:id="rId324">
        <w:r w:rsidR="004B2BBB">
          <w:rPr>
            <w:color w:val="000000"/>
            <w:sz w:val="22"/>
            <w:szCs w:val="22"/>
          </w:rPr>
          <w:t>https://iowaculture.gov/history/education/educator-resources/primary-source-sets/great-depression-and-herbert-hoover/chicken</w:t>
        </w:r>
      </w:hyperlink>
      <w:hyperlink r:id="rId325">
        <w:r w:rsidR="004B2BBB">
          <w:rPr>
            <w:color w:val="000000"/>
            <w:sz w:val="22"/>
            <w:szCs w:val="22"/>
          </w:rPr>
          <w:t>.</w:t>
        </w:r>
      </w:hyperlink>
    </w:p>
    <w:p w14:paraId="0000020A"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326">
        <w:r w:rsidR="004B2BBB">
          <w:rPr>
            <w:color w:val="000000"/>
            <w:sz w:val="22"/>
            <w:szCs w:val="22"/>
          </w:rPr>
          <w:t xml:space="preserve">Jerome, Pamela. “The Values-Based Approach to Cultural-Heritage Preservation.” </w:t>
        </w:r>
      </w:hyperlink>
      <w:hyperlink r:id="rId327">
        <w:r w:rsidR="004B2BBB">
          <w:rPr>
            <w:i/>
            <w:color w:val="000000"/>
            <w:sz w:val="22"/>
            <w:szCs w:val="22"/>
          </w:rPr>
          <w:t>APT Bulletin</w:t>
        </w:r>
      </w:hyperlink>
      <w:hyperlink r:id="rId328">
        <w:r w:rsidR="004B2BBB">
          <w:rPr>
            <w:color w:val="000000"/>
            <w:sz w:val="22"/>
            <w:szCs w:val="22"/>
          </w:rPr>
          <w:t xml:space="preserve"> 45, no. 2/3 (2014): 3–8.</w:t>
        </w:r>
      </w:hyperlink>
    </w:p>
    <w:p w14:paraId="0000020B"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329">
        <w:r w:rsidR="004B2BBB">
          <w:rPr>
            <w:color w:val="000000"/>
            <w:sz w:val="22"/>
            <w:szCs w:val="22"/>
          </w:rPr>
          <w:t xml:space="preserve">Kates, Robert W., William C. Clark, Robert </w:t>
        </w:r>
        <w:proofErr w:type="spellStart"/>
        <w:r w:rsidR="004B2BBB">
          <w:rPr>
            <w:color w:val="000000"/>
            <w:sz w:val="22"/>
            <w:szCs w:val="22"/>
          </w:rPr>
          <w:t>Corell</w:t>
        </w:r>
        <w:proofErr w:type="spellEnd"/>
        <w:r w:rsidR="004B2BBB">
          <w:rPr>
            <w:color w:val="000000"/>
            <w:sz w:val="22"/>
            <w:szCs w:val="22"/>
          </w:rPr>
          <w:t xml:space="preserve">, J. Michael Hall, Carlo C. Jaeger, Ian Lowe, James J. McCarthy, et al. “Sustainability Science.” </w:t>
        </w:r>
      </w:hyperlink>
      <w:hyperlink r:id="rId330">
        <w:r w:rsidR="004B2BBB">
          <w:rPr>
            <w:i/>
            <w:color w:val="000000"/>
            <w:sz w:val="22"/>
            <w:szCs w:val="22"/>
          </w:rPr>
          <w:t>Science</w:t>
        </w:r>
      </w:hyperlink>
      <w:hyperlink r:id="rId331">
        <w:r w:rsidR="004B2BBB">
          <w:rPr>
            <w:color w:val="000000"/>
            <w:sz w:val="22"/>
            <w:szCs w:val="22"/>
          </w:rPr>
          <w:t xml:space="preserve"> 292, no. 5517 (2001): 641–42.</w:t>
        </w:r>
      </w:hyperlink>
    </w:p>
    <w:p w14:paraId="0000020C"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332">
        <w:r w:rsidR="004B2BBB">
          <w:rPr>
            <w:color w:val="000000"/>
            <w:sz w:val="22"/>
            <w:szCs w:val="22"/>
          </w:rPr>
          <w:t xml:space="preserve">Kilgannon, Corey. “Declare the Strand Bookstore a City Landmark? No Thanks, the Strand Says.” </w:t>
        </w:r>
      </w:hyperlink>
      <w:hyperlink r:id="rId333">
        <w:r w:rsidR="004B2BBB">
          <w:rPr>
            <w:i/>
            <w:color w:val="000000"/>
            <w:sz w:val="22"/>
            <w:szCs w:val="22"/>
          </w:rPr>
          <w:t>The New York Times</w:t>
        </w:r>
      </w:hyperlink>
      <w:hyperlink r:id="rId334">
        <w:r w:rsidR="004B2BBB">
          <w:rPr>
            <w:color w:val="000000"/>
            <w:sz w:val="22"/>
            <w:szCs w:val="22"/>
          </w:rPr>
          <w:t xml:space="preserve">, December 3, 2018. </w:t>
        </w:r>
      </w:hyperlink>
      <w:hyperlink r:id="rId335">
        <w:r w:rsidR="004B2BBB">
          <w:rPr>
            <w:color w:val="000000"/>
            <w:sz w:val="22"/>
            <w:szCs w:val="22"/>
          </w:rPr>
          <w:t>https://www.nytimes.com/2018/12/03/nyregion/strand-bookstore-landmark.html</w:t>
        </w:r>
      </w:hyperlink>
      <w:hyperlink r:id="rId336">
        <w:r w:rsidR="004B2BBB">
          <w:rPr>
            <w:color w:val="000000"/>
            <w:sz w:val="22"/>
            <w:szCs w:val="22"/>
          </w:rPr>
          <w:t>.</w:t>
        </w:r>
      </w:hyperlink>
    </w:p>
    <w:p w14:paraId="0000020D"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337">
        <w:r w:rsidR="004B2BBB">
          <w:rPr>
            <w:color w:val="000000"/>
            <w:sz w:val="22"/>
            <w:szCs w:val="22"/>
          </w:rPr>
          <w:t xml:space="preserve">King, Thomas F. </w:t>
        </w:r>
      </w:hyperlink>
      <w:hyperlink r:id="rId338">
        <w:r w:rsidR="004B2BBB">
          <w:rPr>
            <w:i/>
            <w:color w:val="000000"/>
            <w:sz w:val="22"/>
            <w:szCs w:val="22"/>
          </w:rPr>
          <w:t>Places That Count: Traditional Cultural Properties in Cultural Resource Management</w:t>
        </w:r>
      </w:hyperlink>
      <w:hyperlink r:id="rId339">
        <w:r w:rsidR="004B2BBB">
          <w:rPr>
            <w:color w:val="000000"/>
            <w:sz w:val="22"/>
            <w:szCs w:val="22"/>
          </w:rPr>
          <w:t>. Rowman Altamira, 2003.</w:t>
        </w:r>
      </w:hyperlink>
    </w:p>
    <w:p w14:paraId="0000020E"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340">
        <w:r w:rsidR="004B2BBB">
          <w:rPr>
            <w:color w:val="000000"/>
            <w:sz w:val="22"/>
            <w:szCs w:val="22"/>
          </w:rPr>
          <w:t xml:space="preserve">Kobell, Rona. “The Amish: Makers of Jam, Fine Cabinetry, and Polluted Rivers.” </w:t>
        </w:r>
      </w:hyperlink>
      <w:hyperlink r:id="rId341">
        <w:r w:rsidR="004B2BBB">
          <w:rPr>
            <w:i/>
            <w:color w:val="000000"/>
            <w:sz w:val="22"/>
            <w:szCs w:val="22"/>
          </w:rPr>
          <w:t>Grist</w:t>
        </w:r>
      </w:hyperlink>
      <w:hyperlink r:id="rId342">
        <w:r w:rsidR="004B2BBB">
          <w:rPr>
            <w:color w:val="000000"/>
            <w:sz w:val="22"/>
            <w:szCs w:val="22"/>
          </w:rPr>
          <w:t xml:space="preserve">, November 6, 2014. </w:t>
        </w:r>
      </w:hyperlink>
      <w:hyperlink r:id="rId343">
        <w:r w:rsidR="004B2BBB">
          <w:rPr>
            <w:color w:val="000000"/>
            <w:sz w:val="22"/>
            <w:szCs w:val="22"/>
          </w:rPr>
          <w:t>https://grist.org/food/the-amish-makers-of-jam-fine-cabinetry-and-polluted-rivers/</w:t>
        </w:r>
      </w:hyperlink>
      <w:hyperlink r:id="rId344">
        <w:r w:rsidR="004B2BBB">
          <w:rPr>
            <w:color w:val="000000"/>
            <w:sz w:val="22"/>
            <w:szCs w:val="22"/>
          </w:rPr>
          <w:t>.</w:t>
        </w:r>
      </w:hyperlink>
    </w:p>
    <w:p w14:paraId="0000020F"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345">
        <w:r w:rsidR="004B2BBB">
          <w:rPr>
            <w:color w:val="000000"/>
            <w:sz w:val="22"/>
            <w:szCs w:val="22"/>
          </w:rPr>
          <w:t xml:space="preserve">Lachman, Beth E., Agnes </w:t>
        </w:r>
        <w:proofErr w:type="spellStart"/>
        <w:r w:rsidR="004B2BBB">
          <w:rPr>
            <w:color w:val="000000"/>
            <w:sz w:val="22"/>
            <w:szCs w:val="22"/>
          </w:rPr>
          <w:t>Gereben</w:t>
        </w:r>
        <w:proofErr w:type="spellEnd"/>
        <w:r w:rsidR="004B2BBB">
          <w:rPr>
            <w:color w:val="000000"/>
            <w:sz w:val="22"/>
            <w:szCs w:val="22"/>
          </w:rPr>
          <w:t xml:space="preserve"> Schaefer, Nidhi </w:t>
        </w:r>
        <w:proofErr w:type="spellStart"/>
        <w:r w:rsidR="004B2BBB">
          <w:rPr>
            <w:color w:val="000000"/>
            <w:sz w:val="22"/>
            <w:szCs w:val="22"/>
          </w:rPr>
          <w:t>Kalra</w:t>
        </w:r>
        <w:proofErr w:type="spellEnd"/>
        <w:r w:rsidR="004B2BBB">
          <w:rPr>
            <w:color w:val="000000"/>
            <w:sz w:val="22"/>
            <w:szCs w:val="22"/>
          </w:rPr>
          <w:t xml:space="preserve">, Scott Hassell, Kimberly Curry Hall, Aimee E. </w:t>
        </w:r>
        <w:proofErr w:type="spellStart"/>
        <w:r w:rsidR="004B2BBB">
          <w:rPr>
            <w:color w:val="000000"/>
            <w:sz w:val="22"/>
            <w:szCs w:val="22"/>
          </w:rPr>
          <w:t>Curtright</w:t>
        </w:r>
        <w:proofErr w:type="spellEnd"/>
        <w:r w:rsidR="004B2BBB">
          <w:rPr>
            <w:color w:val="000000"/>
            <w:sz w:val="22"/>
            <w:szCs w:val="22"/>
          </w:rPr>
          <w:t xml:space="preserve">, and David E. Mosher. “Land Development and Environmental Trends.” In </w:t>
        </w:r>
      </w:hyperlink>
      <w:hyperlink r:id="rId346">
        <w:r w:rsidR="004B2BBB">
          <w:rPr>
            <w:i/>
            <w:color w:val="000000"/>
            <w:sz w:val="22"/>
            <w:szCs w:val="22"/>
          </w:rPr>
          <w:t>Key Trends That Will Shape Army Installations of Tomorrow</w:t>
        </w:r>
      </w:hyperlink>
      <w:hyperlink r:id="rId347">
        <w:r w:rsidR="004B2BBB">
          <w:rPr>
            <w:color w:val="000000"/>
            <w:sz w:val="22"/>
            <w:szCs w:val="22"/>
          </w:rPr>
          <w:t>, 7–58. RAND Corporation, 2013.</w:t>
        </w:r>
      </w:hyperlink>
    </w:p>
    <w:p w14:paraId="00000210"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348">
        <w:r w:rsidR="004B2BBB">
          <w:rPr>
            <w:color w:val="000000"/>
            <w:sz w:val="22"/>
            <w:szCs w:val="22"/>
          </w:rPr>
          <w:t xml:space="preserve">“Land Preservation Tax Credit.” Accessed February 3, 2019. </w:t>
        </w:r>
      </w:hyperlink>
      <w:hyperlink r:id="rId349">
        <w:r w:rsidR="004B2BBB">
          <w:rPr>
            <w:color w:val="000000"/>
            <w:sz w:val="22"/>
            <w:szCs w:val="22"/>
          </w:rPr>
          <w:t>http://www.dcr.virginia.gov/land-conservation/lpc</w:t>
        </w:r>
      </w:hyperlink>
      <w:hyperlink r:id="rId350">
        <w:r w:rsidR="004B2BBB">
          <w:rPr>
            <w:color w:val="000000"/>
            <w:sz w:val="22"/>
            <w:szCs w:val="22"/>
          </w:rPr>
          <w:t>.</w:t>
        </w:r>
      </w:hyperlink>
    </w:p>
    <w:p w14:paraId="00000211"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351">
        <w:r w:rsidR="004B2BBB">
          <w:rPr>
            <w:color w:val="000000"/>
            <w:sz w:val="22"/>
            <w:szCs w:val="22"/>
          </w:rPr>
          <w:t xml:space="preserve">Land Trust Alliance. “Farm Bill Conservation Programs.” Land Trust Alliance: Federal Programs. Accessed May 21, 2017. </w:t>
        </w:r>
      </w:hyperlink>
      <w:hyperlink r:id="rId352">
        <w:r w:rsidR="004B2BBB">
          <w:rPr>
            <w:color w:val="000000"/>
            <w:sz w:val="22"/>
            <w:szCs w:val="22"/>
          </w:rPr>
          <w:t>http://www.landtrustalliance.org/topics/federal-programs/farm-bill-conservation-programs</w:t>
        </w:r>
      </w:hyperlink>
      <w:hyperlink r:id="rId353">
        <w:r w:rsidR="004B2BBB">
          <w:rPr>
            <w:color w:val="000000"/>
            <w:sz w:val="22"/>
            <w:szCs w:val="22"/>
          </w:rPr>
          <w:t>.</w:t>
        </w:r>
      </w:hyperlink>
    </w:p>
    <w:p w14:paraId="00000212"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354">
        <w:proofErr w:type="spellStart"/>
        <w:r w:rsidR="004B2BBB">
          <w:rPr>
            <w:color w:val="000000"/>
            <w:sz w:val="22"/>
            <w:szCs w:val="22"/>
          </w:rPr>
          <w:t>Leifeste</w:t>
        </w:r>
        <w:proofErr w:type="spellEnd"/>
        <w:r w:rsidR="004B2BBB">
          <w:rPr>
            <w:color w:val="000000"/>
            <w:sz w:val="22"/>
            <w:szCs w:val="22"/>
          </w:rPr>
          <w:t xml:space="preserve">, Amalia, and Barry L. </w:t>
        </w:r>
        <w:proofErr w:type="spellStart"/>
        <w:r w:rsidR="004B2BBB">
          <w:rPr>
            <w:color w:val="000000"/>
            <w:sz w:val="22"/>
            <w:szCs w:val="22"/>
          </w:rPr>
          <w:t>Stiefel</w:t>
        </w:r>
        <w:proofErr w:type="spellEnd"/>
        <w:r w:rsidR="004B2BBB">
          <w:rPr>
            <w:color w:val="000000"/>
            <w:sz w:val="22"/>
            <w:szCs w:val="22"/>
          </w:rPr>
          <w:t xml:space="preserve">. </w:t>
        </w:r>
      </w:hyperlink>
      <w:hyperlink r:id="rId355">
        <w:r w:rsidR="004B2BBB">
          <w:rPr>
            <w:i/>
            <w:color w:val="000000"/>
            <w:sz w:val="22"/>
            <w:szCs w:val="22"/>
          </w:rPr>
          <w:t>Sustainable Heritage: Merging Environmental Conservation and Historic Preservation</w:t>
        </w:r>
      </w:hyperlink>
      <w:hyperlink r:id="rId356">
        <w:r w:rsidR="004B2BBB">
          <w:rPr>
            <w:color w:val="000000"/>
            <w:sz w:val="22"/>
            <w:szCs w:val="22"/>
          </w:rPr>
          <w:t>. Routledge, 2018.</w:t>
        </w:r>
      </w:hyperlink>
    </w:p>
    <w:p w14:paraId="00000213"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357">
        <w:r w:rsidR="004B2BBB">
          <w:rPr>
            <w:color w:val="000000"/>
            <w:sz w:val="22"/>
            <w:szCs w:val="22"/>
          </w:rPr>
          <w:t xml:space="preserve">Lingenfelter, Dwight. “Cover Crops for Conservation Tillage Systems.” Penn State Extension, November 1, 2006. </w:t>
        </w:r>
      </w:hyperlink>
      <w:hyperlink r:id="rId358">
        <w:r w:rsidR="004B2BBB">
          <w:rPr>
            <w:color w:val="000000"/>
            <w:sz w:val="22"/>
            <w:szCs w:val="22"/>
          </w:rPr>
          <w:t>https://extension.psu.edu/cover-crops-for-conservation-tillage-systems</w:t>
        </w:r>
      </w:hyperlink>
      <w:hyperlink r:id="rId359">
        <w:r w:rsidR="004B2BBB">
          <w:rPr>
            <w:color w:val="000000"/>
            <w:sz w:val="22"/>
            <w:szCs w:val="22"/>
          </w:rPr>
          <w:t>.</w:t>
        </w:r>
      </w:hyperlink>
    </w:p>
    <w:p w14:paraId="00000214"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360">
        <w:r w:rsidR="004B2BBB">
          <w:rPr>
            <w:color w:val="000000"/>
            <w:sz w:val="22"/>
            <w:szCs w:val="22"/>
          </w:rPr>
          <w:t xml:space="preserve">Lori Lynch, Robert Tjaden. “When a Landowner Adopts a Riparian Buffer - Benefits and Costs,” n.d. </w:t>
        </w:r>
      </w:hyperlink>
      <w:hyperlink r:id="rId361">
        <w:r w:rsidR="004B2BBB">
          <w:rPr>
            <w:color w:val="000000"/>
            <w:sz w:val="22"/>
            <w:szCs w:val="22"/>
          </w:rPr>
          <w:t>http://extension.umd.edu/sites/extension.umd.edu/files/_docs/programs/riparianbuffers/FS774.pdf</w:t>
        </w:r>
      </w:hyperlink>
      <w:hyperlink r:id="rId362">
        <w:r w:rsidR="004B2BBB">
          <w:rPr>
            <w:color w:val="000000"/>
            <w:sz w:val="22"/>
            <w:szCs w:val="22"/>
          </w:rPr>
          <w:t>.</w:t>
        </w:r>
      </w:hyperlink>
    </w:p>
    <w:p w14:paraId="00000215"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363">
        <w:r w:rsidR="004B2BBB">
          <w:rPr>
            <w:color w:val="000000"/>
            <w:sz w:val="22"/>
            <w:szCs w:val="22"/>
          </w:rPr>
          <w:t xml:space="preserve">Lubeck, Aaron. </w:t>
        </w:r>
      </w:hyperlink>
      <w:hyperlink r:id="rId364">
        <w:r w:rsidR="004B2BBB">
          <w:rPr>
            <w:i/>
            <w:color w:val="000000"/>
            <w:sz w:val="22"/>
            <w:szCs w:val="22"/>
          </w:rPr>
          <w:t>Green Restorations: Sustainable Building and Historic Homes</w:t>
        </w:r>
      </w:hyperlink>
      <w:hyperlink r:id="rId365">
        <w:r w:rsidR="004B2BBB">
          <w:rPr>
            <w:color w:val="000000"/>
            <w:sz w:val="22"/>
            <w:szCs w:val="22"/>
          </w:rPr>
          <w:t>. Philadelphia: New Society Publishers, 2010.</w:t>
        </w:r>
      </w:hyperlink>
    </w:p>
    <w:p w14:paraId="00000216"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366">
        <w:r w:rsidR="004B2BBB">
          <w:rPr>
            <w:color w:val="000000"/>
            <w:sz w:val="22"/>
            <w:szCs w:val="22"/>
          </w:rPr>
          <w:t xml:space="preserve">Maryland Department of Natural Resources. “Maryland’s Chesapeake Bay Tributary Strategy Statewide Implementation Plan,” January 24, 2008. </w:t>
        </w:r>
      </w:hyperlink>
      <w:hyperlink r:id="rId367">
        <w:r w:rsidR="004B2BBB">
          <w:rPr>
            <w:color w:val="000000"/>
            <w:sz w:val="22"/>
            <w:szCs w:val="22"/>
          </w:rPr>
          <w:t>ftp://ftp.chesapeakebay.net/Modeling/Upload/Administrative_Record_Non-model_Files/39_CB%20States%20Tributary%20Strategies%20and%20Related%20Implementation%20Plans/39_004_TribDocumentFinal_012308.pdf</w:t>
        </w:r>
      </w:hyperlink>
      <w:hyperlink r:id="rId368">
        <w:r w:rsidR="004B2BBB">
          <w:rPr>
            <w:color w:val="000000"/>
            <w:sz w:val="22"/>
            <w:szCs w:val="22"/>
          </w:rPr>
          <w:t>.</w:t>
        </w:r>
      </w:hyperlink>
    </w:p>
    <w:p w14:paraId="00000217"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369">
        <w:r w:rsidR="004B2BBB">
          <w:rPr>
            <w:color w:val="000000"/>
            <w:sz w:val="22"/>
            <w:szCs w:val="22"/>
          </w:rPr>
          <w:t xml:space="preserve">———. “Riparian Forest Buffers.” Accessed February 2, 2019. </w:t>
        </w:r>
      </w:hyperlink>
      <w:hyperlink r:id="rId370">
        <w:r w:rsidR="004B2BBB">
          <w:rPr>
            <w:color w:val="000000"/>
            <w:sz w:val="22"/>
            <w:szCs w:val="22"/>
          </w:rPr>
          <w:t>https://dnr.maryland.gov/forests/pages/publications/Sink.aspx</w:t>
        </w:r>
      </w:hyperlink>
      <w:hyperlink r:id="rId371">
        <w:r w:rsidR="004B2BBB">
          <w:rPr>
            <w:color w:val="000000"/>
            <w:sz w:val="22"/>
            <w:szCs w:val="22"/>
          </w:rPr>
          <w:t>.</w:t>
        </w:r>
      </w:hyperlink>
    </w:p>
    <w:p w14:paraId="00000218"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372">
        <w:r w:rsidR="004B2BBB">
          <w:rPr>
            <w:color w:val="000000"/>
            <w:sz w:val="22"/>
            <w:szCs w:val="22"/>
          </w:rPr>
          <w:t xml:space="preserve">Maryland Department of the Environment. “General Discharge Permit for Animal Feeding Operations,” August 1, 2016. </w:t>
        </w:r>
      </w:hyperlink>
      <w:hyperlink r:id="rId373">
        <w:r w:rsidR="004B2BBB">
          <w:rPr>
            <w:color w:val="000000"/>
            <w:sz w:val="22"/>
            <w:szCs w:val="22"/>
          </w:rPr>
          <w:t>https://mde.maryland.gov/programs/LAND/RecyclingandOperationsprogram/Documents/AFO_GD_Permit_14AFA_MDG01A.pdf</w:t>
        </w:r>
      </w:hyperlink>
      <w:hyperlink r:id="rId374">
        <w:r w:rsidR="004B2BBB">
          <w:rPr>
            <w:color w:val="000000"/>
            <w:sz w:val="22"/>
            <w:szCs w:val="22"/>
          </w:rPr>
          <w:t>.</w:t>
        </w:r>
      </w:hyperlink>
    </w:p>
    <w:p w14:paraId="00000219"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375">
        <w:r w:rsidR="004B2BBB">
          <w:rPr>
            <w:color w:val="000000"/>
            <w:sz w:val="22"/>
            <w:szCs w:val="22"/>
          </w:rPr>
          <w:t xml:space="preserve">Mason, Randall. “Fixing Historic Preservation: A Constructive Critique of ‘Significance.’” </w:t>
        </w:r>
      </w:hyperlink>
      <w:hyperlink r:id="rId376">
        <w:r w:rsidR="004B2BBB">
          <w:rPr>
            <w:i/>
            <w:color w:val="000000"/>
            <w:sz w:val="22"/>
            <w:szCs w:val="22"/>
          </w:rPr>
          <w:t>Places</w:t>
        </w:r>
      </w:hyperlink>
      <w:hyperlink r:id="rId377">
        <w:r w:rsidR="004B2BBB">
          <w:rPr>
            <w:color w:val="000000"/>
            <w:sz w:val="22"/>
            <w:szCs w:val="22"/>
          </w:rPr>
          <w:t xml:space="preserve"> 16, no. 1 (2004): 64–71.</w:t>
        </w:r>
      </w:hyperlink>
    </w:p>
    <w:p w14:paraId="0000021A"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378">
        <w:r w:rsidR="004B2BBB">
          <w:rPr>
            <w:color w:val="000000"/>
            <w:sz w:val="22"/>
            <w:szCs w:val="22"/>
          </w:rPr>
          <w:t xml:space="preserve">Masterson, Vanessa A., Richard C. Stedman, Johan Enqvist, Maria Tengö, Matteo Giusti, Darin Wahl, and Uno Svedin. “The Contribution of Sense of Place to Social-Ecological Systems Research: A Review and Research Agenda.” </w:t>
        </w:r>
      </w:hyperlink>
      <w:hyperlink r:id="rId379">
        <w:r w:rsidR="004B2BBB">
          <w:rPr>
            <w:i/>
            <w:color w:val="000000"/>
            <w:sz w:val="22"/>
            <w:szCs w:val="22"/>
          </w:rPr>
          <w:t>Ecology and Society</w:t>
        </w:r>
      </w:hyperlink>
      <w:hyperlink r:id="rId380">
        <w:r w:rsidR="004B2BBB">
          <w:rPr>
            <w:color w:val="000000"/>
            <w:sz w:val="22"/>
            <w:szCs w:val="22"/>
          </w:rPr>
          <w:t xml:space="preserve"> 22, no. 1 (2017). </w:t>
        </w:r>
      </w:hyperlink>
      <w:hyperlink r:id="rId381">
        <w:r w:rsidR="004B2BBB">
          <w:rPr>
            <w:color w:val="000000"/>
            <w:sz w:val="22"/>
            <w:szCs w:val="22"/>
          </w:rPr>
          <w:t>http://www.jstor.org/stable/26270120</w:t>
        </w:r>
      </w:hyperlink>
      <w:hyperlink r:id="rId382">
        <w:r w:rsidR="004B2BBB">
          <w:rPr>
            <w:color w:val="000000"/>
            <w:sz w:val="22"/>
            <w:szCs w:val="22"/>
          </w:rPr>
          <w:t>.</w:t>
        </w:r>
      </w:hyperlink>
    </w:p>
    <w:p w14:paraId="0000021B"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383">
        <w:r w:rsidR="004B2BBB">
          <w:rPr>
            <w:color w:val="000000"/>
            <w:sz w:val="22"/>
            <w:szCs w:val="22"/>
          </w:rPr>
          <w:t>McCall, Les. Letter to Author, May 2, 2017.</w:t>
        </w:r>
      </w:hyperlink>
    </w:p>
    <w:p w14:paraId="0000021C"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384">
        <w:r w:rsidR="004B2BBB">
          <w:rPr>
            <w:color w:val="000000"/>
            <w:sz w:val="22"/>
            <w:szCs w:val="22"/>
          </w:rPr>
          <w:t xml:space="preserve">McQueen, Mike, and Edward T. McMahon. </w:t>
        </w:r>
      </w:hyperlink>
      <w:hyperlink r:id="rId385">
        <w:r w:rsidR="004B2BBB">
          <w:rPr>
            <w:i/>
            <w:color w:val="000000"/>
            <w:sz w:val="22"/>
            <w:szCs w:val="22"/>
          </w:rPr>
          <w:t>Land Conservation Financing</w:t>
        </w:r>
      </w:hyperlink>
      <w:hyperlink r:id="rId386">
        <w:r w:rsidR="004B2BBB">
          <w:rPr>
            <w:color w:val="000000"/>
            <w:sz w:val="22"/>
            <w:szCs w:val="22"/>
          </w:rPr>
          <w:t>. Island Press, 2003.</w:t>
        </w:r>
      </w:hyperlink>
    </w:p>
    <w:p w14:paraId="0000021D"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387">
        <w:proofErr w:type="spellStart"/>
        <w:r w:rsidR="004B2BBB">
          <w:rPr>
            <w:color w:val="000000"/>
            <w:sz w:val="22"/>
            <w:szCs w:val="22"/>
          </w:rPr>
          <w:t>Merlino</w:t>
        </w:r>
        <w:proofErr w:type="spellEnd"/>
        <w:r w:rsidR="004B2BBB">
          <w:rPr>
            <w:color w:val="000000"/>
            <w:sz w:val="22"/>
            <w:szCs w:val="22"/>
          </w:rPr>
          <w:t xml:space="preserve">, Kathryn Rogers. “[Re]Evaluating Significance: The Environmental and Cultural Value in Older and Historic Buildings.” </w:t>
        </w:r>
      </w:hyperlink>
      <w:hyperlink r:id="rId388">
        <w:r w:rsidR="004B2BBB">
          <w:rPr>
            <w:i/>
            <w:color w:val="000000"/>
            <w:sz w:val="22"/>
            <w:szCs w:val="22"/>
          </w:rPr>
          <w:t>The Public Historian</w:t>
        </w:r>
      </w:hyperlink>
      <w:hyperlink r:id="rId389">
        <w:r w:rsidR="004B2BBB">
          <w:rPr>
            <w:color w:val="000000"/>
            <w:sz w:val="22"/>
            <w:szCs w:val="22"/>
          </w:rPr>
          <w:t xml:space="preserve"> 36, no. 3 (August 2014): 70–85.</w:t>
        </w:r>
      </w:hyperlink>
    </w:p>
    <w:p w14:paraId="0000021E"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390">
        <w:r w:rsidR="004B2BBB">
          <w:rPr>
            <w:color w:val="000000"/>
            <w:sz w:val="22"/>
            <w:szCs w:val="22"/>
          </w:rPr>
          <w:t xml:space="preserve">Michael, Vince. “Heritage Conservation, Not Historic Preservation.” Time Tells, October 17, 2009. </w:t>
        </w:r>
      </w:hyperlink>
      <w:hyperlink r:id="rId391">
        <w:r w:rsidR="004B2BBB">
          <w:rPr>
            <w:color w:val="000000"/>
            <w:sz w:val="22"/>
            <w:szCs w:val="22"/>
          </w:rPr>
          <w:t>https://vincemichael.wordpress.com/2009/10/17/heritage-conservation-not-historic-preservation/</w:t>
        </w:r>
      </w:hyperlink>
      <w:hyperlink r:id="rId392">
        <w:r w:rsidR="004B2BBB">
          <w:rPr>
            <w:color w:val="000000"/>
            <w:sz w:val="22"/>
            <w:szCs w:val="22"/>
          </w:rPr>
          <w:t>.</w:t>
        </w:r>
      </w:hyperlink>
    </w:p>
    <w:p w14:paraId="0000021F"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393">
        <w:r w:rsidR="004B2BBB">
          <w:rPr>
            <w:color w:val="000000"/>
            <w:sz w:val="22"/>
            <w:szCs w:val="22"/>
          </w:rPr>
          <w:t xml:space="preserve">Miller, Jenna. “Farmers Cheer Trump Water Rollback as Environmentalists Worry about Chesapeake Bay Impact.” </w:t>
        </w:r>
      </w:hyperlink>
      <w:hyperlink r:id="rId394">
        <w:r w:rsidR="004B2BBB">
          <w:rPr>
            <w:i/>
            <w:color w:val="000000"/>
            <w:sz w:val="22"/>
            <w:szCs w:val="22"/>
          </w:rPr>
          <w:t>Delmarva Now</w:t>
        </w:r>
      </w:hyperlink>
      <w:hyperlink r:id="rId395">
        <w:r w:rsidR="004B2BBB">
          <w:rPr>
            <w:color w:val="000000"/>
            <w:sz w:val="22"/>
            <w:szCs w:val="22"/>
          </w:rPr>
          <w:t xml:space="preserve">. December 17, 2018. </w:t>
        </w:r>
      </w:hyperlink>
      <w:hyperlink r:id="rId396">
        <w:r w:rsidR="004B2BBB">
          <w:rPr>
            <w:color w:val="000000"/>
            <w:sz w:val="22"/>
            <w:szCs w:val="22"/>
          </w:rPr>
          <w:t>https://www.delmarvanow.com/story/news/local/maryland/2018/12/17/eastern-shore-split-trump-water-rule-rollback/2312523002/</w:t>
        </w:r>
      </w:hyperlink>
      <w:hyperlink r:id="rId397">
        <w:r w:rsidR="004B2BBB">
          <w:rPr>
            <w:color w:val="000000"/>
            <w:sz w:val="22"/>
            <w:szCs w:val="22"/>
          </w:rPr>
          <w:t>.</w:t>
        </w:r>
      </w:hyperlink>
    </w:p>
    <w:p w14:paraId="00000220"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398">
        <w:r w:rsidR="004B2BBB">
          <w:rPr>
            <w:color w:val="000000"/>
            <w:sz w:val="22"/>
            <w:szCs w:val="22"/>
          </w:rPr>
          <w:t xml:space="preserve">Miller, Roxann. “Pennsylvania Is a Leader in Preserving America’s Rich Farmland.” Herald-Mail Media, November 8, 2014. </w:t>
        </w:r>
      </w:hyperlink>
      <w:hyperlink r:id="rId399">
        <w:r w:rsidR="004B2BBB">
          <w:rPr>
            <w:color w:val="000000"/>
            <w:sz w:val="22"/>
            <w:szCs w:val="22"/>
          </w:rPr>
          <w:t>https://www.heraldmailmedia.com/news/tri_state/pennsylvania/pennsylvania-is-a-leader-in-preserving-america-s-rich-farmland/article_d71b21c0-c130-5694-8e3f-4027ab9fc719.html</w:t>
        </w:r>
      </w:hyperlink>
      <w:hyperlink r:id="rId400">
        <w:r w:rsidR="004B2BBB">
          <w:rPr>
            <w:color w:val="000000"/>
            <w:sz w:val="22"/>
            <w:szCs w:val="22"/>
          </w:rPr>
          <w:t>.</w:t>
        </w:r>
      </w:hyperlink>
    </w:p>
    <w:p w14:paraId="00000221"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401">
        <w:r w:rsidR="004B2BBB">
          <w:rPr>
            <w:color w:val="000000"/>
            <w:sz w:val="22"/>
            <w:szCs w:val="22"/>
          </w:rPr>
          <w:t>Ministry of Agriculture, Fisheries, and Food (MAFF). “Environmentally Sensitive Areas: First Annual Report as Required Under Section 18(8) of the Agricultural Act of 1986.” London: MAFF, 1989.</w:t>
        </w:r>
      </w:hyperlink>
    </w:p>
    <w:p w14:paraId="00000222"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402">
        <w:proofErr w:type="spellStart"/>
        <w:r w:rsidR="004B2BBB">
          <w:rPr>
            <w:color w:val="000000"/>
            <w:sz w:val="22"/>
            <w:szCs w:val="22"/>
          </w:rPr>
          <w:t>Minteer</w:t>
        </w:r>
        <w:proofErr w:type="spellEnd"/>
        <w:r w:rsidR="004B2BBB">
          <w:rPr>
            <w:color w:val="000000"/>
            <w:sz w:val="22"/>
            <w:szCs w:val="22"/>
          </w:rPr>
          <w:t xml:space="preserve">, Ben A., and Elizabeth A. Corley. “Conservation or Preservation? A Qualitative Study of the Conceptual Foundations of Natural Resource Management.” </w:t>
        </w:r>
      </w:hyperlink>
      <w:hyperlink r:id="rId403">
        <w:r w:rsidR="004B2BBB">
          <w:rPr>
            <w:i/>
            <w:color w:val="000000"/>
            <w:sz w:val="22"/>
            <w:szCs w:val="22"/>
          </w:rPr>
          <w:t>Journal of Agricultural &amp; Environmental Ethics</w:t>
        </w:r>
      </w:hyperlink>
      <w:hyperlink r:id="rId404">
        <w:r w:rsidR="004B2BBB">
          <w:rPr>
            <w:color w:val="000000"/>
            <w:sz w:val="22"/>
            <w:szCs w:val="22"/>
          </w:rPr>
          <w:t xml:space="preserve"> 20, no. 4 (August 1, 2007): 307–33.</w:t>
        </w:r>
      </w:hyperlink>
    </w:p>
    <w:p w14:paraId="00000223"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405">
        <w:r w:rsidR="004B2BBB">
          <w:rPr>
            <w:color w:val="000000"/>
            <w:sz w:val="22"/>
            <w:szCs w:val="22"/>
          </w:rPr>
          <w:t>Mishra, Ashok K., Hisham S. El-</w:t>
        </w:r>
        <w:proofErr w:type="spellStart"/>
        <w:r w:rsidR="004B2BBB">
          <w:rPr>
            <w:color w:val="000000"/>
            <w:sz w:val="22"/>
            <w:szCs w:val="22"/>
          </w:rPr>
          <w:t>Osta</w:t>
        </w:r>
        <w:proofErr w:type="spellEnd"/>
        <w:r w:rsidR="004B2BBB">
          <w:rPr>
            <w:color w:val="000000"/>
            <w:sz w:val="22"/>
            <w:szCs w:val="22"/>
          </w:rPr>
          <w:t xml:space="preserve">, and Saleem Shaik. “Succession Decisions in U.S. Family Farm Businesses.” </w:t>
        </w:r>
      </w:hyperlink>
      <w:hyperlink r:id="rId406">
        <w:r w:rsidR="004B2BBB">
          <w:rPr>
            <w:i/>
            <w:color w:val="000000"/>
            <w:sz w:val="22"/>
            <w:szCs w:val="22"/>
          </w:rPr>
          <w:t>Journal of Agricultural and Resource Economics</w:t>
        </w:r>
      </w:hyperlink>
      <w:hyperlink r:id="rId407">
        <w:r w:rsidR="004B2BBB">
          <w:rPr>
            <w:color w:val="000000"/>
            <w:sz w:val="22"/>
            <w:szCs w:val="22"/>
          </w:rPr>
          <w:t xml:space="preserve"> 35, no. 1 (2010): 133–52.</w:t>
        </w:r>
      </w:hyperlink>
    </w:p>
    <w:p w14:paraId="00000224"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408">
        <w:proofErr w:type="spellStart"/>
        <w:r w:rsidR="004B2BBB">
          <w:rPr>
            <w:color w:val="000000"/>
            <w:sz w:val="22"/>
            <w:szCs w:val="22"/>
          </w:rPr>
          <w:t>Naiman</w:t>
        </w:r>
        <w:proofErr w:type="spellEnd"/>
        <w:r w:rsidR="004B2BBB">
          <w:rPr>
            <w:color w:val="000000"/>
            <w:sz w:val="22"/>
            <w:szCs w:val="22"/>
          </w:rPr>
          <w:t xml:space="preserve">, Robert J., and Henri Decamps. “The Ecology of Interfaces: Riparian Zones.” </w:t>
        </w:r>
      </w:hyperlink>
      <w:hyperlink r:id="rId409">
        <w:r w:rsidR="004B2BBB">
          <w:rPr>
            <w:i/>
            <w:color w:val="000000"/>
            <w:sz w:val="22"/>
            <w:szCs w:val="22"/>
          </w:rPr>
          <w:t>Annual Review of Ecology and Systematics</w:t>
        </w:r>
      </w:hyperlink>
      <w:hyperlink r:id="rId410">
        <w:r w:rsidR="004B2BBB">
          <w:rPr>
            <w:color w:val="000000"/>
            <w:sz w:val="22"/>
            <w:szCs w:val="22"/>
          </w:rPr>
          <w:t xml:space="preserve"> 28 (1997): 621–58.</w:t>
        </w:r>
      </w:hyperlink>
    </w:p>
    <w:p w14:paraId="00000225"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411">
        <w:r w:rsidR="004B2BBB">
          <w:rPr>
            <w:color w:val="000000"/>
            <w:sz w:val="22"/>
            <w:szCs w:val="22"/>
          </w:rPr>
          <w:t xml:space="preserve">National Endowment for the Humanities. “Frequently Asked Questions about Section 106 of the National Historic Preservation Act.” National Endowment for the Humanities (NEH). Accessed December 8, 2018. </w:t>
        </w:r>
      </w:hyperlink>
      <w:hyperlink r:id="rId412">
        <w:r w:rsidR="004B2BBB">
          <w:rPr>
            <w:color w:val="000000"/>
            <w:sz w:val="22"/>
            <w:szCs w:val="22"/>
          </w:rPr>
          <w:t>https://www.neh.gov/grants/manage/frequently-asked-questions-about-section-106-the-national-historic-preservation-act</w:t>
        </w:r>
      </w:hyperlink>
      <w:hyperlink r:id="rId413">
        <w:r w:rsidR="004B2BBB">
          <w:rPr>
            <w:color w:val="000000"/>
            <w:sz w:val="22"/>
            <w:szCs w:val="22"/>
          </w:rPr>
          <w:t>.</w:t>
        </w:r>
      </w:hyperlink>
    </w:p>
    <w:p w14:paraId="00000226"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414">
        <w:r w:rsidR="004B2BBB">
          <w:rPr>
            <w:color w:val="000000"/>
            <w:sz w:val="22"/>
            <w:szCs w:val="22"/>
          </w:rPr>
          <w:t>National Historic Preservation Act, Pub. L. No. 89-665, Title 54 Of the United States Code (1966).</w:t>
        </w:r>
      </w:hyperlink>
    </w:p>
    <w:p w14:paraId="00000227"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415">
        <w:r w:rsidR="004B2BBB">
          <w:rPr>
            <w:color w:val="000000"/>
            <w:sz w:val="22"/>
            <w:szCs w:val="22"/>
          </w:rPr>
          <w:t xml:space="preserve">National Oceanographic and Atmospheric Administration. “GOES East Sees Swollen Rivers After Hurricane Florence.” NOAA National Environmental Satellite, Data, and Information Service (NESDIS). Accessed October 17, 2018. </w:t>
        </w:r>
      </w:hyperlink>
      <w:hyperlink r:id="rId416">
        <w:r w:rsidR="004B2BBB">
          <w:rPr>
            <w:color w:val="000000"/>
            <w:sz w:val="22"/>
            <w:szCs w:val="22"/>
          </w:rPr>
          <w:t>https://www.nesdis.noaa.gov/content/goes-east-sees-swollen-rivers-after-hurricane-florence</w:t>
        </w:r>
      </w:hyperlink>
      <w:hyperlink r:id="rId417">
        <w:r w:rsidR="004B2BBB">
          <w:rPr>
            <w:color w:val="000000"/>
            <w:sz w:val="22"/>
            <w:szCs w:val="22"/>
          </w:rPr>
          <w:t>.</w:t>
        </w:r>
      </w:hyperlink>
    </w:p>
    <w:p w14:paraId="00000228"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418">
        <w:r w:rsidR="004B2BBB">
          <w:rPr>
            <w:color w:val="000000"/>
            <w:sz w:val="22"/>
            <w:szCs w:val="22"/>
          </w:rPr>
          <w:t xml:space="preserve">National Register Branch, Interagency Resources Division, National Park Service. “National Register Bulletin 15: Hot to Apply the National Register Criteria for Evaluation,” 1995. </w:t>
        </w:r>
      </w:hyperlink>
      <w:hyperlink r:id="rId419">
        <w:r w:rsidR="004B2BBB">
          <w:rPr>
            <w:color w:val="000000"/>
            <w:sz w:val="22"/>
            <w:szCs w:val="22"/>
          </w:rPr>
          <w:t>https://www.nps.gov/nr/publications/bulletins/pdfs/nrb15.pdf</w:t>
        </w:r>
      </w:hyperlink>
      <w:hyperlink r:id="rId420">
        <w:r w:rsidR="004B2BBB">
          <w:rPr>
            <w:color w:val="000000"/>
            <w:sz w:val="22"/>
            <w:szCs w:val="22"/>
          </w:rPr>
          <w:t>.</w:t>
        </w:r>
      </w:hyperlink>
    </w:p>
    <w:p w14:paraId="00000229"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421">
        <w:r w:rsidR="004B2BBB">
          <w:rPr>
            <w:color w:val="000000"/>
            <w:sz w:val="22"/>
            <w:szCs w:val="22"/>
          </w:rPr>
          <w:t xml:space="preserve">“National Register of Historic Places,” title 36 Code of Federal Regulations § 60 (1966). </w:t>
        </w:r>
      </w:hyperlink>
      <w:hyperlink r:id="rId422">
        <w:r w:rsidR="004B2BBB">
          <w:rPr>
            <w:color w:val="000000"/>
            <w:sz w:val="22"/>
            <w:szCs w:val="22"/>
          </w:rPr>
          <w:t>https://www.gpo.gov/fdsys/pkg/CFR-2012-title36-vol1/pdf/CFR-2012-title36-vol1-part60.pdf</w:t>
        </w:r>
      </w:hyperlink>
      <w:hyperlink r:id="rId423">
        <w:r w:rsidR="004B2BBB">
          <w:rPr>
            <w:color w:val="000000"/>
            <w:sz w:val="22"/>
            <w:szCs w:val="22"/>
          </w:rPr>
          <w:t>.</w:t>
        </w:r>
      </w:hyperlink>
    </w:p>
    <w:p w14:paraId="0000022A"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424">
        <w:r w:rsidR="004B2BBB">
          <w:rPr>
            <w:color w:val="000000"/>
            <w:sz w:val="22"/>
            <w:szCs w:val="22"/>
          </w:rPr>
          <w:t xml:space="preserve">National Resource Conservation Service. “Environmental Quality Incentives Program.” USDA National Resource Conservation Service. Accessed April 7, 2019. </w:t>
        </w:r>
      </w:hyperlink>
      <w:hyperlink r:id="rId425">
        <w:r w:rsidR="004B2BBB">
          <w:rPr>
            <w:color w:val="000000"/>
            <w:sz w:val="22"/>
            <w:szCs w:val="22"/>
          </w:rPr>
          <w:t>https://www.nrcs.usda.gov/wps/portal/nrcs/main/national/programs/financial/eqip/</w:t>
        </w:r>
      </w:hyperlink>
      <w:hyperlink r:id="rId426">
        <w:r w:rsidR="004B2BBB">
          <w:rPr>
            <w:color w:val="000000"/>
            <w:sz w:val="22"/>
            <w:szCs w:val="22"/>
          </w:rPr>
          <w:t>.</w:t>
        </w:r>
      </w:hyperlink>
    </w:p>
    <w:p w14:paraId="0000022B"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427">
        <w:r w:rsidR="004B2BBB">
          <w:rPr>
            <w:color w:val="000000"/>
            <w:sz w:val="22"/>
            <w:szCs w:val="22"/>
          </w:rPr>
          <w:t xml:space="preserve">National Trust for Historic Preservation. “We’re Saving Places.” savingplaces.org. Accessed March 11, </w:t>
        </w:r>
        <w:r w:rsidR="004B2BBB">
          <w:rPr>
            <w:color w:val="000000"/>
            <w:sz w:val="22"/>
            <w:szCs w:val="22"/>
          </w:rPr>
          <w:lastRenderedPageBreak/>
          <w:t xml:space="preserve">2019. </w:t>
        </w:r>
      </w:hyperlink>
      <w:hyperlink r:id="rId428">
        <w:r w:rsidR="004B2BBB">
          <w:rPr>
            <w:color w:val="000000"/>
            <w:sz w:val="22"/>
            <w:szCs w:val="22"/>
          </w:rPr>
          <w:t>https://savingplaces.org/we-are-saving-places</w:t>
        </w:r>
      </w:hyperlink>
      <w:hyperlink r:id="rId429">
        <w:r w:rsidR="004B2BBB">
          <w:rPr>
            <w:color w:val="000000"/>
            <w:sz w:val="22"/>
            <w:szCs w:val="22"/>
          </w:rPr>
          <w:t>.</w:t>
        </w:r>
      </w:hyperlink>
    </w:p>
    <w:p w14:paraId="0000022C"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430">
        <w:r w:rsidR="004B2BBB">
          <w:rPr>
            <w:color w:val="000000"/>
            <w:sz w:val="22"/>
            <w:szCs w:val="22"/>
          </w:rPr>
          <w:t xml:space="preserve">Natural Resource Conservation Services Pennsylvania. “No-till and Cover Crops in Pennsylvania.” Accessed January 27, 2019. </w:t>
        </w:r>
      </w:hyperlink>
      <w:hyperlink r:id="rId431">
        <w:r w:rsidR="004B2BBB">
          <w:rPr>
            <w:color w:val="000000"/>
            <w:sz w:val="22"/>
            <w:szCs w:val="22"/>
          </w:rPr>
          <w:t>https://www.nrcs.usda.gov/wps/portal/nrcs/detail/pa/soils/health/?cid=nrcseprd1221425</w:t>
        </w:r>
      </w:hyperlink>
      <w:hyperlink r:id="rId432">
        <w:r w:rsidR="004B2BBB">
          <w:rPr>
            <w:color w:val="000000"/>
            <w:sz w:val="22"/>
            <w:szCs w:val="22"/>
          </w:rPr>
          <w:t>.</w:t>
        </w:r>
      </w:hyperlink>
    </w:p>
    <w:p w14:paraId="0000022D"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433">
        <w:r w:rsidR="004B2BBB">
          <w:rPr>
            <w:color w:val="000000"/>
            <w:sz w:val="22"/>
            <w:szCs w:val="22"/>
          </w:rPr>
          <w:t xml:space="preserve">Newnam, Jared. “Farm to Table and the Local Food Movement.” South University, August 12, 2011. </w:t>
        </w:r>
      </w:hyperlink>
      <w:hyperlink r:id="rId434">
        <w:r w:rsidR="004B2BBB">
          <w:rPr>
            <w:color w:val="000000"/>
            <w:sz w:val="22"/>
            <w:szCs w:val="22"/>
          </w:rPr>
          <w:t>https://www.southuniversity.edu/whoweare/newsroom/blog/farm-to-table-and-the-local-food-movement-49961</w:t>
        </w:r>
      </w:hyperlink>
      <w:hyperlink r:id="rId435">
        <w:r w:rsidR="004B2BBB">
          <w:rPr>
            <w:color w:val="000000"/>
            <w:sz w:val="22"/>
            <w:szCs w:val="22"/>
          </w:rPr>
          <w:t>.</w:t>
        </w:r>
      </w:hyperlink>
    </w:p>
    <w:p w14:paraId="0000022E"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436">
        <w:r w:rsidR="004B2BBB">
          <w:rPr>
            <w:color w:val="000000"/>
            <w:sz w:val="22"/>
            <w:szCs w:val="22"/>
          </w:rPr>
          <w:t xml:space="preserve">Newswires. “Walmart Will Drop Wild Oats Brand, Restock with Own Organic Staples.” </w:t>
        </w:r>
      </w:hyperlink>
      <w:hyperlink r:id="rId437">
        <w:r w:rsidR="004B2BBB">
          <w:rPr>
            <w:i/>
            <w:color w:val="000000"/>
            <w:sz w:val="22"/>
            <w:szCs w:val="22"/>
          </w:rPr>
          <w:t>The Denver Post</w:t>
        </w:r>
      </w:hyperlink>
      <w:hyperlink r:id="rId438">
        <w:r w:rsidR="004B2BBB">
          <w:rPr>
            <w:color w:val="000000"/>
            <w:sz w:val="22"/>
            <w:szCs w:val="22"/>
          </w:rPr>
          <w:t xml:space="preserve">, April 25, 2016. </w:t>
        </w:r>
      </w:hyperlink>
      <w:hyperlink r:id="rId439">
        <w:r w:rsidR="004B2BBB">
          <w:rPr>
            <w:color w:val="000000"/>
            <w:sz w:val="22"/>
            <w:szCs w:val="22"/>
          </w:rPr>
          <w:t>http://www.denverpost.com/2016/04/25/walmart-will-drop-wild-oats-brand-restock-with-own-organic-staples/</w:t>
        </w:r>
      </w:hyperlink>
      <w:hyperlink r:id="rId440">
        <w:r w:rsidR="004B2BBB">
          <w:rPr>
            <w:color w:val="000000"/>
            <w:sz w:val="22"/>
            <w:szCs w:val="22"/>
          </w:rPr>
          <w:t>.</w:t>
        </w:r>
      </w:hyperlink>
    </w:p>
    <w:p w14:paraId="0000022F"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441">
        <w:r w:rsidR="004B2BBB">
          <w:rPr>
            <w:color w:val="000000"/>
            <w:sz w:val="22"/>
            <w:szCs w:val="22"/>
          </w:rPr>
          <w:t xml:space="preserve">Office of Resource Conservation. “Cover Crop Program Overview.” Maryland Department of Agriculture, n.d. </w:t>
        </w:r>
      </w:hyperlink>
      <w:hyperlink r:id="rId442">
        <w:r w:rsidR="004B2BBB">
          <w:rPr>
            <w:color w:val="000000"/>
            <w:sz w:val="22"/>
            <w:szCs w:val="22"/>
          </w:rPr>
          <w:t>https://mda.maryland.gov/resource_conservation/counties/Cover%20Crop%20Program%20Overview.pdf</w:t>
        </w:r>
      </w:hyperlink>
      <w:hyperlink r:id="rId443">
        <w:r w:rsidR="004B2BBB">
          <w:rPr>
            <w:color w:val="000000"/>
            <w:sz w:val="22"/>
            <w:szCs w:val="22"/>
          </w:rPr>
          <w:t>.</w:t>
        </w:r>
      </w:hyperlink>
    </w:p>
    <w:p w14:paraId="00000230"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444">
        <w:r w:rsidR="004B2BBB">
          <w:rPr>
            <w:color w:val="000000"/>
            <w:sz w:val="22"/>
            <w:szCs w:val="22"/>
          </w:rPr>
          <w:t xml:space="preserve">Organization for Economic Co-operation and Development (OECD). “Multifunctionality - Towards an Analytical Framework,” 2001. </w:t>
        </w:r>
      </w:hyperlink>
      <w:hyperlink r:id="rId445">
        <w:r w:rsidR="004B2BBB">
          <w:rPr>
            <w:color w:val="000000"/>
            <w:sz w:val="22"/>
            <w:szCs w:val="22"/>
          </w:rPr>
          <w:t>https://www.oecd.org/tad/agricultural-policies/40782727.pdf</w:t>
        </w:r>
      </w:hyperlink>
      <w:hyperlink r:id="rId446">
        <w:r w:rsidR="004B2BBB">
          <w:rPr>
            <w:color w:val="000000"/>
            <w:sz w:val="22"/>
            <w:szCs w:val="22"/>
          </w:rPr>
          <w:t>.</w:t>
        </w:r>
      </w:hyperlink>
    </w:p>
    <w:p w14:paraId="00000231"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447">
        <w:r w:rsidR="004B2BBB">
          <w:rPr>
            <w:color w:val="000000"/>
            <w:sz w:val="22"/>
            <w:szCs w:val="22"/>
          </w:rPr>
          <w:t>Orwig, April. Letter to Author, May 1, 2017.</w:t>
        </w:r>
      </w:hyperlink>
    </w:p>
    <w:p w14:paraId="00000232"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448">
        <w:proofErr w:type="spellStart"/>
        <w:r w:rsidR="004B2BBB">
          <w:rPr>
            <w:color w:val="000000"/>
            <w:sz w:val="22"/>
            <w:szCs w:val="22"/>
          </w:rPr>
          <w:t>Paolisso</w:t>
        </w:r>
        <w:proofErr w:type="spellEnd"/>
        <w:r w:rsidR="004B2BBB">
          <w:rPr>
            <w:color w:val="000000"/>
            <w:sz w:val="22"/>
            <w:szCs w:val="22"/>
          </w:rPr>
          <w:t xml:space="preserve">, M., J. Trombley, R. R. Hood, and K. G. </w:t>
        </w:r>
        <w:proofErr w:type="spellStart"/>
        <w:r w:rsidR="004B2BBB">
          <w:rPr>
            <w:color w:val="000000"/>
            <w:sz w:val="22"/>
            <w:szCs w:val="22"/>
          </w:rPr>
          <w:t>Sellner</w:t>
        </w:r>
        <w:proofErr w:type="spellEnd"/>
        <w:r w:rsidR="004B2BBB">
          <w:rPr>
            <w:color w:val="000000"/>
            <w:sz w:val="22"/>
            <w:szCs w:val="22"/>
          </w:rPr>
          <w:t xml:space="preserve">. “Environmental Models and Public Stakeholders in the Chesapeake Bay Watershed.” </w:t>
        </w:r>
      </w:hyperlink>
      <w:hyperlink r:id="rId449">
        <w:r w:rsidR="004B2BBB">
          <w:rPr>
            <w:i/>
            <w:color w:val="000000"/>
            <w:sz w:val="22"/>
            <w:szCs w:val="22"/>
          </w:rPr>
          <w:t>Estuaries and Coasts</w:t>
        </w:r>
      </w:hyperlink>
      <w:hyperlink r:id="rId450">
        <w:r w:rsidR="004B2BBB">
          <w:rPr>
            <w:color w:val="000000"/>
            <w:sz w:val="22"/>
            <w:szCs w:val="22"/>
          </w:rPr>
          <w:t xml:space="preserve"> 38 (2015): S97–113.</w:t>
        </w:r>
      </w:hyperlink>
    </w:p>
    <w:p w14:paraId="00000233"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451">
        <w:r w:rsidR="004B2BBB">
          <w:rPr>
            <w:color w:val="000000"/>
            <w:sz w:val="22"/>
            <w:szCs w:val="22"/>
          </w:rPr>
          <w:t xml:space="preserve">Parker, Patricia L., and Thomas F. King. “Guidelines for Evaluating and Documenting Traditional Cultural Properties, National Register of Historic Places Bulletin (Nrb 38).” DOI -- NPS -- NCCR -- National Register of Historic Places, November 28, 2001. </w:t>
        </w:r>
      </w:hyperlink>
      <w:hyperlink r:id="rId452">
        <w:r w:rsidR="004B2BBB">
          <w:rPr>
            <w:color w:val="000000"/>
            <w:sz w:val="22"/>
            <w:szCs w:val="22"/>
          </w:rPr>
          <w:t>http://www.nps.gov/history/nr/publications/bulletins/nrb38/index.htm</w:t>
        </w:r>
      </w:hyperlink>
      <w:hyperlink r:id="rId453">
        <w:r w:rsidR="004B2BBB">
          <w:rPr>
            <w:color w:val="000000"/>
            <w:sz w:val="22"/>
            <w:szCs w:val="22"/>
          </w:rPr>
          <w:t>.</w:t>
        </w:r>
      </w:hyperlink>
    </w:p>
    <w:p w14:paraId="00000234"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454">
        <w:r w:rsidR="004B2BBB">
          <w:rPr>
            <w:color w:val="000000"/>
            <w:sz w:val="22"/>
            <w:szCs w:val="22"/>
          </w:rPr>
          <w:t xml:space="preserve">Pelton, Tom. </w:t>
        </w:r>
      </w:hyperlink>
      <w:hyperlink r:id="rId455">
        <w:r w:rsidR="004B2BBB">
          <w:rPr>
            <w:i/>
            <w:color w:val="000000"/>
            <w:sz w:val="22"/>
            <w:szCs w:val="22"/>
          </w:rPr>
          <w:t>The Chesapeake in Focus: Transforming the Natural World</w:t>
        </w:r>
      </w:hyperlink>
      <w:hyperlink r:id="rId456">
        <w:r w:rsidR="004B2BBB">
          <w:rPr>
            <w:color w:val="000000"/>
            <w:sz w:val="22"/>
            <w:szCs w:val="22"/>
          </w:rPr>
          <w:t>. Baltimore: Johns Hopkins University Press, 2018.</w:t>
        </w:r>
      </w:hyperlink>
    </w:p>
    <w:p w14:paraId="00000235"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457">
        <w:r w:rsidR="004B2BBB">
          <w:rPr>
            <w:color w:val="000000"/>
            <w:sz w:val="22"/>
            <w:szCs w:val="22"/>
          </w:rPr>
          <w:t xml:space="preserve">Pennsylvania Land Trust Association. “Model Grant of Conservation Easement and Declaration of Covenants </w:t>
        </w:r>
        <w:proofErr w:type="gramStart"/>
        <w:r w:rsidR="004B2BBB">
          <w:rPr>
            <w:color w:val="000000"/>
            <w:sz w:val="22"/>
            <w:szCs w:val="22"/>
          </w:rPr>
          <w:t>With</w:t>
        </w:r>
        <w:proofErr w:type="gramEnd"/>
        <w:r w:rsidR="004B2BBB">
          <w:rPr>
            <w:color w:val="000000"/>
            <w:sz w:val="22"/>
            <w:szCs w:val="22"/>
          </w:rPr>
          <w:t xml:space="preserve"> Commentary,” April 3, 2018.</w:t>
        </w:r>
      </w:hyperlink>
    </w:p>
    <w:p w14:paraId="00000236"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458">
        <w:r w:rsidR="004B2BBB">
          <w:rPr>
            <w:color w:val="000000"/>
            <w:sz w:val="22"/>
            <w:szCs w:val="22"/>
          </w:rPr>
          <w:t xml:space="preserve">“Pennsylvania Statutes Title 35 P.S. Health and Safety § 691.702 | FindLaw.” Findlaw. Accessed February 3, 2019. </w:t>
        </w:r>
      </w:hyperlink>
      <w:hyperlink r:id="rId459">
        <w:r w:rsidR="004B2BBB">
          <w:rPr>
            <w:color w:val="000000"/>
            <w:sz w:val="22"/>
            <w:szCs w:val="22"/>
          </w:rPr>
          <w:t>https://codes.findlaw.com/pa/title-35-ps-health-and-safety/pa-st-sect-35-691-702.html</w:t>
        </w:r>
      </w:hyperlink>
      <w:hyperlink r:id="rId460">
        <w:r w:rsidR="004B2BBB">
          <w:rPr>
            <w:color w:val="000000"/>
            <w:sz w:val="22"/>
            <w:szCs w:val="22"/>
          </w:rPr>
          <w:t>.</w:t>
        </w:r>
      </w:hyperlink>
    </w:p>
    <w:p w14:paraId="00000237"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461">
        <w:r w:rsidR="004B2BBB">
          <w:rPr>
            <w:color w:val="000000"/>
            <w:sz w:val="22"/>
            <w:szCs w:val="22"/>
          </w:rPr>
          <w:t>Perkins, Jennifer. Letter to David Weir, September 24, 2018.</w:t>
        </w:r>
      </w:hyperlink>
    </w:p>
    <w:p w14:paraId="00000238"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462">
        <w:r w:rsidR="004B2BBB">
          <w:rPr>
            <w:color w:val="000000"/>
            <w:sz w:val="22"/>
            <w:szCs w:val="22"/>
          </w:rPr>
          <w:t xml:space="preserve">Phelps, Jacob, Luis Roman Carrasco, Edward L. Webb, </w:t>
        </w:r>
        <w:proofErr w:type="spellStart"/>
        <w:r w:rsidR="004B2BBB">
          <w:rPr>
            <w:color w:val="000000"/>
            <w:sz w:val="22"/>
            <w:szCs w:val="22"/>
          </w:rPr>
          <w:t>Lian</w:t>
        </w:r>
        <w:proofErr w:type="spellEnd"/>
        <w:r w:rsidR="004B2BBB">
          <w:rPr>
            <w:color w:val="000000"/>
            <w:sz w:val="22"/>
            <w:szCs w:val="22"/>
          </w:rPr>
          <w:t xml:space="preserve"> Pin Koh, and </w:t>
        </w:r>
        <w:proofErr w:type="spellStart"/>
        <w:r w:rsidR="004B2BBB">
          <w:rPr>
            <w:color w:val="000000"/>
            <w:sz w:val="22"/>
            <w:szCs w:val="22"/>
          </w:rPr>
          <w:t>Unai</w:t>
        </w:r>
        <w:proofErr w:type="spellEnd"/>
        <w:r w:rsidR="004B2BBB">
          <w:rPr>
            <w:color w:val="000000"/>
            <w:sz w:val="22"/>
            <w:szCs w:val="22"/>
          </w:rPr>
          <w:t xml:space="preserve"> Pascual. “Agricultural Intensification Escalates Future Conservation Costs.” </w:t>
        </w:r>
      </w:hyperlink>
      <w:hyperlink r:id="rId463">
        <w:r w:rsidR="004B2BBB">
          <w:rPr>
            <w:i/>
            <w:color w:val="000000"/>
            <w:sz w:val="22"/>
            <w:szCs w:val="22"/>
          </w:rPr>
          <w:t>Proceedings of the National Academy of Sciences of the United States of America</w:t>
        </w:r>
      </w:hyperlink>
      <w:hyperlink r:id="rId464">
        <w:r w:rsidR="004B2BBB">
          <w:rPr>
            <w:color w:val="000000"/>
            <w:sz w:val="22"/>
            <w:szCs w:val="22"/>
          </w:rPr>
          <w:t xml:space="preserve"> 110, no. 19 (May 7, 2013): 7601–6.</w:t>
        </w:r>
      </w:hyperlink>
    </w:p>
    <w:p w14:paraId="00000239"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465">
        <w:proofErr w:type="spellStart"/>
        <w:r w:rsidR="004B2BBB">
          <w:rPr>
            <w:color w:val="000000"/>
            <w:sz w:val="22"/>
            <w:szCs w:val="22"/>
          </w:rPr>
          <w:t>Piotrowicz</w:t>
        </w:r>
        <w:proofErr w:type="spellEnd"/>
        <w:r w:rsidR="004B2BBB">
          <w:rPr>
            <w:color w:val="000000"/>
            <w:sz w:val="22"/>
            <w:szCs w:val="22"/>
          </w:rPr>
          <w:t>, Linda. Interview by Author, May 2, 2017.</w:t>
        </w:r>
      </w:hyperlink>
    </w:p>
    <w:p w14:paraId="0000023A"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466">
        <w:r w:rsidR="004B2BBB">
          <w:rPr>
            <w:color w:val="000000"/>
            <w:sz w:val="22"/>
            <w:szCs w:val="22"/>
          </w:rPr>
          <w:t xml:space="preserve">“Preservation Brief 36: Protecting Cultural Landscapes: Planning, Treatment and Management of Historic Landscapes.” Accessed October 7, 2018. </w:t>
        </w:r>
      </w:hyperlink>
      <w:hyperlink r:id="rId467">
        <w:r w:rsidR="004B2BBB">
          <w:rPr>
            <w:color w:val="000000"/>
            <w:sz w:val="22"/>
            <w:szCs w:val="22"/>
          </w:rPr>
          <w:t>https://www.nps.gov/tps/how-to-preserve/briefs/36-cultural-landscapes.htm</w:t>
        </w:r>
      </w:hyperlink>
      <w:hyperlink r:id="rId468">
        <w:r w:rsidR="004B2BBB">
          <w:rPr>
            <w:color w:val="000000"/>
            <w:sz w:val="22"/>
            <w:szCs w:val="22"/>
          </w:rPr>
          <w:t>.</w:t>
        </w:r>
      </w:hyperlink>
    </w:p>
    <w:p w14:paraId="0000023B"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469">
        <w:r w:rsidR="004B2BBB">
          <w:rPr>
            <w:color w:val="000000"/>
            <w:sz w:val="22"/>
            <w:szCs w:val="22"/>
          </w:rPr>
          <w:t xml:space="preserve">Preservation Maryland. “Dominion Energy Halts Project in Historic Mount Vernon Viewshed.” Preservation Maryland. Preservation Maryland. Accessed December 8, 2018. </w:t>
        </w:r>
      </w:hyperlink>
      <w:hyperlink r:id="rId470">
        <w:r w:rsidR="004B2BBB">
          <w:rPr>
            <w:color w:val="000000"/>
            <w:sz w:val="22"/>
            <w:szCs w:val="22"/>
          </w:rPr>
          <w:t>http://www.preservationmaryland.org/dominion-energy-halts-project-in-historic-mount-vernon-viewshed/</w:t>
        </w:r>
      </w:hyperlink>
      <w:hyperlink r:id="rId471">
        <w:r w:rsidR="004B2BBB">
          <w:rPr>
            <w:color w:val="000000"/>
            <w:sz w:val="22"/>
            <w:szCs w:val="22"/>
          </w:rPr>
          <w:t>.</w:t>
        </w:r>
      </w:hyperlink>
    </w:p>
    <w:p w14:paraId="0000023C"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472">
        <w:r w:rsidR="004B2BBB">
          <w:rPr>
            <w:color w:val="000000"/>
            <w:sz w:val="22"/>
            <w:szCs w:val="22"/>
          </w:rPr>
          <w:t xml:space="preserve">Prince, Hugh. “Sense of Place.” </w:t>
        </w:r>
      </w:hyperlink>
      <w:hyperlink r:id="rId473">
        <w:r w:rsidR="004B2BBB">
          <w:rPr>
            <w:i/>
            <w:color w:val="000000"/>
            <w:sz w:val="22"/>
            <w:szCs w:val="22"/>
          </w:rPr>
          <w:t>Area</w:t>
        </w:r>
      </w:hyperlink>
      <w:hyperlink r:id="rId474">
        <w:r w:rsidR="004B2BBB">
          <w:rPr>
            <w:color w:val="000000"/>
            <w:sz w:val="22"/>
            <w:szCs w:val="22"/>
          </w:rPr>
          <w:t xml:space="preserve"> 6, no. 1 (1974): 71–72.</w:t>
        </w:r>
      </w:hyperlink>
    </w:p>
    <w:p w14:paraId="0000023D"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475">
        <w:proofErr w:type="spellStart"/>
        <w:r w:rsidR="004B2BBB">
          <w:rPr>
            <w:color w:val="000000"/>
            <w:sz w:val="22"/>
            <w:szCs w:val="22"/>
          </w:rPr>
          <w:t>Provencher</w:t>
        </w:r>
        <w:proofErr w:type="spellEnd"/>
        <w:r w:rsidR="004B2BBB">
          <w:rPr>
            <w:color w:val="000000"/>
            <w:sz w:val="22"/>
            <w:szCs w:val="22"/>
          </w:rPr>
          <w:t xml:space="preserve">, Shaun. </w:t>
        </w:r>
      </w:hyperlink>
      <w:hyperlink r:id="rId476">
        <w:r w:rsidR="004B2BBB">
          <w:rPr>
            <w:i/>
            <w:color w:val="000000"/>
            <w:sz w:val="22"/>
            <w:szCs w:val="22"/>
          </w:rPr>
          <w:t>Common Wealth: The Past and Future of Town Commons</w:t>
        </w:r>
      </w:hyperlink>
      <w:hyperlink r:id="rId477">
        <w:r w:rsidR="004B2BBB">
          <w:rPr>
            <w:color w:val="000000"/>
            <w:sz w:val="22"/>
            <w:szCs w:val="22"/>
          </w:rPr>
          <w:t xml:space="preserve">. Terra </w:t>
        </w:r>
        <w:proofErr w:type="spellStart"/>
        <w:r w:rsidR="004B2BBB">
          <w:rPr>
            <w:color w:val="000000"/>
            <w:sz w:val="22"/>
            <w:szCs w:val="22"/>
          </w:rPr>
          <w:t>Firma</w:t>
        </w:r>
        <w:proofErr w:type="spellEnd"/>
        <w:r w:rsidR="004B2BBB">
          <w:rPr>
            <w:color w:val="000000"/>
            <w:sz w:val="22"/>
            <w:szCs w:val="22"/>
          </w:rPr>
          <w:t>. Commonwealth of Massachusetts, Department of Conservation and Recreation, Historic Land Preservation Initiative, 2008.</w:t>
        </w:r>
      </w:hyperlink>
    </w:p>
    <w:p w14:paraId="0000023E"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478">
        <w:r w:rsidR="004B2BBB">
          <w:rPr>
            <w:color w:val="000000"/>
            <w:sz w:val="22"/>
            <w:szCs w:val="22"/>
          </w:rPr>
          <w:t xml:space="preserve">Quaide, Rustin. “Nrb 16A Part 2: How to Complete the National Register of Historic Places Registration </w:t>
        </w:r>
        <w:r w:rsidR="004B2BBB">
          <w:rPr>
            <w:color w:val="000000"/>
            <w:sz w:val="22"/>
            <w:szCs w:val="22"/>
          </w:rPr>
          <w:lastRenderedPageBreak/>
          <w:t xml:space="preserve">Form: National Register of Historic Places.” DOI -- NPS -- NCCR -- National Register of Historic Places, November 29, 2001. </w:t>
        </w:r>
      </w:hyperlink>
      <w:hyperlink r:id="rId479">
        <w:r w:rsidR="004B2BBB">
          <w:rPr>
            <w:color w:val="000000"/>
            <w:sz w:val="22"/>
            <w:szCs w:val="22"/>
          </w:rPr>
          <w:t>http://www.nps.gov/history/nr/publications/bulletins/nrb16a/index.htm</w:t>
        </w:r>
      </w:hyperlink>
      <w:hyperlink r:id="rId480">
        <w:r w:rsidR="004B2BBB">
          <w:rPr>
            <w:color w:val="000000"/>
            <w:sz w:val="22"/>
            <w:szCs w:val="22"/>
          </w:rPr>
          <w:t>.</w:t>
        </w:r>
      </w:hyperlink>
    </w:p>
    <w:p w14:paraId="0000023F"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481">
        <w:r w:rsidR="004B2BBB">
          <w:rPr>
            <w:color w:val="000000"/>
            <w:sz w:val="22"/>
            <w:szCs w:val="22"/>
          </w:rPr>
          <w:t xml:space="preserve">Quaide, Rustin A. “Section VIII: How to Apply the National Register Criteria for Evaluation, National Register of Historic Places Bulletin (NRB 15).” DOI -- NPS -- NCCR -- National Register of Historic Places, November 28, 2001. </w:t>
        </w:r>
      </w:hyperlink>
      <w:hyperlink r:id="rId482">
        <w:r w:rsidR="004B2BBB">
          <w:rPr>
            <w:color w:val="000000"/>
            <w:sz w:val="22"/>
            <w:szCs w:val="22"/>
          </w:rPr>
          <w:t>http://www.nps.gov/history/nr/publications/bulletins/nrb15/index.htm</w:t>
        </w:r>
      </w:hyperlink>
      <w:hyperlink r:id="rId483">
        <w:r w:rsidR="004B2BBB">
          <w:rPr>
            <w:color w:val="000000"/>
            <w:sz w:val="22"/>
            <w:szCs w:val="22"/>
          </w:rPr>
          <w:t>.</w:t>
        </w:r>
      </w:hyperlink>
    </w:p>
    <w:p w14:paraId="00000240"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484">
        <w:r w:rsidR="004B2BBB">
          <w:rPr>
            <w:color w:val="000000"/>
            <w:sz w:val="22"/>
            <w:szCs w:val="22"/>
          </w:rPr>
          <w:t xml:space="preserve">Robb, Charles, Harry Hughs, Richard Thornburgh, Marion Barry, Joseph Gartlan Jr, and William Ruckleshaus. “The Chesapeake Bay Agreement of 1983,” December 9, 1983. </w:t>
        </w:r>
      </w:hyperlink>
      <w:hyperlink r:id="rId485">
        <w:r w:rsidR="004B2BBB">
          <w:rPr>
            <w:color w:val="000000"/>
            <w:sz w:val="22"/>
            <w:szCs w:val="22"/>
          </w:rPr>
          <w:t>https://www.chesapeakebay.net/documents/1983_CB_Agreement2.pdf</w:t>
        </w:r>
      </w:hyperlink>
      <w:hyperlink r:id="rId486">
        <w:r w:rsidR="004B2BBB">
          <w:rPr>
            <w:color w:val="000000"/>
            <w:sz w:val="22"/>
            <w:szCs w:val="22"/>
          </w:rPr>
          <w:t>.</w:t>
        </w:r>
      </w:hyperlink>
    </w:p>
    <w:p w14:paraId="00000241"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487">
        <w:r w:rsidR="004B2BBB">
          <w:rPr>
            <w:color w:val="000000"/>
            <w:sz w:val="22"/>
            <w:szCs w:val="22"/>
          </w:rPr>
          <w:t xml:space="preserve">Robinson, Guy M. “Canada’s Environmental Farm Plans: Transatlantic Perspectives on </w:t>
        </w:r>
        <w:proofErr w:type="spellStart"/>
        <w:r w:rsidR="004B2BBB">
          <w:rPr>
            <w:color w:val="000000"/>
            <w:sz w:val="22"/>
            <w:szCs w:val="22"/>
          </w:rPr>
          <w:t>Agri</w:t>
        </w:r>
        <w:proofErr w:type="spellEnd"/>
        <w:r w:rsidR="004B2BBB">
          <w:rPr>
            <w:color w:val="000000"/>
            <w:sz w:val="22"/>
            <w:szCs w:val="22"/>
          </w:rPr>
          <w:t xml:space="preserve">-Environmental Schemes.” </w:t>
        </w:r>
      </w:hyperlink>
      <w:hyperlink r:id="rId488">
        <w:r w:rsidR="004B2BBB">
          <w:rPr>
            <w:i/>
            <w:color w:val="000000"/>
            <w:sz w:val="22"/>
            <w:szCs w:val="22"/>
          </w:rPr>
          <w:t>The Geographical Journal</w:t>
        </w:r>
      </w:hyperlink>
      <w:hyperlink r:id="rId489">
        <w:r w:rsidR="004B2BBB">
          <w:rPr>
            <w:color w:val="000000"/>
            <w:sz w:val="22"/>
            <w:szCs w:val="22"/>
          </w:rPr>
          <w:t xml:space="preserve"> 172, no. 3 (2006): 206–18.</w:t>
        </w:r>
      </w:hyperlink>
    </w:p>
    <w:p w14:paraId="00000242"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490">
        <w:r w:rsidR="004B2BBB">
          <w:rPr>
            <w:color w:val="000000"/>
            <w:sz w:val="22"/>
            <w:szCs w:val="22"/>
          </w:rPr>
          <w:t xml:space="preserve">Robinson, Jill R., and Ted L. Napier. “Adoption of Nutrient Management Techniques to Reduce Hypoxia in the Gulf of Mexico.” </w:t>
        </w:r>
      </w:hyperlink>
      <w:hyperlink r:id="rId491">
        <w:r w:rsidR="004B2BBB">
          <w:rPr>
            <w:i/>
            <w:color w:val="000000"/>
            <w:sz w:val="22"/>
            <w:szCs w:val="22"/>
          </w:rPr>
          <w:t>Agricultural Systems</w:t>
        </w:r>
      </w:hyperlink>
      <w:hyperlink r:id="rId492">
        <w:r w:rsidR="004B2BBB">
          <w:rPr>
            <w:color w:val="000000"/>
            <w:sz w:val="22"/>
            <w:szCs w:val="22"/>
          </w:rPr>
          <w:t xml:space="preserve"> 72 (2002): 197–213.</w:t>
        </w:r>
      </w:hyperlink>
    </w:p>
    <w:p w14:paraId="00000243"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493">
        <w:proofErr w:type="spellStart"/>
        <w:r w:rsidR="004B2BBB">
          <w:rPr>
            <w:color w:val="000000"/>
            <w:sz w:val="22"/>
            <w:szCs w:val="22"/>
          </w:rPr>
          <w:t>Rottle</w:t>
        </w:r>
        <w:proofErr w:type="spellEnd"/>
        <w:r w:rsidR="004B2BBB">
          <w:rPr>
            <w:color w:val="000000"/>
            <w:sz w:val="22"/>
            <w:szCs w:val="22"/>
          </w:rPr>
          <w:t xml:space="preserve">, Nancy D. “Rural Historic Landscape Preservation.” In </w:t>
        </w:r>
      </w:hyperlink>
      <w:hyperlink r:id="rId494">
        <w:r w:rsidR="004B2BBB">
          <w:rPr>
            <w:i/>
            <w:color w:val="000000"/>
            <w:sz w:val="22"/>
            <w:szCs w:val="22"/>
          </w:rPr>
          <w:t>Cultural Landscapes: Balancing Nature and Heritage in Preservation Practice</w:t>
        </w:r>
      </w:hyperlink>
      <w:hyperlink r:id="rId495">
        <w:r w:rsidR="004B2BBB">
          <w:rPr>
            <w:color w:val="000000"/>
            <w:sz w:val="22"/>
            <w:szCs w:val="22"/>
          </w:rPr>
          <w:t xml:space="preserve">, edited by Richard Longstreth, 129–49. </w:t>
        </w:r>
        <w:proofErr w:type="gramStart"/>
        <w:r w:rsidR="004B2BBB">
          <w:rPr>
            <w:color w:val="000000"/>
            <w:sz w:val="22"/>
            <w:szCs w:val="22"/>
          </w:rPr>
          <w:t>Minneapolis :</w:t>
        </w:r>
        <w:proofErr w:type="gramEnd"/>
        <w:r w:rsidR="004B2BBB">
          <w:rPr>
            <w:color w:val="000000"/>
            <w:sz w:val="22"/>
            <w:szCs w:val="22"/>
          </w:rPr>
          <w:t xml:space="preserve"> University of Minnesota Press, 2008.</w:t>
        </w:r>
      </w:hyperlink>
    </w:p>
    <w:p w14:paraId="00000244"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496">
        <w:r w:rsidR="004B2BBB">
          <w:rPr>
            <w:color w:val="000000"/>
            <w:sz w:val="22"/>
            <w:szCs w:val="22"/>
          </w:rPr>
          <w:t xml:space="preserve">Samuel N. Stokes, A. Elizabeth Watson, Genevieve P. Keller, J. Timothy Keller. </w:t>
        </w:r>
      </w:hyperlink>
      <w:hyperlink r:id="rId497">
        <w:r w:rsidR="004B2BBB">
          <w:rPr>
            <w:i/>
            <w:color w:val="000000"/>
            <w:sz w:val="22"/>
            <w:szCs w:val="22"/>
          </w:rPr>
          <w:t>Saving America’s Countryside: A Guide to Rural Conservation</w:t>
        </w:r>
      </w:hyperlink>
      <w:hyperlink r:id="rId498">
        <w:r w:rsidR="004B2BBB">
          <w:rPr>
            <w:color w:val="000000"/>
            <w:sz w:val="22"/>
            <w:szCs w:val="22"/>
          </w:rPr>
          <w:t>. Baltimore, MD: Johns Hopkins University Press, 1989.</w:t>
        </w:r>
      </w:hyperlink>
    </w:p>
    <w:p w14:paraId="00000245"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499">
        <w:r w:rsidR="004B2BBB">
          <w:rPr>
            <w:color w:val="000000"/>
            <w:sz w:val="22"/>
            <w:szCs w:val="22"/>
          </w:rPr>
          <w:t xml:space="preserve">Sandra L. Colby and Jennifer M </w:t>
        </w:r>
        <w:proofErr w:type="spellStart"/>
        <w:r w:rsidR="004B2BBB">
          <w:rPr>
            <w:color w:val="000000"/>
            <w:sz w:val="22"/>
            <w:szCs w:val="22"/>
          </w:rPr>
          <w:t>Ortman</w:t>
        </w:r>
        <w:proofErr w:type="spellEnd"/>
        <w:r w:rsidR="004B2BBB">
          <w:rPr>
            <w:color w:val="000000"/>
            <w:sz w:val="22"/>
            <w:szCs w:val="22"/>
          </w:rPr>
          <w:t>. “Projections of the Size and Composition of the U.S. Population: 2014 to 2060; Population Estimates and Predictions.” United States Census Bureau, March 2015.</w:t>
        </w:r>
      </w:hyperlink>
    </w:p>
    <w:p w14:paraId="00000246"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500">
        <w:proofErr w:type="spellStart"/>
        <w:r w:rsidR="004B2BBB">
          <w:rPr>
            <w:color w:val="000000"/>
            <w:sz w:val="22"/>
            <w:szCs w:val="22"/>
          </w:rPr>
          <w:t>Sangkapitux</w:t>
        </w:r>
        <w:proofErr w:type="spellEnd"/>
        <w:r w:rsidR="004B2BBB">
          <w:rPr>
            <w:color w:val="000000"/>
            <w:sz w:val="22"/>
            <w:szCs w:val="22"/>
          </w:rPr>
          <w:t xml:space="preserve">, </w:t>
        </w:r>
        <w:proofErr w:type="spellStart"/>
        <w:r w:rsidR="004B2BBB">
          <w:rPr>
            <w:color w:val="000000"/>
            <w:sz w:val="22"/>
            <w:szCs w:val="22"/>
          </w:rPr>
          <w:t>Chapika</w:t>
        </w:r>
        <w:proofErr w:type="spellEnd"/>
        <w:r w:rsidR="004B2BBB">
          <w:rPr>
            <w:color w:val="000000"/>
            <w:sz w:val="22"/>
            <w:szCs w:val="22"/>
          </w:rPr>
          <w:t xml:space="preserve">, Andreas </w:t>
        </w:r>
        <w:proofErr w:type="spellStart"/>
        <w:r w:rsidR="004B2BBB">
          <w:rPr>
            <w:color w:val="000000"/>
            <w:sz w:val="22"/>
            <w:szCs w:val="22"/>
          </w:rPr>
          <w:t>Neef</w:t>
        </w:r>
        <w:proofErr w:type="spellEnd"/>
        <w:r w:rsidR="004B2BBB">
          <w:rPr>
            <w:color w:val="000000"/>
            <w:sz w:val="22"/>
            <w:szCs w:val="22"/>
          </w:rPr>
          <w:t xml:space="preserve">, </w:t>
        </w:r>
        <w:proofErr w:type="spellStart"/>
        <w:r w:rsidR="004B2BBB">
          <w:rPr>
            <w:color w:val="000000"/>
            <w:sz w:val="22"/>
            <w:szCs w:val="22"/>
          </w:rPr>
          <w:t>Worapong</w:t>
        </w:r>
        <w:proofErr w:type="spellEnd"/>
        <w:r w:rsidR="004B2BBB">
          <w:rPr>
            <w:color w:val="000000"/>
            <w:sz w:val="22"/>
            <w:szCs w:val="22"/>
          </w:rPr>
          <w:t xml:space="preserve"> </w:t>
        </w:r>
        <w:proofErr w:type="spellStart"/>
        <w:r w:rsidR="004B2BBB">
          <w:rPr>
            <w:color w:val="000000"/>
            <w:sz w:val="22"/>
            <w:szCs w:val="22"/>
          </w:rPr>
          <w:t>Polkongkaew</w:t>
        </w:r>
        <w:proofErr w:type="spellEnd"/>
        <w:r w:rsidR="004B2BBB">
          <w:rPr>
            <w:color w:val="000000"/>
            <w:sz w:val="22"/>
            <w:szCs w:val="22"/>
          </w:rPr>
          <w:t xml:space="preserve">, </w:t>
        </w:r>
        <w:proofErr w:type="spellStart"/>
        <w:r w:rsidR="004B2BBB">
          <w:rPr>
            <w:color w:val="000000"/>
            <w:sz w:val="22"/>
            <w:szCs w:val="22"/>
          </w:rPr>
          <w:t>Nongkran</w:t>
        </w:r>
        <w:proofErr w:type="spellEnd"/>
        <w:r w:rsidR="004B2BBB">
          <w:rPr>
            <w:color w:val="000000"/>
            <w:sz w:val="22"/>
            <w:szCs w:val="22"/>
          </w:rPr>
          <w:t xml:space="preserve"> </w:t>
        </w:r>
        <w:proofErr w:type="spellStart"/>
        <w:r w:rsidR="004B2BBB">
          <w:rPr>
            <w:color w:val="000000"/>
            <w:sz w:val="22"/>
            <w:szCs w:val="22"/>
          </w:rPr>
          <w:t>Pramoon</w:t>
        </w:r>
        <w:proofErr w:type="spellEnd"/>
        <w:r w:rsidR="004B2BBB">
          <w:rPr>
            <w:color w:val="000000"/>
            <w:sz w:val="22"/>
            <w:szCs w:val="22"/>
          </w:rPr>
          <w:t xml:space="preserve">, </w:t>
        </w:r>
        <w:proofErr w:type="spellStart"/>
        <w:r w:rsidR="004B2BBB">
          <w:rPr>
            <w:color w:val="000000"/>
            <w:sz w:val="22"/>
            <w:szCs w:val="22"/>
          </w:rPr>
          <w:t>Sakdamnoen</w:t>
        </w:r>
        <w:proofErr w:type="spellEnd"/>
        <w:r w:rsidR="004B2BBB">
          <w:rPr>
            <w:color w:val="000000"/>
            <w:sz w:val="22"/>
            <w:szCs w:val="22"/>
          </w:rPr>
          <w:t xml:space="preserve"> </w:t>
        </w:r>
        <w:proofErr w:type="spellStart"/>
        <w:r w:rsidR="004B2BBB">
          <w:rPr>
            <w:color w:val="000000"/>
            <w:sz w:val="22"/>
            <w:szCs w:val="22"/>
          </w:rPr>
          <w:t>Nonkiti</w:t>
        </w:r>
        <w:proofErr w:type="spellEnd"/>
        <w:r w:rsidR="004B2BBB">
          <w:rPr>
            <w:color w:val="000000"/>
            <w:sz w:val="22"/>
            <w:szCs w:val="22"/>
          </w:rPr>
          <w:t xml:space="preserve">, and </w:t>
        </w:r>
        <w:proofErr w:type="spellStart"/>
        <w:r w:rsidR="004B2BBB">
          <w:rPr>
            <w:color w:val="000000"/>
            <w:sz w:val="22"/>
            <w:szCs w:val="22"/>
          </w:rPr>
          <w:t>Ke</w:t>
        </w:r>
        <w:proofErr w:type="spellEnd"/>
        <w:r w:rsidR="004B2BBB">
          <w:rPr>
            <w:color w:val="000000"/>
            <w:sz w:val="22"/>
            <w:szCs w:val="22"/>
          </w:rPr>
          <w:t xml:space="preserve"> </w:t>
        </w:r>
        <w:proofErr w:type="spellStart"/>
        <w:r w:rsidR="004B2BBB">
          <w:rPr>
            <w:color w:val="000000"/>
            <w:sz w:val="22"/>
            <w:szCs w:val="22"/>
          </w:rPr>
          <w:t>Nanthasen</w:t>
        </w:r>
        <w:proofErr w:type="spellEnd"/>
        <w:r w:rsidR="004B2BBB">
          <w:rPr>
            <w:color w:val="000000"/>
            <w:sz w:val="22"/>
            <w:szCs w:val="22"/>
          </w:rPr>
          <w:t xml:space="preserve">. “Willingness of Upstream and Downstream Resource Managers to Engage in Compensation Schemes for Environmental Services.” </w:t>
        </w:r>
      </w:hyperlink>
      <w:hyperlink r:id="rId501">
        <w:r w:rsidR="004B2BBB">
          <w:rPr>
            <w:i/>
            <w:color w:val="000000"/>
            <w:sz w:val="22"/>
            <w:szCs w:val="22"/>
          </w:rPr>
          <w:t>International Journal of the Commons</w:t>
        </w:r>
      </w:hyperlink>
      <w:hyperlink r:id="rId502">
        <w:r w:rsidR="004B2BBB">
          <w:rPr>
            <w:color w:val="000000"/>
            <w:sz w:val="22"/>
            <w:szCs w:val="22"/>
          </w:rPr>
          <w:t xml:space="preserve"> 3, no. 1 (2009): 41–63.</w:t>
        </w:r>
      </w:hyperlink>
    </w:p>
    <w:p w14:paraId="00000247"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503">
        <w:r w:rsidR="004B2BBB">
          <w:rPr>
            <w:color w:val="000000"/>
            <w:sz w:val="22"/>
            <w:szCs w:val="22"/>
          </w:rPr>
          <w:t xml:space="preserve">Savage, Jeff A., and Marc O. Ribaudo. “Impact of Environmental Policies on the Adoption of Manure Management Practices in the Chesapeake Bay Watershed.” </w:t>
        </w:r>
      </w:hyperlink>
      <w:hyperlink r:id="rId504">
        <w:r w:rsidR="004B2BBB">
          <w:rPr>
            <w:i/>
            <w:color w:val="000000"/>
            <w:sz w:val="22"/>
            <w:szCs w:val="22"/>
          </w:rPr>
          <w:t>Journal of Environmental Management</w:t>
        </w:r>
      </w:hyperlink>
      <w:hyperlink r:id="rId505">
        <w:r w:rsidR="004B2BBB">
          <w:rPr>
            <w:color w:val="000000"/>
            <w:sz w:val="22"/>
            <w:szCs w:val="22"/>
          </w:rPr>
          <w:t xml:space="preserve"> 129 (November 15, 2013): 143–48.</w:t>
        </w:r>
      </w:hyperlink>
    </w:p>
    <w:p w14:paraId="00000248"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506">
        <w:r w:rsidR="004B2BBB">
          <w:rPr>
            <w:color w:val="000000"/>
            <w:sz w:val="22"/>
            <w:szCs w:val="22"/>
          </w:rPr>
          <w:t xml:space="preserve">Sayer, Jeffrey, Terry Sunderland, </w:t>
        </w:r>
        <w:proofErr w:type="spellStart"/>
        <w:r w:rsidR="004B2BBB">
          <w:rPr>
            <w:color w:val="000000"/>
            <w:sz w:val="22"/>
            <w:szCs w:val="22"/>
          </w:rPr>
          <w:t>Jaboury</w:t>
        </w:r>
        <w:proofErr w:type="spellEnd"/>
        <w:r w:rsidR="004B2BBB">
          <w:rPr>
            <w:color w:val="000000"/>
            <w:sz w:val="22"/>
            <w:szCs w:val="22"/>
          </w:rPr>
          <w:t xml:space="preserve"> </w:t>
        </w:r>
        <w:proofErr w:type="spellStart"/>
        <w:r w:rsidR="004B2BBB">
          <w:rPr>
            <w:color w:val="000000"/>
            <w:sz w:val="22"/>
            <w:szCs w:val="22"/>
          </w:rPr>
          <w:t>Ghazoul</w:t>
        </w:r>
        <w:proofErr w:type="spellEnd"/>
        <w:r w:rsidR="004B2BBB">
          <w:rPr>
            <w:color w:val="000000"/>
            <w:sz w:val="22"/>
            <w:szCs w:val="22"/>
          </w:rPr>
          <w:t xml:space="preserve">, Jean-Laurent </w:t>
        </w:r>
        <w:proofErr w:type="spellStart"/>
        <w:r w:rsidR="004B2BBB">
          <w:rPr>
            <w:color w:val="000000"/>
            <w:sz w:val="22"/>
            <w:szCs w:val="22"/>
          </w:rPr>
          <w:t>Pfund</w:t>
        </w:r>
        <w:proofErr w:type="spellEnd"/>
        <w:r w:rsidR="004B2BBB">
          <w:rPr>
            <w:color w:val="000000"/>
            <w:sz w:val="22"/>
            <w:szCs w:val="22"/>
          </w:rPr>
          <w:t xml:space="preserve">, Douglas </w:t>
        </w:r>
        <w:proofErr w:type="spellStart"/>
        <w:r w:rsidR="004B2BBB">
          <w:rPr>
            <w:color w:val="000000"/>
            <w:sz w:val="22"/>
            <w:szCs w:val="22"/>
          </w:rPr>
          <w:t>Sheil</w:t>
        </w:r>
        <w:proofErr w:type="spellEnd"/>
        <w:r w:rsidR="004B2BBB">
          <w:rPr>
            <w:color w:val="000000"/>
            <w:sz w:val="22"/>
            <w:szCs w:val="22"/>
          </w:rPr>
          <w:t xml:space="preserve">, Erik </w:t>
        </w:r>
        <w:proofErr w:type="spellStart"/>
        <w:r w:rsidR="004B2BBB">
          <w:rPr>
            <w:color w:val="000000"/>
            <w:sz w:val="22"/>
            <w:szCs w:val="22"/>
          </w:rPr>
          <w:t>Meijaard</w:t>
        </w:r>
        <w:proofErr w:type="spellEnd"/>
        <w:r w:rsidR="004B2BBB">
          <w:rPr>
            <w:color w:val="000000"/>
            <w:sz w:val="22"/>
            <w:szCs w:val="22"/>
          </w:rPr>
          <w:t xml:space="preserve">, Michelle Venter, et al. “Ten Principles for a Landscape Approach to Reconciling Agriculture, Conservation, and Other Competing Land Uses.” </w:t>
        </w:r>
      </w:hyperlink>
      <w:hyperlink r:id="rId507">
        <w:r w:rsidR="004B2BBB">
          <w:rPr>
            <w:i/>
            <w:color w:val="000000"/>
            <w:sz w:val="22"/>
            <w:szCs w:val="22"/>
          </w:rPr>
          <w:t>Proceedings of the National Academy of Sciences of the United States of America</w:t>
        </w:r>
      </w:hyperlink>
      <w:hyperlink r:id="rId508">
        <w:r w:rsidR="004B2BBB">
          <w:rPr>
            <w:color w:val="000000"/>
            <w:sz w:val="22"/>
            <w:szCs w:val="22"/>
          </w:rPr>
          <w:t xml:space="preserve"> 110, no. 21 (May 21, 2013): 8349–56.</w:t>
        </w:r>
      </w:hyperlink>
    </w:p>
    <w:p w14:paraId="00000249"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509">
        <w:r w:rsidR="004B2BBB">
          <w:rPr>
            <w:color w:val="000000"/>
            <w:sz w:val="22"/>
            <w:szCs w:val="22"/>
          </w:rPr>
          <w:t xml:space="preserve">Schader, Christian, Jan Grenz, Matthias S. Meier, and Matthias Stolze. “Scope and Precision of Sustainability Assessment Approaches to Food Systems.” </w:t>
        </w:r>
      </w:hyperlink>
      <w:hyperlink r:id="rId510">
        <w:r w:rsidR="004B2BBB">
          <w:rPr>
            <w:i/>
            <w:color w:val="000000"/>
            <w:sz w:val="22"/>
            <w:szCs w:val="22"/>
          </w:rPr>
          <w:t>Ecology and Society</w:t>
        </w:r>
      </w:hyperlink>
      <w:hyperlink r:id="rId511">
        <w:r w:rsidR="004B2BBB">
          <w:rPr>
            <w:color w:val="000000"/>
            <w:sz w:val="22"/>
            <w:szCs w:val="22"/>
          </w:rPr>
          <w:t xml:space="preserve"> 19, no. 3 (2014). </w:t>
        </w:r>
      </w:hyperlink>
      <w:hyperlink r:id="rId512">
        <w:r w:rsidR="004B2BBB">
          <w:rPr>
            <w:color w:val="000000"/>
            <w:sz w:val="22"/>
            <w:szCs w:val="22"/>
          </w:rPr>
          <w:t>http://www.jstor.org/stable/26269618</w:t>
        </w:r>
      </w:hyperlink>
      <w:hyperlink r:id="rId513">
        <w:r w:rsidR="004B2BBB">
          <w:rPr>
            <w:color w:val="000000"/>
            <w:sz w:val="22"/>
            <w:szCs w:val="22"/>
          </w:rPr>
          <w:t>.</w:t>
        </w:r>
      </w:hyperlink>
    </w:p>
    <w:p w14:paraId="0000024A"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514">
        <w:r w:rsidR="004B2BBB">
          <w:rPr>
            <w:color w:val="000000"/>
            <w:sz w:val="22"/>
            <w:szCs w:val="22"/>
          </w:rPr>
          <w:t xml:space="preserve">Schlager, Noah. “Preserving African American Foodways.” Sierra Club, May 17, 2016. </w:t>
        </w:r>
      </w:hyperlink>
      <w:hyperlink r:id="rId515">
        <w:r w:rsidR="004B2BBB">
          <w:rPr>
            <w:color w:val="000000"/>
            <w:sz w:val="22"/>
            <w:szCs w:val="22"/>
          </w:rPr>
          <w:t>https://www.sierraclub.org/sierra/2016-3-may-june/green-life/preserving-african-american-foodways</w:t>
        </w:r>
      </w:hyperlink>
      <w:hyperlink r:id="rId516">
        <w:r w:rsidR="004B2BBB">
          <w:rPr>
            <w:color w:val="000000"/>
            <w:sz w:val="22"/>
            <w:szCs w:val="22"/>
          </w:rPr>
          <w:t>.</w:t>
        </w:r>
      </w:hyperlink>
    </w:p>
    <w:p w14:paraId="0000024B"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517">
        <w:r w:rsidR="004B2BBB">
          <w:rPr>
            <w:color w:val="000000"/>
            <w:sz w:val="22"/>
            <w:szCs w:val="22"/>
          </w:rPr>
          <w:t>Shephard, Ann Noble. Letter to Author, May 1, 2017.</w:t>
        </w:r>
      </w:hyperlink>
    </w:p>
    <w:p w14:paraId="0000024C"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518">
        <w:r w:rsidR="004B2BBB">
          <w:rPr>
            <w:color w:val="000000"/>
            <w:sz w:val="22"/>
            <w:szCs w:val="22"/>
          </w:rPr>
          <w:t xml:space="preserve">Simpson, Ian A., David </w:t>
        </w:r>
        <w:proofErr w:type="spellStart"/>
        <w:r w:rsidR="004B2BBB">
          <w:rPr>
            <w:color w:val="000000"/>
            <w:sz w:val="22"/>
            <w:szCs w:val="22"/>
          </w:rPr>
          <w:t>Parsisson</w:t>
        </w:r>
        <w:proofErr w:type="spellEnd"/>
        <w:r w:rsidR="004B2BBB">
          <w:rPr>
            <w:color w:val="000000"/>
            <w:sz w:val="22"/>
            <w:szCs w:val="22"/>
          </w:rPr>
          <w:t xml:space="preserve">, Nick Hanley, and Craig H. Bullock. “Envisioning Future Landscapes in the Environmentally Sensitive Areas of Scotland.” </w:t>
        </w:r>
      </w:hyperlink>
      <w:hyperlink r:id="rId519">
        <w:r w:rsidR="004B2BBB">
          <w:rPr>
            <w:i/>
            <w:color w:val="000000"/>
            <w:sz w:val="22"/>
            <w:szCs w:val="22"/>
          </w:rPr>
          <w:t>Transactions of the Institute of British Geographers</w:t>
        </w:r>
      </w:hyperlink>
      <w:hyperlink r:id="rId520">
        <w:r w:rsidR="004B2BBB">
          <w:rPr>
            <w:color w:val="000000"/>
            <w:sz w:val="22"/>
            <w:szCs w:val="22"/>
          </w:rPr>
          <w:t xml:space="preserve"> 22, no. 3 (1997): 307–20.</w:t>
        </w:r>
      </w:hyperlink>
    </w:p>
    <w:p w14:paraId="0000024D"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521">
        <w:r w:rsidR="004B2BBB">
          <w:rPr>
            <w:color w:val="000000"/>
            <w:sz w:val="22"/>
            <w:szCs w:val="22"/>
          </w:rPr>
          <w:t xml:space="preserve">Sistek, Scott. “Satellite Imagery Shows Pollution Runoff in Carolina Rivers from Hurricane Florence.” KOMO, September 26, 2018. </w:t>
        </w:r>
      </w:hyperlink>
      <w:hyperlink r:id="rId522">
        <w:r w:rsidR="004B2BBB">
          <w:rPr>
            <w:color w:val="000000"/>
            <w:sz w:val="22"/>
            <w:szCs w:val="22"/>
          </w:rPr>
          <w:t>http://komonews.com/weather/scotts-weather-blog/satellite-imagery-shows-pollution-runoff-in-carolina-rivers-from-hurricane-florence</w:t>
        </w:r>
      </w:hyperlink>
      <w:hyperlink r:id="rId523">
        <w:r w:rsidR="004B2BBB">
          <w:rPr>
            <w:color w:val="000000"/>
            <w:sz w:val="22"/>
            <w:szCs w:val="22"/>
          </w:rPr>
          <w:t>.</w:t>
        </w:r>
      </w:hyperlink>
    </w:p>
    <w:p w14:paraId="0000024E"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524">
        <w:r w:rsidR="004B2BBB">
          <w:rPr>
            <w:color w:val="000000"/>
            <w:sz w:val="22"/>
            <w:szCs w:val="22"/>
          </w:rPr>
          <w:t xml:space="preserve">Smart, John C., and Michael B. Paulsen. </w:t>
        </w:r>
      </w:hyperlink>
      <w:hyperlink r:id="rId525">
        <w:r w:rsidR="004B2BBB">
          <w:rPr>
            <w:i/>
            <w:color w:val="000000"/>
            <w:sz w:val="22"/>
            <w:szCs w:val="22"/>
          </w:rPr>
          <w:t>Higher Education: Handbook of Theory and Research</w:t>
        </w:r>
      </w:hyperlink>
      <w:hyperlink r:id="rId526">
        <w:r w:rsidR="004B2BBB">
          <w:rPr>
            <w:color w:val="000000"/>
            <w:sz w:val="22"/>
            <w:szCs w:val="22"/>
          </w:rPr>
          <w:t xml:space="preserve">. Springer </w:t>
        </w:r>
        <w:r w:rsidR="004B2BBB">
          <w:rPr>
            <w:color w:val="000000"/>
            <w:sz w:val="22"/>
            <w:szCs w:val="22"/>
          </w:rPr>
          <w:lastRenderedPageBreak/>
          <w:t>Science &amp; Business Media, 2011.</w:t>
        </w:r>
      </w:hyperlink>
    </w:p>
    <w:p w14:paraId="0000024F"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527">
        <w:r w:rsidR="004B2BBB">
          <w:rPr>
            <w:color w:val="000000"/>
            <w:sz w:val="22"/>
            <w:szCs w:val="22"/>
          </w:rPr>
          <w:t xml:space="preserve">Smedinghoff, Joan. “Five Industries That Benefit from a Healthy Bay.” Chesapeake Bay Program. Accessed January 12, 2019. </w:t>
        </w:r>
      </w:hyperlink>
      <w:hyperlink r:id="rId528">
        <w:r w:rsidR="004B2BBB">
          <w:rPr>
            <w:color w:val="000000"/>
            <w:sz w:val="22"/>
            <w:szCs w:val="22"/>
          </w:rPr>
          <w:t>https://www.chesapeakebay.net/news/blog/five_industries_that_benefit_from_a_healthy_bay</w:t>
        </w:r>
      </w:hyperlink>
      <w:hyperlink r:id="rId529">
        <w:r w:rsidR="004B2BBB">
          <w:rPr>
            <w:color w:val="000000"/>
            <w:sz w:val="22"/>
            <w:szCs w:val="22"/>
          </w:rPr>
          <w:t>.</w:t>
        </w:r>
      </w:hyperlink>
    </w:p>
    <w:p w14:paraId="00000250"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530">
        <w:proofErr w:type="spellStart"/>
        <w:r w:rsidR="004B2BBB">
          <w:rPr>
            <w:color w:val="000000"/>
            <w:sz w:val="22"/>
            <w:szCs w:val="22"/>
          </w:rPr>
          <w:t>Sneeringer</w:t>
        </w:r>
        <w:proofErr w:type="spellEnd"/>
        <w:r w:rsidR="004B2BBB">
          <w:rPr>
            <w:color w:val="000000"/>
            <w:sz w:val="22"/>
            <w:szCs w:val="22"/>
          </w:rPr>
          <w:t xml:space="preserve">, Stacy. “Differences between Livestock and Crop Producers’ Participation in Nutrient Trading.” </w:t>
        </w:r>
      </w:hyperlink>
      <w:hyperlink r:id="rId531">
        <w:r w:rsidR="004B2BBB">
          <w:rPr>
            <w:i/>
            <w:color w:val="000000"/>
            <w:sz w:val="22"/>
            <w:szCs w:val="22"/>
          </w:rPr>
          <w:t>Applied Economic Perspectives and Policy</w:t>
        </w:r>
      </w:hyperlink>
      <w:hyperlink r:id="rId532">
        <w:r w:rsidR="004B2BBB">
          <w:rPr>
            <w:color w:val="000000"/>
            <w:sz w:val="22"/>
            <w:szCs w:val="22"/>
          </w:rPr>
          <w:t xml:space="preserve"> 35, no. 2 (2013): 296–321.</w:t>
        </w:r>
      </w:hyperlink>
    </w:p>
    <w:p w14:paraId="00000251"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533">
        <w:r w:rsidR="004B2BBB">
          <w:rPr>
            <w:color w:val="000000"/>
            <w:sz w:val="22"/>
            <w:szCs w:val="22"/>
          </w:rPr>
          <w:t>Sorrell, Andrew. Letter to Author, May 3, 2017.</w:t>
        </w:r>
      </w:hyperlink>
    </w:p>
    <w:p w14:paraId="00000252"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534">
        <w:r w:rsidR="004B2BBB">
          <w:rPr>
            <w:color w:val="000000"/>
            <w:sz w:val="22"/>
            <w:szCs w:val="22"/>
          </w:rPr>
          <w:t xml:space="preserve">Sprinkle, John H., and Jr. </w:t>
        </w:r>
      </w:hyperlink>
      <w:hyperlink r:id="rId535">
        <w:r w:rsidR="004B2BBB">
          <w:rPr>
            <w:i/>
            <w:color w:val="000000"/>
            <w:sz w:val="22"/>
            <w:szCs w:val="22"/>
          </w:rPr>
          <w:t>Crafting Preservation Criteria: The National Register of Historic Places and American Historic Preservation</w:t>
        </w:r>
      </w:hyperlink>
      <w:hyperlink r:id="rId536">
        <w:r w:rsidR="004B2BBB">
          <w:rPr>
            <w:color w:val="000000"/>
            <w:sz w:val="22"/>
            <w:szCs w:val="22"/>
          </w:rPr>
          <w:t>. New York: Routledge, 2014.</w:t>
        </w:r>
      </w:hyperlink>
    </w:p>
    <w:p w14:paraId="00000253"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537">
        <w:proofErr w:type="spellStart"/>
        <w:r w:rsidR="004B2BBB">
          <w:rPr>
            <w:color w:val="000000"/>
            <w:sz w:val="22"/>
            <w:szCs w:val="22"/>
          </w:rPr>
          <w:t>Staver</w:t>
        </w:r>
        <w:proofErr w:type="spellEnd"/>
        <w:r w:rsidR="004B2BBB">
          <w:rPr>
            <w:color w:val="000000"/>
            <w:sz w:val="22"/>
            <w:szCs w:val="22"/>
          </w:rPr>
          <w:t xml:space="preserve">, Kenneth W., and Russell B. </w:t>
        </w:r>
        <w:proofErr w:type="spellStart"/>
        <w:r w:rsidR="004B2BBB">
          <w:rPr>
            <w:color w:val="000000"/>
            <w:sz w:val="22"/>
            <w:szCs w:val="22"/>
          </w:rPr>
          <w:t>Brinsfield</w:t>
        </w:r>
        <w:proofErr w:type="spellEnd"/>
        <w:r w:rsidR="004B2BBB">
          <w:rPr>
            <w:color w:val="000000"/>
            <w:sz w:val="22"/>
            <w:szCs w:val="22"/>
          </w:rPr>
          <w:t xml:space="preserve">. “Long-Term Solutions to Accelerated Eutrophication Must Provide Mechanisms for Redistributing Nutrients Flowing into Concentrated Animal-Producing Regions.” </w:t>
        </w:r>
      </w:hyperlink>
      <w:hyperlink r:id="rId538">
        <w:r w:rsidR="004B2BBB">
          <w:rPr>
            <w:i/>
            <w:color w:val="000000"/>
            <w:sz w:val="22"/>
            <w:szCs w:val="22"/>
          </w:rPr>
          <w:t>Bioscience</w:t>
        </w:r>
      </w:hyperlink>
      <w:hyperlink r:id="rId539">
        <w:r w:rsidR="004B2BBB">
          <w:rPr>
            <w:color w:val="000000"/>
            <w:sz w:val="22"/>
            <w:szCs w:val="22"/>
          </w:rPr>
          <w:t xml:space="preserve"> 51, no. 10 (2001): 859–68.</w:t>
        </w:r>
      </w:hyperlink>
    </w:p>
    <w:p w14:paraId="00000254"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540">
        <w:r w:rsidR="004B2BBB">
          <w:rPr>
            <w:color w:val="000000"/>
            <w:sz w:val="22"/>
            <w:szCs w:val="22"/>
          </w:rPr>
          <w:t xml:space="preserve">———. “University of MD Cover Crop Study.” University of Maryland College of Agriculture and Natural Resources, Wye Research and Education Center, n.d. </w:t>
        </w:r>
      </w:hyperlink>
      <w:hyperlink r:id="rId541">
        <w:r w:rsidR="004B2BBB">
          <w:rPr>
            <w:color w:val="000000"/>
            <w:sz w:val="22"/>
            <w:szCs w:val="22"/>
          </w:rPr>
          <w:t>https://mda.maryland.gov/resource_conservation/counties/Staver-Summary%20of%20WREC%20cover%20crop%20studies%20for%20Baystat.pdf</w:t>
        </w:r>
      </w:hyperlink>
      <w:hyperlink r:id="rId542">
        <w:r w:rsidR="004B2BBB">
          <w:rPr>
            <w:color w:val="000000"/>
            <w:sz w:val="22"/>
            <w:szCs w:val="22"/>
          </w:rPr>
          <w:t>.</w:t>
        </w:r>
      </w:hyperlink>
    </w:p>
    <w:p w14:paraId="00000255"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543">
        <w:r w:rsidR="004B2BBB">
          <w:rPr>
            <w:color w:val="000000"/>
            <w:sz w:val="22"/>
            <w:szCs w:val="22"/>
          </w:rPr>
          <w:t xml:space="preserve">Stiles, Elaine. “50 Years Reconsidered.” </w:t>
        </w:r>
      </w:hyperlink>
      <w:hyperlink r:id="rId544">
        <w:r w:rsidR="004B2BBB">
          <w:rPr>
            <w:i/>
            <w:color w:val="000000"/>
            <w:sz w:val="22"/>
            <w:szCs w:val="22"/>
          </w:rPr>
          <w:t>Forum Journal &amp; Forum Focus - Preservation Leadership Forum - A Program of the National Trust for Historic Preservation</w:t>
        </w:r>
      </w:hyperlink>
      <w:hyperlink r:id="rId545">
        <w:r w:rsidR="004B2BBB">
          <w:rPr>
            <w:color w:val="000000"/>
            <w:sz w:val="22"/>
            <w:szCs w:val="22"/>
          </w:rPr>
          <w:t xml:space="preserve"> 24, no. 4 (2010). </w:t>
        </w:r>
      </w:hyperlink>
      <w:hyperlink r:id="rId546">
        <w:r w:rsidR="004B2BBB">
          <w:rPr>
            <w:color w:val="000000"/>
            <w:sz w:val="22"/>
            <w:szCs w:val="22"/>
          </w:rPr>
          <w:t>https://forum.savingplaces.org/viewdocument/50-years-reconsidered</w:t>
        </w:r>
      </w:hyperlink>
      <w:hyperlink r:id="rId547">
        <w:r w:rsidR="004B2BBB">
          <w:rPr>
            <w:color w:val="000000"/>
            <w:sz w:val="22"/>
            <w:szCs w:val="22"/>
          </w:rPr>
          <w:t>.</w:t>
        </w:r>
      </w:hyperlink>
    </w:p>
    <w:p w14:paraId="00000256"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548">
        <w:proofErr w:type="spellStart"/>
        <w:r w:rsidR="004B2BBB">
          <w:rPr>
            <w:color w:val="000000"/>
            <w:sz w:val="22"/>
            <w:szCs w:val="22"/>
          </w:rPr>
          <w:t>Stokstad</w:t>
        </w:r>
        <w:proofErr w:type="spellEnd"/>
        <w:r w:rsidR="004B2BBB">
          <w:rPr>
            <w:color w:val="000000"/>
            <w:sz w:val="22"/>
            <w:szCs w:val="22"/>
          </w:rPr>
          <w:t xml:space="preserve">, Erik. “Obama Moves to Revitalize Chesapeake Bay Restoration.” </w:t>
        </w:r>
      </w:hyperlink>
      <w:hyperlink r:id="rId549">
        <w:r w:rsidR="004B2BBB">
          <w:rPr>
            <w:i/>
            <w:color w:val="000000"/>
            <w:sz w:val="22"/>
            <w:szCs w:val="22"/>
          </w:rPr>
          <w:t>Science</w:t>
        </w:r>
      </w:hyperlink>
      <w:hyperlink r:id="rId550">
        <w:r w:rsidR="004B2BBB">
          <w:rPr>
            <w:color w:val="000000"/>
            <w:sz w:val="22"/>
            <w:szCs w:val="22"/>
          </w:rPr>
          <w:t xml:space="preserve"> 324, no. 5931 (2009): 1138–39.</w:t>
        </w:r>
      </w:hyperlink>
    </w:p>
    <w:p w14:paraId="00000257"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551">
        <w:r w:rsidR="004B2BBB">
          <w:rPr>
            <w:color w:val="000000"/>
            <w:sz w:val="22"/>
            <w:szCs w:val="22"/>
          </w:rPr>
          <w:t xml:space="preserve">Sturdivant, S. Kersey, Robert J. Díaz, Roberto </w:t>
        </w:r>
        <w:proofErr w:type="spellStart"/>
        <w:r w:rsidR="004B2BBB">
          <w:rPr>
            <w:color w:val="000000"/>
            <w:sz w:val="22"/>
            <w:szCs w:val="22"/>
          </w:rPr>
          <w:t>Llansó</w:t>
        </w:r>
        <w:proofErr w:type="spellEnd"/>
        <w:r w:rsidR="004B2BBB">
          <w:rPr>
            <w:color w:val="000000"/>
            <w:sz w:val="22"/>
            <w:szCs w:val="22"/>
          </w:rPr>
          <w:t xml:space="preserve">, and Daniel M. Dauer. “Relationship between Hypoxia and </w:t>
        </w:r>
        <w:proofErr w:type="spellStart"/>
        <w:r w:rsidR="004B2BBB">
          <w:rPr>
            <w:color w:val="000000"/>
            <w:sz w:val="22"/>
            <w:szCs w:val="22"/>
          </w:rPr>
          <w:t>Macrobenthic</w:t>
        </w:r>
        <w:proofErr w:type="spellEnd"/>
        <w:r w:rsidR="004B2BBB">
          <w:rPr>
            <w:color w:val="000000"/>
            <w:sz w:val="22"/>
            <w:szCs w:val="22"/>
          </w:rPr>
          <w:t xml:space="preserve"> Production in Chesapeake Bay.” </w:t>
        </w:r>
      </w:hyperlink>
      <w:hyperlink r:id="rId552">
        <w:r w:rsidR="004B2BBB">
          <w:rPr>
            <w:i/>
            <w:color w:val="000000"/>
            <w:sz w:val="22"/>
            <w:szCs w:val="22"/>
          </w:rPr>
          <w:t>Estuaries and Coasts</w:t>
        </w:r>
      </w:hyperlink>
      <w:hyperlink r:id="rId553">
        <w:r w:rsidR="004B2BBB">
          <w:rPr>
            <w:color w:val="000000"/>
            <w:sz w:val="22"/>
            <w:szCs w:val="22"/>
          </w:rPr>
          <w:t xml:space="preserve"> 37, no. 5 (2014): 1219–32.</w:t>
        </w:r>
      </w:hyperlink>
    </w:p>
    <w:p w14:paraId="00000258"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554">
        <w:r w:rsidR="004B2BBB">
          <w:rPr>
            <w:color w:val="000000"/>
            <w:sz w:val="22"/>
            <w:szCs w:val="22"/>
          </w:rPr>
          <w:t xml:space="preserve">Susquehanna Heritage. “What We Do.” Susquehanna Heritage. Accessed March 17, 2019. </w:t>
        </w:r>
      </w:hyperlink>
      <w:hyperlink r:id="rId555">
        <w:r w:rsidR="004B2BBB">
          <w:rPr>
            <w:color w:val="000000"/>
            <w:sz w:val="22"/>
            <w:szCs w:val="22"/>
          </w:rPr>
          <w:t>https://www.susquehannaheritage.org/about-us/our-work/</w:t>
        </w:r>
      </w:hyperlink>
      <w:hyperlink r:id="rId556">
        <w:r w:rsidR="004B2BBB">
          <w:rPr>
            <w:color w:val="000000"/>
            <w:sz w:val="22"/>
            <w:szCs w:val="22"/>
          </w:rPr>
          <w:t>.</w:t>
        </w:r>
      </w:hyperlink>
    </w:p>
    <w:p w14:paraId="00000259"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557">
        <w:r w:rsidR="004B2BBB">
          <w:rPr>
            <w:color w:val="000000"/>
            <w:sz w:val="22"/>
            <w:szCs w:val="22"/>
          </w:rPr>
          <w:t xml:space="preserve">“The 2014 Farm Bill.” The 2014 Farm Bill. Accessed May 21, 2017. </w:t>
        </w:r>
      </w:hyperlink>
      <w:hyperlink r:id="rId558">
        <w:r w:rsidR="004B2BBB">
          <w:rPr>
            <w:color w:val="000000"/>
            <w:sz w:val="22"/>
            <w:szCs w:val="22"/>
          </w:rPr>
          <w:t>http://www.thefarmbill.com/title-2-main-conservation-programs</w:t>
        </w:r>
      </w:hyperlink>
      <w:hyperlink r:id="rId559">
        <w:r w:rsidR="004B2BBB">
          <w:rPr>
            <w:color w:val="000000"/>
            <w:sz w:val="22"/>
            <w:szCs w:val="22"/>
          </w:rPr>
          <w:t>.</w:t>
        </w:r>
      </w:hyperlink>
    </w:p>
    <w:p w14:paraId="0000025A"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560">
        <w:r w:rsidR="004B2BBB">
          <w:rPr>
            <w:color w:val="000000"/>
            <w:sz w:val="22"/>
            <w:szCs w:val="22"/>
          </w:rPr>
          <w:t xml:space="preserve">“The 2014 Farm Bill.” The 2014 Farm Bill. Accessed May 21, 2017. </w:t>
        </w:r>
      </w:hyperlink>
      <w:hyperlink r:id="rId561">
        <w:r w:rsidR="004B2BBB">
          <w:rPr>
            <w:color w:val="000000"/>
            <w:sz w:val="22"/>
            <w:szCs w:val="22"/>
          </w:rPr>
          <w:t>http://www.thefarmbill.com/title-2-main-conservation-programs</w:t>
        </w:r>
      </w:hyperlink>
      <w:hyperlink r:id="rId562">
        <w:r w:rsidR="004B2BBB">
          <w:rPr>
            <w:color w:val="000000"/>
            <w:sz w:val="22"/>
            <w:szCs w:val="22"/>
          </w:rPr>
          <w:t>.</w:t>
        </w:r>
      </w:hyperlink>
    </w:p>
    <w:p w14:paraId="0000025B"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563">
        <w:r w:rsidR="004B2BBB">
          <w:rPr>
            <w:color w:val="000000"/>
            <w:sz w:val="22"/>
            <w:szCs w:val="22"/>
          </w:rPr>
          <w:t xml:space="preserve">“The Agricultural Use Assessment.” Accessed May 14, 2017. </w:t>
        </w:r>
      </w:hyperlink>
      <w:hyperlink r:id="rId564">
        <w:r w:rsidR="004B2BBB">
          <w:rPr>
            <w:color w:val="000000"/>
            <w:sz w:val="22"/>
            <w:szCs w:val="22"/>
          </w:rPr>
          <w:t>http://dat.maryland.gov/realproperty/Pages/The-Agricultural-Use-Assessment.aspx</w:t>
        </w:r>
      </w:hyperlink>
      <w:hyperlink r:id="rId565">
        <w:r w:rsidR="004B2BBB">
          <w:rPr>
            <w:color w:val="000000"/>
            <w:sz w:val="22"/>
            <w:szCs w:val="22"/>
          </w:rPr>
          <w:t>.</w:t>
        </w:r>
      </w:hyperlink>
    </w:p>
    <w:p w14:paraId="0000025C"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566">
        <w:r w:rsidR="004B2BBB">
          <w:rPr>
            <w:color w:val="000000"/>
            <w:sz w:val="22"/>
            <w:szCs w:val="22"/>
          </w:rPr>
          <w:t xml:space="preserve">The Piedmont Environmental Council. “Virginia Best Management Practice: Continuous No-till Forage Production System (SL-15B).” Accessed January 27, 2019. </w:t>
        </w:r>
      </w:hyperlink>
      <w:hyperlink r:id="rId567">
        <w:r w:rsidR="004B2BBB">
          <w:rPr>
            <w:color w:val="000000"/>
            <w:sz w:val="22"/>
            <w:szCs w:val="22"/>
          </w:rPr>
          <w:t>http://www.pecva.org/land-conservation/sources-of-conservation-funding/141-complete-list-of-funds/519-virginia-best-management-practice-continuous-no-till-forage-production-system-sl-15b</w:t>
        </w:r>
      </w:hyperlink>
      <w:hyperlink r:id="rId568">
        <w:r w:rsidR="004B2BBB">
          <w:rPr>
            <w:color w:val="000000"/>
            <w:sz w:val="22"/>
            <w:szCs w:val="22"/>
          </w:rPr>
          <w:t>.</w:t>
        </w:r>
      </w:hyperlink>
    </w:p>
    <w:p w14:paraId="0000025D"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569">
        <w:r w:rsidR="004B2BBB">
          <w:rPr>
            <w:color w:val="000000"/>
            <w:sz w:val="22"/>
            <w:szCs w:val="22"/>
          </w:rPr>
          <w:t xml:space="preserve">The United Nations Conference on Environment and Development. “The Rio Declaration on Environment and Development,” 1992. </w:t>
        </w:r>
      </w:hyperlink>
      <w:hyperlink r:id="rId570">
        <w:r w:rsidR="004B2BBB">
          <w:rPr>
            <w:color w:val="000000"/>
            <w:sz w:val="22"/>
            <w:szCs w:val="22"/>
          </w:rPr>
          <w:t>http://www.unesco.org/education/pdf/RIO_E.PDF</w:t>
        </w:r>
      </w:hyperlink>
      <w:hyperlink r:id="rId571">
        <w:r w:rsidR="004B2BBB">
          <w:rPr>
            <w:color w:val="000000"/>
            <w:sz w:val="22"/>
            <w:szCs w:val="22"/>
          </w:rPr>
          <w:t>.</w:t>
        </w:r>
      </w:hyperlink>
    </w:p>
    <w:p w14:paraId="0000025E"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572">
        <w:r w:rsidR="004B2BBB">
          <w:rPr>
            <w:color w:val="000000"/>
            <w:sz w:val="22"/>
            <w:szCs w:val="22"/>
          </w:rPr>
          <w:t xml:space="preserve">Toomey, Diane. “How to Make Farm-to-Table A Truly Sustainable Movement.” Yale Environment 360, September 15, 2014. </w:t>
        </w:r>
      </w:hyperlink>
      <w:hyperlink r:id="rId573">
        <w:r w:rsidR="004B2BBB">
          <w:rPr>
            <w:color w:val="000000"/>
            <w:sz w:val="22"/>
            <w:szCs w:val="22"/>
          </w:rPr>
          <w:t>http://e360.yale.edu/feature/interview_dan_barber_how_to_make_farm-to-table_a_truly_sustainable_movement/2803/</w:t>
        </w:r>
      </w:hyperlink>
      <w:hyperlink r:id="rId574">
        <w:r w:rsidR="004B2BBB">
          <w:rPr>
            <w:color w:val="000000"/>
            <w:sz w:val="22"/>
            <w:szCs w:val="22"/>
          </w:rPr>
          <w:t>.</w:t>
        </w:r>
      </w:hyperlink>
    </w:p>
    <w:p w14:paraId="0000025F"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575">
        <w:r w:rsidR="004B2BBB">
          <w:rPr>
            <w:color w:val="000000"/>
            <w:sz w:val="22"/>
            <w:szCs w:val="22"/>
          </w:rPr>
          <w:t xml:space="preserve">Trout, Ebersole &amp; Groff LLP. “Conservation Easements: A ‘Bargain Sale’ Transaction.” TEG Blog. Accessed May 21, 2017. </w:t>
        </w:r>
      </w:hyperlink>
      <w:hyperlink r:id="rId576">
        <w:r w:rsidR="004B2BBB">
          <w:rPr>
            <w:color w:val="000000"/>
            <w:sz w:val="22"/>
            <w:szCs w:val="22"/>
          </w:rPr>
          <w:t>http://www.troutcpa.com/blog/conservation-easements/</w:t>
        </w:r>
      </w:hyperlink>
      <w:hyperlink r:id="rId577">
        <w:r w:rsidR="004B2BBB">
          <w:rPr>
            <w:color w:val="000000"/>
            <w:sz w:val="22"/>
            <w:szCs w:val="22"/>
          </w:rPr>
          <w:t>.</w:t>
        </w:r>
      </w:hyperlink>
    </w:p>
    <w:p w14:paraId="00000260"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578">
        <w:r w:rsidR="004B2BBB">
          <w:rPr>
            <w:color w:val="000000"/>
            <w:sz w:val="22"/>
            <w:szCs w:val="22"/>
          </w:rPr>
          <w:t xml:space="preserve">Tuan, Yi-Fu. </w:t>
        </w:r>
      </w:hyperlink>
      <w:hyperlink r:id="rId579">
        <w:r w:rsidR="004B2BBB">
          <w:rPr>
            <w:i/>
            <w:color w:val="000000"/>
            <w:sz w:val="22"/>
            <w:szCs w:val="22"/>
          </w:rPr>
          <w:t>Space and Place: The Perspective of Experience</w:t>
        </w:r>
      </w:hyperlink>
      <w:hyperlink r:id="rId580">
        <w:r w:rsidR="004B2BBB">
          <w:rPr>
            <w:color w:val="000000"/>
            <w:sz w:val="22"/>
            <w:szCs w:val="22"/>
          </w:rPr>
          <w:t>. U of Minnesota Press, 1977.</w:t>
        </w:r>
      </w:hyperlink>
    </w:p>
    <w:p w14:paraId="00000261"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581">
        <w:r w:rsidR="004B2BBB">
          <w:rPr>
            <w:color w:val="000000"/>
            <w:sz w:val="22"/>
            <w:szCs w:val="22"/>
          </w:rPr>
          <w:t xml:space="preserve">UMass Extension The Center for Agriculture, Food and the Environment. “The New England Green Pastures Award.” Center for Agriculture, Food and the Environment, October 24, 2014. </w:t>
        </w:r>
      </w:hyperlink>
      <w:hyperlink r:id="rId582">
        <w:r w:rsidR="004B2BBB">
          <w:rPr>
            <w:color w:val="000000"/>
            <w:sz w:val="22"/>
            <w:szCs w:val="22"/>
          </w:rPr>
          <w:t>https://ag.umass.edu/crops-dairy-livestock-equine/massachusetts-outstanding-dairy-farm-of-</w:t>
        </w:r>
        <w:r w:rsidR="004B2BBB">
          <w:rPr>
            <w:color w:val="000000"/>
            <w:sz w:val="22"/>
            <w:szCs w:val="22"/>
          </w:rPr>
          <w:lastRenderedPageBreak/>
          <w:t>year/green-pastures-awards</w:t>
        </w:r>
      </w:hyperlink>
      <w:hyperlink r:id="rId583">
        <w:r w:rsidR="004B2BBB">
          <w:rPr>
            <w:color w:val="000000"/>
            <w:sz w:val="22"/>
            <w:szCs w:val="22"/>
          </w:rPr>
          <w:t>.</w:t>
        </w:r>
      </w:hyperlink>
    </w:p>
    <w:p w14:paraId="00000262"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584">
        <w:r w:rsidR="004B2BBB">
          <w:rPr>
            <w:color w:val="000000"/>
            <w:sz w:val="22"/>
            <w:szCs w:val="22"/>
          </w:rPr>
          <w:t xml:space="preserve">USDA. “Table 70: Summary by Tenure of Principal Operator and by Operators on Farm: 2012 Maryland.” USDA National Agricultural Statistics Service, n.d. </w:t>
        </w:r>
      </w:hyperlink>
      <w:hyperlink r:id="rId585">
        <w:r w:rsidR="004B2BBB">
          <w:rPr>
            <w:color w:val="000000"/>
            <w:sz w:val="22"/>
            <w:szCs w:val="22"/>
          </w:rPr>
          <w:t>https://www.nass.usda.gov/Publications/AgCensus/2012/Full_Report/Volume_1,_Chapter_1_State_Level/Maryland/st24_1_070_070.pdf</w:t>
        </w:r>
      </w:hyperlink>
      <w:hyperlink r:id="rId586">
        <w:r w:rsidR="004B2BBB">
          <w:rPr>
            <w:color w:val="000000"/>
            <w:sz w:val="22"/>
            <w:szCs w:val="22"/>
          </w:rPr>
          <w:t>.</w:t>
        </w:r>
      </w:hyperlink>
    </w:p>
    <w:p w14:paraId="00000263"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587">
        <w:r w:rsidR="004B2BBB">
          <w:rPr>
            <w:color w:val="000000"/>
            <w:sz w:val="22"/>
            <w:szCs w:val="22"/>
          </w:rPr>
          <w:t xml:space="preserve">“USDA ERS - Federal Estate Taxes.” Accessed May 14, 2017. </w:t>
        </w:r>
      </w:hyperlink>
      <w:hyperlink r:id="rId588">
        <w:r w:rsidR="004B2BBB">
          <w:rPr>
            <w:color w:val="000000"/>
            <w:sz w:val="22"/>
            <w:szCs w:val="22"/>
          </w:rPr>
          <w:t>https://www.ers.usda.gov/topics/farm-economy/federal-tax-issues/federal-estate-taxes/</w:t>
        </w:r>
      </w:hyperlink>
      <w:hyperlink r:id="rId589">
        <w:r w:rsidR="004B2BBB">
          <w:rPr>
            <w:color w:val="000000"/>
            <w:sz w:val="22"/>
            <w:szCs w:val="22"/>
          </w:rPr>
          <w:t>.</w:t>
        </w:r>
      </w:hyperlink>
    </w:p>
    <w:p w14:paraId="00000264"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590">
        <w:r w:rsidR="004B2BBB">
          <w:rPr>
            <w:color w:val="000000"/>
            <w:sz w:val="22"/>
            <w:szCs w:val="22"/>
          </w:rPr>
          <w:t>U.S. Department of Agriculture. “2012 Census of Agriculture - Summary and State Data,” May 2014.</w:t>
        </w:r>
      </w:hyperlink>
    </w:p>
    <w:p w14:paraId="00000265"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591">
        <w:r w:rsidR="004B2BBB">
          <w:rPr>
            <w:color w:val="000000"/>
            <w:sz w:val="22"/>
            <w:szCs w:val="22"/>
          </w:rPr>
          <w:t xml:space="preserve">———. “Agricultural Conservation Easement Program | NRCS.” Natural Resource Conservation Services. Accessed February 3, 2019. </w:t>
        </w:r>
      </w:hyperlink>
      <w:hyperlink r:id="rId592">
        <w:r w:rsidR="004B2BBB">
          <w:rPr>
            <w:color w:val="000000"/>
            <w:sz w:val="22"/>
            <w:szCs w:val="22"/>
          </w:rPr>
          <w:t>https://www.nrcs.usda.gov/wps/portal/nrcs/main/national/programs/easements/acep/</w:t>
        </w:r>
      </w:hyperlink>
      <w:hyperlink r:id="rId593">
        <w:r w:rsidR="004B2BBB">
          <w:rPr>
            <w:color w:val="000000"/>
            <w:sz w:val="22"/>
            <w:szCs w:val="22"/>
          </w:rPr>
          <w:t>.</w:t>
        </w:r>
      </w:hyperlink>
    </w:p>
    <w:p w14:paraId="00000266"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594">
        <w:r w:rsidR="004B2BBB">
          <w:rPr>
            <w:color w:val="000000"/>
            <w:sz w:val="22"/>
            <w:szCs w:val="22"/>
          </w:rPr>
          <w:t xml:space="preserve">———. “Cover Crop Program.” Maryland.Gov. Accessed January 27, 2019. </w:t>
        </w:r>
      </w:hyperlink>
      <w:hyperlink r:id="rId595">
        <w:r w:rsidR="004B2BBB">
          <w:rPr>
            <w:color w:val="000000"/>
            <w:sz w:val="22"/>
            <w:szCs w:val="22"/>
          </w:rPr>
          <w:t>https://mda.maryland.gov/resource_conservation/pages/cover_crop.aspx</w:t>
        </w:r>
      </w:hyperlink>
      <w:hyperlink r:id="rId596">
        <w:r w:rsidR="004B2BBB">
          <w:rPr>
            <w:color w:val="000000"/>
            <w:sz w:val="22"/>
            <w:szCs w:val="22"/>
          </w:rPr>
          <w:t>.</w:t>
        </w:r>
      </w:hyperlink>
    </w:p>
    <w:p w14:paraId="00000267"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597">
        <w:r w:rsidR="004B2BBB">
          <w:rPr>
            <w:color w:val="000000"/>
            <w:sz w:val="22"/>
            <w:szCs w:val="22"/>
          </w:rPr>
          <w:t xml:space="preserve">———. “Environmental Quality Incentives Program.” Natural Resource Conservation Service Pennsylvania. Accessed February 3, 2019. </w:t>
        </w:r>
      </w:hyperlink>
      <w:hyperlink r:id="rId598">
        <w:r w:rsidR="004B2BBB">
          <w:rPr>
            <w:color w:val="000000"/>
            <w:sz w:val="22"/>
            <w:szCs w:val="22"/>
          </w:rPr>
          <w:t>https://www.nrcs.usda.gov/wps/portal/nrcs/main/pa/programs/financial/eqip/</w:t>
        </w:r>
      </w:hyperlink>
      <w:hyperlink r:id="rId599">
        <w:r w:rsidR="004B2BBB">
          <w:rPr>
            <w:color w:val="000000"/>
            <w:sz w:val="22"/>
            <w:szCs w:val="22"/>
          </w:rPr>
          <w:t>.</w:t>
        </w:r>
      </w:hyperlink>
    </w:p>
    <w:p w14:paraId="00000268"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600">
        <w:r w:rsidR="004B2BBB">
          <w:rPr>
            <w:color w:val="000000"/>
            <w:sz w:val="22"/>
            <w:szCs w:val="22"/>
          </w:rPr>
          <w:t xml:space="preserve">———. “Environmental Quality Incentives Program.” Natural Resource Conservation Service Maryland. Accessed February 3, 2019. </w:t>
        </w:r>
      </w:hyperlink>
      <w:hyperlink r:id="rId601">
        <w:r w:rsidR="004B2BBB">
          <w:rPr>
            <w:color w:val="000000"/>
            <w:sz w:val="22"/>
            <w:szCs w:val="22"/>
          </w:rPr>
          <w:t>https://www.nrcs.usda.gov/wps/portal/nrcs/main/md/programs/financial/eqip/</w:t>
        </w:r>
      </w:hyperlink>
      <w:hyperlink r:id="rId602">
        <w:r w:rsidR="004B2BBB">
          <w:rPr>
            <w:color w:val="000000"/>
            <w:sz w:val="22"/>
            <w:szCs w:val="22"/>
          </w:rPr>
          <w:t>.</w:t>
        </w:r>
      </w:hyperlink>
    </w:p>
    <w:p w14:paraId="00000269"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603">
        <w:r w:rsidR="004B2BBB">
          <w:rPr>
            <w:color w:val="000000"/>
            <w:sz w:val="22"/>
            <w:szCs w:val="22"/>
          </w:rPr>
          <w:t xml:space="preserve">———. “Environmental Quality Incentives Program.” Natural Resource Conservation Service Virginia. Accessed February 3, 2019. </w:t>
        </w:r>
      </w:hyperlink>
      <w:hyperlink r:id="rId604">
        <w:r w:rsidR="004B2BBB">
          <w:rPr>
            <w:color w:val="000000"/>
            <w:sz w:val="22"/>
            <w:szCs w:val="22"/>
          </w:rPr>
          <w:t>https://www.nrcs.usda.gov/wps/portal/nrcs/main/va/programs/financial/eqip/</w:t>
        </w:r>
      </w:hyperlink>
      <w:hyperlink r:id="rId605">
        <w:r w:rsidR="004B2BBB">
          <w:rPr>
            <w:color w:val="000000"/>
            <w:sz w:val="22"/>
            <w:szCs w:val="22"/>
          </w:rPr>
          <w:t>.</w:t>
        </w:r>
      </w:hyperlink>
    </w:p>
    <w:p w14:paraId="0000026A"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606">
        <w:r w:rsidR="004B2BBB">
          <w:rPr>
            <w:color w:val="000000"/>
            <w:sz w:val="22"/>
            <w:szCs w:val="22"/>
          </w:rPr>
          <w:t xml:space="preserve">———. “Table 1: Historical Highlights: 2012 and Earlier Census Years: 2012 Maryland.” USDA National Agricultural Statistics Service, n.d. </w:t>
        </w:r>
      </w:hyperlink>
      <w:hyperlink r:id="rId607">
        <w:r w:rsidR="004B2BBB">
          <w:rPr>
            <w:color w:val="000000"/>
            <w:sz w:val="22"/>
            <w:szCs w:val="22"/>
          </w:rPr>
          <w:t>https://www.nass.usda.gov/Publications/AgCensus/2012/Full_Report/Volume_1,_Chapter_1_State_Level/Maryland/st24_1_001_001.pdf</w:t>
        </w:r>
      </w:hyperlink>
      <w:hyperlink r:id="rId608">
        <w:r w:rsidR="004B2BBB">
          <w:rPr>
            <w:color w:val="000000"/>
            <w:sz w:val="22"/>
            <w:szCs w:val="22"/>
          </w:rPr>
          <w:t>.</w:t>
        </w:r>
      </w:hyperlink>
    </w:p>
    <w:p w14:paraId="0000026B"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609">
        <w:r w:rsidR="004B2BBB">
          <w:rPr>
            <w:color w:val="000000"/>
            <w:sz w:val="22"/>
            <w:szCs w:val="22"/>
          </w:rPr>
          <w:t xml:space="preserve">———. “Table 67: Summary by Legal Status For Tax Purposes: 2012 Pennsylvania.” USDA National Agricultural Statistics Service, n.d. </w:t>
        </w:r>
      </w:hyperlink>
      <w:hyperlink r:id="rId610">
        <w:r w:rsidR="004B2BBB">
          <w:rPr>
            <w:color w:val="000000"/>
            <w:sz w:val="22"/>
            <w:szCs w:val="22"/>
          </w:rPr>
          <w:t>https://www.nass.usda.gov/Publications/AgCensus/2012/Full_Report/Volume_1,_Chapter_1_State_Level/Pennsylvania/st42_1_067_067.pdf</w:t>
        </w:r>
      </w:hyperlink>
      <w:hyperlink r:id="rId611">
        <w:r w:rsidR="004B2BBB">
          <w:rPr>
            <w:color w:val="000000"/>
            <w:sz w:val="22"/>
            <w:szCs w:val="22"/>
          </w:rPr>
          <w:t>.</w:t>
        </w:r>
      </w:hyperlink>
    </w:p>
    <w:p w14:paraId="0000026C"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612">
        <w:r w:rsidR="004B2BBB">
          <w:rPr>
            <w:color w:val="000000"/>
            <w:sz w:val="22"/>
            <w:szCs w:val="22"/>
          </w:rPr>
          <w:t xml:space="preserve">———. “USDA ERS - Beginning Farmers and Age Distribution of Farmers.” Accessed January 12, 2019. </w:t>
        </w:r>
      </w:hyperlink>
      <w:hyperlink r:id="rId613">
        <w:r w:rsidR="004B2BBB">
          <w:rPr>
            <w:color w:val="000000"/>
            <w:sz w:val="22"/>
            <w:szCs w:val="22"/>
          </w:rPr>
          <w:t>https://www.ers.usda.gov/topics/farm-economy/beginning-disadvantaged-farmers/beginning-farmers-and-age-distribution-of-farmers/</w:t>
        </w:r>
      </w:hyperlink>
      <w:hyperlink r:id="rId614">
        <w:r w:rsidR="004B2BBB">
          <w:rPr>
            <w:color w:val="000000"/>
            <w:sz w:val="22"/>
            <w:szCs w:val="22"/>
          </w:rPr>
          <w:t>.</w:t>
        </w:r>
      </w:hyperlink>
    </w:p>
    <w:p w14:paraId="0000026D"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615">
        <w:r w:rsidR="004B2BBB">
          <w:rPr>
            <w:color w:val="000000"/>
            <w:sz w:val="22"/>
            <w:szCs w:val="22"/>
          </w:rPr>
          <w:t xml:space="preserve">———. “USDA/NASS 2017 State Agriculture Overview for Maryland.” Accessed January 13, 2019. </w:t>
        </w:r>
      </w:hyperlink>
      <w:hyperlink r:id="rId616">
        <w:r w:rsidR="004B2BBB">
          <w:rPr>
            <w:color w:val="000000"/>
            <w:sz w:val="22"/>
            <w:szCs w:val="22"/>
          </w:rPr>
          <w:t>https://www.nass.usda.gov/Quick_Stats/Ag_Overview/stateOverview.p</w:t>
        </w:r>
      </w:hyperlink>
      <w:hyperlink r:id="rId617">
        <w:r w:rsidR="004B2BBB">
          <w:rPr>
            <w:sz w:val="22"/>
            <w:szCs w:val="22"/>
          </w:rPr>
          <w:t xml:space="preserve">historic </w:t>
        </w:r>
        <w:proofErr w:type="spellStart"/>
        <w:r w:rsidR="004B2BBB">
          <w:rPr>
            <w:sz w:val="22"/>
            <w:szCs w:val="22"/>
          </w:rPr>
          <w:t>preservation</w:t>
        </w:r>
      </w:hyperlink>
      <w:hyperlink r:id="rId618">
        <w:r w:rsidR="004B2BBB">
          <w:rPr>
            <w:color w:val="000000"/>
            <w:sz w:val="22"/>
            <w:szCs w:val="22"/>
          </w:rPr>
          <w:t>?state</w:t>
        </w:r>
        <w:proofErr w:type="spellEnd"/>
        <w:r w:rsidR="004B2BBB">
          <w:rPr>
            <w:color w:val="000000"/>
            <w:sz w:val="22"/>
            <w:szCs w:val="22"/>
          </w:rPr>
          <w:t>=MARYLAND</w:t>
        </w:r>
      </w:hyperlink>
      <w:hyperlink r:id="rId619">
        <w:r w:rsidR="004B2BBB">
          <w:rPr>
            <w:color w:val="000000"/>
            <w:sz w:val="22"/>
            <w:szCs w:val="22"/>
          </w:rPr>
          <w:t>.</w:t>
        </w:r>
      </w:hyperlink>
    </w:p>
    <w:p w14:paraId="0000026E"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620">
        <w:r w:rsidR="004B2BBB">
          <w:rPr>
            <w:color w:val="000000"/>
            <w:sz w:val="22"/>
            <w:szCs w:val="22"/>
          </w:rPr>
          <w:t xml:space="preserve">———. “USDA/NASS 2017 State Agriculture Overview for Pennsylvania.” Accessed January 13, 2019. </w:t>
        </w:r>
      </w:hyperlink>
      <w:hyperlink r:id="rId621">
        <w:r w:rsidR="004B2BBB">
          <w:rPr>
            <w:color w:val="000000"/>
            <w:sz w:val="22"/>
            <w:szCs w:val="22"/>
          </w:rPr>
          <w:t>https://www.nass.usda.gov/Quick_Stats/Ag_Overview/stateOverview.p</w:t>
        </w:r>
      </w:hyperlink>
      <w:hyperlink r:id="rId622">
        <w:r w:rsidR="004B2BBB">
          <w:rPr>
            <w:sz w:val="22"/>
            <w:szCs w:val="22"/>
          </w:rPr>
          <w:t xml:space="preserve">historic </w:t>
        </w:r>
        <w:proofErr w:type="spellStart"/>
        <w:r w:rsidR="004B2BBB">
          <w:rPr>
            <w:sz w:val="22"/>
            <w:szCs w:val="22"/>
          </w:rPr>
          <w:t>preservation</w:t>
        </w:r>
      </w:hyperlink>
      <w:hyperlink r:id="rId623">
        <w:r w:rsidR="004B2BBB">
          <w:rPr>
            <w:color w:val="000000"/>
            <w:sz w:val="22"/>
            <w:szCs w:val="22"/>
          </w:rPr>
          <w:t>?state</w:t>
        </w:r>
        <w:proofErr w:type="spellEnd"/>
        <w:r w:rsidR="004B2BBB">
          <w:rPr>
            <w:color w:val="000000"/>
            <w:sz w:val="22"/>
            <w:szCs w:val="22"/>
          </w:rPr>
          <w:t>=PENNSYLVANIA</w:t>
        </w:r>
      </w:hyperlink>
      <w:hyperlink r:id="rId624">
        <w:r w:rsidR="004B2BBB">
          <w:rPr>
            <w:color w:val="000000"/>
            <w:sz w:val="22"/>
            <w:szCs w:val="22"/>
          </w:rPr>
          <w:t>.</w:t>
        </w:r>
      </w:hyperlink>
    </w:p>
    <w:p w14:paraId="0000026F"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625">
        <w:r w:rsidR="004B2BBB">
          <w:rPr>
            <w:color w:val="000000"/>
            <w:sz w:val="22"/>
            <w:szCs w:val="22"/>
          </w:rPr>
          <w:t xml:space="preserve">U.S. Department of Agriculture, and National Agricultural Statistics Service. “USDA-NASS Announces the 2017 Census of Agriculture Response Rate, Data Release Details, and Upcoming Special Studies,” October 1, 2018. </w:t>
        </w:r>
      </w:hyperlink>
      <w:hyperlink r:id="rId626">
        <w:r w:rsidR="004B2BBB">
          <w:rPr>
            <w:color w:val="000000"/>
            <w:sz w:val="22"/>
            <w:szCs w:val="22"/>
          </w:rPr>
          <w:t>https://www.nass.usda.gov/Newsroom/2018/10-01-2018.p</w:t>
        </w:r>
      </w:hyperlink>
      <w:hyperlink r:id="rId627">
        <w:r w:rsidR="004B2BBB">
          <w:rPr>
            <w:sz w:val="22"/>
            <w:szCs w:val="22"/>
          </w:rPr>
          <w:t>historic preservation</w:t>
        </w:r>
      </w:hyperlink>
      <w:hyperlink r:id="rId628">
        <w:r w:rsidR="004B2BBB">
          <w:rPr>
            <w:color w:val="000000"/>
            <w:sz w:val="22"/>
            <w:szCs w:val="22"/>
          </w:rPr>
          <w:t>.</w:t>
        </w:r>
      </w:hyperlink>
    </w:p>
    <w:p w14:paraId="00000270"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629">
        <w:r w:rsidR="004B2BBB">
          <w:rPr>
            <w:color w:val="000000"/>
            <w:sz w:val="22"/>
            <w:szCs w:val="22"/>
          </w:rPr>
          <w:t xml:space="preserve">U.S. Department of the Interior. “Gifford Pinchot: A Legacy of Conservation.” U.S. Department of the Interior Blog, August 8, 2017. </w:t>
        </w:r>
      </w:hyperlink>
      <w:hyperlink r:id="rId630">
        <w:r w:rsidR="004B2BBB">
          <w:rPr>
            <w:color w:val="000000"/>
            <w:sz w:val="22"/>
            <w:szCs w:val="22"/>
          </w:rPr>
          <w:t>https://www.doi.gov/blog/gifford-pinchot-legacy-conservation</w:t>
        </w:r>
      </w:hyperlink>
      <w:hyperlink r:id="rId631">
        <w:r w:rsidR="004B2BBB">
          <w:rPr>
            <w:color w:val="000000"/>
            <w:sz w:val="22"/>
            <w:szCs w:val="22"/>
          </w:rPr>
          <w:t>.</w:t>
        </w:r>
      </w:hyperlink>
    </w:p>
    <w:p w14:paraId="00000271"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632">
        <w:r w:rsidR="004B2BBB">
          <w:rPr>
            <w:color w:val="000000"/>
            <w:sz w:val="22"/>
            <w:szCs w:val="22"/>
          </w:rPr>
          <w:t xml:space="preserve">———. “The Secretary of the Interior’s Standards for the Treatment of Historic Properties,” 2017. </w:t>
        </w:r>
      </w:hyperlink>
      <w:hyperlink r:id="rId633">
        <w:r w:rsidR="004B2BBB">
          <w:rPr>
            <w:color w:val="000000"/>
            <w:sz w:val="22"/>
            <w:szCs w:val="22"/>
          </w:rPr>
          <w:t>https://www.nps.gov/tps/standards/treatment-guidelines-2017.pdf</w:t>
        </w:r>
      </w:hyperlink>
      <w:hyperlink r:id="rId634">
        <w:r w:rsidR="004B2BBB">
          <w:rPr>
            <w:color w:val="000000"/>
            <w:sz w:val="22"/>
            <w:szCs w:val="22"/>
          </w:rPr>
          <w:t>.</w:t>
        </w:r>
      </w:hyperlink>
    </w:p>
    <w:p w14:paraId="00000272"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635">
        <w:r w:rsidR="004B2BBB">
          <w:rPr>
            <w:color w:val="000000"/>
            <w:sz w:val="22"/>
            <w:szCs w:val="22"/>
          </w:rPr>
          <w:t xml:space="preserve">ushistory.org. “Preserving the Wilderness.” Accessed October 13, 2018. </w:t>
        </w:r>
      </w:hyperlink>
      <w:hyperlink r:id="rId636">
        <w:r w:rsidR="004B2BBB">
          <w:rPr>
            <w:color w:val="000000"/>
            <w:sz w:val="22"/>
            <w:szCs w:val="22"/>
          </w:rPr>
          <w:t>http://www.ushistory.org/us/43d.asp</w:t>
        </w:r>
      </w:hyperlink>
      <w:hyperlink r:id="rId637">
        <w:r w:rsidR="004B2BBB">
          <w:rPr>
            <w:color w:val="000000"/>
            <w:sz w:val="22"/>
            <w:szCs w:val="22"/>
          </w:rPr>
          <w:t>.</w:t>
        </w:r>
      </w:hyperlink>
    </w:p>
    <w:p w14:paraId="00000273"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638">
        <w:r w:rsidR="004B2BBB">
          <w:rPr>
            <w:color w:val="000000"/>
            <w:sz w:val="22"/>
            <w:szCs w:val="22"/>
          </w:rPr>
          <w:t xml:space="preserve">U.S. National Park Service. “Guidelines for the Treatment of Cultural Landscapes.” Accessed November 9, 2018. </w:t>
        </w:r>
      </w:hyperlink>
      <w:hyperlink r:id="rId639">
        <w:r w:rsidR="004B2BBB">
          <w:rPr>
            <w:color w:val="000000"/>
            <w:sz w:val="22"/>
            <w:szCs w:val="22"/>
          </w:rPr>
          <w:t>https://www.nps.gov/tps/standards/four-treatments/landscape-guidelines/index.htm</w:t>
        </w:r>
      </w:hyperlink>
      <w:hyperlink r:id="rId640">
        <w:r w:rsidR="004B2BBB">
          <w:rPr>
            <w:color w:val="000000"/>
            <w:sz w:val="22"/>
            <w:szCs w:val="22"/>
          </w:rPr>
          <w:t>.</w:t>
        </w:r>
      </w:hyperlink>
    </w:p>
    <w:p w14:paraId="00000274"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641">
        <w:r w:rsidR="004B2BBB">
          <w:rPr>
            <w:color w:val="000000"/>
            <w:sz w:val="22"/>
            <w:szCs w:val="22"/>
          </w:rPr>
          <w:t xml:space="preserve">———. “Interpreting the Standards Bulletins.” Technical Preservation Services. Accessed November 9, 2018. </w:t>
        </w:r>
      </w:hyperlink>
      <w:hyperlink r:id="rId642">
        <w:r w:rsidR="004B2BBB">
          <w:rPr>
            <w:color w:val="000000"/>
            <w:sz w:val="22"/>
            <w:szCs w:val="22"/>
          </w:rPr>
          <w:t>https://www.nps.gov/tps/standards/applying-rehabilitation/standards-bulletins.htm</w:t>
        </w:r>
      </w:hyperlink>
      <w:hyperlink r:id="rId643">
        <w:r w:rsidR="004B2BBB">
          <w:rPr>
            <w:color w:val="000000"/>
            <w:sz w:val="22"/>
            <w:szCs w:val="22"/>
          </w:rPr>
          <w:t>.</w:t>
        </w:r>
      </w:hyperlink>
    </w:p>
    <w:p w14:paraId="00000275"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644">
        <w:r w:rsidR="004B2BBB">
          <w:rPr>
            <w:color w:val="000000"/>
            <w:sz w:val="22"/>
            <w:szCs w:val="22"/>
          </w:rPr>
          <w:t xml:space="preserve">———. “National Heritage Areas FAQs.” National Heritage Areas. Accessed March 17, 2019. </w:t>
        </w:r>
      </w:hyperlink>
      <w:hyperlink r:id="rId645">
        <w:r w:rsidR="004B2BBB">
          <w:rPr>
            <w:color w:val="000000"/>
            <w:sz w:val="22"/>
            <w:szCs w:val="22"/>
          </w:rPr>
          <w:t>https://www.nps.gov/articles/national-heritage-areas-faqs.htm</w:t>
        </w:r>
      </w:hyperlink>
      <w:hyperlink r:id="rId646">
        <w:r w:rsidR="004B2BBB">
          <w:rPr>
            <w:color w:val="000000"/>
            <w:sz w:val="22"/>
            <w:szCs w:val="22"/>
          </w:rPr>
          <w:t>.</w:t>
        </w:r>
      </w:hyperlink>
    </w:p>
    <w:p w14:paraId="00000276"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647">
        <w:r w:rsidR="004B2BBB">
          <w:rPr>
            <w:color w:val="000000"/>
            <w:sz w:val="22"/>
            <w:szCs w:val="22"/>
          </w:rPr>
          <w:t xml:space="preserve">———. “National Historic Preservation Act, Section 106.” U.S. Department of the Interior, n.d. </w:t>
        </w:r>
      </w:hyperlink>
      <w:hyperlink r:id="rId648">
        <w:r w:rsidR="004B2BBB">
          <w:rPr>
            <w:color w:val="000000"/>
            <w:sz w:val="22"/>
            <w:szCs w:val="22"/>
          </w:rPr>
          <w:t>https://www.nps.gov/history/tribes/Documents/106.pdf</w:t>
        </w:r>
      </w:hyperlink>
      <w:hyperlink r:id="rId649">
        <w:r w:rsidR="004B2BBB">
          <w:rPr>
            <w:color w:val="000000"/>
            <w:sz w:val="22"/>
            <w:szCs w:val="22"/>
          </w:rPr>
          <w:t>.</w:t>
        </w:r>
      </w:hyperlink>
    </w:p>
    <w:p w14:paraId="00000277"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650">
        <w:r w:rsidR="004B2BBB">
          <w:rPr>
            <w:color w:val="000000"/>
            <w:sz w:val="22"/>
            <w:szCs w:val="22"/>
          </w:rPr>
          <w:t xml:space="preserve">———. “Preservation Briefs.” Technical Preservation Services. Accessed November 9, 2018. </w:t>
        </w:r>
      </w:hyperlink>
      <w:hyperlink r:id="rId651">
        <w:r w:rsidR="004B2BBB">
          <w:rPr>
            <w:color w:val="000000"/>
            <w:sz w:val="22"/>
            <w:szCs w:val="22"/>
          </w:rPr>
          <w:t>https://www.nps.gov/tps/how-to-preserve/briefs.htm</w:t>
        </w:r>
      </w:hyperlink>
      <w:hyperlink r:id="rId652">
        <w:r w:rsidR="004B2BBB">
          <w:rPr>
            <w:color w:val="000000"/>
            <w:sz w:val="22"/>
            <w:szCs w:val="22"/>
          </w:rPr>
          <w:t>.</w:t>
        </w:r>
      </w:hyperlink>
    </w:p>
    <w:p w14:paraId="00000278"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653">
        <w:r w:rsidR="004B2BBB">
          <w:rPr>
            <w:color w:val="000000"/>
            <w:sz w:val="22"/>
            <w:szCs w:val="22"/>
          </w:rPr>
          <w:t xml:space="preserve">———. “Preserving: The Approach / Cultural Landscape Guidelines.” Accessed November 11, 2018. </w:t>
        </w:r>
      </w:hyperlink>
      <w:hyperlink r:id="rId654">
        <w:r w:rsidR="004B2BBB">
          <w:rPr>
            <w:color w:val="000000"/>
            <w:sz w:val="22"/>
            <w:szCs w:val="22"/>
          </w:rPr>
          <w:t>https://www.nps.gov/Tps/standards/four-treatments/landscape-guidelines/preserve/approach.htm</w:t>
        </w:r>
      </w:hyperlink>
      <w:hyperlink r:id="rId655">
        <w:r w:rsidR="004B2BBB">
          <w:rPr>
            <w:color w:val="000000"/>
            <w:sz w:val="22"/>
            <w:szCs w:val="22"/>
          </w:rPr>
          <w:t>.</w:t>
        </w:r>
      </w:hyperlink>
    </w:p>
    <w:p w14:paraId="00000279"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656">
        <w:r w:rsidR="004B2BBB">
          <w:rPr>
            <w:color w:val="000000"/>
            <w:sz w:val="22"/>
            <w:szCs w:val="22"/>
          </w:rPr>
          <w:t xml:space="preserve">———. “Secretary’s Standards--Preservation Terminology.” Accessed October 14, 2018. </w:t>
        </w:r>
      </w:hyperlink>
      <w:hyperlink r:id="rId657">
        <w:r w:rsidR="004B2BBB">
          <w:rPr>
            <w:color w:val="000000"/>
            <w:sz w:val="22"/>
            <w:szCs w:val="22"/>
          </w:rPr>
          <w:t>https://www.nps.gov/history/local-law/arch_stnds_10.htm</w:t>
        </w:r>
      </w:hyperlink>
      <w:hyperlink r:id="rId658">
        <w:r w:rsidR="004B2BBB">
          <w:rPr>
            <w:color w:val="000000"/>
            <w:sz w:val="22"/>
            <w:szCs w:val="22"/>
          </w:rPr>
          <w:t>.</w:t>
        </w:r>
      </w:hyperlink>
    </w:p>
    <w:p w14:paraId="0000027A"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659">
        <w:r w:rsidR="004B2BBB">
          <w:rPr>
            <w:color w:val="000000"/>
            <w:sz w:val="22"/>
            <w:szCs w:val="22"/>
          </w:rPr>
          <w:t xml:space="preserve">———. “Standards for Reconstruction / Cultural Landscape Guidelines.” Accessed April 6, 2019. </w:t>
        </w:r>
      </w:hyperlink>
      <w:hyperlink r:id="rId660">
        <w:r w:rsidR="004B2BBB">
          <w:rPr>
            <w:color w:val="000000"/>
            <w:sz w:val="22"/>
            <w:szCs w:val="22"/>
          </w:rPr>
          <w:t>https://www.nps.gov/tps/standards/four-treatments/landscape-guidelines/reconstruct/index.htm</w:t>
        </w:r>
      </w:hyperlink>
      <w:hyperlink r:id="rId661">
        <w:r w:rsidR="004B2BBB">
          <w:rPr>
            <w:color w:val="000000"/>
            <w:sz w:val="22"/>
            <w:szCs w:val="22"/>
          </w:rPr>
          <w:t>.</w:t>
        </w:r>
      </w:hyperlink>
    </w:p>
    <w:p w14:paraId="0000027B"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662">
        <w:r w:rsidR="004B2BBB">
          <w:rPr>
            <w:color w:val="000000"/>
            <w:sz w:val="22"/>
            <w:szCs w:val="22"/>
          </w:rPr>
          <w:t xml:space="preserve">———. “Standards for Rehabilitation / Cultural Landscape Guidelines.” Accessed November 11, 2018. </w:t>
        </w:r>
      </w:hyperlink>
      <w:hyperlink r:id="rId663">
        <w:r w:rsidR="004B2BBB">
          <w:rPr>
            <w:color w:val="000000"/>
            <w:sz w:val="22"/>
            <w:szCs w:val="22"/>
          </w:rPr>
          <w:t>https://www.nps.gov/Tps/standards/four-treatments/landscape-guidelines/rehab/index.htm</w:t>
        </w:r>
      </w:hyperlink>
      <w:hyperlink r:id="rId664">
        <w:r w:rsidR="004B2BBB">
          <w:rPr>
            <w:color w:val="000000"/>
            <w:sz w:val="22"/>
            <w:szCs w:val="22"/>
          </w:rPr>
          <w:t>.</w:t>
        </w:r>
      </w:hyperlink>
    </w:p>
    <w:p w14:paraId="0000027C"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665">
        <w:r w:rsidR="004B2BBB">
          <w:rPr>
            <w:color w:val="000000"/>
            <w:sz w:val="22"/>
            <w:szCs w:val="22"/>
          </w:rPr>
          <w:t xml:space="preserve">———. “Tangible and Intangible Cultural Heritage.” Accessed November 11, 2018. </w:t>
        </w:r>
      </w:hyperlink>
      <w:hyperlink r:id="rId666">
        <w:r w:rsidR="004B2BBB">
          <w:rPr>
            <w:color w:val="000000"/>
            <w:sz w:val="22"/>
            <w:szCs w:val="22"/>
          </w:rPr>
          <w:t>https://www.nps.gov/articles/tangible-cultural-heritage.htm</w:t>
        </w:r>
      </w:hyperlink>
      <w:hyperlink r:id="rId667">
        <w:r w:rsidR="004B2BBB">
          <w:rPr>
            <w:color w:val="000000"/>
            <w:sz w:val="22"/>
            <w:szCs w:val="22"/>
          </w:rPr>
          <w:t>.</w:t>
        </w:r>
      </w:hyperlink>
    </w:p>
    <w:p w14:paraId="0000027D"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668">
        <w:r w:rsidR="004B2BBB">
          <w:rPr>
            <w:color w:val="000000"/>
            <w:sz w:val="22"/>
            <w:szCs w:val="22"/>
          </w:rPr>
          <w:t xml:space="preserve">———. “Tax Incentives.” Technical Preservation Services,. Accessed November 12, 2018. </w:t>
        </w:r>
      </w:hyperlink>
      <w:hyperlink r:id="rId669">
        <w:r w:rsidR="004B2BBB">
          <w:rPr>
            <w:color w:val="000000"/>
            <w:sz w:val="22"/>
            <w:szCs w:val="22"/>
          </w:rPr>
          <w:t>https://www.nps.gov/tps/tax-incentives.htm</w:t>
        </w:r>
      </w:hyperlink>
      <w:hyperlink r:id="rId670">
        <w:r w:rsidR="004B2BBB">
          <w:rPr>
            <w:color w:val="000000"/>
            <w:sz w:val="22"/>
            <w:szCs w:val="22"/>
          </w:rPr>
          <w:t>.</w:t>
        </w:r>
      </w:hyperlink>
    </w:p>
    <w:p w14:paraId="0000027E" w14:textId="1646BA3F"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671">
        <w:r w:rsidR="004B2BBB">
          <w:rPr>
            <w:color w:val="000000"/>
            <w:sz w:val="22"/>
            <w:szCs w:val="22"/>
          </w:rPr>
          <w:t>U.S. National Park Service Native American Lia</w:t>
        </w:r>
        <w:r w:rsidR="00ED6E90">
          <w:rPr>
            <w:color w:val="000000"/>
            <w:sz w:val="22"/>
            <w:szCs w:val="22"/>
          </w:rPr>
          <w:t>i</w:t>
        </w:r>
        <w:r w:rsidR="004B2BBB">
          <w:rPr>
            <w:color w:val="000000"/>
            <w:sz w:val="22"/>
            <w:szCs w:val="22"/>
          </w:rPr>
          <w:t xml:space="preserve">son Office. “National Register of Historic Places - Traditional Cultural Properties (TCPs) A Quick Guide for Preserving Native American Cultural Resources.” U.S. Department of the Interior, 2012. </w:t>
        </w:r>
      </w:hyperlink>
      <w:hyperlink r:id="rId672">
        <w:r w:rsidR="004B2BBB">
          <w:rPr>
            <w:color w:val="000000"/>
            <w:sz w:val="22"/>
            <w:szCs w:val="22"/>
          </w:rPr>
          <w:t>https://www.nps.gov/history/tribes/documents/tcp.pdf</w:t>
        </w:r>
      </w:hyperlink>
      <w:hyperlink r:id="rId673">
        <w:r w:rsidR="004B2BBB">
          <w:rPr>
            <w:color w:val="000000"/>
            <w:sz w:val="22"/>
            <w:szCs w:val="22"/>
          </w:rPr>
          <w:t>.</w:t>
        </w:r>
      </w:hyperlink>
    </w:p>
    <w:p w14:paraId="0000027F"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674">
        <w:proofErr w:type="spellStart"/>
        <w:r w:rsidR="004B2BBB">
          <w:rPr>
            <w:color w:val="000000"/>
            <w:sz w:val="22"/>
            <w:szCs w:val="22"/>
          </w:rPr>
          <w:t>Viederman</w:t>
        </w:r>
        <w:proofErr w:type="spellEnd"/>
        <w:r w:rsidR="004B2BBB">
          <w:rPr>
            <w:color w:val="000000"/>
            <w:sz w:val="22"/>
            <w:szCs w:val="22"/>
          </w:rPr>
          <w:t xml:space="preserve">, Stephen. “Five Capitals and Three Pillars of Sustainability.” </w:t>
        </w:r>
      </w:hyperlink>
      <w:hyperlink r:id="rId675">
        <w:r w:rsidR="004B2BBB">
          <w:rPr>
            <w:i/>
            <w:color w:val="000000"/>
            <w:sz w:val="22"/>
            <w:szCs w:val="22"/>
          </w:rPr>
          <w:t>The Newsletter of PEGS</w:t>
        </w:r>
      </w:hyperlink>
      <w:hyperlink r:id="rId676">
        <w:r w:rsidR="004B2BBB">
          <w:rPr>
            <w:color w:val="000000"/>
            <w:sz w:val="22"/>
            <w:szCs w:val="22"/>
          </w:rPr>
          <w:t xml:space="preserve"> 4, no. 1 (1994): 5–12.</w:t>
        </w:r>
      </w:hyperlink>
    </w:p>
    <w:p w14:paraId="00000280"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677">
        <w:r w:rsidR="004B2BBB">
          <w:rPr>
            <w:color w:val="000000"/>
            <w:sz w:val="22"/>
            <w:szCs w:val="22"/>
          </w:rPr>
          <w:t xml:space="preserve">Virginia Outdoors Foundation. “VOF Easement Guidelines.” Virginia Outdoors Foundation, January 2017. </w:t>
        </w:r>
      </w:hyperlink>
      <w:hyperlink r:id="rId678">
        <w:r w:rsidR="004B2BBB">
          <w:rPr>
            <w:color w:val="000000"/>
            <w:sz w:val="22"/>
            <w:szCs w:val="22"/>
          </w:rPr>
          <w:t>http://www.virginiaoutdoorsfoundation.org/download/easement-docs/vof_easement_guidelines.pdf</w:t>
        </w:r>
      </w:hyperlink>
      <w:hyperlink r:id="rId679">
        <w:r w:rsidR="004B2BBB">
          <w:rPr>
            <w:color w:val="000000"/>
            <w:sz w:val="22"/>
            <w:szCs w:val="22"/>
          </w:rPr>
          <w:t>.</w:t>
        </w:r>
      </w:hyperlink>
    </w:p>
    <w:p w14:paraId="00000281"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680">
        <w:r w:rsidR="004B2BBB">
          <w:rPr>
            <w:color w:val="000000"/>
            <w:sz w:val="22"/>
            <w:szCs w:val="22"/>
          </w:rPr>
          <w:t xml:space="preserve">Webb, Melody. “Cultural Landscapes in the National Park Service.” </w:t>
        </w:r>
      </w:hyperlink>
      <w:hyperlink r:id="rId681">
        <w:r w:rsidR="004B2BBB">
          <w:rPr>
            <w:i/>
            <w:color w:val="000000"/>
            <w:sz w:val="22"/>
            <w:szCs w:val="22"/>
          </w:rPr>
          <w:t>The Public Historian</w:t>
        </w:r>
      </w:hyperlink>
      <w:hyperlink r:id="rId682">
        <w:r w:rsidR="004B2BBB">
          <w:rPr>
            <w:color w:val="000000"/>
            <w:sz w:val="22"/>
            <w:szCs w:val="22"/>
          </w:rPr>
          <w:t xml:space="preserve"> 9, no. 2 (1987): 77–89.</w:t>
        </w:r>
      </w:hyperlink>
    </w:p>
    <w:p w14:paraId="00000282"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683">
        <w:r w:rsidR="004B2BBB">
          <w:rPr>
            <w:color w:val="000000"/>
            <w:sz w:val="22"/>
            <w:szCs w:val="22"/>
          </w:rPr>
          <w:t xml:space="preserve">Weinstein, Michael P. “The Road Ahead: The Sustainability Transition and Coastal Research.” </w:t>
        </w:r>
      </w:hyperlink>
      <w:hyperlink r:id="rId684">
        <w:r w:rsidR="004B2BBB">
          <w:rPr>
            <w:i/>
            <w:color w:val="000000"/>
            <w:sz w:val="22"/>
            <w:szCs w:val="22"/>
          </w:rPr>
          <w:t>Estuaries and Coasts</w:t>
        </w:r>
      </w:hyperlink>
      <w:hyperlink r:id="rId685">
        <w:r w:rsidR="004B2BBB">
          <w:rPr>
            <w:color w:val="000000"/>
            <w:sz w:val="22"/>
            <w:szCs w:val="22"/>
          </w:rPr>
          <w:t xml:space="preserve"> 32, no. 6 (2009): 1044–53.</w:t>
        </w:r>
      </w:hyperlink>
    </w:p>
    <w:p w14:paraId="00000283"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686">
        <w:r w:rsidR="004B2BBB">
          <w:rPr>
            <w:color w:val="000000"/>
            <w:sz w:val="22"/>
            <w:szCs w:val="22"/>
          </w:rPr>
          <w:t xml:space="preserve">Whitescarver Natural Resource Management. “Why Do Farmers Fence Their Livestock Out of Streams?” Getting More on the Ground, March 26, 2014. </w:t>
        </w:r>
      </w:hyperlink>
      <w:hyperlink r:id="rId687">
        <w:r w:rsidR="004B2BBB">
          <w:rPr>
            <w:color w:val="000000"/>
            <w:sz w:val="22"/>
            <w:szCs w:val="22"/>
          </w:rPr>
          <w:t>https://www.gettingmoreontheground.com/2014/03/26/dr-wise-on-livestock-stream-exclusion/</w:t>
        </w:r>
      </w:hyperlink>
      <w:hyperlink r:id="rId688">
        <w:r w:rsidR="004B2BBB">
          <w:rPr>
            <w:color w:val="000000"/>
            <w:sz w:val="22"/>
            <w:szCs w:val="22"/>
          </w:rPr>
          <w:t>.</w:t>
        </w:r>
      </w:hyperlink>
    </w:p>
    <w:p w14:paraId="00000284"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689">
        <w:r w:rsidR="004B2BBB">
          <w:rPr>
            <w:color w:val="000000"/>
            <w:sz w:val="22"/>
            <w:szCs w:val="22"/>
          </w:rPr>
          <w:t xml:space="preserve">Willett M. Kempton, James S. </w:t>
        </w:r>
        <w:proofErr w:type="spellStart"/>
        <w:r w:rsidR="004B2BBB">
          <w:rPr>
            <w:color w:val="000000"/>
            <w:sz w:val="22"/>
            <w:szCs w:val="22"/>
          </w:rPr>
          <w:t>Boster</w:t>
        </w:r>
        <w:proofErr w:type="spellEnd"/>
        <w:r w:rsidR="004B2BBB">
          <w:rPr>
            <w:color w:val="000000"/>
            <w:sz w:val="22"/>
            <w:szCs w:val="22"/>
          </w:rPr>
          <w:t xml:space="preserve">, Jennifer A. Hartley. </w:t>
        </w:r>
      </w:hyperlink>
      <w:hyperlink r:id="rId690">
        <w:r w:rsidR="004B2BBB">
          <w:rPr>
            <w:i/>
            <w:color w:val="000000"/>
            <w:sz w:val="22"/>
            <w:szCs w:val="22"/>
          </w:rPr>
          <w:t>Environmental Values in American Culture</w:t>
        </w:r>
      </w:hyperlink>
      <w:hyperlink r:id="rId691">
        <w:r w:rsidR="004B2BBB">
          <w:rPr>
            <w:color w:val="000000"/>
            <w:sz w:val="22"/>
            <w:szCs w:val="22"/>
          </w:rPr>
          <w:t>. Cambridge: MIT Press, 1996.</w:t>
        </w:r>
      </w:hyperlink>
    </w:p>
    <w:p w14:paraId="00000285" w14:textId="77777777" w:rsidR="00D7661C" w:rsidRDefault="002A2321">
      <w:pPr>
        <w:widowControl w:val="0"/>
        <w:pBdr>
          <w:top w:val="nil"/>
          <w:left w:val="nil"/>
          <w:bottom w:val="nil"/>
          <w:right w:val="nil"/>
          <w:between w:val="nil"/>
        </w:pBdr>
        <w:spacing w:line="240" w:lineRule="auto"/>
        <w:ind w:left="440" w:hanging="440"/>
        <w:rPr>
          <w:color w:val="000000"/>
          <w:sz w:val="22"/>
          <w:szCs w:val="22"/>
        </w:rPr>
      </w:pPr>
      <w:hyperlink r:id="rId692">
        <w:r w:rsidR="004B2BBB">
          <w:rPr>
            <w:color w:val="000000"/>
            <w:sz w:val="22"/>
            <w:szCs w:val="22"/>
          </w:rPr>
          <w:t xml:space="preserve">World Commission on Environment and Development. “Our Common Future: Report of the World Commission on Environment and Development,” 1987. </w:t>
        </w:r>
      </w:hyperlink>
      <w:hyperlink r:id="rId693">
        <w:r w:rsidR="004B2BBB">
          <w:rPr>
            <w:color w:val="000000"/>
            <w:sz w:val="22"/>
            <w:szCs w:val="22"/>
          </w:rPr>
          <w:t>http://www.un-documents.net/our-common-future.pdf</w:t>
        </w:r>
      </w:hyperlink>
      <w:hyperlink r:id="rId694">
        <w:r w:rsidR="004B2BBB">
          <w:rPr>
            <w:color w:val="000000"/>
            <w:sz w:val="22"/>
            <w:szCs w:val="22"/>
          </w:rPr>
          <w:t>.</w:t>
        </w:r>
      </w:hyperlink>
    </w:p>
    <w:p w14:paraId="0DACF0E1" w14:textId="0BC97E7F" w:rsidR="00232A61" w:rsidRDefault="002A2321" w:rsidP="009D59A3">
      <w:pPr>
        <w:widowControl w:val="0"/>
        <w:pBdr>
          <w:top w:val="nil"/>
          <w:left w:val="nil"/>
          <w:bottom w:val="nil"/>
          <w:right w:val="nil"/>
          <w:between w:val="nil"/>
        </w:pBdr>
        <w:spacing w:line="240" w:lineRule="auto"/>
        <w:ind w:left="440" w:hanging="440"/>
        <w:rPr>
          <w:color w:val="000000"/>
          <w:sz w:val="22"/>
          <w:szCs w:val="22"/>
        </w:rPr>
      </w:pPr>
      <w:hyperlink r:id="rId695">
        <w:r w:rsidR="004B2BBB">
          <w:rPr>
            <w:color w:val="000000"/>
            <w:sz w:val="22"/>
            <w:szCs w:val="22"/>
          </w:rPr>
          <w:t xml:space="preserve">Zeckoski, R., B. Benhan, and C. Lunsford. “Streamside Livestock Exclusion: A Tool for Increasing Farm Income and Improving Water Quality.” Virginia Cooperative Extension, September 2007. </w:t>
        </w:r>
      </w:hyperlink>
      <w:hyperlink r:id="rId696">
        <w:r w:rsidR="004B2BBB">
          <w:rPr>
            <w:color w:val="000000"/>
            <w:sz w:val="22"/>
            <w:szCs w:val="22"/>
          </w:rPr>
          <w:t>https://vtechworks.lib.vt.edu/bitstream/handle/10919/48073/442-766_pdf.pdf?sequence=1&amp;isAllowed=y</w:t>
        </w:r>
      </w:hyperlink>
      <w:hyperlink r:id="rId697">
        <w:r w:rsidR="004B2BBB">
          <w:rPr>
            <w:color w:val="000000"/>
            <w:sz w:val="22"/>
            <w:szCs w:val="22"/>
          </w:rPr>
          <w:t>.</w:t>
        </w:r>
      </w:hyperlink>
    </w:p>
    <w:p w14:paraId="5A928A38" w14:textId="77777777" w:rsidR="00232A61" w:rsidRDefault="00232A61">
      <w:pPr>
        <w:widowControl w:val="0"/>
        <w:pBdr>
          <w:top w:val="nil"/>
          <w:left w:val="nil"/>
          <w:bottom w:val="nil"/>
          <w:right w:val="nil"/>
          <w:between w:val="nil"/>
        </w:pBdr>
        <w:spacing w:line="240" w:lineRule="auto"/>
        <w:ind w:left="440" w:hanging="440"/>
        <w:rPr>
          <w:color w:val="000000"/>
          <w:sz w:val="22"/>
          <w:szCs w:val="22"/>
        </w:rPr>
      </w:pPr>
    </w:p>
    <w:p w14:paraId="00000287" w14:textId="77777777" w:rsidR="00D7661C" w:rsidRDefault="002A2321">
      <w:pPr>
        <w:widowControl w:val="0"/>
        <w:pBdr>
          <w:top w:val="nil"/>
          <w:left w:val="nil"/>
          <w:bottom w:val="nil"/>
          <w:right w:val="nil"/>
          <w:between w:val="nil"/>
        </w:pBdr>
        <w:spacing w:after="220" w:line="240" w:lineRule="auto"/>
        <w:ind w:left="440" w:hanging="440"/>
        <w:rPr>
          <w:color w:val="000000"/>
          <w:sz w:val="22"/>
          <w:szCs w:val="22"/>
        </w:rPr>
      </w:pPr>
      <w:hyperlink r:id="rId698">
        <w:proofErr w:type="spellStart"/>
        <w:r w:rsidR="004B2BBB">
          <w:rPr>
            <w:color w:val="000000"/>
            <w:sz w:val="22"/>
            <w:szCs w:val="22"/>
          </w:rPr>
          <w:t>Zimmerer</w:t>
        </w:r>
        <w:proofErr w:type="spellEnd"/>
        <w:r w:rsidR="004B2BBB">
          <w:rPr>
            <w:color w:val="000000"/>
            <w:sz w:val="22"/>
            <w:szCs w:val="22"/>
          </w:rPr>
          <w:t xml:space="preserve">, Karl S. “‘CONSERVATION BOOMS’ WITH AGRICULTURAL GROWTH? Sustainability and Shifting Environmental Governance in Latin America, 1985-2008 (Mexico, Costa Rica, Brazil, Peru, Bolivia).” </w:t>
        </w:r>
      </w:hyperlink>
      <w:hyperlink r:id="rId699">
        <w:r w:rsidR="004B2BBB">
          <w:rPr>
            <w:i/>
            <w:color w:val="000000"/>
            <w:sz w:val="22"/>
            <w:szCs w:val="22"/>
          </w:rPr>
          <w:t>Latin American Research Review</w:t>
        </w:r>
      </w:hyperlink>
      <w:hyperlink r:id="rId700">
        <w:r w:rsidR="004B2BBB">
          <w:rPr>
            <w:color w:val="000000"/>
            <w:sz w:val="22"/>
            <w:szCs w:val="22"/>
          </w:rPr>
          <w:t xml:space="preserve"> 46 (2011): 82–114.</w:t>
        </w:r>
      </w:hyperlink>
    </w:p>
    <w:p w14:paraId="00000288" w14:textId="77777777" w:rsidR="00D7661C" w:rsidRDefault="00D7661C">
      <w:pPr>
        <w:widowControl w:val="0"/>
        <w:pBdr>
          <w:top w:val="nil"/>
          <w:left w:val="nil"/>
          <w:bottom w:val="nil"/>
          <w:right w:val="nil"/>
          <w:between w:val="nil"/>
        </w:pBdr>
        <w:spacing w:line="276" w:lineRule="auto"/>
      </w:pPr>
    </w:p>
    <w:sectPr w:rsidR="00D7661C" w:rsidSect="00FE01D2">
      <w:pgSz w:w="12240" w:h="15840"/>
      <w:pgMar w:top="1440" w:right="1440" w:bottom="1440" w:left="1440" w:header="1440" w:footer="144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AD217D" w14:textId="77777777" w:rsidR="00D26C21" w:rsidRDefault="00D26C21">
      <w:pPr>
        <w:spacing w:line="240" w:lineRule="auto"/>
      </w:pPr>
      <w:r>
        <w:separator/>
      </w:r>
    </w:p>
  </w:endnote>
  <w:endnote w:type="continuationSeparator" w:id="0">
    <w:p w14:paraId="01A2DFC9" w14:textId="77777777" w:rsidR="00D26C21" w:rsidRDefault="00D26C21">
      <w:pPr>
        <w:spacing w:line="240" w:lineRule="auto"/>
      </w:pPr>
      <w:r>
        <w:continuationSeparator/>
      </w:r>
    </w:p>
  </w:endnote>
  <w:endnote w:type="continuationNotice" w:id="1">
    <w:p w14:paraId="3DE274DC" w14:textId="77777777" w:rsidR="00D26C21" w:rsidRDefault="00D26C21">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Roboto">
    <w:altName w:val="Arial"/>
    <w:panose1 w:val="020B0604020202020204"/>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82477693"/>
      <w:docPartObj>
        <w:docPartGallery w:val="Page Numbers (Bottom of Page)"/>
        <w:docPartUnique/>
      </w:docPartObj>
    </w:sdtPr>
    <w:sdtContent>
      <w:p w14:paraId="4FE6486E" w14:textId="47032C29" w:rsidR="002A2321" w:rsidRDefault="002A2321" w:rsidP="004B2BBB">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2103480384"/>
      <w:docPartObj>
        <w:docPartGallery w:val="Page Numbers (Bottom of Page)"/>
        <w:docPartUnique/>
      </w:docPartObj>
    </w:sdtPr>
    <w:sdtContent>
      <w:p w14:paraId="2A7A4AAE" w14:textId="17E478F3" w:rsidR="002A2321" w:rsidRDefault="002A2321" w:rsidP="004B2BBB">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2069753451"/>
      <w:docPartObj>
        <w:docPartGallery w:val="Page Numbers (Bottom of Page)"/>
        <w:docPartUnique/>
      </w:docPartObj>
    </w:sdtPr>
    <w:sdtContent>
      <w:p w14:paraId="31133FC8" w14:textId="0FBF45BF" w:rsidR="002A2321" w:rsidRDefault="002A2321" w:rsidP="004B2BBB">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00003AD" w14:textId="77777777" w:rsidR="002A2321" w:rsidRDefault="002A2321">
    <w:pPr>
      <w:pBdr>
        <w:top w:val="nil"/>
        <w:left w:val="nil"/>
        <w:bottom w:val="nil"/>
        <w:right w:val="nil"/>
        <w:between w:val="nil"/>
      </w:pBdr>
      <w:tabs>
        <w:tab w:val="center" w:pos="4680"/>
        <w:tab w:val="right" w:pos="9360"/>
      </w:tabs>
      <w:spacing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sz w:val="22"/>
        <w:szCs w:val="22"/>
      </w:rPr>
      <w:id w:val="-222447260"/>
      <w:docPartObj>
        <w:docPartGallery w:val="Page Numbers (Bottom of Page)"/>
        <w:docPartUnique/>
      </w:docPartObj>
    </w:sdtPr>
    <w:sdtContent>
      <w:p w14:paraId="53EAEBFC" w14:textId="77777777" w:rsidR="002A2321" w:rsidRPr="00F14C20" w:rsidRDefault="002A2321" w:rsidP="00F14C20">
        <w:pPr>
          <w:pStyle w:val="Footer"/>
          <w:framePr w:wrap="none" w:vAnchor="text" w:hAnchor="page" w:x="6121" w:y="80"/>
          <w:spacing w:before="240"/>
          <w:rPr>
            <w:rStyle w:val="PageNumber"/>
            <w:sz w:val="22"/>
            <w:szCs w:val="22"/>
          </w:rPr>
        </w:pPr>
        <w:r w:rsidRPr="00F14C20">
          <w:rPr>
            <w:rStyle w:val="PageNumber"/>
            <w:sz w:val="22"/>
            <w:szCs w:val="22"/>
          </w:rPr>
          <w:fldChar w:fldCharType="begin"/>
        </w:r>
        <w:r w:rsidRPr="00F14C20">
          <w:rPr>
            <w:rStyle w:val="PageNumber"/>
            <w:sz w:val="22"/>
            <w:szCs w:val="22"/>
          </w:rPr>
          <w:instrText xml:space="preserve"> PAGE </w:instrText>
        </w:r>
        <w:r w:rsidRPr="00F14C20">
          <w:rPr>
            <w:rStyle w:val="PageNumber"/>
            <w:sz w:val="22"/>
            <w:szCs w:val="22"/>
          </w:rPr>
          <w:fldChar w:fldCharType="separate"/>
        </w:r>
        <w:r w:rsidRPr="00F14C20">
          <w:rPr>
            <w:rStyle w:val="PageNumber"/>
            <w:noProof/>
            <w:sz w:val="22"/>
            <w:szCs w:val="22"/>
          </w:rPr>
          <w:t>i</w:t>
        </w:r>
        <w:r w:rsidRPr="00F14C20">
          <w:rPr>
            <w:rStyle w:val="PageNumber"/>
            <w:sz w:val="22"/>
            <w:szCs w:val="22"/>
          </w:rPr>
          <w:fldChar w:fldCharType="end"/>
        </w:r>
      </w:p>
    </w:sdtContent>
  </w:sdt>
  <w:p w14:paraId="000003A9" w14:textId="77777777" w:rsidR="002A2321" w:rsidRDefault="002A2321" w:rsidP="00FE01D2">
    <w:pPr>
      <w:spacing w:before="24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3AB" w14:textId="77777777" w:rsidR="002A2321" w:rsidRDefault="002A2321">
    <w:pPr>
      <w:pBdr>
        <w:top w:val="nil"/>
        <w:left w:val="nil"/>
        <w:bottom w:val="nil"/>
        <w:right w:val="nil"/>
        <w:between w:val="nil"/>
      </w:pBdr>
      <w:tabs>
        <w:tab w:val="center" w:pos="4680"/>
        <w:tab w:val="right" w:pos="9360"/>
      </w:tabs>
      <w:spacing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973F67B" w14:textId="77777777" w:rsidR="00D26C21" w:rsidRDefault="00D26C21">
      <w:pPr>
        <w:spacing w:line="240" w:lineRule="auto"/>
      </w:pPr>
      <w:r>
        <w:separator/>
      </w:r>
    </w:p>
  </w:footnote>
  <w:footnote w:type="continuationSeparator" w:id="0">
    <w:p w14:paraId="2338EAF9" w14:textId="77777777" w:rsidR="00D26C21" w:rsidRDefault="00D26C21">
      <w:pPr>
        <w:spacing w:line="240" w:lineRule="auto"/>
      </w:pPr>
      <w:r>
        <w:continuationSeparator/>
      </w:r>
    </w:p>
  </w:footnote>
  <w:footnote w:type="continuationNotice" w:id="1">
    <w:p w14:paraId="2C256927" w14:textId="77777777" w:rsidR="00D26C21" w:rsidRDefault="00D26C21">
      <w:pPr>
        <w:spacing w:line="240" w:lineRule="auto"/>
      </w:pPr>
    </w:p>
  </w:footnote>
  <w:footnote w:id="2">
    <w:p w14:paraId="4323D5FB" w14:textId="77777777" w:rsidR="002A2321" w:rsidRDefault="002A2321" w:rsidP="00767EC3">
      <w:pPr>
        <w:spacing w:line="240" w:lineRule="auto"/>
        <w:rPr>
          <w:sz w:val="20"/>
          <w:szCs w:val="20"/>
        </w:rPr>
      </w:pPr>
      <w:r>
        <w:rPr>
          <w:vertAlign w:val="superscript"/>
        </w:rPr>
        <w:footnoteRef/>
      </w:r>
      <w:r>
        <w:rPr>
          <w:sz w:val="20"/>
          <w:szCs w:val="20"/>
        </w:rPr>
        <w:t xml:space="preserve"> </w:t>
      </w:r>
      <w:hyperlink r:id="rId1">
        <w:r>
          <w:rPr>
            <w:color w:val="000000"/>
            <w:sz w:val="20"/>
            <w:szCs w:val="20"/>
          </w:rPr>
          <w:t>UMass Extension The Center for Agriculture, Food and the Environment, “The New England Green Pastures Award,” Center for Agriculture, Food and the Environment, October 24, 2014, https://ag.umass.edu/crops-dairy-livestock-equine/massachusetts-outstanding-dairy-farm-of-year/green-pastures-awards.</w:t>
        </w:r>
      </w:hyperlink>
    </w:p>
  </w:footnote>
  <w:footnote w:id="3">
    <w:p w14:paraId="50D4C9C9" w14:textId="77777777" w:rsidR="002A2321" w:rsidRDefault="002A2321" w:rsidP="00767EC3">
      <w:pPr>
        <w:spacing w:line="240" w:lineRule="auto"/>
        <w:rPr>
          <w:sz w:val="20"/>
          <w:szCs w:val="20"/>
        </w:rPr>
      </w:pPr>
      <w:r>
        <w:rPr>
          <w:vertAlign w:val="superscript"/>
        </w:rPr>
        <w:footnoteRef/>
      </w:r>
      <w:r>
        <w:rPr>
          <w:sz w:val="20"/>
          <w:szCs w:val="20"/>
        </w:rPr>
        <w:t xml:space="preserve"> The original land grant to Thomas Flint was in the 1630’s. What we now consider the homestead was built around 1709. Since that time, boundaries have changed but Flint descendants have continued to maintain the core of the farm.</w:t>
      </w:r>
    </w:p>
  </w:footnote>
  <w:footnote w:id="4">
    <w:p w14:paraId="0000028E" w14:textId="77777777" w:rsidR="002A2321" w:rsidRDefault="002A2321">
      <w:pPr>
        <w:spacing w:line="240" w:lineRule="auto"/>
        <w:rPr>
          <w:sz w:val="20"/>
          <w:szCs w:val="20"/>
        </w:rPr>
      </w:pPr>
      <w:r>
        <w:rPr>
          <w:vertAlign w:val="superscript"/>
        </w:rPr>
        <w:footnoteRef/>
      </w:r>
      <w:r>
        <w:rPr>
          <w:sz w:val="20"/>
          <w:szCs w:val="20"/>
        </w:rPr>
        <w:t xml:space="preserve"> </w:t>
      </w:r>
      <w:hyperlink r:id="rId2">
        <w:r>
          <w:rPr>
            <w:color w:val="000000"/>
            <w:sz w:val="20"/>
            <w:szCs w:val="20"/>
          </w:rPr>
          <w:t>Rustin Quaide, “Nrb 16A Part 2: How to Complete the National Register of Historic Places Registration Form: National Register of Historic Places,” DOI -- NPS -- NCCR -- National Register of Historic Places, November 29, 2001, http://www.nps.gov/history/nr/publications/bulletins/nrb16a/index.htm.</w:t>
        </w:r>
      </w:hyperlink>
    </w:p>
  </w:footnote>
  <w:footnote w:id="5">
    <w:p w14:paraId="0000028F" w14:textId="3FC4CB03" w:rsidR="002A2321" w:rsidRDefault="002A2321">
      <w:pPr>
        <w:spacing w:line="240" w:lineRule="auto"/>
        <w:rPr>
          <w:sz w:val="20"/>
          <w:szCs w:val="20"/>
        </w:rPr>
      </w:pPr>
      <w:r>
        <w:rPr>
          <w:vertAlign w:val="superscript"/>
        </w:rPr>
        <w:footnoteRef/>
      </w:r>
      <w:r>
        <w:rPr>
          <w:sz w:val="20"/>
          <w:szCs w:val="20"/>
        </w:rPr>
        <w:t xml:space="preserve"> </w:t>
      </w:r>
      <w:hyperlink r:id="rId3">
        <w:r>
          <w:rPr>
            <w:color w:val="000000"/>
            <w:sz w:val="20"/>
            <w:szCs w:val="20"/>
          </w:rPr>
          <w:t xml:space="preserve">John H. Sprinkle, </w:t>
        </w:r>
      </w:hyperlink>
      <w:hyperlink r:id="rId4">
        <w:r>
          <w:rPr>
            <w:i/>
            <w:color w:val="000000"/>
            <w:sz w:val="20"/>
            <w:szCs w:val="20"/>
          </w:rPr>
          <w:t>Crafting Preservation Criteria: The National Register of Historic Places and American Historic Preservation</w:t>
        </w:r>
      </w:hyperlink>
      <w:hyperlink r:id="rId5">
        <w:r>
          <w:rPr>
            <w:color w:val="000000"/>
            <w:sz w:val="20"/>
            <w:szCs w:val="20"/>
          </w:rPr>
          <w:t xml:space="preserve"> (New York: Routledge, 2014), 48.</w:t>
        </w:r>
      </w:hyperlink>
    </w:p>
  </w:footnote>
  <w:footnote w:id="6">
    <w:p w14:paraId="2D142EB5" w14:textId="77777777" w:rsidR="002A2321" w:rsidRDefault="002A2321" w:rsidP="00497FA4">
      <w:pPr>
        <w:spacing w:line="240" w:lineRule="auto"/>
        <w:rPr>
          <w:sz w:val="20"/>
          <w:szCs w:val="20"/>
        </w:rPr>
      </w:pPr>
      <w:r>
        <w:rPr>
          <w:vertAlign w:val="superscript"/>
        </w:rPr>
        <w:footnoteRef/>
      </w:r>
      <w:r>
        <w:rPr>
          <w:sz w:val="20"/>
          <w:szCs w:val="20"/>
        </w:rPr>
        <w:t xml:space="preserve"> </w:t>
      </w:r>
      <w:hyperlink r:id="rId6">
        <w:r>
          <w:rPr>
            <w:color w:val="000000"/>
            <w:sz w:val="20"/>
            <w:szCs w:val="20"/>
          </w:rPr>
          <w:t xml:space="preserve">Amalia </w:t>
        </w:r>
        <w:proofErr w:type="spellStart"/>
        <w:r>
          <w:rPr>
            <w:color w:val="000000"/>
            <w:sz w:val="20"/>
            <w:szCs w:val="20"/>
          </w:rPr>
          <w:t>Leifeste</w:t>
        </w:r>
        <w:proofErr w:type="spellEnd"/>
        <w:r>
          <w:rPr>
            <w:color w:val="000000"/>
            <w:sz w:val="20"/>
            <w:szCs w:val="20"/>
          </w:rPr>
          <w:t xml:space="preserve"> and Barry L. </w:t>
        </w:r>
        <w:proofErr w:type="spellStart"/>
        <w:r>
          <w:rPr>
            <w:color w:val="000000"/>
            <w:sz w:val="20"/>
            <w:szCs w:val="20"/>
          </w:rPr>
          <w:t>Stiefel</w:t>
        </w:r>
        <w:proofErr w:type="spellEnd"/>
        <w:r>
          <w:rPr>
            <w:color w:val="000000"/>
            <w:sz w:val="20"/>
            <w:szCs w:val="20"/>
          </w:rPr>
          <w:t xml:space="preserve">, </w:t>
        </w:r>
      </w:hyperlink>
      <w:hyperlink r:id="rId7">
        <w:r>
          <w:rPr>
            <w:i/>
            <w:color w:val="000000"/>
            <w:sz w:val="20"/>
            <w:szCs w:val="20"/>
          </w:rPr>
          <w:t>Sustainable Heritage: Merging Environmental Conservation and Historic Preservation</w:t>
        </w:r>
      </w:hyperlink>
      <w:hyperlink r:id="rId8">
        <w:r>
          <w:rPr>
            <w:color w:val="000000"/>
            <w:sz w:val="20"/>
            <w:szCs w:val="20"/>
          </w:rPr>
          <w:t xml:space="preserve"> (Routledge, 2018), 58.</w:t>
        </w:r>
      </w:hyperlink>
    </w:p>
  </w:footnote>
  <w:footnote w:id="7">
    <w:p w14:paraId="7A5095D0" w14:textId="77777777" w:rsidR="002A2321" w:rsidRDefault="002A2321" w:rsidP="00497FA4">
      <w:pPr>
        <w:spacing w:line="240" w:lineRule="auto"/>
        <w:rPr>
          <w:sz w:val="20"/>
          <w:szCs w:val="20"/>
        </w:rPr>
      </w:pPr>
      <w:r>
        <w:rPr>
          <w:vertAlign w:val="superscript"/>
        </w:rPr>
        <w:footnoteRef/>
      </w:r>
      <w:r>
        <w:rPr>
          <w:sz w:val="20"/>
          <w:szCs w:val="20"/>
        </w:rPr>
        <w:t xml:space="preserve"> </w:t>
      </w:r>
      <w:hyperlink r:id="rId9">
        <w:proofErr w:type="spellStart"/>
        <w:r>
          <w:rPr>
            <w:color w:val="000000"/>
            <w:sz w:val="20"/>
            <w:szCs w:val="20"/>
          </w:rPr>
          <w:t>Leifeste</w:t>
        </w:r>
        <w:proofErr w:type="spellEnd"/>
        <w:r>
          <w:rPr>
            <w:color w:val="000000"/>
            <w:sz w:val="20"/>
            <w:szCs w:val="20"/>
          </w:rPr>
          <w:t xml:space="preserve"> and </w:t>
        </w:r>
        <w:proofErr w:type="spellStart"/>
        <w:r>
          <w:rPr>
            <w:color w:val="000000"/>
            <w:sz w:val="20"/>
            <w:szCs w:val="20"/>
          </w:rPr>
          <w:t>Stiefel</w:t>
        </w:r>
        <w:proofErr w:type="spellEnd"/>
        <w:r>
          <w:rPr>
            <w:color w:val="000000"/>
            <w:sz w:val="20"/>
            <w:szCs w:val="20"/>
          </w:rPr>
          <w:t>, 58.</w:t>
        </w:r>
      </w:hyperlink>
    </w:p>
  </w:footnote>
  <w:footnote w:id="8">
    <w:p w14:paraId="00905862" w14:textId="77777777" w:rsidR="002A2321" w:rsidRDefault="002A2321" w:rsidP="00497FA4">
      <w:pPr>
        <w:spacing w:line="240" w:lineRule="auto"/>
        <w:rPr>
          <w:sz w:val="20"/>
          <w:szCs w:val="20"/>
        </w:rPr>
      </w:pPr>
      <w:r>
        <w:rPr>
          <w:vertAlign w:val="superscript"/>
        </w:rPr>
        <w:footnoteRef/>
      </w:r>
      <w:r>
        <w:rPr>
          <w:sz w:val="20"/>
          <w:szCs w:val="20"/>
        </w:rPr>
        <w:t xml:space="preserve"> </w:t>
      </w:r>
      <w:hyperlink r:id="rId10">
        <w:r>
          <w:rPr>
            <w:color w:val="000000"/>
            <w:sz w:val="20"/>
            <w:szCs w:val="20"/>
          </w:rPr>
          <w:t xml:space="preserve">Melody Webb, “Cultural Landscapes in the National Park Service,” </w:t>
        </w:r>
      </w:hyperlink>
      <w:hyperlink r:id="rId11">
        <w:r>
          <w:rPr>
            <w:i/>
            <w:color w:val="000000"/>
            <w:sz w:val="20"/>
            <w:szCs w:val="20"/>
          </w:rPr>
          <w:t>The Public Historian</w:t>
        </w:r>
      </w:hyperlink>
      <w:hyperlink r:id="rId12">
        <w:r>
          <w:rPr>
            <w:color w:val="000000"/>
            <w:sz w:val="20"/>
            <w:szCs w:val="20"/>
          </w:rPr>
          <w:t xml:space="preserve"> 9, no. 2 (1987): 83.</w:t>
        </w:r>
      </w:hyperlink>
    </w:p>
  </w:footnote>
  <w:footnote w:id="9">
    <w:p w14:paraId="00000290" w14:textId="77777777" w:rsidR="002A2321" w:rsidRDefault="002A2321">
      <w:pPr>
        <w:spacing w:line="240" w:lineRule="auto"/>
        <w:rPr>
          <w:sz w:val="20"/>
          <w:szCs w:val="20"/>
        </w:rPr>
      </w:pPr>
      <w:r>
        <w:rPr>
          <w:vertAlign w:val="superscript"/>
        </w:rPr>
        <w:footnoteRef/>
      </w:r>
      <w:r>
        <w:rPr>
          <w:sz w:val="20"/>
          <w:szCs w:val="20"/>
        </w:rPr>
        <w:t xml:space="preserve"> </w:t>
      </w:r>
      <w:hyperlink r:id="rId13">
        <w:r>
          <w:rPr>
            <w:color w:val="000000"/>
            <w:sz w:val="20"/>
            <w:szCs w:val="20"/>
          </w:rPr>
          <w:t xml:space="preserve">Nancy D. </w:t>
        </w:r>
        <w:proofErr w:type="spellStart"/>
        <w:r>
          <w:rPr>
            <w:color w:val="000000"/>
            <w:sz w:val="20"/>
            <w:szCs w:val="20"/>
          </w:rPr>
          <w:t>Rottle</w:t>
        </w:r>
        <w:proofErr w:type="spellEnd"/>
        <w:r>
          <w:rPr>
            <w:color w:val="000000"/>
            <w:sz w:val="20"/>
            <w:szCs w:val="20"/>
          </w:rPr>
          <w:t xml:space="preserve">, “Rural Historic Landscape Preservation,” in </w:t>
        </w:r>
      </w:hyperlink>
      <w:hyperlink r:id="rId14">
        <w:r>
          <w:rPr>
            <w:i/>
            <w:color w:val="000000"/>
            <w:sz w:val="20"/>
            <w:szCs w:val="20"/>
          </w:rPr>
          <w:t>Cultural Landscapes: Balancing Nature and Heritage in Preservation Practice</w:t>
        </w:r>
      </w:hyperlink>
      <w:hyperlink r:id="rId15">
        <w:r>
          <w:rPr>
            <w:color w:val="000000"/>
            <w:sz w:val="20"/>
            <w:szCs w:val="20"/>
          </w:rPr>
          <w:t>, ed. Richard Longstreth (Minneapolis : University of Minnesota Press, 2008), 146.</w:t>
        </w:r>
      </w:hyperlink>
    </w:p>
  </w:footnote>
  <w:footnote w:id="10">
    <w:p w14:paraId="00000291" w14:textId="77777777" w:rsidR="002A2321" w:rsidRDefault="002A2321">
      <w:pPr>
        <w:spacing w:line="240" w:lineRule="auto"/>
        <w:rPr>
          <w:sz w:val="20"/>
          <w:szCs w:val="20"/>
        </w:rPr>
      </w:pPr>
      <w:r>
        <w:rPr>
          <w:vertAlign w:val="superscript"/>
        </w:rPr>
        <w:footnoteRef/>
      </w:r>
      <w:r>
        <w:rPr>
          <w:sz w:val="20"/>
          <w:szCs w:val="20"/>
        </w:rPr>
        <w:t xml:space="preserve"> </w:t>
      </w:r>
      <w:hyperlink r:id="rId16">
        <w:r>
          <w:rPr>
            <w:color w:val="000000"/>
            <w:sz w:val="20"/>
            <w:szCs w:val="20"/>
          </w:rPr>
          <w:t>Chesapeake Bay Program, “Population,” State of the Chesapeake, accessed March 2, 2019, https://www.chesapeakebay.net/state/population.</w:t>
        </w:r>
      </w:hyperlink>
    </w:p>
  </w:footnote>
  <w:footnote w:id="11">
    <w:p w14:paraId="00000292" w14:textId="1DA47402" w:rsidR="002A2321" w:rsidRDefault="002A2321">
      <w:pPr>
        <w:spacing w:line="240" w:lineRule="auto"/>
        <w:rPr>
          <w:sz w:val="20"/>
          <w:szCs w:val="20"/>
        </w:rPr>
      </w:pPr>
      <w:r>
        <w:rPr>
          <w:vertAlign w:val="superscript"/>
        </w:rPr>
        <w:footnoteRef/>
      </w:r>
      <w:r>
        <w:rPr>
          <w:sz w:val="20"/>
          <w:szCs w:val="20"/>
        </w:rPr>
        <w:t xml:space="preserve"> </w:t>
      </w:r>
      <w:r w:rsidRPr="007870F2">
        <w:rPr>
          <w:sz w:val="22"/>
          <w:szCs w:val="22"/>
        </w:rPr>
        <w:t xml:space="preserve">The agricultural census is taken every five years. The report based on surveys from 2017 </w:t>
      </w:r>
      <w:r>
        <w:rPr>
          <w:sz w:val="22"/>
          <w:szCs w:val="22"/>
        </w:rPr>
        <w:t>started to be</w:t>
      </w:r>
      <w:r>
        <w:rPr>
          <w:sz w:val="20"/>
          <w:szCs w:val="20"/>
        </w:rPr>
        <w:t xml:space="preserve"> </w:t>
      </w:r>
      <w:r w:rsidRPr="000F40A2">
        <w:rPr>
          <w:sz w:val="22"/>
          <w:szCs w:val="22"/>
        </w:rPr>
        <w:t>release</w:t>
      </w:r>
      <w:r>
        <w:rPr>
          <w:sz w:val="22"/>
          <w:szCs w:val="22"/>
        </w:rPr>
        <w:t>d</w:t>
      </w:r>
      <w:r w:rsidRPr="000F40A2">
        <w:rPr>
          <w:sz w:val="22"/>
          <w:szCs w:val="22"/>
        </w:rPr>
        <w:t xml:space="preserve"> in February of 2019 and therefore not available for use in this thesis. </w:t>
      </w:r>
      <w:hyperlink r:id="rId17">
        <w:r w:rsidRPr="000F40A2">
          <w:rPr>
            <w:color w:val="000000"/>
            <w:sz w:val="22"/>
            <w:szCs w:val="22"/>
          </w:rPr>
          <w:t>U.S. Department of Agriculture, “2012 Census of Agriculture - Summary and State Data,” May 2014, 7; U.S. Department of Agriculture and National Agricultural Statistics Service, “USDA-NASS Announces the 2017 Census of Agriculture Response Rate, Data Release Details, and Upcoming Special Studies,” October 1, 2018, https://www.nass.usda.gov/Newsroom/2018/10-01-2018.p</w:t>
        </w:r>
      </w:hyperlink>
      <w:hyperlink r:id="rId18">
        <w:r>
          <w:rPr>
            <w:sz w:val="22"/>
            <w:szCs w:val="22"/>
          </w:rPr>
          <w:t>historic preservation</w:t>
        </w:r>
      </w:hyperlink>
      <w:hyperlink r:id="rId19">
        <w:r w:rsidRPr="000F40A2">
          <w:rPr>
            <w:color w:val="000000"/>
            <w:sz w:val="22"/>
            <w:szCs w:val="22"/>
          </w:rPr>
          <w:t>.</w:t>
        </w:r>
      </w:hyperlink>
      <w:r>
        <w:fldChar w:fldCharType="begin"/>
      </w:r>
      <w:r>
        <w:instrText xml:space="preserve"> HYPERLINK "https://paperpile.com/c/COQJsw/48V99+jXBC8/?locator=7," </w:instrText>
      </w:r>
      <w:r>
        <w:fldChar w:fldCharType="separate"/>
      </w:r>
    </w:p>
    <w:p w14:paraId="00000293" w14:textId="77777777" w:rsidR="002A2321" w:rsidRDefault="002A2321">
      <w:pPr>
        <w:widowControl w:val="0"/>
        <w:pBdr>
          <w:top w:val="nil"/>
          <w:left w:val="nil"/>
          <w:bottom w:val="nil"/>
          <w:right w:val="nil"/>
          <w:between w:val="nil"/>
        </w:pBdr>
        <w:spacing w:line="276" w:lineRule="auto"/>
        <w:rPr>
          <w:sz w:val="20"/>
          <w:szCs w:val="20"/>
        </w:rPr>
      </w:pPr>
      <w:r>
        <w:fldChar w:fldCharType="end"/>
      </w:r>
    </w:p>
  </w:footnote>
  <w:footnote w:id="12">
    <w:p w14:paraId="00000294" w14:textId="77777777" w:rsidR="002A2321" w:rsidRDefault="002A2321">
      <w:pPr>
        <w:spacing w:line="240" w:lineRule="auto"/>
        <w:rPr>
          <w:sz w:val="20"/>
          <w:szCs w:val="20"/>
        </w:rPr>
      </w:pPr>
      <w:r>
        <w:rPr>
          <w:vertAlign w:val="superscript"/>
        </w:rPr>
        <w:footnoteRef/>
      </w:r>
      <w:r>
        <w:rPr>
          <w:sz w:val="20"/>
          <w:szCs w:val="20"/>
        </w:rPr>
        <w:t xml:space="preserve"> </w:t>
      </w:r>
      <w:hyperlink r:id="rId20">
        <w:r>
          <w:rPr>
            <w:color w:val="000000"/>
            <w:sz w:val="20"/>
            <w:szCs w:val="20"/>
          </w:rPr>
          <w:t xml:space="preserve">Charles A. Birnbaum, “Preservation Brief 36: Protecting Cultural Landscapes: Planning, Treatment and Management of Historic Landscapes,” </w:t>
        </w:r>
      </w:hyperlink>
      <w:hyperlink r:id="rId21">
        <w:r>
          <w:rPr>
            <w:i/>
            <w:color w:val="000000"/>
            <w:sz w:val="20"/>
            <w:szCs w:val="20"/>
          </w:rPr>
          <w:t>National Park Service</w:t>
        </w:r>
      </w:hyperlink>
      <w:hyperlink r:id="rId22">
        <w:r>
          <w:rPr>
            <w:color w:val="000000"/>
            <w:sz w:val="20"/>
            <w:szCs w:val="20"/>
          </w:rPr>
          <w:t>, 1994, 1, https://www.nps.gov/tps/how-to-preserve/briefs/36-cultural-landscapes.htm.</w:t>
        </w:r>
      </w:hyperlink>
    </w:p>
  </w:footnote>
  <w:footnote w:id="13">
    <w:p w14:paraId="00000295" w14:textId="24D828D6" w:rsidR="002A2321" w:rsidRDefault="002A2321">
      <w:pPr>
        <w:spacing w:line="240" w:lineRule="auto"/>
        <w:rPr>
          <w:sz w:val="20"/>
          <w:szCs w:val="20"/>
        </w:rPr>
      </w:pPr>
      <w:r>
        <w:rPr>
          <w:vertAlign w:val="superscript"/>
        </w:rPr>
        <w:footnoteRef/>
      </w:r>
      <w:r>
        <w:rPr>
          <w:sz w:val="20"/>
          <w:szCs w:val="20"/>
        </w:rPr>
        <w:t xml:space="preserve"> </w:t>
      </w:r>
      <w:r w:rsidRPr="007870F2">
        <w:rPr>
          <w:sz w:val="20"/>
          <w:szCs w:val="20"/>
        </w:rPr>
        <w:t>Patricia L. Parker and Thomas F. King, “Guidelines for Evaluating and Documenting Traditional Cultural Properties, National Register of Historic Places Bulletin (National Register Bulletin 38),” DOI -- NPS -- NCCR -- National Register of Historic Places, November 28, 2001, 1, http://www.nps.gov/history/nr/publications/bulletins/nrb38/index.htm.</w:t>
      </w:r>
    </w:p>
  </w:footnote>
  <w:footnote w:id="14">
    <w:p w14:paraId="00000296" w14:textId="77777777" w:rsidR="002A2321" w:rsidRDefault="002A2321">
      <w:pPr>
        <w:spacing w:line="240" w:lineRule="auto"/>
        <w:rPr>
          <w:sz w:val="20"/>
          <w:szCs w:val="20"/>
        </w:rPr>
      </w:pPr>
      <w:r>
        <w:rPr>
          <w:vertAlign w:val="superscript"/>
        </w:rPr>
        <w:footnoteRef/>
      </w:r>
      <w:r>
        <w:rPr>
          <w:sz w:val="20"/>
          <w:szCs w:val="20"/>
        </w:rPr>
        <w:t xml:space="preserve"> </w:t>
      </w:r>
      <w:hyperlink r:id="rId23">
        <w:r>
          <w:rPr>
            <w:color w:val="000000"/>
            <w:sz w:val="20"/>
            <w:szCs w:val="20"/>
          </w:rPr>
          <w:t xml:space="preserve">H. D. Black et al., “δ15N Values in Crassostrea Virginica Shells Provides Early Direct Evidence for Nitrogen Loading to Chesapeake Bay,” </w:t>
        </w:r>
      </w:hyperlink>
      <w:hyperlink r:id="rId24">
        <w:r>
          <w:rPr>
            <w:i/>
            <w:color w:val="000000"/>
            <w:sz w:val="20"/>
            <w:szCs w:val="20"/>
          </w:rPr>
          <w:t>Scientific Reports</w:t>
        </w:r>
      </w:hyperlink>
      <w:hyperlink r:id="rId25">
        <w:r>
          <w:rPr>
            <w:color w:val="000000"/>
            <w:sz w:val="20"/>
            <w:szCs w:val="20"/>
          </w:rPr>
          <w:t xml:space="preserve"> 7 (March 10, 2017): 44241.</w:t>
        </w:r>
      </w:hyperlink>
    </w:p>
  </w:footnote>
  <w:footnote w:id="15">
    <w:p w14:paraId="00000297" w14:textId="77777777" w:rsidR="002A2321" w:rsidRDefault="002A2321">
      <w:pPr>
        <w:spacing w:line="240" w:lineRule="auto"/>
        <w:rPr>
          <w:sz w:val="20"/>
          <w:szCs w:val="20"/>
        </w:rPr>
      </w:pPr>
      <w:r>
        <w:rPr>
          <w:vertAlign w:val="superscript"/>
        </w:rPr>
        <w:footnoteRef/>
      </w:r>
      <w:r>
        <w:rPr>
          <w:sz w:val="20"/>
          <w:szCs w:val="20"/>
        </w:rPr>
        <w:t xml:space="preserve"> </w:t>
      </w:r>
      <w:hyperlink r:id="rId26">
        <w:r>
          <w:rPr>
            <w:color w:val="000000"/>
            <w:sz w:val="20"/>
            <w:szCs w:val="20"/>
          </w:rPr>
          <w:t xml:space="preserve">D. Raymond Forney and Donald E. Davis, “Effects of Low Concentrations of Herbicides on Submersed Aquatic Plants,” </w:t>
        </w:r>
      </w:hyperlink>
      <w:hyperlink r:id="rId27">
        <w:r>
          <w:rPr>
            <w:i/>
            <w:color w:val="000000"/>
            <w:sz w:val="20"/>
            <w:szCs w:val="20"/>
          </w:rPr>
          <w:t>Weed Science</w:t>
        </w:r>
      </w:hyperlink>
      <w:hyperlink r:id="rId28">
        <w:r>
          <w:rPr>
            <w:color w:val="000000"/>
            <w:sz w:val="20"/>
            <w:szCs w:val="20"/>
          </w:rPr>
          <w:t xml:space="preserve"> 29, no. 6 (1981): 677–85; Kenneth W. </w:t>
        </w:r>
        <w:proofErr w:type="spellStart"/>
        <w:r>
          <w:rPr>
            <w:color w:val="000000"/>
            <w:sz w:val="20"/>
            <w:szCs w:val="20"/>
          </w:rPr>
          <w:t>Staver</w:t>
        </w:r>
        <w:proofErr w:type="spellEnd"/>
        <w:r>
          <w:rPr>
            <w:color w:val="000000"/>
            <w:sz w:val="20"/>
            <w:szCs w:val="20"/>
          </w:rPr>
          <w:t xml:space="preserve"> and Russell B. </w:t>
        </w:r>
        <w:proofErr w:type="spellStart"/>
        <w:r>
          <w:rPr>
            <w:color w:val="000000"/>
            <w:sz w:val="20"/>
            <w:szCs w:val="20"/>
          </w:rPr>
          <w:t>Brinsfield</w:t>
        </w:r>
        <w:proofErr w:type="spellEnd"/>
        <w:r>
          <w:rPr>
            <w:color w:val="000000"/>
            <w:sz w:val="20"/>
            <w:szCs w:val="20"/>
          </w:rPr>
          <w:t xml:space="preserve">, “Long-Term Solutions to Accelerated Eutrophication Must Provide Mechanisms for Redistributing Nutrients Flowing into Concentrated Animal-Producing Regions,” </w:t>
        </w:r>
      </w:hyperlink>
      <w:hyperlink r:id="rId29">
        <w:r>
          <w:rPr>
            <w:i/>
            <w:color w:val="000000"/>
            <w:sz w:val="20"/>
            <w:szCs w:val="20"/>
          </w:rPr>
          <w:t>Bioscience</w:t>
        </w:r>
      </w:hyperlink>
      <w:hyperlink r:id="rId30">
        <w:r>
          <w:rPr>
            <w:color w:val="000000"/>
            <w:sz w:val="20"/>
            <w:szCs w:val="20"/>
          </w:rPr>
          <w:t xml:space="preserve"> 51, no. 10 (2001): 859–68.</w:t>
        </w:r>
      </w:hyperlink>
    </w:p>
  </w:footnote>
  <w:footnote w:id="16">
    <w:p w14:paraId="00000298" w14:textId="1E82A873" w:rsidR="002A2321" w:rsidRDefault="002A2321">
      <w:pPr>
        <w:spacing w:line="240" w:lineRule="auto"/>
        <w:rPr>
          <w:sz w:val="20"/>
          <w:szCs w:val="20"/>
        </w:rPr>
      </w:pPr>
      <w:r>
        <w:rPr>
          <w:vertAlign w:val="superscript"/>
        </w:rPr>
        <w:footnoteRef/>
      </w:r>
      <w:r>
        <w:rPr>
          <w:sz w:val="20"/>
          <w:szCs w:val="20"/>
        </w:rPr>
        <w:t xml:space="preserve"> Profitability is not a goal of the National Register. I would argue that this is a goal of adaptive reuse projects that develop feasibility assessments. The assessment is in place to see if the endeavor is going to be viable and at what point there will be a return on investment. Part of this thesis is the argument that long-term sustainability is tied to profit. If a farm is profitable and sustainable, there is a better chance that it will remain a farm and more wholly preserved. If practice ceases on the land, a large part of the significance is lost.</w:t>
      </w:r>
    </w:p>
  </w:footnote>
  <w:footnote w:id="17">
    <w:p w14:paraId="00000299" w14:textId="77777777" w:rsidR="002A2321" w:rsidRDefault="002A2321">
      <w:pPr>
        <w:spacing w:line="240" w:lineRule="auto"/>
        <w:rPr>
          <w:sz w:val="20"/>
          <w:szCs w:val="20"/>
        </w:rPr>
      </w:pPr>
      <w:r>
        <w:rPr>
          <w:vertAlign w:val="superscript"/>
        </w:rPr>
        <w:footnoteRef/>
      </w:r>
      <w:r>
        <w:rPr>
          <w:sz w:val="20"/>
          <w:szCs w:val="20"/>
        </w:rPr>
        <w:t xml:space="preserve"> </w:t>
      </w:r>
      <w:hyperlink r:id="rId31">
        <w:r>
          <w:rPr>
            <w:color w:val="000000"/>
            <w:sz w:val="20"/>
            <w:szCs w:val="20"/>
          </w:rPr>
          <w:t>American Farmland Trust, “Farmers Guide for Protecting Water Quality on Long Island,” 2015, https://4aa2dc132bb150caf1aa-7bb737f4349b47aa42dce777a72d5264.ssl.cf5.rackcdn.com/AFT-Farmers-Guide-for-Protecting-Water-Quality-on-Long-Island.pdf; American Farmland Trust, “Controlling Nutrient Runoff on Farms,” August 2013, https://4aa2dc132bb150caf1aa-7bb737f4349b47aa42dce777a72d5264.ssl.cf5.rackcdn.com/Controlling-Nutrient-Runoff-on-Farms.pdf.</w:t>
        </w:r>
      </w:hyperlink>
    </w:p>
  </w:footnote>
  <w:footnote w:id="18">
    <w:p w14:paraId="0000029A" w14:textId="77777777" w:rsidR="002A2321" w:rsidRDefault="002A2321">
      <w:pPr>
        <w:spacing w:line="240" w:lineRule="auto"/>
        <w:rPr>
          <w:sz w:val="20"/>
          <w:szCs w:val="20"/>
        </w:rPr>
      </w:pPr>
      <w:r>
        <w:rPr>
          <w:vertAlign w:val="superscript"/>
        </w:rPr>
        <w:footnoteRef/>
      </w:r>
      <w:r>
        <w:rPr>
          <w:sz w:val="20"/>
          <w:szCs w:val="20"/>
        </w:rPr>
        <w:t xml:space="preserve"> </w:t>
      </w:r>
      <w:hyperlink r:id="rId32">
        <w:r>
          <w:rPr>
            <w:color w:val="000000"/>
            <w:sz w:val="20"/>
            <w:szCs w:val="20"/>
          </w:rPr>
          <w:t xml:space="preserve">Brooke Hassett et al., “Restoring Watersheds Project by Project: Trends in Chesapeake Bay Tributary Restoration,” </w:t>
        </w:r>
      </w:hyperlink>
      <w:hyperlink r:id="rId33">
        <w:r>
          <w:rPr>
            <w:i/>
            <w:color w:val="000000"/>
            <w:sz w:val="20"/>
            <w:szCs w:val="20"/>
          </w:rPr>
          <w:t>Frontiers in Ecology and the Environment</w:t>
        </w:r>
      </w:hyperlink>
      <w:hyperlink r:id="rId34">
        <w:r>
          <w:rPr>
            <w:color w:val="000000"/>
            <w:sz w:val="20"/>
            <w:szCs w:val="20"/>
          </w:rPr>
          <w:t xml:space="preserve"> 3, no. 5 (2005): 259–67; Robert Tjaden Lori Lynch, “When a Landowner Adopts a Riparian Buffer - Benefits and Costs,” n.d., http://extension.umd.edu/sites/extension.umd.edu/files/_docs/programs/riparianbuffers/FS774.pdf.</w:t>
        </w:r>
      </w:hyperlink>
    </w:p>
  </w:footnote>
  <w:footnote w:id="19">
    <w:p w14:paraId="0000029B" w14:textId="77777777" w:rsidR="002A2321" w:rsidRDefault="002A2321">
      <w:pPr>
        <w:spacing w:line="240" w:lineRule="auto"/>
        <w:rPr>
          <w:sz w:val="20"/>
          <w:szCs w:val="20"/>
        </w:rPr>
      </w:pPr>
      <w:r>
        <w:rPr>
          <w:vertAlign w:val="superscript"/>
        </w:rPr>
        <w:footnoteRef/>
      </w:r>
      <w:r>
        <w:rPr>
          <w:sz w:val="20"/>
          <w:szCs w:val="20"/>
        </w:rPr>
        <w:t xml:space="preserve"> </w:t>
      </w:r>
      <w:hyperlink r:id="rId35">
        <w:r>
          <w:rPr>
            <w:color w:val="000000"/>
            <w:sz w:val="20"/>
            <w:szCs w:val="20"/>
          </w:rPr>
          <w:t xml:space="preserve">Pamela Jerome, “The Values-Based Approach to Cultural-Heritage Preservation,” </w:t>
        </w:r>
      </w:hyperlink>
      <w:hyperlink r:id="rId36">
        <w:r>
          <w:rPr>
            <w:i/>
            <w:color w:val="000000"/>
            <w:sz w:val="20"/>
            <w:szCs w:val="20"/>
          </w:rPr>
          <w:t>APT Bulletin</w:t>
        </w:r>
      </w:hyperlink>
      <w:hyperlink r:id="rId37">
        <w:r>
          <w:rPr>
            <w:color w:val="000000"/>
            <w:sz w:val="20"/>
            <w:szCs w:val="20"/>
          </w:rPr>
          <w:t xml:space="preserve"> 45, no. 2/3 (2014): 4.</w:t>
        </w:r>
      </w:hyperlink>
    </w:p>
  </w:footnote>
  <w:footnote w:id="20">
    <w:p w14:paraId="6A43D15D" w14:textId="77777777" w:rsidR="002A2321" w:rsidRDefault="002A2321" w:rsidP="000005B6">
      <w:pPr>
        <w:spacing w:line="240" w:lineRule="auto"/>
        <w:rPr>
          <w:sz w:val="20"/>
          <w:szCs w:val="20"/>
        </w:rPr>
      </w:pPr>
      <w:r>
        <w:rPr>
          <w:vertAlign w:val="superscript"/>
        </w:rPr>
        <w:footnoteRef/>
      </w:r>
      <w:r>
        <w:rPr>
          <w:sz w:val="20"/>
          <w:szCs w:val="20"/>
        </w:rPr>
        <w:t xml:space="preserve"> The Green New deal did not pass and is not mainstream thinking but represents a movement. </w:t>
      </w:r>
      <w:hyperlink r:id="rId38">
        <w:r>
          <w:rPr>
            <w:color w:val="000000"/>
            <w:sz w:val="20"/>
            <w:szCs w:val="20"/>
          </w:rPr>
          <w:t>“Green New Deal – Full Language,” www.gp.org, accessed April 6, 2019, https://www.gp.org/gnd_full.</w:t>
        </w:r>
      </w:hyperlink>
    </w:p>
  </w:footnote>
  <w:footnote w:id="21">
    <w:p w14:paraId="0000029D" w14:textId="77777777" w:rsidR="002A2321" w:rsidRDefault="002A2321">
      <w:pPr>
        <w:spacing w:line="240" w:lineRule="auto"/>
        <w:rPr>
          <w:sz w:val="20"/>
          <w:szCs w:val="20"/>
        </w:rPr>
      </w:pPr>
      <w:r>
        <w:rPr>
          <w:vertAlign w:val="superscript"/>
        </w:rPr>
        <w:footnoteRef/>
      </w:r>
      <w:r>
        <w:rPr>
          <w:sz w:val="20"/>
          <w:szCs w:val="20"/>
        </w:rPr>
        <w:t xml:space="preserve"> </w:t>
      </w:r>
      <w:hyperlink r:id="rId39">
        <w:r>
          <w:rPr>
            <w:color w:val="000000"/>
            <w:sz w:val="20"/>
            <w:szCs w:val="20"/>
          </w:rPr>
          <w:t xml:space="preserve">Olivia E. Freeman, Lalisa A. Duguma, and Peter A. Minang, “Operationalizing the Integrated Landscape Approach in Practice,” </w:t>
        </w:r>
      </w:hyperlink>
      <w:hyperlink r:id="rId40">
        <w:r>
          <w:rPr>
            <w:i/>
            <w:color w:val="000000"/>
            <w:sz w:val="20"/>
            <w:szCs w:val="20"/>
          </w:rPr>
          <w:t>Ecology and Society</w:t>
        </w:r>
      </w:hyperlink>
      <w:hyperlink r:id="rId41">
        <w:r>
          <w:rPr>
            <w:color w:val="000000"/>
            <w:sz w:val="20"/>
            <w:szCs w:val="20"/>
          </w:rPr>
          <w:t xml:space="preserve"> 20, no. 1 (2015): 3, http://www.jstor.org/stable/26269763.</w:t>
        </w:r>
      </w:hyperlink>
    </w:p>
  </w:footnote>
  <w:footnote w:id="22">
    <w:p w14:paraId="0000029E" w14:textId="77777777" w:rsidR="002A2321" w:rsidRDefault="002A2321">
      <w:pPr>
        <w:spacing w:line="240" w:lineRule="auto"/>
        <w:rPr>
          <w:sz w:val="20"/>
          <w:szCs w:val="20"/>
        </w:rPr>
      </w:pPr>
      <w:r>
        <w:rPr>
          <w:vertAlign w:val="superscript"/>
        </w:rPr>
        <w:footnoteRef/>
      </w:r>
      <w:r>
        <w:rPr>
          <w:sz w:val="20"/>
          <w:szCs w:val="20"/>
        </w:rPr>
        <w:t xml:space="preserve"> </w:t>
      </w:r>
      <w:hyperlink r:id="rId42">
        <w:r>
          <w:rPr>
            <w:color w:val="000000"/>
            <w:sz w:val="20"/>
            <w:szCs w:val="20"/>
          </w:rPr>
          <w:t xml:space="preserve">Horst W. J. Rittel and Melvin M. Webber, “Dilemmas in a General Theory of Planning,” </w:t>
        </w:r>
      </w:hyperlink>
      <w:hyperlink r:id="rId43">
        <w:r>
          <w:rPr>
            <w:i/>
            <w:color w:val="000000"/>
            <w:sz w:val="20"/>
            <w:szCs w:val="20"/>
          </w:rPr>
          <w:t>Policy Sciences</w:t>
        </w:r>
      </w:hyperlink>
      <w:hyperlink r:id="rId44">
        <w:r>
          <w:rPr>
            <w:color w:val="000000"/>
            <w:sz w:val="20"/>
            <w:szCs w:val="20"/>
          </w:rPr>
          <w:t xml:space="preserve"> 4, no. 2 (1973): 161.</w:t>
        </w:r>
      </w:hyperlink>
    </w:p>
  </w:footnote>
  <w:footnote w:id="23">
    <w:p w14:paraId="0000029F" w14:textId="77777777" w:rsidR="002A2321" w:rsidRDefault="002A2321">
      <w:pPr>
        <w:spacing w:line="240" w:lineRule="auto"/>
        <w:rPr>
          <w:sz w:val="20"/>
          <w:szCs w:val="20"/>
        </w:rPr>
      </w:pPr>
      <w:r>
        <w:rPr>
          <w:vertAlign w:val="superscript"/>
        </w:rPr>
        <w:footnoteRef/>
      </w:r>
      <w:r>
        <w:rPr>
          <w:sz w:val="20"/>
          <w:szCs w:val="20"/>
        </w:rPr>
        <w:t xml:space="preserve"> </w:t>
      </w:r>
      <w:hyperlink r:id="rId45">
        <w:r>
          <w:rPr>
            <w:color w:val="000000"/>
            <w:sz w:val="20"/>
            <w:szCs w:val="20"/>
          </w:rPr>
          <w:t>Horst W. J. Rittel and Webber, 162.</w:t>
        </w:r>
      </w:hyperlink>
    </w:p>
  </w:footnote>
  <w:footnote w:id="24">
    <w:p w14:paraId="000002A0" w14:textId="77777777" w:rsidR="002A2321" w:rsidRDefault="002A2321">
      <w:pPr>
        <w:spacing w:line="240" w:lineRule="auto"/>
        <w:rPr>
          <w:sz w:val="20"/>
          <w:szCs w:val="20"/>
        </w:rPr>
      </w:pPr>
      <w:r>
        <w:rPr>
          <w:vertAlign w:val="superscript"/>
        </w:rPr>
        <w:footnoteRef/>
      </w:r>
      <w:r>
        <w:rPr>
          <w:sz w:val="20"/>
          <w:szCs w:val="20"/>
        </w:rPr>
        <w:t xml:space="preserve"> </w:t>
      </w:r>
      <w:hyperlink r:id="rId46">
        <w:r>
          <w:rPr>
            <w:color w:val="000000"/>
            <w:sz w:val="20"/>
            <w:szCs w:val="20"/>
          </w:rPr>
          <w:t>Horst W. J. Rittel and Webber, 162.</w:t>
        </w:r>
      </w:hyperlink>
    </w:p>
  </w:footnote>
  <w:footnote w:id="25">
    <w:p w14:paraId="000002A1" w14:textId="77777777" w:rsidR="002A2321" w:rsidRDefault="002A2321">
      <w:pPr>
        <w:spacing w:line="240" w:lineRule="auto"/>
        <w:rPr>
          <w:sz w:val="20"/>
          <w:szCs w:val="20"/>
        </w:rPr>
      </w:pPr>
      <w:r>
        <w:rPr>
          <w:vertAlign w:val="superscript"/>
        </w:rPr>
        <w:footnoteRef/>
      </w:r>
      <w:r>
        <w:rPr>
          <w:sz w:val="20"/>
          <w:szCs w:val="20"/>
        </w:rPr>
        <w:t xml:space="preserve"> </w:t>
      </w:r>
      <w:hyperlink r:id="rId47">
        <w:r>
          <w:rPr>
            <w:color w:val="000000"/>
            <w:sz w:val="20"/>
            <w:szCs w:val="20"/>
          </w:rPr>
          <w:t xml:space="preserve">Anne Effland, “Small Farms, Cash Crops, Agrarian Ideals, and International Development,” </w:t>
        </w:r>
      </w:hyperlink>
      <w:hyperlink r:id="rId48">
        <w:r>
          <w:rPr>
            <w:i/>
            <w:color w:val="000000"/>
            <w:sz w:val="20"/>
            <w:szCs w:val="20"/>
          </w:rPr>
          <w:t>Agricultural History</w:t>
        </w:r>
      </w:hyperlink>
      <w:hyperlink r:id="rId49">
        <w:r>
          <w:rPr>
            <w:color w:val="000000"/>
            <w:sz w:val="20"/>
            <w:szCs w:val="20"/>
          </w:rPr>
          <w:t xml:space="preserve"> 84, no. 1 (Winter 2010): 10–11.</w:t>
        </w:r>
      </w:hyperlink>
    </w:p>
  </w:footnote>
  <w:footnote w:id="26">
    <w:p w14:paraId="000002A2" w14:textId="77777777" w:rsidR="002A2321" w:rsidRDefault="002A2321">
      <w:pPr>
        <w:spacing w:line="240" w:lineRule="auto"/>
        <w:rPr>
          <w:sz w:val="20"/>
          <w:szCs w:val="20"/>
        </w:rPr>
      </w:pPr>
      <w:r>
        <w:rPr>
          <w:vertAlign w:val="superscript"/>
        </w:rPr>
        <w:footnoteRef/>
      </w:r>
      <w:r>
        <w:rPr>
          <w:sz w:val="20"/>
          <w:szCs w:val="20"/>
        </w:rPr>
        <w:t xml:space="preserve"> </w:t>
      </w:r>
      <w:hyperlink r:id="rId50">
        <w:r>
          <w:rPr>
            <w:color w:val="000000"/>
            <w:sz w:val="20"/>
            <w:szCs w:val="20"/>
          </w:rPr>
          <w:t>Horst W. J. Rittel and Webber, “Dilemmas in a General Theory of Planning,” 163.</w:t>
        </w:r>
      </w:hyperlink>
    </w:p>
  </w:footnote>
  <w:footnote w:id="27">
    <w:p w14:paraId="000002A3" w14:textId="77777777" w:rsidR="002A2321" w:rsidRDefault="002A2321">
      <w:pPr>
        <w:spacing w:line="240" w:lineRule="auto"/>
        <w:rPr>
          <w:sz w:val="20"/>
          <w:szCs w:val="20"/>
        </w:rPr>
      </w:pPr>
      <w:r>
        <w:rPr>
          <w:vertAlign w:val="superscript"/>
        </w:rPr>
        <w:footnoteRef/>
      </w:r>
      <w:r>
        <w:rPr>
          <w:sz w:val="20"/>
          <w:szCs w:val="20"/>
        </w:rPr>
        <w:t xml:space="preserve"> </w:t>
      </w:r>
      <w:hyperlink r:id="rId51">
        <w:r>
          <w:rPr>
            <w:color w:val="000000"/>
            <w:sz w:val="20"/>
            <w:szCs w:val="20"/>
          </w:rPr>
          <w:t xml:space="preserve">M. </w:t>
        </w:r>
        <w:proofErr w:type="spellStart"/>
        <w:r>
          <w:rPr>
            <w:color w:val="000000"/>
            <w:sz w:val="20"/>
            <w:szCs w:val="20"/>
          </w:rPr>
          <w:t>Paolisso</w:t>
        </w:r>
        <w:proofErr w:type="spellEnd"/>
        <w:r>
          <w:rPr>
            <w:color w:val="000000"/>
            <w:sz w:val="20"/>
            <w:szCs w:val="20"/>
          </w:rPr>
          <w:t xml:space="preserve"> et al., “Environmental Models and Public Stakeholders in the Chesapeake Bay Watershed,” </w:t>
        </w:r>
      </w:hyperlink>
      <w:hyperlink r:id="rId52">
        <w:r>
          <w:rPr>
            <w:i/>
            <w:color w:val="000000"/>
            <w:sz w:val="20"/>
            <w:szCs w:val="20"/>
          </w:rPr>
          <w:t>Estuaries and Coasts</w:t>
        </w:r>
      </w:hyperlink>
      <w:hyperlink r:id="rId53">
        <w:r>
          <w:rPr>
            <w:color w:val="000000"/>
            <w:sz w:val="20"/>
            <w:szCs w:val="20"/>
          </w:rPr>
          <w:t xml:space="preserve"> 38 (2015): S113; Willett M. Kempton, James S. </w:t>
        </w:r>
        <w:proofErr w:type="spellStart"/>
        <w:r>
          <w:rPr>
            <w:color w:val="000000"/>
            <w:sz w:val="20"/>
            <w:szCs w:val="20"/>
          </w:rPr>
          <w:t>Boster</w:t>
        </w:r>
        <w:proofErr w:type="spellEnd"/>
        <w:r>
          <w:rPr>
            <w:color w:val="000000"/>
            <w:sz w:val="20"/>
            <w:szCs w:val="20"/>
          </w:rPr>
          <w:t xml:space="preserve">, Jennifer A. Hartley, </w:t>
        </w:r>
      </w:hyperlink>
      <w:hyperlink r:id="rId54">
        <w:r>
          <w:rPr>
            <w:i/>
            <w:color w:val="000000"/>
            <w:sz w:val="20"/>
            <w:szCs w:val="20"/>
          </w:rPr>
          <w:t>Environmental Values in American Culture</w:t>
        </w:r>
      </w:hyperlink>
      <w:hyperlink r:id="rId55">
        <w:r>
          <w:rPr>
            <w:color w:val="000000"/>
            <w:sz w:val="20"/>
            <w:szCs w:val="20"/>
          </w:rPr>
          <w:t xml:space="preserve"> (Cambridge: MIT Press, 1996); Mark Dailey, </w:t>
        </w:r>
      </w:hyperlink>
      <w:hyperlink r:id="rId56">
        <w:r>
          <w:rPr>
            <w:i/>
            <w:color w:val="000000"/>
            <w:sz w:val="20"/>
            <w:szCs w:val="20"/>
          </w:rPr>
          <w:t>Cultural Models of Forests and Ecological Change on the Appalachian Plateau, 1750-1840</w:t>
        </w:r>
      </w:hyperlink>
      <w:hyperlink r:id="rId57">
        <w:r>
          <w:rPr>
            <w:color w:val="000000"/>
            <w:sz w:val="20"/>
            <w:szCs w:val="20"/>
          </w:rPr>
          <w:t>, 1999.</w:t>
        </w:r>
      </w:hyperlink>
    </w:p>
  </w:footnote>
  <w:footnote w:id="28">
    <w:p w14:paraId="000002A4" w14:textId="77777777" w:rsidR="002A2321" w:rsidRDefault="002A2321">
      <w:pPr>
        <w:spacing w:line="240" w:lineRule="auto"/>
        <w:rPr>
          <w:sz w:val="20"/>
          <w:szCs w:val="20"/>
        </w:rPr>
      </w:pPr>
      <w:r>
        <w:rPr>
          <w:vertAlign w:val="superscript"/>
        </w:rPr>
        <w:footnoteRef/>
      </w:r>
      <w:r>
        <w:rPr>
          <w:sz w:val="20"/>
          <w:szCs w:val="20"/>
        </w:rPr>
        <w:t xml:space="preserve"> </w:t>
      </w:r>
      <w:hyperlink r:id="rId58">
        <w:r>
          <w:rPr>
            <w:color w:val="000000"/>
            <w:sz w:val="20"/>
            <w:szCs w:val="20"/>
          </w:rPr>
          <w:t>Horst W. J. Rittel and Webber, “Dilemmas in a General Theory of Planning,” 163.</w:t>
        </w:r>
      </w:hyperlink>
    </w:p>
  </w:footnote>
  <w:footnote w:id="29">
    <w:p w14:paraId="000002A5" w14:textId="77777777" w:rsidR="002A2321" w:rsidRDefault="002A2321">
      <w:pPr>
        <w:spacing w:line="240" w:lineRule="auto"/>
        <w:rPr>
          <w:sz w:val="20"/>
          <w:szCs w:val="20"/>
        </w:rPr>
      </w:pPr>
      <w:r>
        <w:rPr>
          <w:vertAlign w:val="superscript"/>
        </w:rPr>
        <w:footnoteRef/>
      </w:r>
      <w:r>
        <w:rPr>
          <w:sz w:val="20"/>
          <w:szCs w:val="20"/>
        </w:rPr>
        <w:t xml:space="preserve"> </w:t>
      </w:r>
      <w:hyperlink r:id="rId59">
        <w:r>
          <w:rPr>
            <w:color w:val="000000"/>
            <w:sz w:val="20"/>
            <w:szCs w:val="20"/>
          </w:rPr>
          <w:t>Horst W. J. Rittel and Webber, 164.</w:t>
        </w:r>
      </w:hyperlink>
    </w:p>
  </w:footnote>
  <w:footnote w:id="30">
    <w:p w14:paraId="000002A6" w14:textId="77777777" w:rsidR="002A2321" w:rsidRDefault="002A2321">
      <w:pPr>
        <w:spacing w:line="240" w:lineRule="auto"/>
        <w:rPr>
          <w:sz w:val="20"/>
          <w:szCs w:val="20"/>
        </w:rPr>
      </w:pPr>
      <w:r>
        <w:rPr>
          <w:vertAlign w:val="superscript"/>
        </w:rPr>
        <w:footnoteRef/>
      </w:r>
      <w:r>
        <w:rPr>
          <w:sz w:val="20"/>
          <w:szCs w:val="20"/>
        </w:rPr>
        <w:t xml:space="preserve"> </w:t>
      </w:r>
      <w:hyperlink r:id="rId60">
        <w:r>
          <w:rPr>
            <w:color w:val="000000"/>
            <w:sz w:val="20"/>
            <w:szCs w:val="20"/>
          </w:rPr>
          <w:t>Horst W. J. Rittel and Webber, 164.</w:t>
        </w:r>
      </w:hyperlink>
    </w:p>
  </w:footnote>
  <w:footnote w:id="31">
    <w:p w14:paraId="000002A7" w14:textId="77777777" w:rsidR="002A2321" w:rsidRDefault="002A2321">
      <w:pPr>
        <w:spacing w:line="240" w:lineRule="auto"/>
        <w:rPr>
          <w:sz w:val="20"/>
          <w:szCs w:val="20"/>
        </w:rPr>
      </w:pPr>
      <w:r>
        <w:rPr>
          <w:vertAlign w:val="superscript"/>
        </w:rPr>
        <w:footnoteRef/>
      </w:r>
      <w:r>
        <w:rPr>
          <w:sz w:val="20"/>
          <w:szCs w:val="20"/>
        </w:rPr>
        <w:t xml:space="preserve"> </w:t>
      </w:r>
      <w:hyperlink r:id="rId61">
        <w:r>
          <w:rPr>
            <w:color w:val="000000"/>
            <w:sz w:val="20"/>
            <w:szCs w:val="20"/>
          </w:rPr>
          <w:t>Horst W. J. Rittel and Webber, 165.</w:t>
        </w:r>
      </w:hyperlink>
    </w:p>
  </w:footnote>
  <w:footnote w:id="32">
    <w:p w14:paraId="000002A8" w14:textId="77777777" w:rsidR="002A2321" w:rsidRDefault="002A2321">
      <w:pPr>
        <w:spacing w:line="240" w:lineRule="auto"/>
        <w:rPr>
          <w:sz w:val="20"/>
          <w:szCs w:val="20"/>
        </w:rPr>
      </w:pPr>
      <w:r>
        <w:rPr>
          <w:vertAlign w:val="superscript"/>
        </w:rPr>
        <w:footnoteRef/>
      </w:r>
      <w:r>
        <w:rPr>
          <w:sz w:val="20"/>
          <w:szCs w:val="20"/>
        </w:rPr>
        <w:t xml:space="preserve"> </w:t>
      </w:r>
      <w:hyperlink r:id="rId62">
        <w:r>
          <w:rPr>
            <w:color w:val="000000"/>
            <w:sz w:val="20"/>
            <w:szCs w:val="20"/>
          </w:rPr>
          <w:t>Horst W. J. Rittel and Webber, 166.</w:t>
        </w:r>
      </w:hyperlink>
    </w:p>
  </w:footnote>
  <w:footnote w:id="33">
    <w:p w14:paraId="000002A9" w14:textId="77777777" w:rsidR="002A2321" w:rsidRDefault="002A2321">
      <w:pPr>
        <w:spacing w:line="240" w:lineRule="auto"/>
        <w:rPr>
          <w:sz w:val="20"/>
          <w:szCs w:val="20"/>
        </w:rPr>
      </w:pPr>
      <w:r>
        <w:rPr>
          <w:vertAlign w:val="superscript"/>
        </w:rPr>
        <w:footnoteRef/>
      </w:r>
      <w:r>
        <w:rPr>
          <w:sz w:val="20"/>
          <w:szCs w:val="20"/>
        </w:rPr>
        <w:t xml:space="preserve"> </w:t>
      </w:r>
      <w:hyperlink r:id="rId63">
        <w:r>
          <w:rPr>
            <w:color w:val="000000"/>
            <w:sz w:val="20"/>
            <w:szCs w:val="20"/>
          </w:rPr>
          <w:t xml:space="preserve">Eric W. Allison and Mary Ann Allison, “Preserving Tangible Cultural Assets: A Framework for a New Dialog in Preservation,” </w:t>
        </w:r>
      </w:hyperlink>
      <w:hyperlink r:id="rId64">
        <w:r>
          <w:rPr>
            <w:i/>
            <w:color w:val="000000"/>
            <w:sz w:val="20"/>
            <w:szCs w:val="20"/>
          </w:rPr>
          <w:t>Preservation Education &amp; Research</w:t>
        </w:r>
      </w:hyperlink>
      <w:hyperlink r:id="rId65">
        <w:r>
          <w:rPr>
            <w:color w:val="000000"/>
            <w:sz w:val="20"/>
            <w:szCs w:val="20"/>
          </w:rPr>
          <w:t xml:space="preserve"> 1 (2008): 35.</w:t>
        </w:r>
      </w:hyperlink>
    </w:p>
  </w:footnote>
  <w:footnote w:id="34">
    <w:p w14:paraId="000002AA" w14:textId="4B4980E1" w:rsidR="002A2321" w:rsidRDefault="002A2321">
      <w:pPr>
        <w:spacing w:line="240" w:lineRule="auto"/>
        <w:rPr>
          <w:sz w:val="20"/>
          <w:szCs w:val="20"/>
        </w:rPr>
      </w:pPr>
      <w:r>
        <w:rPr>
          <w:vertAlign w:val="superscript"/>
        </w:rPr>
        <w:footnoteRef/>
      </w:r>
      <w:r>
        <w:rPr>
          <w:sz w:val="20"/>
          <w:szCs w:val="20"/>
        </w:rPr>
        <w:t xml:space="preserve"> </w:t>
      </w:r>
      <w:hyperlink r:id="rId66">
        <w:r>
          <w:rPr>
            <w:color w:val="000000"/>
            <w:sz w:val="20"/>
            <w:szCs w:val="20"/>
          </w:rPr>
          <w:t xml:space="preserve">Sandra S. Batie, “Fellows Address: Wicked Problems and Applied Economics,” </w:t>
        </w:r>
      </w:hyperlink>
      <w:hyperlink r:id="rId67">
        <w:r>
          <w:rPr>
            <w:i/>
            <w:color w:val="000000"/>
            <w:sz w:val="20"/>
            <w:szCs w:val="20"/>
          </w:rPr>
          <w:t>American Journal of Agricultural Economics</w:t>
        </w:r>
      </w:hyperlink>
      <w:hyperlink r:id="rId68">
        <w:r>
          <w:rPr>
            <w:color w:val="000000"/>
            <w:sz w:val="20"/>
            <w:szCs w:val="20"/>
          </w:rPr>
          <w:t xml:space="preserve"> 90, no. 5 (2008): 1179; citing Ellen M. van </w:t>
        </w:r>
        <w:proofErr w:type="spellStart"/>
        <w:r>
          <w:rPr>
            <w:color w:val="000000"/>
            <w:sz w:val="20"/>
            <w:szCs w:val="20"/>
          </w:rPr>
          <w:t>Bueren</w:t>
        </w:r>
        <w:proofErr w:type="spellEnd"/>
        <w:r>
          <w:rPr>
            <w:color w:val="000000"/>
            <w:sz w:val="20"/>
            <w:szCs w:val="20"/>
          </w:rPr>
          <w:t xml:space="preserve">, Erik-Hans </w:t>
        </w:r>
        <w:proofErr w:type="spellStart"/>
        <w:r>
          <w:rPr>
            <w:color w:val="000000"/>
            <w:sz w:val="20"/>
            <w:szCs w:val="20"/>
          </w:rPr>
          <w:t>Klijn</w:t>
        </w:r>
        <w:proofErr w:type="spellEnd"/>
        <w:r>
          <w:rPr>
            <w:color w:val="000000"/>
            <w:sz w:val="20"/>
            <w:szCs w:val="20"/>
          </w:rPr>
          <w:t xml:space="preserve">, and </w:t>
        </w:r>
        <w:proofErr w:type="spellStart"/>
        <w:r>
          <w:rPr>
            <w:color w:val="000000"/>
            <w:sz w:val="20"/>
            <w:szCs w:val="20"/>
          </w:rPr>
          <w:t>Joop</w:t>
        </w:r>
        <w:proofErr w:type="spellEnd"/>
        <w:r>
          <w:rPr>
            <w:color w:val="000000"/>
            <w:sz w:val="20"/>
            <w:szCs w:val="20"/>
          </w:rPr>
          <w:t xml:space="preserve"> F. M. </w:t>
        </w:r>
        <w:proofErr w:type="spellStart"/>
        <w:r>
          <w:rPr>
            <w:color w:val="000000"/>
            <w:sz w:val="20"/>
            <w:szCs w:val="20"/>
          </w:rPr>
          <w:t>Koppenjan</w:t>
        </w:r>
        <w:proofErr w:type="spellEnd"/>
        <w:r>
          <w:rPr>
            <w:color w:val="000000"/>
            <w:sz w:val="20"/>
            <w:szCs w:val="20"/>
          </w:rPr>
          <w:t xml:space="preserve">, “Dealing with Wicked Problems in Networks: Analyzing an Environmental Debate from a Network Perspective,” </w:t>
        </w:r>
      </w:hyperlink>
      <w:hyperlink r:id="rId69">
        <w:r>
          <w:rPr>
            <w:i/>
            <w:color w:val="000000"/>
            <w:sz w:val="20"/>
            <w:szCs w:val="20"/>
          </w:rPr>
          <w:t>Journal of Public Administration Research and Theory: J-PART</w:t>
        </w:r>
      </w:hyperlink>
      <w:hyperlink r:id="rId70">
        <w:r>
          <w:rPr>
            <w:color w:val="000000"/>
            <w:sz w:val="20"/>
            <w:szCs w:val="20"/>
          </w:rPr>
          <w:t xml:space="preserve"> 13, no. 2 (2003): 193–212.</w:t>
        </w:r>
      </w:hyperlink>
    </w:p>
  </w:footnote>
  <w:footnote w:id="35">
    <w:p w14:paraId="000002AB" w14:textId="77777777" w:rsidR="002A2321" w:rsidRDefault="002A2321">
      <w:pPr>
        <w:spacing w:line="240" w:lineRule="auto"/>
        <w:rPr>
          <w:sz w:val="20"/>
          <w:szCs w:val="20"/>
        </w:rPr>
      </w:pPr>
      <w:r>
        <w:rPr>
          <w:vertAlign w:val="superscript"/>
        </w:rPr>
        <w:footnoteRef/>
      </w:r>
      <w:r>
        <w:rPr>
          <w:sz w:val="20"/>
          <w:szCs w:val="20"/>
        </w:rPr>
        <w:t xml:space="preserve"> </w:t>
      </w:r>
      <w:hyperlink r:id="rId71">
        <w:r>
          <w:rPr>
            <w:color w:val="000000"/>
            <w:sz w:val="20"/>
            <w:szCs w:val="20"/>
          </w:rPr>
          <w:t>Horst W. J. Rittel and Webber, “Dilemmas in a General Theory of Planning,” 160.</w:t>
        </w:r>
      </w:hyperlink>
    </w:p>
  </w:footnote>
  <w:footnote w:id="36">
    <w:p w14:paraId="000002AD" w14:textId="3C455EC5" w:rsidR="002A2321" w:rsidRDefault="002A2321" w:rsidP="00303428">
      <w:pPr>
        <w:spacing w:line="240" w:lineRule="auto"/>
        <w:rPr>
          <w:sz w:val="20"/>
          <w:szCs w:val="20"/>
        </w:rPr>
      </w:pPr>
      <w:r>
        <w:rPr>
          <w:vertAlign w:val="superscript"/>
        </w:rPr>
        <w:footnoteRef/>
      </w:r>
      <w:r>
        <w:rPr>
          <w:sz w:val="20"/>
          <w:szCs w:val="20"/>
        </w:rPr>
        <w:t xml:space="preserve"> </w:t>
      </w:r>
      <w:hyperlink r:id="rId72">
        <w:r>
          <w:rPr>
            <w:color w:val="000000"/>
            <w:sz w:val="20"/>
            <w:szCs w:val="20"/>
          </w:rPr>
          <w:t>Jerome, “The Values-Based Approach to Cultural-Heritage Preservation.”</w:t>
        </w:r>
      </w:hyperlink>
    </w:p>
  </w:footnote>
  <w:footnote w:id="37">
    <w:p w14:paraId="000002AE" w14:textId="77777777" w:rsidR="002A2321" w:rsidRDefault="002A2321">
      <w:pPr>
        <w:spacing w:line="240" w:lineRule="auto"/>
        <w:rPr>
          <w:sz w:val="20"/>
          <w:szCs w:val="20"/>
        </w:rPr>
      </w:pPr>
      <w:r>
        <w:rPr>
          <w:vertAlign w:val="superscript"/>
        </w:rPr>
        <w:footnoteRef/>
      </w:r>
      <w:r>
        <w:rPr>
          <w:sz w:val="20"/>
          <w:szCs w:val="20"/>
        </w:rPr>
        <w:t xml:space="preserve"> </w:t>
      </w:r>
      <w:hyperlink r:id="rId73">
        <w:r>
          <w:rPr>
            <w:color w:val="000000"/>
            <w:sz w:val="20"/>
            <w:szCs w:val="20"/>
          </w:rPr>
          <w:t>Australia ICOMOS, “The Burra Charter,” October 31, 2013, sec. 6.3, https://australia.icomos.org/wp-content/uploads/The-Burra-Charter-2013-Adopted-31.10.2013.pdf.</w:t>
        </w:r>
      </w:hyperlink>
    </w:p>
  </w:footnote>
  <w:footnote w:id="38">
    <w:p w14:paraId="000002B0" w14:textId="77777777" w:rsidR="002A2321" w:rsidRDefault="002A2321">
      <w:pPr>
        <w:spacing w:line="240" w:lineRule="auto"/>
        <w:rPr>
          <w:sz w:val="20"/>
          <w:szCs w:val="20"/>
        </w:rPr>
      </w:pPr>
      <w:r>
        <w:rPr>
          <w:vertAlign w:val="superscript"/>
        </w:rPr>
        <w:footnoteRef/>
      </w:r>
      <w:r>
        <w:rPr>
          <w:sz w:val="20"/>
          <w:szCs w:val="20"/>
        </w:rPr>
        <w:t xml:space="preserve"> </w:t>
      </w:r>
      <w:hyperlink r:id="rId74">
        <w:r>
          <w:rPr>
            <w:color w:val="000000"/>
            <w:sz w:val="20"/>
            <w:szCs w:val="20"/>
          </w:rPr>
          <w:t xml:space="preserve">U.S. National Park Service Native American Liason Office, “National Register of Historic Places - Traditional Cultural Properties (TCPs) A Quick Guide for Preserving Native American Cultural Resources” (U.S. Department of the Interior, 2012), https://www.nps.gov/history/tribes/documents/tcp.pdf; Thomas F. King, </w:t>
        </w:r>
      </w:hyperlink>
      <w:hyperlink r:id="rId75">
        <w:r>
          <w:rPr>
            <w:i/>
            <w:color w:val="000000"/>
            <w:sz w:val="20"/>
            <w:szCs w:val="20"/>
          </w:rPr>
          <w:t>Places That Count: Traditional Cultural Properties in Cultural Resource Management</w:t>
        </w:r>
      </w:hyperlink>
      <w:hyperlink r:id="rId76">
        <w:r>
          <w:rPr>
            <w:color w:val="000000"/>
            <w:sz w:val="20"/>
            <w:szCs w:val="20"/>
          </w:rPr>
          <w:t xml:space="preserve"> (Rowman Altamira, 2003).</w:t>
        </w:r>
      </w:hyperlink>
    </w:p>
  </w:footnote>
  <w:footnote w:id="39">
    <w:p w14:paraId="000002B1" w14:textId="77777777" w:rsidR="002A2321" w:rsidRDefault="002A2321">
      <w:pPr>
        <w:spacing w:line="240" w:lineRule="auto"/>
        <w:rPr>
          <w:sz w:val="20"/>
          <w:szCs w:val="20"/>
        </w:rPr>
      </w:pPr>
      <w:r>
        <w:rPr>
          <w:vertAlign w:val="superscript"/>
        </w:rPr>
        <w:footnoteRef/>
      </w:r>
      <w:hyperlink r:id="rId77">
        <w:r>
          <w:rPr>
            <w:color w:val="000000"/>
            <w:sz w:val="20"/>
            <w:szCs w:val="20"/>
          </w:rPr>
          <w:t>“36 CFR Part 800 -- Protection of Historic Properties” (n.d.), https://www.ac</w:t>
        </w:r>
      </w:hyperlink>
      <w:hyperlink r:id="rId78">
        <w:r>
          <w:rPr>
            <w:sz w:val="20"/>
            <w:szCs w:val="20"/>
          </w:rPr>
          <w:t>historic preservation</w:t>
        </w:r>
      </w:hyperlink>
      <w:hyperlink r:id="rId79">
        <w:r>
          <w:rPr>
            <w:color w:val="000000"/>
            <w:sz w:val="20"/>
            <w:szCs w:val="20"/>
          </w:rPr>
          <w:t>.gov/sites/default/files/regulations/2017-02/regs-rev04.pdf.</w:t>
        </w:r>
      </w:hyperlink>
      <w:r>
        <w:rPr>
          <w:sz w:val="20"/>
          <w:szCs w:val="20"/>
        </w:rPr>
        <w:t xml:space="preserve"> </w:t>
      </w:r>
    </w:p>
  </w:footnote>
  <w:footnote w:id="40">
    <w:p w14:paraId="000002B2" w14:textId="77777777" w:rsidR="002A2321" w:rsidRDefault="002A2321">
      <w:pPr>
        <w:spacing w:line="240" w:lineRule="auto"/>
        <w:rPr>
          <w:sz w:val="20"/>
          <w:szCs w:val="20"/>
        </w:rPr>
      </w:pPr>
      <w:r>
        <w:rPr>
          <w:vertAlign w:val="superscript"/>
        </w:rPr>
        <w:footnoteRef/>
      </w:r>
      <w:r>
        <w:rPr>
          <w:sz w:val="20"/>
          <w:szCs w:val="20"/>
        </w:rPr>
        <w:t xml:space="preserve"> </w:t>
      </w:r>
      <w:hyperlink r:id="rId80">
        <w:r>
          <w:rPr>
            <w:color w:val="000000"/>
            <w:sz w:val="20"/>
            <w:szCs w:val="20"/>
          </w:rPr>
          <w:t xml:space="preserve">Jeffrey Sayer et al., “Ten Principles for a Landscape Approach to Reconciling Agriculture, Conservation, and Other Competing Land Uses,” </w:t>
        </w:r>
      </w:hyperlink>
      <w:hyperlink r:id="rId81">
        <w:r>
          <w:rPr>
            <w:i/>
            <w:color w:val="000000"/>
            <w:sz w:val="20"/>
            <w:szCs w:val="20"/>
          </w:rPr>
          <w:t>Proceedings of the National Academy of Sciences of the United States of America</w:t>
        </w:r>
      </w:hyperlink>
      <w:hyperlink r:id="rId82">
        <w:r>
          <w:rPr>
            <w:color w:val="000000"/>
            <w:sz w:val="20"/>
            <w:szCs w:val="20"/>
          </w:rPr>
          <w:t xml:space="preserve"> 110, no. 21 (May 21, 2013): 8349.</w:t>
        </w:r>
      </w:hyperlink>
    </w:p>
  </w:footnote>
  <w:footnote w:id="41">
    <w:p w14:paraId="000002B3" w14:textId="77777777" w:rsidR="002A2321" w:rsidRDefault="002A2321">
      <w:pPr>
        <w:spacing w:line="240" w:lineRule="auto"/>
        <w:rPr>
          <w:sz w:val="20"/>
          <w:szCs w:val="20"/>
        </w:rPr>
      </w:pPr>
      <w:r>
        <w:rPr>
          <w:vertAlign w:val="superscript"/>
        </w:rPr>
        <w:footnoteRef/>
      </w:r>
      <w:r>
        <w:rPr>
          <w:sz w:val="20"/>
          <w:szCs w:val="20"/>
        </w:rPr>
        <w:t xml:space="preserve"> </w:t>
      </w:r>
      <w:hyperlink r:id="rId83">
        <w:r>
          <w:rPr>
            <w:color w:val="000000"/>
            <w:sz w:val="20"/>
            <w:szCs w:val="20"/>
          </w:rPr>
          <w:t>Sayer et al., 8350.</w:t>
        </w:r>
      </w:hyperlink>
    </w:p>
  </w:footnote>
  <w:footnote w:id="42">
    <w:p w14:paraId="000002B4" w14:textId="77777777" w:rsidR="002A2321" w:rsidRDefault="002A2321">
      <w:pPr>
        <w:spacing w:line="240" w:lineRule="auto"/>
        <w:rPr>
          <w:sz w:val="20"/>
          <w:szCs w:val="20"/>
        </w:rPr>
      </w:pPr>
      <w:r>
        <w:rPr>
          <w:vertAlign w:val="superscript"/>
        </w:rPr>
        <w:footnoteRef/>
      </w:r>
      <w:r>
        <w:rPr>
          <w:sz w:val="20"/>
          <w:szCs w:val="20"/>
        </w:rPr>
        <w:t xml:space="preserve"> </w:t>
      </w:r>
      <w:hyperlink r:id="rId84">
        <w:r>
          <w:rPr>
            <w:color w:val="000000"/>
            <w:sz w:val="20"/>
            <w:szCs w:val="20"/>
          </w:rPr>
          <w:t xml:space="preserve">Freeman, </w:t>
        </w:r>
        <w:proofErr w:type="spellStart"/>
        <w:r>
          <w:rPr>
            <w:color w:val="000000"/>
            <w:sz w:val="20"/>
            <w:szCs w:val="20"/>
          </w:rPr>
          <w:t>Duguma</w:t>
        </w:r>
        <w:proofErr w:type="spellEnd"/>
        <w:r>
          <w:rPr>
            <w:color w:val="000000"/>
            <w:sz w:val="20"/>
            <w:szCs w:val="20"/>
          </w:rPr>
          <w:t xml:space="preserve">, and </w:t>
        </w:r>
        <w:proofErr w:type="spellStart"/>
        <w:r>
          <w:rPr>
            <w:color w:val="000000"/>
            <w:sz w:val="20"/>
            <w:szCs w:val="20"/>
          </w:rPr>
          <w:t>Minang</w:t>
        </w:r>
        <w:proofErr w:type="spellEnd"/>
        <w:r>
          <w:rPr>
            <w:color w:val="000000"/>
            <w:sz w:val="20"/>
            <w:szCs w:val="20"/>
          </w:rPr>
          <w:t>, “Operationalizing the Integrated Landscape Approach in Practice.”</w:t>
        </w:r>
      </w:hyperlink>
    </w:p>
  </w:footnote>
  <w:footnote w:id="43">
    <w:p w14:paraId="000002B5" w14:textId="77777777" w:rsidR="002A2321" w:rsidRDefault="002A2321">
      <w:pPr>
        <w:spacing w:line="240" w:lineRule="auto"/>
        <w:rPr>
          <w:sz w:val="20"/>
          <w:szCs w:val="20"/>
        </w:rPr>
      </w:pPr>
      <w:r>
        <w:rPr>
          <w:vertAlign w:val="superscript"/>
        </w:rPr>
        <w:footnoteRef/>
      </w:r>
      <w:r>
        <w:rPr>
          <w:sz w:val="20"/>
          <w:szCs w:val="20"/>
        </w:rPr>
        <w:t xml:space="preserve"> </w:t>
      </w:r>
      <w:hyperlink r:id="rId85">
        <w:r>
          <w:rPr>
            <w:color w:val="000000"/>
            <w:sz w:val="20"/>
            <w:szCs w:val="20"/>
          </w:rPr>
          <w:t xml:space="preserve">Kathryn Rogers </w:t>
        </w:r>
        <w:proofErr w:type="spellStart"/>
        <w:r>
          <w:rPr>
            <w:color w:val="000000"/>
            <w:sz w:val="20"/>
            <w:szCs w:val="20"/>
          </w:rPr>
          <w:t>Merlino</w:t>
        </w:r>
        <w:proofErr w:type="spellEnd"/>
        <w:r>
          <w:rPr>
            <w:color w:val="000000"/>
            <w:sz w:val="20"/>
            <w:szCs w:val="20"/>
          </w:rPr>
          <w:t xml:space="preserve">, “[Re]Evaluating Significance: The Environmental and Cultural Value in Older and Historic Buildings,” </w:t>
        </w:r>
      </w:hyperlink>
      <w:hyperlink r:id="rId86">
        <w:r>
          <w:rPr>
            <w:i/>
            <w:color w:val="000000"/>
            <w:sz w:val="20"/>
            <w:szCs w:val="20"/>
          </w:rPr>
          <w:t>The Public Historian</w:t>
        </w:r>
      </w:hyperlink>
      <w:hyperlink r:id="rId87">
        <w:r>
          <w:rPr>
            <w:color w:val="000000"/>
            <w:sz w:val="20"/>
            <w:szCs w:val="20"/>
          </w:rPr>
          <w:t xml:space="preserve"> 36, no. 3 (August 2014): 70–85.</w:t>
        </w:r>
      </w:hyperlink>
    </w:p>
  </w:footnote>
  <w:footnote w:id="44">
    <w:p w14:paraId="000002B6" w14:textId="77777777" w:rsidR="002A2321" w:rsidRDefault="002A2321">
      <w:pPr>
        <w:spacing w:line="240" w:lineRule="auto"/>
        <w:rPr>
          <w:sz w:val="20"/>
          <w:szCs w:val="20"/>
        </w:rPr>
      </w:pPr>
      <w:r>
        <w:rPr>
          <w:vertAlign w:val="superscript"/>
        </w:rPr>
        <w:footnoteRef/>
      </w:r>
      <w:r>
        <w:rPr>
          <w:sz w:val="20"/>
          <w:szCs w:val="20"/>
        </w:rPr>
        <w:t xml:space="preserve"> </w:t>
      </w:r>
      <w:hyperlink r:id="rId88">
        <w:r>
          <w:rPr>
            <w:color w:val="000000"/>
            <w:sz w:val="20"/>
            <w:szCs w:val="20"/>
          </w:rPr>
          <w:t xml:space="preserve">Aaron Lubeck, </w:t>
        </w:r>
      </w:hyperlink>
      <w:hyperlink r:id="rId89">
        <w:r>
          <w:rPr>
            <w:i/>
            <w:color w:val="000000"/>
            <w:sz w:val="20"/>
            <w:szCs w:val="20"/>
          </w:rPr>
          <w:t>Green Restorations: Sustainable Building and Historic Homes</w:t>
        </w:r>
      </w:hyperlink>
      <w:hyperlink r:id="rId90">
        <w:r>
          <w:rPr>
            <w:color w:val="000000"/>
            <w:sz w:val="20"/>
            <w:szCs w:val="20"/>
          </w:rPr>
          <w:t xml:space="preserve"> (Philadelphia: New Society Publishers, 2010), XII–XVI; </w:t>
        </w:r>
        <w:proofErr w:type="spellStart"/>
        <w:r>
          <w:rPr>
            <w:color w:val="000000"/>
            <w:sz w:val="20"/>
            <w:szCs w:val="20"/>
          </w:rPr>
          <w:t>Leifeste</w:t>
        </w:r>
        <w:proofErr w:type="spellEnd"/>
        <w:r>
          <w:rPr>
            <w:color w:val="000000"/>
            <w:sz w:val="20"/>
            <w:szCs w:val="20"/>
          </w:rPr>
          <w:t xml:space="preserve"> and </w:t>
        </w:r>
        <w:proofErr w:type="spellStart"/>
        <w:r>
          <w:rPr>
            <w:color w:val="000000"/>
            <w:sz w:val="20"/>
            <w:szCs w:val="20"/>
          </w:rPr>
          <w:t>Stiefel</w:t>
        </w:r>
        <w:proofErr w:type="spellEnd"/>
        <w:r>
          <w:rPr>
            <w:color w:val="000000"/>
            <w:sz w:val="20"/>
            <w:szCs w:val="20"/>
          </w:rPr>
          <w:t xml:space="preserve">, </w:t>
        </w:r>
      </w:hyperlink>
      <w:hyperlink r:id="rId91">
        <w:r>
          <w:rPr>
            <w:i/>
            <w:color w:val="000000"/>
            <w:sz w:val="20"/>
            <w:szCs w:val="20"/>
          </w:rPr>
          <w:t>Sustainable Heritage: Merging Environmental Conservation and Historic Preservation</w:t>
        </w:r>
      </w:hyperlink>
      <w:hyperlink r:id="rId92">
        <w:r>
          <w:rPr>
            <w:color w:val="000000"/>
            <w:sz w:val="20"/>
            <w:szCs w:val="20"/>
          </w:rPr>
          <w:t>, chap. 1.</w:t>
        </w:r>
      </w:hyperlink>
    </w:p>
  </w:footnote>
  <w:footnote w:id="45">
    <w:p w14:paraId="000002B7" w14:textId="77777777" w:rsidR="002A2321" w:rsidRDefault="002A2321">
      <w:pPr>
        <w:spacing w:line="240" w:lineRule="auto"/>
        <w:rPr>
          <w:sz w:val="20"/>
          <w:szCs w:val="20"/>
        </w:rPr>
      </w:pPr>
      <w:r>
        <w:rPr>
          <w:vertAlign w:val="superscript"/>
        </w:rPr>
        <w:footnoteRef/>
      </w:r>
      <w:r>
        <w:rPr>
          <w:sz w:val="20"/>
          <w:szCs w:val="20"/>
        </w:rPr>
        <w:t xml:space="preserve"> </w:t>
      </w:r>
      <w:hyperlink r:id="rId93">
        <w:r>
          <w:rPr>
            <w:color w:val="000000"/>
            <w:sz w:val="20"/>
            <w:szCs w:val="20"/>
          </w:rPr>
          <w:t>Chesapeake Bay Program, “Agriculture,” accessed November 24, 2018, https://www.chesapeakebay.net/issues/agriculture.</w:t>
        </w:r>
      </w:hyperlink>
    </w:p>
  </w:footnote>
  <w:footnote w:id="46">
    <w:p w14:paraId="000002B8" w14:textId="77777777" w:rsidR="002A2321" w:rsidRDefault="002A2321">
      <w:pPr>
        <w:spacing w:line="240" w:lineRule="auto"/>
        <w:rPr>
          <w:sz w:val="20"/>
          <w:szCs w:val="20"/>
        </w:rPr>
      </w:pPr>
      <w:r>
        <w:rPr>
          <w:vertAlign w:val="superscript"/>
        </w:rPr>
        <w:footnoteRef/>
      </w:r>
      <w:r>
        <w:rPr>
          <w:sz w:val="20"/>
          <w:szCs w:val="20"/>
        </w:rPr>
        <w:t xml:space="preserve"> </w:t>
      </w:r>
      <w:hyperlink r:id="rId94">
        <w:r>
          <w:rPr>
            <w:color w:val="000000"/>
            <w:sz w:val="20"/>
            <w:szCs w:val="20"/>
          </w:rPr>
          <w:t>Chesapeake Bay Foundation, “Rainfall Revelations—Summer 2016,” accessed November 24, 2018, http://www.cbf.org/issues/polluted-runoff/rainfall-revelations/.</w:t>
        </w:r>
      </w:hyperlink>
    </w:p>
  </w:footnote>
  <w:footnote w:id="47">
    <w:p w14:paraId="000002B9" w14:textId="77777777" w:rsidR="002A2321" w:rsidRDefault="002A2321">
      <w:pPr>
        <w:spacing w:line="240" w:lineRule="auto"/>
        <w:rPr>
          <w:sz w:val="20"/>
          <w:szCs w:val="20"/>
        </w:rPr>
      </w:pPr>
      <w:r>
        <w:rPr>
          <w:vertAlign w:val="superscript"/>
        </w:rPr>
        <w:footnoteRef/>
      </w:r>
      <w:r>
        <w:rPr>
          <w:sz w:val="20"/>
          <w:szCs w:val="20"/>
        </w:rPr>
        <w:t xml:space="preserve"> </w:t>
      </w:r>
      <w:hyperlink r:id="rId95">
        <w:r>
          <w:rPr>
            <w:color w:val="000000"/>
            <w:sz w:val="20"/>
            <w:szCs w:val="20"/>
          </w:rPr>
          <w:t xml:space="preserve">Shaun </w:t>
        </w:r>
        <w:proofErr w:type="spellStart"/>
        <w:r>
          <w:rPr>
            <w:color w:val="000000"/>
            <w:sz w:val="20"/>
            <w:szCs w:val="20"/>
          </w:rPr>
          <w:t>Provencher</w:t>
        </w:r>
        <w:proofErr w:type="spellEnd"/>
        <w:r>
          <w:rPr>
            <w:color w:val="000000"/>
            <w:sz w:val="20"/>
            <w:szCs w:val="20"/>
          </w:rPr>
          <w:t xml:space="preserve">, </w:t>
        </w:r>
      </w:hyperlink>
      <w:hyperlink r:id="rId96">
        <w:r>
          <w:rPr>
            <w:i/>
            <w:color w:val="000000"/>
            <w:sz w:val="20"/>
            <w:szCs w:val="20"/>
          </w:rPr>
          <w:t>Common Wealth: The Past and Future of Town Commons</w:t>
        </w:r>
      </w:hyperlink>
      <w:hyperlink r:id="rId97">
        <w:r>
          <w:rPr>
            <w:color w:val="000000"/>
            <w:sz w:val="20"/>
            <w:szCs w:val="20"/>
          </w:rPr>
          <w:t xml:space="preserve">, Terra </w:t>
        </w:r>
        <w:proofErr w:type="spellStart"/>
        <w:r>
          <w:rPr>
            <w:color w:val="000000"/>
            <w:sz w:val="20"/>
            <w:szCs w:val="20"/>
          </w:rPr>
          <w:t>Firma</w:t>
        </w:r>
        <w:proofErr w:type="spellEnd"/>
        <w:r>
          <w:rPr>
            <w:color w:val="000000"/>
            <w:sz w:val="20"/>
            <w:szCs w:val="20"/>
          </w:rPr>
          <w:t xml:space="preserve"> (Commonwealth of Massachusetts, Department of Conservation and Recreation, Historic Land Preservation Initiative, 2008), 3.</w:t>
        </w:r>
      </w:hyperlink>
    </w:p>
  </w:footnote>
  <w:footnote w:id="48">
    <w:p w14:paraId="000002BA" w14:textId="77777777" w:rsidR="002A2321" w:rsidRDefault="002A2321">
      <w:pPr>
        <w:spacing w:line="240" w:lineRule="auto"/>
        <w:rPr>
          <w:sz w:val="20"/>
          <w:szCs w:val="20"/>
        </w:rPr>
      </w:pPr>
      <w:r>
        <w:rPr>
          <w:vertAlign w:val="superscript"/>
        </w:rPr>
        <w:footnoteRef/>
      </w:r>
      <w:r>
        <w:rPr>
          <w:sz w:val="20"/>
          <w:szCs w:val="20"/>
        </w:rPr>
        <w:t xml:space="preserve"> </w:t>
      </w:r>
      <w:hyperlink r:id="rId98">
        <w:r>
          <w:rPr>
            <w:color w:val="000000"/>
            <w:sz w:val="20"/>
            <w:szCs w:val="20"/>
          </w:rPr>
          <w:t xml:space="preserve">Bryan E. Burke, “Hardin Revisited: A Critical Look at Perception and the Logic of the Commons,” </w:t>
        </w:r>
      </w:hyperlink>
      <w:hyperlink r:id="rId99">
        <w:r>
          <w:rPr>
            <w:i/>
            <w:color w:val="000000"/>
            <w:sz w:val="20"/>
            <w:szCs w:val="20"/>
          </w:rPr>
          <w:t>Human Ecology</w:t>
        </w:r>
      </w:hyperlink>
      <w:hyperlink r:id="rId100">
        <w:r>
          <w:rPr>
            <w:color w:val="000000"/>
            <w:sz w:val="20"/>
            <w:szCs w:val="20"/>
          </w:rPr>
          <w:t xml:space="preserve"> 29, no. 4 (2001): 453.</w:t>
        </w:r>
      </w:hyperlink>
    </w:p>
  </w:footnote>
  <w:footnote w:id="49">
    <w:p w14:paraId="000002BB" w14:textId="77777777" w:rsidR="002A2321" w:rsidRDefault="002A2321">
      <w:pPr>
        <w:spacing w:line="240" w:lineRule="auto"/>
        <w:rPr>
          <w:sz w:val="20"/>
          <w:szCs w:val="20"/>
        </w:rPr>
      </w:pPr>
      <w:r>
        <w:rPr>
          <w:vertAlign w:val="superscript"/>
        </w:rPr>
        <w:footnoteRef/>
      </w:r>
      <w:r>
        <w:rPr>
          <w:sz w:val="20"/>
          <w:szCs w:val="20"/>
        </w:rPr>
        <w:t xml:space="preserve"> </w:t>
      </w:r>
      <w:hyperlink r:id="rId101">
        <w:proofErr w:type="spellStart"/>
        <w:r>
          <w:rPr>
            <w:color w:val="000000"/>
            <w:sz w:val="20"/>
            <w:szCs w:val="20"/>
          </w:rPr>
          <w:t>Erling</w:t>
        </w:r>
        <w:proofErr w:type="spellEnd"/>
        <w:r>
          <w:rPr>
            <w:color w:val="000000"/>
            <w:sz w:val="20"/>
            <w:szCs w:val="20"/>
          </w:rPr>
          <w:t xml:space="preserve"> Berge and Margaret </w:t>
        </w:r>
        <w:proofErr w:type="spellStart"/>
        <w:r>
          <w:rPr>
            <w:color w:val="000000"/>
            <w:sz w:val="20"/>
            <w:szCs w:val="20"/>
          </w:rPr>
          <w:t>Mckean</w:t>
        </w:r>
        <w:proofErr w:type="spellEnd"/>
        <w:r>
          <w:rPr>
            <w:color w:val="000000"/>
            <w:sz w:val="20"/>
            <w:szCs w:val="20"/>
          </w:rPr>
          <w:t xml:space="preserve">, “On the Commons of Developed Industrialized Countries,” </w:t>
        </w:r>
      </w:hyperlink>
      <w:hyperlink r:id="rId102">
        <w:r>
          <w:rPr>
            <w:i/>
            <w:color w:val="000000"/>
            <w:sz w:val="20"/>
            <w:szCs w:val="20"/>
          </w:rPr>
          <w:t>International Journal of the Commons</w:t>
        </w:r>
      </w:hyperlink>
      <w:hyperlink r:id="rId103">
        <w:r>
          <w:rPr>
            <w:color w:val="000000"/>
            <w:sz w:val="20"/>
            <w:szCs w:val="20"/>
          </w:rPr>
          <w:t xml:space="preserve"> 9, no. 2 (2015): 469–85; Garrett Hardin, “Extensions of ‘The Tragedy of the Commons,’” </w:t>
        </w:r>
      </w:hyperlink>
      <w:hyperlink r:id="rId104">
        <w:r>
          <w:rPr>
            <w:i/>
            <w:color w:val="000000"/>
            <w:sz w:val="20"/>
            <w:szCs w:val="20"/>
          </w:rPr>
          <w:t>Science</w:t>
        </w:r>
      </w:hyperlink>
      <w:hyperlink r:id="rId105">
        <w:r>
          <w:rPr>
            <w:color w:val="000000"/>
            <w:sz w:val="20"/>
            <w:szCs w:val="20"/>
          </w:rPr>
          <w:t xml:space="preserve"> 280, no. 5364 (1998): 682–83.</w:t>
        </w:r>
      </w:hyperlink>
    </w:p>
  </w:footnote>
  <w:footnote w:id="50">
    <w:p w14:paraId="000002BC" w14:textId="77777777" w:rsidR="002A2321" w:rsidRDefault="002A2321">
      <w:pPr>
        <w:spacing w:line="240" w:lineRule="auto"/>
        <w:rPr>
          <w:sz w:val="20"/>
          <w:szCs w:val="20"/>
        </w:rPr>
      </w:pPr>
      <w:r>
        <w:rPr>
          <w:vertAlign w:val="superscript"/>
        </w:rPr>
        <w:footnoteRef/>
      </w:r>
      <w:r>
        <w:rPr>
          <w:sz w:val="20"/>
          <w:szCs w:val="20"/>
        </w:rPr>
        <w:t xml:space="preserve"> </w:t>
      </w:r>
      <w:hyperlink r:id="rId106">
        <w:r>
          <w:rPr>
            <w:color w:val="000000"/>
            <w:sz w:val="20"/>
            <w:szCs w:val="20"/>
          </w:rPr>
          <w:t xml:space="preserve">George D. </w:t>
        </w:r>
        <w:proofErr w:type="spellStart"/>
        <w:r>
          <w:rPr>
            <w:color w:val="000000"/>
            <w:sz w:val="20"/>
            <w:szCs w:val="20"/>
          </w:rPr>
          <w:t>Santopietro</w:t>
        </w:r>
        <w:proofErr w:type="spellEnd"/>
        <w:r>
          <w:rPr>
            <w:color w:val="000000"/>
            <w:sz w:val="20"/>
            <w:szCs w:val="20"/>
          </w:rPr>
          <w:t xml:space="preserve"> and Leonard A. </w:t>
        </w:r>
        <w:proofErr w:type="spellStart"/>
        <w:r>
          <w:rPr>
            <w:color w:val="000000"/>
            <w:sz w:val="20"/>
            <w:szCs w:val="20"/>
          </w:rPr>
          <w:t>Shabman</w:t>
        </w:r>
        <w:proofErr w:type="spellEnd"/>
        <w:r>
          <w:rPr>
            <w:color w:val="000000"/>
            <w:sz w:val="20"/>
            <w:szCs w:val="20"/>
          </w:rPr>
          <w:t xml:space="preserve">, “Can Privatization Be Inefficient?: The Case of the Chesapeake Bay Oyster Fishery,” </w:t>
        </w:r>
      </w:hyperlink>
      <w:hyperlink r:id="rId107">
        <w:r>
          <w:rPr>
            <w:i/>
            <w:color w:val="000000"/>
            <w:sz w:val="20"/>
            <w:szCs w:val="20"/>
          </w:rPr>
          <w:t>Journal of Economic Issues</w:t>
        </w:r>
      </w:hyperlink>
      <w:hyperlink r:id="rId108">
        <w:r>
          <w:rPr>
            <w:color w:val="000000"/>
            <w:sz w:val="20"/>
            <w:szCs w:val="20"/>
          </w:rPr>
          <w:t xml:space="preserve"> 26, no. 2 (1992): 407–19.</w:t>
        </w:r>
      </w:hyperlink>
    </w:p>
  </w:footnote>
  <w:footnote w:id="51">
    <w:p w14:paraId="000002BD" w14:textId="77777777" w:rsidR="002A2321" w:rsidRDefault="002A2321">
      <w:pPr>
        <w:spacing w:line="240" w:lineRule="auto"/>
        <w:rPr>
          <w:sz w:val="20"/>
          <w:szCs w:val="20"/>
        </w:rPr>
      </w:pPr>
      <w:r>
        <w:rPr>
          <w:vertAlign w:val="superscript"/>
        </w:rPr>
        <w:footnoteRef/>
      </w:r>
      <w:r>
        <w:rPr>
          <w:sz w:val="20"/>
          <w:szCs w:val="20"/>
        </w:rPr>
        <w:t xml:space="preserve"> </w:t>
      </w:r>
      <w:hyperlink r:id="rId109">
        <w:r>
          <w:rPr>
            <w:color w:val="000000"/>
            <w:sz w:val="20"/>
            <w:szCs w:val="20"/>
          </w:rPr>
          <w:t>Burke, “Hardin Revisited: A Critical Look at Perception and the Logic of the Commons,” 450.</w:t>
        </w:r>
      </w:hyperlink>
    </w:p>
  </w:footnote>
  <w:footnote w:id="52">
    <w:p w14:paraId="000002BE" w14:textId="77777777" w:rsidR="002A2321" w:rsidRDefault="002A2321">
      <w:pPr>
        <w:spacing w:line="240" w:lineRule="auto"/>
        <w:rPr>
          <w:sz w:val="20"/>
          <w:szCs w:val="20"/>
        </w:rPr>
      </w:pPr>
      <w:r>
        <w:rPr>
          <w:vertAlign w:val="superscript"/>
        </w:rPr>
        <w:footnoteRef/>
      </w:r>
      <w:r>
        <w:rPr>
          <w:sz w:val="20"/>
          <w:szCs w:val="20"/>
        </w:rPr>
        <w:t xml:space="preserve"> </w:t>
      </w:r>
      <w:hyperlink r:id="rId110">
        <w:r>
          <w:rPr>
            <w:color w:val="000000"/>
            <w:sz w:val="20"/>
            <w:szCs w:val="20"/>
          </w:rPr>
          <w:t xml:space="preserve">Jeff A. Savage and Marc O. Ribaudo, “Impact of Environmental Policies on the Adoption of Manure Management Practices in the Chesapeake Bay Watershed,” </w:t>
        </w:r>
      </w:hyperlink>
      <w:hyperlink r:id="rId111">
        <w:r>
          <w:rPr>
            <w:i/>
            <w:color w:val="000000"/>
            <w:sz w:val="20"/>
            <w:szCs w:val="20"/>
          </w:rPr>
          <w:t>Journal of Environmental Management</w:t>
        </w:r>
      </w:hyperlink>
      <w:hyperlink r:id="rId112">
        <w:r>
          <w:rPr>
            <w:color w:val="000000"/>
            <w:sz w:val="20"/>
            <w:szCs w:val="20"/>
          </w:rPr>
          <w:t xml:space="preserve"> 129 (November 15, 2013): 144; Jill R. Robinson and Ted L. Napier, “Adoption of Nutrient Management Techniques to Reduce Hypoxia in the Gulf of Mexico,” </w:t>
        </w:r>
      </w:hyperlink>
      <w:hyperlink r:id="rId113">
        <w:r>
          <w:rPr>
            <w:i/>
            <w:color w:val="000000"/>
            <w:sz w:val="20"/>
            <w:szCs w:val="20"/>
          </w:rPr>
          <w:t>Agricultural Systems</w:t>
        </w:r>
      </w:hyperlink>
      <w:hyperlink r:id="rId114">
        <w:r>
          <w:rPr>
            <w:color w:val="000000"/>
            <w:sz w:val="20"/>
            <w:szCs w:val="20"/>
          </w:rPr>
          <w:t xml:space="preserve"> 72 (2002): 197–213.</w:t>
        </w:r>
      </w:hyperlink>
      <w:r>
        <w:rPr>
          <w:sz w:val="20"/>
          <w:szCs w:val="20"/>
        </w:rPr>
        <w:t xml:space="preserve"> Page #</w:t>
      </w:r>
    </w:p>
  </w:footnote>
  <w:footnote w:id="53">
    <w:p w14:paraId="000002BF" w14:textId="77777777" w:rsidR="002A2321" w:rsidRDefault="002A2321">
      <w:pPr>
        <w:spacing w:line="240" w:lineRule="auto"/>
        <w:rPr>
          <w:sz w:val="20"/>
          <w:szCs w:val="20"/>
        </w:rPr>
      </w:pPr>
      <w:r>
        <w:rPr>
          <w:vertAlign w:val="superscript"/>
        </w:rPr>
        <w:footnoteRef/>
      </w:r>
      <w:r>
        <w:rPr>
          <w:sz w:val="20"/>
          <w:szCs w:val="20"/>
        </w:rPr>
        <w:t xml:space="preserve"> </w:t>
      </w:r>
      <w:hyperlink r:id="rId115">
        <w:r>
          <w:rPr>
            <w:color w:val="000000"/>
            <w:sz w:val="20"/>
            <w:szCs w:val="20"/>
          </w:rPr>
          <w:t>Savage and Ribaudo, “Impact of Environmental Policies on the Adoption of Manure Management Practices in the Chesapeake Bay Watershed,” 144.</w:t>
        </w:r>
      </w:hyperlink>
    </w:p>
  </w:footnote>
  <w:footnote w:id="54">
    <w:p w14:paraId="000002C0" w14:textId="77777777" w:rsidR="002A2321" w:rsidRDefault="002A2321">
      <w:pPr>
        <w:spacing w:line="240" w:lineRule="auto"/>
        <w:rPr>
          <w:sz w:val="20"/>
          <w:szCs w:val="20"/>
        </w:rPr>
      </w:pPr>
      <w:r>
        <w:rPr>
          <w:vertAlign w:val="superscript"/>
        </w:rPr>
        <w:footnoteRef/>
      </w:r>
      <w:r>
        <w:rPr>
          <w:sz w:val="20"/>
          <w:szCs w:val="20"/>
        </w:rPr>
        <w:t xml:space="preserve"> </w:t>
      </w:r>
      <w:hyperlink r:id="rId116">
        <w:r>
          <w:rPr>
            <w:color w:val="000000"/>
            <w:sz w:val="20"/>
            <w:szCs w:val="20"/>
          </w:rPr>
          <w:t xml:space="preserve">George Gustin, “Giant Chicken Houses Overrun Delmarva, and Neighbors Fear It’s Making Them Sick,” InsideClimate News, April 23, 2018, https://insideclimatenews.org/news/23042018/poultry-industry-epa-asthma-respiratory-illness-chicken-houses-delmarva-legislature-health-study-delaware-maryland-virginia; Scott Dance, “Maryland Chicken Production Topped $1 Billion for the First Time Last Year,” </w:t>
        </w:r>
      </w:hyperlink>
      <w:hyperlink r:id="rId117">
        <w:r>
          <w:rPr>
            <w:i/>
            <w:color w:val="000000"/>
            <w:sz w:val="20"/>
            <w:szCs w:val="20"/>
          </w:rPr>
          <w:t>Baltimore Sun</w:t>
        </w:r>
      </w:hyperlink>
      <w:hyperlink r:id="rId118">
        <w:r>
          <w:rPr>
            <w:color w:val="000000"/>
            <w:sz w:val="20"/>
            <w:szCs w:val="20"/>
          </w:rPr>
          <w:t>, May 8, 2018, https://www.baltimoresun.com/business/bs-md-maryland-chicken-production-20180508-story.html.</w:t>
        </w:r>
      </w:hyperlink>
    </w:p>
  </w:footnote>
  <w:footnote w:id="55">
    <w:p w14:paraId="000002C1" w14:textId="77777777" w:rsidR="002A2321" w:rsidRDefault="002A2321">
      <w:pPr>
        <w:spacing w:line="240" w:lineRule="auto"/>
        <w:rPr>
          <w:sz w:val="20"/>
          <w:szCs w:val="20"/>
        </w:rPr>
      </w:pPr>
      <w:r>
        <w:rPr>
          <w:vertAlign w:val="superscript"/>
        </w:rPr>
        <w:footnoteRef/>
      </w:r>
      <w:r>
        <w:rPr>
          <w:sz w:val="20"/>
          <w:szCs w:val="20"/>
        </w:rPr>
        <w:t xml:space="preserve"> </w:t>
      </w:r>
      <w:hyperlink r:id="rId119">
        <w:r>
          <w:rPr>
            <w:color w:val="000000"/>
            <w:sz w:val="20"/>
            <w:szCs w:val="20"/>
          </w:rPr>
          <w:t>U.S. Department of Agriculture, “USDA/NASS 2017 State Agriculture Overview for Maryland,” accessed January 13, 2019, https://www.nass.usda.gov/Quick_Stats/Ag_Overview/stateOverview.p</w:t>
        </w:r>
      </w:hyperlink>
      <w:hyperlink r:id="rId120">
        <w:r>
          <w:rPr>
            <w:sz w:val="20"/>
            <w:szCs w:val="20"/>
          </w:rPr>
          <w:t xml:space="preserve">historic </w:t>
        </w:r>
        <w:proofErr w:type="spellStart"/>
        <w:r>
          <w:rPr>
            <w:sz w:val="20"/>
            <w:szCs w:val="20"/>
          </w:rPr>
          <w:t>preservation</w:t>
        </w:r>
      </w:hyperlink>
      <w:hyperlink r:id="rId121">
        <w:r>
          <w:rPr>
            <w:color w:val="000000"/>
            <w:sz w:val="20"/>
            <w:szCs w:val="20"/>
          </w:rPr>
          <w:t>?state</w:t>
        </w:r>
        <w:proofErr w:type="spellEnd"/>
        <w:r>
          <w:rPr>
            <w:color w:val="000000"/>
            <w:sz w:val="20"/>
            <w:szCs w:val="20"/>
          </w:rPr>
          <w:t>=MARYLAND.</w:t>
        </w:r>
      </w:hyperlink>
    </w:p>
  </w:footnote>
  <w:footnote w:id="56">
    <w:p w14:paraId="000002C2" w14:textId="77777777" w:rsidR="002A2321" w:rsidRDefault="002A2321">
      <w:pPr>
        <w:spacing w:line="240" w:lineRule="auto"/>
        <w:rPr>
          <w:sz w:val="20"/>
          <w:szCs w:val="20"/>
        </w:rPr>
      </w:pPr>
      <w:r>
        <w:rPr>
          <w:vertAlign w:val="superscript"/>
        </w:rPr>
        <w:footnoteRef/>
      </w:r>
      <w:r>
        <w:rPr>
          <w:sz w:val="20"/>
          <w:szCs w:val="20"/>
        </w:rPr>
        <w:t xml:space="preserve"> </w:t>
      </w:r>
      <w:hyperlink r:id="rId122">
        <w:r>
          <w:rPr>
            <w:color w:val="000000"/>
            <w:sz w:val="20"/>
            <w:szCs w:val="20"/>
          </w:rPr>
          <w:t>U.S. Department of Agriculture, “Table 1: Historical Highlights: 2012 and Earlier Census Years: 2012 Maryland” (USDA National Agricultural Statistics Service, n.d.), https://www.nass.usda.gov/Publications/AgCensus/2012/Full_Report/Volume_1,_Chapter_1_State_Level/Maryland/st24_1_001_001.pdf.</w:t>
        </w:r>
      </w:hyperlink>
    </w:p>
  </w:footnote>
  <w:footnote w:id="57">
    <w:p w14:paraId="000002C3" w14:textId="77777777" w:rsidR="002A2321" w:rsidRDefault="002A2321">
      <w:pPr>
        <w:spacing w:line="240" w:lineRule="auto"/>
        <w:rPr>
          <w:sz w:val="20"/>
          <w:szCs w:val="20"/>
        </w:rPr>
      </w:pPr>
      <w:r>
        <w:rPr>
          <w:vertAlign w:val="superscript"/>
        </w:rPr>
        <w:footnoteRef/>
      </w:r>
      <w:r>
        <w:rPr>
          <w:sz w:val="20"/>
          <w:szCs w:val="20"/>
        </w:rPr>
        <w:t xml:space="preserve"> </w:t>
      </w:r>
      <w:hyperlink r:id="rId123">
        <w:r>
          <w:rPr>
            <w:color w:val="000000"/>
            <w:sz w:val="20"/>
            <w:szCs w:val="20"/>
          </w:rPr>
          <w:t>USDA, “Table 70: Summary by Tenure of Principal Operator and by Operators on Farm: 2012 Maryland” (USDA National Agricultural Statistics Service, n.d.), https://www.nass.usda.gov/Publications/AgCensus/2012/Full_Report/Volume_1,_Chapter_1_State_Level/Maryland/st24_1_070_070.pdf.</w:t>
        </w:r>
      </w:hyperlink>
    </w:p>
  </w:footnote>
  <w:footnote w:id="58">
    <w:p w14:paraId="000002C4" w14:textId="77777777" w:rsidR="002A2321" w:rsidRDefault="002A2321">
      <w:pPr>
        <w:spacing w:line="240" w:lineRule="auto"/>
        <w:rPr>
          <w:sz w:val="20"/>
          <w:szCs w:val="20"/>
        </w:rPr>
      </w:pPr>
      <w:r>
        <w:rPr>
          <w:vertAlign w:val="superscript"/>
        </w:rPr>
        <w:footnoteRef/>
      </w:r>
      <w:r>
        <w:rPr>
          <w:sz w:val="20"/>
          <w:szCs w:val="20"/>
        </w:rPr>
        <w:t xml:space="preserve"> </w:t>
      </w:r>
      <w:hyperlink r:id="rId124">
        <w:r>
          <w:rPr>
            <w:color w:val="000000"/>
            <w:sz w:val="20"/>
            <w:szCs w:val="20"/>
          </w:rPr>
          <w:t>U.S. Department of Agriculture, “USDA/NASS 2017 State Agriculture Overview for Pennsylvania,” accessed January 13, 2019, https://www.nass.usda.gov/Quick_Stats/Ag_Overview/stateOverview.p</w:t>
        </w:r>
      </w:hyperlink>
      <w:hyperlink r:id="rId125">
        <w:r>
          <w:rPr>
            <w:sz w:val="20"/>
            <w:szCs w:val="20"/>
          </w:rPr>
          <w:t xml:space="preserve">historic </w:t>
        </w:r>
        <w:proofErr w:type="spellStart"/>
        <w:r>
          <w:rPr>
            <w:sz w:val="20"/>
            <w:szCs w:val="20"/>
          </w:rPr>
          <w:t>preservation</w:t>
        </w:r>
      </w:hyperlink>
      <w:hyperlink r:id="rId126">
        <w:r>
          <w:rPr>
            <w:color w:val="000000"/>
            <w:sz w:val="20"/>
            <w:szCs w:val="20"/>
          </w:rPr>
          <w:t>?state</w:t>
        </w:r>
        <w:proofErr w:type="spellEnd"/>
        <w:r>
          <w:rPr>
            <w:color w:val="000000"/>
            <w:sz w:val="20"/>
            <w:szCs w:val="20"/>
          </w:rPr>
          <w:t>=PENNSYLVANIA.</w:t>
        </w:r>
      </w:hyperlink>
    </w:p>
  </w:footnote>
  <w:footnote w:id="59">
    <w:p w14:paraId="000002C5" w14:textId="77777777" w:rsidR="002A2321" w:rsidRDefault="002A2321">
      <w:pPr>
        <w:spacing w:line="240" w:lineRule="auto"/>
        <w:rPr>
          <w:sz w:val="20"/>
          <w:szCs w:val="20"/>
        </w:rPr>
      </w:pPr>
      <w:r>
        <w:rPr>
          <w:vertAlign w:val="superscript"/>
        </w:rPr>
        <w:footnoteRef/>
      </w:r>
      <w:r>
        <w:rPr>
          <w:sz w:val="20"/>
          <w:szCs w:val="20"/>
        </w:rPr>
        <w:t xml:space="preserve"> </w:t>
      </w:r>
      <w:hyperlink r:id="rId127">
        <w:r>
          <w:rPr>
            <w:color w:val="000000"/>
            <w:sz w:val="20"/>
            <w:szCs w:val="20"/>
          </w:rPr>
          <w:t>U.S. Department of Agriculture.</w:t>
        </w:r>
      </w:hyperlink>
    </w:p>
  </w:footnote>
  <w:footnote w:id="60">
    <w:p w14:paraId="000002C6" w14:textId="77777777" w:rsidR="002A2321" w:rsidRDefault="002A2321">
      <w:pPr>
        <w:spacing w:line="240" w:lineRule="auto"/>
        <w:rPr>
          <w:sz w:val="20"/>
          <w:szCs w:val="20"/>
        </w:rPr>
      </w:pPr>
      <w:r>
        <w:rPr>
          <w:vertAlign w:val="superscript"/>
        </w:rPr>
        <w:footnoteRef/>
      </w:r>
      <w:r>
        <w:rPr>
          <w:sz w:val="20"/>
          <w:szCs w:val="20"/>
        </w:rPr>
        <w:t xml:space="preserve"> </w:t>
      </w:r>
      <w:hyperlink r:id="rId128">
        <w:r>
          <w:rPr>
            <w:color w:val="000000"/>
            <w:sz w:val="20"/>
            <w:szCs w:val="20"/>
          </w:rPr>
          <w:t>U.S. Department of Agriculture, “Table 67: Summary by Legal Status For Tax Purposes: 2012 Pennsylvania” (USDA National Agricultural Statistics Service, n.d.), https://www.nass.usda.gov/Publications/AgCensus/2012/Full_Report/Volume_1,_Chapter_1_State_Level/Pennsylvania/st42_1_067_067.pdf.</w:t>
        </w:r>
      </w:hyperlink>
    </w:p>
  </w:footnote>
  <w:footnote w:id="61">
    <w:p w14:paraId="000002C7" w14:textId="77777777" w:rsidR="002A2321" w:rsidRDefault="002A2321">
      <w:pPr>
        <w:spacing w:line="240" w:lineRule="auto"/>
        <w:rPr>
          <w:sz w:val="20"/>
          <w:szCs w:val="20"/>
        </w:rPr>
      </w:pPr>
      <w:r>
        <w:rPr>
          <w:vertAlign w:val="superscript"/>
        </w:rPr>
        <w:footnoteRef/>
      </w:r>
      <w:r>
        <w:rPr>
          <w:sz w:val="20"/>
          <w:szCs w:val="20"/>
        </w:rPr>
        <w:t xml:space="preserve"> </w:t>
      </w:r>
      <w:hyperlink r:id="rId129">
        <w:r>
          <w:rPr>
            <w:color w:val="000000"/>
            <w:sz w:val="20"/>
            <w:szCs w:val="20"/>
          </w:rPr>
          <w:t xml:space="preserve">Karl Blankenship, “Success of Chesapeake’s Restoration Tied to PA, Which Lags Far behind,” </w:t>
        </w:r>
      </w:hyperlink>
      <w:hyperlink r:id="rId130">
        <w:r>
          <w:rPr>
            <w:i/>
            <w:color w:val="000000"/>
            <w:sz w:val="20"/>
            <w:szCs w:val="20"/>
          </w:rPr>
          <w:t>Bay Journal</w:t>
        </w:r>
      </w:hyperlink>
      <w:hyperlink r:id="rId131">
        <w:r>
          <w:rPr>
            <w:color w:val="000000"/>
            <w:sz w:val="20"/>
            <w:szCs w:val="20"/>
          </w:rPr>
          <w:t>, October 17, 2018, https://www.bayjournal.com/article/success_of_chesapeakes_restoration_tied_to_pa_which_lags_far_behind.</w:t>
        </w:r>
      </w:hyperlink>
    </w:p>
  </w:footnote>
  <w:footnote w:id="62">
    <w:p w14:paraId="000002C8" w14:textId="77777777" w:rsidR="002A2321" w:rsidRDefault="002A2321">
      <w:pPr>
        <w:spacing w:line="240" w:lineRule="auto"/>
        <w:rPr>
          <w:sz w:val="20"/>
          <w:szCs w:val="20"/>
        </w:rPr>
      </w:pPr>
      <w:r>
        <w:rPr>
          <w:vertAlign w:val="superscript"/>
        </w:rPr>
        <w:footnoteRef/>
      </w:r>
      <w:r>
        <w:rPr>
          <w:sz w:val="20"/>
          <w:szCs w:val="20"/>
        </w:rPr>
        <w:t xml:space="preserve"> </w:t>
      </w:r>
      <w:hyperlink r:id="rId132">
        <w:r>
          <w:rPr>
            <w:color w:val="000000"/>
            <w:sz w:val="20"/>
            <w:szCs w:val="20"/>
          </w:rPr>
          <w:t xml:space="preserve">Rona Kobell, “The Amish: Makers of Jam, Fine Cabinetry, and Polluted Rivers,” </w:t>
        </w:r>
      </w:hyperlink>
      <w:hyperlink r:id="rId133">
        <w:r>
          <w:rPr>
            <w:i/>
            <w:color w:val="000000"/>
            <w:sz w:val="20"/>
            <w:szCs w:val="20"/>
          </w:rPr>
          <w:t>Grist</w:t>
        </w:r>
      </w:hyperlink>
      <w:hyperlink r:id="rId134">
        <w:r>
          <w:rPr>
            <w:color w:val="000000"/>
            <w:sz w:val="20"/>
            <w:szCs w:val="20"/>
          </w:rPr>
          <w:t>, November 6, 2014, https://grist.org/food/the-amish-makers-of-jam-fine-cabinetry-and-polluted-rivers/.</w:t>
        </w:r>
      </w:hyperlink>
    </w:p>
  </w:footnote>
  <w:footnote w:id="63">
    <w:p w14:paraId="000002C9" w14:textId="77777777" w:rsidR="002A2321" w:rsidRDefault="002A2321">
      <w:pPr>
        <w:spacing w:line="240" w:lineRule="auto"/>
        <w:rPr>
          <w:sz w:val="20"/>
          <w:szCs w:val="20"/>
        </w:rPr>
      </w:pPr>
      <w:r>
        <w:rPr>
          <w:vertAlign w:val="superscript"/>
        </w:rPr>
        <w:footnoteRef/>
      </w:r>
      <w:r>
        <w:rPr>
          <w:sz w:val="20"/>
          <w:szCs w:val="20"/>
        </w:rPr>
        <w:t xml:space="preserve"> </w:t>
      </w:r>
      <w:hyperlink r:id="rId135">
        <w:r>
          <w:rPr>
            <w:color w:val="000000"/>
            <w:sz w:val="20"/>
            <w:szCs w:val="20"/>
          </w:rPr>
          <w:t xml:space="preserve">Scott Dance, “2018 Was Baltimore’s Wettest Year on Record. Here Are the Final Numbers,” </w:t>
        </w:r>
      </w:hyperlink>
      <w:hyperlink r:id="rId136">
        <w:r>
          <w:rPr>
            <w:i/>
            <w:color w:val="000000"/>
            <w:sz w:val="20"/>
            <w:szCs w:val="20"/>
          </w:rPr>
          <w:t>Baltimore Sun</w:t>
        </w:r>
      </w:hyperlink>
      <w:hyperlink r:id="rId137">
        <w:r>
          <w:rPr>
            <w:color w:val="000000"/>
            <w:sz w:val="20"/>
            <w:szCs w:val="20"/>
          </w:rPr>
          <w:t>, January 2, 2019, https://www.baltimoresun.com/news/weather/bs-md-rain-record-numbers-20181115-story.html.</w:t>
        </w:r>
      </w:hyperlink>
    </w:p>
  </w:footnote>
  <w:footnote w:id="64">
    <w:p w14:paraId="000002CA" w14:textId="77777777" w:rsidR="002A2321" w:rsidRDefault="002A2321">
      <w:pPr>
        <w:spacing w:line="240" w:lineRule="auto"/>
        <w:rPr>
          <w:sz w:val="20"/>
          <w:szCs w:val="20"/>
        </w:rPr>
      </w:pPr>
      <w:r>
        <w:rPr>
          <w:vertAlign w:val="superscript"/>
        </w:rPr>
        <w:footnoteRef/>
      </w:r>
      <w:r>
        <w:rPr>
          <w:sz w:val="20"/>
          <w:szCs w:val="20"/>
        </w:rPr>
        <w:t xml:space="preserve"> </w:t>
      </w:r>
      <w:hyperlink r:id="rId138">
        <w:r>
          <w:rPr>
            <w:color w:val="000000"/>
            <w:sz w:val="20"/>
            <w:szCs w:val="20"/>
          </w:rPr>
          <w:t>National Oceanographic and Atmospheric Administration, “GOES East Sees Swollen Rivers After Hurricane Florence,” NOAA National Environmental Satellite, Data, and Information Service (NESDIS), accessed October 17, 2018, https://www.nesdis.noaa.gov/content/goes-east-sees-swollen-rivers-after-hurricane-florence; Scott Sistek, “Satellite Imagery Shows Pollution Runoff in Carolina Rivers from Hurricane Florence,” KOMO, September 26, 2018, http://komonews.com/weather/scotts-weather-blog/satellite-imagery-shows-pollution-runoff-in-carolina-rivers-from-hurricane-florence.</w:t>
        </w:r>
      </w:hyperlink>
    </w:p>
  </w:footnote>
  <w:footnote w:id="65">
    <w:p w14:paraId="000002CB" w14:textId="77777777" w:rsidR="002A2321" w:rsidRDefault="002A2321">
      <w:pPr>
        <w:spacing w:line="240" w:lineRule="auto"/>
        <w:rPr>
          <w:sz w:val="20"/>
          <w:szCs w:val="20"/>
        </w:rPr>
      </w:pPr>
      <w:r>
        <w:rPr>
          <w:vertAlign w:val="superscript"/>
        </w:rPr>
        <w:footnoteRef/>
      </w:r>
      <w:r>
        <w:rPr>
          <w:sz w:val="20"/>
          <w:szCs w:val="20"/>
        </w:rPr>
        <w:t xml:space="preserve"> </w:t>
      </w:r>
      <w:hyperlink r:id="rId139">
        <w:r>
          <w:rPr>
            <w:color w:val="000000"/>
            <w:sz w:val="20"/>
            <w:szCs w:val="20"/>
          </w:rPr>
          <w:t xml:space="preserve">Glenn Fleishman, “Farmers Are Racing to Drain Their Massive Hog Manure Ponds, Before Hurricane Florence Washes Them Away,” </w:t>
        </w:r>
      </w:hyperlink>
      <w:hyperlink r:id="rId140">
        <w:r>
          <w:rPr>
            <w:i/>
            <w:color w:val="000000"/>
            <w:sz w:val="20"/>
            <w:szCs w:val="20"/>
          </w:rPr>
          <w:t>Fortune</w:t>
        </w:r>
      </w:hyperlink>
      <w:hyperlink r:id="rId141">
        <w:r>
          <w:rPr>
            <w:color w:val="000000"/>
            <w:sz w:val="20"/>
            <w:szCs w:val="20"/>
          </w:rPr>
          <w:t>, accessed October 17, 2018, http://fortune.com/2018/09/12/hurricane-florence-hog-manure-ponds-lagoons-overflow/.</w:t>
        </w:r>
      </w:hyperlink>
    </w:p>
  </w:footnote>
  <w:footnote w:id="66">
    <w:p w14:paraId="000002CC" w14:textId="77777777" w:rsidR="002A2321" w:rsidRDefault="002A2321">
      <w:pPr>
        <w:spacing w:line="240" w:lineRule="auto"/>
        <w:rPr>
          <w:sz w:val="20"/>
          <w:szCs w:val="20"/>
        </w:rPr>
      </w:pPr>
      <w:r>
        <w:rPr>
          <w:vertAlign w:val="superscript"/>
        </w:rPr>
        <w:footnoteRef/>
      </w:r>
      <w:r>
        <w:rPr>
          <w:sz w:val="20"/>
          <w:szCs w:val="20"/>
        </w:rPr>
        <w:t xml:space="preserve"> </w:t>
      </w:r>
      <w:hyperlink r:id="rId142">
        <w:r>
          <w:rPr>
            <w:color w:val="000000"/>
            <w:sz w:val="20"/>
            <w:szCs w:val="20"/>
          </w:rPr>
          <w:t>American Farmland Trust, “Controlling Nutrient Runoff on Farms”; Savage and Ribaudo, “Impact of Environmental Policies on the Adoption of Manure Management Practices in the Chesapeake Bay Watershed,” 143.</w:t>
        </w:r>
      </w:hyperlink>
    </w:p>
  </w:footnote>
  <w:footnote w:id="67">
    <w:p w14:paraId="000002CD" w14:textId="77777777" w:rsidR="002A2321" w:rsidRDefault="002A2321">
      <w:pPr>
        <w:spacing w:line="240" w:lineRule="auto"/>
        <w:rPr>
          <w:sz w:val="20"/>
          <w:szCs w:val="20"/>
        </w:rPr>
      </w:pPr>
      <w:r>
        <w:rPr>
          <w:vertAlign w:val="superscript"/>
        </w:rPr>
        <w:footnoteRef/>
      </w:r>
      <w:r>
        <w:rPr>
          <w:sz w:val="20"/>
          <w:szCs w:val="20"/>
        </w:rPr>
        <w:t xml:space="preserve"> </w:t>
      </w:r>
      <w:hyperlink r:id="rId143">
        <w:r>
          <w:rPr>
            <w:color w:val="000000"/>
            <w:sz w:val="20"/>
            <w:szCs w:val="20"/>
          </w:rPr>
          <w:t>Savage and Ribaudo, “Impact of Environmental Policies on the Adoption of Manure Management Practices in the Chesapeake Bay Watershed,” 143.</w:t>
        </w:r>
      </w:hyperlink>
    </w:p>
  </w:footnote>
  <w:footnote w:id="68">
    <w:p w14:paraId="000002CE" w14:textId="77777777" w:rsidR="002A2321" w:rsidRDefault="002A2321">
      <w:pPr>
        <w:spacing w:line="240" w:lineRule="auto"/>
        <w:rPr>
          <w:sz w:val="20"/>
          <w:szCs w:val="20"/>
        </w:rPr>
      </w:pPr>
      <w:r>
        <w:rPr>
          <w:vertAlign w:val="superscript"/>
        </w:rPr>
        <w:footnoteRef/>
      </w:r>
      <w:r>
        <w:rPr>
          <w:sz w:val="20"/>
          <w:szCs w:val="20"/>
        </w:rPr>
        <w:t xml:space="preserve"> </w:t>
      </w:r>
      <w:hyperlink r:id="rId144">
        <w:proofErr w:type="spellStart"/>
        <w:r>
          <w:rPr>
            <w:color w:val="000000"/>
            <w:sz w:val="20"/>
            <w:szCs w:val="20"/>
          </w:rPr>
          <w:t>Paolisso</w:t>
        </w:r>
        <w:proofErr w:type="spellEnd"/>
        <w:r>
          <w:rPr>
            <w:color w:val="000000"/>
            <w:sz w:val="20"/>
            <w:szCs w:val="20"/>
          </w:rPr>
          <w:t xml:space="preserve"> et al., “Environmental Models and Public Stakeholders in the Chesapeake Bay Watershed,” S103.</w:t>
        </w:r>
      </w:hyperlink>
    </w:p>
  </w:footnote>
  <w:footnote w:id="69">
    <w:p w14:paraId="000002CF" w14:textId="77777777" w:rsidR="002A2321" w:rsidRDefault="002A2321">
      <w:pPr>
        <w:spacing w:line="240" w:lineRule="auto"/>
        <w:rPr>
          <w:sz w:val="20"/>
          <w:szCs w:val="20"/>
        </w:rPr>
      </w:pPr>
      <w:r>
        <w:rPr>
          <w:vertAlign w:val="superscript"/>
        </w:rPr>
        <w:footnoteRef/>
      </w:r>
      <w:r>
        <w:rPr>
          <w:sz w:val="20"/>
          <w:szCs w:val="20"/>
        </w:rPr>
        <w:t xml:space="preserve"> </w:t>
      </w:r>
      <w:hyperlink r:id="rId145">
        <w:r>
          <w:rPr>
            <w:color w:val="000000"/>
            <w:sz w:val="20"/>
            <w:szCs w:val="20"/>
          </w:rPr>
          <w:t xml:space="preserve">Erik </w:t>
        </w:r>
        <w:proofErr w:type="spellStart"/>
        <w:r>
          <w:rPr>
            <w:color w:val="000000"/>
            <w:sz w:val="20"/>
            <w:szCs w:val="20"/>
          </w:rPr>
          <w:t>Stokstad</w:t>
        </w:r>
        <w:proofErr w:type="spellEnd"/>
        <w:r>
          <w:rPr>
            <w:color w:val="000000"/>
            <w:sz w:val="20"/>
            <w:szCs w:val="20"/>
          </w:rPr>
          <w:t xml:space="preserve">, “Obama Moves to Revitalize Chesapeake Bay Restoration,” </w:t>
        </w:r>
      </w:hyperlink>
      <w:hyperlink r:id="rId146">
        <w:r>
          <w:rPr>
            <w:i/>
            <w:color w:val="000000"/>
            <w:sz w:val="20"/>
            <w:szCs w:val="20"/>
          </w:rPr>
          <w:t>Science</w:t>
        </w:r>
      </w:hyperlink>
      <w:hyperlink r:id="rId147">
        <w:r>
          <w:rPr>
            <w:color w:val="000000"/>
            <w:sz w:val="20"/>
            <w:szCs w:val="20"/>
          </w:rPr>
          <w:t xml:space="preserve"> 324, no. 5931 (2009): 1138.</w:t>
        </w:r>
      </w:hyperlink>
    </w:p>
  </w:footnote>
  <w:footnote w:id="70">
    <w:p w14:paraId="000002D0" w14:textId="77777777" w:rsidR="002A2321" w:rsidRDefault="002A2321">
      <w:pPr>
        <w:spacing w:line="240" w:lineRule="auto"/>
        <w:rPr>
          <w:sz w:val="20"/>
          <w:szCs w:val="20"/>
        </w:rPr>
      </w:pPr>
      <w:r>
        <w:rPr>
          <w:vertAlign w:val="superscript"/>
        </w:rPr>
        <w:footnoteRef/>
      </w:r>
      <w:r>
        <w:rPr>
          <w:sz w:val="20"/>
          <w:szCs w:val="20"/>
        </w:rPr>
        <w:t xml:space="preserve"> </w:t>
      </w:r>
      <w:hyperlink r:id="rId148">
        <w:r>
          <w:rPr>
            <w:color w:val="000000"/>
            <w:sz w:val="20"/>
            <w:szCs w:val="20"/>
          </w:rPr>
          <w:t xml:space="preserve">Stacy </w:t>
        </w:r>
        <w:proofErr w:type="spellStart"/>
        <w:r>
          <w:rPr>
            <w:color w:val="000000"/>
            <w:sz w:val="20"/>
            <w:szCs w:val="20"/>
          </w:rPr>
          <w:t>Sneeringer</w:t>
        </w:r>
        <w:proofErr w:type="spellEnd"/>
        <w:r>
          <w:rPr>
            <w:color w:val="000000"/>
            <w:sz w:val="20"/>
            <w:szCs w:val="20"/>
          </w:rPr>
          <w:t xml:space="preserve">, “Differences between Livestock and Crop Producers’ Participation in Nutrient Trading,” </w:t>
        </w:r>
      </w:hyperlink>
      <w:hyperlink r:id="rId149">
        <w:r>
          <w:rPr>
            <w:i/>
            <w:color w:val="000000"/>
            <w:sz w:val="20"/>
            <w:szCs w:val="20"/>
          </w:rPr>
          <w:t>Applied Economic Perspectives and Policy</w:t>
        </w:r>
      </w:hyperlink>
      <w:hyperlink r:id="rId150">
        <w:r>
          <w:rPr>
            <w:color w:val="000000"/>
            <w:sz w:val="20"/>
            <w:szCs w:val="20"/>
          </w:rPr>
          <w:t xml:space="preserve"> 35, no. 2 (2013): 299.</w:t>
        </w:r>
      </w:hyperlink>
    </w:p>
  </w:footnote>
  <w:footnote w:id="71">
    <w:p w14:paraId="000002D1" w14:textId="77777777" w:rsidR="002A2321" w:rsidRDefault="002A2321">
      <w:pPr>
        <w:spacing w:line="240" w:lineRule="auto"/>
        <w:rPr>
          <w:sz w:val="20"/>
          <w:szCs w:val="20"/>
        </w:rPr>
      </w:pPr>
      <w:r>
        <w:rPr>
          <w:vertAlign w:val="superscript"/>
        </w:rPr>
        <w:footnoteRef/>
      </w:r>
      <w:r>
        <w:rPr>
          <w:sz w:val="20"/>
          <w:szCs w:val="20"/>
        </w:rPr>
        <w:t xml:space="preserve"> </w:t>
      </w:r>
      <w:hyperlink r:id="rId151">
        <w:r>
          <w:rPr>
            <w:color w:val="000000"/>
            <w:sz w:val="20"/>
            <w:szCs w:val="20"/>
          </w:rPr>
          <w:t xml:space="preserve">L. W. Harding et al., “Scientific Bases for Numerical Chlorophyll Criteria in Chesapeake Bay,” </w:t>
        </w:r>
      </w:hyperlink>
      <w:hyperlink r:id="rId152">
        <w:r>
          <w:rPr>
            <w:i/>
            <w:color w:val="000000"/>
            <w:sz w:val="20"/>
            <w:szCs w:val="20"/>
          </w:rPr>
          <w:t>Estuaries and Coasts</w:t>
        </w:r>
      </w:hyperlink>
      <w:hyperlink r:id="rId153">
        <w:r>
          <w:rPr>
            <w:color w:val="000000"/>
            <w:sz w:val="20"/>
            <w:szCs w:val="20"/>
          </w:rPr>
          <w:t xml:space="preserve"> 37, no. 1 (2014): 135; L. W. Harding Jr and E. S. Perry, “Long-Term Increase of Phytoplankton Biomass in Chesapeake Bay, 1950-1994,” </w:t>
        </w:r>
      </w:hyperlink>
      <w:hyperlink r:id="rId154">
        <w:r>
          <w:rPr>
            <w:i/>
            <w:color w:val="000000"/>
            <w:sz w:val="20"/>
            <w:szCs w:val="20"/>
          </w:rPr>
          <w:t>Marine Ecology Progress Series</w:t>
        </w:r>
      </w:hyperlink>
      <w:hyperlink r:id="rId155">
        <w:r>
          <w:rPr>
            <w:color w:val="000000"/>
            <w:sz w:val="20"/>
            <w:szCs w:val="20"/>
          </w:rPr>
          <w:t xml:space="preserve"> 157 (1997): 39–52.</w:t>
        </w:r>
      </w:hyperlink>
    </w:p>
  </w:footnote>
  <w:footnote w:id="72">
    <w:p w14:paraId="000002D2" w14:textId="77777777" w:rsidR="002A2321" w:rsidRDefault="002A2321">
      <w:pPr>
        <w:spacing w:line="240" w:lineRule="auto"/>
        <w:rPr>
          <w:sz w:val="20"/>
          <w:szCs w:val="20"/>
        </w:rPr>
      </w:pPr>
      <w:r>
        <w:rPr>
          <w:vertAlign w:val="superscript"/>
        </w:rPr>
        <w:footnoteRef/>
      </w:r>
      <w:r>
        <w:rPr>
          <w:sz w:val="20"/>
          <w:szCs w:val="20"/>
        </w:rPr>
        <w:t xml:space="preserve"> </w:t>
      </w:r>
      <w:hyperlink r:id="rId156">
        <w:r>
          <w:rPr>
            <w:color w:val="000000"/>
            <w:sz w:val="20"/>
            <w:szCs w:val="20"/>
          </w:rPr>
          <w:t xml:space="preserve">Lindsay </w:t>
        </w:r>
        <w:proofErr w:type="spellStart"/>
        <w:r>
          <w:rPr>
            <w:color w:val="000000"/>
            <w:sz w:val="20"/>
            <w:szCs w:val="20"/>
          </w:rPr>
          <w:t>Deel</w:t>
        </w:r>
        <w:proofErr w:type="spellEnd"/>
        <w:r>
          <w:rPr>
            <w:color w:val="000000"/>
            <w:sz w:val="20"/>
            <w:szCs w:val="20"/>
          </w:rPr>
          <w:t xml:space="preserve">, “Good News for Chesapeake Bay,” </w:t>
        </w:r>
      </w:hyperlink>
      <w:hyperlink r:id="rId157">
        <w:r>
          <w:rPr>
            <w:i/>
            <w:color w:val="000000"/>
            <w:sz w:val="20"/>
            <w:szCs w:val="20"/>
          </w:rPr>
          <w:t>Frontiers in Ecology and the Environment</w:t>
        </w:r>
      </w:hyperlink>
      <w:hyperlink r:id="rId158">
        <w:r>
          <w:rPr>
            <w:color w:val="000000"/>
            <w:sz w:val="20"/>
            <w:szCs w:val="20"/>
          </w:rPr>
          <w:t xml:space="preserve"> 11, no. 6 (2013): 284–284.</w:t>
        </w:r>
      </w:hyperlink>
    </w:p>
  </w:footnote>
  <w:footnote w:id="73">
    <w:p w14:paraId="000002D3" w14:textId="77777777" w:rsidR="002A2321" w:rsidRDefault="002A2321">
      <w:pPr>
        <w:spacing w:line="240" w:lineRule="auto"/>
        <w:rPr>
          <w:sz w:val="20"/>
          <w:szCs w:val="20"/>
        </w:rPr>
      </w:pPr>
      <w:r>
        <w:rPr>
          <w:vertAlign w:val="superscript"/>
        </w:rPr>
        <w:footnoteRef/>
      </w:r>
      <w:r>
        <w:rPr>
          <w:sz w:val="20"/>
          <w:szCs w:val="20"/>
        </w:rPr>
        <w:t xml:space="preserve"> </w:t>
      </w:r>
      <w:hyperlink r:id="rId159">
        <w:proofErr w:type="spellStart"/>
        <w:r>
          <w:rPr>
            <w:color w:val="000000"/>
            <w:sz w:val="20"/>
            <w:szCs w:val="20"/>
          </w:rPr>
          <w:t>Deel</w:t>
        </w:r>
        <w:proofErr w:type="spellEnd"/>
        <w:r>
          <w:rPr>
            <w:color w:val="000000"/>
            <w:sz w:val="20"/>
            <w:szCs w:val="20"/>
          </w:rPr>
          <w:t>.</w:t>
        </w:r>
      </w:hyperlink>
    </w:p>
  </w:footnote>
  <w:footnote w:id="74">
    <w:p w14:paraId="000002D4" w14:textId="77777777" w:rsidR="002A2321" w:rsidRDefault="002A2321">
      <w:pPr>
        <w:spacing w:line="240" w:lineRule="auto"/>
        <w:rPr>
          <w:sz w:val="20"/>
          <w:szCs w:val="20"/>
        </w:rPr>
      </w:pPr>
      <w:r>
        <w:rPr>
          <w:vertAlign w:val="superscript"/>
        </w:rPr>
        <w:footnoteRef/>
      </w:r>
      <w:r>
        <w:rPr>
          <w:sz w:val="20"/>
          <w:szCs w:val="20"/>
        </w:rPr>
        <w:t xml:space="preserve"> </w:t>
      </w:r>
      <w:hyperlink r:id="rId160">
        <w:r>
          <w:rPr>
            <w:color w:val="000000"/>
            <w:sz w:val="20"/>
            <w:szCs w:val="20"/>
          </w:rPr>
          <w:t xml:space="preserve">Tom Pelton, </w:t>
        </w:r>
      </w:hyperlink>
      <w:hyperlink r:id="rId161">
        <w:r>
          <w:rPr>
            <w:i/>
            <w:color w:val="000000"/>
            <w:sz w:val="20"/>
            <w:szCs w:val="20"/>
          </w:rPr>
          <w:t>The Chesapeake in Focus: Transforming the Natural World</w:t>
        </w:r>
      </w:hyperlink>
      <w:hyperlink r:id="rId162">
        <w:r>
          <w:rPr>
            <w:color w:val="000000"/>
            <w:sz w:val="20"/>
            <w:szCs w:val="20"/>
          </w:rPr>
          <w:t xml:space="preserve"> (Baltimore: Johns Hopkins University Press, 2018), 122.</w:t>
        </w:r>
      </w:hyperlink>
    </w:p>
  </w:footnote>
  <w:footnote w:id="75">
    <w:p w14:paraId="000002D5" w14:textId="77777777" w:rsidR="002A2321" w:rsidRDefault="002A2321">
      <w:pPr>
        <w:spacing w:line="240" w:lineRule="auto"/>
        <w:rPr>
          <w:sz w:val="20"/>
          <w:szCs w:val="20"/>
        </w:rPr>
      </w:pPr>
      <w:r>
        <w:rPr>
          <w:vertAlign w:val="superscript"/>
        </w:rPr>
        <w:footnoteRef/>
      </w:r>
      <w:r>
        <w:rPr>
          <w:sz w:val="20"/>
          <w:szCs w:val="20"/>
        </w:rPr>
        <w:t xml:space="preserve"> </w:t>
      </w:r>
      <w:hyperlink r:id="rId163">
        <w:r>
          <w:rPr>
            <w:color w:val="000000"/>
            <w:sz w:val="20"/>
            <w:szCs w:val="20"/>
          </w:rPr>
          <w:t xml:space="preserve">Howard R. Ernst, </w:t>
        </w:r>
      </w:hyperlink>
      <w:hyperlink r:id="rId164">
        <w:r>
          <w:rPr>
            <w:i/>
            <w:color w:val="000000"/>
            <w:sz w:val="20"/>
            <w:szCs w:val="20"/>
          </w:rPr>
          <w:t>Fight for the Bay: Why a Dark Green Environmental Awakening Is Needed to Save the Chesapeake Bay</w:t>
        </w:r>
      </w:hyperlink>
      <w:hyperlink r:id="rId165">
        <w:r>
          <w:rPr>
            <w:color w:val="000000"/>
            <w:sz w:val="20"/>
            <w:szCs w:val="20"/>
          </w:rPr>
          <w:t xml:space="preserve"> (Lanham: Rowman &amp; Littlefield, 2010), 75.</w:t>
        </w:r>
      </w:hyperlink>
    </w:p>
  </w:footnote>
  <w:footnote w:id="76">
    <w:p w14:paraId="000002D6" w14:textId="77777777" w:rsidR="002A2321" w:rsidRDefault="002A2321">
      <w:pPr>
        <w:spacing w:line="240" w:lineRule="auto"/>
        <w:rPr>
          <w:sz w:val="20"/>
          <w:szCs w:val="20"/>
        </w:rPr>
      </w:pPr>
      <w:r>
        <w:rPr>
          <w:vertAlign w:val="superscript"/>
        </w:rPr>
        <w:footnoteRef/>
      </w:r>
      <w:r>
        <w:rPr>
          <w:sz w:val="20"/>
          <w:szCs w:val="20"/>
        </w:rPr>
        <w:t xml:space="preserve"> </w:t>
      </w:r>
      <w:hyperlink r:id="rId166">
        <w:r>
          <w:rPr>
            <w:color w:val="000000"/>
            <w:sz w:val="20"/>
            <w:szCs w:val="20"/>
          </w:rPr>
          <w:t xml:space="preserve">S. Kersey Sturdivant et al., “Relationship between Hypoxia and </w:t>
        </w:r>
        <w:proofErr w:type="spellStart"/>
        <w:r>
          <w:rPr>
            <w:color w:val="000000"/>
            <w:sz w:val="20"/>
            <w:szCs w:val="20"/>
          </w:rPr>
          <w:t>Macrobenthic</w:t>
        </w:r>
        <w:proofErr w:type="spellEnd"/>
        <w:r>
          <w:rPr>
            <w:color w:val="000000"/>
            <w:sz w:val="20"/>
            <w:szCs w:val="20"/>
          </w:rPr>
          <w:t xml:space="preserve"> Production in Chesapeake Bay,” </w:t>
        </w:r>
      </w:hyperlink>
      <w:hyperlink r:id="rId167">
        <w:r>
          <w:rPr>
            <w:i/>
            <w:color w:val="000000"/>
            <w:sz w:val="20"/>
            <w:szCs w:val="20"/>
          </w:rPr>
          <w:t>Estuaries and Coasts</w:t>
        </w:r>
      </w:hyperlink>
      <w:hyperlink r:id="rId168">
        <w:r>
          <w:rPr>
            <w:color w:val="000000"/>
            <w:sz w:val="20"/>
            <w:szCs w:val="20"/>
          </w:rPr>
          <w:t xml:space="preserve"> 37, no. 5 (2014): 1220.</w:t>
        </w:r>
      </w:hyperlink>
    </w:p>
  </w:footnote>
  <w:footnote w:id="77">
    <w:p w14:paraId="000002D7" w14:textId="77777777" w:rsidR="002A2321" w:rsidRDefault="002A2321">
      <w:pPr>
        <w:spacing w:line="240" w:lineRule="auto"/>
        <w:rPr>
          <w:sz w:val="20"/>
          <w:szCs w:val="20"/>
        </w:rPr>
      </w:pPr>
      <w:r>
        <w:rPr>
          <w:vertAlign w:val="superscript"/>
        </w:rPr>
        <w:footnoteRef/>
      </w:r>
      <w:r>
        <w:rPr>
          <w:sz w:val="20"/>
          <w:szCs w:val="20"/>
        </w:rPr>
        <w:t xml:space="preserve"> </w:t>
      </w:r>
      <w:hyperlink r:id="rId169">
        <w:r>
          <w:rPr>
            <w:color w:val="000000"/>
            <w:sz w:val="20"/>
            <w:szCs w:val="20"/>
          </w:rPr>
          <w:t>Joan Smedinghoff, “Five Industries That Benefit from a Healthy Bay,” Chesapeake Bay Program, accessed January 12, 2019, https://www.chesapeakebay.net/news/blog/five_industries_that_benefit_from_a_healthy_bay.</w:t>
        </w:r>
      </w:hyperlink>
    </w:p>
  </w:footnote>
  <w:footnote w:id="78">
    <w:p w14:paraId="000002D9" w14:textId="128C5A44" w:rsidR="002A2321" w:rsidRPr="00056C9D" w:rsidRDefault="002A2321" w:rsidP="00C0543F">
      <w:pPr>
        <w:widowControl w:val="0"/>
        <w:spacing w:line="276" w:lineRule="auto"/>
      </w:pPr>
      <w:r>
        <w:rPr>
          <w:vertAlign w:val="superscript"/>
        </w:rPr>
        <w:footnoteRef/>
      </w:r>
      <w:r>
        <w:rPr>
          <w:sz w:val="20"/>
          <w:szCs w:val="20"/>
        </w:rPr>
        <w:t xml:space="preserve"> </w:t>
      </w:r>
      <w:hyperlink r:id="rId170">
        <w:r>
          <w:rPr>
            <w:color w:val="000000"/>
            <w:sz w:val="20"/>
            <w:szCs w:val="20"/>
          </w:rPr>
          <w:t>American Farmland Trust, “Controlling Nutrient Runoff on Farms”; Savage and Ribaudo, “Impact of Environmental Policies on the Adoption of Manure Management Practices in the Chesapeake Bay Watershed,” 143.</w:t>
        </w:r>
      </w:hyperlink>
    </w:p>
  </w:footnote>
  <w:footnote w:id="79">
    <w:p w14:paraId="000002DA" w14:textId="77777777" w:rsidR="002A2321" w:rsidRDefault="002A2321">
      <w:pPr>
        <w:spacing w:line="240" w:lineRule="auto"/>
        <w:rPr>
          <w:sz w:val="20"/>
          <w:szCs w:val="20"/>
        </w:rPr>
      </w:pPr>
      <w:r>
        <w:rPr>
          <w:vertAlign w:val="superscript"/>
        </w:rPr>
        <w:footnoteRef/>
      </w:r>
      <w:r>
        <w:rPr>
          <w:sz w:val="20"/>
          <w:szCs w:val="20"/>
        </w:rPr>
        <w:t xml:space="preserve"> </w:t>
      </w:r>
      <w:hyperlink r:id="rId171">
        <w:r>
          <w:rPr>
            <w:color w:val="000000"/>
            <w:sz w:val="20"/>
            <w:szCs w:val="20"/>
          </w:rPr>
          <w:t xml:space="preserve">Stephen </w:t>
        </w:r>
        <w:proofErr w:type="spellStart"/>
        <w:r>
          <w:rPr>
            <w:color w:val="000000"/>
            <w:sz w:val="20"/>
            <w:szCs w:val="20"/>
          </w:rPr>
          <w:t>Viederman</w:t>
        </w:r>
        <w:proofErr w:type="spellEnd"/>
        <w:r>
          <w:rPr>
            <w:color w:val="000000"/>
            <w:sz w:val="20"/>
            <w:szCs w:val="20"/>
          </w:rPr>
          <w:t xml:space="preserve">, “Five Capitals and Three Pillars of Sustainability,” </w:t>
        </w:r>
      </w:hyperlink>
      <w:hyperlink r:id="rId172">
        <w:r>
          <w:rPr>
            <w:i/>
            <w:color w:val="000000"/>
            <w:sz w:val="20"/>
            <w:szCs w:val="20"/>
          </w:rPr>
          <w:t>The Newsletter of PEGS</w:t>
        </w:r>
      </w:hyperlink>
      <w:hyperlink r:id="rId173">
        <w:r>
          <w:rPr>
            <w:color w:val="000000"/>
            <w:sz w:val="20"/>
            <w:szCs w:val="20"/>
          </w:rPr>
          <w:t xml:space="preserve"> 4, no. 1 (1994): 5.</w:t>
        </w:r>
      </w:hyperlink>
    </w:p>
  </w:footnote>
  <w:footnote w:id="80">
    <w:p w14:paraId="000002DB" w14:textId="77777777" w:rsidR="002A2321" w:rsidRDefault="002A2321">
      <w:pPr>
        <w:spacing w:line="240" w:lineRule="auto"/>
        <w:rPr>
          <w:sz w:val="20"/>
          <w:szCs w:val="20"/>
        </w:rPr>
      </w:pPr>
      <w:r>
        <w:rPr>
          <w:vertAlign w:val="superscript"/>
        </w:rPr>
        <w:footnoteRef/>
      </w:r>
      <w:r>
        <w:rPr>
          <w:sz w:val="20"/>
          <w:szCs w:val="20"/>
        </w:rPr>
        <w:t xml:space="preserve"> </w:t>
      </w:r>
      <w:hyperlink r:id="rId174">
        <w:proofErr w:type="spellStart"/>
        <w:r>
          <w:rPr>
            <w:color w:val="000000"/>
            <w:sz w:val="20"/>
            <w:szCs w:val="20"/>
          </w:rPr>
          <w:t>Viederman</w:t>
        </w:r>
        <w:proofErr w:type="spellEnd"/>
        <w:r>
          <w:rPr>
            <w:color w:val="000000"/>
            <w:sz w:val="20"/>
            <w:szCs w:val="20"/>
          </w:rPr>
          <w:t>, 5.</w:t>
        </w:r>
      </w:hyperlink>
    </w:p>
  </w:footnote>
  <w:footnote w:id="81">
    <w:p w14:paraId="000002DC" w14:textId="77777777" w:rsidR="002A2321" w:rsidRDefault="002A2321">
      <w:pPr>
        <w:spacing w:line="240" w:lineRule="auto"/>
        <w:rPr>
          <w:sz w:val="20"/>
          <w:szCs w:val="20"/>
        </w:rPr>
      </w:pPr>
      <w:r>
        <w:rPr>
          <w:vertAlign w:val="superscript"/>
        </w:rPr>
        <w:footnoteRef/>
      </w:r>
      <w:r>
        <w:rPr>
          <w:sz w:val="20"/>
          <w:szCs w:val="20"/>
        </w:rPr>
        <w:t xml:space="preserve"> </w:t>
      </w:r>
      <w:hyperlink r:id="rId175">
        <w:r>
          <w:rPr>
            <w:color w:val="000000"/>
            <w:sz w:val="20"/>
            <w:szCs w:val="20"/>
          </w:rPr>
          <w:t xml:space="preserve">Michael P. Weinstein, “The Road Ahead: The Sustainability Transition and Coastal Research,” </w:t>
        </w:r>
      </w:hyperlink>
      <w:hyperlink r:id="rId176">
        <w:r>
          <w:rPr>
            <w:i/>
            <w:color w:val="000000"/>
            <w:sz w:val="20"/>
            <w:szCs w:val="20"/>
          </w:rPr>
          <w:t>Estuaries and Coasts</w:t>
        </w:r>
      </w:hyperlink>
      <w:hyperlink r:id="rId177">
        <w:r>
          <w:rPr>
            <w:color w:val="000000"/>
            <w:sz w:val="20"/>
            <w:szCs w:val="20"/>
          </w:rPr>
          <w:t xml:space="preserve"> 32, no. 6 (2009): 1044; Robert W. Kates et al., “Sustainability Science,” </w:t>
        </w:r>
      </w:hyperlink>
      <w:hyperlink r:id="rId178">
        <w:r>
          <w:rPr>
            <w:i/>
            <w:color w:val="000000"/>
            <w:sz w:val="20"/>
            <w:szCs w:val="20"/>
          </w:rPr>
          <w:t>Science</w:t>
        </w:r>
      </w:hyperlink>
      <w:hyperlink r:id="rId179">
        <w:r>
          <w:rPr>
            <w:color w:val="000000"/>
            <w:sz w:val="20"/>
            <w:szCs w:val="20"/>
          </w:rPr>
          <w:t xml:space="preserve"> 292, no. 5517 (2001): 641–42.</w:t>
        </w:r>
      </w:hyperlink>
    </w:p>
  </w:footnote>
  <w:footnote w:id="82">
    <w:p w14:paraId="000002DD" w14:textId="77777777" w:rsidR="002A2321" w:rsidRDefault="002A2321">
      <w:pPr>
        <w:spacing w:line="240" w:lineRule="auto"/>
        <w:rPr>
          <w:sz w:val="20"/>
          <w:szCs w:val="20"/>
        </w:rPr>
      </w:pPr>
      <w:r>
        <w:rPr>
          <w:vertAlign w:val="superscript"/>
        </w:rPr>
        <w:footnoteRef/>
      </w:r>
      <w:r>
        <w:rPr>
          <w:sz w:val="20"/>
          <w:szCs w:val="20"/>
        </w:rPr>
        <w:t xml:space="preserve"> </w:t>
      </w:r>
      <w:hyperlink r:id="rId180">
        <w:r>
          <w:rPr>
            <w:color w:val="000000"/>
            <w:sz w:val="20"/>
            <w:szCs w:val="20"/>
          </w:rPr>
          <w:t xml:space="preserve">Freeman, </w:t>
        </w:r>
        <w:proofErr w:type="spellStart"/>
        <w:r>
          <w:rPr>
            <w:color w:val="000000"/>
            <w:sz w:val="20"/>
            <w:szCs w:val="20"/>
          </w:rPr>
          <w:t>Duguma</w:t>
        </w:r>
        <w:proofErr w:type="spellEnd"/>
        <w:r>
          <w:rPr>
            <w:color w:val="000000"/>
            <w:sz w:val="20"/>
            <w:szCs w:val="20"/>
          </w:rPr>
          <w:t xml:space="preserve">, and </w:t>
        </w:r>
        <w:proofErr w:type="spellStart"/>
        <w:r>
          <w:rPr>
            <w:color w:val="000000"/>
            <w:sz w:val="20"/>
            <w:szCs w:val="20"/>
          </w:rPr>
          <w:t>Minang</w:t>
        </w:r>
        <w:proofErr w:type="spellEnd"/>
        <w:r>
          <w:rPr>
            <w:color w:val="000000"/>
            <w:sz w:val="20"/>
            <w:szCs w:val="20"/>
          </w:rPr>
          <w:t>, “Operationalizing the Integrated Landscape Approach in Practice,” 3.</w:t>
        </w:r>
      </w:hyperlink>
    </w:p>
  </w:footnote>
  <w:footnote w:id="83">
    <w:p w14:paraId="000002DE" w14:textId="77777777" w:rsidR="002A2321" w:rsidRDefault="002A2321">
      <w:pPr>
        <w:spacing w:line="240" w:lineRule="auto"/>
        <w:rPr>
          <w:sz w:val="20"/>
          <w:szCs w:val="20"/>
        </w:rPr>
      </w:pPr>
      <w:r>
        <w:rPr>
          <w:vertAlign w:val="superscript"/>
        </w:rPr>
        <w:footnoteRef/>
      </w:r>
      <w:r>
        <w:rPr>
          <w:sz w:val="20"/>
          <w:szCs w:val="20"/>
        </w:rPr>
        <w:t xml:space="preserve"> </w:t>
      </w:r>
      <w:hyperlink r:id="rId181">
        <w:r>
          <w:rPr>
            <w:color w:val="000000"/>
            <w:sz w:val="20"/>
            <w:szCs w:val="20"/>
          </w:rPr>
          <w:t>Rachel Alexander, “Historic Preservation Quote,” Bricks + Mortar, accessed November 24, 2018, https://bricksandmortarpreservation.wordpress.com/tag/historic-preservation-quote/.</w:t>
        </w:r>
      </w:hyperlink>
    </w:p>
  </w:footnote>
  <w:footnote w:id="84">
    <w:p w14:paraId="000002DF" w14:textId="77777777" w:rsidR="002A2321" w:rsidRDefault="002A2321">
      <w:pPr>
        <w:spacing w:line="240" w:lineRule="auto"/>
        <w:rPr>
          <w:sz w:val="20"/>
          <w:szCs w:val="20"/>
        </w:rPr>
      </w:pPr>
      <w:r>
        <w:rPr>
          <w:vertAlign w:val="superscript"/>
        </w:rPr>
        <w:footnoteRef/>
      </w:r>
      <w:r>
        <w:rPr>
          <w:sz w:val="20"/>
          <w:szCs w:val="20"/>
        </w:rPr>
        <w:t xml:space="preserve"> </w:t>
      </w:r>
      <w:hyperlink r:id="rId182">
        <w:r>
          <w:rPr>
            <w:color w:val="000000"/>
            <w:sz w:val="20"/>
            <w:szCs w:val="20"/>
          </w:rPr>
          <w:t xml:space="preserve">Christian Schader et al., “Scope and Precision of Sustainability Assessment Approaches to Food Systems,” </w:t>
        </w:r>
      </w:hyperlink>
      <w:hyperlink r:id="rId183">
        <w:r>
          <w:rPr>
            <w:i/>
            <w:color w:val="000000"/>
            <w:sz w:val="20"/>
            <w:szCs w:val="20"/>
          </w:rPr>
          <w:t>Ecology and Society</w:t>
        </w:r>
      </w:hyperlink>
      <w:hyperlink r:id="rId184">
        <w:r>
          <w:rPr>
            <w:color w:val="000000"/>
            <w:sz w:val="20"/>
            <w:szCs w:val="20"/>
          </w:rPr>
          <w:t xml:space="preserve"> 19, no. 3 (2014): 3, http://www.jstor.org/stable/26269618.</w:t>
        </w:r>
      </w:hyperlink>
    </w:p>
  </w:footnote>
  <w:footnote w:id="85">
    <w:p w14:paraId="000002E0" w14:textId="77777777" w:rsidR="002A2321" w:rsidRDefault="002A2321">
      <w:pPr>
        <w:spacing w:line="240" w:lineRule="auto"/>
        <w:rPr>
          <w:sz w:val="20"/>
          <w:szCs w:val="20"/>
        </w:rPr>
      </w:pPr>
      <w:r>
        <w:rPr>
          <w:vertAlign w:val="superscript"/>
        </w:rPr>
        <w:footnoteRef/>
      </w:r>
      <w:r>
        <w:rPr>
          <w:sz w:val="20"/>
          <w:szCs w:val="20"/>
        </w:rPr>
        <w:t xml:space="preserve"> </w:t>
      </w:r>
      <w:hyperlink r:id="rId185">
        <w:r>
          <w:rPr>
            <w:color w:val="000000"/>
            <w:sz w:val="20"/>
            <w:szCs w:val="20"/>
          </w:rPr>
          <w:t>World Commission on Environment and Development, “Our Common Future: Report of the World Commission on Environment and Development,” 1987, http://www.un-documents.net/our-common-future.pdf; Schader et al., “Scope and Precision of Sustainability Assessment Approaches to Food Systems.”</w:t>
        </w:r>
      </w:hyperlink>
    </w:p>
  </w:footnote>
  <w:footnote w:id="86">
    <w:p w14:paraId="000002E1" w14:textId="77777777" w:rsidR="002A2321" w:rsidRDefault="002A2321">
      <w:pPr>
        <w:spacing w:line="240" w:lineRule="auto"/>
        <w:rPr>
          <w:sz w:val="20"/>
          <w:szCs w:val="20"/>
        </w:rPr>
      </w:pPr>
      <w:r>
        <w:rPr>
          <w:vertAlign w:val="superscript"/>
        </w:rPr>
        <w:footnoteRef/>
      </w:r>
      <w:r>
        <w:rPr>
          <w:sz w:val="20"/>
          <w:szCs w:val="20"/>
        </w:rPr>
        <w:t xml:space="preserve"> </w:t>
      </w:r>
      <w:hyperlink r:id="rId186">
        <w:r>
          <w:rPr>
            <w:color w:val="000000"/>
            <w:sz w:val="20"/>
            <w:szCs w:val="20"/>
          </w:rPr>
          <w:t>Organization for Economic Co-operation and Development (OECD), “Multifunctionality - Towards an Analytical Framework,” 2001, https://www.oecd.org/tad/agricultural-policies/40782727.pdf.</w:t>
        </w:r>
      </w:hyperlink>
    </w:p>
  </w:footnote>
  <w:footnote w:id="87">
    <w:p w14:paraId="000002E2" w14:textId="77777777" w:rsidR="002A2321" w:rsidRDefault="002A2321">
      <w:pPr>
        <w:spacing w:line="240" w:lineRule="auto"/>
        <w:rPr>
          <w:sz w:val="20"/>
          <w:szCs w:val="20"/>
        </w:rPr>
      </w:pPr>
      <w:r>
        <w:rPr>
          <w:vertAlign w:val="superscript"/>
        </w:rPr>
        <w:footnoteRef/>
      </w:r>
      <w:r>
        <w:rPr>
          <w:sz w:val="20"/>
          <w:szCs w:val="20"/>
        </w:rPr>
        <w:t xml:space="preserve"> </w:t>
      </w:r>
      <w:hyperlink r:id="rId187">
        <w:r>
          <w:rPr>
            <w:color w:val="000000"/>
            <w:sz w:val="20"/>
            <w:szCs w:val="20"/>
          </w:rPr>
          <w:t>Schader et al., “Scope and Precision of Sustainability Assessment Approaches to Food Systems,” 3.</w:t>
        </w:r>
      </w:hyperlink>
    </w:p>
  </w:footnote>
  <w:footnote w:id="88">
    <w:p w14:paraId="000002E3" w14:textId="77777777" w:rsidR="002A2321" w:rsidRDefault="002A2321">
      <w:pPr>
        <w:spacing w:line="240" w:lineRule="auto"/>
        <w:rPr>
          <w:sz w:val="20"/>
          <w:szCs w:val="20"/>
        </w:rPr>
      </w:pPr>
      <w:r>
        <w:rPr>
          <w:vertAlign w:val="superscript"/>
        </w:rPr>
        <w:footnoteRef/>
      </w:r>
      <w:r>
        <w:rPr>
          <w:sz w:val="20"/>
          <w:szCs w:val="20"/>
        </w:rPr>
        <w:t xml:space="preserve"> </w:t>
      </w:r>
      <w:hyperlink r:id="rId188">
        <w:r>
          <w:rPr>
            <w:color w:val="000000"/>
            <w:sz w:val="20"/>
            <w:szCs w:val="20"/>
          </w:rPr>
          <w:t xml:space="preserve">Beth E. Lachman et al., “Land Development and Environmental Trends,” in </w:t>
        </w:r>
      </w:hyperlink>
      <w:hyperlink r:id="rId189">
        <w:r>
          <w:rPr>
            <w:i/>
            <w:color w:val="000000"/>
            <w:sz w:val="20"/>
            <w:szCs w:val="20"/>
          </w:rPr>
          <w:t>Key Trends That Will Shape Army Installations of Tomorrow</w:t>
        </w:r>
      </w:hyperlink>
      <w:hyperlink r:id="rId190">
        <w:r>
          <w:rPr>
            <w:color w:val="000000"/>
            <w:sz w:val="20"/>
            <w:szCs w:val="20"/>
          </w:rPr>
          <w:t xml:space="preserve"> (RAND Corporation, 2013), 23–24.</w:t>
        </w:r>
      </w:hyperlink>
    </w:p>
  </w:footnote>
  <w:footnote w:id="89">
    <w:p w14:paraId="000002E4" w14:textId="77777777" w:rsidR="002A2321" w:rsidRDefault="002A2321">
      <w:pPr>
        <w:spacing w:line="240" w:lineRule="auto"/>
        <w:rPr>
          <w:sz w:val="20"/>
          <w:szCs w:val="20"/>
        </w:rPr>
      </w:pPr>
      <w:r>
        <w:rPr>
          <w:vertAlign w:val="superscript"/>
        </w:rPr>
        <w:footnoteRef/>
      </w:r>
      <w:r>
        <w:rPr>
          <w:sz w:val="20"/>
          <w:szCs w:val="20"/>
        </w:rPr>
        <w:t xml:space="preserve"> </w:t>
      </w:r>
      <w:hyperlink r:id="rId191">
        <w:r>
          <w:rPr>
            <w:color w:val="000000"/>
            <w:sz w:val="20"/>
            <w:szCs w:val="20"/>
          </w:rPr>
          <w:t>Lachman et al., 34.</w:t>
        </w:r>
      </w:hyperlink>
    </w:p>
  </w:footnote>
  <w:footnote w:id="90">
    <w:p w14:paraId="000002E5" w14:textId="77777777" w:rsidR="002A2321" w:rsidRDefault="002A2321">
      <w:pPr>
        <w:spacing w:line="240" w:lineRule="auto"/>
        <w:rPr>
          <w:sz w:val="20"/>
          <w:szCs w:val="20"/>
        </w:rPr>
      </w:pPr>
      <w:r>
        <w:rPr>
          <w:vertAlign w:val="superscript"/>
        </w:rPr>
        <w:footnoteRef/>
      </w:r>
      <w:r>
        <w:rPr>
          <w:sz w:val="20"/>
          <w:szCs w:val="20"/>
        </w:rPr>
        <w:t xml:space="preserve"> </w:t>
      </w:r>
      <w:hyperlink r:id="rId192">
        <w:r>
          <w:rPr>
            <w:color w:val="000000"/>
            <w:sz w:val="20"/>
            <w:szCs w:val="20"/>
          </w:rPr>
          <w:t>Chesapeake Bay Foundation, “A Guide to Preserving Agricultural Lands in the Chesapeake Region: Keeping Stewards on the Land,” 2007, http://www.cbf.org/document-library/cbf-guides-fact-sheets/a-guide-to-preserving.pdf.</w:t>
        </w:r>
      </w:hyperlink>
    </w:p>
  </w:footnote>
  <w:footnote w:id="91">
    <w:p w14:paraId="000002E6" w14:textId="77777777" w:rsidR="002A2321" w:rsidRDefault="002A2321">
      <w:pPr>
        <w:spacing w:line="240" w:lineRule="auto"/>
        <w:rPr>
          <w:sz w:val="22"/>
          <w:szCs w:val="22"/>
        </w:rPr>
      </w:pPr>
      <w:r>
        <w:rPr>
          <w:vertAlign w:val="superscript"/>
        </w:rPr>
        <w:footnoteRef/>
      </w:r>
      <w:r>
        <w:rPr>
          <w:sz w:val="20"/>
          <w:szCs w:val="20"/>
        </w:rPr>
        <w:t xml:space="preserve"> </w:t>
      </w:r>
      <w:hyperlink r:id="rId193">
        <w:r>
          <w:rPr>
            <w:color w:val="000000"/>
            <w:sz w:val="20"/>
            <w:szCs w:val="20"/>
          </w:rPr>
          <w:t xml:space="preserve">Sandra L. Colby and Jennifer M </w:t>
        </w:r>
        <w:proofErr w:type="spellStart"/>
        <w:r>
          <w:rPr>
            <w:color w:val="000000"/>
            <w:sz w:val="20"/>
            <w:szCs w:val="20"/>
          </w:rPr>
          <w:t>Ortman</w:t>
        </w:r>
        <w:proofErr w:type="spellEnd"/>
        <w:r>
          <w:rPr>
            <w:color w:val="000000"/>
            <w:sz w:val="20"/>
            <w:szCs w:val="20"/>
          </w:rPr>
          <w:t>, “Projections of the Size and Composition of the U.S. Population: 2014 to 2060; Population Estimates and Predictions” (United States Census Bureau, March 2015).</w:t>
        </w:r>
      </w:hyperlink>
    </w:p>
  </w:footnote>
  <w:footnote w:id="92">
    <w:p w14:paraId="000002E7" w14:textId="77777777" w:rsidR="002A2321" w:rsidRDefault="002A2321">
      <w:pPr>
        <w:spacing w:line="240" w:lineRule="auto"/>
        <w:rPr>
          <w:sz w:val="20"/>
          <w:szCs w:val="20"/>
        </w:rPr>
      </w:pPr>
      <w:r>
        <w:rPr>
          <w:vertAlign w:val="superscript"/>
        </w:rPr>
        <w:footnoteRef/>
      </w:r>
      <w:r>
        <w:rPr>
          <w:sz w:val="20"/>
          <w:szCs w:val="20"/>
        </w:rPr>
        <w:t xml:space="preserve"> </w:t>
      </w:r>
      <w:hyperlink r:id="rId194">
        <w:r>
          <w:rPr>
            <w:color w:val="000000"/>
            <w:sz w:val="20"/>
            <w:szCs w:val="20"/>
          </w:rPr>
          <w:t>Ashok K. Mishra, Hisham S. El-</w:t>
        </w:r>
        <w:proofErr w:type="spellStart"/>
        <w:r>
          <w:rPr>
            <w:color w:val="000000"/>
            <w:sz w:val="20"/>
            <w:szCs w:val="20"/>
          </w:rPr>
          <w:t>Osta</w:t>
        </w:r>
        <w:proofErr w:type="spellEnd"/>
        <w:r>
          <w:rPr>
            <w:color w:val="000000"/>
            <w:sz w:val="20"/>
            <w:szCs w:val="20"/>
          </w:rPr>
          <w:t xml:space="preserve">, and Saleem Shaik, “Succession Decisions in U.S. Family Farm Businesses,” </w:t>
        </w:r>
      </w:hyperlink>
      <w:hyperlink r:id="rId195">
        <w:r>
          <w:rPr>
            <w:i/>
            <w:color w:val="000000"/>
            <w:sz w:val="20"/>
            <w:szCs w:val="20"/>
          </w:rPr>
          <w:t>Journal of Agricultural and Resource Economics</w:t>
        </w:r>
      </w:hyperlink>
      <w:hyperlink r:id="rId196">
        <w:r>
          <w:rPr>
            <w:color w:val="000000"/>
            <w:sz w:val="20"/>
            <w:szCs w:val="20"/>
          </w:rPr>
          <w:t xml:space="preserve"> 35, no. 1 (2010): 136.</w:t>
        </w:r>
      </w:hyperlink>
    </w:p>
  </w:footnote>
  <w:footnote w:id="93">
    <w:p w14:paraId="000002E8" w14:textId="77777777" w:rsidR="002A2321" w:rsidRDefault="002A2321">
      <w:pPr>
        <w:spacing w:line="240" w:lineRule="auto"/>
        <w:rPr>
          <w:sz w:val="20"/>
          <w:szCs w:val="20"/>
        </w:rPr>
      </w:pPr>
      <w:r>
        <w:rPr>
          <w:vertAlign w:val="superscript"/>
        </w:rPr>
        <w:footnoteRef/>
      </w:r>
      <w:r>
        <w:rPr>
          <w:sz w:val="20"/>
          <w:szCs w:val="20"/>
        </w:rPr>
        <w:t xml:space="preserve"> </w:t>
      </w:r>
      <w:hyperlink r:id="rId197">
        <w:r>
          <w:rPr>
            <w:color w:val="000000"/>
            <w:sz w:val="20"/>
            <w:szCs w:val="20"/>
          </w:rPr>
          <w:t>U.S. Department of Agriculture, “USDA ERS - Beginning Farmers and Age Distribution of Farmers,” accessed January 12, 2019, https://www.ers.usda.gov/topics/farm-economy/beginning-disadvantaged-farmers/beginning-farmers-and-age-distribution-of-farmers/.</w:t>
        </w:r>
      </w:hyperlink>
    </w:p>
  </w:footnote>
  <w:footnote w:id="94">
    <w:p w14:paraId="000002E9" w14:textId="77777777" w:rsidR="002A2321" w:rsidRDefault="002A2321">
      <w:pPr>
        <w:spacing w:line="240" w:lineRule="auto"/>
        <w:rPr>
          <w:sz w:val="20"/>
          <w:szCs w:val="20"/>
        </w:rPr>
      </w:pPr>
      <w:r>
        <w:rPr>
          <w:vertAlign w:val="superscript"/>
        </w:rPr>
        <w:footnoteRef/>
      </w:r>
      <w:r>
        <w:rPr>
          <w:sz w:val="20"/>
          <w:szCs w:val="20"/>
        </w:rPr>
        <w:t xml:space="preserve"> </w:t>
      </w:r>
      <w:hyperlink r:id="rId198">
        <w:r>
          <w:rPr>
            <w:color w:val="000000"/>
            <w:sz w:val="20"/>
            <w:szCs w:val="20"/>
          </w:rPr>
          <w:t>April Orwig to Author, May 1, 2017.</w:t>
        </w:r>
      </w:hyperlink>
    </w:p>
  </w:footnote>
  <w:footnote w:id="95">
    <w:p w14:paraId="000002EA" w14:textId="77777777" w:rsidR="002A2321" w:rsidRDefault="002A2321">
      <w:pPr>
        <w:spacing w:line="240" w:lineRule="auto"/>
        <w:rPr>
          <w:sz w:val="20"/>
          <w:szCs w:val="20"/>
        </w:rPr>
      </w:pPr>
      <w:r>
        <w:rPr>
          <w:vertAlign w:val="superscript"/>
        </w:rPr>
        <w:footnoteRef/>
      </w:r>
      <w:r>
        <w:rPr>
          <w:sz w:val="20"/>
          <w:szCs w:val="20"/>
        </w:rPr>
        <w:t xml:space="preserve"> </w:t>
      </w:r>
      <w:hyperlink r:id="rId199">
        <w:r>
          <w:rPr>
            <w:color w:val="000000"/>
            <w:sz w:val="20"/>
            <w:szCs w:val="20"/>
          </w:rPr>
          <w:t>Ann Noble Shephard to Author, May 1, 2017.</w:t>
        </w:r>
      </w:hyperlink>
    </w:p>
  </w:footnote>
  <w:footnote w:id="96">
    <w:p w14:paraId="000002EB" w14:textId="77777777" w:rsidR="002A2321" w:rsidRDefault="002A2321">
      <w:pPr>
        <w:spacing w:line="240" w:lineRule="auto"/>
        <w:rPr>
          <w:sz w:val="22"/>
          <w:szCs w:val="22"/>
        </w:rPr>
      </w:pPr>
      <w:r>
        <w:rPr>
          <w:vertAlign w:val="superscript"/>
        </w:rPr>
        <w:footnoteRef/>
      </w:r>
      <w:r>
        <w:rPr>
          <w:sz w:val="20"/>
          <w:szCs w:val="20"/>
        </w:rPr>
        <w:t xml:space="preserve"> </w:t>
      </w:r>
      <w:hyperlink r:id="rId200">
        <w:r>
          <w:rPr>
            <w:color w:val="000000"/>
            <w:sz w:val="20"/>
            <w:szCs w:val="20"/>
          </w:rPr>
          <w:t>Orwig to Author, May 1, 2017.</w:t>
        </w:r>
      </w:hyperlink>
    </w:p>
  </w:footnote>
  <w:footnote w:id="97">
    <w:p w14:paraId="000002EC" w14:textId="77777777" w:rsidR="002A2321" w:rsidRDefault="002A2321">
      <w:pPr>
        <w:spacing w:line="240" w:lineRule="auto"/>
        <w:rPr>
          <w:sz w:val="22"/>
          <w:szCs w:val="22"/>
        </w:rPr>
      </w:pPr>
      <w:r>
        <w:rPr>
          <w:vertAlign w:val="superscript"/>
        </w:rPr>
        <w:footnoteRef/>
      </w:r>
      <w:r>
        <w:rPr>
          <w:sz w:val="20"/>
          <w:szCs w:val="20"/>
        </w:rPr>
        <w:t xml:space="preserve"> </w:t>
      </w:r>
      <w:hyperlink r:id="rId201">
        <w:r>
          <w:rPr>
            <w:color w:val="000000"/>
            <w:sz w:val="20"/>
            <w:szCs w:val="20"/>
          </w:rPr>
          <w:t xml:space="preserve">Linda </w:t>
        </w:r>
        <w:proofErr w:type="spellStart"/>
        <w:r>
          <w:rPr>
            <w:color w:val="000000"/>
            <w:sz w:val="20"/>
            <w:szCs w:val="20"/>
          </w:rPr>
          <w:t>Piotrowicz</w:t>
        </w:r>
        <w:proofErr w:type="spellEnd"/>
        <w:r>
          <w:rPr>
            <w:color w:val="000000"/>
            <w:sz w:val="20"/>
            <w:szCs w:val="20"/>
          </w:rPr>
          <w:t>, interview by Author, May 2, 2017.</w:t>
        </w:r>
      </w:hyperlink>
    </w:p>
  </w:footnote>
  <w:footnote w:id="98">
    <w:p w14:paraId="000002ED" w14:textId="77777777" w:rsidR="002A2321" w:rsidRDefault="002A2321">
      <w:pPr>
        <w:spacing w:line="240" w:lineRule="auto"/>
        <w:rPr>
          <w:sz w:val="20"/>
          <w:szCs w:val="20"/>
        </w:rPr>
      </w:pPr>
      <w:r>
        <w:rPr>
          <w:vertAlign w:val="superscript"/>
        </w:rPr>
        <w:footnoteRef/>
      </w:r>
      <w:r>
        <w:rPr>
          <w:sz w:val="20"/>
          <w:szCs w:val="20"/>
        </w:rPr>
        <w:t xml:space="preserve"> </w:t>
      </w:r>
      <w:hyperlink r:id="rId202">
        <w:r>
          <w:rPr>
            <w:color w:val="000000"/>
            <w:sz w:val="20"/>
            <w:szCs w:val="20"/>
          </w:rPr>
          <w:t>Mishra, El-</w:t>
        </w:r>
        <w:proofErr w:type="spellStart"/>
        <w:r>
          <w:rPr>
            <w:color w:val="000000"/>
            <w:sz w:val="20"/>
            <w:szCs w:val="20"/>
          </w:rPr>
          <w:t>Osta</w:t>
        </w:r>
        <w:proofErr w:type="spellEnd"/>
        <w:r>
          <w:rPr>
            <w:color w:val="000000"/>
            <w:sz w:val="20"/>
            <w:szCs w:val="20"/>
          </w:rPr>
          <w:t>, and Shaik, “Succession Decisions in U.S. Family Farm Businesses,” 139.</w:t>
        </w:r>
      </w:hyperlink>
    </w:p>
  </w:footnote>
  <w:footnote w:id="99">
    <w:p w14:paraId="000002EE" w14:textId="77777777" w:rsidR="002A2321" w:rsidRDefault="002A2321">
      <w:pPr>
        <w:spacing w:line="240" w:lineRule="auto"/>
        <w:rPr>
          <w:sz w:val="20"/>
          <w:szCs w:val="20"/>
        </w:rPr>
      </w:pPr>
      <w:r>
        <w:rPr>
          <w:vertAlign w:val="superscript"/>
        </w:rPr>
        <w:footnoteRef/>
      </w:r>
      <w:r>
        <w:rPr>
          <w:sz w:val="20"/>
          <w:szCs w:val="20"/>
        </w:rPr>
        <w:t xml:space="preserve"> </w:t>
      </w:r>
      <w:hyperlink r:id="rId203">
        <w:r>
          <w:rPr>
            <w:color w:val="000000"/>
            <w:sz w:val="20"/>
            <w:szCs w:val="20"/>
          </w:rPr>
          <w:t>“The Agricultural Use Assessment,” accessed May 14, 2017, http://dat.maryland.gov/realproperty/Pages/The-Agricultural-Use-Assessment.aspx.</w:t>
        </w:r>
      </w:hyperlink>
    </w:p>
  </w:footnote>
  <w:footnote w:id="100">
    <w:p w14:paraId="000002EF" w14:textId="77777777" w:rsidR="002A2321" w:rsidRDefault="002A2321">
      <w:pPr>
        <w:spacing w:line="240" w:lineRule="auto"/>
        <w:rPr>
          <w:sz w:val="20"/>
          <w:szCs w:val="20"/>
        </w:rPr>
      </w:pPr>
      <w:r>
        <w:rPr>
          <w:vertAlign w:val="superscript"/>
        </w:rPr>
        <w:footnoteRef/>
      </w:r>
      <w:r>
        <w:rPr>
          <w:sz w:val="20"/>
          <w:szCs w:val="20"/>
        </w:rPr>
        <w:t xml:space="preserve"> </w:t>
      </w:r>
      <w:hyperlink r:id="rId204">
        <w:r>
          <w:rPr>
            <w:color w:val="000000"/>
            <w:sz w:val="20"/>
            <w:szCs w:val="20"/>
          </w:rPr>
          <w:t>“USDA ERS - Federal Estate Taxes,” accessed May 14, 2017, https://www.ers.usda.gov/topics/farm-economy/federal-tax-issues/federal-estate-taxes/.</w:t>
        </w:r>
      </w:hyperlink>
    </w:p>
  </w:footnote>
  <w:footnote w:id="101">
    <w:p w14:paraId="000002F0" w14:textId="77777777" w:rsidR="002A2321" w:rsidRDefault="002A2321">
      <w:pPr>
        <w:spacing w:line="240" w:lineRule="auto"/>
        <w:rPr>
          <w:sz w:val="20"/>
          <w:szCs w:val="20"/>
        </w:rPr>
      </w:pPr>
      <w:r>
        <w:rPr>
          <w:vertAlign w:val="superscript"/>
        </w:rPr>
        <w:footnoteRef/>
      </w:r>
      <w:r>
        <w:rPr>
          <w:sz w:val="20"/>
          <w:szCs w:val="20"/>
        </w:rPr>
        <w:t xml:space="preserve"> </w:t>
      </w:r>
      <w:hyperlink r:id="rId205">
        <w:r>
          <w:rPr>
            <w:color w:val="000000"/>
            <w:sz w:val="20"/>
            <w:szCs w:val="20"/>
          </w:rPr>
          <w:t>“USDA ERS - Federal Estate Taxes.”</w:t>
        </w:r>
      </w:hyperlink>
    </w:p>
  </w:footnote>
  <w:footnote w:id="102">
    <w:p w14:paraId="000002F1" w14:textId="77777777" w:rsidR="002A2321" w:rsidRDefault="002A2321">
      <w:pPr>
        <w:spacing w:line="240" w:lineRule="auto"/>
        <w:rPr>
          <w:sz w:val="20"/>
          <w:szCs w:val="20"/>
        </w:rPr>
      </w:pPr>
      <w:r>
        <w:rPr>
          <w:vertAlign w:val="superscript"/>
        </w:rPr>
        <w:footnoteRef/>
      </w:r>
      <w:r>
        <w:rPr>
          <w:sz w:val="20"/>
          <w:szCs w:val="20"/>
        </w:rPr>
        <w:t xml:space="preserve"> </w:t>
      </w:r>
      <w:hyperlink r:id="rId206">
        <w:r>
          <w:rPr>
            <w:color w:val="000000"/>
            <w:sz w:val="20"/>
            <w:szCs w:val="20"/>
          </w:rPr>
          <w:t>Robert Farley, “Trump’s Estate Tax Spin,” FactCheck.org, December 22, 2017, https://www.factcheck.org/2017/12/trumps-estate-tax-spin/.</w:t>
        </w:r>
      </w:hyperlink>
    </w:p>
  </w:footnote>
  <w:footnote w:id="103">
    <w:p w14:paraId="000002F2" w14:textId="77777777" w:rsidR="002A2321" w:rsidRDefault="002A2321">
      <w:pPr>
        <w:spacing w:line="240" w:lineRule="auto"/>
        <w:rPr>
          <w:sz w:val="20"/>
          <w:szCs w:val="20"/>
        </w:rPr>
      </w:pPr>
      <w:r>
        <w:rPr>
          <w:vertAlign w:val="superscript"/>
        </w:rPr>
        <w:footnoteRef/>
      </w:r>
      <w:r>
        <w:rPr>
          <w:sz w:val="20"/>
          <w:szCs w:val="20"/>
        </w:rPr>
        <w:t xml:space="preserve"> </w:t>
      </w:r>
      <w:hyperlink r:id="rId207">
        <w:r>
          <w:rPr>
            <w:color w:val="000000"/>
            <w:sz w:val="20"/>
            <w:szCs w:val="20"/>
          </w:rPr>
          <w:t>“The 2014 Farm Bill,” The 2014 Farm Bill, accessed May 21, 2017, http://www.thefarmbill.com/title-2-main-conservation-programs.</w:t>
        </w:r>
      </w:hyperlink>
    </w:p>
  </w:footnote>
  <w:footnote w:id="104">
    <w:p w14:paraId="000002F3" w14:textId="77777777" w:rsidR="002A2321" w:rsidRDefault="002A2321">
      <w:pPr>
        <w:spacing w:line="240" w:lineRule="auto"/>
        <w:rPr>
          <w:sz w:val="20"/>
          <w:szCs w:val="20"/>
        </w:rPr>
      </w:pPr>
      <w:r>
        <w:rPr>
          <w:vertAlign w:val="superscript"/>
        </w:rPr>
        <w:footnoteRef/>
      </w:r>
      <w:r>
        <w:rPr>
          <w:sz w:val="20"/>
          <w:szCs w:val="20"/>
        </w:rPr>
        <w:t xml:space="preserve"> </w:t>
      </w:r>
      <w:hyperlink r:id="rId208">
        <w:r>
          <w:rPr>
            <w:color w:val="000000"/>
            <w:sz w:val="20"/>
            <w:szCs w:val="20"/>
          </w:rPr>
          <w:t>“26 U.S. Code § 170 - Charitable, Etc., Contributions and Gifts,” LII / Legal Information Institute, accessed May 21, 2017, https://www.law.cornell.edu/uscode/text/26/170.</w:t>
        </w:r>
      </w:hyperlink>
    </w:p>
  </w:footnote>
  <w:footnote w:id="105">
    <w:p w14:paraId="000002F4" w14:textId="77777777" w:rsidR="002A2321" w:rsidRDefault="002A2321">
      <w:pPr>
        <w:spacing w:line="240" w:lineRule="auto"/>
        <w:rPr>
          <w:sz w:val="20"/>
          <w:szCs w:val="20"/>
        </w:rPr>
      </w:pPr>
      <w:r>
        <w:rPr>
          <w:vertAlign w:val="superscript"/>
        </w:rPr>
        <w:footnoteRef/>
      </w:r>
      <w:r>
        <w:rPr>
          <w:sz w:val="20"/>
          <w:szCs w:val="20"/>
        </w:rPr>
        <w:t xml:space="preserve"> The “50 Year Rule” is limiting at times but does help to ensure longevity of a place and that significance stands up to the test of time. It is written into the governing laws which also allow for accommodation for exceptional significance under part (g);</w:t>
      </w:r>
      <w:hyperlink r:id="rId209">
        <w:r>
          <w:rPr>
            <w:color w:val="000000"/>
            <w:sz w:val="20"/>
            <w:szCs w:val="20"/>
          </w:rPr>
          <w:t>“‘National Register of Historic Places,’” title 36 Code of Federal Regulations § 60 (1966), https://www.gpo.gov/fdsys/pkg/CFR-2012-title36-vol1/pdf/CFR-2012-title36-vol1-part60.pdf.</w:t>
        </w:r>
      </w:hyperlink>
    </w:p>
  </w:footnote>
  <w:footnote w:id="106">
    <w:p w14:paraId="000002F5" w14:textId="77777777" w:rsidR="002A2321" w:rsidRDefault="002A2321">
      <w:pPr>
        <w:spacing w:line="240" w:lineRule="auto"/>
        <w:rPr>
          <w:sz w:val="20"/>
          <w:szCs w:val="20"/>
        </w:rPr>
      </w:pPr>
      <w:r>
        <w:rPr>
          <w:vertAlign w:val="superscript"/>
        </w:rPr>
        <w:footnoteRef/>
      </w:r>
      <w:r>
        <w:rPr>
          <w:sz w:val="20"/>
          <w:szCs w:val="20"/>
        </w:rPr>
        <w:t xml:space="preserve"> </w:t>
      </w:r>
      <w:hyperlink r:id="rId210">
        <w:r>
          <w:rPr>
            <w:color w:val="000000"/>
            <w:sz w:val="20"/>
            <w:szCs w:val="20"/>
          </w:rPr>
          <w:t>Jared Newnam, “Farm to Table and the Local Food Movement,” South University, August 12, 2011, https://www.southuniversity.edu/whoweare/newsroom/blog/farm-to-table-and-the-local-food-movement-49961; Matt Hartman, “The Farm-To-Table Movement and Rural Gentrification,” CityLab, accessed December 18, 2016, http://www.citylab.com/politics/2016/09/the-farm-to-table-movement-and-rural-gentrification/500816/; Diane Toomey, “How to Make Farm-to-Table A Truly Sustainable Movement,” Yale Environment 360, September 15, 2014, http://e360.yale.edu/feature/interview_dan_barber_how_to_make_farm-to-table_a_truly_sustainable_movement/2803/.</w:t>
        </w:r>
      </w:hyperlink>
    </w:p>
  </w:footnote>
  <w:footnote w:id="107">
    <w:p w14:paraId="000002F6" w14:textId="77777777" w:rsidR="002A2321" w:rsidRDefault="002A2321">
      <w:pPr>
        <w:spacing w:line="240" w:lineRule="auto"/>
        <w:rPr>
          <w:sz w:val="20"/>
          <w:szCs w:val="20"/>
        </w:rPr>
      </w:pPr>
      <w:r>
        <w:rPr>
          <w:vertAlign w:val="superscript"/>
        </w:rPr>
        <w:footnoteRef/>
      </w:r>
      <w:r>
        <w:rPr>
          <w:sz w:val="20"/>
          <w:szCs w:val="20"/>
        </w:rPr>
        <w:t xml:space="preserve"> </w:t>
      </w:r>
      <w:hyperlink r:id="rId211">
        <w:r>
          <w:rPr>
            <w:color w:val="000000"/>
            <w:sz w:val="20"/>
            <w:szCs w:val="20"/>
          </w:rPr>
          <w:t xml:space="preserve">Jennifer Chait, “Largest Organic Retailers in North America,” The Balance, Updated December 16, 2018, https://www.thebalance.com/organic-retailers-in-north-america-2011-2538129; Elizabeth A. Harris and Stephanie Strom, “Walmart to Sell Organic Food, Undercutting Big Brands,” </w:t>
        </w:r>
      </w:hyperlink>
      <w:hyperlink r:id="rId212">
        <w:r>
          <w:rPr>
            <w:i/>
            <w:color w:val="000000"/>
            <w:sz w:val="20"/>
            <w:szCs w:val="20"/>
          </w:rPr>
          <w:t>The New York Times</w:t>
        </w:r>
      </w:hyperlink>
      <w:hyperlink r:id="rId213">
        <w:r>
          <w:rPr>
            <w:color w:val="000000"/>
            <w:sz w:val="20"/>
            <w:szCs w:val="20"/>
          </w:rPr>
          <w:t xml:space="preserve">, April 10, 2014, http://www.nytimes.com/2014/04/10/business/walmart-to-offer-organic-line-of-food-at-cut-rate-prices.html; Newswires, “Walmart Will Drop Wild Oats Brand, Restock with Own Organic Staples,” </w:t>
        </w:r>
      </w:hyperlink>
      <w:hyperlink r:id="rId214">
        <w:r>
          <w:rPr>
            <w:i/>
            <w:color w:val="000000"/>
            <w:sz w:val="20"/>
            <w:szCs w:val="20"/>
          </w:rPr>
          <w:t>The Denver Post</w:t>
        </w:r>
      </w:hyperlink>
      <w:hyperlink r:id="rId215">
        <w:r>
          <w:rPr>
            <w:color w:val="000000"/>
            <w:sz w:val="20"/>
            <w:szCs w:val="20"/>
          </w:rPr>
          <w:t>, April 25, 2016, http://www.denverpost.com/2016/04/25/walmart-will-drop-wild-oats-brand-restock-with-own-organic-staples/; “Corporate Organic Brands,” GMO Awareness, November 9, 2012, https://gmo-awareness.com/shopping-list/corporate-organic-brands/.</w:t>
        </w:r>
      </w:hyperlink>
    </w:p>
  </w:footnote>
  <w:footnote w:id="108">
    <w:p w14:paraId="000002F7" w14:textId="77777777" w:rsidR="002A2321" w:rsidRDefault="002A2321">
      <w:pPr>
        <w:spacing w:line="240" w:lineRule="auto"/>
        <w:rPr>
          <w:sz w:val="20"/>
          <w:szCs w:val="20"/>
        </w:rPr>
      </w:pPr>
      <w:r>
        <w:rPr>
          <w:vertAlign w:val="superscript"/>
        </w:rPr>
        <w:footnoteRef/>
      </w:r>
      <w:r>
        <w:rPr>
          <w:sz w:val="20"/>
          <w:szCs w:val="20"/>
        </w:rPr>
        <w:t xml:space="preserve"> </w:t>
      </w:r>
      <w:hyperlink r:id="rId216">
        <w:r>
          <w:rPr>
            <w:color w:val="000000"/>
            <w:sz w:val="20"/>
            <w:szCs w:val="20"/>
          </w:rPr>
          <w:t xml:space="preserve">Pelton, </w:t>
        </w:r>
      </w:hyperlink>
      <w:hyperlink r:id="rId217">
        <w:r>
          <w:rPr>
            <w:i/>
            <w:color w:val="000000"/>
            <w:sz w:val="20"/>
            <w:szCs w:val="20"/>
          </w:rPr>
          <w:t>The Chesapeake in Focus: Transforming the Natural World</w:t>
        </w:r>
      </w:hyperlink>
      <w:hyperlink r:id="rId218">
        <w:r>
          <w:rPr>
            <w:color w:val="000000"/>
            <w:sz w:val="20"/>
            <w:szCs w:val="20"/>
          </w:rPr>
          <w:t>, 84.</w:t>
        </w:r>
      </w:hyperlink>
    </w:p>
  </w:footnote>
  <w:footnote w:id="109">
    <w:p w14:paraId="000002F8" w14:textId="77777777" w:rsidR="002A2321" w:rsidRDefault="002A2321">
      <w:pPr>
        <w:spacing w:line="240" w:lineRule="auto"/>
        <w:rPr>
          <w:sz w:val="20"/>
          <w:szCs w:val="20"/>
        </w:rPr>
      </w:pPr>
      <w:r>
        <w:rPr>
          <w:vertAlign w:val="superscript"/>
        </w:rPr>
        <w:footnoteRef/>
      </w:r>
      <w:r>
        <w:rPr>
          <w:sz w:val="20"/>
          <w:szCs w:val="20"/>
        </w:rPr>
        <w:t xml:space="preserve"> </w:t>
      </w:r>
      <w:hyperlink r:id="rId219">
        <w:r>
          <w:rPr>
            <w:color w:val="000000"/>
            <w:sz w:val="20"/>
            <w:szCs w:val="20"/>
          </w:rPr>
          <w:t xml:space="preserve">Greig Tor </w:t>
        </w:r>
        <w:proofErr w:type="spellStart"/>
        <w:r>
          <w:rPr>
            <w:color w:val="000000"/>
            <w:sz w:val="20"/>
            <w:szCs w:val="20"/>
          </w:rPr>
          <w:t>Guthey</w:t>
        </w:r>
        <w:proofErr w:type="spellEnd"/>
        <w:r>
          <w:rPr>
            <w:color w:val="000000"/>
            <w:sz w:val="20"/>
            <w:szCs w:val="20"/>
          </w:rPr>
          <w:t xml:space="preserve">, Lauren </w:t>
        </w:r>
        <w:proofErr w:type="spellStart"/>
        <w:r>
          <w:rPr>
            <w:color w:val="000000"/>
            <w:sz w:val="20"/>
            <w:szCs w:val="20"/>
          </w:rPr>
          <w:t>Gwin</w:t>
        </w:r>
        <w:proofErr w:type="spellEnd"/>
        <w:r>
          <w:rPr>
            <w:color w:val="000000"/>
            <w:sz w:val="20"/>
            <w:szCs w:val="20"/>
          </w:rPr>
          <w:t xml:space="preserve">, and Sally Fairfax, “Creative Preservation in California’s Dairy Industry,” </w:t>
        </w:r>
      </w:hyperlink>
      <w:hyperlink r:id="rId220">
        <w:r>
          <w:rPr>
            <w:i/>
            <w:color w:val="000000"/>
            <w:sz w:val="20"/>
            <w:szCs w:val="20"/>
          </w:rPr>
          <w:t>Geographical Review</w:t>
        </w:r>
      </w:hyperlink>
      <w:hyperlink r:id="rId221">
        <w:r>
          <w:rPr>
            <w:color w:val="000000"/>
            <w:sz w:val="20"/>
            <w:szCs w:val="20"/>
          </w:rPr>
          <w:t xml:space="preserve"> 93, no. 2 (2003): 183.</w:t>
        </w:r>
      </w:hyperlink>
    </w:p>
  </w:footnote>
  <w:footnote w:id="110">
    <w:p w14:paraId="000002F9" w14:textId="77777777" w:rsidR="002A2321" w:rsidRDefault="002A2321">
      <w:pPr>
        <w:spacing w:line="240" w:lineRule="auto"/>
        <w:rPr>
          <w:sz w:val="20"/>
          <w:szCs w:val="20"/>
        </w:rPr>
      </w:pPr>
      <w:r>
        <w:rPr>
          <w:vertAlign w:val="superscript"/>
        </w:rPr>
        <w:footnoteRef/>
      </w:r>
      <w:r>
        <w:rPr>
          <w:sz w:val="20"/>
          <w:szCs w:val="20"/>
        </w:rPr>
        <w:t xml:space="preserve"> </w:t>
      </w:r>
      <w:hyperlink r:id="rId222">
        <w:r>
          <w:rPr>
            <w:color w:val="000000"/>
            <w:sz w:val="20"/>
            <w:szCs w:val="20"/>
          </w:rPr>
          <w:t>Iowa Department of Cultural Affairs, “‘A Chicken for Every Pot’ Political Ad, October 30, 1928,” Iowa.Gov, April 26, 2017, https://iowaculture.gov/history/education/educator-resources/primary-source-sets/great-depression-and-herbert-hoover/chicken.</w:t>
        </w:r>
      </w:hyperlink>
    </w:p>
  </w:footnote>
  <w:footnote w:id="111">
    <w:p w14:paraId="000002FA" w14:textId="77777777" w:rsidR="002A2321" w:rsidRDefault="002A2321">
      <w:pPr>
        <w:spacing w:line="240" w:lineRule="auto"/>
        <w:rPr>
          <w:sz w:val="20"/>
          <w:szCs w:val="20"/>
        </w:rPr>
      </w:pPr>
      <w:r>
        <w:rPr>
          <w:vertAlign w:val="superscript"/>
        </w:rPr>
        <w:footnoteRef/>
      </w:r>
      <w:r>
        <w:rPr>
          <w:sz w:val="20"/>
          <w:szCs w:val="20"/>
        </w:rPr>
        <w:t xml:space="preserve"> </w:t>
      </w:r>
      <w:hyperlink r:id="rId223">
        <w:r>
          <w:rPr>
            <w:color w:val="000000"/>
            <w:sz w:val="20"/>
            <w:szCs w:val="20"/>
          </w:rPr>
          <w:t xml:space="preserve">Joey Holley, “Poultry Magnate Frank Perdue, 84, Dies,” </w:t>
        </w:r>
      </w:hyperlink>
      <w:hyperlink r:id="rId224">
        <w:r>
          <w:rPr>
            <w:i/>
            <w:color w:val="000000"/>
            <w:sz w:val="20"/>
            <w:szCs w:val="20"/>
          </w:rPr>
          <w:t>The Washington Post</w:t>
        </w:r>
      </w:hyperlink>
      <w:hyperlink r:id="rId225">
        <w:r>
          <w:rPr>
            <w:color w:val="000000"/>
            <w:sz w:val="20"/>
            <w:szCs w:val="20"/>
          </w:rPr>
          <w:t>, April 1, 2005, http://www.washingtonpost.com/wp-dyn/articles/A18416-2005Apr1.html.</w:t>
        </w:r>
      </w:hyperlink>
    </w:p>
  </w:footnote>
  <w:footnote w:id="112">
    <w:p w14:paraId="000002FB" w14:textId="77777777" w:rsidR="002A2321" w:rsidRDefault="002A2321">
      <w:pPr>
        <w:spacing w:line="240" w:lineRule="auto"/>
        <w:rPr>
          <w:sz w:val="20"/>
          <w:szCs w:val="20"/>
        </w:rPr>
      </w:pPr>
      <w:r>
        <w:rPr>
          <w:vertAlign w:val="superscript"/>
        </w:rPr>
        <w:footnoteRef/>
      </w:r>
      <w:r>
        <w:rPr>
          <w:sz w:val="20"/>
          <w:szCs w:val="20"/>
        </w:rPr>
        <w:t xml:space="preserve"> </w:t>
      </w:r>
      <w:hyperlink r:id="rId226">
        <w:r>
          <w:rPr>
            <w:color w:val="000000"/>
            <w:sz w:val="20"/>
            <w:szCs w:val="20"/>
          </w:rPr>
          <w:t xml:space="preserve">Dan Charles, “Perdue Farms Signs Up For A Chicken Welfare Revolution,” </w:t>
        </w:r>
      </w:hyperlink>
      <w:hyperlink r:id="rId227">
        <w:r>
          <w:rPr>
            <w:i/>
            <w:color w:val="000000"/>
            <w:sz w:val="20"/>
            <w:szCs w:val="20"/>
          </w:rPr>
          <w:t>NPR</w:t>
        </w:r>
      </w:hyperlink>
      <w:hyperlink r:id="rId228">
        <w:r>
          <w:rPr>
            <w:color w:val="000000"/>
            <w:sz w:val="20"/>
            <w:szCs w:val="20"/>
          </w:rPr>
          <w:t>, July 27, 2017, https://www.npr.org/sections/thesalt/2017/07/27/537929392/perdue-farms-signs-up-for-a-chicken-welfare-revolution.</w:t>
        </w:r>
      </w:hyperlink>
    </w:p>
  </w:footnote>
  <w:footnote w:id="113">
    <w:p w14:paraId="000002FC" w14:textId="77777777" w:rsidR="002A2321" w:rsidRDefault="002A2321">
      <w:pPr>
        <w:spacing w:line="240" w:lineRule="auto"/>
        <w:rPr>
          <w:sz w:val="20"/>
          <w:szCs w:val="20"/>
        </w:rPr>
      </w:pPr>
      <w:r>
        <w:rPr>
          <w:vertAlign w:val="superscript"/>
        </w:rPr>
        <w:footnoteRef/>
      </w:r>
      <w:r>
        <w:rPr>
          <w:sz w:val="20"/>
          <w:szCs w:val="20"/>
        </w:rPr>
        <w:t xml:space="preserve"> </w:t>
      </w:r>
      <w:hyperlink r:id="rId229">
        <w:r>
          <w:rPr>
            <w:color w:val="000000"/>
            <w:sz w:val="20"/>
            <w:szCs w:val="20"/>
          </w:rPr>
          <w:t xml:space="preserve">Coral Davenport, “Trump Rule Would Limit E.P.A.’s Control Over Water Pollution,” </w:t>
        </w:r>
      </w:hyperlink>
      <w:hyperlink r:id="rId230">
        <w:r>
          <w:rPr>
            <w:i/>
            <w:color w:val="000000"/>
            <w:sz w:val="20"/>
            <w:szCs w:val="20"/>
          </w:rPr>
          <w:t>The New York Times</w:t>
        </w:r>
      </w:hyperlink>
      <w:hyperlink r:id="rId231">
        <w:r>
          <w:rPr>
            <w:color w:val="000000"/>
            <w:sz w:val="20"/>
            <w:szCs w:val="20"/>
          </w:rPr>
          <w:t>, December 7, 2018, https://www.nytimes.com/2018/12/06/climate/trump-water-pollution-wotus-replacement.html.</w:t>
        </w:r>
      </w:hyperlink>
    </w:p>
  </w:footnote>
  <w:footnote w:id="114">
    <w:p w14:paraId="000002FD" w14:textId="77777777" w:rsidR="002A2321" w:rsidRDefault="002A2321">
      <w:pPr>
        <w:spacing w:line="240" w:lineRule="auto"/>
        <w:rPr>
          <w:sz w:val="20"/>
          <w:szCs w:val="20"/>
        </w:rPr>
      </w:pPr>
      <w:r>
        <w:rPr>
          <w:vertAlign w:val="superscript"/>
        </w:rPr>
        <w:footnoteRef/>
      </w:r>
      <w:r>
        <w:rPr>
          <w:sz w:val="20"/>
          <w:szCs w:val="20"/>
        </w:rPr>
        <w:t xml:space="preserve"> </w:t>
      </w:r>
      <w:hyperlink r:id="rId232">
        <w:r>
          <w:rPr>
            <w:color w:val="000000"/>
            <w:sz w:val="20"/>
            <w:szCs w:val="20"/>
          </w:rPr>
          <w:t xml:space="preserve">Jenna Miller, “Farmers Cheer Trump Water Rollback as Environmentalists Worry about Chesapeake Bay Impact,” </w:t>
        </w:r>
      </w:hyperlink>
      <w:hyperlink r:id="rId233">
        <w:r>
          <w:rPr>
            <w:i/>
            <w:color w:val="000000"/>
            <w:sz w:val="20"/>
            <w:szCs w:val="20"/>
          </w:rPr>
          <w:t>Delmarva Now</w:t>
        </w:r>
      </w:hyperlink>
      <w:hyperlink r:id="rId234">
        <w:r>
          <w:rPr>
            <w:color w:val="000000"/>
            <w:sz w:val="20"/>
            <w:szCs w:val="20"/>
          </w:rPr>
          <w:t>, December 17, 2018, https://www.delmarvanow.com/story/news/local/maryland/2018/12/17/eastern-shore-split-trump-water-rule-rollback/2312523002/.</w:t>
        </w:r>
      </w:hyperlink>
    </w:p>
  </w:footnote>
  <w:footnote w:id="115">
    <w:p w14:paraId="000002FE" w14:textId="77777777" w:rsidR="002A2321" w:rsidRDefault="002A2321">
      <w:pPr>
        <w:spacing w:line="240" w:lineRule="auto"/>
        <w:rPr>
          <w:sz w:val="20"/>
          <w:szCs w:val="20"/>
        </w:rPr>
      </w:pPr>
      <w:r>
        <w:rPr>
          <w:vertAlign w:val="superscript"/>
        </w:rPr>
        <w:footnoteRef/>
      </w:r>
      <w:r>
        <w:rPr>
          <w:sz w:val="20"/>
          <w:szCs w:val="20"/>
        </w:rPr>
        <w:t xml:space="preserve"> </w:t>
      </w:r>
      <w:hyperlink r:id="rId235">
        <w:r>
          <w:rPr>
            <w:color w:val="000000"/>
            <w:sz w:val="20"/>
            <w:szCs w:val="20"/>
          </w:rPr>
          <w:t xml:space="preserve">Freeman, </w:t>
        </w:r>
        <w:proofErr w:type="spellStart"/>
        <w:r>
          <w:rPr>
            <w:color w:val="000000"/>
            <w:sz w:val="20"/>
            <w:szCs w:val="20"/>
          </w:rPr>
          <w:t>Duguma</w:t>
        </w:r>
        <w:proofErr w:type="spellEnd"/>
        <w:r>
          <w:rPr>
            <w:color w:val="000000"/>
            <w:sz w:val="20"/>
            <w:szCs w:val="20"/>
          </w:rPr>
          <w:t xml:space="preserve">, and </w:t>
        </w:r>
        <w:proofErr w:type="spellStart"/>
        <w:r>
          <w:rPr>
            <w:color w:val="000000"/>
            <w:sz w:val="20"/>
            <w:szCs w:val="20"/>
          </w:rPr>
          <w:t>Minang</w:t>
        </w:r>
        <w:proofErr w:type="spellEnd"/>
        <w:r>
          <w:rPr>
            <w:color w:val="000000"/>
            <w:sz w:val="20"/>
            <w:szCs w:val="20"/>
          </w:rPr>
          <w:t>, “Operationalizing the Integrated Landscape Approach in Practice.”</w:t>
        </w:r>
      </w:hyperlink>
    </w:p>
  </w:footnote>
  <w:footnote w:id="116">
    <w:p w14:paraId="000002FF" w14:textId="77777777" w:rsidR="002A2321" w:rsidRDefault="002A2321">
      <w:pPr>
        <w:spacing w:line="240" w:lineRule="auto"/>
        <w:rPr>
          <w:sz w:val="20"/>
          <w:szCs w:val="20"/>
        </w:rPr>
      </w:pPr>
      <w:r>
        <w:rPr>
          <w:vertAlign w:val="superscript"/>
        </w:rPr>
        <w:footnoteRef/>
      </w:r>
      <w:r>
        <w:rPr>
          <w:sz w:val="20"/>
          <w:szCs w:val="20"/>
        </w:rPr>
        <w:t xml:space="preserve"> </w:t>
      </w:r>
      <w:hyperlink r:id="rId236">
        <w:r>
          <w:rPr>
            <w:color w:val="000000"/>
            <w:sz w:val="20"/>
            <w:szCs w:val="20"/>
          </w:rPr>
          <w:t xml:space="preserve">C. West Churchman, “Guest Editorial: Wicked Problems,” </w:t>
        </w:r>
      </w:hyperlink>
      <w:hyperlink r:id="rId237">
        <w:r>
          <w:rPr>
            <w:i/>
            <w:color w:val="000000"/>
            <w:sz w:val="20"/>
            <w:szCs w:val="20"/>
          </w:rPr>
          <w:t>Management Science</w:t>
        </w:r>
      </w:hyperlink>
      <w:hyperlink r:id="rId238">
        <w:r>
          <w:rPr>
            <w:color w:val="000000"/>
            <w:sz w:val="20"/>
            <w:szCs w:val="20"/>
          </w:rPr>
          <w:t xml:space="preserve"> 14, no. 4 (1967): B141–42.</w:t>
        </w:r>
      </w:hyperlink>
    </w:p>
  </w:footnote>
  <w:footnote w:id="117">
    <w:p w14:paraId="00000300" w14:textId="77777777" w:rsidR="002A2321" w:rsidRDefault="002A2321">
      <w:pPr>
        <w:spacing w:line="240" w:lineRule="auto"/>
        <w:rPr>
          <w:sz w:val="20"/>
          <w:szCs w:val="20"/>
        </w:rPr>
      </w:pPr>
      <w:r>
        <w:rPr>
          <w:vertAlign w:val="superscript"/>
        </w:rPr>
        <w:footnoteRef/>
      </w:r>
      <w:r>
        <w:rPr>
          <w:sz w:val="20"/>
          <w:szCs w:val="20"/>
        </w:rPr>
        <w:t xml:space="preserve"> </w:t>
      </w:r>
      <w:hyperlink r:id="rId239">
        <w:r>
          <w:rPr>
            <w:color w:val="000000"/>
            <w:sz w:val="20"/>
            <w:szCs w:val="20"/>
          </w:rPr>
          <w:t xml:space="preserve">Kathryn K. Davies et al., “Improving Ecosystem Service Frameworks to Address Wicked Problems,” </w:t>
        </w:r>
      </w:hyperlink>
      <w:hyperlink r:id="rId240">
        <w:r>
          <w:rPr>
            <w:i/>
            <w:color w:val="000000"/>
            <w:sz w:val="20"/>
            <w:szCs w:val="20"/>
          </w:rPr>
          <w:t>Ecology and Society</w:t>
        </w:r>
      </w:hyperlink>
      <w:hyperlink r:id="rId241">
        <w:r>
          <w:rPr>
            <w:color w:val="000000"/>
            <w:sz w:val="20"/>
            <w:szCs w:val="20"/>
          </w:rPr>
          <w:t xml:space="preserve"> 20, no. 2 (2015), http://www.jstor.org/stable/26270210.</w:t>
        </w:r>
      </w:hyperlink>
    </w:p>
  </w:footnote>
  <w:footnote w:id="118">
    <w:p w14:paraId="00000301" w14:textId="77777777" w:rsidR="002A2321" w:rsidRDefault="002A2321">
      <w:pPr>
        <w:spacing w:line="240" w:lineRule="auto"/>
        <w:rPr>
          <w:sz w:val="20"/>
          <w:szCs w:val="20"/>
        </w:rPr>
      </w:pPr>
      <w:r>
        <w:rPr>
          <w:vertAlign w:val="superscript"/>
        </w:rPr>
        <w:footnoteRef/>
      </w:r>
      <w:r>
        <w:rPr>
          <w:sz w:val="20"/>
          <w:szCs w:val="20"/>
        </w:rPr>
        <w:t xml:space="preserve"> </w:t>
      </w:r>
      <w:hyperlink r:id="rId242">
        <w:r>
          <w:rPr>
            <w:color w:val="000000"/>
            <w:sz w:val="20"/>
            <w:szCs w:val="20"/>
          </w:rPr>
          <w:t xml:space="preserve">Vanessa A. Masterson et al., “The Contribution of Sense of Place to Social-Ecological Systems Research: A Review and Research Agenda,” </w:t>
        </w:r>
      </w:hyperlink>
      <w:hyperlink r:id="rId243">
        <w:r>
          <w:rPr>
            <w:i/>
            <w:color w:val="000000"/>
            <w:sz w:val="20"/>
            <w:szCs w:val="20"/>
          </w:rPr>
          <w:t>Ecology and Society</w:t>
        </w:r>
      </w:hyperlink>
      <w:hyperlink r:id="rId244">
        <w:r>
          <w:rPr>
            <w:color w:val="000000"/>
            <w:sz w:val="20"/>
            <w:szCs w:val="20"/>
          </w:rPr>
          <w:t xml:space="preserve"> 22, no. 1 (2017): 3, http://www.jstor.org/stable/26270120; Yi-Fu Tuan, </w:t>
        </w:r>
      </w:hyperlink>
      <w:hyperlink r:id="rId245">
        <w:r>
          <w:rPr>
            <w:i/>
            <w:color w:val="000000"/>
            <w:sz w:val="20"/>
            <w:szCs w:val="20"/>
          </w:rPr>
          <w:t>Space and Place: The Perspective of Experience</w:t>
        </w:r>
      </w:hyperlink>
      <w:hyperlink r:id="rId246">
        <w:r>
          <w:rPr>
            <w:color w:val="000000"/>
            <w:sz w:val="20"/>
            <w:szCs w:val="20"/>
          </w:rPr>
          <w:t xml:space="preserve"> (U of Minnesota Press, 1977).</w:t>
        </w:r>
      </w:hyperlink>
    </w:p>
  </w:footnote>
  <w:footnote w:id="119">
    <w:p w14:paraId="00000302" w14:textId="77777777" w:rsidR="002A2321" w:rsidRDefault="002A2321">
      <w:pPr>
        <w:spacing w:line="240" w:lineRule="auto"/>
        <w:rPr>
          <w:sz w:val="20"/>
          <w:szCs w:val="20"/>
        </w:rPr>
      </w:pPr>
      <w:r>
        <w:rPr>
          <w:vertAlign w:val="superscript"/>
        </w:rPr>
        <w:footnoteRef/>
      </w:r>
      <w:r>
        <w:rPr>
          <w:sz w:val="20"/>
          <w:szCs w:val="20"/>
        </w:rPr>
        <w:t xml:space="preserve"> </w:t>
      </w:r>
      <w:hyperlink r:id="rId247">
        <w:r>
          <w:rPr>
            <w:color w:val="000000"/>
            <w:sz w:val="20"/>
            <w:szCs w:val="20"/>
          </w:rPr>
          <w:t xml:space="preserve">F. Stuart Chapin and Corrine N. Knapp, “Sense of Place: A Process for Identifying and Negotiating Potentially Contested Visions of Sustainability,” </w:t>
        </w:r>
      </w:hyperlink>
      <w:hyperlink r:id="rId248">
        <w:r>
          <w:rPr>
            <w:i/>
            <w:color w:val="000000"/>
            <w:sz w:val="20"/>
            <w:szCs w:val="20"/>
          </w:rPr>
          <w:t>Environmental Science &amp; Policy</w:t>
        </w:r>
      </w:hyperlink>
      <w:hyperlink r:id="rId249">
        <w:r>
          <w:rPr>
            <w:color w:val="000000"/>
            <w:sz w:val="20"/>
            <w:szCs w:val="20"/>
          </w:rPr>
          <w:t xml:space="preserve"> 53 (November 1, 2015): 39.</w:t>
        </w:r>
      </w:hyperlink>
    </w:p>
  </w:footnote>
  <w:footnote w:id="120">
    <w:p w14:paraId="00000303" w14:textId="77777777" w:rsidR="002A2321" w:rsidRDefault="002A2321">
      <w:pPr>
        <w:spacing w:line="240" w:lineRule="auto"/>
        <w:rPr>
          <w:sz w:val="20"/>
          <w:szCs w:val="20"/>
        </w:rPr>
      </w:pPr>
      <w:r>
        <w:rPr>
          <w:vertAlign w:val="superscript"/>
        </w:rPr>
        <w:footnoteRef/>
      </w:r>
      <w:r>
        <w:rPr>
          <w:sz w:val="20"/>
          <w:szCs w:val="20"/>
        </w:rPr>
        <w:t xml:space="preserve"> </w:t>
      </w:r>
      <w:hyperlink r:id="rId250">
        <w:r>
          <w:rPr>
            <w:color w:val="000000"/>
            <w:sz w:val="20"/>
            <w:szCs w:val="20"/>
          </w:rPr>
          <w:t>Chapin and Knapp, 43–44.</w:t>
        </w:r>
      </w:hyperlink>
    </w:p>
  </w:footnote>
  <w:footnote w:id="121">
    <w:p w14:paraId="68DB2CB0" w14:textId="77777777" w:rsidR="002A2321" w:rsidRDefault="002A2321" w:rsidP="00DB5892">
      <w:pPr>
        <w:spacing w:line="240" w:lineRule="auto"/>
        <w:rPr>
          <w:sz w:val="20"/>
          <w:szCs w:val="20"/>
        </w:rPr>
      </w:pPr>
      <w:r>
        <w:rPr>
          <w:vertAlign w:val="superscript"/>
        </w:rPr>
        <w:footnoteRef/>
      </w:r>
      <w:r>
        <w:rPr>
          <w:sz w:val="20"/>
          <w:szCs w:val="20"/>
        </w:rPr>
        <w:t xml:space="preserve"> “Quality” has historic preservation connotations referring to the sustained ability to convey significance. Quality can also have meaning but layered in with the quality of soil and production, necessary for the sustainability of the farm. While this context relies on the historic preservation definition, the two are closely tied throughout this thesis.</w:t>
      </w:r>
    </w:p>
  </w:footnote>
  <w:footnote w:id="122">
    <w:p w14:paraId="00000305" w14:textId="77777777" w:rsidR="002A2321" w:rsidRDefault="002A2321">
      <w:pPr>
        <w:spacing w:line="240" w:lineRule="auto"/>
        <w:rPr>
          <w:sz w:val="20"/>
          <w:szCs w:val="20"/>
        </w:rPr>
      </w:pPr>
      <w:r>
        <w:rPr>
          <w:vertAlign w:val="superscript"/>
        </w:rPr>
        <w:footnoteRef/>
      </w:r>
      <w:r>
        <w:rPr>
          <w:sz w:val="20"/>
          <w:szCs w:val="20"/>
        </w:rPr>
        <w:t xml:space="preserve"> </w:t>
      </w:r>
      <w:hyperlink r:id="rId251">
        <w:r>
          <w:rPr>
            <w:color w:val="000000"/>
            <w:sz w:val="20"/>
            <w:szCs w:val="20"/>
          </w:rPr>
          <w:t>Chesapeake Bay Foundation, “The History of Chesapeake Bay Cleanup Efforts,” accessed February 3, 2019, http://www.cbf.org/how-we-save-the-bay/chesapeake-clean-water-blueprint/the-history-of-bay-cleanup-efforts.html.</w:t>
        </w:r>
      </w:hyperlink>
    </w:p>
  </w:footnote>
  <w:footnote w:id="123">
    <w:p w14:paraId="00000306" w14:textId="77777777" w:rsidR="002A2321" w:rsidRDefault="002A2321">
      <w:pPr>
        <w:spacing w:line="240" w:lineRule="auto"/>
        <w:rPr>
          <w:sz w:val="20"/>
          <w:szCs w:val="20"/>
        </w:rPr>
      </w:pPr>
      <w:r>
        <w:rPr>
          <w:vertAlign w:val="superscript"/>
        </w:rPr>
        <w:footnoteRef/>
      </w:r>
      <w:r>
        <w:rPr>
          <w:sz w:val="20"/>
          <w:szCs w:val="20"/>
        </w:rPr>
        <w:t xml:space="preserve"> </w:t>
      </w:r>
      <w:hyperlink r:id="rId252">
        <w:r>
          <w:rPr>
            <w:color w:val="000000"/>
            <w:sz w:val="20"/>
            <w:szCs w:val="20"/>
          </w:rPr>
          <w:t xml:space="preserve">John C. Smart and Michael B. Paulsen, </w:t>
        </w:r>
      </w:hyperlink>
      <w:hyperlink r:id="rId253">
        <w:r>
          <w:rPr>
            <w:i/>
            <w:color w:val="000000"/>
            <w:sz w:val="20"/>
            <w:szCs w:val="20"/>
          </w:rPr>
          <w:t>Higher Education: Handbook of Theory and Research</w:t>
        </w:r>
      </w:hyperlink>
      <w:hyperlink r:id="rId254">
        <w:r>
          <w:rPr>
            <w:color w:val="000000"/>
            <w:sz w:val="20"/>
            <w:szCs w:val="20"/>
          </w:rPr>
          <w:t xml:space="preserve"> (Springer Science &amp; Business Media, 2011), 88.</w:t>
        </w:r>
      </w:hyperlink>
    </w:p>
  </w:footnote>
  <w:footnote w:id="124">
    <w:p w14:paraId="00000307" w14:textId="77777777" w:rsidR="002A2321" w:rsidRDefault="002A2321">
      <w:pPr>
        <w:spacing w:line="240" w:lineRule="auto"/>
        <w:rPr>
          <w:sz w:val="20"/>
          <w:szCs w:val="20"/>
        </w:rPr>
      </w:pPr>
      <w:r>
        <w:rPr>
          <w:vertAlign w:val="superscript"/>
        </w:rPr>
        <w:footnoteRef/>
      </w:r>
      <w:r>
        <w:rPr>
          <w:sz w:val="20"/>
          <w:szCs w:val="20"/>
        </w:rPr>
        <w:t xml:space="preserve"> </w:t>
      </w:r>
      <w:hyperlink r:id="rId255">
        <w:r>
          <w:rPr>
            <w:color w:val="000000"/>
            <w:sz w:val="20"/>
            <w:szCs w:val="20"/>
          </w:rPr>
          <w:t>American Farmland Trust, “American Farmland Trust,” accessed October 14, 2018, https://www.farmland.org/.</w:t>
        </w:r>
      </w:hyperlink>
    </w:p>
  </w:footnote>
  <w:footnote w:id="125">
    <w:p w14:paraId="00000308" w14:textId="77777777" w:rsidR="002A2321" w:rsidRDefault="002A2321">
      <w:pPr>
        <w:spacing w:line="240" w:lineRule="auto"/>
        <w:rPr>
          <w:sz w:val="20"/>
          <w:szCs w:val="20"/>
        </w:rPr>
      </w:pPr>
      <w:r>
        <w:rPr>
          <w:vertAlign w:val="superscript"/>
        </w:rPr>
        <w:footnoteRef/>
      </w:r>
      <w:r>
        <w:rPr>
          <w:sz w:val="20"/>
          <w:szCs w:val="20"/>
        </w:rPr>
        <w:t xml:space="preserve"> </w:t>
      </w:r>
      <w:hyperlink r:id="rId256">
        <w:r>
          <w:rPr>
            <w:color w:val="000000"/>
            <w:sz w:val="20"/>
            <w:szCs w:val="20"/>
          </w:rPr>
          <w:t>ushistory.org, “Preserving the Wilderness,” accessed October 13, 2018, http://www.ushistory.org/us/43d.asp.</w:t>
        </w:r>
      </w:hyperlink>
    </w:p>
  </w:footnote>
  <w:footnote w:id="126">
    <w:p w14:paraId="00000309" w14:textId="77777777" w:rsidR="002A2321" w:rsidRDefault="002A2321">
      <w:pPr>
        <w:spacing w:line="240" w:lineRule="auto"/>
        <w:rPr>
          <w:sz w:val="20"/>
          <w:szCs w:val="20"/>
        </w:rPr>
      </w:pPr>
      <w:r>
        <w:rPr>
          <w:vertAlign w:val="superscript"/>
        </w:rPr>
        <w:footnoteRef/>
      </w:r>
      <w:r>
        <w:rPr>
          <w:sz w:val="20"/>
          <w:szCs w:val="20"/>
        </w:rPr>
        <w:t xml:space="preserve"> </w:t>
      </w:r>
      <w:hyperlink r:id="rId257">
        <w:r>
          <w:rPr>
            <w:color w:val="000000"/>
            <w:sz w:val="20"/>
            <w:szCs w:val="20"/>
          </w:rPr>
          <w:t xml:space="preserve">Richard Brewer, </w:t>
        </w:r>
      </w:hyperlink>
      <w:hyperlink r:id="rId258">
        <w:r>
          <w:rPr>
            <w:i/>
            <w:color w:val="000000"/>
            <w:sz w:val="20"/>
            <w:szCs w:val="20"/>
          </w:rPr>
          <w:t>Conservancy: The Land Trust Movement in America</w:t>
        </w:r>
      </w:hyperlink>
      <w:hyperlink r:id="rId259">
        <w:r>
          <w:rPr>
            <w:color w:val="000000"/>
            <w:sz w:val="20"/>
            <w:szCs w:val="20"/>
          </w:rPr>
          <w:t xml:space="preserve"> (Lebanon, New Hampshire: University Press of New England, 2003), chap. 12.</w:t>
        </w:r>
      </w:hyperlink>
    </w:p>
  </w:footnote>
  <w:footnote w:id="127">
    <w:p w14:paraId="0000030B" w14:textId="21DE17E5" w:rsidR="002A2321" w:rsidRDefault="002A2321">
      <w:pPr>
        <w:spacing w:line="240" w:lineRule="auto"/>
        <w:rPr>
          <w:sz w:val="20"/>
          <w:szCs w:val="20"/>
        </w:rPr>
      </w:pPr>
      <w:r>
        <w:rPr>
          <w:vertAlign w:val="superscript"/>
        </w:rPr>
        <w:footnoteRef/>
      </w:r>
      <w:r>
        <w:rPr>
          <w:sz w:val="20"/>
          <w:szCs w:val="20"/>
        </w:rPr>
        <w:t xml:space="preserve"> </w:t>
      </w:r>
      <w:hyperlink r:id="rId260" w:history="1">
        <w:r>
          <w:rPr>
            <w:color w:val="000000"/>
            <w:sz w:val="20"/>
            <w:szCs w:val="20"/>
          </w:rPr>
          <w:t>“Preservation Brief 36: Protecting Cultural Landscapes: Planning, Treatment and Management of Historic Landscapes.”</w:t>
        </w:r>
      </w:hyperlink>
    </w:p>
  </w:footnote>
  <w:footnote w:id="128">
    <w:p w14:paraId="0000030C" w14:textId="77777777" w:rsidR="002A2321" w:rsidRDefault="002A2321">
      <w:pPr>
        <w:spacing w:line="240" w:lineRule="auto"/>
        <w:rPr>
          <w:sz w:val="20"/>
          <w:szCs w:val="20"/>
        </w:rPr>
      </w:pPr>
      <w:r>
        <w:rPr>
          <w:vertAlign w:val="superscript"/>
        </w:rPr>
        <w:footnoteRef/>
      </w:r>
      <w:r>
        <w:rPr>
          <w:sz w:val="20"/>
          <w:szCs w:val="20"/>
        </w:rPr>
        <w:t xml:space="preserve"> </w:t>
      </w:r>
      <w:hyperlink r:id="rId261">
        <w:r>
          <w:rPr>
            <w:color w:val="000000"/>
            <w:sz w:val="20"/>
            <w:szCs w:val="20"/>
          </w:rPr>
          <w:t>GRACE Communications Foundation, “Local &amp; Regional Food Systems,” FoodPrint, accessed October 14, 2018, http://www.sustainabletable.org/254/local-regional-food-systems; Farmland Information Center, “Why Save Farmland?” (American Farmland Trust, January 2003), https://www.farmlandinfo.org/sites/default/files/Why_Save_Farmland_1-03_1.pdf.</w:t>
        </w:r>
      </w:hyperlink>
    </w:p>
  </w:footnote>
  <w:footnote w:id="129">
    <w:p w14:paraId="0000030D" w14:textId="77777777" w:rsidR="002A2321" w:rsidRDefault="002A2321">
      <w:pPr>
        <w:spacing w:line="240" w:lineRule="auto"/>
        <w:rPr>
          <w:sz w:val="20"/>
          <w:szCs w:val="20"/>
        </w:rPr>
      </w:pPr>
      <w:r>
        <w:rPr>
          <w:vertAlign w:val="superscript"/>
        </w:rPr>
        <w:footnoteRef/>
      </w:r>
      <w:r>
        <w:rPr>
          <w:sz w:val="20"/>
          <w:szCs w:val="20"/>
        </w:rPr>
        <w:t xml:space="preserve"> </w:t>
      </w:r>
      <w:hyperlink r:id="rId262">
        <w:r>
          <w:rPr>
            <w:color w:val="000000"/>
            <w:sz w:val="20"/>
            <w:szCs w:val="20"/>
          </w:rPr>
          <w:t xml:space="preserve">Ben A. </w:t>
        </w:r>
        <w:proofErr w:type="spellStart"/>
        <w:r>
          <w:rPr>
            <w:color w:val="000000"/>
            <w:sz w:val="20"/>
            <w:szCs w:val="20"/>
          </w:rPr>
          <w:t>Minteer</w:t>
        </w:r>
        <w:proofErr w:type="spellEnd"/>
        <w:r>
          <w:rPr>
            <w:color w:val="000000"/>
            <w:sz w:val="20"/>
            <w:szCs w:val="20"/>
          </w:rPr>
          <w:t xml:space="preserve"> and Elizabeth A. Corley, “Conservation or Preservation? A Qualitative Study of the Conceptual Foundations of Natural Resource Management,” </w:t>
        </w:r>
      </w:hyperlink>
      <w:hyperlink r:id="rId263">
        <w:r>
          <w:rPr>
            <w:i/>
            <w:color w:val="000000"/>
            <w:sz w:val="20"/>
            <w:szCs w:val="20"/>
          </w:rPr>
          <w:t>Journal of Agricultural &amp; Environmental Ethics</w:t>
        </w:r>
      </w:hyperlink>
      <w:hyperlink r:id="rId264">
        <w:r>
          <w:rPr>
            <w:color w:val="000000"/>
            <w:sz w:val="20"/>
            <w:szCs w:val="20"/>
          </w:rPr>
          <w:t xml:space="preserve"> 20, no. 4 (August 1, 2007): 309–310.</w:t>
        </w:r>
      </w:hyperlink>
    </w:p>
  </w:footnote>
  <w:footnote w:id="130">
    <w:p w14:paraId="0000030E" w14:textId="77777777" w:rsidR="002A2321" w:rsidRDefault="002A2321">
      <w:pPr>
        <w:spacing w:line="240" w:lineRule="auto"/>
        <w:rPr>
          <w:sz w:val="20"/>
          <w:szCs w:val="20"/>
        </w:rPr>
      </w:pPr>
      <w:r>
        <w:rPr>
          <w:vertAlign w:val="superscript"/>
        </w:rPr>
        <w:footnoteRef/>
      </w:r>
      <w:r>
        <w:rPr>
          <w:sz w:val="20"/>
          <w:szCs w:val="20"/>
        </w:rPr>
        <w:t xml:space="preserve"> </w:t>
      </w:r>
      <w:hyperlink r:id="rId265">
        <w:r>
          <w:rPr>
            <w:color w:val="000000"/>
            <w:sz w:val="20"/>
            <w:szCs w:val="20"/>
          </w:rPr>
          <w:t>U.S. National Park Service, “Secretary’s Standards--Preservation Terminology,” accessed October 14, 2018, https://www.nps.gov/history/local-law/arch_stnds_10.htm.</w:t>
        </w:r>
      </w:hyperlink>
    </w:p>
  </w:footnote>
  <w:footnote w:id="131">
    <w:p w14:paraId="0000030F" w14:textId="77777777" w:rsidR="002A2321" w:rsidRDefault="002A2321">
      <w:pPr>
        <w:spacing w:line="240" w:lineRule="auto"/>
        <w:rPr>
          <w:sz w:val="20"/>
          <w:szCs w:val="20"/>
        </w:rPr>
      </w:pPr>
      <w:r>
        <w:rPr>
          <w:vertAlign w:val="superscript"/>
        </w:rPr>
        <w:footnoteRef/>
      </w:r>
      <w:r>
        <w:rPr>
          <w:sz w:val="20"/>
          <w:szCs w:val="20"/>
        </w:rPr>
        <w:t xml:space="preserve"> </w:t>
      </w:r>
      <w:hyperlink r:id="rId266">
        <w:r>
          <w:rPr>
            <w:color w:val="000000"/>
            <w:sz w:val="20"/>
            <w:szCs w:val="20"/>
          </w:rPr>
          <w:t>Forest History Society, “Gifford Pinchot (1865-1946),” Forest History Society, accessed October 14, 2018, https://foresthistory.org/research-explore/us-forest-service-history/people/chiefs/gifford-pinchot-1865-1946/.</w:t>
        </w:r>
      </w:hyperlink>
    </w:p>
  </w:footnote>
  <w:footnote w:id="132">
    <w:p w14:paraId="00000310" w14:textId="77777777" w:rsidR="002A2321" w:rsidRDefault="002A2321">
      <w:pPr>
        <w:spacing w:line="240" w:lineRule="auto"/>
        <w:rPr>
          <w:sz w:val="20"/>
          <w:szCs w:val="20"/>
        </w:rPr>
      </w:pPr>
      <w:r>
        <w:rPr>
          <w:vertAlign w:val="superscript"/>
        </w:rPr>
        <w:footnoteRef/>
      </w:r>
      <w:r>
        <w:rPr>
          <w:sz w:val="20"/>
          <w:szCs w:val="20"/>
        </w:rPr>
        <w:t xml:space="preserve"> </w:t>
      </w:r>
      <w:hyperlink r:id="rId267">
        <w:r>
          <w:rPr>
            <w:color w:val="000000"/>
            <w:sz w:val="20"/>
            <w:szCs w:val="20"/>
          </w:rPr>
          <w:t>Vince Michael, “Heritage Conservation, Not Historic Preservation,” Time Tells, October 17, 2009, https://vincemichael.wordpress.com/2009/10/17/heritage-conservation-not-historic-preservation/.</w:t>
        </w:r>
      </w:hyperlink>
    </w:p>
  </w:footnote>
  <w:footnote w:id="133">
    <w:p w14:paraId="00000311" w14:textId="77777777" w:rsidR="002A2321" w:rsidRDefault="002A2321">
      <w:pPr>
        <w:spacing w:line="240" w:lineRule="auto"/>
        <w:rPr>
          <w:sz w:val="20"/>
          <w:szCs w:val="20"/>
        </w:rPr>
      </w:pPr>
      <w:r>
        <w:rPr>
          <w:vertAlign w:val="superscript"/>
        </w:rPr>
        <w:footnoteRef/>
      </w:r>
      <w:r>
        <w:rPr>
          <w:sz w:val="20"/>
          <w:szCs w:val="20"/>
        </w:rPr>
        <w:t xml:space="preserve"> </w:t>
      </w:r>
      <w:hyperlink r:id="rId268">
        <w:r>
          <w:rPr>
            <w:color w:val="000000"/>
            <w:sz w:val="20"/>
            <w:szCs w:val="20"/>
          </w:rPr>
          <w:t>Michael.</w:t>
        </w:r>
      </w:hyperlink>
    </w:p>
  </w:footnote>
  <w:footnote w:id="134">
    <w:p w14:paraId="00000312" w14:textId="77777777" w:rsidR="002A2321" w:rsidRDefault="002A2321">
      <w:pPr>
        <w:spacing w:line="240" w:lineRule="auto"/>
        <w:rPr>
          <w:sz w:val="20"/>
          <w:szCs w:val="20"/>
        </w:rPr>
      </w:pPr>
      <w:r>
        <w:rPr>
          <w:vertAlign w:val="superscript"/>
        </w:rPr>
        <w:footnoteRef/>
      </w:r>
      <w:r>
        <w:rPr>
          <w:sz w:val="20"/>
          <w:szCs w:val="20"/>
        </w:rPr>
        <w:t xml:space="preserve"> </w:t>
      </w:r>
      <w:hyperlink r:id="rId269">
        <w:r>
          <w:rPr>
            <w:color w:val="000000"/>
            <w:sz w:val="20"/>
            <w:szCs w:val="20"/>
          </w:rPr>
          <w:t>Chesapeake Bay Program, “Partners,” accessed January 21, 2019, https://www.chesapeakebay.net/who/partners.</w:t>
        </w:r>
      </w:hyperlink>
    </w:p>
  </w:footnote>
  <w:footnote w:id="135">
    <w:p w14:paraId="00000313" w14:textId="77777777" w:rsidR="002A2321" w:rsidRDefault="002A2321">
      <w:pPr>
        <w:spacing w:line="240" w:lineRule="auto"/>
        <w:rPr>
          <w:sz w:val="20"/>
          <w:szCs w:val="20"/>
        </w:rPr>
      </w:pPr>
      <w:r>
        <w:rPr>
          <w:vertAlign w:val="superscript"/>
        </w:rPr>
        <w:footnoteRef/>
      </w:r>
      <w:r>
        <w:rPr>
          <w:sz w:val="20"/>
          <w:szCs w:val="20"/>
        </w:rPr>
        <w:t xml:space="preserve"> </w:t>
      </w:r>
      <w:hyperlink r:id="rId270">
        <w:r>
          <w:rPr>
            <w:color w:val="000000"/>
            <w:sz w:val="20"/>
            <w:szCs w:val="20"/>
          </w:rPr>
          <w:t>Chesapeake Bay Program; Chesapeake Bay Program, “Partner Organizations,” Chesapeakebay.net, accessed January 21, 2019, https://www.chesapeakebay.net/about/partners.</w:t>
        </w:r>
      </w:hyperlink>
    </w:p>
  </w:footnote>
  <w:footnote w:id="136">
    <w:p w14:paraId="00000314" w14:textId="77777777" w:rsidR="002A2321" w:rsidRDefault="002A2321">
      <w:pPr>
        <w:spacing w:line="240" w:lineRule="auto"/>
        <w:rPr>
          <w:sz w:val="20"/>
          <w:szCs w:val="20"/>
        </w:rPr>
      </w:pPr>
      <w:r>
        <w:rPr>
          <w:vertAlign w:val="superscript"/>
        </w:rPr>
        <w:footnoteRef/>
      </w:r>
      <w:r>
        <w:rPr>
          <w:sz w:val="20"/>
          <w:szCs w:val="20"/>
        </w:rPr>
        <w:t xml:space="preserve"> </w:t>
      </w:r>
      <w:hyperlink r:id="rId271">
        <w:r>
          <w:rPr>
            <w:color w:val="000000"/>
            <w:sz w:val="20"/>
            <w:szCs w:val="20"/>
          </w:rPr>
          <w:t>Charles Robb et al., “The Chesapeake Bay Agreement of 1983,” December 9, 1983, https://www.chesapeakebay.net/documents/1983_CB_Agreement2.pdf.</w:t>
        </w:r>
      </w:hyperlink>
    </w:p>
  </w:footnote>
  <w:footnote w:id="137">
    <w:p w14:paraId="00000315" w14:textId="77777777" w:rsidR="002A2321" w:rsidRDefault="002A2321">
      <w:pPr>
        <w:spacing w:line="240" w:lineRule="auto"/>
        <w:rPr>
          <w:sz w:val="20"/>
          <w:szCs w:val="20"/>
        </w:rPr>
      </w:pPr>
      <w:r>
        <w:rPr>
          <w:vertAlign w:val="superscript"/>
        </w:rPr>
        <w:footnoteRef/>
      </w:r>
      <w:r>
        <w:rPr>
          <w:sz w:val="20"/>
          <w:szCs w:val="20"/>
        </w:rPr>
        <w:t xml:space="preserve"> </w:t>
      </w:r>
      <w:hyperlink r:id="rId272">
        <w:r>
          <w:rPr>
            <w:color w:val="000000"/>
            <w:sz w:val="20"/>
            <w:szCs w:val="20"/>
          </w:rPr>
          <w:t>Chesapeake Bay Program, “Bay Program History,” accessed January 26, 2019, https://www.chesapeakebay.net/who/bay_program_history.</w:t>
        </w:r>
      </w:hyperlink>
    </w:p>
  </w:footnote>
  <w:footnote w:id="138">
    <w:p w14:paraId="00000316" w14:textId="77777777" w:rsidR="002A2321" w:rsidRDefault="002A2321">
      <w:pPr>
        <w:spacing w:line="240" w:lineRule="auto"/>
        <w:rPr>
          <w:sz w:val="20"/>
          <w:szCs w:val="20"/>
        </w:rPr>
      </w:pPr>
      <w:r>
        <w:rPr>
          <w:vertAlign w:val="superscript"/>
        </w:rPr>
        <w:footnoteRef/>
      </w:r>
      <w:r>
        <w:rPr>
          <w:sz w:val="20"/>
          <w:szCs w:val="20"/>
        </w:rPr>
        <w:t xml:space="preserve"> </w:t>
      </w:r>
      <w:hyperlink r:id="rId273">
        <w:r>
          <w:rPr>
            <w:color w:val="000000"/>
            <w:sz w:val="20"/>
            <w:szCs w:val="20"/>
          </w:rPr>
          <w:t>Chesapeake Bay Commission, “History of the Commission,” accessed January 26, 2019, http://www.chesbay.us/history.html.</w:t>
        </w:r>
      </w:hyperlink>
    </w:p>
  </w:footnote>
  <w:footnote w:id="139">
    <w:p w14:paraId="00000317" w14:textId="77777777" w:rsidR="002A2321" w:rsidRDefault="002A2321">
      <w:pPr>
        <w:spacing w:line="240" w:lineRule="auto"/>
        <w:rPr>
          <w:sz w:val="20"/>
          <w:szCs w:val="20"/>
        </w:rPr>
      </w:pPr>
      <w:r>
        <w:rPr>
          <w:vertAlign w:val="superscript"/>
        </w:rPr>
        <w:footnoteRef/>
      </w:r>
      <w:r>
        <w:rPr>
          <w:sz w:val="20"/>
          <w:szCs w:val="20"/>
        </w:rPr>
        <w:t xml:space="preserve"> </w:t>
      </w:r>
      <w:hyperlink r:id="rId274">
        <w:r>
          <w:rPr>
            <w:color w:val="000000"/>
            <w:sz w:val="20"/>
            <w:szCs w:val="20"/>
          </w:rPr>
          <w:t>Chesapeake Bay Foundation, “About CBF,” Chesapeake Bay Foundation, accessed January 26, 2019, http://www.cbf.org/about-cbf/.</w:t>
        </w:r>
      </w:hyperlink>
    </w:p>
  </w:footnote>
  <w:footnote w:id="140">
    <w:p w14:paraId="00000318" w14:textId="77777777" w:rsidR="002A2321" w:rsidRDefault="002A2321">
      <w:pPr>
        <w:spacing w:line="240" w:lineRule="auto"/>
        <w:rPr>
          <w:sz w:val="20"/>
          <w:szCs w:val="20"/>
        </w:rPr>
      </w:pPr>
      <w:r>
        <w:rPr>
          <w:vertAlign w:val="superscript"/>
        </w:rPr>
        <w:footnoteRef/>
      </w:r>
      <w:r>
        <w:rPr>
          <w:sz w:val="20"/>
          <w:szCs w:val="20"/>
        </w:rPr>
        <w:t xml:space="preserve"> </w:t>
      </w:r>
      <w:hyperlink r:id="rId275">
        <w:r>
          <w:rPr>
            <w:color w:val="000000"/>
            <w:sz w:val="20"/>
            <w:szCs w:val="20"/>
          </w:rPr>
          <w:t>Internal Revenue Service, “The Restriction of Political Campaign Intervention by Section 501(c)(3) Tax Exempt Organizations,” accessed January 26, 2019, https://www.irs.gov/charities-non-profits/charitable-organizations/the-restriction-of-political-campaign-intervention-by-section-501c3-tax-exempt-organizations; Internal Revenue Service, “Exemption Requirements Section 501(c)(3) Organizations,” Charities and Non-Profits, accessed January 26, 2019, https://www.irs.gov/charities-non-profits/charitable-organizations/exemption-requirements-section-501c3-organizations.</w:t>
        </w:r>
      </w:hyperlink>
    </w:p>
  </w:footnote>
  <w:footnote w:id="141">
    <w:p w14:paraId="00000319" w14:textId="77777777" w:rsidR="002A2321" w:rsidRDefault="002A2321">
      <w:pPr>
        <w:spacing w:line="240" w:lineRule="auto"/>
        <w:rPr>
          <w:sz w:val="20"/>
          <w:szCs w:val="20"/>
        </w:rPr>
      </w:pPr>
      <w:r>
        <w:rPr>
          <w:vertAlign w:val="superscript"/>
        </w:rPr>
        <w:footnoteRef/>
      </w:r>
      <w:r>
        <w:rPr>
          <w:sz w:val="20"/>
          <w:szCs w:val="20"/>
        </w:rPr>
        <w:t xml:space="preserve"> </w:t>
      </w:r>
      <w:hyperlink r:id="rId276">
        <w:r>
          <w:rPr>
            <w:color w:val="000000"/>
            <w:sz w:val="20"/>
            <w:szCs w:val="20"/>
          </w:rPr>
          <w:t xml:space="preserve">Ernst, </w:t>
        </w:r>
      </w:hyperlink>
      <w:hyperlink r:id="rId277">
        <w:r>
          <w:rPr>
            <w:i/>
            <w:color w:val="000000"/>
            <w:sz w:val="20"/>
            <w:szCs w:val="20"/>
          </w:rPr>
          <w:t>Fight for the Bay: Why a Dark Green Environmental Awakening Is Needed to Save the Chesapeake Bay</w:t>
        </w:r>
      </w:hyperlink>
      <w:hyperlink r:id="rId278">
        <w:r>
          <w:rPr>
            <w:color w:val="000000"/>
            <w:sz w:val="20"/>
            <w:szCs w:val="20"/>
          </w:rPr>
          <w:t>, chap. 1.</w:t>
        </w:r>
      </w:hyperlink>
    </w:p>
  </w:footnote>
  <w:footnote w:id="142">
    <w:p w14:paraId="0000031A" w14:textId="77777777" w:rsidR="002A2321" w:rsidRDefault="002A2321">
      <w:pPr>
        <w:spacing w:line="240" w:lineRule="auto"/>
        <w:rPr>
          <w:sz w:val="20"/>
          <w:szCs w:val="20"/>
        </w:rPr>
      </w:pPr>
      <w:r>
        <w:rPr>
          <w:vertAlign w:val="superscript"/>
        </w:rPr>
        <w:footnoteRef/>
      </w:r>
      <w:r>
        <w:rPr>
          <w:sz w:val="20"/>
          <w:szCs w:val="20"/>
        </w:rPr>
        <w:t xml:space="preserve"> </w:t>
      </w:r>
      <w:hyperlink r:id="rId279">
        <w:r>
          <w:rPr>
            <w:color w:val="000000"/>
            <w:sz w:val="20"/>
            <w:szCs w:val="20"/>
          </w:rPr>
          <w:t>Maryland Department of Natural Resources, “Maryland’s Chesapeake Bay Tributary Strategy Statewide Implementation Plan,” January 24, 2008, 2–3, ftp://ftp.chesapeakebay.net/Modeling/Upload/Administrative_Record_Non-model_Files/39_CB%20States%20Tributary%20Strategies%20and%20Related%20Implementation%20Plans/39_004_TribDocumentFinal_012308.pdf.</w:t>
        </w:r>
      </w:hyperlink>
    </w:p>
  </w:footnote>
  <w:footnote w:id="143">
    <w:p w14:paraId="0000031B" w14:textId="77777777" w:rsidR="002A2321" w:rsidRDefault="002A2321">
      <w:pPr>
        <w:spacing w:line="240" w:lineRule="auto"/>
        <w:rPr>
          <w:sz w:val="20"/>
          <w:szCs w:val="20"/>
        </w:rPr>
      </w:pPr>
      <w:r>
        <w:rPr>
          <w:vertAlign w:val="superscript"/>
        </w:rPr>
        <w:footnoteRef/>
      </w:r>
      <w:r>
        <w:rPr>
          <w:sz w:val="20"/>
          <w:szCs w:val="20"/>
        </w:rPr>
        <w:t xml:space="preserve"> </w:t>
      </w:r>
      <w:hyperlink r:id="rId280">
        <w:r>
          <w:rPr>
            <w:color w:val="000000"/>
            <w:sz w:val="20"/>
            <w:szCs w:val="20"/>
          </w:rPr>
          <w:t>Maryland Department of Natural Resources, 26.</w:t>
        </w:r>
      </w:hyperlink>
    </w:p>
  </w:footnote>
  <w:footnote w:id="144">
    <w:p w14:paraId="0000031C" w14:textId="77777777" w:rsidR="002A2321" w:rsidRDefault="002A2321">
      <w:pPr>
        <w:spacing w:line="240" w:lineRule="auto"/>
        <w:rPr>
          <w:sz w:val="20"/>
          <w:szCs w:val="20"/>
        </w:rPr>
      </w:pPr>
      <w:r>
        <w:rPr>
          <w:vertAlign w:val="superscript"/>
        </w:rPr>
        <w:footnoteRef/>
      </w:r>
      <w:r>
        <w:rPr>
          <w:sz w:val="20"/>
          <w:szCs w:val="20"/>
        </w:rPr>
        <w:t xml:space="preserve"> </w:t>
      </w:r>
      <w:hyperlink r:id="rId281">
        <w:r>
          <w:rPr>
            <w:color w:val="000000"/>
            <w:sz w:val="20"/>
            <w:szCs w:val="20"/>
          </w:rPr>
          <w:t>Kenneth W. Staver and Russell B. Brinsfield, “University of MD Cover Crop Study” (University of Maryland College of Agriculture and Natural Resources, Wye Research and Education Center, n.d.), https://mda.maryland.gov/resource_conservation/counties/Staver-Summary%20of%20WREC%20cover%20crop%20studies%20for%20Baystat.pdf.</w:t>
        </w:r>
      </w:hyperlink>
    </w:p>
  </w:footnote>
  <w:footnote w:id="145">
    <w:p w14:paraId="0000031D" w14:textId="77777777" w:rsidR="002A2321" w:rsidRDefault="002A2321">
      <w:pPr>
        <w:spacing w:line="240" w:lineRule="auto"/>
        <w:rPr>
          <w:sz w:val="20"/>
          <w:szCs w:val="20"/>
        </w:rPr>
      </w:pPr>
      <w:r>
        <w:rPr>
          <w:vertAlign w:val="superscript"/>
        </w:rPr>
        <w:footnoteRef/>
      </w:r>
      <w:r>
        <w:rPr>
          <w:sz w:val="20"/>
          <w:szCs w:val="20"/>
        </w:rPr>
        <w:t xml:space="preserve"> </w:t>
      </w:r>
      <w:hyperlink r:id="rId282">
        <w:r>
          <w:rPr>
            <w:color w:val="000000"/>
            <w:sz w:val="20"/>
            <w:szCs w:val="20"/>
          </w:rPr>
          <w:t xml:space="preserve">Office of Resource Conservation, “Cover Crop Program Overview” (Maryland Department of Agriculture, n.d.), https://mda.maryland.gov/resource_conservation/counties/Cover%20Crop%20Program%20Overview.pdf; </w:t>
        </w:r>
        <w:proofErr w:type="spellStart"/>
        <w:r>
          <w:rPr>
            <w:color w:val="000000"/>
            <w:sz w:val="20"/>
            <w:szCs w:val="20"/>
          </w:rPr>
          <w:t>Staver</w:t>
        </w:r>
        <w:proofErr w:type="spellEnd"/>
        <w:r>
          <w:rPr>
            <w:color w:val="000000"/>
            <w:sz w:val="20"/>
            <w:szCs w:val="20"/>
          </w:rPr>
          <w:t xml:space="preserve"> and </w:t>
        </w:r>
        <w:proofErr w:type="spellStart"/>
        <w:r>
          <w:rPr>
            <w:color w:val="000000"/>
            <w:sz w:val="20"/>
            <w:szCs w:val="20"/>
          </w:rPr>
          <w:t>Brinsfield</w:t>
        </w:r>
        <w:proofErr w:type="spellEnd"/>
        <w:r>
          <w:rPr>
            <w:color w:val="000000"/>
            <w:sz w:val="20"/>
            <w:szCs w:val="20"/>
          </w:rPr>
          <w:t>, “University of MD Cover Crop Study.”</w:t>
        </w:r>
      </w:hyperlink>
    </w:p>
  </w:footnote>
  <w:footnote w:id="146">
    <w:p w14:paraId="0000031E" w14:textId="77777777" w:rsidR="002A2321" w:rsidRDefault="002A2321">
      <w:pPr>
        <w:spacing w:line="240" w:lineRule="auto"/>
        <w:rPr>
          <w:sz w:val="20"/>
          <w:szCs w:val="20"/>
        </w:rPr>
      </w:pPr>
      <w:r>
        <w:rPr>
          <w:vertAlign w:val="superscript"/>
        </w:rPr>
        <w:footnoteRef/>
      </w:r>
      <w:r>
        <w:rPr>
          <w:sz w:val="20"/>
          <w:szCs w:val="20"/>
        </w:rPr>
        <w:t xml:space="preserve"> </w:t>
      </w:r>
      <w:hyperlink r:id="rId283">
        <w:r>
          <w:rPr>
            <w:color w:val="000000"/>
            <w:sz w:val="20"/>
            <w:szCs w:val="20"/>
          </w:rPr>
          <w:t>Office of Resource Conservation, “Cover Crop Program Overview.”</w:t>
        </w:r>
      </w:hyperlink>
    </w:p>
  </w:footnote>
  <w:footnote w:id="147">
    <w:p w14:paraId="0000031F" w14:textId="77777777" w:rsidR="002A2321" w:rsidRDefault="002A2321">
      <w:pPr>
        <w:spacing w:line="240" w:lineRule="auto"/>
        <w:rPr>
          <w:sz w:val="20"/>
          <w:szCs w:val="20"/>
        </w:rPr>
      </w:pPr>
      <w:r>
        <w:rPr>
          <w:vertAlign w:val="superscript"/>
        </w:rPr>
        <w:footnoteRef/>
      </w:r>
      <w:r>
        <w:rPr>
          <w:sz w:val="20"/>
          <w:szCs w:val="20"/>
        </w:rPr>
        <w:t xml:space="preserve"> </w:t>
      </w:r>
      <w:hyperlink r:id="rId284">
        <w:proofErr w:type="spellStart"/>
        <w:r>
          <w:rPr>
            <w:color w:val="000000"/>
            <w:sz w:val="20"/>
            <w:szCs w:val="20"/>
          </w:rPr>
          <w:t>Staver</w:t>
        </w:r>
        <w:proofErr w:type="spellEnd"/>
        <w:r>
          <w:rPr>
            <w:color w:val="000000"/>
            <w:sz w:val="20"/>
            <w:szCs w:val="20"/>
          </w:rPr>
          <w:t xml:space="preserve"> and </w:t>
        </w:r>
        <w:proofErr w:type="spellStart"/>
        <w:r>
          <w:rPr>
            <w:color w:val="000000"/>
            <w:sz w:val="20"/>
            <w:szCs w:val="20"/>
          </w:rPr>
          <w:t>Brinsfield</w:t>
        </w:r>
        <w:proofErr w:type="spellEnd"/>
        <w:r>
          <w:rPr>
            <w:color w:val="000000"/>
            <w:sz w:val="20"/>
            <w:szCs w:val="20"/>
          </w:rPr>
          <w:t>, “University of MD Cover Crop Study.”</w:t>
        </w:r>
      </w:hyperlink>
    </w:p>
  </w:footnote>
  <w:footnote w:id="148">
    <w:p w14:paraId="00000320" w14:textId="77777777" w:rsidR="002A2321" w:rsidRDefault="002A2321">
      <w:pPr>
        <w:spacing w:line="240" w:lineRule="auto"/>
        <w:rPr>
          <w:sz w:val="20"/>
          <w:szCs w:val="20"/>
        </w:rPr>
      </w:pPr>
      <w:r>
        <w:rPr>
          <w:vertAlign w:val="superscript"/>
        </w:rPr>
        <w:footnoteRef/>
      </w:r>
      <w:r>
        <w:rPr>
          <w:sz w:val="20"/>
          <w:szCs w:val="20"/>
        </w:rPr>
        <w:t xml:space="preserve"> </w:t>
      </w:r>
      <w:hyperlink r:id="rId285">
        <w:r>
          <w:rPr>
            <w:color w:val="000000"/>
            <w:sz w:val="20"/>
            <w:szCs w:val="20"/>
          </w:rPr>
          <w:t>Chesapeake Bay Program, “Turning Over to No-Till,” accessed January 27, 2019, https://www.chesapeakebay.net/news/blog/turning_over_to_no_till.</w:t>
        </w:r>
      </w:hyperlink>
    </w:p>
  </w:footnote>
  <w:footnote w:id="149">
    <w:p w14:paraId="00000321" w14:textId="77777777" w:rsidR="002A2321" w:rsidRDefault="002A2321">
      <w:pPr>
        <w:spacing w:line="240" w:lineRule="auto"/>
        <w:rPr>
          <w:sz w:val="20"/>
          <w:szCs w:val="20"/>
        </w:rPr>
      </w:pPr>
      <w:r>
        <w:rPr>
          <w:vertAlign w:val="superscript"/>
        </w:rPr>
        <w:footnoteRef/>
      </w:r>
      <w:r>
        <w:rPr>
          <w:sz w:val="20"/>
          <w:szCs w:val="20"/>
        </w:rPr>
        <w:t xml:space="preserve"> </w:t>
      </w:r>
      <w:hyperlink r:id="rId286">
        <w:proofErr w:type="spellStart"/>
        <w:r>
          <w:rPr>
            <w:color w:val="000000"/>
            <w:sz w:val="20"/>
            <w:szCs w:val="20"/>
          </w:rPr>
          <w:t>Mutiu</w:t>
        </w:r>
        <w:proofErr w:type="spellEnd"/>
        <w:r>
          <w:rPr>
            <w:color w:val="000000"/>
            <w:sz w:val="20"/>
            <w:szCs w:val="20"/>
          </w:rPr>
          <w:t xml:space="preserve"> </w:t>
        </w:r>
        <w:proofErr w:type="spellStart"/>
        <w:r>
          <w:rPr>
            <w:color w:val="000000"/>
            <w:sz w:val="20"/>
            <w:szCs w:val="20"/>
          </w:rPr>
          <w:t>Abolanle</w:t>
        </w:r>
        <w:proofErr w:type="spellEnd"/>
        <w:r>
          <w:rPr>
            <w:color w:val="000000"/>
            <w:sz w:val="20"/>
            <w:szCs w:val="20"/>
          </w:rPr>
          <w:t xml:space="preserve"> </w:t>
        </w:r>
        <w:proofErr w:type="spellStart"/>
        <w:r>
          <w:rPr>
            <w:color w:val="000000"/>
            <w:sz w:val="20"/>
            <w:szCs w:val="20"/>
          </w:rPr>
          <w:t>Busari</w:t>
        </w:r>
        <w:proofErr w:type="spellEnd"/>
        <w:r>
          <w:rPr>
            <w:color w:val="000000"/>
            <w:sz w:val="20"/>
            <w:szCs w:val="20"/>
          </w:rPr>
          <w:t xml:space="preserve"> et al., “Conservation Tillage Impacts on Soil, Crop and the Environment,” </w:t>
        </w:r>
      </w:hyperlink>
      <w:hyperlink r:id="rId287">
        <w:r>
          <w:rPr>
            <w:i/>
            <w:color w:val="000000"/>
            <w:sz w:val="20"/>
            <w:szCs w:val="20"/>
          </w:rPr>
          <w:t>International Soil and Water Conservation Research</w:t>
        </w:r>
      </w:hyperlink>
      <w:hyperlink r:id="rId288">
        <w:r>
          <w:rPr>
            <w:color w:val="000000"/>
            <w:sz w:val="20"/>
            <w:szCs w:val="20"/>
          </w:rPr>
          <w:t xml:space="preserve"> 3, no. 2 (June 1, 2015): 119–29.</w:t>
        </w:r>
      </w:hyperlink>
    </w:p>
  </w:footnote>
  <w:footnote w:id="150">
    <w:p w14:paraId="00000322" w14:textId="77777777" w:rsidR="002A2321" w:rsidRDefault="002A2321">
      <w:pPr>
        <w:spacing w:line="240" w:lineRule="auto"/>
        <w:rPr>
          <w:sz w:val="20"/>
          <w:szCs w:val="20"/>
        </w:rPr>
      </w:pPr>
      <w:r>
        <w:rPr>
          <w:vertAlign w:val="superscript"/>
        </w:rPr>
        <w:footnoteRef/>
      </w:r>
      <w:r>
        <w:rPr>
          <w:sz w:val="20"/>
          <w:szCs w:val="20"/>
        </w:rPr>
        <w:t xml:space="preserve"> </w:t>
      </w:r>
      <w:hyperlink r:id="rId289">
        <w:r>
          <w:rPr>
            <w:color w:val="000000"/>
            <w:sz w:val="20"/>
            <w:szCs w:val="20"/>
          </w:rPr>
          <w:t xml:space="preserve">Philip J. </w:t>
        </w:r>
        <w:proofErr w:type="spellStart"/>
        <w:r>
          <w:rPr>
            <w:color w:val="000000"/>
            <w:sz w:val="20"/>
            <w:szCs w:val="20"/>
          </w:rPr>
          <w:t>Gersmehl</w:t>
        </w:r>
        <w:proofErr w:type="spellEnd"/>
        <w:r>
          <w:rPr>
            <w:color w:val="000000"/>
            <w:sz w:val="20"/>
            <w:szCs w:val="20"/>
          </w:rPr>
          <w:t xml:space="preserve">, “No-Till Farming: The Regional Applicability of a Revolutionary Agricultural Technology,” </w:t>
        </w:r>
      </w:hyperlink>
      <w:hyperlink r:id="rId290">
        <w:r>
          <w:rPr>
            <w:i/>
            <w:color w:val="000000"/>
            <w:sz w:val="20"/>
            <w:szCs w:val="20"/>
          </w:rPr>
          <w:t>Geographical Review</w:t>
        </w:r>
      </w:hyperlink>
      <w:hyperlink r:id="rId291">
        <w:r>
          <w:rPr>
            <w:color w:val="000000"/>
            <w:sz w:val="20"/>
            <w:szCs w:val="20"/>
          </w:rPr>
          <w:t xml:space="preserve"> 68, no. 1 (1978): 69; Chesapeake Bay Program, “Turning Over to No-Till.”</w:t>
        </w:r>
      </w:hyperlink>
    </w:p>
  </w:footnote>
  <w:footnote w:id="151">
    <w:p w14:paraId="00000323" w14:textId="77777777" w:rsidR="002A2321" w:rsidRDefault="002A2321">
      <w:pPr>
        <w:spacing w:line="240" w:lineRule="auto"/>
        <w:rPr>
          <w:sz w:val="20"/>
          <w:szCs w:val="20"/>
        </w:rPr>
      </w:pPr>
      <w:r>
        <w:rPr>
          <w:vertAlign w:val="superscript"/>
        </w:rPr>
        <w:footnoteRef/>
      </w:r>
      <w:r>
        <w:rPr>
          <w:sz w:val="20"/>
          <w:szCs w:val="20"/>
        </w:rPr>
        <w:t xml:space="preserve"> </w:t>
      </w:r>
      <w:hyperlink r:id="rId292">
        <w:r>
          <w:rPr>
            <w:color w:val="000000"/>
            <w:sz w:val="20"/>
            <w:szCs w:val="20"/>
          </w:rPr>
          <w:t>James J. Hoorman et al., “Using Cover Crops to Convert to No-Till,” n.d., 9, https://www.nrcs.usda.gov/Internet/FSE_DOCUMENTS/nrcs142p2_023200.pdf.</w:t>
        </w:r>
      </w:hyperlink>
    </w:p>
  </w:footnote>
  <w:footnote w:id="152">
    <w:p w14:paraId="00000324" w14:textId="77777777" w:rsidR="002A2321" w:rsidRDefault="002A2321">
      <w:pPr>
        <w:spacing w:line="240" w:lineRule="auto"/>
        <w:rPr>
          <w:sz w:val="20"/>
          <w:szCs w:val="20"/>
        </w:rPr>
      </w:pPr>
      <w:r>
        <w:rPr>
          <w:vertAlign w:val="superscript"/>
        </w:rPr>
        <w:footnoteRef/>
      </w:r>
      <w:r>
        <w:rPr>
          <w:sz w:val="20"/>
          <w:szCs w:val="20"/>
        </w:rPr>
        <w:t xml:space="preserve"> </w:t>
      </w:r>
      <w:hyperlink r:id="rId293">
        <w:r>
          <w:rPr>
            <w:color w:val="000000"/>
            <w:sz w:val="20"/>
            <w:szCs w:val="20"/>
          </w:rPr>
          <w:t>Dwight Lingenfelter, “Cover Crops for Conservation Tillage Systems,” Penn State Extension, November 1, 2006, https://extension.psu.edu/cover-crops-for-conservation-tillage-systems.</w:t>
        </w:r>
      </w:hyperlink>
    </w:p>
  </w:footnote>
  <w:footnote w:id="153">
    <w:p w14:paraId="00000325" w14:textId="77777777" w:rsidR="002A2321" w:rsidRDefault="002A2321">
      <w:pPr>
        <w:spacing w:line="240" w:lineRule="auto"/>
        <w:rPr>
          <w:sz w:val="20"/>
          <w:szCs w:val="20"/>
        </w:rPr>
      </w:pPr>
      <w:r>
        <w:rPr>
          <w:vertAlign w:val="superscript"/>
        </w:rPr>
        <w:footnoteRef/>
      </w:r>
      <w:r>
        <w:rPr>
          <w:sz w:val="20"/>
          <w:szCs w:val="20"/>
        </w:rPr>
        <w:t xml:space="preserve"> </w:t>
      </w:r>
      <w:hyperlink r:id="rId294">
        <w:r>
          <w:rPr>
            <w:color w:val="000000"/>
            <w:sz w:val="20"/>
            <w:szCs w:val="20"/>
          </w:rPr>
          <w:t>U.S. Department of Agriculture, “Cover Crop Program,” Maryland.Gov, accessed January 27, 2019, https://mda.maryland.gov/resource_conservation/pages/cover_crop.aspx.</w:t>
        </w:r>
      </w:hyperlink>
    </w:p>
  </w:footnote>
  <w:footnote w:id="154">
    <w:p w14:paraId="00000326" w14:textId="77777777" w:rsidR="002A2321" w:rsidRDefault="002A2321">
      <w:pPr>
        <w:spacing w:line="240" w:lineRule="auto"/>
        <w:rPr>
          <w:sz w:val="20"/>
          <w:szCs w:val="20"/>
        </w:rPr>
      </w:pPr>
      <w:r>
        <w:rPr>
          <w:vertAlign w:val="superscript"/>
        </w:rPr>
        <w:footnoteRef/>
      </w:r>
      <w:r>
        <w:rPr>
          <w:sz w:val="20"/>
          <w:szCs w:val="20"/>
        </w:rPr>
        <w:t xml:space="preserve"> </w:t>
      </w:r>
      <w:hyperlink r:id="rId295">
        <w:r>
          <w:rPr>
            <w:color w:val="000000"/>
            <w:sz w:val="20"/>
            <w:szCs w:val="20"/>
          </w:rPr>
          <w:t>The Piedmont Environmental Council, “Virginia Best Management Practice: Continuous No-till Forage Production System (SL-15B),” accessed January 27, 2019, http://www.pecva.org/land-conservation/sources-of-conservation-funding/141-complete-list-of-funds/519-virginia-best-management-practice-continuous-no-till-forage-production-system-sl-15b.</w:t>
        </w:r>
      </w:hyperlink>
    </w:p>
  </w:footnote>
  <w:footnote w:id="155">
    <w:p w14:paraId="00000327" w14:textId="77777777" w:rsidR="002A2321" w:rsidRDefault="002A2321">
      <w:pPr>
        <w:spacing w:line="240" w:lineRule="auto"/>
        <w:rPr>
          <w:sz w:val="20"/>
          <w:szCs w:val="20"/>
        </w:rPr>
      </w:pPr>
      <w:r>
        <w:rPr>
          <w:vertAlign w:val="superscript"/>
        </w:rPr>
        <w:footnoteRef/>
      </w:r>
      <w:r>
        <w:rPr>
          <w:sz w:val="20"/>
          <w:szCs w:val="20"/>
        </w:rPr>
        <w:t xml:space="preserve"> </w:t>
      </w:r>
      <w:hyperlink r:id="rId296">
        <w:r>
          <w:rPr>
            <w:color w:val="000000"/>
            <w:sz w:val="20"/>
            <w:szCs w:val="20"/>
          </w:rPr>
          <w:t>Natural Resource Conservation Services Pennsylvania, “No-till and Cover Crops in Pennsylvania,” accessed January 27, 2019, https://www.nrcs.usda.gov/wps/portal/nrcs/detail/pa/soils/health/?cid=nrcseprd1221425.</w:t>
        </w:r>
      </w:hyperlink>
    </w:p>
  </w:footnote>
  <w:footnote w:id="156">
    <w:p w14:paraId="00000328" w14:textId="77777777" w:rsidR="002A2321" w:rsidRDefault="002A2321">
      <w:pPr>
        <w:spacing w:line="240" w:lineRule="auto"/>
        <w:rPr>
          <w:sz w:val="20"/>
          <w:szCs w:val="20"/>
        </w:rPr>
      </w:pPr>
      <w:r>
        <w:rPr>
          <w:vertAlign w:val="superscript"/>
        </w:rPr>
        <w:footnoteRef/>
      </w:r>
      <w:r>
        <w:rPr>
          <w:sz w:val="20"/>
          <w:szCs w:val="20"/>
        </w:rPr>
        <w:t xml:space="preserve"> Some farms raise livestock as well as crops. Often there is not a “one or the other” between livestock and crop production. Farms use the two in conjunction with crops feeding livestock and the manure returning to the fields as fertilizer. </w:t>
      </w:r>
    </w:p>
  </w:footnote>
  <w:footnote w:id="157">
    <w:p w14:paraId="00000329" w14:textId="77777777" w:rsidR="002A2321" w:rsidRDefault="002A2321">
      <w:pPr>
        <w:spacing w:line="240" w:lineRule="auto"/>
        <w:rPr>
          <w:sz w:val="20"/>
          <w:szCs w:val="20"/>
        </w:rPr>
      </w:pPr>
      <w:r>
        <w:rPr>
          <w:vertAlign w:val="superscript"/>
        </w:rPr>
        <w:footnoteRef/>
      </w:r>
      <w:r>
        <w:rPr>
          <w:sz w:val="20"/>
          <w:szCs w:val="20"/>
        </w:rPr>
        <w:t xml:space="preserve"> </w:t>
      </w:r>
      <w:hyperlink r:id="rId297">
        <w:r>
          <w:rPr>
            <w:color w:val="000000"/>
            <w:sz w:val="20"/>
            <w:szCs w:val="20"/>
          </w:rPr>
          <w:t xml:space="preserve">Robert J. </w:t>
        </w:r>
        <w:proofErr w:type="spellStart"/>
        <w:r>
          <w:rPr>
            <w:color w:val="000000"/>
            <w:sz w:val="20"/>
            <w:szCs w:val="20"/>
          </w:rPr>
          <w:t>Naiman</w:t>
        </w:r>
        <w:proofErr w:type="spellEnd"/>
        <w:r>
          <w:rPr>
            <w:color w:val="000000"/>
            <w:sz w:val="20"/>
            <w:szCs w:val="20"/>
          </w:rPr>
          <w:t xml:space="preserve"> and Henri Decamps, “The Ecology of Interfaces: Riparian Zones,” </w:t>
        </w:r>
      </w:hyperlink>
      <w:hyperlink r:id="rId298">
        <w:r>
          <w:rPr>
            <w:i/>
            <w:color w:val="000000"/>
            <w:sz w:val="20"/>
            <w:szCs w:val="20"/>
          </w:rPr>
          <w:t>Annual Review of Ecology and Systematics</w:t>
        </w:r>
      </w:hyperlink>
      <w:hyperlink r:id="rId299">
        <w:r>
          <w:rPr>
            <w:color w:val="000000"/>
            <w:sz w:val="20"/>
            <w:szCs w:val="20"/>
          </w:rPr>
          <w:t xml:space="preserve"> 28 (1997): 623.</w:t>
        </w:r>
      </w:hyperlink>
    </w:p>
  </w:footnote>
  <w:footnote w:id="158">
    <w:p w14:paraId="0000032A" w14:textId="77777777" w:rsidR="002A2321" w:rsidRDefault="002A2321">
      <w:pPr>
        <w:spacing w:line="240" w:lineRule="auto"/>
        <w:rPr>
          <w:sz w:val="20"/>
          <w:szCs w:val="20"/>
        </w:rPr>
      </w:pPr>
      <w:r>
        <w:rPr>
          <w:vertAlign w:val="superscript"/>
        </w:rPr>
        <w:footnoteRef/>
      </w:r>
      <w:r>
        <w:rPr>
          <w:sz w:val="20"/>
          <w:szCs w:val="20"/>
        </w:rPr>
        <w:t xml:space="preserve"> </w:t>
      </w:r>
      <w:hyperlink r:id="rId300">
        <w:proofErr w:type="spellStart"/>
        <w:r>
          <w:rPr>
            <w:color w:val="000000"/>
            <w:sz w:val="20"/>
            <w:szCs w:val="20"/>
          </w:rPr>
          <w:t>Hassett</w:t>
        </w:r>
        <w:proofErr w:type="spellEnd"/>
        <w:r>
          <w:rPr>
            <w:color w:val="000000"/>
            <w:sz w:val="20"/>
            <w:szCs w:val="20"/>
          </w:rPr>
          <w:t xml:space="preserve"> et al., “Restoring Watersheds Project by Project: Trends in Chesapeake Bay Tributary Restoration,” 262.</w:t>
        </w:r>
      </w:hyperlink>
    </w:p>
  </w:footnote>
  <w:footnote w:id="159">
    <w:p w14:paraId="0000032B" w14:textId="77777777" w:rsidR="002A2321" w:rsidRDefault="002A2321">
      <w:pPr>
        <w:spacing w:line="240" w:lineRule="auto"/>
        <w:rPr>
          <w:sz w:val="20"/>
          <w:szCs w:val="20"/>
        </w:rPr>
      </w:pPr>
      <w:r>
        <w:rPr>
          <w:vertAlign w:val="superscript"/>
        </w:rPr>
        <w:footnoteRef/>
      </w:r>
      <w:r>
        <w:rPr>
          <w:sz w:val="20"/>
          <w:szCs w:val="20"/>
        </w:rPr>
        <w:t xml:space="preserve"> </w:t>
      </w:r>
      <w:hyperlink r:id="rId301">
        <w:r>
          <w:rPr>
            <w:color w:val="000000"/>
            <w:sz w:val="20"/>
            <w:szCs w:val="20"/>
          </w:rPr>
          <w:t>Maryland Department of Natural Resources, “Riparian Forest Buffers,” accessed February 2, 2019, https://dnr.maryland.gov/forests/pages/publications/Sink.aspx.</w:t>
        </w:r>
      </w:hyperlink>
    </w:p>
  </w:footnote>
  <w:footnote w:id="160">
    <w:p w14:paraId="0000032C" w14:textId="77777777" w:rsidR="002A2321" w:rsidRDefault="002A2321">
      <w:pPr>
        <w:spacing w:line="240" w:lineRule="auto"/>
        <w:rPr>
          <w:sz w:val="20"/>
          <w:szCs w:val="20"/>
        </w:rPr>
      </w:pPr>
      <w:r>
        <w:rPr>
          <w:vertAlign w:val="superscript"/>
        </w:rPr>
        <w:footnoteRef/>
      </w:r>
      <w:r>
        <w:rPr>
          <w:sz w:val="20"/>
          <w:szCs w:val="20"/>
        </w:rPr>
        <w:t xml:space="preserve"> </w:t>
      </w:r>
      <w:hyperlink r:id="rId302">
        <w:r>
          <w:rPr>
            <w:color w:val="000000"/>
            <w:sz w:val="20"/>
            <w:szCs w:val="20"/>
          </w:rPr>
          <w:t>Maryland Department of Natural Resources.</w:t>
        </w:r>
      </w:hyperlink>
    </w:p>
  </w:footnote>
  <w:footnote w:id="161">
    <w:p w14:paraId="0000032D" w14:textId="77777777" w:rsidR="002A2321" w:rsidRDefault="002A2321">
      <w:pPr>
        <w:spacing w:line="240" w:lineRule="auto"/>
        <w:rPr>
          <w:sz w:val="20"/>
          <w:szCs w:val="20"/>
        </w:rPr>
      </w:pPr>
      <w:r>
        <w:rPr>
          <w:vertAlign w:val="superscript"/>
        </w:rPr>
        <w:footnoteRef/>
      </w:r>
      <w:r>
        <w:rPr>
          <w:sz w:val="20"/>
          <w:szCs w:val="20"/>
        </w:rPr>
        <w:t xml:space="preserve"> </w:t>
      </w:r>
      <w:hyperlink r:id="rId303">
        <w:r>
          <w:rPr>
            <w:color w:val="000000"/>
            <w:sz w:val="20"/>
            <w:szCs w:val="20"/>
          </w:rPr>
          <w:t>Chesapeake Bay Commission, “Healthy Livestock, Healthy Streams: Policy Actions to Promote Livestock Stream Exclusion,” May 2015, 10–11, http://www.chesbay.us/Publications/Healthy%20Livestock,%20Healthy%20Streams.pdf.</w:t>
        </w:r>
      </w:hyperlink>
    </w:p>
  </w:footnote>
  <w:footnote w:id="162">
    <w:p w14:paraId="0000032E" w14:textId="77777777" w:rsidR="002A2321" w:rsidRDefault="002A2321">
      <w:pPr>
        <w:spacing w:line="240" w:lineRule="auto"/>
        <w:rPr>
          <w:sz w:val="20"/>
          <w:szCs w:val="20"/>
        </w:rPr>
      </w:pPr>
      <w:r>
        <w:rPr>
          <w:vertAlign w:val="superscript"/>
        </w:rPr>
        <w:footnoteRef/>
      </w:r>
      <w:r>
        <w:rPr>
          <w:sz w:val="20"/>
          <w:szCs w:val="20"/>
        </w:rPr>
        <w:t xml:space="preserve"> </w:t>
      </w:r>
      <w:hyperlink r:id="rId304">
        <w:r>
          <w:rPr>
            <w:color w:val="000000"/>
            <w:sz w:val="20"/>
            <w:szCs w:val="20"/>
          </w:rPr>
          <w:t xml:space="preserve">Pelton, </w:t>
        </w:r>
      </w:hyperlink>
      <w:hyperlink r:id="rId305">
        <w:r>
          <w:rPr>
            <w:i/>
            <w:color w:val="000000"/>
            <w:sz w:val="20"/>
            <w:szCs w:val="20"/>
          </w:rPr>
          <w:t>The Chesapeake in Focus: Transforming the Natural World</w:t>
        </w:r>
      </w:hyperlink>
      <w:hyperlink r:id="rId306">
        <w:r>
          <w:rPr>
            <w:color w:val="000000"/>
            <w:sz w:val="20"/>
            <w:szCs w:val="20"/>
          </w:rPr>
          <w:t>, 191–192.</w:t>
        </w:r>
      </w:hyperlink>
    </w:p>
  </w:footnote>
  <w:footnote w:id="163">
    <w:p w14:paraId="0000032F" w14:textId="77777777" w:rsidR="002A2321" w:rsidRDefault="002A2321">
      <w:pPr>
        <w:spacing w:line="240" w:lineRule="auto"/>
        <w:rPr>
          <w:sz w:val="20"/>
          <w:szCs w:val="20"/>
        </w:rPr>
      </w:pPr>
      <w:r>
        <w:rPr>
          <w:vertAlign w:val="superscript"/>
        </w:rPr>
        <w:footnoteRef/>
      </w:r>
      <w:r>
        <w:rPr>
          <w:sz w:val="20"/>
          <w:szCs w:val="20"/>
        </w:rPr>
        <w:t xml:space="preserve"> </w:t>
      </w:r>
      <w:hyperlink r:id="rId307">
        <w:r>
          <w:rPr>
            <w:color w:val="000000"/>
            <w:sz w:val="20"/>
            <w:szCs w:val="20"/>
          </w:rPr>
          <w:t>Chesapeake Bay Program, “Forest Buffers,” accessed February 2, 2019, https://www.chesapeakebay.net/issues/forest_buffers.</w:t>
        </w:r>
      </w:hyperlink>
    </w:p>
  </w:footnote>
  <w:footnote w:id="164">
    <w:p w14:paraId="00000330" w14:textId="77777777" w:rsidR="002A2321" w:rsidRDefault="002A2321">
      <w:pPr>
        <w:spacing w:line="240" w:lineRule="auto"/>
        <w:rPr>
          <w:sz w:val="20"/>
          <w:szCs w:val="20"/>
        </w:rPr>
      </w:pPr>
      <w:r>
        <w:rPr>
          <w:vertAlign w:val="superscript"/>
        </w:rPr>
        <w:footnoteRef/>
      </w:r>
      <w:r>
        <w:rPr>
          <w:sz w:val="20"/>
          <w:szCs w:val="20"/>
        </w:rPr>
        <w:t xml:space="preserve"> </w:t>
      </w:r>
      <w:hyperlink r:id="rId308">
        <w:r>
          <w:rPr>
            <w:color w:val="000000"/>
            <w:sz w:val="20"/>
            <w:szCs w:val="20"/>
          </w:rPr>
          <w:t xml:space="preserve">Chesapeake Bay Commission, “Healthy Livestock, Healthy Streams: Policy Actions to Promote Livestock Stream Exclusion,” 3; Pelton, </w:t>
        </w:r>
      </w:hyperlink>
      <w:hyperlink r:id="rId309">
        <w:r>
          <w:rPr>
            <w:i/>
            <w:color w:val="000000"/>
            <w:sz w:val="20"/>
            <w:szCs w:val="20"/>
          </w:rPr>
          <w:t>The Chesapeake in Focus: Transforming the Natural World</w:t>
        </w:r>
      </w:hyperlink>
      <w:hyperlink r:id="rId310">
        <w:r>
          <w:rPr>
            <w:color w:val="000000"/>
            <w:sz w:val="20"/>
            <w:szCs w:val="20"/>
          </w:rPr>
          <w:t>, 166–167.</w:t>
        </w:r>
      </w:hyperlink>
    </w:p>
  </w:footnote>
  <w:footnote w:id="165">
    <w:p w14:paraId="00000331" w14:textId="77777777" w:rsidR="002A2321" w:rsidRDefault="002A2321">
      <w:pPr>
        <w:spacing w:line="240" w:lineRule="auto"/>
        <w:rPr>
          <w:sz w:val="20"/>
          <w:szCs w:val="20"/>
        </w:rPr>
      </w:pPr>
      <w:r>
        <w:rPr>
          <w:vertAlign w:val="superscript"/>
        </w:rPr>
        <w:footnoteRef/>
      </w:r>
      <w:r>
        <w:rPr>
          <w:sz w:val="20"/>
          <w:szCs w:val="20"/>
        </w:rPr>
        <w:t xml:space="preserve"> </w:t>
      </w:r>
      <w:hyperlink r:id="rId311">
        <w:r>
          <w:rPr>
            <w:color w:val="000000"/>
            <w:sz w:val="20"/>
            <w:szCs w:val="20"/>
          </w:rPr>
          <w:t>Chesapeake Bay Commission, “Healthy Livestock, Healthy Streams: Policy Actions to Promote Livestock Stream Exclusion,” 7.</w:t>
        </w:r>
      </w:hyperlink>
    </w:p>
  </w:footnote>
  <w:footnote w:id="166">
    <w:p w14:paraId="00000332" w14:textId="77777777" w:rsidR="002A2321" w:rsidRDefault="002A2321">
      <w:pPr>
        <w:spacing w:line="240" w:lineRule="auto"/>
        <w:rPr>
          <w:sz w:val="20"/>
          <w:szCs w:val="20"/>
        </w:rPr>
      </w:pPr>
      <w:r>
        <w:rPr>
          <w:vertAlign w:val="superscript"/>
        </w:rPr>
        <w:footnoteRef/>
      </w:r>
      <w:r>
        <w:rPr>
          <w:sz w:val="20"/>
          <w:szCs w:val="20"/>
        </w:rPr>
        <w:t xml:space="preserve"> </w:t>
      </w:r>
      <w:hyperlink r:id="rId312">
        <w:r>
          <w:rPr>
            <w:color w:val="000000"/>
            <w:sz w:val="20"/>
            <w:szCs w:val="20"/>
          </w:rPr>
          <w:t xml:space="preserve">Chesapeake Bay Commission, 7; Pelton, </w:t>
        </w:r>
      </w:hyperlink>
      <w:hyperlink r:id="rId313">
        <w:r>
          <w:rPr>
            <w:i/>
            <w:color w:val="000000"/>
            <w:sz w:val="20"/>
            <w:szCs w:val="20"/>
          </w:rPr>
          <w:t>The Chesapeake in Focus: Transforming the Natural World</w:t>
        </w:r>
      </w:hyperlink>
      <w:hyperlink r:id="rId314">
        <w:r>
          <w:rPr>
            <w:color w:val="000000"/>
            <w:sz w:val="20"/>
            <w:szCs w:val="20"/>
          </w:rPr>
          <w:t>, 166.</w:t>
        </w:r>
      </w:hyperlink>
    </w:p>
  </w:footnote>
  <w:footnote w:id="167">
    <w:p w14:paraId="00000333" w14:textId="77777777" w:rsidR="002A2321" w:rsidRDefault="002A2321">
      <w:pPr>
        <w:spacing w:line="240" w:lineRule="auto"/>
        <w:rPr>
          <w:sz w:val="20"/>
          <w:szCs w:val="20"/>
        </w:rPr>
      </w:pPr>
      <w:r>
        <w:rPr>
          <w:vertAlign w:val="superscript"/>
        </w:rPr>
        <w:footnoteRef/>
      </w:r>
      <w:r>
        <w:rPr>
          <w:sz w:val="20"/>
          <w:szCs w:val="20"/>
        </w:rPr>
        <w:t xml:space="preserve"> </w:t>
      </w:r>
      <w:hyperlink r:id="rId315">
        <w:r>
          <w:rPr>
            <w:color w:val="000000"/>
            <w:sz w:val="20"/>
            <w:szCs w:val="20"/>
          </w:rPr>
          <w:t>Chesapeake Bay Commission, “Healthy Livestock, Healthy Streams: Policy Actions to Promote Livestock Stream Exclusion,” 7–8.</w:t>
        </w:r>
      </w:hyperlink>
    </w:p>
  </w:footnote>
  <w:footnote w:id="168">
    <w:p w14:paraId="00000334" w14:textId="77777777" w:rsidR="002A2321" w:rsidRDefault="002A2321">
      <w:pPr>
        <w:spacing w:line="240" w:lineRule="auto"/>
        <w:rPr>
          <w:sz w:val="20"/>
          <w:szCs w:val="20"/>
        </w:rPr>
      </w:pPr>
      <w:r>
        <w:rPr>
          <w:vertAlign w:val="superscript"/>
        </w:rPr>
        <w:footnoteRef/>
      </w:r>
      <w:r>
        <w:rPr>
          <w:sz w:val="20"/>
          <w:szCs w:val="20"/>
        </w:rPr>
        <w:t xml:space="preserve"> </w:t>
      </w:r>
      <w:hyperlink r:id="rId316">
        <w:r>
          <w:rPr>
            <w:color w:val="000000"/>
            <w:sz w:val="20"/>
            <w:szCs w:val="20"/>
          </w:rPr>
          <w:t>Maryland Department of the Environment, “General Discharge Permit for Animal Feeding Operations,” August 1, 2016, 14, https://mde.maryland.gov/programs/LAND/RecyclingandOperationsprogram/Documents/AFO_GD_Permit_14AFA_MDG01A.pdf.</w:t>
        </w:r>
      </w:hyperlink>
    </w:p>
  </w:footnote>
  <w:footnote w:id="169">
    <w:p w14:paraId="00000335" w14:textId="77777777" w:rsidR="002A2321" w:rsidRDefault="002A2321">
      <w:pPr>
        <w:spacing w:line="240" w:lineRule="auto"/>
        <w:rPr>
          <w:sz w:val="20"/>
          <w:szCs w:val="20"/>
        </w:rPr>
      </w:pPr>
      <w:r>
        <w:rPr>
          <w:vertAlign w:val="superscript"/>
        </w:rPr>
        <w:footnoteRef/>
      </w:r>
      <w:r>
        <w:rPr>
          <w:sz w:val="20"/>
          <w:szCs w:val="20"/>
        </w:rPr>
        <w:t xml:space="preserve"> </w:t>
      </w:r>
      <w:hyperlink r:id="rId317">
        <w:r>
          <w:rPr>
            <w:color w:val="000000"/>
            <w:sz w:val="20"/>
            <w:szCs w:val="20"/>
          </w:rPr>
          <w:t>“Pennsylvania Statutes Title 35 P.S. Health and Safety § 691.702 | FindLaw,” Findlaw, accessed February 3, 2019, https://codes.findlaw.com/pa/title-35-ps-health-and-safety/pa-st-sect-35-691-702.html.</w:t>
        </w:r>
      </w:hyperlink>
    </w:p>
  </w:footnote>
  <w:footnote w:id="170">
    <w:p w14:paraId="00000336" w14:textId="77777777" w:rsidR="002A2321" w:rsidRDefault="002A2321">
      <w:pPr>
        <w:spacing w:line="240" w:lineRule="auto"/>
        <w:rPr>
          <w:sz w:val="20"/>
          <w:szCs w:val="20"/>
        </w:rPr>
      </w:pPr>
      <w:r>
        <w:rPr>
          <w:vertAlign w:val="superscript"/>
        </w:rPr>
        <w:footnoteRef/>
      </w:r>
      <w:r>
        <w:rPr>
          <w:sz w:val="20"/>
          <w:szCs w:val="20"/>
        </w:rPr>
        <w:t xml:space="preserve"> </w:t>
      </w:r>
      <w:hyperlink r:id="rId318">
        <w:r>
          <w:rPr>
            <w:color w:val="000000"/>
            <w:sz w:val="20"/>
            <w:szCs w:val="20"/>
          </w:rPr>
          <w:t>Whitescarver Natural Resource Management, “Why Do Farmers Fence Their Livestock Out of Streams?,” Getting More on the Ground, March 26, 2014, https://www.gettingmoreontheground.com/2014/03/26/dr-wise-on-livestock-stream-exclusion/; “Fencing Out Streams Win-Win for Livestock, Conservation,” Gallagher, accessed March 30, 2019, https://am.gallagher.com/us/in-practice/fencing-out-streams-win-win-for-livestock-conservation; R. Zeckoski, B. Benhan, and C. Lunsford, “Streamside Livestock Exclusion: A Tool for Increasing Farm Income and Improving Water Quality” (Virginia Cooperative Extension, September 2007), https://vtechworks.lib.vt.edu/bitstream/handle/10919/48073/442-766_pdf.pdf?sequence=1&amp;isAllowed=y.</w:t>
        </w:r>
      </w:hyperlink>
    </w:p>
    <w:p w14:paraId="00000337" w14:textId="77777777" w:rsidR="002A2321" w:rsidRDefault="002A2321">
      <w:pPr>
        <w:widowControl w:val="0"/>
        <w:pBdr>
          <w:top w:val="nil"/>
          <w:left w:val="nil"/>
          <w:bottom w:val="nil"/>
          <w:right w:val="nil"/>
          <w:between w:val="nil"/>
        </w:pBdr>
        <w:spacing w:line="276" w:lineRule="auto"/>
        <w:rPr>
          <w:sz w:val="20"/>
          <w:szCs w:val="20"/>
        </w:rPr>
      </w:pPr>
    </w:p>
  </w:footnote>
  <w:footnote w:id="171">
    <w:p w14:paraId="00000338" w14:textId="77777777" w:rsidR="002A2321" w:rsidRDefault="002A2321">
      <w:pPr>
        <w:spacing w:line="240" w:lineRule="auto"/>
        <w:rPr>
          <w:sz w:val="20"/>
          <w:szCs w:val="20"/>
        </w:rPr>
      </w:pPr>
      <w:r>
        <w:rPr>
          <w:vertAlign w:val="superscript"/>
        </w:rPr>
        <w:footnoteRef/>
      </w:r>
      <w:r>
        <w:rPr>
          <w:sz w:val="20"/>
          <w:szCs w:val="20"/>
        </w:rPr>
        <w:t xml:space="preserve"> </w:t>
      </w:r>
      <w:hyperlink r:id="rId319">
        <w:r>
          <w:rPr>
            <w:color w:val="000000"/>
            <w:sz w:val="20"/>
            <w:szCs w:val="20"/>
          </w:rPr>
          <w:t>Chesapeake Bay Commission, “Healthy Livestock, Healthy Streams: Policy Actions to Promote Livestock Stream Exclusion,” 14–15; Farm Service Agency, “Conservation Reserve Enhancement Program - Maryland Chesapeake Bay Fact Sheet” (USDA, April 2018), https://www.fsa.usda.gov/Assets/USDA-FSA-Public/usdafiles/FactSheets/2018/crep_maryland_factsheet_apr2018.pdf; Farm Service Agency, “Conservation Reserve Enhancement Program - Virginia Chesapeake Bay Fact Sheet,” August 2017, https://www.fsa.usda.gov/Assets/USDA-FSA-Public/usdafiles/FactSheets/2017/crep_virginia_chesapeake_bay_aug2017.pdf; Farm Service Agency, “Conservation Reserve Enhancement Program - Pennsylvania Chesapeake Bay Watershed Fact Sheet” (USDA, September 2016), https://www.fsa.usda.gov/Assets/USDA-FSA-Public/usdafiles/FactSheets/2016/crep_pennsylvania_chesapeake_bay_watershed.pdf.</w:t>
        </w:r>
      </w:hyperlink>
    </w:p>
  </w:footnote>
  <w:footnote w:id="172">
    <w:p w14:paraId="00000339" w14:textId="77777777" w:rsidR="002A2321" w:rsidRDefault="002A2321">
      <w:pPr>
        <w:spacing w:line="240" w:lineRule="auto"/>
        <w:rPr>
          <w:sz w:val="20"/>
          <w:szCs w:val="20"/>
        </w:rPr>
      </w:pPr>
      <w:r>
        <w:rPr>
          <w:vertAlign w:val="superscript"/>
        </w:rPr>
        <w:footnoteRef/>
      </w:r>
      <w:r>
        <w:rPr>
          <w:sz w:val="20"/>
          <w:szCs w:val="20"/>
        </w:rPr>
        <w:t xml:space="preserve"> </w:t>
      </w:r>
      <w:hyperlink r:id="rId320">
        <w:r>
          <w:rPr>
            <w:color w:val="000000"/>
            <w:sz w:val="20"/>
            <w:szCs w:val="20"/>
          </w:rPr>
          <w:t>Chesapeake Bay Commission, “Healthy Livestock, Healthy Streams: Policy Actions to Promote Livestock Stream Exclusion,” 14–15; U.S. Department of Agriculture, “Environmental Quality Incentives Program,” Natural Resource Conservation Service Pennsylvania, accessed February 3, 2019, https://www.nrcs.usda.gov/wps/portal/nrcs/main/pa/programs/financial/eqip/; U.S. Department of Agriculture, “Environmental Quality Incentives Program,” Natural Resource Conservation Service Maryland, accessed February 3, 2019, https://www.nrcs.usda.gov/wps/portal/nrcs/main/md/programs/financial/eqip/; U.S. Department of Agriculture, “Environmental Quality Incentives Program,” Natural Resource Conservation Service Virginia, accessed February 3, 2019, https://www.nrcs.usda.gov/wps/portal/nrcs/main/va/programs/financial/eqip/.</w:t>
        </w:r>
      </w:hyperlink>
    </w:p>
  </w:footnote>
  <w:footnote w:id="173">
    <w:p w14:paraId="0000033C" w14:textId="77777777" w:rsidR="002A2321" w:rsidRDefault="002A2321">
      <w:pPr>
        <w:spacing w:line="240" w:lineRule="auto"/>
        <w:rPr>
          <w:sz w:val="20"/>
          <w:szCs w:val="20"/>
        </w:rPr>
      </w:pPr>
      <w:r>
        <w:rPr>
          <w:vertAlign w:val="superscript"/>
        </w:rPr>
        <w:footnoteRef/>
      </w:r>
      <w:r>
        <w:rPr>
          <w:sz w:val="20"/>
          <w:szCs w:val="20"/>
        </w:rPr>
        <w:t xml:space="preserve"> </w:t>
      </w:r>
      <w:hyperlink r:id="rId321">
        <w:r>
          <w:rPr>
            <w:color w:val="000000"/>
            <w:sz w:val="20"/>
            <w:szCs w:val="20"/>
          </w:rPr>
          <w:t>Chesapeake Bay Foundation, “Federal Farm Bill,” December 20, 2018, http://www.cbf.org/about-cbf/locations/washington-dc/issues/federal-farm-bill.html.</w:t>
        </w:r>
      </w:hyperlink>
    </w:p>
  </w:footnote>
  <w:footnote w:id="174">
    <w:p w14:paraId="0000033E" w14:textId="615729F7" w:rsidR="002A2321" w:rsidRDefault="002A2321" w:rsidP="00BC2006">
      <w:pPr>
        <w:spacing w:line="240" w:lineRule="auto"/>
        <w:rPr>
          <w:sz w:val="20"/>
          <w:szCs w:val="20"/>
        </w:rPr>
      </w:pPr>
      <w:r>
        <w:rPr>
          <w:vertAlign w:val="superscript"/>
        </w:rPr>
        <w:footnoteRef/>
      </w:r>
      <w:r>
        <w:rPr>
          <w:sz w:val="20"/>
          <w:szCs w:val="20"/>
        </w:rPr>
        <w:t xml:space="preserve"> </w:t>
      </w:r>
      <w:hyperlink r:id="rId322">
        <w:r>
          <w:rPr>
            <w:color w:val="000000"/>
            <w:sz w:val="20"/>
            <w:szCs w:val="20"/>
          </w:rPr>
          <w:t>U.S. Department of Agriculture, “Agricultural Conservation Easement Program | NRCS,” Natural Resource Conservation Services, accessed February 3, 2019, https://www.nrcs.usda.gov/wps/portal/nrcs/main/national/programs/easements/acep/.</w:t>
        </w:r>
      </w:hyperlink>
    </w:p>
  </w:footnote>
  <w:footnote w:id="175">
    <w:p w14:paraId="0000033F" w14:textId="77777777" w:rsidR="002A2321" w:rsidRDefault="002A2321">
      <w:pPr>
        <w:spacing w:line="240" w:lineRule="auto"/>
        <w:rPr>
          <w:sz w:val="20"/>
          <w:szCs w:val="20"/>
        </w:rPr>
      </w:pPr>
      <w:r>
        <w:rPr>
          <w:vertAlign w:val="superscript"/>
        </w:rPr>
        <w:footnoteRef/>
      </w:r>
      <w:r>
        <w:rPr>
          <w:sz w:val="20"/>
          <w:szCs w:val="20"/>
        </w:rPr>
        <w:t xml:space="preserve"> </w:t>
      </w:r>
      <w:hyperlink r:id="rId323">
        <w:r>
          <w:rPr>
            <w:color w:val="000000"/>
            <w:sz w:val="20"/>
            <w:szCs w:val="20"/>
          </w:rPr>
          <w:t>“Farmland Preservation,” Pennsylvania Department of Agriculture, accessed February 3, 2019, https://www.agriculture.pa.gov/Plants_Land_Water/farmland/Pages/default.aspx.</w:t>
        </w:r>
      </w:hyperlink>
    </w:p>
  </w:footnote>
  <w:footnote w:id="176">
    <w:p w14:paraId="00000340" w14:textId="77777777" w:rsidR="002A2321" w:rsidRDefault="002A2321">
      <w:pPr>
        <w:spacing w:line="240" w:lineRule="auto"/>
        <w:rPr>
          <w:sz w:val="20"/>
          <w:szCs w:val="20"/>
        </w:rPr>
      </w:pPr>
      <w:r>
        <w:rPr>
          <w:vertAlign w:val="superscript"/>
        </w:rPr>
        <w:footnoteRef/>
      </w:r>
      <w:r>
        <w:rPr>
          <w:sz w:val="20"/>
          <w:szCs w:val="20"/>
        </w:rPr>
        <w:t xml:space="preserve"> </w:t>
      </w:r>
      <w:hyperlink r:id="rId324">
        <w:r>
          <w:rPr>
            <w:color w:val="000000"/>
            <w:sz w:val="20"/>
            <w:szCs w:val="20"/>
          </w:rPr>
          <w:t>Roxann Miller, “Pennsylvania Is a Leader in Preserving America’s Rich Farmland,” Herald-Mail Media, November 8, 2014, https://www.heraldmailmedia.com/news/tri_state/pennsylvania/pennsylvania-is-a-leader-in-preserving-america-s-rich-farmland/article_d71b21c0-c130-5694-8e3f-4027ab9fc719.html; “Agricultural Conservation Easement Purchase Program,” Conservation Tools, accessed March 30, 2019, https://conservationtools.org/guides/47-agricultural-conservation-easement-purchase-program.</w:t>
        </w:r>
      </w:hyperlink>
    </w:p>
  </w:footnote>
  <w:footnote w:id="177">
    <w:p w14:paraId="00000341" w14:textId="77777777" w:rsidR="002A2321" w:rsidRDefault="002A2321">
      <w:pPr>
        <w:spacing w:line="240" w:lineRule="auto"/>
        <w:rPr>
          <w:sz w:val="20"/>
          <w:szCs w:val="20"/>
        </w:rPr>
      </w:pPr>
      <w:r>
        <w:rPr>
          <w:vertAlign w:val="superscript"/>
        </w:rPr>
        <w:footnoteRef/>
      </w:r>
      <w:r>
        <w:rPr>
          <w:sz w:val="20"/>
          <w:szCs w:val="20"/>
        </w:rPr>
        <w:t xml:space="preserve"> </w:t>
      </w:r>
      <w:hyperlink r:id="rId325">
        <w:r>
          <w:rPr>
            <w:color w:val="000000"/>
            <w:sz w:val="20"/>
            <w:szCs w:val="20"/>
          </w:rPr>
          <w:t>Bureau of Farmland Preservation, “Bureau of Farmland Preservation 2016-17 Annual Report” (Pennsylvania Department of Agriculture, May 2018), https://www.agriculture.pa.gov/Plants_Land_Water/farmland/Documents/Farmland%20Preservation%20Annual%20Report%202017%20complete.pdf.</w:t>
        </w:r>
      </w:hyperlink>
    </w:p>
  </w:footnote>
  <w:footnote w:id="178">
    <w:p w14:paraId="00000342" w14:textId="77777777" w:rsidR="002A2321" w:rsidRDefault="002A2321">
      <w:pPr>
        <w:spacing w:line="240" w:lineRule="auto"/>
        <w:rPr>
          <w:sz w:val="20"/>
          <w:szCs w:val="20"/>
        </w:rPr>
      </w:pPr>
      <w:r>
        <w:rPr>
          <w:vertAlign w:val="superscript"/>
        </w:rPr>
        <w:footnoteRef/>
      </w:r>
      <w:r>
        <w:rPr>
          <w:sz w:val="20"/>
          <w:szCs w:val="20"/>
        </w:rPr>
        <w:t xml:space="preserve"> </w:t>
      </w:r>
      <w:hyperlink r:id="rId326">
        <w:r>
          <w:rPr>
            <w:color w:val="000000"/>
            <w:sz w:val="20"/>
            <w:szCs w:val="20"/>
          </w:rPr>
          <w:t>Elizabeth Carter to David Weir, September 25, 2018; Virginia Outdoors Foundation, “VOF Easement Guidelines” (Virginia Outdoors Foundation, January 2017), http://www.virginiaoutdoorsfoundation.org/download/easement-docs/vof_easement_guidelines.pdf.</w:t>
        </w:r>
      </w:hyperlink>
    </w:p>
  </w:footnote>
  <w:footnote w:id="179">
    <w:p w14:paraId="711B2E87" w14:textId="77777777" w:rsidR="002A2321" w:rsidRDefault="002A2321">
      <w:pPr>
        <w:spacing w:line="240" w:lineRule="auto"/>
        <w:rPr>
          <w:sz w:val="20"/>
          <w:szCs w:val="20"/>
        </w:rPr>
      </w:pPr>
      <w:r>
        <w:rPr>
          <w:vertAlign w:val="superscript"/>
        </w:rPr>
        <w:footnoteRef/>
      </w:r>
      <w:r>
        <w:rPr>
          <w:sz w:val="20"/>
          <w:szCs w:val="20"/>
        </w:rPr>
        <w:t xml:space="preserve"> </w:t>
      </w:r>
      <w:hyperlink r:id="rId327">
        <w:r>
          <w:rPr>
            <w:color w:val="000000"/>
            <w:sz w:val="20"/>
            <w:szCs w:val="20"/>
          </w:rPr>
          <w:t>Eastern Shore Land Conservancy, “Land Preservation,” Eastern Shore Land Conservancy, accessed February 3, 2019, https://www.eslc.org/land-preservation/.</w:t>
        </w:r>
      </w:hyperlink>
    </w:p>
  </w:footnote>
  <w:footnote w:id="180">
    <w:p w14:paraId="3AD4F392" w14:textId="77777777" w:rsidR="002A2321" w:rsidRDefault="002A2321">
      <w:pPr>
        <w:spacing w:line="240" w:lineRule="auto"/>
        <w:rPr>
          <w:sz w:val="20"/>
          <w:szCs w:val="20"/>
        </w:rPr>
      </w:pPr>
      <w:r>
        <w:rPr>
          <w:vertAlign w:val="superscript"/>
        </w:rPr>
        <w:footnoteRef/>
      </w:r>
      <w:r>
        <w:rPr>
          <w:sz w:val="20"/>
          <w:szCs w:val="20"/>
        </w:rPr>
        <w:t xml:space="preserve"> </w:t>
      </w:r>
      <w:hyperlink r:id="rId328">
        <w:r>
          <w:rPr>
            <w:color w:val="000000"/>
            <w:sz w:val="20"/>
            <w:szCs w:val="20"/>
          </w:rPr>
          <w:t>Carter to Weir, September 25, 2018.</w:t>
        </w:r>
      </w:hyperlink>
    </w:p>
  </w:footnote>
  <w:footnote w:id="181">
    <w:p w14:paraId="1690EBB4" w14:textId="77777777" w:rsidR="002A2321" w:rsidRDefault="002A2321">
      <w:pPr>
        <w:spacing w:line="240" w:lineRule="auto"/>
        <w:rPr>
          <w:sz w:val="20"/>
          <w:szCs w:val="20"/>
        </w:rPr>
      </w:pPr>
      <w:r>
        <w:rPr>
          <w:vertAlign w:val="superscript"/>
        </w:rPr>
        <w:footnoteRef/>
      </w:r>
      <w:r>
        <w:rPr>
          <w:sz w:val="20"/>
          <w:szCs w:val="20"/>
        </w:rPr>
        <w:t xml:space="preserve"> </w:t>
      </w:r>
      <w:hyperlink r:id="rId329">
        <w:r>
          <w:rPr>
            <w:color w:val="000000"/>
            <w:sz w:val="20"/>
            <w:szCs w:val="20"/>
          </w:rPr>
          <w:t>Jennifer Perkins to David Weir, September 24, 2018.</w:t>
        </w:r>
      </w:hyperlink>
    </w:p>
  </w:footnote>
  <w:footnote w:id="182">
    <w:p w14:paraId="50AF0CB1" w14:textId="77777777" w:rsidR="002A2321" w:rsidRDefault="002A2321">
      <w:pPr>
        <w:spacing w:line="240" w:lineRule="auto"/>
        <w:rPr>
          <w:sz w:val="20"/>
          <w:szCs w:val="20"/>
        </w:rPr>
      </w:pPr>
      <w:r>
        <w:rPr>
          <w:vertAlign w:val="superscript"/>
        </w:rPr>
        <w:footnoteRef/>
      </w:r>
      <w:r>
        <w:rPr>
          <w:sz w:val="20"/>
          <w:szCs w:val="20"/>
        </w:rPr>
        <w:t xml:space="preserve"> </w:t>
      </w:r>
      <w:hyperlink r:id="rId330">
        <w:r>
          <w:rPr>
            <w:color w:val="000000"/>
            <w:sz w:val="20"/>
            <w:szCs w:val="20"/>
          </w:rPr>
          <w:t>Virginia Outdoors Foundation, “VOF Easement Guidelines.”</w:t>
        </w:r>
      </w:hyperlink>
    </w:p>
  </w:footnote>
  <w:footnote w:id="183">
    <w:p w14:paraId="00000347" w14:textId="77777777" w:rsidR="002A2321" w:rsidRDefault="002A2321">
      <w:pPr>
        <w:spacing w:line="240" w:lineRule="auto"/>
        <w:rPr>
          <w:sz w:val="20"/>
          <w:szCs w:val="20"/>
        </w:rPr>
      </w:pPr>
      <w:r>
        <w:rPr>
          <w:vertAlign w:val="superscript"/>
        </w:rPr>
        <w:footnoteRef/>
      </w:r>
      <w:r>
        <w:rPr>
          <w:sz w:val="20"/>
          <w:szCs w:val="20"/>
        </w:rPr>
        <w:t xml:space="preserve"> </w:t>
      </w:r>
      <w:hyperlink r:id="rId331">
        <w:r>
          <w:rPr>
            <w:color w:val="000000"/>
            <w:sz w:val="20"/>
            <w:szCs w:val="20"/>
          </w:rPr>
          <w:t>“The 2014 Farm Bill,” The 2014 Farm Bill, accessed May 21, 2017, http://www.thefarmbill.com/title-2-main-conservation-programs.</w:t>
        </w:r>
      </w:hyperlink>
    </w:p>
  </w:footnote>
  <w:footnote w:id="184">
    <w:p w14:paraId="00000348" w14:textId="77777777" w:rsidR="002A2321" w:rsidRDefault="002A2321">
      <w:pPr>
        <w:spacing w:line="240" w:lineRule="auto"/>
        <w:rPr>
          <w:sz w:val="20"/>
          <w:szCs w:val="20"/>
        </w:rPr>
      </w:pPr>
      <w:r>
        <w:rPr>
          <w:vertAlign w:val="superscript"/>
        </w:rPr>
        <w:footnoteRef/>
      </w:r>
      <w:r>
        <w:rPr>
          <w:sz w:val="20"/>
          <w:szCs w:val="20"/>
        </w:rPr>
        <w:t xml:space="preserve"> </w:t>
      </w:r>
      <w:hyperlink r:id="rId332">
        <w:r>
          <w:rPr>
            <w:color w:val="000000"/>
            <w:sz w:val="20"/>
            <w:szCs w:val="20"/>
          </w:rPr>
          <w:t>Land Trust Alliance, “Farm Bill Conservation Programs,” Land Trust Alliance: Federal Programs, accessed May 21, 2017, http://www.landtrustalliance.org/topics/federal-programs/farm-bill-conservation-programs.</w:t>
        </w:r>
      </w:hyperlink>
      <w:r>
        <w:rPr>
          <w:sz w:val="20"/>
          <w:szCs w:val="20"/>
        </w:rPr>
        <w:t xml:space="preserve">; There will be guidelines laid out through the state agencies making funds available so familiarity with each state’s practices will be needed when pursuing these funds. The linked article discusses the success of the Delaware program: </w:t>
      </w:r>
      <w:hyperlink r:id="rId333">
        <w:r>
          <w:rPr>
            <w:color w:val="000000"/>
            <w:sz w:val="20"/>
            <w:szCs w:val="20"/>
          </w:rPr>
          <w:t xml:space="preserve">ESRI, </w:t>
        </w:r>
      </w:hyperlink>
      <w:hyperlink r:id="rId334">
        <w:r>
          <w:rPr>
            <w:i/>
            <w:color w:val="000000"/>
            <w:sz w:val="20"/>
            <w:szCs w:val="20"/>
          </w:rPr>
          <w:t>Estimated Market Value of Land and Buildings, Average per Farm: 2012</w:t>
        </w:r>
      </w:hyperlink>
      <w:hyperlink r:id="rId335">
        <w:r>
          <w:rPr>
            <w:color w:val="000000"/>
            <w:sz w:val="20"/>
            <w:szCs w:val="20"/>
          </w:rPr>
          <w:t xml:space="preserve"> (5/14/2017: USDA National Agricultural Statistics Service, ESRI, n.d.), https://gis.ers.usda.gov/arcgis/rest/directories/arcgisoutput/Printer/ExportWebMapNASS_GPServer/_ags_db7e80dd5dd545b6b7b4f300b5c22a8a.png?ts=1495908132869.</w:t>
        </w:r>
      </w:hyperlink>
    </w:p>
  </w:footnote>
  <w:footnote w:id="185">
    <w:p w14:paraId="00000349" w14:textId="77777777" w:rsidR="002A2321" w:rsidRDefault="002A2321">
      <w:pPr>
        <w:spacing w:line="240" w:lineRule="auto"/>
        <w:rPr>
          <w:sz w:val="20"/>
          <w:szCs w:val="20"/>
        </w:rPr>
      </w:pPr>
      <w:r>
        <w:rPr>
          <w:vertAlign w:val="superscript"/>
        </w:rPr>
        <w:footnoteRef/>
      </w:r>
      <w:r>
        <w:rPr>
          <w:sz w:val="20"/>
          <w:szCs w:val="20"/>
        </w:rPr>
        <w:t xml:space="preserve"> </w:t>
      </w:r>
      <w:hyperlink r:id="rId336">
        <w:r>
          <w:rPr>
            <w:color w:val="000000"/>
            <w:sz w:val="20"/>
            <w:szCs w:val="20"/>
          </w:rPr>
          <w:t>Trout, Ebersole &amp; Groff LLP, “Conservation Easements: A ‘Bargain Sale’ Transaction,” TEG Blog, accessed May 21, 2017, http://www.troutcpa.com/blog/conservation-easements/.</w:t>
        </w:r>
      </w:hyperlink>
    </w:p>
  </w:footnote>
  <w:footnote w:id="186">
    <w:p w14:paraId="0000034A" w14:textId="77777777" w:rsidR="002A2321" w:rsidRDefault="002A2321">
      <w:pPr>
        <w:spacing w:line="240" w:lineRule="auto"/>
        <w:rPr>
          <w:sz w:val="20"/>
          <w:szCs w:val="20"/>
        </w:rPr>
      </w:pPr>
      <w:r>
        <w:rPr>
          <w:vertAlign w:val="superscript"/>
        </w:rPr>
        <w:footnoteRef/>
      </w:r>
      <w:r>
        <w:rPr>
          <w:sz w:val="20"/>
          <w:szCs w:val="20"/>
        </w:rPr>
        <w:t xml:space="preserve"> </w:t>
      </w:r>
      <w:hyperlink r:id="rId337">
        <w:r>
          <w:rPr>
            <w:color w:val="000000"/>
            <w:sz w:val="20"/>
            <w:szCs w:val="20"/>
          </w:rPr>
          <w:t>“26 U.S. Code § 170 - Charitable, Etc., Contributions and Gifts,” LII / Legal Information Institute, accessed May 21, 2017, https://www.law.cornell.edu/uscode/text/26/170.</w:t>
        </w:r>
      </w:hyperlink>
    </w:p>
  </w:footnote>
  <w:footnote w:id="187">
    <w:p w14:paraId="0000034B" w14:textId="77777777" w:rsidR="002A2321" w:rsidRDefault="002A2321">
      <w:pPr>
        <w:spacing w:line="240" w:lineRule="auto"/>
        <w:rPr>
          <w:sz w:val="20"/>
          <w:szCs w:val="20"/>
        </w:rPr>
      </w:pPr>
      <w:r>
        <w:rPr>
          <w:vertAlign w:val="superscript"/>
        </w:rPr>
        <w:footnoteRef/>
      </w:r>
      <w:r>
        <w:rPr>
          <w:sz w:val="20"/>
          <w:szCs w:val="20"/>
        </w:rPr>
        <w:t xml:space="preserve"> </w:t>
      </w:r>
      <w:hyperlink r:id="rId338">
        <w:r>
          <w:rPr>
            <w:color w:val="000000"/>
            <w:sz w:val="20"/>
            <w:szCs w:val="20"/>
          </w:rPr>
          <w:t>Perkins to Weir, September 24, 2018; “Land Preservation Tax Credit,” accessed February 3, 2019, http://www.dcr.virginia.gov/land-conservation/lpc.</w:t>
        </w:r>
      </w:hyperlink>
    </w:p>
  </w:footnote>
  <w:footnote w:id="188">
    <w:p w14:paraId="0000034C" w14:textId="77777777" w:rsidR="002A2321" w:rsidRDefault="002A2321">
      <w:pPr>
        <w:spacing w:line="240" w:lineRule="auto"/>
        <w:rPr>
          <w:sz w:val="20"/>
          <w:szCs w:val="20"/>
        </w:rPr>
      </w:pPr>
      <w:r>
        <w:rPr>
          <w:vertAlign w:val="superscript"/>
        </w:rPr>
        <w:footnoteRef/>
      </w:r>
      <w:r>
        <w:rPr>
          <w:sz w:val="20"/>
          <w:szCs w:val="20"/>
        </w:rPr>
        <w:t xml:space="preserve"> </w:t>
      </w:r>
      <w:hyperlink r:id="rId339">
        <w:r>
          <w:rPr>
            <w:color w:val="000000"/>
            <w:sz w:val="20"/>
            <w:szCs w:val="20"/>
          </w:rPr>
          <w:t>Chesapeake Bay Foundation, “A Guide to Preserving Agricultural Lands in the Chesapeake Region: Keeping Stewards on the Land,” 3.</w:t>
        </w:r>
      </w:hyperlink>
    </w:p>
  </w:footnote>
  <w:footnote w:id="189">
    <w:p w14:paraId="0000034D" w14:textId="77777777" w:rsidR="002A2321" w:rsidRDefault="002A2321">
      <w:pPr>
        <w:spacing w:line="240" w:lineRule="auto"/>
        <w:rPr>
          <w:sz w:val="20"/>
          <w:szCs w:val="20"/>
        </w:rPr>
      </w:pPr>
      <w:r>
        <w:rPr>
          <w:vertAlign w:val="superscript"/>
        </w:rPr>
        <w:footnoteRef/>
      </w:r>
      <w:r>
        <w:rPr>
          <w:sz w:val="20"/>
          <w:szCs w:val="20"/>
        </w:rPr>
        <w:t xml:space="preserve"> </w:t>
      </w:r>
      <w:hyperlink r:id="rId340">
        <w:r>
          <w:rPr>
            <w:color w:val="000000"/>
            <w:sz w:val="20"/>
            <w:szCs w:val="20"/>
          </w:rPr>
          <w:t>“How Cities and Suburbs Affect Chesapeake Bay,” September 20, 2016, https://earthobservatory.nasa.gov/images/88742/how-cities-and-suburbs-affect-chesapeake-bay.</w:t>
        </w:r>
      </w:hyperlink>
    </w:p>
  </w:footnote>
  <w:footnote w:id="190">
    <w:p w14:paraId="0000034E" w14:textId="77777777" w:rsidR="002A2321" w:rsidRDefault="002A2321">
      <w:pPr>
        <w:spacing w:line="240" w:lineRule="auto"/>
        <w:rPr>
          <w:sz w:val="20"/>
          <w:szCs w:val="20"/>
        </w:rPr>
      </w:pPr>
      <w:r>
        <w:rPr>
          <w:vertAlign w:val="superscript"/>
        </w:rPr>
        <w:footnoteRef/>
      </w:r>
      <w:r>
        <w:rPr>
          <w:sz w:val="20"/>
          <w:szCs w:val="20"/>
        </w:rPr>
        <w:t xml:space="preserve"> </w:t>
      </w:r>
      <w:hyperlink r:id="rId341">
        <w:r>
          <w:rPr>
            <w:color w:val="000000"/>
            <w:sz w:val="20"/>
            <w:szCs w:val="20"/>
          </w:rPr>
          <w:t>Chesapeake Bay Commission, “Boots on the Ground: Improving Technical Assistance to Farmers,” November 2017, 3, http://www.chesbay.us/Publications/CBC%20TA%20Report%20Boots%20on%20the%20Ground.pdf.</w:t>
        </w:r>
      </w:hyperlink>
    </w:p>
  </w:footnote>
  <w:footnote w:id="191">
    <w:p w14:paraId="0000034F" w14:textId="77777777" w:rsidR="002A2321" w:rsidRDefault="002A2321">
      <w:pPr>
        <w:spacing w:line="240" w:lineRule="auto"/>
        <w:rPr>
          <w:sz w:val="20"/>
          <w:szCs w:val="20"/>
        </w:rPr>
      </w:pPr>
      <w:r>
        <w:rPr>
          <w:vertAlign w:val="superscript"/>
        </w:rPr>
        <w:footnoteRef/>
      </w:r>
      <w:r>
        <w:rPr>
          <w:sz w:val="20"/>
          <w:szCs w:val="20"/>
        </w:rPr>
        <w:t xml:space="preserve"> </w:t>
      </w:r>
      <w:hyperlink r:id="rId342">
        <w:r>
          <w:rPr>
            <w:color w:val="000000"/>
            <w:sz w:val="20"/>
            <w:szCs w:val="20"/>
          </w:rPr>
          <w:t>U.S. National Park Service, “Tangible and Intangible Cultural Heritage,” accessed November 11, 2018, https://www.nps.gov/articles/tangible-cultural-heritage.htm.</w:t>
        </w:r>
      </w:hyperlink>
    </w:p>
  </w:footnote>
  <w:footnote w:id="192">
    <w:p w14:paraId="00000350" w14:textId="77777777" w:rsidR="002A2321" w:rsidRDefault="002A2321">
      <w:pPr>
        <w:spacing w:line="240" w:lineRule="auto"/>
        <w:rPr>
          <w:sz w:val="20"/>
          <w:szCs w:val="20"/>
        </w:rPr>
      </w:pPr>
      <w:r>
        <w:rPr>
          <w:vertAlign w:val="superscript"/>
        </w:rPr>
        <w:footnoteRef/>
      </w:r>
      <w:r>
        <w:rPr>
          <w:sz w:val="20"/>
          <w:szCs w:val="20"/>
        </w:rPr>
        <w:t xml:space="preserve"> </w:t>
      </w:r>
      <w:hyperlink r:id="rId343">
        <w:r>
          <w:rPr>
            <w:color w:val="000000"/>
            <w:sz w:val="20"/>
            <w:szCs w:val="20"/>
          </w:rPr>
          <w:t>“National Historic Preservation Act,” Pub. L. No. 89-665, Title 54 Of the United States Code (1966), 335.</w:t>
        </w:r>
      </w:hyperlink>
    </w:p>
  </w:footnote>
  <w:footnote w:id="193">
    <w:p w14:paraId="00000351" w14:textId="3203196E" w:rsidR="002A2321" w:rsidRDefault="002A2321">
      <w:pPr>
        <w:spacing w:line="240" w:lineRule="auto"/>
        <w:rPr>
          <w:sz w:val="20"/>
          <w:szCs w:val="20"/>
        </w:rPr>
      </w:pPr>
      <w:r>
        <w:rPr>
          <w:vertAlign w:val="superscript"/>
        </w:rPr>
        <w:footnoteRef/>
      </w:r>
      <w:r>
        <w:rPr>
          <w:sz w:val="20"/>
          <w:szCs w:val="20"/>
        </w:rPr>
        <w:t xml:space="preserve"> </w:t>
      </w:r>
      <w:hyperlink r:id="rId344">
        <w:r>
          <w:rPr>
            <w:color w:val="000000"/>
            <w:sz w:val="20"/>
            <w:szCs w:val="20"/>
          </w:rPr>
          <w:t>Parker and King, “Guidelines for Evaluating and Documenting Traditional Cultural Properties, National Register of Historic Places Bulletin (National Register Bulletin 38).”</w:t>
        </w:r>
      </w:hyperlink>
    </w:p>
  </w:footnote>
  <w:footnote w:id="194">
    <w:p w14:paraId="00000352" w14:textId="77777777" w:rsidR="002A2321" w:rsidRDefault="002A2321">
      <w:pPr>
        <w:spacing w:line="240" w:lineRule="auto"/>
        <w:rPr>
          <w:sz w:val="20"/>
          <w:szCs w:val="20"/>
        </w:rPr>
      </w:pPr>
      <w:r>
        <w:rPr>
          <w:vertAlign w:val="superscript"/>
        </w:rPr>
        <w:footnoteRef/>
      </w:r>
      <w:r>
        <w:rPr>
          <w:sz w:val="20"/>
          <w:szCs w:val="20"/>
        </w:rPr>
        <w:t xml:space="preserve"> </w:t>
      </w:r>
      <w:hyperlink r:id="rId345">
        <w:r>
          <w:rPr>
            <w:color w:val="000000"/>
            <w:sz w:val="20"/>
            <w:szCs w:val="20"/>
          </w:rPr>
          <w:t>Birnbaum, “Preservation Brief 36: Protecting Cultural Landscapes: Planning, Treatment and Management of Historic Landscapes.”</w:t>
        </w:r>
      </w:hyperlink>
    </w:p>
  </w:footnote>
  <w:footnote w:id="195">
    <w:p w14:paraId="00000353" w14:textId="77777777" w:rsidR="002A2321" w:rsidRDefault="002A2321">
      <w:pPr>
        <w:spacing w:line="240" w:lineRule="auto"/>
        <w:rPr>
          <w:sz w:val="20"/>
          <w:szCs w:val="20"/>
        </w:rPr>
      </w:pPr>
      <w:r>
        <w:rPr>
          <w:vertAlign w:val="superscript"/>
        </w:rPr>
        <w:footnoteRef/>
      </w:r>
      <w:r>
        <w:rPr>
          <w:sz w:val="20"/>
          <w:szCs w:val="20"/>
        </w:rPr>
        <w:t xml:space="preserve"> </w:t>
      </w:r>
      <w:hyperlink r:id="rId346">
        <w:r>
          <w:rPr>
            <w:color w:val="000000"/>
            <w:sz w:val="20"/>
            <w:szCs w:val="20"/>
          </w:rPr>
          <w:t xml:space="preserve">Charles A. Birnbaum and C. Peters, “Guidelines for the Treatment of Cultural Landscapes,” </w:t>
        </w:r>
      </w:hyperlink>
      <w:hyperlink r:id="rId347">
        <w:r>
          <w:rPr>
            <w:i/>
            <w:color w:val="000000"/>
            <w:sz w:val="20"/>
            <w:szCs w:val="20"/>
          </w:rPr>
          <w:t>USDI National Park Service. Washington DC</w:t>
        </w:r>
      </w:hyperlink>
      <w:hyperlink r:id="rId348">
        <w:r>
          <w:rPr>
            <w:color w:val="000000"/>
            <w:sz w:val="20"/>
            <w:szCs w:val="20"/>
          </w:rPr>
          <w:t>, 1996, https://www.nps.gov/Tps/standards/four-treatments/landscape-guidelines/index.htm.</w:t>
        </w:r>
      </w:hyperlink>
    </w:p>
  </w:footnote>
  <w:footnote w:id="196">
    <w:p w14:paraId="00000354" w14:textId="77777777" w:rsidR="002A2321" w:rsidRDefault="002A2321">
      <w:pPr>
        <w:spacing w:line="240" w:lineRule="auto"/>
        <w:rPr>
          <w:sz w:val="20"/>
          <w:szCs w:val="20"/>
        </w:rPr>
      </w:pPr>
      <w:r>
        <w:rPr>
          <w:vertAlign w:val="superscript"/>
        </w:rPr>
        <w:footnoteRef/>
      </w:r>
      <w:r>
        <w:rPr>
          <w:sz w:val="20"/>
          <w:szCs w:val="20"/>
        </w:rPr>
        <w:t xml:space="preserve"> </w:t>
      </w:r>
      <w:hyperlink r:id="rId349">
        <w:r>
          <w:rPr>
            <w:color w:val="000000"/>
            <w:sz w:val="20"/>
            <w:szCs w:val="20"/>
          </w:rPr>
          <w:t>U.S. Department of the Interior, “The Secretary of the Interior’s Standards for the Treatment of Historic Properties,” 2017, https://www.nps.gov/tps/standards/treatment-guidelines-2017.pdf.</w:t>
        </w:r>
      </w:hyperlink>
    </w:p>
  </w:footnote>
  <w:footnote w:id="197">
    <w:p w14:paraId="00000355" w14:textId="77777777" w:rsidR="002A2321" w:rsidRDefault="002A2321">
      <w:pPr>
        <w:spacing w:line="240" w:lineRule="auto"/>
        <w:rPr>
          <w:sz w:val="20"/>
          <w:szCs w:val="20"/>
        </w:rPr>
      </w:pPr>
      <w:r>
        <w:rPr>
          <w:vertAlign w:val="superscript"/>
        </w:rPr>
        <w:footnoteRef/>
      </w:r>
      <w:r>
        <w:rPr>
          <w:sz w:val="20"/>
          <w:szCs w:val="20"/>
        </w:rPr>
        <w:t xml:space="preserve"> </w:t>
      </w:r>
      <w:hyperlink r:id="rId350">
        <w:r>
          <w:rPr>
            <w:color w:val="000000"/>
            <w:sz w:val="20"/>
            <w:szCs w:val="20"/>
          </w:rPr>
          <w:t>U.S. Department of the Interior, 2.</w:t>
        </w:r>
      </w:hyperlink>
    </w:p>
  </w:footnote>
  <w:footnote w:id="198">
    <w:p w14:paraId="00000356" w14:textId="77777777" w:rsidR="002A2321" w:rsidRDefault="002A2321">
      <w:pPr>
        <w:spacing w:line="240" w:lineRule="auto"/>
        <w:rPr>
          <w:sz w:val="20"/>
          <w:szCs w:val="20"/>
        </w:rPr>
      </w:pPr>
      <w:r>
        <w:rPr>
          <w:vertAlign w:val="superscript"/>
        </w:rPr>
        <w:footnoteRef/>
      </w:r>
      <w:r>
        <w:rPr>
          <w:sz w:val="20"/>
          <w:szCs w:val="20"/>
        </w:rPr>
        <w:t xml:space="preserve"> </w:t>
      </w:r>
      <w:hyperlink r:id="rId351">
        <w:r>
          <w:rPr>
            <w:color w:val="000000"/>
            <w:sz w:val="20"/>
            <w:szCs w:val="20"/>
          </w:rPr>
          <w:t>U.S. National Park Service, “Preserving: The Approach / Cultural Landscape Guidelines,” accessed November 11, 2018, https://www.nps.gov/Tps/standards/four-treatments/landscape-guidelines/preserve/approach.htm.</w:t>
        </w:r>
      </w:hyperlink>
    </w:p>
  </w:footnote>
  <w:footnote w:id="199">
    <w:p w14:paraId="00000357" w14:textId="77777777" w:rsidR="002A2321" w:rsidRDefault="002A2321">
      <w:pPr>
        <w:spacing w:line="240" w:lineRule="auto"/>
        <w:rPr>
          <w:sz w:val="20"/>
          <w:szCs w:val="20"/>
        </w:rPr>
      </w:pPr>
      <w:r>
        <w:rPr>
          <w:vertAlign w:val="superscript"/>
        </w:rPr>
        <w:footnoteRef/>
      </w:r>
      <w:r>
        <w:rPr>
          <w:sz w:val="20"/>
          <w:szCs w:val="20"/>
        </w:rPr>
        <w:t xml:space="preserve"> </w:t>
      </w:r>
      <w:hyperlink r:id="rId352">
        <w:proofErr w:type="spellStart"/>
        <w:r>
          <w:rPr>
            <w:color w:val="000000"/>
            <w:sz w:val="20"/>
            <w:szCs w:val="20"/>
          </w:rPr>
          <w:t>Minteer</w:t>
        </w:r>
        <w:proofErr w:type="spellEnd"/>
        <w:r>
          <w:rPr>
            <w:color w:val="000000"/>
            <w:sz w:val="20"/>
            <w:szCs w:val="20"/>
          </w:rPr>
          <w:t xml:space="preserve"> and Corley, “Conservation or Preservation? A Qualitative Study of the Conceptual Foundations of Natural Resource Management,” 308.</w:t>
        </w:r>
      </w:hyperlink>
    </w:p>
  </w:footnote>
  <w:footnote w:id="200">
    <w:p w14:paraId="00000358" w14:textId="77777777" w:rsidR="002A2321" w:rsidRDefault="002A2321">
      <w:pPr>
        <w:spacing w:line="240" w:lineRule="auto"/>
        <w:rPr>
          <w:sz w:val="20"/>
          <w:szCs w:val="20"/>
        </w:rPr>
      </w:pPr>
      <w:r>
        <w:rPr>
          <w:vertAlign w:val="superscript"/>
        </w:rPr>
        <w:footnoteRef/>
      </w:r>
      <w:r>
        <w:rPr>
          <w:sz w:val="20"/>
          <w:szCs w:val="20"/>
        </w:rPr>
        <w:t xml:space="preserve"> </w:t>
      </w:r>
      <w:hyperlink r:id="rId353">
        <w:r>
          <w:rPr>
            <w:color w:val="000000"/>
            <w:sz w:val="20"/>
            <w:szCs w:val="20"/>
          </w:rPr>
          <w:t>U.S. Department of the Interior, “The Secretary of the Interior’s Standards for the Treatment of Historic Properties,” 2.</w:t>
        </w:r>
      </w:hyperlink>
    </w:p>
  </w:footnote>
  <w:footnote w:id="201">
    <w:p w14:paraId="00000359" w14:textId="77777777" w:rsidR="002A2321" w:rsidRDefault="002A2321">
      <w:pPr>
        <w:spacing w:line="240" w:lineRule="auto"/>
        <w:rPr>
          <w:sz w:val="20"/>
          <w:szCs w:val="20"/>
        </w:rPr>
      </w:pPr>
      <w:r>
        <w:rPr>
          <w:vertAlign w:val="superscript"/>
        </w:rPr>
        <w:footnoteRef/>
      </w:r>
      <w:r>
        <w:rPr>
          <w:sz w:val="20"/>
          <w:szCs w:val="20"/>
        </w:rPr>
        <w:t xml:space="preserve"> </w:t>
      </w:r>
      <w:hyperlink r:id="rId354">
        <w:r>
          <w:rPr>
            <w:color w:val="000000"/>
            <w:sz w:val="20"/>
            <w:szCs w:val="20"/>
          </w:rPr>
          <w:t>U.S. National Park Service, “Standards for Rehabilitation / Cultural Landscape Guidelines,” accessed November 11, 2018, https://www.nps.gov/Tps/standards/four-treatments/landscape-guidelines/rehab/index.htm.</w:t>
        </w:r>
      </w:hyperlink>
    </w:p>
  </w:footnote>
  <w:footnote w:id="202">
    <w:p w14:paraId="0000035A" w14:textId="77777777" w:rsidR="002A2321" w:rsidRDefault="002A2321">
      <w:pPr>
        <w:spacing w:line="240" w:lineRule="auto"/>
        <w:rPr>
          <w:sz w:val="20"/>
          <w:szCs w:val="20"/>
        </w:rPr>
      </w:pPr>
      <w:r>
        <w:rPr>
          <w:vertAlign w:val="superscript"/>
        </w:rPr>
        <w:footnoteRef/>
      </w:r>
      <w:r>
        <w:rPr>
          <w:sz w:val="20"/>
          <w:szCs w:val="20"/>
        </w:rPr>
        <w:t xml:space="preserve"> </w:t>
      </w:r>
      <w:hyperlink r:id="rId355">
        <w:r>
          <w:rPr>
            <w:color w:val="000000"/>
            <w:sz w:val="20"/>
            <w:szCs w:val="20"/>
          </w:rPr>
          <w:t>U.S. Department of the Interior, “The Secretary of the Interior’s Standards for the Treatment of Historic Properties,” 2.</w:t>
        </w:r>
      </w:hyperlink>
    </w:p>
  </w:footnote>
  <w:footnote w:id="203">
    <w:p w14:paraId="0000035B" w14:textId="77777777" w:rsidR="002A2321" w:rsidRDefault="002A2321">
      <w:pPr>
        <w:spacing w:line="240" w:lineRule="auto"/>
        <w:rPr>
          <w:sz w:val="20"/>
          <w:szCs w:val="20"/>
        </w:rPr>
      </w:pPr>
      <w:r>
        <w:rPr>
          <w:vertAlign w:val="superscript"/>
        </w:rPr>
        <w:footnoteRef/>
      </w:r>
      <w:r>
        <w:rPr>
          <w:sz w:val="20"/>
          <w:szCs w:val="20"/>
        </w:rPr>
        <w:t xml:space="preserve"> </w:t>
      </w:r>
      <w:hyperlink r:id="rId356">
        <w:r>
          <w:rPr>
            <w:color w:val="000000"/>
            <w:sz w:val="20"/>
            <w:szCs w:val="20"/>
          </w:rPr>
          <w:t>U.S. National Park Service, “Standards for Reconstruction / Cultural Landscape Guidelines,” accessed April 6, 2019, https://www.nps.gov/tps/standards/four-treatments/landscape-guidelines/reconstruct/index.htm.</w:t>
        </w:r>
      </w:hyperlink>
    </w:p>
  </w:footnote>
  <w:footnote w:id="204">
    <w:p w14:paraId="0000035C" w14:textId="77777777" w:rsidR="002A2321" w:rsidRDefault="002A2321">
      <w:pPr>
        <w:spacing w:line="240" w:lineRule="auto"/>
        <w:rPr>
          <w:sz w:val="20"/>
          <w:szCs w:val="20"/>
        </w:rPr>
      </w:pPr>
      <w:r>
        <w:rPr>
          <w:vertAlign w:val="superscript"/>
        </w:rPr>
        <w:footnoteRef/>
      </w:r>
      <w:r>
        <w:rPr>
          <w:sz w:val="20"/>
          <w:szCs w:val="20"/>
        </w:rPr>
        <w:t xml:space="preserve"> </w:t>
      </w:r>
      <w:hyperlink r:id="rId357">
        <w:r>
          <w:rPr>
            <w:color w:val="000000"/>
            <w:sz w:val="20"/>
            <w:szCs w:val="20"/>
          </w:rPr>
          <w:t xml:space="preserve">Hugh Prince, “Sense of Place,” </w:t>
        </w:r>
      </w:hyperlink>
      <w:hyperlink r:id="rId358">
        <w:r>
          <w:rPr>
            <w:i/>
            <w:color w:val="000000"/>
            <w:sz w:val="20"/>
            <w:szCs w:val="20"/>
          </w:rPr>
          <w:t>Area</w:t>
        </w:r>
      </w:hyperlink>
      <w:hyperlink r:id="rId359">
        <w:r>
          <w:rPr>
            <w:color w:val="000000"/>
            <w:sz w:val="20"/>
            <w:szCs w:val="20"/>
          </w:rPr>
          <w:t xml:space="preserve"> 6, no. 1 (1974): 71–72.</w:t>
        </w:r>
      </w:hyperlink>
    </w:p>
  </w:footnote>
  <w:footnote w:id="205">
    <w:p w14:paraId="0000035D" w14:textId="77777777" w:rsidR="002A2321" w:rsidRDefault="002A2321">
      <w:pPr>
        <w:spacing w:line="240" w:lineRule="auto"/>
        <w:rPr>
          <w:sz w:val="20"/>
          <w:szCs w:val="20"/>
        </w:rPr>
      </w:pPr>
      <w:r>
        <w:rPr>
          <w:vertAlign w:val="superscript"/>
        </w:rPr>
        <w:footnoteRef/>
      </w:r>
      <w:r>
        <w:rPr>
          <w:sz w:val="20"/>
          <w:szCs w:val="20"/>
        </w:rPr>
        <w:t xml:space="preserve"> </w:t>
      </w:r>
      <w:hyperlink r:id="rId360">
        <w:r>
          <w:rPr>
            <w:color w:val="000000"/>
            <w:sz w:val="20"/>
            <w:szCs w:val="20"/>
          </w:rPr>
          <w:t xml:space="preserve">Elaine Stiles, “50 Years Reconsidered,” </w:t>
        </w:r>
      </w:hyperlink>
      <w:hyperlink r:id="rId361">
        <w:r>
          <w:rPr>
            <w:i/>
            <w:color w:val="000000"/>
            <w:sz w:val="20"/>
            <w:szCs w:val="20"/>
          </w:rPr>
          <w:t>Forum Journal &amp; Forum Focus - Preservation Leadership Forum - A Program of the National Trust for Historic Preservation</w:t>
        </w:r>
      </w:hyperlink>
      <w:hyperlink r:id="rId362">
        <w:r>
          <w:rPr>
            <w:color w:val="000000"/>
            <w:sz w:val="20"/>
            <w:szCs w:val="20"/>
          </w:rPr>
          <w:t xml:space="preserve"> 24, no. 4 (2010), https://forum.savingplaces.org/viewdocument/50-years-reconsidered; “National Register of Historic Places,” 335.</w:t>
        </w:r>
      </w:hyperlink>
    </w:p>
  </w:footnote>
  <w:footnote w:id="206">
    <w:p w14:paraId="0000035E" w14:textId="77777777" w:rsidR="002A2321" w:rsidRDefault="002A2321">
      <w:pPr>
        <w:spacing w:line="240" w:lineRule="auto"/>
        <w:rPr>
          <w:sz w:val="20"/>
          <w:szCs w:val="20"/>
        </w:rPr>
      </w:pPr>
      <w:r>
        <w:rPr>
          <w:vertAlign w:val="superscript"/>
        </w:rPr>
        <w:footnoteRef/>
      </w:r>
      <w:r>
        <w:rPr>
          <w:sz w:val="20"/>
          <w:szCs w:val="20"/>
        </w:rPr>
        <w:t xml:space="preserve"> </w:t>
      </w:r>
      <w:hyperlink r:id="rId363">
        <w:r>
          <w:rPr>
            <w:color w:val="000000"/>
            <w:sz w:val="20"/>
            <w:szCs w:val="20"/>
          </w:rPr>
          <w:t>National Register Branch, Interagency Resources Division, National Park Service, “National Register Bulletin 15: Hot to Apply the National Register Criteria for Evaluation,” 1995, 12–13, https://www.nps.gov/nr/publications/bulletins/pdfs/nrb15.pdf.</w:t>
        </w:r>
      </w:hyperlink>
    </w:p>
  </w:footnote>
  <w:footnote w:id="207">
    <w:p w14:paraId="0000035F" w14:textId="77777777" w:rsidR="002A2321" w:rsidRDefault="002A2321">
      <w:pPr>
        <w:spacing w:line="240" w:lineRule="auto"/>
        <w:rPr>
          <w:sz w:val="20"/>
          <w:szCs w:val="20"/>
        </w:rPr>
      </w:pPr>
      <w:r>
        <w:rPr>
          <w:vertAlign w:val="superscript"/>
        </w:rPr>
        <w:footnoteRef/>
      </w:r>
      <w:r>
        <w:rPr>
          <w:sz w:val="20"/>
          <w:szCs w:val="20"/>
        </w:rPr>
        <w:t xml:space="preserve"> </w:t>
      </w:r>
      <w:hyperlink r:id="rId364">
        <w:r>
          <w:rPr>
            <w:color w:val="000000"/>
            <w:sz w:val="20"/>
            <w:szCs w:val="20"/>
          </w:rPr>
          <w:t>Noah Schlager, “Preserving African American Foodways,” Sierra Club, May 17, 2016, https://www.sierraclub.org/sierra/2016-3-may-june/green-life/preserving-african-american-foodways; Michelle Brownridge, “Food as a Cultural Meeting Place: Sharing Your Intangible Cultural Heritage,” Museums Association of Saskatchewan: Museums are more..., August 17, 2016, http://saskmuseums.org/blog/entry/food-as-a-cultural-meeting-place-sharing-your-intangible-cultural-heritage.</w:t>
        </w:r>
      </w:hyperlink>
    </w:p>
  </w:footnote>
  <w:footnote w:id="208">
    <w:p w14:paraId="00000360" w14:textId="77777777" w:rsidR="002A2321" w:rsidRDefault="002A2321">
      <w:pPr>
        <w:spacing w:line="240" w:lineRule="auto"/>
        <w:rPr>
          <w:sz w:val="20"/>
          <w:szCs w:val="20"/>
        </w:rPr>
      </w:pPr>
      <w:r>
        <w:rPr>
          <w:vertAlign w:val="superscript"/>
        </w:rPr>
        <w:footnoteRef/>
      </w:r>
      <w:r>
        <w:rPr>
          <w:sz w:val="20"/>
          <w:szCs w:val="20"/>
        </w:rPr>
        <w:t xml:space="preserve"> </w:t>
      </w:r>
      <w:hyperlink r:id="rId365">
        <w:r>
          <w:rPr>
            <w:color w:val="000000"/>
            <w:sz w:val="20"/>
            <w:szCs w:val="20"/>
          </w:rPr>
          <w:t>U.S. Department of the Interior, “The Secretary of the Interior’s Standards for the Treatment of Historic Properties.”</w:t>
        </w:r>
      </w:hyperlink>
    </w:p>
  </w:footnote>
  <w:footnote w:id="209">
    <w:p w14:paraId="00000361" w14:textId="77777777" w:rsidR="002A2321" w:rsidRDefault="002A2321">
      <w:pPr>
        <w:spacing w:line="240" w:lineRule="auto"/>
        <w:rPr>
          <w:sz w:val="20"/>
          <w:szCs w:val="20"/>
        </w:rPr>
      </w:pPr>
      <w:r>
        <w:rPr>
          <w:vertAlign w:val="superscript"/>
        </w:rPr>
        <w:footnoteRef/>
      </w:r>
      <w:r>
        <w:rPr>
          <w:sz w:val="20"/>
          <w:szCs w:val="20"/>
        </w:rPr>
        <w:t xml:space="preserve"> </w:t>
      </w:r>
      <w:hyperlink r:id="rId366">
        <w:r>
          <w:rPr>
            <w:color w:val="000000"/>
            <w:sz w:val="20"/>
            <w:szCs w:val="20"/>
          </w:rPr>
          <w:t>U.S. National Park Service, “Preservation Briefs,” Technical Preservation Services, accessed November 9, 2018, https://www.nps.gov/tps/how-to-preserve/briefs.htm; U.S. National Park Service, “Interpreting the Standards Bulletins,” Technical Preservation Services, accessed November 9, 2018, https://www.nps.gov/tps/standards/applying-rehabilitation/standards-bulletins.htm.</w:t>
        </w:r>
      </w:hyperlink>
    </w:p>
  </w:footnote>
  <w:footnote w:id="210">
    <w:p w14:paraId="00000362" w14:textId="77777777" w:rsidR="002A2321" w:rsidRDefault="002A2321">
      <w:pPr>
        <w:spacing w:line="240" w:lineRule="auto"/>
        <w:rPr>
          <w:sz w:val="20"/>
          <w:szCs w:val="20"/>
        </w:rPr>
      </w:pPr>
      <w:r>
        <w:rPr>
          <w:vertAlign w:val="superscript"/>
        </w:rPr>
        <w:footnoteRef/>
      </w:r>
      <w:r>
        <w:rPr>
          <w:sz w:val="20"/>
          <w:szCs w:val="20"/>
        </w:rPr>
        <w:t xml:space="preserve"> </w:t>
      </w:r>
      <w:hyperlink r:id="rId367">
        <w:r>
          <w:rPr>
            <w:color w:val="000000"/>
            <w:sz w:val="20"/>
            <w:szCs w:val="20"/>
          </w:rPr>
          <w:t>U.S. National Park Service, “Preservation Briefs.”</w:t>
        </w:r>
      </w:hyperlink>
    </w:p>
  </w:footnote>
  <w:footnote w:id="211">
    <w:p w14:paraId="00000363" w14:textId="77777777" w:rsidR="002A2321" w:rsidRDefault="002A2321">
      <w:pPr>
        <w:spacing w:line="240" w:lineRule="auto"/>
        <w:rPr>
          <w:sz w:val="20"/>
          <w:szCs w:val="20"/>
        </w:rPr>
      </w:pPr>
      <w:r>
        <w:rPr>
          <w:vertAlign w:val="superscript"/>
        </w:rPr>
        <w:footnoteRef/>
      </w:r>
      <w:r>
        <w:rPr>
          <w:sz w:val="20"/>
          <w:szCs w:val="20"/>
        </w:rPr>
        <w:t xml:space="preserve"> </w:t>
      </w:r>
      <w:hyperlink r:id="rId368">
        <w:r>
          <w:rPr>
            <w:color w:val="000000"/>
            <w:sz w:val="20"/>
            <w:szCs w:val="20"/>
          </w:rPr>
          <w:t>U.S. National Park Service, “Guidelines for the Treatment of Cultural Landscapes,” accessed November 9, 2018, https://www.nps.gov/tps/standards/four-treatments/landscape-guidelines/index.htm.</w:t>
        </w:r>
      </w:hyperlink>
    </w:p>
  </w:footnote>
  <w:footnote w:id="212">
    <w:p w14:paraId="00000364" w14:textId="77777777" w:rsidR="002A2321" w:rsidRDefault="002A2321">
      <w:pPr>
        <w:spacing w:line="240" w:lineRule="auto"/>
        <w:rPr>
          <w:sz w:val="20"/>
          <w:szCs w:val="20"/>
        </w:rPr>
      </w:pPr>
      <w:r>
        <w:rPr>
          <w:vertAlign w:val="superscript"/>
        </w:rPr>
        <w:footnoteRef/>
      </w:r>
      <w:r>
        <w:rPr>
          <w:sz w:val="20"/>
          <w:szCs w:val="20"/>
        </w:rPr>
        <w:t xml:space="preserve"> </w:t>
      </w:r>
      <w:hyperlink r:id="rId369">
        <w:r>
          <w:rPr>
            <w:color w:val="000000"/>
            <w:sz w:val="20"/>
            <w:szCs w:val="20"/>
          </w:rPr>
          <w:t xml:space="preserve">Freeman, </w:t>
        </w:r>
        <w:proofErr w:type="spellStart"/>
        <w:r>
          <w:rPr>
            <w:color w:val="000000"/>
            <w:sz w:val="20"/>
            <w:szCs w:val="20"/>
          </w:rPr>
          <w:t>Duguma</w:t>
        </w:r>
        <w:proofErr w:type="spellEnd"/>
        <w:r>
          <w:rPr>
            <w:color w:val="000000"/>
            <w:sz w:val="20"/>
            <w:szCs w:val="20"/>
          </w:rPr>
          <w:t xml:space="preserve">, and </w:t>
        </w:r>
        <w:proofErr w:type="spellStart"/>
        <w:r>
          <w:rPr>
            <w:color w:val="000000"/>
            <w:sz w:val="20"/>
            <w:szCs w:val="20"/>
          </w:rPr>
          <w:t>Minang</w:t>
        </w:r>
        <w:proofErr w:type="spellEnd"/>
        <w:r>
          <w:rPr>
            <w:color w:val="000000"/>
            <w:sz w:val="20"/>
            <w:szCs w:val="20"/>
          </w:rPr>
          <w:t>, “Operationalizing the Integrated Landscape Approach in Practice.”</w:t>
        </w:r>
      </w:hyperlink>
    </w:p>
  </w:footnote>
  <w:footnote w:id="213">
    <w:p w14:paraId="00000365" w14:textId="77777777" w:rsidR="002A2321" w:rsidRDefault="002A2321">
      <w:pPr>
        <w:spacing w:line="240" w:lineRule="auto"/>
        <w:rPr>
          <w:sz w:val="20"/>
          <w:szCs w:val="20"/>
        </w:rPr>
      </w:pPr>
      <w:r>
        <w:rPr>
          <w:vertAlign w:val="superscript"/>
        </w:rPr>
        <w:footnoteRef/>
      </w:r>
      <w:r>
        <w:rPr>
          <w:sz w:val="20"/>
          <w:szCs w:val="20"/>
        </w:rPr>
        <w:t xml:space="preserve"> </w:t>
      </w:r>
      <w:hyperlink r:id="rId370">
        <w:r>
          <w:rPr>
            <w:color w:val="000000"/>
            <w:sz w:val="20"/>
            <w:szCs w:val="20"/>
          </w:rPr>
          <w:t>Preservation Maryland, “Dominion Energy Halts Project in Historic Mount Vernon Viewshed,” Preservation Maryland (Preservation Maryland), accessed December 8, 2018, http://www.preservationmaryland.org/dominion-energy-halts-project-in-historic-mount-vernon-viewshed/.</w:t>
        </w:r>
      </w:hyperlink>
    </w:p>
  </w:footnote>
  <w:footnote w:id="214">
    <w:p w14:paraId="00000366" w14:textId="77777777" w:rsidR="002A2321" w:rsidRDefault="002A2321">
      <w:pPr>
        <w:spacing w:line="240" w:lineRule="auto"/>
        <w:rPr>
          <w:sz w:val="20"/>
          <w:szCs w:val="20"/>
        </w:rPr>
      </w:pPr>
      <w:r>
        <w:rPr>
          <w:vertAlign w:val="superscript"/>
        </w:rPr>
        <w:footnoteRef/>
      </w:r>
      <w:r>
        <w:rPr>
          <w:sz w:val="20"/>
          <w:szCs w:val="20"/>
        </w:rPr>
        <w:t xml:space="preserve"> </w:t>
      </w:r>
      <w:hyperlink r:id="rId371">
        <w:r>
          <w:rPr>
            <w:color w:val="000000"/>
            <w:sz w:val="20"/>
            <w:szCs w:val="20"/>
          </w:rPr>
          <w:t>National Historic Preservation Act; 36 CFR Part 800 -- Protection of Historic Properties.</w:t>
        </w:r>
      </w:hyperlink>
    </w:p>
  </w:footnote>
  <w:footnote w:id="215">
    <w:p w14:paraId="00000367" w14:textId="77777777" w:rsidR="002A2321" w:rsidRDefault="002A2321">
      <w:pPr>
        <w:spacing w:line="240" w:lineRule="auto"/>
        <w:rPr>
          <w:sz w:val="20"/>
          <w:szCs w:val="20"/>
        </w:rPr>
      </w:pPr>
      <w:r>
        <w:rPr>
          <w:vertAlign w:val="superscript"/>
        </w:rPr>
        <w:footnoteRef/>
      </w:r>
      <w:r>
        <w:rPr>
          <w:sz w:val="20"/>
          <w:szCs w:val="20"/>
        </w:rPr>
        <w:t xml:space="preserve"> </w:t>
      </w:r>
      <w:hyperlink r:id="rId372">
        <w:r>
          <w:rPr>
            <w:color w:val="000000"/>
            <w:sz w:val="20"/>
            <w:szCs w:val="20"/>
          </w:rPr>
          <w:t>National Endowment for the Humanities, “Frequently Asked Questions about Section 106 of the National Historic Preservation Act,” National Endowment for the Humanities (NEH), accessed December 8, 2018, https://www.neh.gov/grants/manage/frequently-asked-questions-about-section-106-the-national-historic-preservation-act.</w:t>
        </w:r>
      </w:hyperlink>
    </w:p>
  </w:footnote>
  <w:footnote w:id="216">
    <w:p w14:paraId="00000368" w14:textId="77777777" w:rsidR="002A2321" w:rsidRDefault="002A2321">
      <w:pPr>
        <w:spacing w:line="240" w:lineRule="auto"/>
        <w:rPr>
          <w:sz w:val="20"/>
          <w:szCs w:val="20"/>
        </w:rPr>
      </w:pPr>
      <w:r>
        <w:rPr>
          <w:vertAlign w:val="superscript"/>
        </w:rPr>
        <w:footnoteRef/>
      </w:r>
      <w:r>
        <w:rPr>
          <w:sz w:val="20"/>
          <w:szCs w:val="20"/>
        </w:rPr>
        <w:t xml:space="preserve"> </w:t>
      </w:r>
      <w:hyperlink r:id="rId373">
        <w:r>
          <w:rPr>
            <w:color w:val="000000"/>
            <w:sz w:val="20"/>
            <w:szCs w:val="20"/>
          </w:rPr>
          <w:t xml:space="preserve">Harrison Howell Dodge, </w:t>
        </w:r>
      </w:hyperlink>
      <w:hyperlink r:id="rId374">
        <w:r>
          <w:rPr>
            <w:i/>
            <w:color w:val="000000"/>
            <w:sz w:val="20"/>
            <w:szCs w:val="20"/>
          </w:rPr>
          <w:t>Mount Vernon: Its Owner And Its Story</w:t>
        </w:r>
      </w:hyperlink>
      <w:hyperlink r:id="rId375">
        <w:r>
          <w:rPr>
            <w:color w:val="000000"/>
            <w:sz w:val="20"/>
            <w:szCs w:val="20"/>
          </w:rPr>
          <w:t>, First Edition (Philadelphia And London: J. B. Lippincott and Company, 1932), 170–171.</w:t>
        </w:r>
      </w:hyperlink>
    </w:p>
  </w:footnote>
  <w:footnote w:id="217">
    <w:p w14:paraId="00000369" w14:textId="066C666D" w:rsidR="002A2321" w:rsidRDefault="002A2321">
      <w:pPr>
        <w:spacing w:line="240" w:lineRule="auto"/>
        <w:rPr>
          <w:sz w:val="20"/>
          <w:szCs w:val="20"/>
        </w:rPr>
      </w:pPr>
      <w:r>
        <w:rPr>
          <w:vertAlign w:val="superscript"/>
        </w:rPr>
        <w:footnoteRef/>
      </w:r>
      <w:r>
        <w:rPr>
          <w:sz w:val="20"/>
          <w:szCs w:val="20"/>
        </w:rPr>
        <w:t xml:space="preserve"> </w:t>
      </w:r>
      <w:r w:rsidRPr="00E10EDF">
        <w:rPr>
          <w:color w:val="000000"/>
          <w:sz w:val="20"/>
          <w:szCs w:val="20"/>
        </w:rPr>
        <w:t>USGS Howard Perlman, “Groundwater Depletion, USGS Water Science,” USGS - U.S. Geological Survey, accessed December 8, 2018, https://water.usgs.gov/edu/gwdepletion.html; Brian Depew, “Water: Overcoming a Tragedy of the Commons,” Center for Rural Affairs, October 22, 2013, https://www.cfra.org/news/131022/water-overcoming-tragedy-commons.</w:t>
      </w:r>
    </w:p>
  </w:footnote>
  <w:footnote w:id="218">
    <w:p w14:paraId="0000036A" w14:textId="77777777" w:rsidR="002A2321" w:rsidRDefault="002A2321">
      <w:pPr>
        <w:spacing w:line="240" w:lineRule="auto"/>
        <w:rPr>
          <w:sz w:val="20"/>
          <w:szCs w:val="20"/>
        </w:rPr>
      </w:pPr>
      <w:r>
        <w:rPr>
          <w:vertAlign w:val="superscript"/>
        </w:rPr>
        <w:footnoteRef/>
      </w:r>
      <w:r>
        <w:rPr>
          <w:sz w:val="20"/>
          <w:szCs w:val="20"/>
        </w:rPr>
        <w:t xml:space="preserve"> </w:t>
      </w:r>
      <w:hyperlink r:id="rId376">
        <w:r>
          <w:rPr>
            <w:color w:val="000000"/>
            <w:sz w:val="20"/>
            <w:szCs w:val="20"/>
          </w:rPr>
          <w:t>Rustin A. Quaide, “Section VIII: How to Apply the National Register Criteria for Evaluation, National Register of Historic Places Bulletin (NRB 15),” DOI -- NPS -- NCCR -- National Register of Historic Places, November 28, 2001, http://www.nps.gov/history/nr/publications/bulletins/nrb15/index.htm.</w:t>
        </w:r>
      </w:hyperlink>
    </w:p>
  </w:footnote>
  <w:footnote w:id="219">
    <w:p w14:paraId="0000036B" w14:textId="77777777" w:rsidR="002A2321" w:rsidRDefault="002A2321">
      <w:pPr>
        <w:spacing w:line="240" w:lineRule="auto"/>
        <w:rPr>
          <w:sz w:val="20"/>
          <w:szCs w:val="20"/>
        </w:rPr>
      </w:pPr>
      <w:r>
        <w:rPr>
          <w:vertAlign w:val="superscript"/>
        </w:rPr>
        <w:footnoteRef/>
      </w:r>
      <w:r>
        <w:rPr>
          <w:sz w:val="20"/>
          <w:szCs w:val="20"/>
        </w:rPr>
        <w:t xml:space="preserve"> </w:t>
      </w:r>
      <w:hyperlink r:id="rId377">
        <w:r>
          <w:rPr>
            <w:color w:val="000000"/>
            <w:sz w:val="20"/>
            <w:szCs w:val="20"/>
          </w:rPr>
          <w:t xml:space="preserve">Randall Mason, “Fixing Historic Preservation: A Constructive Critique of ‘Significance,’” </w:t>
        </w:r>
      </w:hyperlink>
      <w:hyperlink r:id="rId378">
        <w:r>
          <w:rPr>
            <w:i/>
            <w:color w:val="000000"/>
            <w:sz w:val="20"/>
            <w:szCs w:val="20"/>
          </w:rPr>
          <w:t>Places</w:t>
        </w:r>
      </w:hyperlink>
      <w:hyperlink r:id="rId379">
        <w:r>
          <w:rPr>
            <w:color w:val="000000"/>
            <w:sz w:val="20"/>
            <w:szCs w:val="20"/>
          </w:rPr>
          <w:t xml:space="preserve"> 16, no. 1 (2004): 64–71.</w:t>
        </w:r>
      </w:hyperlink>
    </w:p>
  </w:footnote>
  <w:footnote w:id="220">
    <w:p w14:paraId="0000036C" w14:textId="1E9A185E" w:rsidR="002A2321" w:rsidRDefault="002A2321">
      <w:pPr>
        <w:spacing w:line="240" w:lineRule="auto"/>
        <w:rPr>
          <w:sz w:val="20"/>
          <w:szCs w:val="20"/>
        </w:rPr>
      </w:pPr>
      <w:r>
        <w:rPr>
          <w:vertAlign w:val="superscript"/>
        </w:rPr>
        <w:footnoteRef/>
      </w:r>
      <w:r>
        <w:rPr>
          <w:sz w:val="20"/>
          <w:szCs w:val="20"/>
        </w:rPr>
        <w:t xml:space="preserve"> </w:t>
      </w:r>
      <w:hyperlink r:id="rId380">
        <w:r>
          <w:rPr>
            <w:color w:val="000000"/>
            <w:sz w:val="20"/>
            <w:szCs w:val="20"/>
          </w:rPr>
          <w:t>U.S. National Park Service Native American Liaison Office, “National Register of Historic Places - Traditional Cultural Properties (TCPs) A Quick Guide for Preserving Native American Cultural Resources,” 1.</w:t>
        </w:r>
      </w:hyperlink>
    </w:p>
  </w:footnote>
  <w:footnote w:id="221">
    <w:p w14:paraId="0000036D" w14:textId="0474F77A" w:rsidR="002A2321" w:rsidRDefault="002A2321">
      <w:pPr>
        <w:spacing w:line="240" w:lineRule="auto"/>
        <w:rPr>
          <w:sz w:val="20"/>
          <w:szCs w:val="20"/>
        </w:rPr>
      </w:pPr>
      <w:r>
        <w:rPr>
          <w:vertAlign w:val="superscript"/>
        </w:rPr>
        <w:footnoteRef/>
      </w:r>
      <w:r>
        <w:rPr>
          <w:sz w:val="20"/>
          <w:szCs w:val="20"/>
        </w:rPr>
        <w:t xml:space="preserve"> </w:t>
      </w:r>
      <w:hyperlink r:id="rId381">
        <w:r>
          <w:rPr>
            <w:color w:val="000000"/>
            <w:sz w:val="20"/>
            <w:szCs w:val="20"/>
          </w:rPr>
          <w:t>U.S. National Park Service Native American Liaison Office, 1.</w:t>
        </w:r>
      </w:hyperlink>
    </w:p>
  </w:footnote>
  <w:footnote w:id="222">
    <w:p w14:paraId="0000036E" w14:textId="77777777" w:rsidR="002A2321" w:rsidRDefault="002A2321">
      <w:pPr>
        <w:spacing w:line="240" w:lineRule="auto"/>
        <w:rPr>
          <w:sz w:val="20"/>
          <w:szCs w:val="20"/>
        </w:rPr>
      </w:pPr>
      <w:r>
        <w:rPr>
          <w:vertAlign w:val="superscript"/>
        </w:rPr>
        <w:footnoteRef/>
      </w:r>
      <w:r>
        <w:rPr>
          <w:sz w:val="20"/>
          <w:szCs w:val="20"/>
        </w:rPr>
        <w:t xml:space="preserve"> </w:t>
      </w:r>
      <w:hyperlink r:id="rId382">
        <w:proofErr w:type="spellStart"/>
        <w:r>
          <w:rPr>
            <w:color w:val="000000"/>
            <w:sz w:val="20"/>
            <w:szCs w:val="20"/>
          </w:rPr>
          <w:t>Quaide</w:t>
        </w:r>
        <w:proofErr w:type="spellEnd"/>
        <w:r>
          <w:rPr>
            <w:color w:val="000000"/>
            <w:sz w:val="20"/>
            <w:szCs w:val="20"/>
          </w:rPr>
          <w:t>, “Section VIII: How to Apply the National Register Criteria for Evaluation, National Register of Historic Places Bulletin (NRB 15).”</w:t>
        </w:r>
      </w:hyperlink>
    </w:p>
  </w:footnote>
  <w:footnote w:id="223">
    <w:p w14:paraId="0000036F" w14:textId="46FF14D0" w:rsidR="002A2321" w:rsidRDefault="002A2321">
      <w:pPr>
        <w:spacing w:line="240" w:lineRule="auto"/>
        <w:rPr>
          <w:sz w:val="20"/>
          <w:szCs w:val="20"/>
        </w:rPr>
      </w:pPr>
      <w:r>
        <w:rPr>
          <w:vertAlign w:val="superscript"/>
        </w:rPr>
        <w:footnoteRef/>
      </w:r>
      <w:r>
        <w:rPr>
          <w:sz w:val="20"/>
          <w:szCs w:val="20"/>
        </w:rPr>
        <w:t xml:space="preserve"> </w:t>
      </w:r>
      <w:hyperlink r:id="rId383">
        <w:r>
          <w:rPr>
            <w:color w:val="000000"/>
            <w:sz w:val="20"/>
            <w:szCs w:val="20"/>
          </w:rPr>
          <w:t>U.S. National Park Service Native American Liaison Office, “National Register of Historic Places - Traditional Cultural Properties (TCPs) A Quick Guide for Preserving Native American Cultural Resources,” 1.</w:t>
        </w:r>
      </w:hyperlink>
    </w:p>
  </w:footnote>
  <w:footnote w:id="224">
    <w:p w14:paraId="00000370" w14:textId="77777777" w:rsidR="002A2321" w:rsidRDefault="002A2321">
      <w:pPr>
        <w:spacing w:line="240" w:lineRule="auto"/>
        <w:rPr>
          <w:sz w:val="20"/>
          <w:szCs w:val="20"/>
        </w:rPr>
      </w:pPr>
      <w:r>
        <w:rPr>
          <w:vertAlign w:val="superscript"/>
        </w:rPr>
        <w:footnoteRef/>
      </w:r>
      <w:r>
        <w:rPr>
          <w:sz w:val="20"/>
          <w:szCs w:val="20"/>
        </w:rPr>
        <w:t xml:space="preserve"> </w:t>
      </w:r>
      <w:hyperlink r:id="rId384">
        <w:r>
          <w:rPr>
            <w:color w:val="000000"/>
            <w:sz w:val="20"/>
            <w:szCs w:val="20"/>
          </w:rPr>
          <w:t xml:space="preserve">King, </w:t>
        </w:r>
      </w:hyperlink>
      <w:hyperlink r:id="rId385">
        <w:r>
          <w:rPr>
            <w:i/>
            <w:color w:val="000000"/>
            <w:sz w:val="20"/>
            <w:szCs w:val="20"/>
          </w:rPr>
          <w:t>Places That Count: Traditional Cultural Properties in Cultural Resource Management</w:t>
        </w:r>
      </w:hyperlink>
      <w:hyperlink r:id="rId386">
        <w:r>
          <w:rPr>
            <w:color w:val="000000"/>
            <w:sz w:val="20"/>
            <w:szCs w:val="20"/>
          </w:rPr>
          <w:t>, 184.</w:t>
        </w:r>
      </w:hyperlink>
    </w:p>
  </w:footnote>
  <w:footnote w:id="225">
    <w:p w14:paraId="00000371" w14:textId="77777777" w:rsidR="002A2321" w:rsidRDefault="002A2321">
      <w:pPr>
        <w:spacing w:line="240" w:lineRule="auto"/>
        <w:rPr>
          <w:sz w:val="20"/>
          <w:szCs w:val="20"/>
        </w:rPr>
      </w:pPr>
      <w:r>
        <w:rPr>
          <w:vertAlign w:val="superscript"/>
        </w:rPr>
        <w:footnoteRef/>
      </w:r>
      <w:r>
        <w:rPr>
          <w:sz w:val="20"/>
          <w:szCs w:val="20"/>
        </w:rPr>
        <w:t xml:space="preserve"> </w:t>
      </w:r>
      <w:hyperlink r:id="rId387">
        <w:r>
          <w:rPr>
            <w:color w:val="000000"/>
            <w:sz w:val="20"/>
            <w:szCs w:val="20"/>
          </w:rPr>
          <w:t>Jerome, “The Values-Based Approach to Cultural-Heritage Preservation,” 4.</w:t>
        </w:r>
      </w:hyperlink>
    </w:p>
  </w:footnote>
  <w:footnote w:id="226">
    <w:p w14:paraId="00000372" w14:textId="77777777" w:rsidR="002A2321" w:rsidRDefault="002A2321">
      <w:pPr>
        <w:spacing w:line="240" w:lineRule="auto"/>
        <w:rPr>
          <w:sz w:val="20"/>
          <w:szCs w:val="20"/>
        </w:rPr>
      </w:pPr>
      <w:r>
        <w:rPr>
          <w:vertAlign w:val="superscript"/>
        </w:rPr>
        <w:footnoteRef/>
      </w:r>
      <w:r>
        <w:rPr>
          <w:sz w:val="20"/>
          <w:szCs w:val="20"/>
        </w:rPr>
        <w:t xml:space="preserve"> </w:t>
      </w:r>
      <w:hyperlink r:id="rId388">
        <w:r>
          <w:rPr>
            <w:color w:val="000000"/>
            <w:sz w:val="20"/>
            <w:szCs w:val="20"/>
          </w:rPr>
          <w:t>Jerome, 4.</w:t>
        </w:r>
      </w:hyperlink>
    </w:p>
  </w:footnote>
  <w:footnote w:id="227">
    <w:p w14:paraId="00000373" w14:textId="77777777" w:rsidR="002A2321" w:rsidRDefault="002A2321">
      <w:pPr>
        <w:spacing w:line="240" w:lineRule="auto"/>
        <w:rPr>
          <w:sz w:val="20"/>
          <w:szCs w:val="20"/>
        </w:rPr>
      </w:pPr>
      <w:r>
        <w:rPr>
          <w:vertAlign w:val="superscript"/>
        </w:rPr>
        <w:footnoteRef/>
      </w:r>
      <w:r>
        <w:rPr>
          <w:sz w:val="20"/>
          <w:szCs w:val="20"/>
        </w:rPr>
        <w:t xml:space="preserve"> </w:t>
      </w:r>
      <w:hyperlink r:id="rId389">
        <w:r>
          <w:rPr>
            <w:color w:val="000000"/>
            <w:sz w:val="20"/>
            <w:szCs w:val="20"/>
          </w:rPr>
          <w:t xml:space="preserve">King, </w:t>
        </w:r>
      </w:hyperlink>
      <w:hyperlink r:id="rId390">
        <w:r>
          <w:rPr>
            <w:i/>
            <w:color w:val="000000"/>
            <w:sz w:val="20"/>
            <w:szCs w:val="20"/>
          </w:rPr>
          <w:t>Places That Count: Traditional Cultural Properties in Cultural Resource Management</w:t>
        </w:r>
      </w:hyperlink>
      <w:hyperlink r:id="rId391">
        <w:r>
          <w:rPr>
            <w:color w:val="000000"/>
            <w:sz w:val="20"/>
            <w:szCs w:val="20"/>
          </w:rPr>
          <w:t>, 184.</w:t>
        </w:r>
      </w:hyperlink>
    </w:p>
  </w:footnote>
  <w:footnote w:id="228">
    <w:p w14:paraId="00000374" w14:textId="77777777" w:rsidR="002A2321" w:rsidRDefault="002A2321">
      <w:pPr>
        <w:spacing w:line="240" w:lineRule="auto"/>
        <w:rPr>
          <w:sz w:val="20"/>
          <w:szCs w:val="20"/>
        </w:rPr>
      </w:pPr>
      <w:r>
        <w:rPr>
          <w:vertAlign w:val="superscript"/>
        </w:rPr>
        <w:footnoteRef/>
      </w:r>
      <w:r>
        <w:rPr>
          <w:sz w:val="20"/>
          <w:szCs w:val="20"/>
        </w:rPr>
        <w:t xml:space="preserve"> While they are separate disciplines, they are well suited to a multi-disciplinary approach on farms. There are different focuses and approaches that should be seen as complementary instead of divisive.</w:t>
      </w:r>
    </w:p>
  </w:footnote>
  <w:footnote w:id="229">
    <w:p w14:paraId="00000375" w14:textId="77777777" w:rsidR="002A2321" w:rsidRDefault="002A2321">
      <w:pPr>
        <w:spacing w:line="240" w:lineRule="auto"/>
        <w:rPr>
          <w:sz w:val="20"/>
          <w:szCs w:val="20"/>
        </w:rPr>
      </w:pPr>
      <w:r>
        <w:rPr>
          <w:vertAlign w:val="superscript"/>
        </w:rPr>
        <w:footnoteRef/>
      </w:r>
      <w:r>
        <w:rPr>
          <w:sz w:val="20"/>
          <w:szCs w:val="20"/>
        </w:rPr>
        <w:t xml:space="preserve"> </w:t>
      </w:r>
      <w:hyperlink r:id="rId392">
        <w:r>
          <w:rPr>
            <w:color w:val="000000"/>
            <w:sz w:val="20"/>
            <w:szCs w:val="20"/>
          </w:rPr>
          <w:t xml:space="preserve">Samuel N. Stokes, A. Elizabeth Watson, Genevieve P. Keller, J. Timothy Keller, </w:t>
        </w:r>
      </w:hyperlink>
      <w:hyperlink r:id="rId393">
        <w:r>
          <w:rPr>
            <w:i/>
            <w:color w:val="000000"/>
            <w:sz w:val="20"/>
            <w:szCs w:val="20"/>
          </w:rPr>
          <w:t>Saving America’s Countryside: A Guide to Rural Conservation</w:t>
        </w:r>
      </w:hyperlink>
      <w:hyperlink r:id="rId394">
        <w:r>
          <w:rPr>
            <w:color w:val="000000"/>
            <w:sz w:val="20"/>
            <w:szCs w:val="20"/>
          </w:rPr>
          <w:t xml:space="preserve"> (Baltimore, MD: Johns Hopkins University Press, 1989), 2.</w:t>
        </w:r>
      </w:hyperlink>
    </w:p>
  </w:footnote>
  <w:footnote w:id="230">
    <w:p w14:paraId="00000376" w14:textId="77777777" w:rsidR="002A2321" w:rsidRDefault="002A2321">
      <w:pPr>
        <w:spacing w:line="240" w:lineRule="auto"/>
        <w:rPr>
          <w:sz w:val="20"/>
          <w:szCs w:val="20"/>
        </w:rPr>
      </w:pPr>
      <w:r>
        <w:rPr>
          <w:vertAlign w:val="superscript"/>
        </w:rPr>
        <w:footnoteRef/>
      </w:r>
      <w:r>
        <w:rPr>
          <w:sz w:val="20"/>
          <w:szCs w:val="20"/>
        </w:rPr>
        <w:t xml:space="preserve"> Again, not all farms need to make a profit. Those that can afford to lose money are not in immediate danger of loss. This thesis is concerned with individuals who are counting on the farm for income or trying to maintain a space as a farm, even if that means working other jobs to supplement the farm.</w:t>
      </w:r>
    </w:p>
  </w:footnote>
  <w:footnote w:id="231">
    <w:p w14:paraId="00000377" w14:textId="77777777" w:rsidR="002A2321" w:rsidRDefault="002A2321">
      <w:pPr>
        <w:spacing w:line="240" w:lineRule="auto"/>
        <w:rPr>
          <w:sz w:val="20"/>
          <w:szCs w:val="20"/>
        </w:rPr>
      </w:pPr>
      <w:r>
        <w:rPr>
          <w:vertAlign w:val="superscript"/>
        </w:rPr>
        <w:footnoteRef/>
      </w:r>
      <w:r>
        <w:rPr>
          <w:sz w:val="20"/>
          <w:szCs w:val="20"/>
        </w:rPr>
        <w:t xml:space="preserve"> </w:t>
      </w:r>
      <w:hyperlink r:id="rId395">
        <w:r>
          <w:rPr>
            <w:color w:val="000000"/>
            <w:sz w:val="20"/>
            <w:szCs w:val="20"/>
          </w:rPr>
          <w:t xml:space="preserve">Pennsylvania Land Trust Association, “Model Grant of Conservation Easement and Declaration of Covenants </w:t>
        </w:r>
        <w:proofErr w:type="gramStart"/>
        <w:r>
          <w:rPr>
            <w:color w:val="000000"/>
            <w:sz w:val="20"/>
            <w:szCs w:val="20"/>
          </w:rPr>
          <w:t>With</w:t>
        </w:r>
        <w:proofErr w:type="gramEnd"/>
        <w:r>
          <w:rPr>
            <w:color w:val="000000"/>
            <w:sz w:val="20"/>
            <w:szCs w:val="20"/>
          </w:rPr>
          <w:t xml:space="preserve"> Commentary,” April 3, 2018, S5.</w:t>
        </w:r>
      </w:hyperlink>
    </w:p>
  </w:footnote>
  <w:footnote w:id="232">
    <w:p w14:paraId="00000378" w14:textId="33ABE02F" w:rsidR="002A2321" w:rsidRDefault="002A2321">
      <w:pPr>
        <w:spacing w:line="240" w:lineRule="auto"/>
        <w:rPr>
          <w:sz w:val="20"/>
          <w:szCs w:val="20"/>
        </w:rPr>
      </w:pPr>
      <w:r>
        <w:rPr>
          <w:vertAlign w:val="superscript"/>
        </w:rPr>
        <w:footnoteRef/>
      </w:r>
      <w:r>
        <w:rPr>
          <w:sz w:val="20"/>
          <w:szCs w:val="20"/>
        </w:rPr>
        <w:t>Historic preservation uses facade easements to protect building exteriors, an architectural easement can vary in how much detail of a structure is protected down to the manner of conservation of materials. There are also agricultural easements, transfer development rights and purchase development rights. In each case, the property owner is giving up a right to do something, or granting another party a right to do something as in a right of way easement.</w:t>
      </w:r>
    </w:p>
  </w:footnote>
  <w:footnote w:id="233">
    <w:p w14:paraId="0000037A" w14:textId="77777777" w:rsidR="002A2321" w:rsidRDefault="002A2321">
      <w:pPr>
        <w:spacing w:line="240" w:lineRule="auto"/>
        <w:rPr>
          <w:sz w:val="20"/>
          <w:szCs w:val="20"/>
        </w:rPr>
      </w:pPr>
      <w:r>
        <w:rPr>
          <w:vertAlign w:val="superscript"/>
        </w:rPr>
        <w:footnoteRef/>
      </w:r>
      <w:r>
        <w:rPr>
          <w:sz w:val="20"/>
          <w:szCs w:val="20"/>
        </w:rPr>
        <w:t xml:space="preserve"> Section 106 can slow progress of federal undertakings. I do not think that it is as effective as easements because it only protects against federal actions where easements would have to be fought through legal action at any level. For legal action a Finding of No Significant Impact end runs Section 106.</w:t>
      </w:r>
    </w:p>
  </w:footnote>
  <w:footnote w:id="234">
    <w:p w14:paraId="0000037B" w14:textId="77777777" w:rsidR="002A2321" w:rsidRDefault="002A2321">
      <w:pPr>
        <w:spacing w:line="240" w:lineRule="auto"/>
        <w:rPr>
          <w:sz w:val="20"/>
          <w:szCs w:val="20"/>
        </w:rPr>
      </w:pPr>
      <w:r>
        <w:rPr>
          <w:vertAlign w:val="superscript"/>
        </w:rPr>
        <w:footnoteRef/>
      </w:r>
      <w:r>
        <w:rPr>
          <w:sz w:val="20"/>
          <w:szCs w:val="20"/>
        </w:rPr>
        <w:t xml:space="preserve"> </w:t>
      </w:r>
      <w:hyperlink r:id="rId396">
        <w:r>
          <w:rPr>
            <w:color w:val="000000"/>
            <w:sz w:val="20"/>
            <w:szCs w:val="20"/>
          </w:rPr>
          <w:t>U.S. National Park Service, “Tax Incentives,” Technical Preservation Services, accessed November 12, 2018, https://www.nps.gov/tps/tax-incentives.htm.</w:t>
        </w:r>
      </w:hyperlink>
    </w:p>
  </w:footnote>
  <w:footnote w:id="235">
    <w:p w14:paraId="0000037C" w14:textId="77777777" w:rsidR="002A2321" w:rsidRDefault="002A2321">
      <w:pPr>
        <w:spacing w:line="240" w:lineRule="auto"/>
        <w:rPr>
          <w:sz w:val="20"/>
          <w:szCs w:val="20"/>
        </w:rPr>
      </w:pPr>
      <w:r>
        <w:rPr>
          <w:vertAlign w:val="superscript"/>
        </w:rPr>
        <w:footnoteRef/>
      </w:r>
      <w:r>
        <w:rPr>
          <w:sz w:val="20"/>
          <w:szCs w:val="20"/>
        </w:rPr>
        <w:t xml:space="preserve"> </w:t>
      </w:r>
      <w:hyperlink r:id="rId397">
        <w:r>
          <w:rPr>
            <w:color w:val="000000"/>
            <w:sz w:val="20"/>
            <w:szCs w:val="20"/>
          </w:rPr>
          <w:t xml:space="preserve">Eve Endicott, </w:t>
        </w:r>
      </w:hyperlink>
      <w:hyperlink r:id="rId398">
        <w:r>
          <w:rPr>
            <w:i/>
            <w:color w:val="000000"/>
            <w:sz w:val="20"/>
            <w:szCs w:val="20"/>
          </w:rPr>
          <w:t>Land Conservation Through Public/Private Partnerships</w:t>
        </w:r>
      </w:hyperlink>
      <w:hyperlink r:id="rId399">
        <w:r>
          <w:rPr>
            <w:color w:val="000000"/>
            <w:sz w:val="20"/>
            <w:szCs w:val="20"/>
          </w:rPr>
          <w:t xml:space="preserve"> (Island Press, 1993).</w:t>
        </w:r>
      </w:hyperlink>
    </w:p>
  </w:footnote>
  <w:footnote w:id="236">
    <w:p w14:paraId="0000037D" w14:textId="77777777" w:rsidR="002A2321" w:rsidRDefault="002A2321">
      <w:pPr>
        <w:spacing w:line="240" w:lineRule="auto"/>
        <w:rPr>
          <w:sz w:val="20"/>
          <w:szCs w:val="20"/>
        </w:rPr>
      </w:pPr>
      <w:r>
        <w:rPr>
          <w:vertAlign w:val="superscript"/>
        </w:rPr>
        <w:footnoteRef/>
      </w:r>
      <w:r>
        <w:rPr>
          <w:sz w:val="20"/>
          <w:szCs w:val="20"/>
        </w:rPr>
        <w:t xml:space="preserve"> </w:t>
      </w:r>
      <w:hyperlink r:id="rId400">
        <w:r>
          <w:rPr>
            <w:color w:val="000000"/>
            <w:sz w:val="20"/>
            <w:szCs w:val="20"/>
          </w:rPr>
          <w:t xml:space="preserve">Mike McQueen and Edward T. McMahon, </w:t>
        </w:r>
      </w:hyperlink>
      <w:hyperlink r:id="rId401">
        <w:r>
          <w:rPr>
            <w:i/>
            <w:color w:val="000000"/>
            <w:sz w:val="20"/>
            <w:szCs w:val="20"/>
          </w:rPr>
          <w:t>Land Conservation Financing</w:t>
        </w:r>
      </w:hyperlink>
      <w:hyperlink r:id="rId402">
        <w:r>
          <w:rPr>
            <w:color w:val="000000"/>
            <w:sz w:val="20"/>
            <w:szCs w:val="20"/>
          </w:rPr>
          <w:t xml:space="preserve"> (Island Press, 2003), chap. 5.</w:t>
        </w:r>
      </w:hyperlink>
    </w:p>
  </w:footnote>
  <w:footnote w:id="237">
    <w:p w14:paraId="0000037E" w14:textId="77777777" w:rsidR="002A2321" w:rsidRDefault="002A2321">
      <w:pPr>
        <w:spacing w:line="240" w:lineRule="auto"/>
        <w:rPr>
          <w:sz w:val="20"/>
          <w:szCs w:val="20"/>
        </w:rPr>
      </w:pPr>
      <w:r>
        <w:rPr>
          <w:vertAlign w:val="superscript"/>
        </w:rPr>
        <w:footnoteRef/>
      </w:r>
      <w:r>
        <w:rPr>
          <w:sz w:val="20"/>
          <w:szCs w:val="20"/>
        </w:rPr>
        <w:t xml:space="preserve"> </w:t>
      </w:r>
      <w:hyperlink r:id="rId403">
        <w:r>
          <w:rPr>
            <w:color w:val="000000"/>
            <w:sz w:val="20"/>
            <w:szCs w:val="20"/>
          </w:rPr>
          <w:t>Australia ICOMOS, “The Burra Charter.”</w:t>
        </w:r>
      </w:hyperlink>
    </w:p>
  </w:footnote>
  <w:footnote w:id="238">
    <w:p w14:paraId="0000037F" w14:textId="77777777" w:rsidR="002A2321" w:rsidRDefault="002A2321">
      <w:pPr>
        <w:spacing w:line="240" w:lineRule="auto"/>
        <w:rPr>
          <w:sz w:val="20"/>
          <w:szCs w:val="20"/>
        </w:rPr>
      </w:pPr>
      <w:r>
        <w:rPr>
          <w:vertAlign w:val="superscript"/>
        </w:rPr>
        <w:footnoteRef/>
      </w:r>
      <w:r>
        <w:rPr>
          <w:sz w:val="20"/>
          <w:szCs w:val="20"/>
        </w:rPr>
        <w:t xml:space="preserve"> </w:t>
      </w:r>
      <w:hyperlink r:id="rId404">
        <w:r>
          <w:rPr>
            <w:color w:val="000000"/>
            <w:sz w:val="20"/>
            <w:szCs w:val="20"/>
          </w:rPr>
          <w:t>Australia ICOMOS, sec. 1.4.</w:t>
        </w:r>
      </w:hyperlink>
    </w:p>
  </w:footnote>
  <w:footnote w:id="239">
    <w:p w14:paraId="00000380" w14:textId="77777777" w:rsidR="002A2321" w:rsidRDefault="002A2321">
      <w:pPr>
        <w:spacing w:line="240" w:lineRule="auto"/>
        <w:rPr>
          <w:sz w:val="20"/>
          <w:szCs w:val="20"/>
        </w:rPr>
      </w:pPr>
      <w:r>
        <w:rPr>
          <w:vertAlign w:val="superscript"/>
        </w:rPr>
        <w:footnoteRef/>
      </w:r>
      <w:r>
        <w:rPr>
          <w:sz w:val="20"/>
          <w:szCs w:val="20"/>
        </w:rPr>
        <w:t xml:space="preserve"> </w:t>
      </w:r>
      <w:hyperlink r:id="rId405">
        <w:r>
          <w:rPr>
            <w:color w:val="000000"/>
            <w:sz w:val="20"/>
            <w:szCs w:val="20"/>
          </w:rPr>
          <w:t>Australia ICOMOS, sec. 1.6.</w:t>
        </w:r>
      </w:hyperlink>
    </w:p>
  </w:footnote>
  <w:footnote w:id="240">
    <w:p w14:paraId="00000381" w14:textId="77777777" w:rsidR="002A2321" w:rsidRDefault="002A2321">
      <w:pPr>
        <w:spacing w:line="240" w:lineRule="auto"/>
        <w:rPr>
          <w:sz w:val="20"/>
          <w:szCs w:val="20"/>
        </w:rPr>
      </w:pPr>
      <w:r>
        <w:rPr>
          <w:vertAlign w:val="superscript"/>
        </w:rPr>
        <w:footnoteRef/>
      </w:r>
      <w:r>
        <w:rPr>
          <w:sz w:val="20"/>
          <w:szCs w:val="20"/>
        </w:rPr>
        <w:t xml:space="preserve"> </w:t>
      </w:r>
      <w:hyperlink r:id="rId406">
        <w:r>
          <w:rPr>
            <w:color w:val="000000"/>
            <w:sz w:val="20"/>
            <w:szCs w:val="20"/>
          </w:rPr>
          <w:t>U.S. Department of the Interior, “Gifford Pinchot: A Legacy of Conservation,” U.S. Department of the Interior Blog, August 8, 2017, https://www.doi.gov/blog/gifford-pinchot-legacy-conservation.</w:t>
        </w:r>
      </w:hyperlink>
    </w:p>
  </w:footnote>
  <w:footnote w:id="241">
    <w:p w14:paraId="00000382" w14:textId="77777777" w:rsidR="002A2321" w:rsidRDefault="002A2321">
      <w:pPr>
        <w:spacing w:line="240" w:lineRule="auto"/>
        <w:rPr>
          <w:sz w:val="20"/>
          <w:szCs w:val="20"/>
        </w:rPr>
      </w:pPr>
      <w:r>
        <w:rPr>
          <w:vertAlign w:val="superscript"/>
        </w:rPr>
        <w:footnoteRef/>
      </w:r>
      <w:r>
        <w:rPr>
          <w:sz w:val="20"/>
          <w:szCs w:val="20"/>
        </w:rPr>
        <w:t xml:space="preserve"> </w:t>
      </w:r>
      <w:hyperlink r:id="rId407">
        <w:r>
          <w:rPr>
            <w:color w:val="000000"/>
            <w:sz w:val="20"/>
            <w:szCs w:val="20"/>
          </w:rPr>
          <w:t>Culture in Development, “What Is Cultural Heritage,” Culture in Development, accessed November 11, 2018, http://www.cultureindevelopment.nl/Cultural_Heritage/What_is_Cultural_Heritage; ICOMOS, “World Heritage List: Filling in the Gaps - an Action Plan for the Future,” February 2004, 9–11.</w:t>
        </w:r>
      </w:hyperlink>
    </w:p>
  </w:footnote>
  <w:footnote w:id="242">
    <w:p w14:paraId="00000383" w14:textId="77777777" w:rsidR="002A2321" w:rsidRDefault="002A2321">
      <w:pPr>
        <w:spacing w:line="240" w:lineRule="auto"/>
        <w:rPr>
          <w:sz w:val="20"/>
          <w:szCs w:val="20"/>
        </w:rPr>
      </w:pPr>
      <w:r>
        <w:rPr>
          <w:vertAlign w:val="superscript"/>
        </w:rPr>
        <w:footnoteRef/>
      </w:r>
      <w:r>
        <w:rPr>
          <w:sz w:val="20"/>
          <w:szCs w:val="20"/>
        </w:rPr>
        <w:t xml:space="preserve"> </w:t>
      </w:r>
      <w:hyperlink r:id="rId408">
        <w:r>
          <w:rPr>
            <w:color w:val="000000"/>
            <w:sz w:val="20"/>
            <w:szCs w:val="20"/>
          </w:rPr>
          <w:t>Australia ICOMOS, “The Burra Charter,” sec. 14.</w:t>
        </w:r>
      </w:hyperlink>
    </w:p>
  </w:footnote>
  <w:footnote w:id="243">
    <w:p w14:paraId="00000384" w14:textId="77777777" w:rsidR="002A2321" w:rsidRDefault="002A2321">
      <w:pPr>
        <w:spacing w:line="240" w:lineRule="auto"/>
        <w:rPr>
          <w:sz w:val="20"/>
          <w:szCs w:val="20"/>
        </w:rPr>
      </w:pPr>
      <w:r>
        <w:rPr>
          <w:vertAlign w:val="superscript"/>
        </w:rPr>
        <w:footnoteRef/>
      </w:r>
      <w:r>
        <w:rPr>
          <w:sz w:val="20"/>
          <w:szCs w:val="20"/>
        </w:rPr>
        <w:t xml:space="preserve"> </w:t>
      </w:r>
      <w:hyperlink r:id="rId409">
        <w:r>
          <w:rPr>
            <w:color w:val="000000"/>
            <w:sz w:val="20"/>
            <w:szCs w:val="20"/>
          </w:rPr>
          <w:t>Australia ICOMOS, sec. 15.</w:t>
        </w:r>
      </w:hyperlink>
    </w:p>
  </w:footnote>
  <w:footnote w:id="244">
    <w:p w14:paraId="00000385" w14:textId="77777777" w:rsidR="002A2321" w:rsidRDefault="002A2321">
      <w:pPr>
        <w:spacing w:line="240" w:lineRule="auto"/>
        <w:rPr>
          <w:sz w:val="20"/>
          <w:szCs w:val="20"/>
        </w:rPr>
      </w:pPr>
      <w:r>
        <w:rPr>
          <w:vertAlign w:val="superscript"/>
        </w:rPr>
        <w:footnoteRef/>
      </w:r>
      <w:r>
        <w:rPr>
          <w:sz w:val="20"/>
          <w:szCs w:val="20"/>
        </w:rPr>
        <w:t xml:space="preserve"> </w:t>
      </w:r>
      <w:hyperlink r:id="rId410">
        <w:r>
          <w:rPr>
            <w:color w:val="000000"/>
            <w:sz w:val="20"/>
            <w:szCs w:val="20"/>
          </w:rPr>
          <w:t>Australia ICOMOS, sec. 17.</w:t>
        </w:r>
      </w:hyperlink>
    </w:p>
  </w:footnote>
  <w:footnote w:id="245">
    <w:p w14:paraId="00000386" w14:textId="77777777" w:rsidR="002A2321" w:rsidRDefault="002A2321">
      <w:pPr>
        <w:spacing w:line="240" w:lineRule="auto"/>
        <w:rPr>
          <w:sz w:val="20"/>
          <w:szCs w:val="20"/>
        </w:rPr>
      </w:pPr>
      <w:r>
        <w:rPr>
          <w:vertAlign w:val="superscript"/>
        </w:rPr>
        <w:footnoteRef/>
      </w:r>
      <w:r>
        <w:rPr>
          <w:sz w:val="20"/>
          <w:szCs w:val="20"/>
        </w:rPr>
        <w:t xml:space="preserve"> </w:t>
      </w:r>
      <w:hyperlink r:id="rId411">
        <w:proofErr w:type="spellStart"/>
        <w:r>
          <w:rPr>
            <w:color w:val="000000"/>
            <w:sz w:val="20"/>
            <w:szCs w:val="20"/>
          </w:rPr>
          <w:t>Chapika</w:t>
        </w:r>
        <w:proofErr w:type="spellEnd"/>
        <w:r>
          <w:rPr>
            <w:color w:val="000000"/>
            <w:sz w:val="20"/>
            <w:szCs w:val="20"/>
          </w:rPr>
          <w:t xml:space="preserve"> </w:t>
        </w:r>
        <w:proofErr w:type="spellStart"/>
        <w:r>
          <w:rPr>
            <w:color w:val="000000"/>
            <w:sz w:val="20"/>
            <w:szCs w:val="20"/>
          </w:rPr>
          <w:t>Sangkapitux</w:t>
        </w:r>
        <w:proofErr w:type="spellEnd"/>
        <w:r>
          <w:rPr>
            <w:color w:val="000000"/>
            <w:sz w:val="20"/>
            <w:szCs w:val="20"/>
          </w:rPr>
          <w:t xml:space="preserve"> et al., “Willingness of Upstream and Downstream Resource Managers to Engage in Compensation Schemes for Environmental Services,” </w:t>
        </w:r>
      </w:hyperlink>
      <w:hyperlink r:id="rId412">
        <w:r>
          <w:rPr>
            <w:i/>
            <w:color w:val="000000"/>
            <w:sz w:val="20"/>
            <w:szCs w:val="20"/>
          </w:rPr>
          <w:t>International Journal of the Commons</w:t>
        </w:r>
      </w:hyperlink>
      <w:hyperlink r:id="rId413">
        <w:r>
          <w:rPr>
            <w:color w:val="000000"/>
            <w:sz w:val="20"/>
            <w:szCs w:val="20"/>
          </w:rPr>
          <w:t xml:space="preserve"> 3, no. 1 (2009): 41–63; Karl S. </w:t>
        </w:r>
        <w:proofErr w:type="spellStart"/>
        <w:r>
          <w:rPr>
            <w:color w:val="000000"/>
            <w:sz w:val="20"/>
            <w:szCs w:val="20"/>
          </w:rPr>
          <w:t>Zimmerer</w:t>
        </w:r>
        <w:proofErr w:type="spellEnd"/>
        <w:r>
          <w:rPr>
            <w:color w:val="000000"/>
            <w:sz w:val="20"/>
            <w:szCs w:val="20"/>
          </w:rPr>
          <w:t xml:space="preserve">, “‘CONSERVATION BOOMS’ WITH AGRICULTURAL GROWTH? Sustainability and Shifting Environmental Governance in Latin America, 1985-2008 (Mexico, Costa Rica, Brazil, Peru, Bolivia),” </w:t>
        </w:r>
      </w:hyperlink>
      <w:hyperlink r:id="rId414">
        <w:r>
          <w:rPr>
            <w:i/>
            <w:color w:val="000000"/>
            <w:sz w:val="20"/>
            <w:szCs w:val="20"/>
          </w:rPr>
          <w:t>Latin American Research Review</w:t>
        </w:r>
      </w:hyperlink>
      <w:hyperlink r:id="rId415">
        <w:r>
          <w:rPr>
            <w:color w:val="000000"/>
            <w:sz w:val="20"/>
            <w:szCs w:val="20"/>
          </w:rPr>
          <w:t xml:space="preserve"> 46 (2011): 82–114; Guy M. Robinson, “Canada’s Environmental Farm Plans: Transatlantic Perspectives on </w:t>
        </w:r>
        <w:proofErr w:type="spellStart"/>
        <w:r>
          <w:rPr>
            <w:color w:val="000000"/>
            <w:sz w:val="20"/>
            <w:szCs w:val="20"/>
          </w:rPr>
          <w:t>Agri</w:t>
        </w:r>
        <w:proofErr w:type="spellEnd"/>
        <w:r>
          <w:rPr>
            <w:color w:val="000000"/>
            <w:sz w:val="20"/>
            <w:szCs w:val="20"/>
          </w:rPr>
          <w:t xml:space="preserve">-Environmental Schemes,” </w:t>
        </w:r>
      </w:hyperlink>
      <w:hyperlink r:id="rId416">
        <w:r>
          <w:rPr>
            <w:i/>
            <w:color w:val="000000"/>
            <w:sz w:val="20"/>
            <w:szCs w:val="20"/>
          </w:rPr>
          <w:t>The Geographical Journal</w:t>
        </w:r>
      </w:hyperlink>
      <w:hyperlink r:id="rId417">
        <w:r>
          <w:rPr>
            <w:color w:val="000000"/>
            <w:sz w:val="20"/>
            <w:szCs w:val="20"/>
          </w:rPr>
          <w:t xml:space="preserve"> 172, no. 3 (2006): 206–18; Ian A. Simpson et al., “Envisioning Future Landscapes in the Environmentally Sensitive Areas of Scotland,” </w:t>
        </w:r>
      </w:hyperlink>
      <w:hyperlink r:id="rId418">
        <w:r>
          <w:rPr>
            <w:i/>
            <w:color w:val="000000"/>
            <w:sz w:val="20"/>
            <w:szCs w:val="20"/>
          </w:rPr>
          <w:t>Transactions of the Institute of British Geographers</w:t>
        </w:r>
      </w:hyperlink>
      <w:hyperlink r:id="rId419">
        <w:r>
          <w:rPr>
            <w:color w:val="000000"/>
            <w:sz w:val="20"/>
            <w:szCs w:val="20"/>
          </w:rPr>
          <w:t xml:space="preserve"> 22, no. 3 (1997): 307–20.</w:t>
        </w:r>
      </w:hyperlink>
    </w:p>
  </w:footnote>
  <w:footnote w:id="246">
    <w:p w14:paraId="00000387" w14:textId="77777777" w:rsidR="002A2321" w:rsidRDefault="002A2321">
      <w:pPr>
        <w:spacing w:line="240" w:lineRule="auto"/>
        <w:rPr>
          <w:sz w:val="20"/>
          <w:szCs w:val="20"/>
        </w:rPr>
      </w:pPr>
      <w:r>
        <w:rPr>
          <w:vertAlign w:val="superscript"/>
        </w:rPr>
        <w:footnoteRef/>
      </w:r>
      <w:r>
        <w:rPr>
          <w:sz w:val="20"/>
          <w:szCs w:val="20"/>
        </w:rPr>
        <w:t xml:space="preserve"> </w:t>
      </w:r>
      <w:hyperlink r:id="rId420">
        <w:r>
          <w:rPr>
            <w:color w:val="000000"/>
            <w:sz w:val="20"/>
            <w:szCs w:val="20"/>
          </w:rPr>
          <w:t>National Resource Conservation Service, “Environmental Quality Incentives Program,” USDA National Resource Conservation Service, accessed April 7, 2019, https://www.nrcs.usda.gov/wps/portal/nrcs/main/national/programs/financial/eqip/.</w:t>
        </w:r>
      </w:hyperlink>
    </w:p>
  </w:footnote>
  <w:footnote w:id="247">
    <w:p w14:paraId="00000388" w14:textId="77777777" w:rsidR="002A2321" w:rsidRDefault="002A2321">
      <w:pPr>
        <w:spacing w:line="240" w:lineRule="auto"/>
        <w:rPr>
          <w:sz w:val="20"/>
          <w:szCs w:val="20"/>
        </w:rPr>
      </w:pPr>
      <w:r>
        <w:rPr>
          <w:vertAlign w:val="superscript"/>
        </w:rPr>
        <w:footnoteRef/>
      </w:r>
      <w:r>
        <w:rPr>
          <w:sz w:val="20"/>
          <w:szCs w:val="20"/>
        </w:rPr>
        <w:t xml:space="preserve"> </w:t>
      </w:r>
      <w:hyperlink r:id="rId421">
        <w:r>
          <w:rPr>
            <w:color w:val="000000"/>
            <w:sz w:val="20"/>
            <w:szCs w:val="20"/>
          </w:rPr>
          <w:t>Directorate-General for Agriculture and Rural Development, “The Common Agricultural Policy: A Story To Be Continued” (European Union, 2012), 3, https://doi.org/10.2762/35894.</w:t>
        </w:r>
      </w:hyperlink>
    </w:p>
  </w:footnote>
  <w:footnote w:id="248">
    <w:p w14:paraId="00000389" w14:textId="77777777" w:rsidR="002A2321" w:rsidRDefault="002A2321">
      <w:pPr>
        <w:spacing w:line="240" w:lineRule="auto"/>
        <w:rPr>
          <w:sz w:val="20"/>
          <w:szCs w:val="20"/>
        </w:rPr>
      </w:pPr>
      <w:r>
        <w:rPr>
          <w:vertAlign w:val="superscript"/>
        </w:rPr>
        <w:footnoteRef/>
      </w:r>
      <w:r>
        <w:rPr>
          <w:sz w:val="20"/>
          <w:szCs w:val="20"/>
        </w:rPr>
        <w:t xml:space="preserve"> </w:t>
      </w:r>
      <w:hyperlink r:id="rId422">
        <w:r>
          <w:rPr>
            <w:color w:val="000000"/>
            <w:sz w:val="20"/>
            <w:szCs w:val="20"/>
          </w:rPr>
          <w:t>European Commission, “The Common Agricultural Policy at a Glance,” European Commission - European Commission, May 29, 2018, https://ec.europa.eu/info/food-farming-fisheries/key-policies/common-agricultural-policy/cap-glance_en.</w:t>
        </w:r>
      </w:hyperlink>
    </w:p>
  </w:footnote>
  <w:footnote w:id="249">
    <w:p w14:paraId="0000038A" w14:textId="77777777" w:rsidR="002A2321" w:rsidRDefault="002A2321">
      <w:pPr>
        <w:spacing w:line="240" w:lineRule="auto"/>
        <w:rPr>
          <w:sz w:val="20"/>
          <w:szCs w:val="20"/>
        </w:rPr>
      </w:pPr>
      <w:r>
        <w:rPr>
          <w:vertAlign w:val="superscript"/>
        </w:rPr>
        <w:footnoteRef/>
      </w:r>
      <w:r>
        <w:rPr>
          <w:sz w:val="20"/>
          <w:szCs w:val="20"/>
        </w:rPr>
        <w:t xml:space="preserve"> </w:t>
      </w:r>
      <w:hyperlink r:id="rId423">
        <w:r>
          <w:rPr>
            <w:color w:val="000000"/>
            <w:sz w:val="20"/>
            <w:szCs w:val="20"/>
          </w:rPr>
          <w:t>The United Nations Conference on Environment and Development, “The Rio Declaration on Environment and Development,” 1992, http://www.unesco.org/education/pdf/RIO_E.PDF.</w:t>
        </w:r>
      </w:hyperlink>
    </w:p>
  </w:footnote>
  <w:footnote w:id="250">
    <w:p w14:paraId="0000038B" w14:textId="77777777" w:rsidR="002A2321" w:rsidRDefault="002A2321">
      <w:pPr>
        <w:spacing w:line="240" w:lineRule="auto"/>
        <w:rPr>
          <w:sz w:val="20"/>
          <w:szCs w:val="20"/>
        </w:rPr>
      </w:pPr>
      <w:r>
        <w:rPr>
          <w:vertAlign w:val="superscript"/>
        </w:rPr>
        <w:footnoteRef/>
      </w:r>
      <w:r>
        <w:rPr>
          <w:sz w:val="20"/>
          <w:szCs w:val="20"/>
        </w:rPr>
        <w:t xml:space="preserve"> </w:t>
      </w:r>
      <w:hyperlink r:id="rId424">
        <w:r>
          <w:rPr>
            <w:color w:val="000000"/>
            <w:sz w:val="20"/>
            <w:szCs w:val="20"/>
          </w:rPr>
          <w:t xml:space="preserve">Directorate-General for Agriculture and Rural Development, “The Common Agricultural Policy: A Story </w:t>
        </w:r>
        <w:proofErr w:type="gramStart"/>
        <w:r>
          <w:rPr>
            <w:color w:val="000000"/>
            <w:sz w:val="20"/>
            <w:szCs w:val="20"/>
          </w:rPr>
          <w:t>To</w:t>
        </w:r>
        <w:proofErr w:type="gramEnd"/>
        <w:r>
          <w:rPr>
            <w:color w:val="000000"/>
            <w:sz w:val="20"/>
            <w:szCs w:val="20"/>
          </w:rPr>
          <w:t xml:space="preserve"> Be Continued,” 10–12.</w:t>
        </w:r>
      </w:hyperlink>
    </w:p>
  </w:footnote>
  <w:footnote w:id="251">
    <w:p w14:paraId="0000038C" w14:textId="77777777" w:rsidR="002A2321" w:rsidRDefault="002A2321">
      <w:pPr>
        <w:spacing w:line="240" w:lineRule="auto"/>
        <w:rPr>
          <w:sz w:val="20"/>
          <w:szCs w:val="20"/>
        </w:rPr>
      </w:pPr>
      <w:r>
        <w:rPr>
          <w:vertAlign w:val="superscript"/>
        </w:rPr>
        <w:footnoteRef/>
      </w:r>
      <w:r>
        <w:rPr>
          <w:sz w:val="20"/>
          <w:szCs w:val="20"/>
        </w:rPr>
        <w:t xml:space="preserve"> </w:t>
      </w:r>
      <w:hyperlink r:id="rId425">
        <w:r>
          <w:rPr>
            <w:color w:val="000000"/>
            <w:sz w:val="20"/>
            <w:szCs w:val="20"/>
          </w:rPr>
          <w:t>Simpson et al., “Envisioning Future Landscapes in the Environmentally Sensitive Areas of Scotland,” 307.</w:t>
        </w:r>
      </w:hyperlink>
    </w:p>
  </w:footnote>
  <w:footnote w:id="252">
    <w:p w14:paraId="0000038D" w14:textId="77777777" w:rsidR="002A2321" w:rsidRDefault="002A2321">
      <w:pPr>
        <w:spacing w:line="240" w:lineRule="auto"/>
        <w:rPr>
          <w:sz w:val="20"/>
          <w:szCs w:val="20"/>
        </w:rPr>
      </w:pPr>
      <w:r>
        <w:rPr>
          <w:vertAlign w:val="superscript"/>
        </w:rPr>
        <w:footnoteRef/>
      </w:r>
      <w:r>
        <w:rPr>
          <w:sz w:val="20"/>
          <w:szCs w:val="20"/>
        </w:rPr>
        <w:t xml:space="preserve"> </w:t>
      </w:r>
      <w:hyperlink r:id="rId426">
        <w:r>
          <w:rPr>
            <w:color w:val="000000"/>
            <w:sz w:val="20"/>
            <w:szCs w:val="20"/>
          </w:rPr>
          <w:t xml:space="preserve">Robert Gale and Stephan </w:t>
        </w:r>
        <w:proofErr w:type="spellStart"/>
        <w:r>
          <w:rPr>
            <w:color w:val="000000"/>
            <w:sz w:val="20"/>
            <w:szCs w:val="20"/>
          </w:rPr>
          <w:t>Barg</w:t>
        </w:r>
        <w:proofErr w:type="spellEnd"/>
        <w:r>
          <w:rPr>
            <w:color w:val="000000"/>
            <w:sz w:val="20"/>
            <w:szCs w:val="20"/>
          </w:rPr>
          <w:t xml:space="preserve">, </w:t>
        </w:r>
      </w:hyperlink>
      <w:hyperlink r:id="rId427">
        <w:r>
          <w:rPr>
            <w:i/>
            <w:color w:val="000000"/>
            <w:sz w:val="20"/>
            <w:szCs w:val="20"/>
          </w:rPr>
          <w:t>Green Budget Reform: An International Casebook of Leading Practices</w:t>
        </w:r>
      </w:hyperlink>
      <w:hyperlink r:id="rId428">
        <w:r>
          <w:rPr>
            <w:color w:val="000000"/>
            <w:sz w:val="20"/>
            <w:szCs w:val="20"/>
          </w:rPr>
          <w:t xml:space="preserve"> (Routledge, 2014), 124; Ministry of Agriculture, Fisheries, and Food (MAFF), “Environmentally Sensitive Areas: First Annual Report as Required Under Section 18(8) of the Agricultural Act of 1986” (London: MAFF, 1989).</w:t>
        </w:r>
      </w:hyperlink>
    </w:p>
  </w:footnote>
  <w:footnote w:id="253">
    <w:p w14:paraId="0000038E" w14:textId="77777777" w:rsidR="002A2321" w:rsidRDefault="002A2321">
      <w:pPr>
        <w:spacing w:line="240" w:lineRule="auto"/>
        <w:rPr>
          <w:sz w:val="20"/>
          <w:szCs w:val="20"/>
        </w:rPr>
      </w:pPr>
      <w:r>
        <w:rPr>
          <w:vertAlign w:val="superscript"/>
        </w:rPr>
        <w:footnoteRef/>
      </w:r>
      <w:r>
        <w:rPr>
          <w:sz w:val="20"/>
          <w:szCs w:val="20"/>
        </w:rPr>
        <w:t xml:space="preserve"> </w:t>
      </w:r>
      <w:hyperlink r:id="rId429">
        <w:r>
          <w:rPr>
            <w:color w:val="000000"/>
            <w:sz w:val="20"/>
            <w:szCs w:val="20"/>
          </w:rPr>
          <w:t>The United Nations Conference on Environment and Development, “The Rio Declaration on Environment and Development,” 2–3.</w:t>
        </w:r>
      </w:hyperlink>
    </w:p>
  </w:footnote>
  <w:footnote w:id="254">
    <w:p w14:paraId="0000038F" w14:textId="77777777" w:rsidR="002A2321" w:rsidRDefault="002A2321">
      <w:pPr>
        <w:spacing w:line="240" w:lineRule="auto"/>
        <w:rPr>
          <w:sz w:val="20"/>
          <w:szCs w:val="20"/>
        </w:rPr>
      </w:pPr>
      <w:r>
        <w:rPr>
          <w:vertAlign w:val="superscript"/>
        </w:rPr>
        <w:footnoteRef/>
      </w:r>
      <w:r>
        <w:rPr>
          <w:sz w:val="20"/>
          <w:szCs w:val="20"/>
        </w:rPr>
        <w:t xml:space="preserve"> </w:t>
      </w:r>
      <w:hyperlink r:id="rId430">
        <w:r>
          <w:rPr>
            <w:color w:val="000000"/>
            <w:sz w:val="20"/>
            <w:szCs w:val="20"/>
          </w:rPr>
          <w:t xml:space="preserve">Robinson, “Canada’s Environmental Farm Plans: Transatlantic Perspectives on </w:t>
        </w:r>
        <w:proofErr w:type="spellStart"/>
        <w:r>
          <w:rPr>
            <w:color w:val="000000"/>
            <w:sz w:val="20"/>
            <w:szCs w:val="20"/>
          </w:rPr>
          <w:t>Agri</w:t>
        </w:r>
        <w:proofErr w:type="spellEnd"/>
        <w:r>
          <w:rPr>
            <w:color w:val="000000"/>
            <w:sz w:val="20"/>
            <w:szCs w:val="20"/>
          </w:rPr>
          <w:t>-Environmental Schemes,” 207.</w:t>
        </w:r>
      </w:hyperlink>
    </w:p>
  </w:footnote>
  <w:footnote w:id="255">
    <w:p w14:paraId="00000390" w14:textId="77777777" w:rsidR="002A2321" w:rsidRDefault="002A2321">
      <w:pPr>
        <w:spacing w:line="240" w:lineRule="auto"/>
        <w:rPr>
          <w:sz w:val="20"/>
          <w:szCs w:val="20"/>
        </w:rPr>
      </w:pPr>
      <w:r>
        <w:rPr>
          <w:vertAlign w:val="superscript"/>
        </w:rPr>
        <w:footnoteRef/>
      </w:r>
      <w:r>
        <w:rPr>
          <w:sz w:val="20"/>
          <w:szCs w:val="20"/>
        </w:rPr>
        <w:t xml:space="preserve"> </w:t>
      </w:r>
      <w:hyperlink r:id="rId431">
        <w:r>
          <w:rPr>
            <w:color w:val="000000"/>
            <w:sz w:val="20"/>
            <w:szCs w:val="20"/>
          </w:rPr>
          <w:t xml:space="preserve">Jacob Phelps et al., “Agricultural Intensification Escalates Future Conservation Costs,” </w:t>
        </w:r>
      </w:hyperlink>
      <w:hyperlink r:id="rId432">
        <w:r>
          <w:rPr>
            <w:i/>
            <w:color w:val="000000"/>
            <w:sz w:val="20"/>
            <w:szCs w:val="20"/>
          </w:rPr>
          <w:t>Proceedings of the National Academy of Sciences of the United States of America</w:t>
        </w:r>
      </w:hyperlink>
      <w:hyperlink r:id="rId433">
        <w:r>
          <w:rPr>
            <w:color w:val="000000"/>
            <w:sz w:val="20"/>
            <w:szCs w:val="20"/>
          </w:rPr>
          <w:t xml:space="preserve"> 110, no. 19 (May 7, 2013): 7601–6.</w:t>
        </w:r>
      </w:hyperlink>
    </w:p>
  </w:footnote>
  <w:footnote w:id="256">
    <w:p w14:paraId="00000391" w14:textId="77777777" w:rsidR="002A2321" w:rsidRDefault="002A2321">
      <w:pPr>
        <w:spacing w:line="240" w:lineRule="auto"/>
        <w:rPr>
          <w:sz w:val="20"/>
          <w:szCs w:val="20"/>
        </w:rPr>
      </w:pPr>
      <w:r>
        <w:rPr>
          <w:vertAlign w:val="superscript"/>
        </w:rPr>
        <w:footnoteRef/>
      </w:r>
      <w:r>
        <w:rPr>
          <w:sz w:val="20"/>
          <w:szCs w:val="20"/>
        </w:rPr>
        <w:t xml:space="preserve"> </w:t>
      </w:r>
      <w:hyperlink r:id="rId434">
        <w:r>
          <w:rPr>
            <w:color w:val="000000"/>
            <w:sz w:val="20"/>
            <w:szCs w:val="20"/>
          </w:rPr>
          <w:t xml:space="preserve">Robert Fish, Michael Winter, and Matt </w:t>
        </w:r>
        <w:proofErr w:type="spellStart"/>
        <w:r>
          <w:rPr>
            <w:color w:val="000000"/>
            <w:sz w:val="20"/>
            <w:szCs w:val="20"/>
          </w:rPr>
          <w:t>Lobley</w:t>
        </w:r>
        <w:proofErr w:type="spellEnd"/>
        <w:r>
          <w:rPr>
            <w:color w:val="000000"/>
            <w:sz w:val="20"/>
            <w:szCs w:val="20"/>
          </w:rPr>
          <w:t xml:space="preserve">, “Sustainable Intensification and Ecosystem Services: New Directions in Agricultural Governance,” </w:t>
        </w:r>
      </w:hyperlink>
      <w:hyperlink r:id="rId435">
        <w:r>
          <w:rPr>
            <w:i/>
            <w:color w:val="000000"/>
            <w:sz w:val="20"/>
            <w:szCs w:val="20"/>
          </w:rPr>
          <w:t>Policy Sciences</w:t>
        </w:r>
      </w:hyperlink>
      <w:hyperlink r:id="rId436">
        <w:r>
          <w:rPr>
            <w:color w:val="000000"/>
            <w:sz w:val="20"/>
            <w:szCs w:val="20"/>
          </w:rPr>
          <w:t xml:space="preserve"> 47, no. 1 (2014): 53.</w:t>
        </w:r>
      </w:hyperlink>
    </w:p>
  </w:footnote>
  <w:footnote w:id="257">
    <w:p w14:paraId="00000393" w14:textId="14DFC4F6" w:rsidR="002A2321" w:rsidRDefault="002A2321" w:rsidP="00936D8A">
      <w:pPr>
        <w:spacing w:line="240" w:lineRule="auto"/>
        <w:rPr>
          <w:sz w:val="20"/>
          <w:szCs w:val="20"/>
        </w:rPr>
      </w:pPr>
      <w:r>
        <w:rPr>
          <w:vertAlign w:val="superscript"/>
        </w:rPr>
        <w:footnoteRef/>
      </w:r>
      <w:r>
        <w:rPr>
          <w:sz w:val="20"/>
          <w:szCs w:val="20"/>
        </w:rPr>
        <w:t xml:space="preserve"> </w:t>
      </w:r>
      <w:hyperlink r:id="rId437">
        <w:r>
          <w:rPr>
            <w:color w:val="000000"/>
            <w:sz w:val="20"/>
            <w:szCs w:val="20"/>
          </w:rPr>
          <w:t xml:space="preserve">Robinson, “Canada’s Environmental Farm Plans: Transatlantic Perspectives on </w:t>
        </w:r>
        <w:proofErr w:type="spellStart"/>
        <w:r>
          <w:rPr>
            <w:color w:val="000000"/>
            <w:sz w:val="20"/>
            <w:szCs w:val="20"/>
          </w:rPr>
          <w:t>Agri</w:t>
        </w:r>
        <w:proofErr w:type="spellEnd"/>
        <w:r>
          <w:rPr>
            <w:color w:val="000000"/>
            <w:sz w:val="20"/>
            <w:szCs w:val="20"/>
          </w:rPr>
          <w:t>-Environmental Schemes,” 209; Simpson et al., “Envisioning Future Landscapes in the Environmentally Sensitive Areas of Scotland,” 307.</w:t>
        </w:r>
      </w:hyperlink>
    </w:p>
  </w:footnote>
  <w:footnote w:id="258">
    <w:p w14:paraId="00000396" w14:textId="77777777" w:rsidR="002A2321" w:rsidRDefault="002A2321">
      <w:pPr>
        <w:spacing w:line="240" w:lineRule="auto"/>
        <w:rPr>
          <w:sz w:val="20"/>
          <w:szCs w:val="20"/>
        </w:rPr>
      </w:pPr>
      <w:r>
        <w:rPr>
          <w:vertAlign w:val="superscript"/>
        </w:rPr>
        <w:footnoteRef/>
      </w:r>
      <w:r>
        <w:rPr>
          <w:sz w:val="20"/>
          <w:szCs w:val="20"/>
        </w:rPr>
        <w:t xml:space="preserve"> </w:t>
      </w:r>
      <w:hyperlink r:id="rId438">
        <w:proofErr w:type="spellStart"/>
        <w:r>
          <w:rPr>
            <w:color w:val="000000"/>
            <w:sz w:val="20"/>
            <w:szCs w:val="20"/>
          </w:rPr>
          <w:t>Guthey</w:t>
        </w:r>
        <w:proofErr w:type="spellEnd"/>
        <w:r>
          <w:rPr>
            <w:color w:val="000000"/>
            <w:sz w:val="20"/>
            <w:szCs w:val="20"/>
          </w:rPr>
          <w:t xml:space="preserve">, </w:t>
        </w:r>
        <w:proofErr w:type="spellStart"/>
        <w:r>
          <w:rPr>
            <w:color w:val="000000"/>
            <w:sz w:val="20"/>
            <w:szCs w:val="20"/>
          </w:rPr>
          <w:t>Gwin</w:t>
        </w:r>
        <w:proofErr w:type="spellEnd"/>
        <w:r>
          <w:rPr>
            <w:color w:val="000000"/>
            <w:sz w:val="20"/>
            <w:szCs w:val="20"/>
          </w:rPr>
          <w:t>, and Fairfax, “Creative Preservation in California’s Dairy Industry,” 182–184.</w:t>
        </w:r>
      </w:hyperlink>
    </w:p>
  </w:footnote>
  <w:footnote w:id="259">
    <w:p w14:paraId="00000397" w14:textId="77777777" w:rsidR="002A2321" w:rsidRDefault="002A2321">
      <w:pPr>
        <w:spacing w:line="240" w:lineRule="auto"/>
        <w:rPr>
          <w:sz w:val="20"/>
          <w:szCs w:val="20"/>
        </w:rPr>
      </w:pPr>
      <w:r>
        <w:rPr>
          <w:vertAlign w:val="superscript"/>
        </w:rPr>
        <w:footnoteRef/>
      </w:r>
      <w:r>
        <w:rPr>
          <w:sz w:val="20"/>
          <w:szCs w:val="20"/>
        </w:rPr>
        <w:t xml:space="preserve"> </w:t>
      </w:r>
      <w:hyperlink r:id="rId439">
        <w:r>
          <w:rPr>
            <w:color w:val="000000"/>
            <w:sz w:val="20"/>
            <w:szCs w:val="20"/>
          </w:rPr>
          <w:t xml:space="preserve">Pelton, </w:t>
        </w:r>
      </w:hyperlink>
      <w:hyperlink r:id="rId440">
        <w:r>
          <w:rPr>
            <w:i/>
            <w:color w:val="000000"/>
            <w:sz w:val="20"/>
            <w:szCs w:val="20"/>
          </w:rPr>
          <w:t>The Chesapeake in Focus: Transforming the Natural World</w:t>
        </w:r>
      </w:hyperlink>
      <w:hyperlink r:id="rId441">
        <w:r>
          <w:rPr>
            <w:color w:val="000000"/>
            <w:sz w:val="20"/>
            <w:szCs w:val="20"/>
          </w:rPr>
          <w:t>, 168–172.</w:t>
        </w:r>
      </w:hyperlink>
    </w:p>
  </w:footnote>
  <w:footnote w:id="260">
    <w:p w14:paraId="00000398" w14:textId="77777777" w:rsidR="002A2321" w:rsidRDefault="002A2321">
      <w:pPr>
        <w:spacing w:line="240" w:lineRule="auto"/>
        <w:rPr>
          <w:sz w:val="20"/>
          <w:szCs w:val="20"/>
        </w:rPr>
      </w:pPr>
      <w:r>
        <w:rPr>
          <w:vertAlign w:val="superscript"/>
        </w:rPr>
        <w:footnoteRef/>
      </w:r>
      <w:r>
        <w:rPr>
          <w:sz w:val="20"/>
          <w:szCs w:val="20"/>
        </w:rPr>
        <w:t xml:space="preserve"> </w:t>
      </w:r>
      <w:hyperlink r:id="rId442">
        <w:proofErr w:type="spellStart"/>
        <w:r>
          <w:rPr>
            <w:color w:val="000000"/>
            <w:sz w:val="20"/>
            <w:szCs w:val="20"/>
          </w:rPr>
          <w:t>Sangkapitux</w:t>
        </w:r>
        <w:proofErr w:type="spellEnd"/>
        <w:r>
          <w:rPr>
            <w:color w:val="000000"/>
            <w:sz w:val="20"/>
            <w:szCs w:val="20"/>
          </w:rPr>
          <w:t xml:space="preserve"> et al., “Willingness of Upstream and Downstream Resource Managers to Engage in Compensation Schemes for Environmental Services.”</w:t>
        </w:r>
      </w:hyperlink>
    </w:p>
  </w:footnote>
  <w:footnote w:id="261">
    <w:p w14:paraId="00000399" w14:textId="77777777" w:rsidR="002A2321" w:rsidRDefault="002A2321">
      <w:pPr>
        <w:spacing w:line="240" w:lineRule="auto"/>
        <w:rPr>
          <w:sz w:val="20"/>
          <w:szCs w:val="20"/>
        </w:rPr>
      </w:pPr>
      <w:r>
        <w:rPr>
          <w:vertAlign w:val="superscript"/>
        </w:rPr>
        <w:footnoteRef/>
      </w:r>
      <w:r>
        <w:rPr>
          <w:sz w:val="20"/>
          <w:szCs w:val="20"/>
        </w:rPr>
        <w:t xml:space="preserve"> </w:t>
      </w:r>
      <w:hyperlink r:id="rId443">
        <w:r>
          <w:rPr>
            <w:color w:val="000000"/>
            <w:sz w:val="20"/>
            <w:szCs w:val="20"/>
          </w:rPr>
          <w:t xml:space="preserve">Robinson, “Canada’s Environmental Farm Plans: Transatlantic Perspectives on </w:t>
        </w:r>
        <w:proofErr w:type="spellStart"/>
        <w:r>
          <w:rPr>
            <w:color w:val="000000"/>
            <w:sz w:val="20"/>
            <w:szCs w:val="20"/>
          </w:rPr>
          <w:t>Agri</w:t>
        </w:r>
        <w:proofErr w:type="spellEnd"/>
        <w:r>
          <w:rPr>
            <w:color w:val="000000"/>
            <w:sz w:val="20"/>
            <w:szCs w:val="20"/>
          </w:rPr>
          <w:t>-Environmental Schemes,” 210–211.</w:t>
        </w:r>
      </w:hyperlink>
    </w:p>
  </w:footnote>
  <w:footnote w:id="262">
    <w:p w14:paraId="0000039A" w14:textId="77777777" w:rsidR="002A2321" w:rsidRDefault="002A2321">
      <w:pPr>
        <w:spacing w:line="240" w:lineRule="auto"/>
        <w:rPr>
          <w:sz w:val="20"/>
          <w:szCs w:val="20"/>
        </w:rPr>
      </w:pPr>
      <w:r>
        <w:rPr>
          <w:vertAlign w:val="superscript"/>
        </w:rPr>
        <w:footnoteRef/>
      </w:r>
      <w:r>
        <w:rPr>
          <w:sz w:val="20"/>
          <w:szCs w:val="20"/>
        </w:rPr>
        <w:t xml:space="preserve"> Traditional does not have to mean more than pre-intensification. There should not be a move to return to mule power. Intensification as defined does not have to reach the levels of factory farming, it also includes the over-fertilizing of land to increase yield per square acre, or housing too many animals compared to what the land can handle without supplemental feed.</w:t>
      </w:r>
    </w:p>
  </w:footnote>
  <w:footnote w:id="263">
    <w:p w14:paraId="0000039B" w14:textId="77777777" w:rsidR="002A2321" w:rsidRDefault="002A2321">
      <w:pPr>
        <w:spacing w:line="240" w:lineRule="auto"/>
        <w:rPr>
          <w:sz w:val="20"/>
          <w:szCs w:val="20"/>
        </w:rPr>
      </w:pPr>
      <w:r>
        <w:rPr>
          <w:vertAlign w:val="superscript"/>
        </w:rPr>
        <w:footnoteRef/>
      </w:r>
      <w:r>
        <w:rPr>
          <w:sz w:val="20"/>
          <w:szCs w:val="20"/>
        </w:rPr>
        <w:t xml:space="preserve"> </w:t>
      </w:r>
      <w:hyperlink r:id="rId444">
        <w:r>
          <w:rPr>
            <w:color w:val="000000"/>
            <w:sz w:val="20"/>
            <w:szCs w:val="20"/>
          </w:rPr>
          <w:t>European Commission, “Agriculture and the Environment: Introduction - Agriculture and Rural Development,” Agriculture and rural development, March 2, 2012, https://ec.europa.eu/agriculture/envir_en.</w:t>
        </w:r>
      </w:hyperlink>
    </w:p>
  </w:footnote>
  <w:footnote w:id="264">
    <w:p w14:paraId="0000039D" w14:textId="77777777" w:rsidR="002A2321" w:rsidRDefault="002A2321">
      <w:pPr>
        <w:spacing w:line="240" w:lineRule="auto"/>
        <w:rPr>
          <w:sz w:val="20"/>
          <w:szCs w:val="20"/>
        </w:rPr>
      </w:pPr>
      <w:r>
        <w:rPr>
          <w:vertAlign w:val="superscript"/>
        </w:rPr>
        <w:footnoteRef/>
      </w:r>
      <w:r>
        <w:rPr>
          <w:sz w:val="20"/>
          <w:szCs w:val="20"/>
        </w:rPr>
        <w:t xml:space="preserve"> Even when considering architecture, it is hard to say a place is saved. Preservation is not something that ends, but an ongoing process. Preservation becomes maintenance. The finality of the term “Saved” is catchy but misleading.</w:t>
      </w:r>
    </w:p>
  </w:footnote>
  <w:footnote w:id="265">
    <w:p w14:paraId="0000039E" w14:textId="77777777" w:rsidR="002A2321" w:rsidRDefault="002A2321">
      <w:pPr>
        <w:spacing w:line="240" w:lineRule="auto"/>
        <w:rPr>
          <w:sz w:val="20"/>
          <w:szCs w:val="20"/>
        </w:rPr>
      </w:pPr>
      <w:r>
        <w:rPr>
          <w:vertAlign w:val="superscript"/>
        </w:rPr>
        <w:footnoteRef/>
      </w:r>
      <w:r>
        <w:rPr>
          <w:sz w:val="20"/>
          <w:szCs w:val="20"/>
        </w:rPr>
        <w:t xml:space="preserve"> </w:t>
      </w:r>
      <w:hyperlink r:id="rId445">
        <w:r>
          <w:rPr>
            <w:color w:val="000000"/>
            <w:sz w:val="20"/>
            <w:szCs w:val="20"/>
          </w:rPr>
          <w:t xml:space="preserve">Corey Kilgannon, “Declare the Strand Bookstore a City Landmark? No Thanks, the Strand Says,” </w:t>
        </w:r>
      </w:hyperlink>
      <w:hyperlink r:id="rId446">
        <w:r>
          <w:rPr>
            <w:i/>
            <w:color w:val="000000"/>
            <w:sz w:val="20"/>
            <w:szCs w:val="20"/>
          </w:rPr>
          <w:t>The New York Times</w:t>
        </w:r>
      </w:hyperlink>
      <w:hyperlink r:id="rId447">
        <w:r>
          <w:rPr>
            <w:color w:val="000000"/>
            <w:sz w:val="20"/>
            <w:szCs w:val="20"/>
          </w:rPr>
          <w:t>, December 3, 2018, https://www.nytimes.com/2018/12/03/nyregion/strand-bookstore-landmark.html.</w:t>
        </w:r>
      </w:hyperlink>
    </w:p>
  </w:footnote>
  <w:footnote w:id="266">
    <w:p w14:paraId="0000039F" w14:textId="77777777" w:rsidR="002A2321" w:rsidRDefault="002A2321">
      <w:pPr>
        <w:spacing w:line="240" w:lineRule="auto"/>
        <w:rPr>
          <w:sz w:val="20"/>
          <w:szCs w:val="20"/>
        </w:rPr>
      </w:pPr>
      <w:r>
        <w:rPr>
          <w:vertAlign w:val="superscript"/>
        </w:rPr>
        <w:footnoteRef/>
      </w:r>
      <w:r>
        <w:rPr>
          <w:sz w:val="20"/>
          <w:szCs w:val="20"/>
        </w:rPr>
        <w:t xml:space="preserve"> </w:t>
      </w:r>
      <w:hyperlink r:id="rId448">
        <w:r>
          <w:rPr>
            <w:color w:val="000000"/>
            <w:sz w:val="20"/>
            <w:szCs w:val="20"/>
          </w:rPr>
          <w:t xml:space="preserve">Michelle Cohen, “Strand Bookstore Owner Offers a Compromise in Last-Ditch Attempt to Avoid Landmark Status,” 6sqft, February 20, 2019, https://www.6sqft.com/strand-bookstore-owner-offers-a-compromise-in-last-ditch-attempt-to-avoid-landmark-status/; </w:t>
        </w:r>
        <w:proofErr w:type="spellStart"/>
        <w:r>
          <w:rPr>
            <w:color w:val="000000"/>
            <w:sz w:val="20"/>
            <w:szCs w:val="20"/>
          </w:rPr>
          <w:t>Kilgannon</w:t>
        </w:r>
        <w:proofErr w:type="spellEnd"/>
        <w:r>
          <w:rPr>
            <w:color w:val="000000"/>
            <w:sz w:val="20"/>
            <w:szCs w:val="20"/>
          </w:rPr>
          <w:t>, “Declare the Strand Bookstore a City Landmark? No Thanks, the Strand Says.”</w:t>
        </w:r>
      </w:hyperlink>
    </w:p>
  </w:footnote>
  <w:footnote w:id="267">
    <w:p w14:paraId="000003A0" w14:textId="77777777" w:rsidR="002A2321" w:rsidRDefault="002A2321">
      <w:pPr>
        <w:spacing w:line="240" w:lineRule="auto"/>
        <w:rPr>
          <w:sz w:val="20"/>
          <w:szCs w:val="20"/>
        </w:rPr>
      </w:pPr>
      <w:r>
        <w:rPr>
          <w:vertAlign w:val="superscript"/>
        </w:rPr>
        <w:footnoteRef/>
      </w:r>
      <w:r>
        <w:rPr>
          <w:sz w:val="20"/>
          <w:szCs w:val="20"/>
        </w:rPr>
        <w:t xml:space="preserve"> </w:t>
      </w:r>
      <w:hyperlink r:id="rId449">
        <w:r>
          <w:rPr>
            <w:color w:val="000000"/>
            <w:sz w:val="20"/>
            <w:szCs w:val="20"/>
          </w:rPr>
          <w:t>Jackson Gilan-Fiorlini, “Too Historic to Fail: The Strand Bookstore and the Business of Preserving Businesses,” History Preserves, January 14, 2019, https://historypreserves.com/post/182007625014/too-historic-to-fail-the-strand-bookstore-and-the.</w:t>
        </w:r>
      </w:hyperlink>
    </w:p>
  </w:footnote>
  <w:footnote w:id="268">
    <w:p w14:paraId="000003A1" w14:textId="77777777" w:rsidR="002A2321" w:rsidRDefault="002A2321">
      <w:pPr>
        <w:spacing w:line="240" w:lineRule="auto"/>
        <w:rPr>
          <w:sz w:val="20"/>
          <w:szCs w:val="20"/>
        </w:rPr>
      </w:pPr>
      <w:r>
        <w:rPr>
          <w:vertAlign w:val="superscript"/>
        </w:rPr>
        <w:footnoteRef/>
      </w:r>
      <w:r>
        <w:rPr>
          <w:sz w:val="20"/>
          <w:szCs w:val="20"/>
        </w:rPr>
        <w:t xml:space="preserve"> </w:t>
      </w:r>
      <w:hyperlink r:id="rId450">
        <w:r>
          <w:rPr>
            <w:color w:val="000000"/>
            <w:sz w:val="20"/>
            <w:szCs w:val="20"/>
          </w:rPr>
          <w:t>Cohen, “Strand Bookstore Owner Offers a Compromise in Last-Ditch Attempt to Avoid Landmark Status.”</w:t>
        </w:r>
      </w:hyperlink>
    </w:p>
  </w:footnote>
  <w:footnote w:id="269">
    <w:p w14:paraId="62F0CF7D" w14:textId="4B361296" w:rsidR="002A2321" w:rsidRPr="00EB79F9" w:rsidRDefault="002A2321" w:rsidP="00EB79F9">
      <w:pPr>
        <w:pStyle w:val="NormalWeb"/>
        <w:spacing w:before="0" w:beforeAutospacing="0" w:after="0" w:afterAutospacing="0"/>
      </w:pPr>
      <w:r>
        <w:rPr>
          <w:rStyle w:val="FootnoteReference"/>
        </w:rPr>
        <w:footnoteRef/>
      </w:r>
      <w:r>
        <w:t xml:space="preserve"> </w:t>
      </w:r>
      <w:r w:rsidRPr="00EB79F9">
        <w:rPr>
          <w:sz w:val="20"/>
          <w:szCs w:val="20"/>
        </w:rPr>
        <w:t>University of Delaware, “‘Preserved Farmland:’ The New Buzzword in Produce Marketing,” Science Daily, accessed May 21, 2017, https://www.sciencedaily.com/releases/2016/09/160916143950.htm.</w:t>
      </w:r>
    </w:p>
  </w:footnote>
  <w:footnote w:id="270">
    <w:p w14:paraId="000003A2" w14:textId="77777777" w:rsidR="002A2321" w:rsidRDefault="002A2321">
      <w:pPr>
        <w:spacing w:line="240" w:lineRule="auto"/>
        <w:rPr>
          <w:sz w:val="20"/>
          <w:szCs w:val="20"/>
        </w:rPr>
      </w:pPr>
      <w:r>
        <w:rPr>
          <w:vertAlign w:val="superscript"/>
        </w:rPr>
        <w:footnoteRef/>
      </w:r>
      <w:r>
        <w:rPr>
          <w:sz w:val="20"/>
          <w:szCs w:val="20"/>
        </w:rPr>
        <w:t xml:space="preserve"> </w:t>
      </w:r>
      <w:hyperlink r:id="rId451">
        <w:proofErr w:type="spellStart"/>
        <w:r>
          <w:rPr>
            <w:color w:val="000000"/>
            <w:sz w:val="20"/>
            <w:szCs w:val="20"/>
          </w:rPr>
          <w:t>Piotrowicz</w:t>
        </w:r>
        <w:proofErr w:type="spellEnd"/>
        <w:r>
          <w:rPr>
            <w:color w:val="000000"/>
            <w:sz w:val="20"/>
            <w:szCs w:val="20"/>
          </w:rPr>
          <w:t>, interview.</w:t>
        </w:r>
      </w:hyperlink>
    </w:p>
  </w:footnote>
  <w:footnote w:id="271">
    <w:p w14:paraId="000003A3" w14:textId="77777777" w:rsidR="002A2321" w:rsidRDefault="002A2321">
      <w:pPr>
        <w:spacing w:line="240" w:lineRule="auto"/>
        <w:rPr>
          <w:sz w:val="20"/>
          <w:szCs w:val="20"/>
        </w:rPr>
      </w:pPr>
      <w:r>
        <w:rPr>
          <w:vertAlign w:val="superscript"/>
        </w:rPr>
        <w:footnoteRef/>
      </w:r>
      <w:r>
        <w:rPr>
          <w:sz w:val="20"/>
          <w:szCs w:val="20"/>
        </w:rPr>
        <w:t xml:space="preserve"> </w:t>
      </w:r>
      <w:hyperlink r:id="rId452">
        <w:r>
          <w:rPr>
            <w:color w:val="000000"/>
            <w:sz w:val="20"/>
            <w:szCs w:val="20"/>
          </w:rPr>
          <w:t>Les McCall to Author, May 2, 2017; Andrew Sorrell to Author, May 3, 2017.</w:t>
        </w:r>
      </w:hyperlink>
    </w:p>
  </w:footnote>
  <w:footnote w:id="272">
    <w:p w14:paraId="000003A4" w14:textId="77777777" w:rsidR="002A2321" w:rsidRDefault="002A2321">
      <w:pPr>
        <w:spacing w:line="240" w:lineRule="auto"/>
        <w:rPr>
          <w:sz w:val="20"/>
          <w:szCs w:val="20"/>
        </w:rPr>
      </w:pPr>
      <w:r>
        <w:rPr>
          <w:vertAlign w:val="superscript"/>
        </w:rPr>
        <w:footnoteRef/>
      </w:r>
      <w:r>
        <w:rPr>
          <w:sz w:val="20"/>
          <w:szCs w:val="20"/>
        </w:rPr>
        <w:t xml:space="preserve"> </w:t>
      </w:r>
      <w:hyperlink r:id="rId453">
        <w:r>
          <w:rPr>
            <w:color w:val="000000"/>
            <w:sz w:val="20"/>
            <w:szCs w:val="20"/>
          </w:rPr>
          <w:t>Brenda Barrett, “New National Heritage Areas: The Time Has Come,” Living Landscape Observer, March 4, 2019, https://livinglandscapeobserver.net/new-national-heritage-areas-the-time-has-come/?utm_source=February+2019&amp;utm_campaign=Jan%2FFeb+Newsletter&amp;utm_medium=email.</w:t>
        </w:r>
      </w:hyperlink>
    </w:p>
  </w:footnote>
  <w:footnote w:id="273">
    <w:p w14:paraId="000003A5" w14:textId="77777777" w:rsidR="002A2321" w:rsidRDefault="002A2321">
      <w:pPr>
        <w:spacing w:line="240" w:lineRule="auto"/>
        <w:rPr>
          <w:sz w:val="20"/>
          <w:szCs w:val="20"/>
        </w:rPr>
      </w:pPr>
      <w:r>
        <w:rPr>
          <w:vertAlign w:val="superscript"/>
        </w:rPr>
        <w:footnoteRef/>
      </w:r>
      <w:r>
        <w:rPr>
          <w:sz w:val="20"/>
          <w:szCs w:val="20"/>
        </w:rPr>
        <w:t xml:space="preserve"> </w:t>
      </w:r>
      <w:hyperlink r:id="rId454">
        <w:r>
          <w:rPr>
            <w:color w:val="000000"/>
            <w:sz w:val="20"/>
            <w:szCs w:val="20"/>
          </w:rPr>
          <w:t>Susquehanna Heritage, “What We Do,” Susquehanna Heritage, accessed March 17, 2019, https://www.susquehannaheritage.org/about-us/our-work/.</w:t>
        </w:r>
      </w:hyperlink>
    </w:p>
  </w:footnote>
  <w:footnote w:id="274">
    <w:p w14:paraId="000003A6" w14:textId="77777777" w:rsidR="002A2321" w:rsidRDefault="002A2321">
      <w:pPr>
        <w:spacing w:line="240" w:lineRule="auto"/>
        <w:rPr>
          <w:sz w:val="20"/>
          <w:szCs w:val="20"/>
        </w:rPr>
      </w:pPr>
      <w:r>
        <w:rPr>
          <w:vertAlign w:val="superscript"/>
        </w:rPr>
        <w:footnoteRef/>
      </w:r>
      <w:r>
        <w:rPr>
          <w:sz w:val="20"/>
          <w:szCs w:val="20"/>
        </w:rPr>
        <w:t xml:space="preserve"> </w:t>
      </w:r>
      <w:hyperlink r:id="rId455">
        <w:r>
          <w:rPr>
            <w:color w:val="000000"/>
            <w:sz w:val="20"/>
            <w:szCs w:val="20"/>
          </w:rPr>
          <w:t xml:space="preserve">Pelton, </w:t>
        </w:r>
      </w:hyperlink>
      <w:hyperlink r:id="rId456">
        <w:r>
          <w:rPr>
            <w:i/>
            <w:color w:val="000000"/>
            <w:sz w:val="20"/>
            <w:szCs w:val="20"/>
          </w:rPr>
          <w:t>The Chesapeake in Focus: Transforming the Natural World</w:t>
        </w:r>
      </w:hyperlink>
      <w:hyperlink r:id="rId457">
        <w:r>
          <w:rPr>
            <w:color w:val="000000"/>
            <w:sz w:val="20"/>
            <w:szCs w:val="20"/>
          </w:rPr>
          <w:t>, 149.</w:t>
        </w:r>
      </w:hyperlink>
    </w:p>
  </w:footnote>
  <w:footnote w:id="275">
    <w:p w14:paraId="000003A7" w14:textId="77777777" w:rsidR="002A2321" w:rsidRDefault="002A2321">
      <w:pPr>
        <w:spacing w:line="240" w:lineRule="auto"/>
        <w:rPr>
          <w:sz w:val="20"/>
          <w:szCs w:val="20"/>
        </w:rPr>
      </w:pPr>
      <w:r>
        <w:rPr>
          <w:vertAlign w:val="superscript"/>
        </w:rPr>
        <w:footnoteRef/>
      </w:r>
      <w:r>
        <w:rPr>
          <w:sz w:val="20"/>
          <w:szCs w:val="20"/>
        </w:rPr>
        <w:t xml:space="preserve"> </w:t>
      </w:r>
      <w:hyperlink r:id="rId458">
        <w:r>
          <w:rPr>
            <w:color w:val="000000"/>
            <w:sz w:val="20"/>
            <w:szCs w:val="20"/>
          </w:rPr>
          <w:t>U.S. National Park Service, “National Heritage Areas FAQs,” National Heritage Areas, accessed March 17, 2019, https://www.nps.gov/articles/national-heritage-areas-faqs.htm.</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3AC" w14:textId="77777777" w:rsidR="002A2321" w:rsidRDefault="002A2321">
    <w:pPr>
      <w:pBdr>
        <w:top w:val="nil"/>
        <w:left w:val="nil"/>
        <w:bottom w:val="nil"/>
        <w:right w:val="nil"/>
        <w:between w:val="nil"/>
      </w:pBdr>
      <w:tabs>
        <w:tab w:val="center" w:pos="4680"/>
        <w:tab w:val="right" w:pos="9360"/>
      </w:tabs>
      <w:spacing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3A8" w14:textId="77777777" w:rsidR="002A2321" w:rsidRDefault="002A2321">
    <w:pPr>
      <w:pBdr>
        <w:top w:val="nil"/>
        <w:left w:val="nil"/>
        <w:bottom w:val="nil"/>
        <w:right w:val="nil"/>
        <w:between w:val="nil"/>
      </w:pBdr>
      <w:tabs>
        <w:tab w:val="center" w:pos="4680"/>
        <w:tab w:val="right" w:pos="9360"/>
      </w:tabs>
      <w:spacing w:line="240" w:lineRule="auto"/>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3AA" w14:textId="77777777" w:rsidR="002A2321" w:rsidRDefault="002A2321">
    <w:pPr>
      <w:pBdr>
        <w:top w:val="nil"/>
        <w:left w:val="nil"/>
        <w:bottom w:val="nil"/>
        <w:right w:val="nil"/>
        <w:between w:val="nil"/>
      </w:pBdr>
      <w:tabs>
        <w:tab w:val="center" w:pos="4680"/>
        <w:tab w:val="right" w:pos="9360"/>
      </w:tabs>
      <w:spacing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9A4244A"/>
    <w:multiLevelType w:val="multilevel"/>
    <w:tmpl w:val="D6C62AB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51BD05D9"/>
    <w:multiLevelType w:val="multilevel"/>
    <w:tmpl w:val="1188CDD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 w15:restartNumberingAfterBreak="0">
    <w:nsid w:val="733F0EF0"/>
    <w:multiLevelType w:val="multilevel"/>
    <w:tmpl w:val="961890A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 w15:restartNumberingAfterBreak="0">
    <w:nsid w:val="760C711A"/>
    <w:multiLevelType w:val="multilevel"/>
    <w:tmpl w:val="746240E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5"/>
  <w:proofState w:spelling="clean" w:grammar="clean"/>
  <w:stylePaneFormatFilter w:val="1F01" w:allStyles="1" w:customStyles="0" w:latentStyles="0" w:stylesInUse="0" w:headingStyles="0" w:numberingStyles="0" w:tableStyles="0" w:directFormattingOnRuns="1" w:directFormattingOnParagraphs="1" w:directFormattingOnNumbering="1" w:directFormattingOnTables="1" w:clearFormatting="1" w:top3HeadingStyles="0" w:visibleStyles="0" w:alternateStyleNames="0"/>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661C"/>
    <w:rsid w:val="000005B6"/>
    <w:rsid w:val="0001734B"/>
    <w:rsid w:val="000360BB"/>
    <w:rsid w:val="00042233"/>
    <w:rsid w:val="00051387"/>
    <w:rsid w:val="00056C9D"/>
    <w:rsid w:val="00061E34"/>
    <w:rsid w:val="00073820"/>
    <w:rsid w:val="000831B0"/>
    <w:rsid w:val="000B75E6"/>
    <w:rsid w:val="000C5FDD"/>
    <w:rsid w:val="000F40A2"/>
    <w:rsid w:val="001062AF"/>
    <w:rsid w:val="00115E79"/>
    <w:rsid w:val="00127F72"/>
    <w:rsid w:val="0013255F"/>
    <w:rsid w:val="00144880"/>
    <w:rsid w:val="00185D0F"/>
    <w:rsid w:val="001A467F"/>
    <w:rsid w:val="001A77DB"/>
    <w:rsid w:val="001E238A"/>
    <w:rsid w:val="001E4096"/>
    <w:rsid w:val="001E71E5"/>
    <w:rsid w:val="00232A61"/>
    <w:rsid w:val="00247DD4"/>
    <w:rsid w:val="00271649"/>
    <w:rsid w:val="00287A7A"/>
    <w:rsid w:val="00293286"/>
    <w:rsid w:val="00295108"/>
    <w:rsid w:val="002A2321"/>
    <w:rsid w:val="002C0E5F"/>
    <w:rsid w:val="002C6D9C"/>
    <w:rsid w:val="00303428"/>
    <w:rsid w:val="00335AA2"/>
    <w:rsid w:val="00336D74"/>
    <w:rsid w:val="00351B98"/>
    <w:rsid w:val="00356744"/>
    <w:rsid w:val="0036438C"/>
    <w:rsid w:val="00383D71"/>
    <w:rsid w:val="003C08E8"/>
    <w:rsid w:val="003D5DD7"/>
    <w:rsid w:val="003D7F5A"/>
    <w:rsid w:val="003E017A"/>
    <w:rsid w:val="00407A27"/>
    <w:rsid w:val="00432EAB"/>
    <w:rsid w:val="00453113"/>
    <w:rsid w:val="00467761"/>
    <w:rsid w:val="00497FA4"/>
    <w:rsid w:val="004B2BBB"/>
    <w:rsid w:val="004E23CC"/>
    <w:rsid w:val="004E3238"/>
    <w:rsid w:val="0054378F"/>
    <w:rsid w:val="00553277"/>
    <w:rsid w:val="005549FB"/>
    <w:rsid w:val="00582501"/>
    <w:rsid w:val="0059451D"/>
    <w:rsid w:val="0059515E"/>
    <w:rsid w:val="005B1B23"/>
    <w:rsid w:val="005B5089"/>
    <w:rsid w:val="005C0567"/>
    <w:rsid w:val="005F2CEB"/>
    <w:rsid w:val="005F3E7C"/>
    <w:rsid w:val="005F441C"/>
    <w:rsid w:val="00603FA4"/>
    <w:rsid w:val="006672D1"/>
    <w:rsid w:val="00673296"/>
    <w:rsid w:val="00694EB5"/>
    <w:rsid w:val="006D48D9"/>
    <w:rsid w:val="006D64D1"/>
    <w:rsid w:val="0070287E"/>
    <w:rsid w:val="007443D1"/>
    <w:rsid w:val="007648C1"/>
    <w:rsid w:val="00767EC3"/>
    <w:rsid w:val="007870F2"/>
    <w:rsid w:val="0079383E"/>
    <w:rsid w:val="007A2D5D"/>
    <w:rsid w:val="007A2EE0"/>
    <w:rsid w:val="007D2107"/>
    <w:rsid w:val="007F1519"/>
    <w:rsid w:val="00885980"/>
    <w:rsid w:val="008B7DCB"/>
    <w:rsid w:val="008E1B50"/>
    <w:rsid w:val="009017C1"/>
    <w:rsid w:val="00921B42"/>
    <w:rsid w:val="00936D8A"/>
    <w:rsid w:val="009378AF"/>
    <w:rsid w:val="0094789D"/>
    <w:rsid w:val="009504A6"/>
    <w:rsid w:val="00984185"/>
    <w:rsid w:val="009A1EAB"/>
    <w:rsid w:val="009D59A3"/>
    <w:rsid w:val="009F2141"/>
    <w:rsid w:val="00A14B17"/>
    <w:rsid w:val="00A74FAE"/>
    <w:rsid w:val="00A9267E"/>
    <w:rsid w:val="00A947FB"/>
    <w:rsid w:val="00AA007E"/>
    <w:rsid w:val="00AB4715"/>
    <w:rsid w:val="00B06D79"/>
    <w:rsid w:val="00B27083"/>
    <w:rsid w:val="00B329F6"/>
    <w:rsid w:val="00B520B3"/>
    <w:rsid w:val="00BC2006"/>
    <w:rsid w:val="00BD5F18"/>
    <w:rsid w:val="00BD6457"/>
    <w:rsid w:val="00BE6AFE"/>
    <w:rsid w:val="00BE71CE"/>
    <w:rsid w:val="00C0070D"/>
    <w:rsid w:val="00C048CB"/>
    <w:rsid w:val="00C0543F"/>
    <w:rsid w:val="00C078CC"/>
    <w:rsid w:val="00C21CFE"/>
    <w:rsid w:val="00C45EB0"/>
    <w:rsid w:val="00C4601E"/>
    <w:rsid w:val="00C53C0C"/>
    <w:rsid w:val="00C94DCE"/>
    <w:rsid w:val="00CB1057"/>
    <w:rsid w:val="00CB658F"/>
    <w:rsid w:val="00CC1EF7"/>
    <w:rsid w:val="00CD0456"/>
    <w:rsid w:val="00D121BA"/>
    <w:rsid w:val="00D158BE"/>
    <w:rsid w:val="00D21B1C"/>
    <w:rsid w:val="00D26C21"/>
    <w:rsid w:val="00D50823"/>
    <w:rsid w:val="00D70786"/>
    <w:rsid w:val="00D7661C"/>
    <w:rsid w:val="00D936DD"/>
    <w:rsid w:val="00DA7035"/>
    <w:rsid w:val="00DB5892"/>
    <w:rsid w:val="00DD479F"/>
    <w:rsid w:val="00E000F9"/>
    <w:rsid w:val="00E10EDF"/>
    <w:rsid w:val="00E11118"/>
    <w:rsid w:val="00E14E2B"/>
    <w:rsid w:val="00E307C6"/>
    <w:rsid w:val="00E47B47"/>
    <w:rsid w:val="00EA53EF"/>
    <w:rsid w:val="00EB79F9"/>
    <w:rsid w:val="00ED1D73"/>
    <w:rsid w:val="00ED6E90"/>
    <w:rsid w:val="00F04BF0"/>
    <w:rsid w:val="00F14C20"/>
    <w:rsid w:val="00F54982"/>
    <w:rsid w:val="00F60F80"/>
    <w:rsid w:val="00F63113"/>
    <w:rsid w:val="00F7386E"/>
    <w:rsid w:val="00F83E70"/>
    <w:rsid w:val="00F95376"/>
    <w:rsid w:val="00FC4B33"/>
    <w:rsid w:val="00FE01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3845CBB"/>
  <w15:docId w15:val="{9233256B-5CAD-1A45-9397-5DE82F63A4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color w:val="000000" w:themeColor="text1"/>
        <w:sz w:val="24"/>
        <w:szCs w:val="24"/>
        <w:lang w:val="en" w:eastAsia="en-US" w:bidi="ar-SA"/>
      </w:rPr>
    </w:rPrDefault>
    <w:pPrDefault>
      <w:pPr>
        <w:spacing w:line="480"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Title"/>
    <w:next w:val="Normal"/>
    <w:autoRedefine/>
    <w:uiPriority w:val="9"/>
    <w:qFormat/>
    <w:rsid w:val="00115E79"/>
    <w:pPr>
      <w:spacing w:before="240" w:line="120" w:lineRule="auto"/>
      <w:jc w:val="center"/>
      <w:outlineLvl w:val="0"/>
    </w:pPr>
    <w:rPr>
      <w:sz w:val="28"/>
      <w:szCs w:val="28"/>
    </w:rPr>
  </w:style>
  <w:style w:type="paragraph" w:styleId="Heading2">
    <w:name w:val="heading 2"/>
    <w:basedOn w:val="Normal"/>
    <w:next w:val="Normal"/>
    <w:autoRedefine/>
    <w:uiPriority w:val="9"/>
    <w:unhideWhenUsed/>
    <w:qFormat/>
    <w:rsid w:val="009D59A3"/>
    <w:pPr>
      <w:keepNext/>
      <w:keepLines/>
      <w:spacing w:before="240"/>
      <w:jc w:val="center"/>
      <w:outlineLvl w:val="1"/>
    </w:pPr>
    <w:rPr>
      <w:u w:val="single"/>
    </w:rPr>
  </w:style>
  <w:style w:type="paragraph" w:styleId="Heading3">
    <w:name w:val="heading 3"/>
    <w:basedOn w:val="Normal"/>
    <w:next w:val="Normal"/>
    <w:autoRedefine/>
    <w:uiPriority w:val="9"/>
    <w:unhideWhenUsed/>
    <w:qFormat/>
    <w:rsid w:val="00582501"/>
    <w:pPr>
      <w:keepNext/>
      <w:keepLines/>
      <w:spacing w:before="240" w:line="360" w:lineRule="auto"/>
      <w:outlineLvl w:val="2"/>
    </w:pPr>
    <w:rPr>
      <w:u w:val="single"/>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sz w:val="22"/>
      <w:szCs w:val="22"/>
    </w:rPr>
  </w:style>
  <w:style w:type="paragraph" w:styleId="Heading6">
    <w:name w:val="heading 6"/>
    <w:basedOn w:val="Normal"/>
    <w:next w:val="Normal"/>
    <w:uiPriority w:val="9"/>
    <w:semiHidden/>
    <w:unhideWhenUsed/>
    <w:qFormat/>
    <w:pPr>
      <w:keepNext/>
      <w:keepLines/>
      <w:spacing w:before="240" w:after="80"/>
      <w:outlineLvl w:val="5"/>
    </w:pPr>
    <w:rPr>
      <w:i/>
      <w:color w:val="666666"/>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rFonts w:ascii="Arial" w:eastAsia="Arial" w:hAnsi="Arial" w:cs="Arial"/>
      <w:color w:val="666666"/>
      <w:sz w:val="30"/>
      <w:szCs w:val="30"/>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4B2BBB"/>
    <w:pPr>
      <w:spacing w:line="240" w:lineRule="auto"/>
    </w:pPr>
    <w:rPr>
      <w:sz w:val="18"/>
      <w:szCs w:val="18"/>
    </w:rPr>
  </w:style>
  <w:style w:type="character" w:customStyle="1" w:styleId="BalloonTextChar">
    <w:name w:val="Balloon Text Char"/>
    <w:basedOn w:val="DefaultParagraphFont"/>
    <w:link w:val="BalloonText"/>
    <w:uiPriority w:val="99"/>
    <w:semiHidden/>
    <w:rsid w:val="004B2BBB"/>
    <w:rPr>
      <w:sz w:val="18"/>
      <w:szCs w:val="18"/>
    </w:rPr>
  </w:style>
  <w:style w:type="paragraph" w:styleId="Footer">
    <w:name w:val="footer"/>
    <w:basedOn w:val="Normal"/>
    <w:link w:val="FooterChar"/>
    <w:uiPriority w:val="99"/>
    <w:semiHidden/>
    <w:unhideWhenUsed/>
    <w:rsid w:val="004B2BBB"/>
    <w:pPr>
      <w:tabs>
        <w:tab w:val="center" w:pos="4680"/>
        <w:tab w:val="right" w:pos="9360"/>
      </w:tabs>
      <w:spacing w:line="240" w:lineRule="auto"/>
    </w:pPr>
  </w:style>
  <w:style w:type="character" w:customStyle="1" w:styleId="FooterChar">
    <w:name w:val="Footer Char"/>
    <w:basedOn w:val="DefaultParagraphFont"/>
    <w:link w:val="Footer"/>
    <w:uiPriority w:val="99"/>
    <w:semiHidden/>
    <w:rsid w:val="004B2BBB"/>
  </w:style>
  <w:style w:type="character" w:styleId="PageNumber">
    <w:name w:val="page number"/>
    <w:basedOn w:val="DefaultParagraphFont"/>
    <w:uiPriority w:val="99"/>
    <w:semiHidden/>
    <w:unhideWhenUsed/>
    <w:rsid w:val="004B2BBB"/>
  </w:style>
  <w:style w:type="paragraph" w:styleId="TOC1">
    <w:name w:val="toc 1"/>
    <w:basedOn w:val="Normal"/>
    <w:next w:val="TOC2"/>
    <w:autoRedefine/>
    <w:uiPriority w:val="39"/>
    <w:unhideWhenUsed/>
    <w:rsid w:val="00CB658F"/>
    <w:pPr>
      <w:tabs>
        <w:tab w:val="right" w:leader="dot" w:pos="9350"/>
      </w:tabs>
      <w:spacing w:before="120" w:after="120"/>
    </w:pPr>
    <w:rPr>
      <w:bCs/>
      <w:caps/>
      <w:szCs w:val="20"/>
    </w:rPr>
  </w:style>
  <w:style w:type="paragraph" w:styleId="TOC2">
    <w:name w:val="toc 2"/>
    <w:basedOn w:val="Normal"/>
    <w:next w:val="TOC3"/>
    <w:autoRedefine/>
    <w:uiPriority w:val="39"/>
    <w:unhideWhenUsed/>
    <w:rsid w:val="00C0070D"/>
    <w:pPr>
      <w:spacing w:line="240" w:lineRule="auto"/>
      <w:ind w:left="1440"/>
    </w:pPr>
    <w:rPr>
      <w:smallCaps/>
      <w:szCs w:val="20"/>
    </w:rPr>
  </w:style>
  <w:style w:type="paragraph" w:styleId="TOC3">
    <w:name w:val="toc 3"/>
    <w:basedOn w:val="TOC2"/>
    <w:next w:val="Normal"/>
    <w:autoRedefine/>
    <w:uiPriority w:val="39"/>
    <w:unhideWhenUsed/>
    <w:rsid w:val="005C0567"/>
    <w:pPr>
      <w:tabs>
        <w:tab w:val="right" w:leader="dot" w:pos="9350"/>
      </w:tabs>
    </w:pPr>
    <w:rPr>
      <w:iCs/>
    </w:rPr>
  </w:style>
  <w:style w:type="character" w:styleId="Hyperlink">
    <w:name w:val="Hyperlink"/>
    <w:basedOn w:val="DefaultParagraphFont"/>
    <w:uiPriority w:val="99"/>
    <w:unhideWhenUsed/>
    <w:rsid w:val="00E11118"/>
    <w:rPr>
      <w:color w:val="0000FF" w:themeColor="hyperlink"/>
      <w:u w:val="single"/>
    </w:rPr>
  </w:style>
  <w:style w:type="paragraph" w:styleId="TOCHeading">
    <w:name w:val="TOC Heading"/>
    <w:basedOn w:val="Heading1"/>
    <w:next w:val="Normal"/>
    <w:uiPriority w:val="39"/>
    <w:unhideWhenUsed/>
    <w:qFormat/>
    <w:rsid w:val="00432EAB"/>
    <w:pPr>
      <w:spacing w:before="480" w:after="0" w:line="276" w:lineRule="auto"/>
      <w:jc w:val="left"/>
      <w:outlineLvl w:val="9"/>
    </w:pPr>
    <w:rPr>
      <w:rFonts w:asciiTheme="majorHAnsi" w:eastAsiaTheme="majorEastAsia" w:hAnsiTheme="majorHAnsi" w:cstheme="majorBidi"/>
      <w:b/>
      <w:bCs/>
      <w:color w:val="365F91" w:themeColor="accent1" w:themeShade="BF"/>
      <w:lang w:val="en-US"/>
    </w:rPr>
  </w:style>
  <w:style w:type="paragraph" w:styleId="TOC4">
    <w:name w:val="toc 4"/>
    <w:basedOn w:val="Normal"/>
    <w:next w:val="Normal"/>
    <w:autoRedefine/>
    <w:uiPriority w:val="39"/>
    <w:unhideWhenUsed/>
    <w:rsid w:val="00432EAB"/>
    <w:pPr>
      <w:ind w:left="720"/>
    </w:pPr>
    <w:rPr>
      <w:rFonts w:asciiTheme="minorHAnsi" w:hAnsiTheme="minorHAnsi"/>
      <w:sz w:val="18"/>
      <w:szCs w:val="18"/>
    </w:rPr>
  </w:style>
  <w:style w:type="paragraph" w:styleId="TOC5">
    <w:name w:val="toc 5"/>
    <w:basedOn w:val="Normal"/>
    <w:next w:val="Normal"/>
    <w:autoRedefine/>
    <w:uiPriority w:val="39"/>
    <w:unhideWhenUsed/>
    <w:rsid w:val="00432EAB"/>
    <w:pPr>
      <w:ind w:left="960"/>
    </w:pPr>
    <w:rPr>
      <w:rFonts w:asciiTheme="minorHAnsi" w:hAnsiTheme="minorHAnsi"/>
      <w:sz w:val="18"/>
      <w:szCs w:val="18"/>
    </w:rPr>
  </w:style>
  <w:style w:type="paragraph" w:styleId="TOC6">
    <w:name w:val="toc 6"/>
    <w:basedOn w:val="Normal"/>
    <w:next w:val="Normal"/>
    <w:autoRedefine/>
    <w:uiPriority w:val="39"/>
    <w:unhideWhenUsed/>
    <w:rsid w:val="00432EAB"/>
    <w:pPr>
      <w:ind w:left="1200"/>
    </w:pPr>
    <w:rPr>
      <w:rFonts w:asciiTheme="minorHAnsi" w:hAnsiTheme="minorHAnsi"/>
      <w:sz w:val="18"/>
      <w:szCs w:val="18"/>
    </w:rPr>
  </w:style>
  <w:style w:type="paragraph" w:styleId="TOC7">
    <w:name w:val="toc 7"/>
    <w:basedOn w:val="Normal"/>
    <w:next w:val="Normal"/>
    <w:autoRedefine/>
    <w:uiPriority w:val="39"/>
    <w:unhideWhenUsed/>
    <w:rsid w:val="00432EAB"/>
    <w:pPr>
      <w:ind w:left="1440"/>
    </w:pPr>
    <w:rPr>
      <w:rFonts w:asciiTheme="minorHAnsi" w:hAnsiTheme="minorHAnsi"/>
      <w:sz w:val="18"/>
      <w:szCs w:val="18"/>
    </w:rPr>
  </w:style>
  <w:style w:type="paragraph" w:styleId="TOC8">
    <w:name w:val="toc 8"/>
    <w:basedOn w:val="Normal"/>
    <w:next w:val="Normal"/>
    <w:autoRedefine/>
    <w:uiPriority w:val="39"/>
    <w:unhideWhenUsed/>
    <w:rsid w:val="00432EAB"/>
    <w:pPr>
      <w:ind w:left="1680"/>
    </w:pPr>
    <w:rPr>
      <w:rFonts w:asciiTheme="minorHAnsi" w:hAnsiTheme="minorHAnsi"/>
      <w:sz w:val="18"/>
      <w:szCs w:val="18"/>
    </w:rPr>
  </w:style>
  <w:style w:type="paragraph" w:styleId="TOC9">
    <w:name w:val="toc 9"/>
    <w:basedOn w:val="Normal"/>
    <w:next w:val="Normal"/>
    <w:autoRedefine/>
    <w:uiPriority w:val="39"/>
    <w:unhideWhenUsed/>
    <w:rsid w:val="00432EAB"/>
    <w:pPr>
      <w:ind w:left="1920"/>
    </w:pPr>
    <w:rPr>
      <w:rFonts w:asciiTheme="minorHAnsi" w:hAnsiTheme="minorHAnsi"/>
      <w:sz w:val="18"/>
      <w:szCs w:val="18"/>
    </w:rPr>
  </w:style>
  <w:style w:type="character" w:styleId="UnresolvedMention">
    <w:name w:val="Unresolved Mention"/>
    <w:basedOn w:val="DefaultParagraphFont"/>
    <w:uiPriority w:val="99"/>
    <w:semiHidden/>
    <w:unhideWhenUsed/>
    <w:rsid w:val="007870F2"/>
    <w:rPr>
      <w:color w:val="605E5C"/>
      <w:shd w:val="clear" w:color="auto" w:fill="E1DFDD"/>
    </w:rPr>
  </w:style>
  <w:style w:type="paragraph" w:styleId="Revision">
    <w:name w:val="Revision"/>
    <w:hidden/>
    <w:uiPriority w:val="99"/>
    <w:semiHidden/>
    <w:rsid w:val="00303428"/>
    <w:pPr>
      <w:spacing w:line="240" w:lineRule="auto"/>
    </w:pPr>
  </w:style>
  <w:style w:type="paragraph" w:styleId="NoSpacing">
    <w:name w:val="No Spacing"/>
    <w:uiPriority w:val="1"/>
    <w:qFormat/>
    <w:rsid w:val="00CC1EF7"/>
    <w:pPr>
      <w:spacing w:line="240" w:lineRule="auto"/>
    </w:pPr>
  </w:style>
  <w:style w:type="paragraph" w:styleId="FootnoteText">
    <w:name w:val="footnote text"/>
    <w:basedOn w:val="Normal"/>
    <w:link w:val="FootnoteTextChar"/>
    <w:uiPriority w:val="99"/>
    <w:semiHidden/>
    <w:unhideWhenUsed/>
    <w:rsid w:val="00C078CC"/>
    <w:pPr>
      <w:spacing w:line="240" w:lineRule="auto"/>
    </w:pPr>
    <w:rPr>
      <w:sz w:val="20"/>
      <w:szCs w:val="20"/>
    </w:rPr>
  </w:style>
  <w:style w:type="character" w:customStyle="1" w:styleId="FootnoteTextChar">
    <w:name w:val="Footnote Text Char"/>
    <w:basedOn w:val="DefaultParagraphFont"/>
    <w:link w:val="FootnoteText"/>
    <w:uiPriority w:val="99"/>
    <w:semiHidden/>
    <w:rsid w:val="00C078CC"/>
    <w:rPr>
      <w:sz w:val="20"/>
      <w:szCs w:val="20"/>
    </w:rPr>
  </w:style>
  <w:style w:type="character" w:styleId="FootnoteReference">
    <w:name w:val="footnote reference"/>
    <w:basedOn w:val="DefaultParagraphFont"/>
    <w:uiPriority w:val="99"/>
    <w:semiHidden/>
    <w:unhideWhenUsed/>
    <w:rsid w:val="00C078CC"/>
    <w:rPr>
      <w:vertAlign w:val="superscript"/>
    </w:rPr>
  </w:style>
  <w:style w:type="paragraph" w:styleId="NormalWeb">
    <w:name w:val="Normal (Web)"/>
    <w:basedOn w:val="Normal"/>
    <w:uiPriority w:val="99"/>
    <w:unhideWhenUsed/>
    <w:rsid w:val="00EB79F9"/>
    <w:pPr>
      <w:spacing w:before="100" w:beforeAutospacing="1" w:after="100" w:afterAutospacing="1" w:line="240" w:lineRule="auto"/>
    </w:pPr>
    <w:rPr>
      <w:color w:val="auto"/>
      <w:lang w:val="en-US"/>
    </w:rPr>
  </w:style>
  <w:style w:type="character" w:styleId="FollowedHyperlink">
    <w:name w:val="FollowedHyperlink"/>
    <w:basedOn w:val="DefaultParagraphFont"/>
    <w:uiPriority w:val="99"/>
    <w:semiHidden/>
    <w:unhideWhenUsed/>
    <w:rsid w:val="00EB79F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55683680">
      <w:bodyDiv w:val="1"/>
      <w:marLeft w:val="0"/>
      <w:marRight w:val="0"/>
      <w:marTop w:val="0"/>
      <w:marBottom w:val="0"/>
      <w:divBdr>
        <w:top w:val="none" w:sz="0" w:space="0" w:color="auto"/>
        <w:left w:val="none" w:sz="0" w:space="0" w:color="auto"/>
        <w:bottom w:val="none" w:sz="0" w:space="0" w:color="auto"/>
        <w:right w:val="none" w:sz="0" w:space="0" w:color="auto"/>
      </w:divBdr>
    </w:div>
    <w:div w:id="1584097089">
      <w:bodyDiv w:val="1"/>
      <w:marLeft w:val="0"/>
      <w:marRight w:val="0"/>
      <w:marTop w:val="0"/>
      <w:marBottom w:val="0"/>
      <w:divBdr>
        <w:top w:val="none" w:sz="0" w:space="0" w:color="auto"/>
        <w:left w:val="none" w:sz="0" w:space="0" w:color="auto"/>
        <w:bottom w:val="none" w:sz="0" w:space="0" w:color="auto"/>
        <w:right w:val="none" w:sz="0" w:space="0" w:color="auto"/>
      </w:divBdr>
    </w:div>
    <w:div w:id="206308977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paperpile.com/b/5ytb5f/FFiVG" TargetMode="External"/><Relationship Id="rId671" Type="http://schemas.openxmlformats.org/officeDocument/2006/relationships/hyperlink" Target="http://paperpile.com/b/5ytb5f/8dvgP" TargetMode="External"/><Relationship Id="rId21" Type="http://schemas.openxmlformats.org/officeDocument/2006/relationships/hyperlink" Target="http://paperpile.com/b/5ytb5f/nVuMx" TargetMode="External"/><Relationship Id="rId324" Type="http://schemas.openxmlformats.org/officeDocument/2006/relationships/hyperlink" Target="https://iowaculture.gov/history/education/educator-resources/primary-source-sets/great-depression-and-herbert-hoover/chicken" TargetMode="External"/><Relationship Id="rId531" Type="http://schemas.openxmlformats.org/officeDocument/2006/relationships/hyperlink" Target="http://paperpile.com/b/5ytb5f/t4ATT" TargetMode="External"/><Relationship Id="rId629" Type="http://schemas.openxmlformats.org/officeDocument/2006/relationships/hyperlink" Target="http://paperpile.com/b/5ytb5f/x6gYt" TargetMode="External"/><Relationship Id="rId170" Type="http://schemas.openxmlformats.org/officeDocument/2006/relationships/hyperlink" Target="http://paperpile.com/b/5ytb5f/77XXj" TargetMode="External"/><Relationship Id="rId268" Type="http://schemas.openxmlformats.org/officeDocument/2006/relationships/hyperlink" Target="http://www.sustainabletable.org/254/local-regional-food-systems" TargetMode="External"/><Relationship Id="rId475" Type="http://schemas.openxmlformats.org/officeDocument/2006/relationships/hyperlink" Target="http://paperpile.com/b/5ytb5f/2458R" TargetMode="External"/><Relationship Id="rId682" Type="http://schemas.openxmlformats.org/officeDocument/2006/relationships/hyperlink" Target="http://paperpile.com/b/5ytb5f/lfEjU" TargetMode="External"/><Relationship Id="rId32" Type="http://schemas.openxmlformats.org/officeDocument/2006/relationships/hyperlink" Target="https://www.farmland.org/" TargetMode="External"/><Relationship Id="rId128" Type="http://schemas.openxmlformats.org/officeDocument/2006/relationships/hyperlink" Target="https://www.chesapeakebay.net/who/bay_program_history" TargetMode="External"/><Relationship Id="rId335" Type="http://schemas.openxmlformats.org/officeDocument/2006/relationships/hyperlink" Target="https://www.nytimes.com/2018/12/03/nyregion/strand-bookstore-landmark.html" TargetMode="External"/><Relationship Id="rId542" Type="http://schemas.openxmlformats.org/officeDocument/2006/relationships/hyperlink" Target="http://paperpile.com/b/5ytb5f/mOxfz" TargetMode="External"/><Relationship Id="rId181" Type="http://schemas.openxmlformats.org/officeDocument/2006/relationships/hyperlink" Target="http://paperpile.com/b/5ytb5f/9LLg8" TargetMode="External"/><Relationship Id="rId402" Type="http://schemas.openxmlformats.org/officeDocument/2006/relationships/hyperlink" Target="http://paperpile.com/b/5ytb5f/8UexS" TargetMode="External"/><Relationship Id="rId279" Type="http://schemas.openxmlformats.org/officeDocument/2006/relationships/hyperlink" Target="http://paperpile.com/b/5ytb5f/3ee4U" TargetMode="External"/><Relationship Id="rId486" Type="http://schemas.openxmlformats.org/officeDocument/2006/relationships/hyperlink" Target="http://paperpile.com/b/5ytb5f/s0HRC" TargetMode="External"/><Relationship Id="rId693" Type="http://schemas.openxmlformats.org/officeDocument/2006/relationships/hyperlink" Target="http://www.un-documents.net/our-common-future.pdf" TargetMode="External"/><Relationship Id="rId43" Type="http://schemas.openxmlformats.org/officeDocument/2006/relationships/hyperlink" Target="http://paperpile.com/b/5ytb5f/amMFt" TargetMode="External"/><Relationship Id="rId139" Type="http://schemas.openxmlformats.org/officeDocument/2006/relationships/hyperlink" Target="http://paperpile.com/b/5ytb5f/0DruD" TargetMode="External"/><Relationship Id="rId346" Type="http://schemas.openxmlformats.org/officeDocument/2006/relationships/hyperlink" Target="http://paperpile.com/b/5ytb5f/oCuAR" TargetMode="External"/><Relationship Id="rId553" Type="http://schemas.openxmlformats.org/officeDocument/2006/relationships/hyperlink" Target="http://paperpile.com/b/5ytb5f/R7wDP" TargetMode="External"/><Relationship Id="rId192" Type="http://schemas.openxmlformats.org/officeDocument/2006/relationships/hyperlink" Target="http://paperpile.com/b/5ytb5f/W8rs3" TargetMode="External"/><Relationship Id="rId206" Type="http://schemas.openxmlformats.org/officeDocument/2006/relationships/hyperlink" Target="http://paperpile.com/b/5ytb5f/mw6sI" TargetMode="External"/><Relationship Id="rId413" Type="http://schemas.openxmlformats.org/officeDocument/2006/relationships/hyperlink" Target="http://paperpile.com/b/5ytb5f/lU77P" TargetMode="External"/><Relationship Id="rId497" Type="http://schemas.openxmlformats.org/officeDocument/2006/relationships/hyperlink" Target="http://paperpile.com/b/5ytb5f/tSTbw" TargetMode="External"/><Relationship Id="rId620" Type="http://schemas.openxmlformats.org/officeDocument/2006/relationships/hyperlink" Target="http://paperpile.com/b/5ytb5f/WoQEy" TargetMode="External"/><Relationship Id="rId357" Type="http://schemas.openxmlformats.org/officeDocument/2006/relationships/hyperlink" Target="http://paperpile.com/b/5ytb5f/aoHiP" TargetMode="External"/><Relationship Id="rId54" Type="http://schemas.openxmlformats.org/officeDocument/2006/relationships/hyperlink" Target="http://paperpile.com/b/5ytb5f/kbNKu" TargetMode="External"/><Relationship Id="rId217" Type="http://schemas.openxmlformats.org/officeDocument/2006/relationships/hyperlink" Target="http://paperpile.com/b/5ytb5f/RQBE4" TargetMode="External"/><Relationship Id="rId564" Type="http://schemas.openxmlformats.org/officeDocument/2006/relationships/hyperlink" Target="http://dat.maryland.gov/realproperty/Pages/The-Agricultural-Use-Assessment.aspx" TargetMode="External"/><Relationship Id="rId424" Type="http://schemas.openxmlformats.org/officeDocument/2006/relationships/hyperlink" Target="http://paperpile.com/b/5ytb5f/xS16E" TargetMode="External"/><Relationship Id="rId631" Type="http://schemas.openxmlformats.org/officeDocument/2006/relationships/hyperlink" Target="http://paperpile.com/b/5ytb5f/x6gYt" TargetMode="External"/><Relationship Id="rId270" Type="http://schemas.openxmlformats.org/officeDocument/2006/relationships/hyperlink" Target="http://paperpile.com/b/5ytb5f/V8dnI" TargetMode="External"/><Relationship Id="rId65" Type="http://schemas.openxmlformats.org/officeDocument/2006/relationships/hyperlink" Target="http://paperpile.com/b/5ytb5f/yAfxG" TargetMode="External"/><Relationship Id="rId130" Type="http://schemas.openxmlformats.org/officeDocument/2006/relationships/hyperlink" Target="http://paperpile.com/b/5ytb5f/K8ygl" TargetMode="External"/><Relationship Id="rId368" Type="http://schemas.openxmlformats.org/officeDocument/2006/relationships/hyperlink" Target="http://paperpile.com/b/5ytb5f/5Ajw6" TargetMode="External"/><Relationship Id="rId575" Type="http://schemas.openxmlformats.org/officeDocument/2006/relationships/hyperlink" Target="http://paperpile.com/b/5ytb5f/ecbPV" TargetMode="External"/><Relationship Id="rId228" Type="http://schemas.openxmlformats.org/officeDocument/2006/relationships/hyperlink" Target="https://www.fsa.usda.gov/Assets/USDA-FSA-Public/usdafiles/FactSheets/2018/crep_maryland_factsheet_apr2018.pdf" TargetMode="External"/><Relationship Id="rId435" Type="http://schemas.openxmlformats.org/officeDocument/2006/relationships/hyperlink" Target="http://paperpile.com/b/5ytb5f/WOtAc" TargetMode="External"/><Relationship Id="rId642" Type="http://schemas.openxmlformats.org/officeDocument/2006/relationships/hyperlink" Target="https://www.nps.gov/tps/standards/applying-rehabilitation/standards-bulletins.htm" TargetMode="External"/><Relationship Id="rId281" Type="http://schemas.openxmlformats.org/officeDocument/2006/relationships/hyperlink" Target="http://paperpile.com/b/5ytb5f/3ee4U" TargetMode="External"/><Relationship Id="rId502" Type="http://schemas.openxmlformats.org/officeDocument/2006/relationships/hyperlink" Target="http://paperpile.com/b/5ytb5f/6PT9r" TargetMode="External"/><Relationship Id="rId76" Type="http://schemas.openxmlformats.org/officeDocument/2006/relationships/hyperlink" Target="http://paperpile.com/b/5ytb5f/EEffh" TargetMode="External"/><Relationship Id="rId141" Type="http://schemas.openxmlformats.org/officeDocument/2006/relationships/hyperlink" Target="http://paperpile.com/b/5ytb5f/0DruD" TargetMode="External"/><Relationship Id="rId379" Type="http://schemas.openxmlformats.org/officeDocument/2006/relationships/hyperlink" Target="http://paperpile.com/b/5ytb5f/GaKag" TargetMode="External"/><Relationship Id="rId586" Type="http://schemas.openxmlformats.org/officeDocument/2006/relationships/hyperlink" Target="http://paperpile.com/b/5ytb5f/xsQ6x" TargetMode="External"/><Relationship Id="rId7" Type="http://schemas.openxmlformats.org/officeDocument/2006/relationships/endnotes" Target="endnotes.xml"/><Relationship Id="rId239" Type="http://schemas.openxmlformats.org/officeDocument/2006/relationships/hyperlink" Target="http://paperpile.com/b/5ytb5f/10m2n" TargetMode="External"/><Relationship Id="rId446" Type="http://schemas.openxmlformats.org/officeDocument/2006/relationships/hyperlink" Target="http://paperpile.com/b/5ytb5f/gxf7N" TargetMode="External"/><Relationship Id="rId653" Type="http://schemas.openxmlformats.org/officeDocument/2006/relationships/hyperlink" Target="http://paperpile.com/b/5ytb5f/qOMO5" TargetMode="External"/><Relationship Id="rId292" Type="http://schemas.openxmlformats.org/officeDocument/2006/relationships/hyperlink" Target="http://paperpile.com/b/5ytb5f/jGlsS" TargetMode="External"/><Relationship Id="rId306" Type="http://schemas.openxmlformats.org/officeDocument/2006/relationships/hyperlink" Target="http://paperpile.com/b/5ytb5f/6jxLW" TargetMode="External"/><Relationship Id="rId87" Type="http://schemas.openxmlformats.org/officeDocument/2006/relationships/hyperlink" Target="http://paperpile.com/b/5ytb5f/i0QGr" TargetMode="External"/><Relationship Id="rId513" Type="http://schemas.openxmlformats.org/officeDocument/2006/relationships/hyperlink" Target="http://paperpile.com/b/5ytb5f/Lmx6Q" TargetMode="External"/><Relationship Id="rId597" Type="http://schemas.openxmlformats.org/officeDocument/2006/relationships/hyperlink" Target="http://paperpile.com/b/5ytb5f/TNYy6" TargetMode="External"/><Relationship Id="rId152" Type="http://schemas.openxmlformats.org/officeDocument/2006/relationships/hyperlink" Target="https://gmo-awareness.com/shopping-list/corporate-organic-brands/" TargetMode="External"/><Relationship Id="rId457" Type="http://schemas.openxmlformats.org/officeDocument/2006/relationships/hyperlink" Target="http://paperpile.com/b/5ytb5f/ArPNS" TargetMode="External"/><Relationship Id="rId664" Type="http://schemas.openxmlformats.org/officeDocument/2006/relationships/hyperlink" Target="http://paperpile.com/b/5ytb5f/PFxEI" TargetMode="External"/><Relationship Id="rId14" Type="http://schemas.openxmlformats.org/officeDocument/2006/relationships/hyperlink" Target="http://paperpile.com/b/5ytb5f/Dh7iG" TargetMode="External"/><Relationship Id="rId317" Type="http://schemas.openxmlformats.org/officeDocument/2006/relationships/hyperlink" Target="http://paperpile.com/b/5ytb5f/Kyo5E" TargetMode="External"/><Relationship Id="rId524" Type="http://schemas.openxmlformats.org/officeDocument/2006/relationships/hyperlink" Target="http://paperpile.com/b/5ytb5f/ROaDY" TargetMode="External"/><Relationship Id="rId98" Type="http://schemas.openxmlformats.org/officeDocument/2006/relationships/hyperlink" Target="https://www.npr.org/sections/thesalt/2017/07/27/537929392/perdue-farms-signs-up-for-a-chicken-welfare-revolution" TargetMode="External"/><Relationship Id="rId163" Type="http://schemas.openxmlformats.org/officeDocument/2006/relationships/hyperlink" Target="https://www.baltimoresun.com/news/weather/bs-md-rain-record-numbers-20181115-story.html" TargetMode="External"/><Relationship Id="rId370" Type="http://schemas.openxmlformats.org/officeDocument/2006/relationships/hyperlink" Target="https://dnr.maryland.gov/forests/pages/publications/Sink.aspx" TargetMode="External"/><Relationship Id="rId230" Type="http://schemas.openxmlformats.org/officeDocument/2006/relationships/hyperlink" Target="http://paperpile.com/b/5ytb5f/nir8S" TargetMode="External"/><Relationship Id="rId468" Type="http://schemas.openxmlformats.org/officeDocument/2006/relationships/hyperlink" Target="http://paperpile.com/b/5ytb5f/5p0YL" TargetMode="External"/><Relationship Id="rId675" Type="http://schemas.openxmlformats.org/officeDocument/2006/relationships/hyperlink" Target="http://paperpile.com/b/5ytb5f/PQ2bK" TargetMode="External"/><Relationship Id="rId25" Type="http://schemas.openxmlformats.org/officeDocument/2006/relationships/hyperlink" Target="http://paperpile.com/b/5ytb5f/82Z8q" TargetMode="External"/><Relationship Id="rId328" Type="http://schemas.openxmlformats.org/officeDocument/2006/relationships/hyperlink" Target="http://paperpile.com/b/5ytb5f/vpqgG" TargetMode="External"/><Relationship Id="rId535" Type="http://schemas.openxmlformats.org/officeDocument/2006/relationships/hyperlink" Target="http://paperpile.com/b/5ytb5f/HNFlu" TargetMode="External"/><Relationship Id="rId174" Type="http://schemas.openxmlformats.org/officeDocument/2006/relationships/hyperlink" Target="http://paperpile.com/b/5ytb5f/77XXj" TargetMode="External"/><Relationship Id="rId381" Type="http://schemas.openxmlformats.org/officeDocument/2006/relationships/hyperlink" Target="http://www.jstor.org/stable/26270120" TargetMode="External"/><Relationship Id="rId602" Type="http://schemas.openxmlformats.org/officeDocument/2006/relationships/hyperlink" Target="http://paperpile.com/b/5ytb5f/dCB6M" TargetMode="External"/><Relationship Id="rId241" Type="http://schemas.openxmlformats.org/officeDocument/2006/relationships/hyperlink" Target="http://paperpile.com/b/5ytb5f/10m2n" TargetMode="External"/><Relationship Id="rId479" Type="http://schemas.openxmlformats.org/officeDocument/2006/relationships/hyperlink" Target="http://www.nps.gov/history/nr/publications/bulletins/nrb16a/index.htm" TargetMode="External"/><Relationship Id="rId686" Type="http://schemas.openxmlformats.org/officeDocument/2006/relationships/hyperlink" Target="http://paperpile.com/b/5ytb5f/jIaFb" TargetMode="External"/><Relationship Id="rId36" Type="http://schemas.openxmlformats.org/officeDocument/2006/relationships/hyperlink" Target="http://paperpile.com/b/5ytb5f/h46f0" TargetMode="External"/><Relationship Id="rId339" Type="http://schemas.openxmlformats.org/officeDocument/2006/relationships/hyperlink" Target="http://paperpile.com/b/5ytb5f/MuPOF" TargetMode="External"/><Relationship Id="rId546" Type="http://schemas.openxmlformats.org/officeDocument/2006/relationships/hyperlink" Target="https://forum.savingplaces.org/viewdocument/50-years-reconsidered" TargetMode="External"/><Relationship Id="rId101" Type="http://schemas.openxmlformats.org/officeDocument/2006/relationships/hyperlink" Target="http://www.chesbay.us/Publications/CBC%20TA%20Report%20Boots%20on%20the%20Ground.pdf" TargetMode="External"/><Relationship Id="rId185" Type="http://schemas.openxmlformats.org/officeDocument/2006/relationships/hyperlink" Target="http://paperpile.com/b/5ytb5f/SAtHJ" TargetMode="External"/><Relationship Id="rId406" Type="http://schemas.openxmlformats.org/officeDocument/2006/relationships/hyperlink" Target="http://paperpile.com/b/5ytb5f/MVE9G" TargetMode="External"/><Relationship Id="rId392" Type="http://schemas.openxmlformats.org/officeDocument/2006/relationships/hyperlink" Target="http://paperpile.com/b/5ytb5f/p5vMh" TargetMode="External"/><Relationship Id="rId613" Type="http://schemas.openxmlformats.org/officeDocument/2006/relationships/hyperlink" Target="https://www.ers.usda.gov/topics/farm-economy/beginning-disadvantaged-farmers/beginning-farmers-and-age-distribution-of-farmers/" TargetMode="External"/><Relationship Id="rId697" Type="http://schemas.openxmlformats.org/officeDocument/2006/relationships/hyperlink" Target="http://paperpile.com/b/5ytb5f/6yfa0" TargetMode="External"/><Relationship Id="rId252" Type="http://schemas.openxmlformats.org/officeDocument/2006/relationships/hyperlink" Target="http://paperpile.com/b/5ytb5f/zAsVv" TargetMode="External"/><Relationship Id="rId47" Type="http://schemas.openxmlformats.org/officeDocument/2006/relationships/hyperlink" Target="http://paperpile.com/b/5ytb5f/2YcdF" TargetMode="External"/><Relationship Id="rId112" Type="http://schemas.openxmlformats.org/officeDocument/2006/relationships/hyperlink" Target="http://paperpile.com/b/5ytb5f/nw6MS" TargetMode="External"/><Relationship Id="rId557" Type="http://schemas.openxmlformats.org/officeDocument/2006/relationships/hyperlink" Target="http://paperpile.com/b/5ytb5f/ik2zY" TargetMode="External"/><Relationship Id="rId196" Type="http://schemas.openxmlformats.org/officeDocument/2006/relationships/hyperlink" Target="http://paperpile.com/b/5ytb5f/BBhUI" TargetMode="External"/><Relationship Id="rId417" Type="http://schemas.openxmlformats.org/officeDocument/2006/relationships/hyperlink" Target="http://paperpile.com/b/5ytb5f/vMSjZ" TargetMode="External"/><Relationship Id="rId624" Type="http://schemas.openxmlformats.org/officeDocument/2006/relationships/hyperlink" Target="http://paperpile.com/b/5ytb5f/WoQEy" TargetMode="External"/><Relationship Id="rId263" Type="http://schemas.openxmlformats.org/officeDocument/2006/relationships/hyperlink" Target="http://paperpile.com/b/5ytb5f/vGGVS" TargetMode="External"/><Relationship Id="rId470" Type="http://schemas.openxmlformats.org/officeDocument/2006/relationships/hyperlink" Target="http://www.preservationmaryland.org/dominion-energy-halts-project-in-historic-mount-vernon-viewshed/" TargetMode="External"/><Relationship Id="rId58" Type="http://schemas.openxmlformats.org/officeDocument/2006/relationships/hyperlink" Target="http://paperpile.com/b/5ytb5f/DNX31" TargetMode="External"/><Relationship Id="rId123" Type="http://schemas.openxmlformats.org/officeDocument/2006/relationships/hyperlink" Target="http://paperpile.com/b/5ytb5f/ALIlI" TargetMode="External"/><Relationship Id="rId330" Type="http://schemas.openxmlformats.org/officeDocument/2006/relationships/hyperlink" Target="http://paperpile.com/b/5ytb5f/8FxQv" TargetMode="External"/><Relationship Id="rId568" Type="http://schemas.openxmlformats.org/officeDocument/2006/relationships/hyperlink" Target="http://paperpile.com/b/5ytb5f/4bubv" TargetMode="External"/><Relationship Id="rId428" Type="http://schemas.openxmlformats.org/officeDocument/2006/relationships/hyperlink" Target="https://savingplaces.org/we-are-saving-places" TargetMode="External"/><Relationship Id="rId635" Type="http://schemas.openxmlformats.org/officeDocument/2006/relationships/hyperlink" Target="http://paperpile.com/b/5ytb5f/Y8kOE" TargetMode="External"/><Relationship Id="rId274" Type="http://schemas.openxmlformats.org/officeDocument/2006/relationships/hyperlink" Target="https://insideclimatenews.org/news/23042018/poultry-industry-epa-asthma-respiratory-illness-chicken-houses-delmarva-legislature-health-study-delaware-maryland-virginia" TargetMode="External"/><Relationship Id="rId481" Type="http://schemas.openxmlformats.org/officeDocument/2006/relationships/hyperlink" Target="http://paperpile.com/b/5ytb5f/27uWt" TargetMode="External"/><Relationship Id="rId702" Type="http://schemas.openxmlformats.org/officeDocument/2006/relationships/theme" Target="theme/theme1.xml"/><Relationship Id="rId69" Type="http://schemas.openxmlformats.org/officeDocument/2006/relationships/hyperlink" Target="http://paperpile.com/b/5ytb5f/yAfxG" TargetMode="External"/><Relationship Id="rId134" Type="http://schemas.openxmlformats.org/officeDocument/2006/relationships/hyperlink" Target="https://www.chesapeakebay.net/about/partners" TargetMode="External"/><Relationship Id="rId579" Type="http://schemas.openxmlformats.org/officeDocument/2006/relationships/hyperlink" Target="http://paperpile.com/b/5ytb5f/MJIxv" TargetMode="External"/><Relationship Id="rId341" Type="http://schemas.openxmlformats.org/officeDocument/2006/relationships/hyperlink" Target="http://paperpile.com/b/5ytb5f/Ux9g8" TargetMode="External"/><Relationship Id="rId439" Type="http://schemas.openxmlformats.org/officeDocument/2006/relationships/hyperlink" Target="http://www.denverpost.com/2016/04/25/walmart-will-drop-wild-oats-brand-restock-with-own-organic-staples/" TargetMode="External"/><Relationship Id="rId646" Type="http://schemas.openxmlformats.org/officeDocument/2006/relationships/hyperlink" Target="http://paperpile.com/b/5ytb5f/WNCUB" TargetMode="External"/><Relationship Id="rId201" Type="http://schemas.openxmlformats.org/officeDocument/2006/relationships/hyperlink" Target="http://paperpile.com/b/5ytb5f/uZwZz" TargetMode="External"/><Relationship Id="rId285" Type="http://schemas.openxmlformats.org/officeDocument/2006/relationships/hyperlink" Target="http://paperpile.com/b/5ytb5f/w0Srl" TargetMode="External"/><Relationship Id="rId506" Type="http://schemas.openxmlformats.org/officeDocument/2006/relationships/hyperlink" Target="http://paperpile.com/b/5ytb5f/ONLrE" TargetMode="External"/><Relationship Id="rId492" Type="http://schemas.openxmlformats.org/officeDocument/2006/relationships/hyperlink" Target="http://paperpile.com/b/5ytb5f/qz7QJ" TargetMode="External"/><Relationship Id="rId145" Type="http://schemas.openxmlformats.org/officeDocument/2006/relationships/hyperlink" Target="http://paperpile.com/b/5ytb5f/ABAmF" TargetMode="External"/><Relationship Id="rId352" Type="http://schemas.openxmlformats.org/officeDocument/2006/relationships/hyperlink" Target="http://www.landtrustalliance.org/topics/federal-programs/farm-bill-conservation-programs" TargetMode="External"/><Relationship Id="rId212" Type="http://schemas.openxmlformats.org/officeDocument/2006/relationships/hyperlink" Target="http://paperpile.com/b/5ytb5f/wEVu9" TargetMode="External"/><Relationship Id="rId657" Type="http://schemas.openxmlformats.org/officeDocument/2006/relationships/hyperlink" Target="https://www.nps.gov/history/local-law/arch_stnds_10.htm" TargetMode="External"/><Relationship Id="rId296" Type="http://schemas.openxmlformats.org/officeDocument/2006/relationships/hyperlink" Target="http://paperpile.com/b/5ytb5f/0NmcW" TargetMode="External"/><Relationship Id="rId517" Type="http://schemas.openxmlformats.org/officeDocument/2006/relationships/hyperlink" Target="http://paperpile.com/b/5ytb5f/vcKFL" TargetMode="External"/><Relationship Id="rId60" Type="http://schemas.openxmlformats.org/officeDocument/2006/relationships/hyperlink" Target="https://www.nps.gov/Tps/standards/four-treatments/landscape-guidelines/index.htm" TargetMode="External"/><Relationship Id="rId156" Type="http://schemas.openxmlformats.org/officeDocument/2006/relationships/hyperlink" Target="http://paperpile.com/b/5ytb5f/Tmyaq" TargetMode="External"/><Relationship Id="rId363" Type="http://schemas.openxmlformats.org/officeDocument/2006/relationships/hyperlink" Target="http://paperpile.com/b/5ytb5f/4gPLk" TargetMode="External"/><Relationship Id="rId570" Type="http://schemas.openxmlformats.org/officeDocument/2006/relationships/hyperlink" Target="http://www.unesco.org/education/pdf/RIO_E.PDF" TargetMode="External"/><Relationship Id="rId223" Type="http://schemas.openxmlformats.org/officeDocument/2006/relationships/hyperlink" Target="http://paperpile.com/b/5ytb5f/UmNPF" TargetMode="External"/><Relationship Id="rId430" Type="http://schemas.openxmlformats.org/officeDocument/2006/relationships/hyperlink" Target="http://paperpile.com/b/5ytb5f/Twjjz" TargetMode="External"/><Relationship Id="rId668" Type="http://schemas.openxmlformats.org/officeDocument/2006/relationships/hyperlink" Target="http://paperpile.com/b/5ytb5f/nqyJx" TargetMode="External"/><Relationship Id="rId18" Type="http://schemas.openxmlformats.org/officeDocument/2006/relationships/hyperlink" Target="https://www.achp.gov/sites/default/files/regulations/2017-02/regs-rev04.pdf" TargetMode="External"/><Relationship Id="rId265" Type="http://schemas.openxmlformats.org/officeDocument/2006/relationships/hyperlink" Target="https://historypreserves.com/post/182007625014/too-historic-to-fail-the-strand-bookstore-and-the" TargetMode="External"/><Relationship Id="rId472" Type="http://schemas.openxmlformats.org/officeDocument/2006/relationships/hyperlink" Target="http://paperpile.com/b/5ytb5f/EhyHK" TargetMode="External"/><Relationship Id="rId528" Type="http://schemas.openxmlformats.org/officeDocument/2006/relationships/hyperlink" Target="https://www.chesapeakebay.net/news/blog/five_industries_that_benefit_from_a_healthy_bay" TargetMode="External"/><Relationship Id="rId125" Type="http://schemas.openxmlformats.org/officeDocument/2006/relationships/hyperlink" Target="https://www.chesapeakebay.net/issues/agriculture" TargetMode="External"/><Relationship Id="rId167" Type="http://schemas.openxmlformats.org/officeDocument/2006/relationships/hyperlink" Target="http://paperpile.com/b/5ytb5f/qF2PQ" TargetMode="External"/><Relationship Id="rId332" Type="http://schemas.openxmlformats.org/officeDocument/2006/relationships/hyperlink" Target="http://paperpile.com/b/5ytb5f/F7Rhe" TargetMode="External"/><Relationship Id="rId374" Type="http://schemas.openxmlformats.org/officeDocument/2006/relationships/hyperlink" Target="http://paperpile.com/b/5ytb5f/OhS6g" TargetMode="External"/><Relationship Id="rId581" Type="http://schemas.openxmlformats.org/officeDocument/2006/relationships/hyperlink" Target="http://paperpile.com/b/5ytb5f/3rZ5g" TargetMode="External"/><Relationship Id="rId71" Type="http://schemas.openxmlformats.org/officeDocument/2006/relationships/hyperlink" Target="http://paperpile.com/b/5ytb5f/IaJsn" TargetMode="External"/><Relationship Id="rId234" Type="http://schemas.openxmlformats.org/officeDocument/2006/relationships/hyperlink" Target="https://www.fsa.usda.gov/Assets/USDA-FSA-Public/usdafiles/FactSheets/2017/crep_virginia_chesapeake_bay_aug2017.pdf" TargetMode="External"/><Relationship Id="rId637" Type="http://schemas.openxmlformats.org/officeDocument/2006/relationships/hyperlink" Target="http://paperpile.com/b/5ytb5f/Y8kOE" TargetMode="External"/><Relationship Id="rId679" Type="http://schemas.openxmlformats.org/officeDocument/2006/relationships/hyperlink" Target="http://paperpile.com/b/5ytb5f/qNb7A" TargetMode="External"/><Relationship Id="rId2" Type="http://schemas.openxmlformats.org/officeDocument/2006/relationships/numbering" Target="numbering.xml"/><Relationship Id="rId29" Type="http://schemas.openxmlformats.org/officeDocument/2006/relationships/hyperlink" Target="http://paperpile.com/b/5ytb5f/XAZGq" TargetMode="External"/><Relationship Id="rId276" Type="http://schemas.openxmlformats.org/officeDocument/2006/relationships/hyperlink" Target="http://paperpile.com/b/5ytb5f/SjynJ" TargetMode="External"/><Relationship Id="rId441" Type="http://schemas.openxmlformats.org/officeDocument/2006/relationships/hyperlink" Target="http://paperpile.com/b/5ytb5f/lM9XG" TargetMode="External"/><Relationship Id="rId483" Type="http://schemas.openxmlformats.org/officeDocument/2006/relationships/hyperlink" Target="http://paperpile.com/b/5ytb5f/27uWt" TargetMode="External"/><Relationship Id="rId539" Type="http://schemas.openxmlformats.org/officeDocument/2006/relationships/hyperlink" Target="http://paperpile.com/b/5ytb5f/pyRIZ" TargetMode="External"/><Relationship Id="rId690" Type="http://schemas.openxmlformats.org/officeDocument/2006/relationships/hyperlink" Target="http://paperpile.com/b/5ytb5f/ziZOc" TargetMode="External"/><Relationship Id="rId40" Type="http://schemas.openxmlformats.org/officeDocument/2006/relationships/hyperlink" Target="http://paperpile.com/b/5ytb5f/fo3WS" TargetMode="External"/><Relationship Id="rId136" Type="http://schemas.openxmlformats.org/officeDocument/2006/relationships/hyperlink" Target="http://paperpile.com/b/5ytb5f/Cbs3C" TargetMode="External"/><Relationship Id="rId178" Type="http://schemas.openxmlformats.org/officeDocument/2006/relationships/hyperlink" Target="http://www.jstor.org/stable/26270210" TargetMode="External"/><Relationship Id="rId301" Type="http://schemas.openxmlformats.org/officeDocument/2006/relationships/hyperlink" Target="http://paperpile.com/b/5ytb5f/1itE7" TargetMode="External"/><Relationship Id="rId343" Type="http://schemas.openxmlformats.org/officeDocument/2006/relationships/hyperlink" Target="https://grist.org/food/the-amish-makers-of-jam-fine-cabinetry-and-polluted-rivers/" TargetMode="External"/><Relationship Id="rId550" Type="http://schemas.openxmlformats.org/officeDocument/2006/relationships/hyperlink" Target="http://paperpile.com/b/5ytb5f/HHUHH" TargetMode="External"/><Relationship Id="rId82" Type="http://schemas.openxmlformats.org/officeDocument/2006/relationships/hyperlink" Target="http://paperpile.com/b/5ytb5f/DhFRq" TargetMode="External"/><Relationship Id="rId203" Type="http://schemas.openxmlformats.org/officeDocument/2006/relationships/hyperlink" Target="http://paperpile.com/b/5ytb5f/Sd3xI" TargetMode="External"/><Relationship Id="rId385" Type="http://schemas.openxmlformats.org/officeDocument/2006/relationships/hyperlink" Target="http://paperpile.com/b/5ytb5f/DFA0R" TargetMode="External"/><Relationship Id="rId592" Type="http://schemas.openxmlformats.org/officeDocument/2006/relationships/hyperlink" Target="https://www.nrcs.usda.gov/wps/portal/nrcs/main/national/programs/easements/acep/" TargetMode="External"/><Relationship Id="rId606" Type="http://schemas.openxmlformats.org/officeDocument/2006/relationships/hyperlink" Target="http://paperpile.com/b/5ytb5f/NPTPN" TargetMode="External"/><Relationship Id="rId648" Type="http://schemas.openxmlformats.org/officeDocument/2006/relationships/hyperlink" Target="https://www.nps.gov/history/tribes/Documents/106.pdf" TargetMode="External"/><Relationship Id="rId245" Type="http://schemas.openxmlformats.org/officeDocument/2006/relationships/hyperlink" Target="http://fortune.com/2018/09/12/hurricane-florence-hog-manure-ponds-lagoons-overflow/" TargetMode="External"/><Relationship Id="rId287" Type="http://schemas.openxmlformats.org/officeDocument/2006/relationships/hyperlink" Target="http://paperpile.com/b/5ytb5f/w0Srl" TargetMode="External"/><Relationship Id="rId410" Type="http://schemas.openxmlformats.org/officeDocument/2006/relationships/hyperlink" Target="http://paperpile.com/b/5ytb5f/ywYWY" TargetMode="External"/><Relationship Id="rId452" Type="http://schemas.openxmlformats.org/officeDocument/2006/relationships/hyperlink" Target="http://www.nps.gov/history/nr/publications/bulletins/nrb38/index.htm" TargetMode="External"/><Relationship Id="rId494" Type="http://schemas.openxmlformats.org/officeDocument/2006/relationships/hyperlink" Target="http://paperpile.com/b/5ytb5f/bxUCt" TargetMode="External"/><Relationship Id="rId508" Type="http://schemas.openxmlformats.org/officeDocument/2006/relationships/hyperlink" Target="http://paperpile.com/b/5ytb5f/ONLrE" TargetMode="External"/><Relationship Id="rId105" Type="http://schemas.openxmlformats.org/officeDocument/2006/relationships/hyperlink" Target="http://paperpile.com/b/5ytb5f/0fx7h" TargetMode="External"/><Relationship Id="rId147" Type="http://schemas.openxmlformats.org/officeDocument/2006/relationships/hyperlink" Target="http://paperpile.com/b/5ytb5f/ABAmF" TargetMode="External"/><Relationship Id="rId312" Type="http://schemas.openxmlformats.org/officeDocument/2006/relationships/hyperlink" Target="http://paperpile.com/b/5ytb5f/klqCk" TargetMode="External"/><Relationship Id="rId354" Type="http://schemas.openxmlformats.org/officeDocument/2006/relationships/hyperlink" Target="http://paperpile.com/b/5ytb5f/FopJ7" TargetMode="External"/><Relationship Id="rId51" Type="http://schemas.openxmlformats.org/officeDocument/2006/relationships/hyperlink" Target="http://paperpile.com/b/5ytb5f/BWD4M" TargetMode="External"/><Relationship Id="rId93" Type="http://schemas.openxmlformats.org/officeDocument/2006/relationships/hyperlink" Target="http://paperpile.com/b/5ytb5f/4wIhg" TargetMode="External"/><Relationship Id="rId189" Type="http://schemas.openxmlformats.org/officeDocument/2006/relationships/hyperlink" Target="http://dx.doi.org/10.2762/35894" TargetMode="External"/><Relationship Id="rId396" Type="http://schemas.openxmlformats.org/officeDocument/2006/relationships/hyperlink" Target="https://www.delmarvanow.com/story/news/local/maryland/2018/12/17/eastern-shore-split-trump-water-rule-rollback/2312523002/" TargetMode="External"/><Relationship Id="rId561" Type="http://schemas.openxmlformats.org/officeDocument/2006/relationships/hyperlink" Target="http://www.thefarmbill.com/title-2-main-conservation-programs" TargetMode="External"/><Relationship Id="rId617" Type="http://schemas.openxmlformats.org/officeDocument/2006/relationships/hyperlink" Target="https://www.nass.usda.gov/Quick_Stats/Ag_Overview/stateOverview.php?state=MARYLAND" TargetMode="External"/><Relationship Id="rId659" Type="http://schemas.openxmlformats.org/officeDocument/2006/relationships/hyperlink" Target="http://paperpile.com/b/5ytb5f/ztvnS" TargetMode="External"/><Relationship Id="rId214" Type="http://schemas.openxmlformats.org/officeDocument/2006/relationships/hyperlink" Target="http://paperpile.com/b/5ytb5f/wEVu9" TargetMode="External"/><Relationship Id="rId256" Type="http://schemas.openxmlformats.org/officeDocument/2006/relationships/hyperlink" Target="http://paperpile.com/b/5ytb5f/vblIW" TargetMode="External"/><Relationship Id="rId298" Type="http://schemas.openxmlformats.org/officeDocument/2006/relationships/hyperlink" Target="http://paperpile.com/b/5ytb5f/0NmcW" TargetMode="External"/><Relationship Id="rId421" Type="http://schemas.openxmlformats.org/officeDocument/2006/relationships/hyperlink" Target="http://paperpile.com/b/5ytb5f/9sneu" TargetMode="External"/><Relationship Id="rId463" Type="http://schemas.openxmlformats.org/officeDocument/2006/relationships/hyperlink" Target="http://paperpile.com/b/5ytb5f/o99Bp" TargetMode="External"/><Relationship Id="rId519" Type="http://schemas.openxmlformats.org/officeDocument/2006/relationships/hyperlink" Target="http://paperpile.com/b/5ytb5f/PgVAM" TargetMode="External"/><Relationship Id="rId670" Type="http://schemas.openxmlformats.org/officeDocument/2006/relationships/hyperlink" Target="http://paperpile.com/b/5ytb5f/nqyJx" TargetMode="External"/><Relationship Id="rId116" Type="http://schemas.openxmlformats.org/officeDocument/2006/relationships/hyperlink" Target="http://www.cbf.org/about-cbf/locations/washington-dc/issues/federal-farm-bill.html" TargetMode="External"/><Relationship Id="rId158" Type="http://schemas.openxmlformats.org/officeDocument/2006/relationships/hyperlink" Target="http://paperpile.com/b/5ytb5f/CrHnq" TargetMode="External"/><Relationship Id="rId323" Type="http://schemas.openxmlformats.org/officeDocument/2006/relationships/hyperlink" Target="http://paperpile.com/b/5ytb5f/TuIRq" TargetMode="External"/><Relationship Id="rId530" Type="http://schemas.openxmlformats.org/officeDocument/2006/relationships/hyperlink" Target="http://paperpile.com/b/5ytb5f/t4ATT" TargetMode="External"/><Relationship Id="rId20" Type="http://schemas.openxmlformats.org/officeDocument/2006/relationships/hyperlink" Target="https://www.achp.gov/sites/default/files/regulations/2017-02/regs-rev04.pdf" TargetMode="External"/><Relationship Id="rId62" Type="http://schemas.openxmlformats.org/officeDocument/2006/relationships/hyperlink" Target="http://paperpile.com/b/5ytb5f/kRr78" TargetMode="External"/><Relationship Id="rId365" Type="http://schemas.openxmlformats.org/officeDocument/2006/relationships/hyperlink" Target="http://paperpile.com/b/5ytb5f/4gPLk" TargetMode="External"/><Relationship Id="rId572" Type="http://schemas.openxmlformats.org/officeDocument/2006/relationships/hyperlink" Target="http://paperpile.com/b/5ytb5f/poD07" TargetMode="External"/><Relationship Id="rId628" Type="http://schemas.openxmlformats.org/officeDocument/2006/relationships/hyperlink" Target="http://paperpile.com/b/5ytb5f/GIN3Y" TargetMode="External"/><Relationship Id="rId225" Type="http://schemas.openxmlformats.org/officeDocument/2006/relationships/hyperlink" Target="https://www.agriculture.pa.gov/Plants_Land_Water/farmland/Pages/default.aspx" TargetMode="External"/><Relationship Id="rId267" Type="http://schemas.openxmlformats.org/officeDocument/2006/relationships/hyperlink" Target="http://paperpile.com/b/5ytb5f/rJOkh" TargetMode="External"/><Relationship Id="rId432" Type="http://schemas.openxmlformats.org/officeDocument/2006/relationships/hyperlink" Target="http://paperpile.com/b/5ytb5f/Twjjz" TargetMode="External"/><Relationship Id="rId474" Type="http://schemas.openxmlformats.org/officeDocument/2006/relationships/hyperlink" Target="http://paperpile.com/b/5ytb5f/EhyHK" TargetMode="External"/><Relationship Id="rId127" Type="http://schemas.openxmlformats.org/officeDocument/2006/relationships/hyperlink" Target="http://paperpile.com/b/5ytb5f/UzrUE" TargetMode="External"/><Relationship Id="rId681" Type="http://schemas.openxmlformats.org/officeDocument/2006/relationships/hyperlink" Target="http://paperpile.com/b/5ytb5f/lfEjU" TargetMode="External"/><Relationship Id="rId31" Type="http://schemas.openxmlformats.org/officeDocument/2006/relationships/hyperlink" Target="http://paperpile.com/b/5ytb5f/wCTQX" TargetMode="External"/><Relationship Id="rId73" Type="http://schemas.openxmlformats.org/officeDocument/2006/relationships/hyperlink" Target="http://paperpile.com/b/5ytb5f/hXjKK" TargetMode="External"/><Relationship Id="rId169" Type="http://schemas.openxmlformats.org/officeDocument/2006/relationships/hyperlink" Target="http://paperpile.com/b/5ytb5f/qF2PQ" TargetMode="External"/><Relationship Id="rId334" Type="http://schemas.openxmlformats.org/officeDocument/2006/relationships/hyperlink" Target="http://paperpile.com/b/5ytb5f/F7Rhe" TargetMode="External"/><Relationship Id="rId376" Type="http://schemas.openxmlformats.org/officeDocument/2006/relationships/hyperlink" Target="http://paperpile.com/b/5ytb5f/4aJXo" TargetMode="External"/><Relationship Id="rId541" Type="http://schemas.openxmlformats.org/officeDocument/2006/relationships/hyperlink" Target="https://mda.maryland.gov/resource_conservation/counties/Staver-Summary%20of%20WREC%20cover%20crop%20studies%20for%20Baystat.pdf" TargetMode="External"/><Relationship Id="rId583" Type="http://schemas.openxmlformats.org/officeDocument/2006/relationships/hyperlink" Target="http://paperpile.com/b/5ytb5f/3rZ5g" TargetMode="External"/><Relationship Id="rId639" Type="http://schemas.openxmlformats.org/officeDocument/2006/relationships/hyperlink" Target="https://www.nps.gov/tps/standards/four-treatments/landscape-guidelines/index.htm" TargetMode="External"/><Relationship Id="rId4" Type="http://schemas.openxmlformats.org/officeDocument/2006/relationships/settings" Target="settings.xml"/><Relationship Id="rId180" Type="http://schemas.openxmlformats.org/officeDocument/2006/relationships/hyperlink" Target="http://paperpile.com/b/5ytb5f/9LLg8" TargetMode="External"/><Relationship Id="rId236" Type="http://schemas.openxmlformats.org/officeDocument/2006/relationships/hyperlink" Target="http://paperpile.com/b/5ytb5f/FvR9t" TargetMode="External"/><Relationship Id="rId278" Type="http://schemas.openxmlformats.org/officeDocument/2006/relationships/hyperlink" Target="http://paperpile.com/b/5ytb5f/SjynJ" TargetMode="External"/><Relationship Id="rId401" Type="http://schemas.openxmlformats.org/officeDocument/2006/relationships/hyperlink" Target="http://paperpile.com/b/5ytb5f/SiLto" TargetMode="External"/><Relationship Id="rId443" Type="http://schemas.openxmlformats.org/officeDocument/2006/relationships/hyperlink" Target="http://paperpile.com/b/5ytb5f/lM9XG" TargetMode="External"/><Relationship Id="rId650" Type="http://schemas.openxmlformats.org/officeDocument/2006/relationships/hyperlink" Target="http://paperpile.com/b/5ytb5f/6fS4c" TargetMode="External"/><Relationship Id="rId303" Type="http://schemas.openxmlformats.org/officeDocument/2006/relationships/hyperlink" Target="http://paperpile.com/b/5ytb5f/1itE7" TargetMode="External"/><Relationship Id="rId485" Type="http://schemas.openxmlformats.org/officeDocument/2006/relationships/hyperlink" Target="https://www.chesapeakebay.net/documents/1983_CB_Agreement2.pdf" TargetMode="External"/><Relationship Id="rId692" Type="http://schemas.openxmlformats.org/officeDocument/2006/relationships/hyperlink" Target="http://paperpile.com/b/5ytb5f/idcsa" TargetMode="External"/><Relationship Id="rId42" Type="http://schemas.openxmlformats.org/officeDocument/2006/relationships/hyperlink" Target="http://paperpile.com/b/5ytb5f/fo3WS" TargetMode="External"/><Relationship Id="rId84" Type="http://schemas.openxmlformats.org/officeDocument/2006/relationships/hyperlink" Target="http://paperpile.com/b/5ytb5f/DhFRq" TargetMode="External"/><Relationship Id="rId138" Type="http://schemas.openxmlformats.org/officeDocument/2006/relationships/hyperlink" Target="http://paperpile.com/b/5ytb5f/Cbs3C" TargetMode="External"/><Relationship Id="rId345" Type="http://schemas.openxmlformats.org/officeDocument/2006/relationships/hyperlink" Target="http://paperpile.com/b/5ytb5f/oCuAR" TargetMode="External"/><Relationship Id="rId387" Type="http://schemas.openxmlformats.org/officeDocument/2006/relationships/hyperlink" Target="http://paperpile.com/b/5ytb5f/6Xh2K" TargetMode="External"/><Relationship Id="rId510" Type="http://schemas.openxmlformats.org/officeDocument/2006/relationships/hyperlink" Target="http://paperpile.com/b/5ytb5f/Lmx6Q" TargetMode="External"/><Relationship Id="rId552" Type="http://schemas.openxmlformats.org/officeDocument/2006/relationships/hyperlink" Target="http://paperpile.com/b/5ytb5f/R7wDP" TargetMode="External"/><Relationship Id="rId594" Type="http://schemas.openxmlformats.org/officeDocument/2006/relationships/hyperlink" Target="http://paperpile.com/b/5ytb5f/04iix" TargetMode="External"/><Relationship Id="rId608" Type="http://schemas.openxmlformats.org/officeDocument/2006/relationships/hyperlink" Target="http://paperpile.com/b/5ytb5f/NPTPN" TargetMode="External"/><Relationship Id="rId191" Type="http://schemas.openxmlformats.org/officeDocument/2006/relationships/hyperlink" Target="http://paperpile.com/b/5ytb5f/W8rs3" TargetMode="External"/><Relationship Id="rId205" Type="http://schemas.openxmlformats.org/officeDocument/2006/relationships/hyperlink" Target="http://paperpile.com/b/5ytb5f/Sd3xI" TargetMode="External"/><Relationship Id="rId247" Type="http://schemas.openxmlformats.org/officeDocument/2006/relationships/hyperlink" Target="http://paperpile.com/b/5ytb5f/TDk1H" TargetMode="External"/><Relationship Id="rId412" Type="http://schemas.openxmlformats.org/officeDocument/2006/relationships/hyperlink" Target="https://www.neh.gov/grants/manage/frequently-asked-questions-about-section-106-the-national-historic-preservation-act" TargetMode="External"/><Relationship Id="rId107" Type="http://schemas.openxmlformats.org/officeDocument/2006/relationships/hyperlink" Target="http://www.chesbay.us/history.html" TargetMode="External"/><Relationship Id="rId289" Type="http://schemas.openxmlformats.org/officeDocument/2006/relationships/hyperlink" Target="http://paperpile.com/b/5ytb5f/jGlsS" TargetMode="External"/><Relationship Id="rId454" Type="http://schemas.openxmlformats.org/officeDocument/2006/relationships/hyperlink" Target="http://paperpile.com/b/5ytb5f/tvoZh" TargetMode="External"/><Relationship Id="rId496" Type="http://schemas.openxmlformats.org/officeDocument/2006/relationships/hyperlink" Target="http://paperpile.com/b/5ytb5f/tSTbw" TargetMode="External"/><Relationship Id="rId661" Type="http://schemas.openxmlformats.org/officeDocument/2006/relationships/hyperlink" Target="http://paperpile.com/b/5ytb5f/ztvnS" TargetMode="External"/><Relationship Id="rId11" Type="http://schemas.openxmlformats.org/officeDocument/2006/relationships/footer" Target="footer2.xml"/><Relationship Id="rId53" Type="http://schemas.openxmlformats.org/officeDocument/2006/relationships/hyperlink" Target="http://paperpile.com/b/5ytb5f/kbNKu" TargetMode="External"/><Relationship Id="rId149" Type="http://schemas.openxmlformats.org/officeDocument/2006/relationships/hyperlink" Target="https://www.6sqft.com/strand-bookstore-owner-offers-a-compromise-in-last-ditch-attempt-to-avoid-landmark-status/" TargetMode="External"/><Relationship Id="rId314" Type="http://schemas.openxmlformats.org/officeDocument/2006/relationships/hyperlink" Target="https://earthobservatory.nasa.gov/images/88742/how-cities-and-suburbs-affect-chesapeake-bay" TargetMode="External"/><Relationship Id="rId356" Type="http://schemas.openxmlformats.org/officeDocument/2006/relationships/hyperlink" Target="http://paperpile.com/b/5ytb5f/FopJ7" TargetMode="External"/><Relationship Id="rId398" Type="http://schemas.openxmlformats.org/officeDocument/2006/relationships/hyperlink" Target="http://paperpile.com/b/5ytb5f/voz8L" TargetMode="External"/><Relationship Id="rId521" Type="http://schemas.openxmlformats.org/officeDocument/2006/relationships/hyperlink" Target="http://paperpile.com/b/5ytb5f/71qPK" TargetMode="External"/><Relationship Id="rId563" Type="http://schemas.openxmlformats.org/officeDocument/2006/relationships/hyperlink" Target="http://paperpile.com/b/5ytb5f/fEBl6" TargetMode="External"/><Relationship Id="rId619" Type="http://schemas.openxmlformats.org/officeDocument/2006/relationships/hyperlink" Target="http://paperpile.com/b/5ytb5f/ert1f" TargetMode="External"/><Relationship Id="rId95" Type="http://schemas.openxmlformats.org/officeDocument/2006/relationships/hyperlink" Target="http://paperpile.com/b/5ytb5f/q5Siz" TargetMode="External"/><Relationship Id="rId160" Type="http://schemas.openxmlformats.org/officeDocument/2006/relationships/hyperlink" Target="http://paperpile.com/b/5ytb5f/DMvOi" TargetMode="External"/><Relationship Id="rId216" Type="http://schemas.openxmlformats.org/officeDocument/2006/relationships/hyperlink" Target="https://ec.europa.eu/info/food-farming-fisheries/key-policies/common-agricultural-policy/cap-glance_en" TargetMode="External"/><Relationship Id="rId423" Type="http://schemas.openxmlformats.org/officeDocument/2006/relationships/hyperlink" Target="http://paperpile.com/b/5ytb5f/9sneu" TargetMode="External"/><Relationship Id="rId258" Type="http://schemas.openxmlformats.org/officeDocument/2006/relationships/hyperlink" Target="http://paperpile.com/b/5ytb5f/vwsNo" TargetMode="External"/><Relationship Id="rId465" Type="http://schemas.openxmlformats.org/officeDocument/2006/relationships/hyperlink" Target="http://paperpile.com/b/5ytb5f/0UBLw" TargetMode="External"/><Relationship Id="rId630" Type="http://schemas.openxmlformats.org/officeDocument/2006/relationships/hyperlink" Target="https://www.doi.gov/blog/gifford-pinchot-legacy-conservation" TargetMode="External"/><Relationship Id="rId672" Type="http://schemas.openxmlformats.org/officeDocument/2006/relationships/hyperlink" Target="https://www.nps.gov/history/tribes/documents/tcp.pdf" TargetMode="External"/><Relationship Id="rId22" Type="http://schemas.openxmlformats.org/officeDocument/2006/relationships/hyperlink" Target="http://paperpile.com/b/5ytb5f/OkNoF" TargetMode="External"/><Relationship Id="rId64" Type="http://schemas.openxmlformats.org/officeDocument/2006/relationships/hyperlink" Target="http://paperpile.com/b/5ytb5f/kRr78" TargetMode="External"/><Relationship Id="rId118" Type="http://schemas.openxmlformats.org/officeDocument/2006/relationships/hyperlink" Target="http://paperpile.com/b/5ytb5f/AjPpj" TargetMode="External"/><Relationship Id="rId325" Type="http://schemas.openxmlformats.org/officeDocument/2006/relationships/hyperlink" Target="http://paperpile.com/b/5ytb5f/TuIRq" TargetMode="External"/><Relationship Id="rId367" Type="http://schemas.openxmlformats.org/officeDocument/2006/relationships/hyperlink" Target="ftp://ftp.chesapeakebay.net/Modeling/Upload/Administrative_Record_Non-model_Files/39_CB%20States%20Tributary%20Strategies%20and%20Related%20Implementation%20Plans/39_004_TribDocumentFinal_012308.pdf" TargetMode="External"/><Relationship Id="rId532" Type="http://schemas.openxmlformats.org/officeDocument/2006/relationships/hyperlink" Target="http://paperpile.com/b/5ytb5f/t4ATT" TargetMode="External"/><Relationship Id="rId574" Type="http://schemas.openxmlformats.org/officeDocument/2006/relationships/hyperlink" Target="http://paperpile.com/b/5ytb5f/poD07" TargetMode="External"/><Relationship Id="rId171" Type="http://schemas.openxmlformats.org/officeDocument/2006/relationships/hyperlink" Target="http://paperpile.com/b/5ytb5f/77XXj" TargetMode="External"/><Relationship Id="rId227" Type="http://schemas.openxmlformats.org/officeDocument/2006/relationships/hyperlink" Target="http://paperpile.com/b/5ytb5f/Lp37A" TargetMode="External"/><Relationship Id="rId269" Type="http://schemas.openxmlformats.org/officeDocument/2006/relationships/hyperlink" Target="http://paperpile.com/b/5ytb5f/rJOkh" TargetMode="External"/><Relationship Id="rId434" Type="http://schemas.openxmlformats.org/officeDocument/2006/relationships/hyperlink" Target="https://www.southuniversity.edu/whoweare/newsroom/blog/farm-to-table-and-the-local-food-movement-49961" TargetMode="External"/><Relationship Id="rId476" Type="http://schemas.openxmlformats.org/officeDocument/2006/relationships/hyperlink" Target="http://paperpile.com/b/5ytb5f/2458R" TargetMode="External"/><Relationship Id="rId641" Type="http://schemas.openxmlformats.org/officeDocument/2006/relationships/hyperlink" Target="http://paperpile.com/b/5ytb5f/BYpl2" TargetMode="External"/><Relationship Id="rId683" Type="http://schemas.openxmlformats.org/officeDocument/2006/relationships/hyperlink" Target="http://paperpile.com/b/5ytb5f/uIWKz" TargetMode="External"/><Relationship Id="rId33" Type="http://schemas.openxmlformats.org/officeDocument/2006/relationships/hyperlink" Target="http://paperpile.com/b/5ytb5f/wCTQX" TargetMode="External"/><Relationship Id="rId129" Type="http://schemas.openxmlformats.org/officeDocument/2006/relationships/hyperlink" Target="http://paperpile.com/b/5ytb5f/UzrUE" TargetMode="External"/><Relationship Id="rId280" Type="http://schemas.openxmlformats.org/officeDocument/2006/relationships/hyperlink" Target="http://paperpile.com/b/5ytb5f/3ee4U" TargetMode="External"/><Relationship Id="rId336" Type="http://schemas.openxmlformats.org/officeDocument/2006/relationships/hyperlink" Target="http://paperpile.com/b/5ytb5f/F7Rhe" TargetMode="External"/><Relationship Id="rId501" Type="http://schemas.openxmlformats.org/officeDocument/2006/relationships/hyperlink" Target="http://paperpile.com/b/5ytb5f/6PT9r" TargetMode="External"/><Relationship Id="rId543" Type="http://schemas.openxmlformats.org/officeDocument/2006/relationships/hyperlink" Target="http://paperpile.com/b/5ytb5f/Dn5L3" TargetMode="External"/><Relationship Id="rId75" Type="http://schemas.openxmlformats.org/officeDocument/2006/relationships/hyperlink" Target="http://paperpile.com/b/5ytb5f/hXjKK" TargetMode="External"/><Relationship Id="rId140" Type="http://schemas.openxmlformats.org/officeDocument/2006/relationships/hyperlink" Target="https://www.chesapeakebay.net/state/population" TargetMode="External"/><Relationship Id="rId182" Type="http://schemas.openxmlformats.org/officeDocument/2006/relationships/hyperlink" Target="http://paperpile.com/b/5ytb5f/9LLg8" TargetMode="External"/><Relationship Id="rId378" Type="http://schemas.openxmlformats.org/officeDocument/2006/relationships/hyperlink" Target="http://paperpile.com/b/5ytb5f/GaKag" TargetMode="External"/><Relationship Id="rId403" Type="http://schemas.openxmlformats.org/officeDocument/2006/relationships/hyperlink" Target="http://paperpile.com/b/5ytb5f/8UexS" TargetMode="External"/><Relationship Id="rId585" Type="http://schemas.openxmlformats.org/officeDocument/2006/relationships/hyperlink" Target="https://www.nass.usda.gov/Publications/AgCensus/2012/Full_Report/Volume_1,_Chapter_1_State_Level/Maryland/st24_1_070_070.pdf" TargetMode="External"/><Relationship Id="rId6" Type="http://schemas.openxmlformats.org/officeDocument/2006/relationships/footnotes" Target="footnotes.xml"/><Relationship Id="rId238" Type="http://schemas.openxmlformats.org/officeDocument/2006/relationships/hyperlink" Target="http://paperpile.com/b/5ytb5f/FvR9t" TargetMode="External"/><Relationship Id="rId445" Type="http://schemas.openxmlformats.org/officeDocument/2006/relationships/hyperlink" Target="https://www.oecd.org/tad/agricultural-policies/40782727.pdf" TargetMode="External"/><Relationship Id="rId487" Type="http://schemas.openxmlformats.org/officeDocument/2006/relationships/hyperlink" Target="http://paperpile.com/b/5ytb5f/v1GJs" TargetMode="External"/><Relationship Id="rId610" Type="http://schemas.openxmlformats.org/officeDocument/2006/relationships/hyperlink" Target="https://www.nass.usda.gov/Publications/AgCensus/2012/Full_Report/Volume_1,_Chapter_1_State_Level/Pennsylvania/st42_1_067_067.pdf" TargetMode="External"/><Relationship Id="rId652" Type="http://schemas.openxmlformats.org/officeDocument/2006/relationships/hyperlink" Target="http://paperpile.com/b/5ytb5f/6fS4c" TargetMode="External"/><Relationship Id="rId694" Type="http://schemas.openxmlformats.org/officeDocument/2006/relationships/hyperlink" Target="http://paperpile.com/b/5ytb5f/idcsa" TargetMode="External"/><Relationship Id="rId291" Type="http://schemas.openxmlformats.org/officeDocument/2006/relationships/hyperlink" Target="http://www.nytimes.com/2014/04/10/business/walmart-to-offer-organic-line-of-food-at-cut-rate-prices.html" TargetMode="External"/><Relationship Id="rId305" Type="http://schemas.openxmlformats.org/officeDocument/2006/relationships/hyperlink" Target="https://www.nrcs.usda.gov/Internet/FSE_DOCUMENTS/nrcs142p2_023200.pdf" TargetMode="External"/><Relationship Id="rId347" Type="http://schemas.openxmlformats.org/officeDocument/2006/relationships/hyperlink" Target="http://paperpile.com/b/5ytb5f/oCuAR" TargetMode="External"/><Relationship Id="rId512" Type="http://schemas.openxmlformats.org/officeDocument/2006/relationships/hyperlink" Target="http://www.jstor.org/stable/26269618" TargetMode="External"/><Relationship Id="rId44" Type="http://schemas.openxmlformats.org/officeDocument/2006/relationships/hyperlink" Target="https://livinglandscapeobserver.net/new-national-heritage-areas-the-time-has-come/?utm_source=February+2019&amp;utm_campaign=Jan%2FFeb+Newsletter&amp;utm_medium=email" TargetMode="External"/><Relationship Id="rId86" Type="http://schemas.openxmlformats.org/officeDocument/2006/relationships/hyperlink" Target="http://paperpile.com/b/5ytb5f/i0QGr" TargetMode="External"/><Relationship Id="rId151" Type="http://schemas.openxmlformats.org/officeDocument/2006/relationships/hyperlink" Target="http://paperpile.com/b/5ytb5f/3rA81" TargetMode="External"/><Relationship Id="rId389" Type="http://schemas.openxmlformats.org/officeDocument/2006/relationships/hyperlink" Target="http://paperpile.com/b/5ytb5f/6Xh2K" TargetMode="External"/><Relationship Id="rId554" Type="http://schemas.openxmlformats.org/officeDocument/2006/relationships/hyperlink" Target="http://paperpile.com/b/5ytb5f/ipYtG" TargetMode="External"/><Relationship Id="rId596" Type="http://schemas.openxmlformats.org/officeDocument/2006/relationships/hyperlink" Target="http://paperpile.com/b/5ytb5f/04iix" TargetMode="External"/><Relationship Id="rId193" Type="http://schemas.openxmlformats.org/officeDocument/2006/relationships/hyperlink" Target="http://paperpile.com/b/5ytb5f/W8rs3" TargetMode="External"/><Relationship Id="rId207" Type="http://schemas.openxmlformats.org/officeDocument/2006/relationships/hyperlink" Target="http://paperpile.com/b/5ytb5f/mw6sI" TargetMode="External"/><Relationship Id="rId249" Type="http://schemas.openxmlformats.org/officeDocument/2006/relationships/hyperlink" Target="http://paperpile.com/b/5ytb5f/TDk1H" TargetMode="External"/><Relationship Id="rId414" Type="http://schemas.openxmlformats.org/officeDocument/2006/relationships/hyperlink" Target="http://paperpile.com/b/5ytb5f/YSjlZ" TargetMode="External"/><Relationship Id="rId456" Type="http://schemas.openxmlformats.org/officeDocument/2006/relationships/hyperlink" Target="http://paperpile.com/b/5ytb5f/tvoZh" TargetMode="External"/><Relationship Id="rId498" Type="http://schemas.openxmlformats.org/officeDocument/2006/relationships/hyperlink" Target="http://paperpile.com/b/5ytb5f/tSTbw" TargetMode="External"/><Relationship Id="rId621" Type="http://schemas.openxmlformats.org/officeDocument/2006/relationships/hyperlink" Target="https://www.nass.usda.gov/Quick_Stats/Ag_Overview/stateOverview.php?state=PENNSYLVANIA" TargetMode="External"/><Relationship Id="rId663" Type="http://schemas.openxmlformats.org/officeDocument/2006/relationships/hyperlink" Target="https://www.nps.gov/Tps/standards/four-treatments/landscape-guidelines/rehab/index.htm" TargetMode="External"/><Relationship Id="rId13" Type="http://schemas.openxmlformats.org/officeDocument/2006/relationships/footer" Target="footer3.xml"/><Relationship Id="rId109" Type="http://schemas.openxmlformats.org/officeDocument/2006/relationships/hyperlink" Target="http://paperpile.com/b/5ytb5f/N5k2C" TargetMode="External"/><Relationship Id="rId260" Type="http://schemas.openxmlformats.org/officeDocument/2006/relationships/hyperlink" Target="http://paperpile.com/b/5ytb5f/vwsNo" TargetMode="External"/><Relationship Id="rId316" Type="http://schemas.openxmlformats.org/officeDocument/2006/relationships/hyperlink" Target="http://paperpile.com/b/5ytb5f/nchRf" TargetMode="External"/><Relationship Id="rId523" Type="http://schemas.openxmlformats.org/officeDocument/2006/relationships/hyperlink" Target="http://paperpile.com/b/5ytb5f/71qPK" TargetMode="External"/><Relationship Id="rId55" Type="http://schemas.openxmlformats.org/officeDocument/2006/relationships/hyperlink" Target="https://www.nps.gov/tps/how-to-preserve/briefs/36-cultural-landscapes.htm" TargetMode="External"/><Relationship Id="rId97" Type="http://schemas.openxmlformats.org/officeDocument/2006/relationships/hyperlink" Target="http://paperpile.com/b/5ytb5f/q5Siz" TargetMode="External"/><Relationship Id="rId120" Type="http://schemas.openxmlformats.org/officeDocument/2006/relationships/hyperlink" Target="http://paperpile.com/b/5ytb5f/AjPpj" TargetMode="External"/><Relationship Id="rId358" Type="http://schemas.openxmlformats.org/officeDocument/2006/relationships/hyperlink" Target="https://extension.psu.edu/cover-crops-for-conservation-tillage-systems" TargetMode="External"/><Relationship Id="rId565" Type="http://schemas.openxmlformats.org/officeDocument/2006/relationships/hyperlink" Target="http://paperpile.com/b/5ytb5f/fEBl6" TargetMode="External"/><Relationship Id="rId162" Type="http://schemas.openxmlformats.org/officeDocument/2006/relationships/hyperlink" Target="http://paperpile.com/b/5ytb5f/DMvOi" TargetMode="External"/><Relationship Id="rId218" Type="http://schemas.openxmlformats.org/officeDocument/2006/relationships/hyperlink" Target="http://paperpile.com/b/5ytb5f/9B0AX" TargetMode="External"/><Relationship Id="rId425" Type="http://schemas.openxmlformats.org/officeDocument/2006/relationships/hyperlink" Target="https://www.nrcs.usda.gov/wps/portal/nrcs/main/national/programs/financial/eqip/" TargetMode="External"/><Relationship Id="rId467" Type="http://schemas.openxmlformats.org/officeDocument/2006/relationships/hyperlink" Target="https://www.nps.gov/tps/how-to-preserve/briefs/36-cultural-landscapes.htm" TargetMode="External"/><Relationship Id="rId632" Type="http://schemas.openxmlformats.org/officeDocument/2006/relationships/hyperlink" Target="http://paperpile.com/b/5ytb5f/q9vyJ" TargetMode="External"/><Relationship Id="rId271" Type="http://schemas.openxmlformats.org/officeDocument/2006/relationships/hyperlink" Target="https://www.gp.org/gnd_full" TargetMode="External"/><Relationship Id="rId674" Type="http://schemas.openxmlformats.org/officeDocument/2006/relationships/hyperlink" Target="http://paperpile.com/b/5ytb5f/PQ2bK" TargetMode="External"/><Relationship Id="rId24" Type="http://schemas.openxmlformats.org/officeDocument/2006/relationships/hyperlink" Target="http://paperpile.com/b/5ytb5f/OkNoF" TargetMode="External"/><Relationship Id="rId66" Type="http://schemas.openxmlformats.org/officeDocument/2006/relationships/hyperlink" Target="http://paperpile.com/b/5ytb5f/yAfxG" TargetMode="External"/><Relationship Id="rId131" Type="http://schemas.openxmlformats.org/officeDocument/2006/relationships/hyperlink" Target="https://www.chesapeakebay.net/issues/forest_buffers" TargetMode="External"/><Relationship Id="rId327" Type="http://schemas.openxmlformats.org/officeDocument/2006/relationships/hyperlink" Target="http://paperpile.com/b/5ytb5f/vpqgG" TargetMode="External"/><Relationship Id="rId369" Type="http://schemas.openxmlformats.org/officeDocument/2006/relationships/hyperlink" Target="http://paperpile.com/b/5ytb5f/ZgrVJ" TargetMode="External"/><Relationship Id="rId534" Type="http://schemas.openxmlformats.org/officeDocument/2006/relationships/hyperlink" Target="http://paperpile.com/b/5ytb5f/HNFlu" TargetMode="External"/><Relationship Id="rId576" Type="http://schemas.openxmlformats.org/officeDocument/2006/relationships/hyperlink" Target="http://www.troutcpa.com/blog/conservation-easements/" TargetMode="External"/><Relationship Id="rId173" Type="http://schemas.openxmlformats.org/officeDocument/2006/relationships/hyperlink" Target="https://www.nytimes.com/2018/12/06/climate/trump-water-pollution-wotus-replacement.html" TargetMode="External"/><Relationship Id="rId229" Type="http://schemas.openxmlformats.org/officeDocument/2006/relationships/hyperlink" Target="http://paperpile.com/b/5ytb5f/Lp37A" TargetMode="External"/><Relationship Id="rId380" Type="http://schemas.openxmlformats.org/officeDocument/2006/relationships/hyperlink" Target="http://paperpile.com/b/5ytb5f/GaKag" TargetMode="External"/><Relationship Id="rId436" Type="http://schemas.openxmlformats.org/officeDocument/2006/relationships/hyperlink" Target="http://paperpile.com/b/5ytb5f/8jQmu" TargetMode="External"/><Relationship Id="rId601" Type="http://schemas.openxmlformats.org/officeDocument/2006/relationships/hyperlink" Target="https://www.nrcs.usda.gov/wps/portal/nrcs/main/md/programs/financial/eqip/" TargetMode="External"/><Relationship Id="rId643" Type="http://schemas.openxmlformats.org/officeDocument/2006/relationships/hyperlink" Target="http://paperpile.com/b/5ytb5f/BYpl2" TargetMode="External"/><Relationship Id="rId240" Type="http://schemas.openxmlformats.org/officeDocument/2006/relationships/hyperlink" Target="http://paperpile.com/b/5ytb5f/10m2n" TargetMode="External"/><Relationship Id="rId478" Type="http://schemas.openxmlformats.org/officeDocument/2006/relationships/hyperlink" Target="http://paperpile.com/b/5ytb5f/gF8XW" TargetMode="External"/><Relationship Id="rId685" Type="http://schemas.openxmlformats.org/officeDocument/2006/relationships/hyperlink" Target="http://paperpile.com/b/5ytb5f/uIWKz" TargetMode="External"/><Relationship Id="rId35" Type="http://schemas.openxmlformats.org/officeDocument/2006/relationships/hyperlink" Target="https://4aa2dc132bb150caf1aa-7bb737f4349b47aa42dce777a72d5264.ssl.cf5.rackcdn.com/Controlling-Nutrient-Runoff-on-Farms.pdf" TargetMode="External"/><Relationship Id="rId77" Type="http://schemas.openxmlformats.org/officeDocument/2006/relationships/hyperlink" Target="http://paperpile.com/b/5ytb5f/EEffh" TargetMode="External"/><Relationship Id="rId100" Type="http://schemas.openxmlformats.org/officeDocument/2006/relationships/hyperlink" Target="http://paperpile.com/b/5ytb5f/XFhBN" TargetMode="External"/><Relationship Id="rId282" Type="http://schemas.openxmlformats.org/officeDocument/2006/relationships/hyperlink" Target="http://paperpile.com/b/5ytb5f/YxegS" TargetMode="External"/><Relationship Id="rId338" Type="http://schemas.openxmlformats.org/officeDocument/2006/relationships/hyperlink" Target="http://paperpile.com/b/5ytb5f/MuPOF" TargetMode="External"/><Relationship Id="rId503" Type="http://schemas.openxmlformats.org/officeDocument/2006/relationships/hyperlink" Target="http://paperpile.com/b/5ytb5f/Nhh3K" TargetMode="External"/><Relationship Id="rId545" Type="http://schemas.openxmlformats.org/officeDocument/2006/relationships/hyperlink" Target="http://paperpile.com/b/5ytb5f/Dn5L3" TargetMode="External"/><Relationship Id="rId587" Type="http://schemas.openxmlformats.org/officeDocument/2006/relationships/hyperlink" Target="http://paperpile.com/b/5ytb5f/XqK6Y" TargetMode="External"/><Relationship Id="rId8" Type="http://schemas.openxmlformats.org/officeDocument/2006/relationships/header" Target="header1.xml"/><Relationship Id="rId142" Type="http://schemas.openxmlformats.org/officeDocument/2006/relationships/hyperlink" Target="http://paperpile.com/b/5ytb5f/bmZ0t" TargetMode="External"/><Relationship Id="rId184" Type="http://schemas.openxmlformats.org/officeDocument/2006/relationships/hyperlink" Target="http://paperpile.com/b/xXWwmp/Roqs" TargetMode="External"/><Relationship Id="rId391" Type="http://schemas.openxmlformats.org/officeDocument/2006/relationships/hyperlink" Target="https://vincemichael.wordpress.com/2009/10/17/heritage-conservation-not-historic-preservation/" TargetMode="External"/><Relationship Id="rId405" Type="http://schemas.openxmlformats.org/officeDocument/2006/relationships/hyperlink" Target="http://paperpile.com/b/5ytb5f/MVE9G" TargetMode="External"/><Relationship Id="rId447" Type="http://schemas.openxmlformats.org/officeDocument/2006/relationships/hyperlink" Target="http://paperpile.com/b/5ytb5f/hqdSO" TargetMode="External"/><Relationship Id="rId612" Type="http://schemas.openxmlformats.org/officeDocument/2006/relationships/hyperlink" Target="http://paperpile.com/b/5ytb5f/Kny3y" TargetMode="External"/><Relationship Id="rId251" Type="http://schemas.openxmlformats.org/officeDocument/2006/relationships/hyperlink" Target="http://paperpile.com/b/5ytb5f/zAsVv" TargetMode="External"/><Relationship Id="rId489" Type="http://schemas.openxmlformats.org/officeDocument/2006/relationships/hyperlink" Target="http://paperpile.com/b/5ytb5f/v1GJs" TargetMode="External"/><Relationship Id="rId654" Type="http://schemas.openxmlformats.org/officeDocument/2006/relationships/hyperlink" Target="https://www.nps.gov/Tps/standards/four-treatments/landscape-guidelines/preserve/approach.htm" TargetMode="External"/><Relationship Id="rId696" Type="http://schemas.openxmlformats.org/officeDocument/2006/relationships/hyperlink" Target="https://vtechworks.lib.vt.edu/bitstream/handle/10919/48073/442-766_pdf.pdf?sequence=1&amp;isAllowed=y" TargetMode="External"/><Relationship Id="rId46" Type="http://schemas.openxmlformats.org/officeDocument/2006/relationships/hyperlink" Target="http://paperpile.com/b/5ytb5f/2YcdF" TargetMode="External"/><Relationship Id="rId293" Type="http://schemas.openxmlformats.org/officeDocument/2006/relationships/hyperlink" Target="http://paperpile.com/b/5ytb5f/oqD40" TargetMode="External"/><Relationship Id="rId307" Type="http://schemas.openxmlformats.org/officeDocument/2006/relationships/hyperlink" Target="http://paperpile.com/b/5ytb5f/DLsRe" TargetMode="External"/><Relationship Id="rId349" Type="http://schemas.openxmlformats.org/officeDocument/2006/relationships/hyperlink" Target="http://www.dcr.virginia.gov/land-conservation/lpc" TargetMode="External"/><Relationship Id="rId514" Type="http://schemas.openxmlformats.org/officeDocument/2006/relationships/hyperlink" Target="http://paperpile.com/b/5ytb5f/QbSVA" TargetMode="External"/><Relationship Id="rId556" Type="http://schemas.openxmlformats.org/officeDocument/2006/relationships/hyperlink" Target="http://paperpile.com/b/5ytb5f/ipYtG" TargetMode="External"/><Relationship Id="rId88" Type="http://schemas.openxmlformats.org/officeDocument/2006/relationships/hyperlink" Target="http://paperpile.com/b/5ytb5f/BqROb" TargetMode="External"/><Relationship Id="rId111" Type="http://schemas.openxmlformats.org/officeDocument/2006/relationships/hyperlink" Target="http://paperpile.com/b/5ytb5f/N5k2C" TargetMode="External"/><Relationship Id="rId153" Type="http://schemas.openxmlformats.org/officeDocument/2006/relationships/hyperlink" Target="http://paperpile.com/b/5ytb5f/3rA81" TargetMode="External"/><Relationship Id="rId195" Type="http://schemas.openxmlformats.org/officeDocument/2006/relationships/hyperlink" Target="http://paperpile.com/b/5ytb5f/BBhUI" TargetMode="External"/><Relationship Id="rId209" Type="http://schemas.openxmlformats.org/officeDocument/2006/relationships/hyperlink" Target="http://paperpile.com/b/5ytb5f/hvSD2" TargetMode="External"/><Relationship Id="rId360" Type="http://schemas.openxmlformats.org/officeDocument/2006/relationships/hyperlink" Target="http://paperpile.com/b/5ytb5f/FAG2d" TargetMode="External"/><Relationship Id="rId416" Type="http://schemas.openxmlformats.org/officeDocument/2006/relationships/hyperlink" Target="https://www.nesdis.noaa.gov/content/goes-east-sees-swollen-rivers-after-hurricane-florence" TargetMode="External"/><Relationship Id="rId598" Type="http://schemas.openxmlformats.org/officeDocument/2006/relationships/hyperlink" Target="https://www.nrcs.usda.gov/wps/portal/nrcs/main/pa/programs/financial/eqip/" TargetMode="External"/><Relationship Id="rId220" Type="http://schemas.openxmlformats.org/officeDocument/2006/relationships/hyperlink" Target="http://paperpile.com/b/5ytb5f/9B0AX" TargetMode="External"/><Relationship Id="rId458" Type="http://schemas.openxmlformats.org/officeDocument/2006/relationships/hyperlink" Target="http://paperpile.com/b/5ytb5f/EQEXn" TargetMode="External"/><Relationship Id="rId623" Type="http://schemas.openxmlformats.org/officeDocument/2006/relationships/hyperlink" Target="https://www.nass.usda.gov/Quick_Stats/Ag_Overview/stateOverview.php?state=PENNSYLVANIA" TargetMode="External"/><Relationship Id="rId665" Type="http://schemas.openxmlformats.org/officeDocument/2006/relationships/hyperlink" Target="http://paperpile.com/b/5ytb5f/r8LRw" TargetMode="External"/><Relationship Id="rId15" Type="http://schemas.openxmlformats.org/officeDocument/2006/relationships/hyperlink" Target="https://www.law.cornell.edu/uscode/text/26/170" TargetMode="External"/><Relationship Id="rId57" Type="http://schemas.openxmlformats.org/officeDocument/2006/relationships/hyperlink" Target="http://paperpile.com/b/5ytb5f/DNX31" TargetMode="External"/><Relationship Id="rId262" Type="http://schemas.openxmlformats.org/officeDocument/2006/relationships/hyperlink" Target="http://paperpile.com/b/5ytb5f/vGGVS" TargetMode="External"/><Relationship Id="rId318" Type="http://schemas.openxmlformats.org/officeDocument/2006/relationships/hyperlink" Target="https://www.irs.gov/charities-non-profits/charitable-organizations/exemption-requirements-section-501c3-organizations" TargetMode="External"/><Relationship Id="rId525" Type="http://schemas.openxmlformats.org/officeDocument/2006/relationships/hyperlink" Target="http://paperpile.com/b/5ytb5f/ROaDY" TargetMode="External"/><Relationship Id="rId567" Type="http://schemas.openxmlformats.org/officeDocument/2006/relationships/hyperlink" Target="http://www.pecva.org/land-conservation/sources-of-conservation-funding/141-complete-list-of-funds/519-virginia-best-management-practice-continuous-no-till-forage-production-system-sl-15b" TargetMode="External"/><Relationship Id="rId99" Type="http://schemas.openxmlformats.org/officeDocument/2006/relationships/hyperlink" Target="http://paperpile.com/b/5ytb5f/q5Siz" TargetMode="External"/><Relationship Id="rId122" Type="http://schemas.openxmlformats.org/officeDocument/2006/relationships/hyperlink" Target="http://www.cbf.org/how-we-save-the-bay/chesapeake-clean-water-blueprint/the-history-of-bay-cleanup-efforts.html" TargetMode="External"/><Relationship Id="rId164" Type="http://schemas.openxmlformats.org/officeDocument/2006/relationships/hyperlink" Target="http://paperpile.com/b/5ytb5f/DMvOi" TargetMode="External"/><Relationship Id="rId371" Type="http://schemas.openxmlformats.org/officeDocument/2006/relationships/hyperlink" Target="http://paperpile.com/b/5ytb5f/ZgrVJ" TargetMode="External"/><Relationship Id="rId427" Type="http://schemas.openxmlformats.org/officeDocument/2006/relationships/hyperlink" Target="http://paperpile.com/b/5ytb5f/nZSyR" TargetMode="External"/><Relationship Id="rId469" Type="http://schemas.openxmlformats.org/officeDocument/2006/relationships/hyperlink" Target="http://paperpile.com/b/5ytb5f/IDDHF" TargetMode="External"/><Relationship Id="rId634" Type="http://schemas.openxmlformats.org/officeDocument/2006/relationships/hyperlink" Target="http://paperpile.com/b/5ytb5f/q9vyJ" TargetMode="External"/><Relationship Id="rId676" Type="http://schemas.openxmlformats.org/officeDocument/2006/relationships/hyperlink" Target="http://paperpile.com/b/5ytb5f/PQ2bK" TargetMode="External"/><Relationship Id="rId26" Type="http://schemas.openxmlformats.org/officeDocument/2006/relationships/hyperlink" Target="https://bricksandmortarpreservation.wordpress.com/tag/historic-preservation-quote/" TargetMode="External"/><Relationship Id="rId231" Type="http://schemas.openxmlformats.org/officeDocument/2006/relationships/hyperlink" Target="https://www.fsa.usda.gov/Assets/USDA-FSA-Public/usdafiles/FactSheets/2016/crep_pennsylvania_chesapeake_bay_watershed.pdf" TargetMode="External"/><Relationship Id="rId273" Type="http://schemas.openxmlformats.org/officeDocument/2006/relationships/hyperlink" Target="http://paperpile.com/b/5ytb5f/5QlTR" TargetMode="External"/><Relationship Id="rId329" Type="http://schemas.openxmlformats.org/officeDocument/2006/relationships/hyperlink" Target="http://paperpile.com/b/5ytb5f/8FxQv" TargetMode="External"/><Relationship Id="rId480" Type="http://schemas.openxmlformats.org/officeDocument/2006/relationships/hyperlink" Target="http://paperpile.com/b/5ytb5f/gF8XW" TargetMode="External"/><Relationship Id="rId536" Type="http://schemas.openxmlformats.org/officeDocument/2006/relationships/hyperlink" Target="http://paperpile.com/b/5ytb5f/HNFlu" TargetMode="External"/><Relationship Id="rId701" Type="http://schemas.openxmlformats.org/officeDocument/2006/relationships/fontTable" Target="fontTable.xml"/><Relationship Id="rId68" Type="http://schemas.openxmlformats.org/officeDocument/2006/relationships/hyperlink" Target="https://www.bayjournal.com/article/success_of_chesapeakes_restoration_tied_to_pa_which_lags_far_behind" TargetMode="External"/><Relationship Id="rId133" Type="http://schemas.openxmlformats.org/officeDocument/2006/relationships/hyperlink" Target="http://paperpile.com/b/5ytb5f/kym0Z" TargetMode="External"/><Relationship Id="rId175" Type="http://schemas.openxmlformats.org/officeDocument/2006/relationships/hyperlink" Target="http://paperpile.com/b/5ytb5f/Lw3hr" TargetMode="External"/><Relationship Id="rId340" Type="http://schemas.openxmlformats.org/officeDocument/2006/relationships/hyperlink" Target="http://paperpile.com/b/5ytb5f/Ux9g8" TargetMode="External"/><Relationship Id="rId578" Type="http://schemas.openxmlformats.org/officeDocument/2006/relationships/hyperlink" Target="http://paperpile.com/b/5ytb5f/MJIxv" TargetMode="External"/><Relationship Id="rId200" Type="http://schemas.openxmlformats.org/officeDocument/2006/relationships/hyperlink" Target="http://paperpile.com/b/5ytb5f/uZwZz" TargetMode="External"/><Relationship Id="rId382" Type="http://schemas.openxmlformats.org/officeDocument/2006/relationships/hyperlink" Target="http://paperpile.com/b/5ytb5f/GaKag" TargetMode="External"/><Relationship Id="rId438" Type="http://schemas.openxmlformats.org/officeDocument/2006/relationships/hyperlink" Target="http://paperpile.com/b/5ytb5f/8jQmu" TargetMode="External"/><Relationship Id="rId603" Type="http://schemas.openxmlformats.org/officeDocument/2006/relationships/hyperlink" Target="http://paperpile.com/b/5ytb5f/8MnhN" TargetMode="External"/><Relationship Id="rId645" Type="http://schemas.openxmlformats.org/officeDocument/2006/relationships/hyperlink" Target="https://www.nps.gov/articles/national-heritage-areas-faqs.htm" TargetMode="External"/><Relationship Id="rId687" Type="http://schemas.openxmlformats.org/officeDocument/2006/relationships/hyperlink" Target="https://www.gettingmoreontheground.com/2014/03/26/dr-wise-on-livestock-stream-exclusion/" TargetMode="External"/><Relationship Id="rId242" Type="http://schemas.openxmlformats.org/officeDocument/2006/relationships/hyperlink" Target="http://paperpile.com/b/5ytb5f/RYVv9" TargetMode="External"/><Relationship Id="rId284" Type="http://schemas.openxmlformats.org/officeDocument/2006/relationships/hyperlink" Target="http://paperpile.com/b/5ytb5f/YxegS" TargetMode="External"/><Relationship Id="rId491" Type="http://schemas.openxmlformats.org/officeDocument/2006/relationships/hyperlink" Target="http://paperpile.com/b/5ytb5f/qz7QJ" TargetMode="External"/><Relationship Id="rId505" Type="http://schemas.openxmlformats.org/officeDocument/2006/relationships/hyperlink" Target="http://paperpile.com/b/5ytb5f/Nhh3K" TargetMode="External"/><Relationship Id="rId37" Type="http://schemas.openxmlformats.org/officeDocument/2006/relationships/hyperlink" Target="http://paperpile.com/b/5ytb5f/BlRnr" TargetMode="External"/><Relationship Id="rId79" Type="http://schemas.openxmlformats.org/officeDocument/2006/relationships/hyperlink" Target="http://paperpile.com/b/5ytb5f/B5NOs" TargetMode="External"/><Relationship Id="rId102" Type="http://schemas.openxmlformats.org/officeDocument/2006/relationships/hyperlink" Target="http://paperpile.com/b/5ytb5f/XFhBN" TargetMode="External"/><Relationship Id="rId144" Type="http://schemas.openxmlformats.org/officeDocument/2006/relationships/hyperlink" Target="http://paperpile.com/b/5ytb5f/bmZ0t" TargetMode="External"/><Relationship Id="rId547" Type="http://schemas.openxmlformats.org/officeDocument/2006/relationships/hyperlink" Target="http://paperpile.com/b/5ytb5f/Dn5L3" TargetMode="External"/><Relationship Id="rId589" Type="http://schemas.openxmlformats.org/officeDocument/2006/relationships/hyperlink" Target="http://paperpile.com/b/5ytb5f/XqK6Y" TargetMode="External"/><Relationship Id="rId90" Type="http://schemas.openxmlformats.org/officeDocument/2006/relationships/hyperlink" Target="https://www.thebalance.com/organic-retailers-in-north-america-2011-2538129" TargetMode="External"/><Relationship Id="rId186" Type="http://schemas.openxmlformats.org/officeDocument/2006/relationships/hyperlink" Target="https://www.cfra.org/news/131022/water-overcoming-tragedy-commons" TargetMode="External"/><Relationship Id="rId351" Type="http://schemas.openxmlformats.org/officeDocument/2006/relationships/hyperlink" Target="http://paperpile.com/b/5ytb5f/etSgN" TargetMode="External"/><Relationship Id="rId393" Type="http://schemas.openxmlformats.org/officeDocument/2006/relationships/hyperlink" Target="http://paperpile.com/b/5ytb5f/KxABh" TargetMode="External"/><Relationship Id="rId407" Type="http://schemas.openxmlformats.org/officeDocument/2006/relationships/hyperlink" Target="http://paperpile.com/b/5ytb5f/MVE9G" TargetMode="External"/><Relationship Id="rId449" Type="http://schemas.openxmlformats.org/officeDocument/2006/relationships/hyperlink" Target="http://paperpile.com/b/5ytb5f/wFVow" TargetMode="External"/><Relationship Id="rId614" Type="http://schemas.openxmlformats.org/officeDocument/2006/relationships/hyperlink" Target="http://paperpile.com/b/5ytb5f/Kny3y" TargetMode="External"/><Relationship Id="rId656" Type="http://schemas.openxmlformats.org/officeDocument/2006/relationships/hyperlink" Target="http://paperpile.com/b/5ytb5f/ZWwhn" TargetMode="External"/><Relationship Id="rId211" Type="http://schemas.openxmlformats.org/officeDocument/2006/relationships/hyperlink" Target="http://paperpile.com/b/5ytb5f/hvSD2" TargetMode="External"/><Relationship Id="rId253" Type="http://schemas.openxmlformats.org/officeDocument/2006/relationships/hyperlink" Target="http://www.jstor.org/stable/26269763" TargetMode="External"/><Relationship Id="rId295" Type="http://schemas.openxmlformats.org/officeDocument/2006/relationships/hyperlink" Target="http://paperpile.com/b/5ytb5f/oqD40" TargetMode="External"/><Relationship Id="rId309" Type="http://schemas.openxmlformats.org/officeDocument/2006/relationships/hyperlink" Target="http://paperpile.com/b/5ytb5f/DLsRe" TargetMode="External"/><Relationship Id="rId460" Type="http://schemas.openxmlformats.org/officeDocument/2006/relationships/hyperlink" Target="http://paperpile.com/b/5ytb5f/EQEXn" TargetMode="External"/><Relationship Id="rId516" Type="http://schemas.openxmlformats.org/officeDocument/2006/relationships/hyperlink" Target="http://paperpile.com/b/5ytb5f/QbSVA" TargetMode="External"/><Relationship Id="rId698" Type="http://schemas.openxmlformats.org/officeDocument/2006/relationships/hyperlink" Target="http://paperpile.com/b/5ytb5f/PUULy" TargetMode="External"/><Relationship Id="rId48" Type="http://schemas.openxmlformats.org/officeDocument/2006/relationships/hyperlink" Target="http://paperpile.com/b/5ytb5f/2YcdF" TargetMode="External"/><Relationship Id="rId113" Type="http://schemas.openxmlformats.org/officeDocument/2006/relationships/hyperlink" Target="http://www.cbf.org/document-library/cbf-guides-fact-sheets/a-guide-to-preserving.pdf" TargetMode="External"/><Relationship Id="rId320" Type="http://schemas.openxmlformats.org/officeDocument/2006/relationships/hyperlink" Target="http://paperpile.com/b/5ytb5f/wjQIL" TargetMode="External"/><Relationship Id="rId558" Type="http://schemas.openxmlformats.org/officeDocument/2006/relationships/hyperlink" Target="http://www.thefarmbill.com/title-2-main-conservation-programs" TargetMode="External"/><Relationship Id="rId155" Type="http://schemas.openxmlformats.org/officeDocument/2006/relationships/hyperlink" Target="http://www.cultureindevelopment.nl/Cultural_Heritage/What_is_Cultural_Heritage" TargetMode="External"/><Relationship Id="rId197" Type="http://schemas.openxmlformats.org/officeDocument/2006/relationships/hyperlink" Target="http://paperpile.com/b/5ytb5f/JP3iu" TargetMode="External"/><Relationship Id="rId362" Type="http://schemas.openxmlformats.org/officeDocument/2006/relationships/hyperlink" Target="http://paperpile.com/b/5ytb5f/FAG2d" TargetMode="External"/><Relationship Id="rId418" Type="http://schemas.openxmlformats.org/officeDocument/2006/relationships/hyperlink" Target="http://paperpile.com/b/5ytb5f/nNjsU" TargetMode="External"/><Relationship Id="rId625" Type="http://schemas.openxmlformats.org/officeDocument/2006/relationships/hyperlink" Target="http://paperpile.com/b/5ytb5f/GIN3Y" TargetMode="External"/><Relationship Id="rId222" Type="http://schemas.openxmlformats.org/officeDocument/2006/relationships/hyperlink" Target="https://www.farmlandinfo.org/sites/default/files/Why_Save_Farmland_1-03_1.pdf" TargetMode="External"/><Relationship Id="rId264" Type="http://schemas.openxmlformats.org/officeDocument/2006/relationships/hyperlink" Target="http://paperpile.com/b/5ytb5f/Bg3Oo" TargetMode="External"/><Relationship Id="rId471" Type="http://schemas.openxmlformats.org/officeDocument/2006/relationships/hyperlink" Target="http://paperpile.com/b/5ytb5f/IDDHF" TargetMode="External"/><Relationship Id="rId667" Type="http://schemas.openxmlformats.org/officeDocument/2006/relationships/hyperlink" Target="http://paperpile.com/b/5ytb5f/r8LRw" TargetMode="External"/><Relationship Id="rId17" Type="http://schemas.openxmlformats.org/officeDocument/2006/relationships/hyperlink" Target="http://paperpile.com/b/5ytb5f/nVuMx" TargetMode="External"/><Relationship Id="rId59" Type="http://schemas.openxmlformats.org/officeDocument/2006/relationships/hyperlink" Target="http://paperpile.com/b/5ytb5f/DNX31" TargetMode="External"/><Relationship Id="rId124" Type="http://schemas.openxmlformats.org/officeDocument/2006/relationships/hyperlink" Target="http://paperpile.com/b/5ytb5f/I4RHF" TargetMode="External"/><Relationship Id="rId527" Type="http://schemas.openxmlformats.org/officeDocument/2006/relationships/hyperlink" Target="http://paperpile.com/b/5ytb5f/YPPDx" TargetMode="External"/><Relationship Id="rId569" Type="http://schemas.openxmlformats.org/officeDocument/2006/relationships/hyperlink" Target="http://paperpile.com/b/5ytb5f/pO4Bu" TargetMode="External"/><Relationship Id="rId70" Type="http://schemas.openxmlformats.org/officeDocument/2006/relationships/hyperlink" Target="http://paperpile.com/b/5ytb5f/IaJsn" TargetMode="External"/><Relationship Id="rId166" Type="http://schemas.openxmlformats.org/officeDocument/2006/relationships/hyperlink" Target="http://paperpile.com/b/5ytb5f/qF2PQ" TargetMode="External"/><Relationship Id="rId331" Type="http://schemas.openxmlformats.org/officeDocument/2006/relationships/hyperlink" Target="http://paperpile.com/b/5ytb5f/8FxQv" TargetMode="External"/><Relationship Id="rId373" Type="http://schemas.openxmlformats.org/officeDocument/2006/relationships/hyperlink" Target="https://mde.maryland.gov/programs/LAND/RecyclingandOperationsprogram/Documents/AFO_GD_Permit_14AFA_MDG01A.pdf" TargetMode="External"/><Relationship Id="rId429" Type="http://schemas.openxmlformats.org/officeDocument/2006/relationships/hyperlink" Target="http://paperpile.com/b/5ytb5f/nZSyR" TargetMode="External"/><Relationship Id="rId580" Type="http://schemas.openxmlformats.org/officeDocument/2006/relationships/hyperlink" Target="http://paperpile.com/b/5ytb5f/MJIxv" TargetMode="External"/><Relationship Id="rId636" Type="http://schemas.openxmlformats.org/officeDocument/2006/relationships/hyperlink" Target="http://www.ushistory.org/us/43d.asp" TargetMode="External"/><Relationship Id="rId1" Type="http://schemas.openxmlformats.org/officeDocument/2006/relationships/customXml" Target="../customXml/item1.xml"/><Relationship Id="rId233" Type="http://schemas.openxmlformats.org/officeDocument/2006/relationships/hyperlink" Target="http://paperpile.com/b/5ytb5f/fVX41" TargetMode="External"/><Relationship Id="rId440" Type="http://schemas.openxmlformats.org/officeDocument/2006/relationships/hyperlink" Target="http://paperpile.com/b/5ytb5f/8jQmu" TargetMode="External"/><Relationship Id="rId678" Type="http://schemas.openxmlformats.org/officeDocument/2006/relationships/hyperlink" Target="http://www.virginiaoutdoorsfoundation.org/download/easement-docs/vof_easement_guidelines.pdf" TargetMode="External"/><Relationship Id="rId28" Type="http://schemas.openxmlformats.org/officeDocument/2006/relationships/hyperlink" Target="http://paperpile.com/b/5ytb5f/XAZGq" TargetMode="External"/><Relationship Id="rId275" Type="http://schemas.openxmlformats.org/officeDocument/2006/relationships/hyperlink" Target="http://paperpile.com/b/5ytb5f/5QlTR" TargetMode="External"/><Relationship Id="rId300" Type="http://schemas.openxmlformats.org/officeDocument/2006/relationships/hyperlink" Target="http://paperpile.com/b/5ytb5f/1itE7" TargetMode="External"/><Relationship Id="rId482" Type="http://schemas.openxmlformats.org/officeDocument/2006/relationships/hyperlink" Target="http://www.nps.gov/history/nr/publications/bulletins/nrb15/index.htm" TargetMode="External"/><Relationship Id="rId538" Type="http://schemas.openxmlformats.org/officeDocument/2006/relationships/hyperlink" Target="http://paperpile.com/b/5ytb5f/pyRIZ" TargetMode="External"/><Relationship Id="rId81" Type="http://schemas.openxmlformats.org/officeDocument/2006/relationships/hyperlink" Target="http://paperpile.com/b/5ytb5f/B5NOs" TargetMode="External"/><Relationship Id="rId135" Type="http://schemas.openxmlformats.org/officeDocument/2006/relationships/hyperlink" Target="http://paperpile.com/b/5ytb5f/kym0Z" TargetMode="External"/><Relationship Id="rId177" Type="http://schemas.openxmlformats.org/officeDocument/2006/relationships/hyperlink" Target="http://paperpile.com/b/5ytb5f/Lw3hr" TargetMode="External"/><Relationship Id="rId342" Type="http://schemas.openxmlformats.org/officeDocument/2006/relationships/hyperlink" Target="http://paperpile.com/b/5ytb5f/Ux9g8" TargetMode="External"/><Relationship Id="rId384" Type="http://schemas.openxmlformats.org/officeDocument/2006/relationships/hyperlink" Target="http://paperpile.com/b/5ytb5f/DFA0R" TargetMode="External"/><Relationship Id="rId591" Type="http://schemas.openxmlformats.org/officeDocument/2006/relationships/hyperlink" Target="http://paperpile.com/b/5ytb5f/Kq6I5" TargetMode="External"/><Relationship Id="rId605" Type="http://schemas.openxmlformats.org/officeDocument/2006/relationships/hyperlink" Target="http://paperpile.com/b/5ytb5f/8MnhN" TargetMode="External"/><Relationship Id="rId202" Type="http://schemas.openxmlformats.org/officeDocument/2006/relationships/hyperlink" Target="http://paperpile.com/b/5ytb5f/uZwZz" TargetMode="External"/><Relationship Id="rId244" Type="http://schemas.openxmlformats.org/officeDocument/2006/relationships/hyperlink" Target="http://paperpile.com/b/5ytb5f/RYVv9" TargetMode="External"/><Relationship Id="rId647" Type="http://schemas.openxmlformats.org/officeDocument/2006/relationships/hyperlink" Target="http://paperpile.com/b/5ytb5f/WHvTi" TargetMode="External"/><Relationship Id="rId689" Type="http://schemas.openxmlformats.org/officeDocument/2006/relationships/hyperlink" Target="http://paperpile.com/b/5ytb5f/ziZOc" TargetMode="External"/><Relationship Id="rId39" Type="http://schemas.openxmlformats.org/officeDocument/2006/relationships/hyperlink" Target="http://paperpile.com/b/5ytb5f/BlRnr" TargetMode="External"/><Relationship Id="rId286" Type="http://schemas.openxmlformats.org/officeDocument/2006/relationships/hyperlink" Target="http://paperpile.com/b/5ytb5f/w0Srl" TargetMode="External"/><Relationship Id="rId451" Type="http://schemas.openxmlformats.org/officeDocument/2006/relationships/hyperlink" Target="http://paperpile.com/b/5ytb5f/9t9Mv" TargetMode="External"/><Relationship Id="rId493" Type="http://schemas.openxmlformats.org/officeDocument/2006/relationships/hyperlink" Target="http://paperpile.com/b/5ytb5f/bxUCt" TargetMode="External"/><Relationship Id="rId507" Type="http://schemas.openxmlformats.org/officeDocument/2006/relationships/hyperlink" Target="http://paperpile.com/b/5ytb5f/ONLrE" TargetMode="External"/><Relationship Id="rId549" Type="http://schemas.openxmlformats.org/officeDocument/2006/relationships/hyperlink" Target="http://paperpile.com/b/5ytb5f/HHUHH" TargetMode="External"/><Relationship Id="rId50" Type="http://schemas.openxmlformats.org/officeDocument/2006/relationships/hyperlink" Target="http://paperpile.com/b/5ytb5f/BWD4M" TargetMode="External"/><Relationship Id="rId104" Type="http://schemas.openxmlformats.org/officeDocument/2006/relationships/hyperlink" Target="http://www.chesbay.us/Publications/Healthy%20Livestock,%20Healthy%20Streams.pdf" TargetMode="External"/><Relationship Id="rId146" Type="http://schemas.openxmlformats.org/officeDocument/2006/relationships/hyperlink" Target="http://paperpile.com/b/5ytb5f/ABAmF" TargetMode="External"/><Relationship Id="rId188" Type="http://schemas.openxmlformats.org/officeDocument/2006/relationships/hyperlink" Target="http://paperpile.com/b/5ytb5f/UqIts" TargetMode="External"/><Relationship Id="rId311" Type="http://schemas.openxmlformats.org/officeDocument/2006/relationships/hyperlink" Target="https://water.usgs.gov/edu/gwdepletion.html" TargetMode="External"/><Relationship Id="rId353" Type="http://schemas.openxmlformats.org/officeDocument/2006/relationships/hyperlink" Target="http://paperpile.com/b/5ytb5f/etSgN" TargetMode="External"/><Relationship Id="rId395" Type="http://schemas.openxmlformats.org/officeDocument/2006/relationships/hyperlink" Target="http://paperpile.com/b/5ytb5f/KxABh" TargetMode="External"/><Relationship Id="rId409" Type="http://schemas.openxmlformats.org/officeDocument/2006/relationships/hyperlink" Target="http://paperpile.com/b/5ytb5f/ywYWY" TargetMode="External"/><Relationship Id="rId560" Type="http://schemas.openxmlformats.org/officeDocument/2006/relationships/hyperlink" Target="http://paperpile.com/b/5ytb5f/cXlyA" TargetMode="External"/><Relationship Id="rId92" Type="http://schemas.openxmlformats.org/officeDocument/2006/relationships/hyperlink" Target="http://paperpile.com/b/5ytb5f/4wIhg" TargetMode="External"/><Relationship Id="rId213" Type="http://schemas.openxmlformats.org/officeDocument/2006/relationships/hyperlink" Target="https://ec.europa.eu/agriculture/envir_en" TargetMode="External"/><Relationship Id="rId420" Type="http://schemas.openxmlformats.org/officeDocument/2006/relationships/hyperlink" Target="http://paperpile.com/b/5ytb5f/nNjsU" TargetMode="External"/><Relationship Id="rId616" Type="http://schemas.openxmlformats.org/officeDocument/2006/relationships/hyperlink" Target="https://www.nass.usda.gov/Quick_Stats/Ag_Overview/stateOverview.php?state=MARYLAND" TargetMode="External"/><Relationship Id="rId658" Type="http://schemas.openxmlformats.org/officeDocument/2006/relationships/hyperlink" Target="http://paperpile.com/b/5ytb5f/ZWwhn" TargetMode="External"/><Relationship Id="rId255" Type="http://schemas.openxmlformats.org/officeDocument/2006/relationships/hyperlink" Target="http://paperpile.com/b/5ytb5f/vblIW" TargetMode="External"/><Relationship Id="rId297" Type="http://schemas.openxmlformats.org/officeDocument/2006/relationships/hyperlink" Target="http://paperpile.com/b/5ytb5f/0NmcW" TargetMode="External"/><Relationship Id="rId462" Type="http://schemas.openxmlformats.org/officeDocument/2006/relationships/hyperlink" Target="http://paperpile.com/b/5ytb5f/o99Bp" TargetMode="External"/><Relationship Id="rId518" Type="http://schemas.openxmlformats.org/officeDocument/2006/relationships/hyperlink" Target="http://paperpile.com/b/5ytb5f/PgVAM" TargetMode="External"/><Relationship Id="rId115" Type="http://schemas.openxmlformats.org/officeDocument/2006/relationships/hyperlink" Target="http://paperpile.com/b/5ytb5f/FFiVG" TargetMode="External"/><Relationship Id="rId157" Type="http://schemas.openxmlformats.org/officeDocument/2006/relationships/hyperlink" Target="http://paperpile.com/b/5ytb5f/CrHnq" TargetMode="External"/><Relationship Id="rId322" Type="http://schemas.openxmlformats.org/officeDocument/2006/relationships/hyperlink" Target="http://paperpile.com/b/5ytb5f/wjQIL" TargetMode="External"/><Relationship Id="rId364" Type="http://schemas.openxmlformats.org/officeDocument/2006/relationships/hyperlink" Target="http://paperpile.com/b/5ytb5f/4gPLk" TargetMode="External"/><Relationship Id="rId61" Type="http://schemas.openxmlformats.org/officeDocument/2006/relationships/hyperlink" Target="http://paperpile.com/b/5ytb5f/DNX31" TargetMode="External"/><Relationship Id="rId199" Type="http://schemas.openxmlformats.org/officeDocument/2006/relationships/hyperlink" Target="http://paperpile.com/b/5ytb5f/JP3iu" TargetMode="External"/><Relationship Id="rId571" Type="http://schemas.openxmlformats.org/officeDocument/2006/relationships/hyperlink" Target="http://paperpile.com/b/5ytb5f/pO4Bu" TargetMode="External"/><Relationship Id="rId627" Type="http://schemas.openxmlformats.org/officeDocument/2006/relationships/hyperlink" Target="https://www.nass.usda.gov/Newsroom/2018/10-01-2018.php" TargetMode="External"/><Relationship Id="rId669" Type="http://schemas.openxmlformats.org/officeDocument/2006/relationships/hyperlink" Target="https://www.nps.gov/tps/tax-incentives.htm" TargetMode="External"/><Relationship Id="rId19" Type="http://schemas.openxmlformats.org/officeDocument/2006/relationships/hyperlink" Target="https://www.achp.gov/sites/default/files/regulations/2017-02/regs-rev04.pdf" TargetMode="External"/><Relationship Id="rId224" Type="http://schemas.openxmlformats.org/officeDocument/2006/relationships/hyperlink" Target="http://paperpile.com/b/5ytb5f/aq7MF" TargetMode="External"/><Relationship Id="rId266" Type="http://schemas.openxmlformats.org/officeDocument/2006/relationships/hyperlink" Target="http://paperpile.com/b/5ytb5f/Bg3Oo" TargetMode="External"/><Relationship Id="rId431" Type="http://schemas.openxmlformats.org/officeDocument/2006/relationships/hyperlink" Target="https://www.nrcs.usda.gov/wps/portal/nrcs/detail/pa/soils/health/?cid=nrcseprd1221425" TargetMode="External"/><Relationship Id="rId473" Type="http://schemas.openxmlformats.org/officeDocument/2006/relationships/hyperlink" Target="http://paperpile.com/b/5ytb5f/EhyHK" TargetMode="External"/><Relationship Id="rId529" Type="http://schemas.openxmlformats.org/officeDocument/2006/relationships/hyperlink" Target="http://paperpile.com/b/5ytb5f/YPPDx" TargetMode="External"/><Relationship Id="rId680" Type="http://schemas.openxmlformats.org/officeDocument/2006/relationships/hyperlink" Target="http://paperpile.com/b/5ytb5f/lfEjU" TargetMode="External"/><Relationship Id="rId30" Type="http://schemas.openxmlformats.org/officeDocument/2006/relationships/hyperlink" Target="http://paperpile.com/b/5ytb5f/XAZGq" TargetMode="External"/><Relationship Id="rId126" Type="http://schemas.openxmlformats.org/officeDocument/2006/relationships/hyperlink" Target="http://paperpile.com/b/5ytb5f/I4RHF" TargetMode="External"/><Relationship Id="rId168" Type="http://schemas.openxmlformats.org/officeDocument/2006/relationships/hyperlink" Target="https://www.baltimoresun.com/business/bs-md-maryland-chicken-production-20180508-story.html" TargetMode="External"/><Relationship Id="rId333" Type="http://schemas.openxmlformats.org/officeDocument/2006/relationships/hyperlink" Target="http://paperpile.com/b/5ytb5f/F7Rhe" TargetMode="External"/><Relationship Id="rId540" Type="http://schemas.openxmlformats.org/officeDocument/2006/relationships/hyperlink" Target="http://paperpile.com/b/5ytb5f/mOxfz" TargetMode="External"/><Relationship Id="rId72" Type="http://schemas.openxmlformats.org/officeDocument/2006/relationships/hyperlink" Target="http://paperpile.com/b/5ytb5f/IaJsn" TargetMode="External"/><Relationship Id="rId375" Type="http://schemas.openxmlformats.org/officeDocument/2006/relationships/hyperlink" Target="http://paperpile.com/b/5ytb5f/4aJXo" TargetMode="External"/><Relationship Id="rId582" Type="http://schemas.openxmlformats.org/officeDocument/2006/relationships/hyperlink" Target="https://ag.umass.edu/crops-dairy-livestock-equine/massachusetts-outstanding-dairy-farm-of-year/green-pastures-awards" TargetMode="External"/><Relationship Id="rId638" Type="http://schemas.openxmlformats.org/officeDocument/2006/relationships/hyperlink" Target="http://paperpile.com/b/5ytb5f/QXZhv" TargetMode="External"/><Relationship Id="rId3" Type="http://schemas.openxmlformats.org/officeDocument/2006/relationships/styles" Target="styles.xml"/><Relationship Id="rId235" Type="http://schemas.openxmlformats.org/officeDocument/2006/relationships/hyperlink" Target="http://paperpile.com/b/5ytb5f/fVX41" TargetMode="External"/><Relationship Id="rId277" Type="http://schemas.openxmlformats.org/officeDocument/2006/relationships/hyperlink" Target="http://paperpile.com/b/5ytb5f/SjynJ" TargetMode="External"/><Relationship Id="rId400" Type="http://schemas.openxmlformats.org/officeDocument/2006/relationships/hyperlink" Target="http://paperpile.com/b/5ytb5f/voz8L" TargetMode="External"/><Relationship Id="rId442" Type="http://schemas.openxmlformats.org/officeDocument/2006/relationships/hyperlink" Target="https://mda.maryland.gov/resource_conservation/counties/Cover%20Crop%20Program%20Overview.pdf" TargetMode="External"/><Relationship Id="rId484" Type="http://schemas.openxmlformats.org/officeDocument/2006/relationships/hyperlink" Target="http://paperpile.com/b/5ytb5f/s0HRC" TargetMode="External"/><Relationship Id="rId137" Type="http://schemas.openxmlformats.org/officeDocument/2006/relationships/hyperlink" Target="https://www.chesapeakebay.net/who/partners" TargetMode="External"/><Relationship Id="rId302" Type="http://schemas.openxmlformats.org/officeDocument/2006/relationships/hyperlink" Target="http://www.washingtonpost.com/wp-dyn/articles/A18416-2005Apr1.html" TargetMode="External"/><Relationship Id="rId344" Type="http://schemas.openxmlformats.org/officeDocument/2006/relationships/hyperlink" Target="http://paperpile.com/b/5ytb5f/Ux9g8" TargetMode="External"/><Relationship Id="rId691" Type="http://schemas.openxmlformats.org/officeDocument/2006/relationships/hyperlink" Target="http://paperpile.com/b/5ytb5f/ziZOc" TargetMode="External"/><Relationship Id="rId41" Type="http://schemas.openxmlformats.org/officeDocument/2006/relationships/hyperlink" Target="https://australia.icomos.org/wp-content/uploads/The-Burra-Charter-2013-Adopted-31.10.2013.pdf" TargetMode="External"/><Relationship Id="rId83" Type="http://schemas.openxmlformats.org/officeDocument/2006/relationships/hyperlink" Target="http://paperpile.com/b/5ytb5f/DhFRq" TargetMode="External"/><Relationship Id="rId179" Type="http://schemas.openxmlformats.org/officeDocument/2006/relationships/hyperlink" Target="http://paperpile.com/b/5ytb5f/Lw3hr" TargetMode="External"/><Relationship Id="rId386" Type="http://schemas.openxmlformats.org/officeDocument/2006/relationships/hyperlink" Target="http://paperpile.com/b/5ytb5f/DFA0R" TargetMode="External"/><Relationship Id="rId551" Type="http://schemas.openxmlformats.org/officeDocument/2006/relationships/hyperlink" Target="http://paperpile.com/b/5ytb5f/R7wDP" TargetMode="External"/><Relationship Id="rId593" Type="http://schemas.openxmlformats.org/officeDocument/2006/relationships/hyperlink" Target="http://paperpile.com/b/5ytb5f/Kq6I5" TargetMode="External"/><Relationship Id="rId607" Type="http://schemas.openxmlformats.org/officeDocument/2006/relationships/hyperlink" Target="https://www.nass.usda.gov/Publications/AgCensus/2012/Full_Report/Volume_1,_Chapter_1_State_Level/Maryland/st24_1_001_001.pdf" TargetMode="External"/><Relationship Id="rId649" Type="http://schemas.openxmlformats.org/officeDocument/2006/relationships/hyperlink" Target="http://paperpile.com/b/5ytb5f/WHvTi" TargetMode="External"/><Relationship Id="rId190" Type="http://schemas.openxmlformats.org/officeDocument/2006/relationships/hyperlink" Target="http://paperpile.com/b/5ytb5f/UqIts" TargetMode="External"/><Relationship Id="rId204" Type="http://schemas.openxmlformats.org/officeDocument/2006/relationships/hyperlink" Target="http://paperpile.com/b/5ytb5f/Sd3xI" TargetMode="External"/><Relationship Id="rId246" Type="http://schemas.openxmlformats.org/officeDocument/2006/relationships/hyperlink" Target="http://paperpile.com/b/5ytb5f/RYVv9" TargetMode="External"/><Relationship Id="rId288" Type="http://schemas.openxmlformats.org/officeDocument/2006/relationships/hyperlink" Target="http://paperpile.com/b/5ytb5f/jGlsS" TargetMode="External"/><Relationship Id="rId411" Type="http://schemas.openxmlformats.org/officeDocument/2006/relationships/hyperlink" Target="http://paperpile.com/b/5ytb5f/lU77P" TargetMode="External"/><Relationship Id="rId453" Type="http://schemas.openxmlformats.org/officeDocument/2006/relationships/hyperlink" Target="http://paperpile.com/b/5ytb5f/9t9Mv" TargetMode="External"/><Relationship Id="rId509" Type="http://schemas.openxmlformats.org/officeDocument/2006/relationships/hyperlink" Target="http://paperpile.com/b/5ytb5f/Lmx6Q" TargetMode="External"/><Relationship Id="rId660" Type="http://schemas.openxmlformats.org/officeDocument/2006/relationships/hyperlink" Target="https://www.nps.gov/tps/standards/four-treatments/landscape-guidelines/reconstruct/index.htm" TargetMode="External"/><Relationship Id="rId106" Type="http://schemas.openxmlformats.org/officeDocument/2006/relationships/hyperlink" Target="http://paperpile.com/b/5ytb5f/dWNxc" TargetMode="External"/><Relationship Id="rId313" Type="http://schemas.openxmlformats.org/officeDocument/2006/relationships/hyperlink" Target="http://paperpile.com/b/5ytb5f/WXhsq" TargetMode="External"/><Relationship Id="rId495" Type="http://schemas.openxmlformats.org/officeDocument/2006/relationships/hyperlink" Target="http://paperpile.com/b/5ytb5f/bxUCt" TargetMode="External"/><Relationship Id="rId10" Type="http://schemas.openxmlformats.org/officeDocument/2006/relationships/footer" Target="footer1.xml"/><Relationship Id="rId52" Type="http://schemas.openxmlformats.org/officeDocument/2006/relationships/hyperlink" Target="http://paperpile.com/b/5ytb5f/kbNKu" TargetMode="External"/><Relationship Id="rId94" Type="http://schemas.openxmlformats.org/officeDocument/2006/relationships/hyperlink" Target="http://paperpile.com/b/5ytb5f/4wIhg" TargetMode="External"/><Relationship Id="rId148" Type="http://schemas.openxmlformats.org/officeDocument/2006/relationships/hyperlink" Target="http://paperpile.com/b/5ytb5f/HLYU6" TargetMode="External"/><Relationship Id="rId355" Type="http://schemas.openxmlformats.org/officeDocument/2006/relationships/hyperlink" Target="http://paperpile.com/b/5ytb5f/FopJ7" TargetMode="External"/><Relationship Id="rId397" Type="http://schemas.openxmlformats.org/officeDocument/2006/relationships/hyperlink" Target="http://paperpile.com/b/5ytb5f/KxABh" TargetMode="External"/><Relationship Id="rId520" Type="http://schemas.openxmlformats.org/officeDocument/2006/relationships/hyperlink" Target="http://paperpile.com/b/5ytb5f/PgVAM" TargetMode="External"/><Relationship Id="rId562" Type="http://schemas.openxmlformats.org/officeDocument/2006/relationships/hyperlink" Target="http://paperpile.com/b/5ytb5f/cXlyA" TargetMode="External"/><Relationship Id="rId618" Type="http://schemas.openxmlformats.org/officeDocument/2006/relationships/hyperlink" Target="https://www.nass.usda.gov/Quick_Stats/Ag_Overview/stateOverview.php?state=MARYLAND" TargetMode="External"/><Relationship Id="rId215" Type="http://schemas.openxmlformats.org/officeDocument/2006/relationships/hyperlink" Target="http://paperpile.com/b/5ytb5f/RQBE4" TargetMode="External"/><Relationship Id="rId257" Type="http://schemas.openxmlformats.org/officeDocument/2006/relationships/hyperlink" Target="http://paperpile.com/b/5ytb5f/vblIW" TargetMode="External"/><Relationship Id="rId422" Type="http://schemas.openxmlformats.org/officeDocument/2006/relationships/hyperlink" Target="https://www.gpo.gov/fdsys/pkg/CFR-2012-title36-vol1/pdf/CFR-2012-title36-vol1-part60.pdf" TargetMode="External"/><Relationship Id="rId464" Type="http://schemas.openxmlformats.org/officeDocument/2006/relationships/hyperlink" Target="http://paperpile.com/b/5ytb5f/o99Bp" TargetMode="External"/><Relationship Id="rId299" Type="http://schemas.openxmlformats.org/officeDocument/2006/relationships/hyperlink" Target="http://paperpile.com/b/5ytb5f/1itE7" TargetMode="External"/><Relationship Id="rId63" Type="http://schemas.openxmlformats.org/officeDocument/2006/relationships/hyperlink" Target="http://paperpile.com/b/5ytb5f/kRr78" TargetMode="External"/><Relationship Id="rId159" Type="http://schemas.openxmlformats.org/officeDocument/2006/relationships/hyperlink" Target="http://paperpile.com/b/5ytb5f/CrHnq" TargetMode="External"/><Relationship Id="rId366" Type="http://schemas.openxmlformats.org/officeDocument/2006/relationships/hyperlink" Target="http://paperpile.com/b/5ytb5f/5Ajw6" TargetMode="External"/><Relationship Id="rId573" Type="http://schemas.openxmlformats.org/officeDocument/2006/relationships/hyperlink" Target="http://e360.yale.edu/feature/interview_dan_barber_how_to_make_farm-to-table_a_truly_sustainable_movement/2803/" TargetMode="External"/><Relationship Id="rId226" Type="http://schemas.openxmlformats.org/officeDocument/2006/relationships/hyperlink" Target="http://paperpile.com/b/5ytb5f/aq7MF" TargetMode="External"/><Relationship Id="rId433" Type="http://schemas.openxmlformats.org/officeDocument/2006/relationships/hyperlink" Target="http://paperpile.com/b/5ytb5f/WOtAc" TargetMode="External"/><Relationship Id="rId640" Type="http://schemas.openxmlformats.org/officeDocument/2006/relationships/hyperlink" Target="http://paperpile.com/b/5ytb5f/QXZhv" TargetMode="External"/><Relationship Id="rId74" Type="http://schemas.openxmlformats.org/officeDocument/2006/relationships/hyperlink" Target="http://saskmuseums.org/blog/entry/food-as-a-cultural-meeting-place-sharing-your-intangible-cultural-heritage" TargetMode="External"/><Relationship Id="rId377" Type="http://schemas.openxmlformats.org/officeDocument/2006/relationships/hyperlink" Target="http://paperpile.com/b/5ytb5f/4aJXo" TargetMode="External"/><Relationship Id="rId500" Type="http://schemas.openxmlformats.org/officeDocument/2006/relationships/hyperlink" Target="http://paperpile.com/b/5ytb5f/6PT9r" TargetMode="External"/><Relationship Id="rId584" Type="http://schemas.openxmlformats.org/officeDocument/2006/relationships/hyperlink" Target="http://paperpile.com/b/5ytb5f/xsQ6x" TargetMode="External"/><Relationship Id="rId5" Type="http://schemas.openxmlformats.org/officeDocument/2006/relationships/webSettings" Target="webSettings.xml"/><Relationship Id="rId237" Type="http://schemas.openxmlformats.org/officeDocument/2006/relationships/hyperlink" Target="https://am.gallagher.com/us/in-practice/fencing-out-streams-win-win-for-livestock-conservation" TargetMode="External"/><Relationship Id="rId444" Type="http://schemas.openxmlformats.org/officeDocument/2006/relationships/hyperlink" Target="http://paperpile.com/b/5ytb5f/gxf7N" TargetMode="External"/><Relationship Id="rId651" Type="http://schemas.openxmlformats.org/officeDocument/2006/relationships/hyperlink" Target="https://www.nps.gov/tps/how-to-preserve/briefs.htm" TargetMode="External"/><Relationship Id="rId290" Type="http://schemas.openxmlformats.org/officeDocument/2006/relationships/hyperlink" Target="http://paperpile.com/b/5ytb5f/jGlsS" TargetMode="External"/><Relationship Id="rId304" Type="http://schemas.openxmlformats.org/officeDocument/2006/relationships/hyperlink" Target="http://paperpile.com/b/5ytb5f/6jxLW" TargetMode="External"/><Relationship Id="rId388" Type="http://schemas.openxmlformats.org/officeDocument/2006/relationships/hyperlink" Target="http://paperpile.com/b/5ytb5f/6Xh2K" TargetMode="External"/><Relationship Id="rId511" Type="http://schemas.openxmlformats.org/officeDocument/2006/relationships/hyperlink" Target="http://paperpile.com/b/5ytb5f/Lmx6Q" TargetMode="External"/><Relationship Id="rId609" Type="http://schemas.openxmlformats.org/officeDocument/2006/relationships/hyperlink" Target="http://paperpile.com/b/5ytb5f/dwV5Q" TargetMode="External"/><Relationship Id="rId85" Type="http://schemas.openxmlformats.org/officeDocument/2006/relationships/hyperlink" Target="http://paperpile.com/b/5ytb5f/i0QGr" TargetMode="External"/><Relationship Id="rId150" Type="http://schemas.openxmlformats.org/officeDocument/2006/relationships/hyperlink" Target="http://paperpile.com/b/5ytb5f/HLYU6" TargetMode="External"/><Relationship Id="rId595" Type="http://schemas.openxmlformats.org/officeDocument/2006/relationships/hyperlink" Target="https://mda.maryland.gov/resource_conservation/pages/cover_crop.aspx" TargetMode="External"/><Relationship Id="rId248" Type="http://schemas.openxmlformats.org/officeDocument/2006/relationships/hyperlink" Target="https://foresthistory.org/research-explore/us-forest-service-history/people/chiefs/gifford-pinchot-1865-1946/" TargetMode="External"/><Relationship Id="rId455" Type="http://schemas.openxmlformats.org/officeDocument/2006/relationships/hyperlink" Target="http://paperpile.com/b/5ytb5f/tvoZh" TargetMode="External"/><Relationship Id="rId662" Type="http://schemas.openxmlformats.org/officeDocument/2006/relationships/hyperlink" Target="http://paperpile.com/b/5ytb5f/PFxEI" TargetMode="External"/><Relationship Id="rId12" Type="http://schemas.openxmlformats.org/officeDocument/2006/relationships/header" Target="header3.xml"/><Relationship Id="rId108" Type="http://schemas.openxmlformats.org/officeDocument/2006/relationships/hyperlink" Target="http://paperpile.com/b/5ytb5f/dWNxc" TargetMode="External"/><Relationship Id="rId315" Type="http://schemas.openxmlformats.org/officeDocument/2006/relationships/hyperlink" Target="http://paperpile.com/b/5ytb5f/WXhsq" TargetMode="External"/><Relationship Id="rId522" Type="http://schemas.openxmlformats.org/officeDocument/2006/relationships/hyperlink" Target="http://komonews.com/weather/scotts-weather-blog/satellite-imagery-shows-pollution-runoff-in-carolina-rivers-from-hurricane-florence" TargetMode="External"/><Relationship Id="rId96" Type="http://schemas.openxmlformats.org/officeDocument/2006/relationships/hyperlink" Target="http://paperpile.com/b/5ytb5f/q5Siz" TargetMode="External"/><Relationship Id="rId161" Type="http://schemas.openxmlformats.org/officeDocument/2006/relationships/hyperlink" Target="http://paperpile.com/b/5ytb5f/DMvOi" TargetMode="External"/><Relationship Id="rId399" Type="http://schemas.openxmlformats.org/officeDocument/2006/relationships/hyperlink" Target="https://www.heraldmailmedia.com/news/tri_state/pennsylvania/pennsylvania-is-a-leader-in-preserving-america-s-rich-farmland/article_d71b21c0-c130-5694-8e3f-4027ab9fc719.html" TargetMode="External"/><Relationship Id="rId259" Type="http://schemas.openxmlformats.org/officeDocument/2006/relationships/hyperlink" Target="http://paperpile.com/b/5ytb5f/vwsNo" TargetMode="External"/><Relationship Id="rId466" Type="http://schemas.openxmlformats.org/officeDocument/2006/relationships/hyperlink" Target="http://paperpile.com/b/5ytb5f/5p0YL" TargetMode="External"/><Relationship Id="rId673" Type="http://schemas.openxmlformats.org/officeDocument/2006/relationships/hyperlink" Target="http://paperpile.com/b/5ytb5f/8dvgP" TargetMode="External"/><Relationship Id="rId23" Type="http://schemas.openxmlformats.org/officeDocument/2006/relationships/hyperlink" Target="https://conservationtools.org/guides/47-agricultural-conservation-easement-purchase-program" TargetMode="External"/><Relationship Id="rId119" Type="http://schemas.openxmlformats.org/officeDocument/2006/relationships/hyperlink" Target="http://www.cbf.org/issues/polluted-runoff/rainfall-revelations/" TargetMode="External"/><Relationship Id="rId326" Type="http://schemas.openxmlformats.org/officeDocument/2006/relationships/hyperlink" Target="http://paperpile.com/b/5ytb5f/vpqgG" TargetMode="External"/><Relationship Id="rId533" Type="http://schemas.openxmlformats.org/officeDocument/2006/relationships/hyperlink" Target="http://paperpile.com/b/5ytb5f/ckWsh" TargetMode="External"/><Relationship Id="rId172" Type="http://schemas.openxmlformats.org/officeDocument/2006/relationships/hyperlink" Target="http://paperpile.com/b/5ytb5f/77XXj" TargetMode="External"/><Relationship Id="rId477" Type="http://schemas.openxmlformats.org/officeDocument/2006/relationships/hyperlink" Target="http://paperpile.com/b/5ytb5f/2458R" TargetMode="External"/><Relationship Id="rId600" Type="http://schemas.openxmlformats.org/officeDocument/2006/relationships/hyperlink" Target="http://paperpile.com/b/5ytb5f/dCB6M" TargetMode="External"/><Relationship Id="rId684" Type="http://schemas.openxmlformats.org/officeDocument/2006/relationships/hyperlink" Target="http://paperpile.com/b/5ytb5f/uIWKz" TargetMode="External"/><Relationship Id="rId337" Type="http://schemas.openxmlformats.org/officeDocument/2006/relationships/hyperlink" Target="http://paperpile.com/b/5ytb5f/MuPOF" TargetMode="External"/><Relationship Id="rId34" Type="http://schemas.openxmlformats.org/officeDocument/2006/relationships/hyperlink" Target="http://paperpile.com/b/5ytb5f/h46f0" TargetMode="External"/><Relationship Id="rId544" Type="http://schemas.openxmlformats.org/officeDocument/2006/relationships/hyperlink" Target="http://paperpile.com/b/5ytb5f/Dn5L3" TargetMode="External"/><Relationship Id="rId183" Type="http://schemas.openxmlformats.org/officeDocument/2006/relationships/hyperlink" Target="https://www.sciencedaily.com/releases/2016/09/160916143950.htm" TargetMode="External"/><Relationship Id="rId390" Type="http://schemas.openxmlformats.org/officeDocument/2006/relationships/hyperlink" Target="http://paperpile.com/b/5ytb5f/p5vMh" TargetMode="External"/><Relationship Id="rId404" Type="http://schemas.openxmlformats.org/officeDocument/2006/relationships/hyperlink" Target="http://paperpile.com/b/5ytb5f/8UexS" TargetMode="External"/><Relationship Id="rId611" Type="http://schemas.openxmlformats.org/officeDocument/2006/relationships/hyperlink" Target="http://paperpile.com/b/5ytb5f/dwV5Q" TargetMode="External"/><Relationship Id="rId250" Type="http://schemas.openxmlformats.org/officeDocument/2006/relationships/hyperlink" Target="http://paperpile.com/b/5ytb5f/zAsVv" TargetMode="External"/><Relationship Id="rId488" Type="http://schemas.openxmlformats.org/officeDocument/2006/relationships/hyperlink" Target="http://paperpile.com/b/5ytb5f/v1GJs" TargetMode="External"/><Relationship Id="rId695" Type="http://schemas.openxmlformats.org/officeDocument/2006/relationships/hyperlink" Target="http://paperpile.com/b/5ytb5f/6yfa0" TargetMode="External"/><Relationship Id="rId45" Type="http://schemas.openxmlformats.org/officeDocument/2006/relationships/hyperlink" Target="http://paperpile.com/b/5ytb5f/amMFt" TargetMode="External"/><Relationship Id="rId110" Type="http://schemas.openxmlformats.org/officeDocument/2006/relationships/hyperlink" Target="http://www.cbf.org/about-cbf/" TargetMode="External"/><Relationship Id="rId348" Type="http://schemas.openxmlformats.org/officeDocument/2006/relationships/hyperlink" Target="http://paperpile.com/b/5ytb5f/E9daT" TargetMode="External"/><Relationship Id="rId555" Type="http://schemas.openxmlformats.org/officeDocument/2006/relationships/hyperlink" Target="https://www.susquehannaheritage.org/about-us/our-work/" TargetMode="External"/><Relationship Id="rId194" Type="http://schemas.openxmlformats.org/officeDocument/2006/relationships/hyperlink" Target="http://paperpile.com/b/5ytb5f/BBhUI" TargetMode="External"/><Relationship Id="rId208" Type="http://schemas.openxmlformats.org/officeDocument/2006/relationships/hyperlink" Target="http://paperpile.com/b/5ytb5f/mw6sI" TargetMode="External"/><Relationship Id="rId415" Type="http://schemas.openxmlformats.org/officeDocument/2006/relationships/hyperlink" Target="http://paperpile.com/b/5ytb5f/vMSjZ" TargetMode="External"/><Relationship Id="rId622" Type="http://schemas.openxmlformats.org/officeDocument/2006/relationships/hyperlink" Target="https://www.nass.usda.gov/Quick_Stats/Ag_Overview/stateOverview.php?state=PENNSYLVANIA" TargetMode="External"/><Relationship Id="rId261" Type="http://schemas.openxmlformats.org/officeDocument/2006/relationships/hyperlink" Target="http://paperpile.com/b/5ytb5f/vGGVS" TargetMode="External"/><Relationship Id="rId499" Type="http://schemas.openxmlformats.org/officeDocument/2006/relationships/hyperlink" Target="http://paperpile.com/b/5ytb5f/Of2O4" TargetMode="External"/><Relationship Id="rId56" Type="http://schemas.openxmlformats.org/officeDocument/2006/relationships/hyperlink" Target="http://paperpile.com/b/5ytb5f/kbNKu" TargetMode="External"/><Relationship Id="rId359" Type="http://schemas.openxmlformats.org/officeDocument/2006/relationships/hyperlink" Target="http://paperpile.com/b/5ytb5f/aoHiP" TargetMode="External"/><Relationship Id="rId566" Type="http://schemas.openxmlformats.org/officeDocument/2006/relationships/hyperlink" Target="http://paperpile.com/b/5ytb5f/4bubv" TargetMode="External"/><Relationship Id="rId121" Type="http://schemas.openxmlformats.org/officeDocument/2006/relationships/hyperlink" Target="http://paperpile.com/b/5ytb5f/ALIlI" TargetMode="External"/><Relationship Id="rId219" Type="http://schemas.openxmlformats.org/officeDocument/2006/relationships/hyperlink" Target="https://www.factcheck.org/2017/12/trumps-estate-tax-spin/" TargetMode="External"/><Relationship Id="rId426" Type="http://schemas.openxmlformats.org/officeDocument/2006/relationships/hyperlink" Target="http://paperpile.com/b/5ytb5f/xS16E" TargetMode="External"/><Relationship Id="rId633" Type="http://schemas.openxmlformats.org/officeDocument/2006/relationships/hyperlink" Target="https://www.nps.gov/tps/standards/treatment-guidelines-2017.pdf" TargetMode="External"/><Relationship Id="rId67" Type="http://schemas.openxmlformats.org/officeDocument/2006/relationships/hyperlink" Target="http://paperpile.com/b/5ytb5f/yAfxG" TargetMode="External"/><Relationship Id="rId272" Type="http://schemas.openxmlformats.org/officeDocument/2006/relationships/hyperlink" Target="http://paperpile.com/b/5ytb5f/V8dnI" TargetMode="External"/><Relationship Id="rId577" Type="http://schemas.openxmlformats.org/officeDocument/2006/relationships/hyperlink" Target="http://paperpile.com/b/5ytb5f/ecbPV" TargetMode="External"/><Relationship Id="rId700" Type="http://schemas.openxmlformats.org/officeDocument/2006/relationships/hyperlink" Target="http://paperpile.com/b/5ytb5f/PUULy" TargetMode="External"/><Relationship Id="rId132" Type="http://schemas.openxmlformats.org/officeDocument/2006/relationships/hyperlink" Target="http://paperpile.com/b/5ytb5f/K8ygl" TargetMode="External"/><Relationship Id="rId437" Type="http://schemas.openxmlformats.org/officeDocument/2006/relationships/hyperlink" Target="http://paperpile.com/b/5ytb5f/8jQmu" TargetMode="External"/><Relationship Id="rId644" Type="http://schemas.openxmlformats.org/officeDocument/2006/relationships/hyperlink" Target="http://paperpile.com/b/5ytb5f/WNCUB" TargetMode="External"/><Relationship Id="rId283" Type="http://schemas.openxmlformats.org/officeDocument/2006/relationships/hyperlink" Target="http://paperpile.com/b/5ytb5f/YxegS" TargetMode="External"/><Relationship Id="rId490" Type="http://schemas.openxmlformats.org/officeDocument/2006/relationships/hyperlink" Target="http://paperpile.com/b/5ytb5f/qz7QJ" TargetMode="External"/><Relationship Id="rId504" Type="http://schemas.openxmlformats.org/officeDocument/2006/relationships/hyperlink" Target="http://paperpile.com/b/5ytb5f/Nhh3K" TargetMode="External"/><Relationship Id="rId78" Type="http://schemas.openxmlformats.org/officeDocument/2006/relationships/hyperlink" Target="http://paperpile.com/b/5ytb5f/EEffh" TargetMode="External"/><Relationship Id="rId143" Type="http://schemas.openxmlformats.org/officeDocument/2006/relationships/hyperlink" Target="https://www.chesapeakebay.net/news/blog/turning_over_to_no_till" TargetMode="External"/><Relationship Id="rId350" Type="http://schemas.openxmlformats.org/officeDocument/2006/relationships/hyperlink" Target="http://paperpile.com/b/5ytb5f/E9daT" TargetMode="External"/><Relationship Id="rId588" Type="http://schemas.openxmlformats.org/officeDocument/2006/relationships/hyperlink" Target="https://www.ers.usda.gov/topics/farm-economy/federal-tax-issues/federal-estate-taxes/" TargetMode="External"/><Relationship Id="rId9" Type="http://schemas.openxmlformats.org/officeDocument/2006/relationships/header" Target="header2.xml"/><Relationship Id="rId210" Type="http://schemas.openxmlformats.org/officeDocument/2006/relationships/hyperlink" Target="https://gis.ers.usda.gov/arcgis/rest/directories/arcgisoutput/Printer/ExportWebMapNASS_GPServer/_ags_db7e80dd5dd545b6b7b4f300b5c22a8a.png?ts=1495908132869" TargetMode="External"/><Relationship Id="rId448" Type="http://schemas.openxmlformats.org/officeDocument/2006/relationships/hyperlink" Target="http://paperpile.com/b/5ytb5f/wFVow" TargetMode="External"/><Relationship Id="rId655" Type="http://schemas.openxmlformats.org/officeDocument/2006/relationships/hyperlink" Target="http://paperpile.com/b/5ytb5f/qOMO5" TargetMode="External"/><Relationship Id="rId294" Type="http://schemas.openxmlformats.org/officeDocument/2006/relationships/hyperlink" Target="http://www.citylab.com/politics/2016/09/the-farm-to-table-movement-and-rural-gentrification/500816/" TargetMode="External"/><Relationship Id="rId308" Type="http://schemas.openxmlformats.org/officeDocument/2006/relationships/hyperlink" Target="http://paperpile.com/b/5ytb5f/DLsRe" TargetMode="External"/><Relationship Id="rId515" Type="http://schemas.openxmlformats.org/officeDocument/2006/relationships/hyperlink" Target="https://www.sierraclub.org/sierra/2016-3-may-june/green-life/preserving-african-american-foodways" TargetMode="External"/><Relationship Id="rId89" Type="http://schemas.openxmlformats.org/officeDocument/2006/relationships/hyperlink" Target="http://paperpile.com/b/5ytb5f/kEPoK" TargetMode="External"/><Relationship Id="rId154" Type="http://schemas.openxmlformats.org/officeDocument/2006/relationships/hyperlink" Target="http://paperpile.com/b/5ytb5f/Tmyaq" TargetMode="External"/><Relationship Id="rId361" Type="http://schemas.openxmlformats.org/officeDocument/2006/relationships/hyperlink" Target="http://extension.umd.edu/sites/extension.umd.edu/files/_docs/programs/riparianbuffers/FS774.pdf" TargetMode="External"/><Relationship Id="rId599" Type="http://schemas.openxmlformats.org/officeDocument/2006/relationships/hyperlink" Target="http://paperpile.com/b/5ytb5f/TNYy6" TargetMode="External"/><Relationship Id="rId459" Type="http://schemas.openxmlformats.org/officeDocument/2006/relationships/hyperlink" Target="https://codes.findlaw.com/pa/title-35-ps-health-and-safety/pa-st-sect-35-691-702.html" TargetMode="External"/><Relationship Id="rId666" Type="http://schemas.openxmlformats.org/officeDocument/2006/relationships/hyperlink" Target="https://www.nps.gov/articles/tangible-cultural-heritage.htm" TargetMode="External"/><Relationship Id="rId16" Type="http://schemas.openxmlformats.org/officeDocument/2006/relationships/hyperlink" Target="http://paperpile.com/b/5ytb5f/Dh7iG" TargetMode="External"/><Relationship Id="rId221" Type="http://schemas.openxmlformats.org/officeDocument/2006/relationships/hyperlink" Target="http://paperpile.com/b/5ytb5f/UmNPF" TargetMode="External"/><Relationship Id="rId319" Type="http://schemas.openxmlformats.org/officeDocument/2006/relationships/hyperlink" Target="http://paperpile.com/b/5ytb5f/Kyo5E" TargetMode="External"/><Relationship Id="rId526" Type="http://schemas.openxmlformats.org/officeDocument/2006/relationships/hyperlink" Target="http://paperpile.com/b/5ytb5f/ROaDY" TargetMode="External"/><Relationship Id="rId165" Type="http://schemas.openxmlformats.org/officeDocument/2006/relationships/hyperlink" Target="http://paperpile.com/b/5ytb5f/qF2PQ" TargetMode="External"/><Relationship Id="rId372" Type="http://schemas.openxmlformats.org/officeDocument/2006/relationships/hyperlink" Target="http://paperpile.com/b/5ytb5f/OhS6g" TargetMode="External"/><Relationship Id="rId677" Type="http://schemas.openxmlformats.org/officeDocument/2006/relationships/hyperlink" Target="http://paperpile.com/b/5ytb5f/qNb7A" TargetMode="External"/><Relationship Id="rId232" Type="http://schemas.openxmlformats.org/officeDocument/2006/relationships/hyperlink" Target="http://paperpile.com/b/5ytb5f/nir8S" TargetMode="External"/><Relationship Id="rId27" Type="http://schemas.openxmlformats.org/officeDocument/2006/relationships/hyperlink" Target="http://paperpile.com/b/5ytb5f/82Z8q" TargetMode="External"/><Relationship Id="rId537" Type="http://schemas.openxmlformats.org/officeDocument/2006/relationships/hyperlink" Target="http://paperpile.com/b/5ytb5f/pyRIZ" TargetMode="External"/><Relationship Id="rId80" Type="http://schemas.openxmlformats.org/officeDocument/2006/relationships/hyperlink" Target="https://www.agriculture.pa.gov/Plants_Land_Water/farmland/Documents/Farmland%20Preservation%20Annual%20Report%202017%20complete.pdf" TargetMode="External"/><Relationship Id="rId176" Type="http://schemas.openxmlformats.org/officeDocument/2006/relationships/hyperlink" Target="http://paperpile.com/b/5ytb5f/Lw3hr" TargetMode="External"/><Relationship Id="rId383" Type="http://schemas.openxmlformats.org/officeDocument/2006/relationships/hyperlink" Target="http://paperpile.com/b/5ytb5f/UeKXx" TargetMode="External"/><Relationship Id="rId590" Type="http://schemas.openxmlformats.org/officeDocument/2006/relationships/hyperlink" Target="http://paperpile.com/b/5ytb5f/O94UM" TargetMode="External"/><Relationship Id="rId604" Type="http://schemas.openxmlformats.org/officeDocument/2006/relationships/hyperlink" Target="https://www.nrcs.usda.gov/wps/portal/nrcs/main/va/programs/financial/eqip/" TargetMode="External"/><Relationship Id="rId243" Type="http://schemas.openxmlformats.org/officeDocument/2006/relationships/hyperlink" Target="http://paperpile.com/b/5ytb5f/RYVv9" TargetMode="External"/><Relationship Id="rId450" Type="http://schemas.openxmlformats.org/officeDocument/2006/relationships/hyperlink" Target="http://paperpile.com/b/5ytb5f/wFVow" TargetMode="External"/><Relationship Id="rId688" Type="http://schemas.openxmlformats.org/officeDocument/2006/relationships/hyperlink" Target="http://paperpile.com/b/5ytb5f/jIaFb" TargetMode="External"/><Relationship Id="rId38" Type="http://schemas.openxmlformats.org/officeDocument/2006/relationships/hyperlink" Target="https://4aa2dc132bb150caf1aa-7bb737f4349b47aa42dce777a72d5264.ssl.cf5.rackcdn.com/AFT-Farmers-Guide-for-Protecting-Water-Quality-on-Long-Island.pdf" TargetMode="External"/><Relationship Id="rId103" Type="http://schemas.openxmlformats.org/officeDocument/2006/relationships/hyperlink" Target="http://paperpile.com/b/5ytb5f/0fx7h" TargetMode="External"/><Relationship Id="rId310" Type="http://schemas.openxmlformats.org/officeDocument/2006/relationships/hyperlink" Target="http://paperpile.com/b/5ytb5f/klqCk" TargetMode="External"/><Relationship Id="rId548" Type="http://schemas.openxmlformats.org/officeDocument/2006/relationships/hyperlink" Target="http://paperpile.com/b/5ytb5f/HHUHH" TargetMode="External"/><Relationship Id="rId91" Type="http://schemas.openxmlformats.org/officeDocument/2006/relationships/hyperlink" Target="http://paperpile.com/b/5ytb5f/kEPoK" TargetMode="External"/><Relationship Id="rId187" Type="http://schemas.openxmlformats.org/officeDocument/2006/relationships/hyperlink" Target="http://paperpile.com/b/5ytb5f/SAtHJ" TargetMode="External"/><Relationship Id="rId394" Type="http://schemas.openxmlformats.org/officeDocument/2006/relationships/hyperlink" Target="http://paperpile.com/b/5ytb5f/KxABh" TargetMode="External"/><Relationship Id="rId408" Type="http://schemas.openxmlformats.org/officeDocument/2006/relationships/hyperlink" Target="http://paperpile.com/b/5ytb5f/ywYWY" TargetMode="External"/><Relationship Id="rId615" Type="http://schemas.openxmlformats.org/officeDocument/2006/relationships/hyperlink" Target="http://paperpile.com/b/5ytb5f/ert1f" TargetMode="External"/><Relationship Id="rId254" Type="http://schemas.openxmlformats.org/officeDocument/2006/relationships/hyperlink" Target="http://paperpile.com/b/5ytb5f/zAsVv" TargetMode="External"/><Relationship Id="rId699" Type="http://schemas.openxmlformats.org/officeDocument/2006/relationships/hyperlink" Target="http://paperpile.com/b/5ytb5f/PUULy" TargetMode="External"/><Relationship Id="rId49" Type="http://schemas.openxmlformats.org/officeDocument/2006/relationships/hyperlink" Target="http://paperpile.com/b/5ytb5f/BWD4M" TargetMode="External"/><Relationship Id="rId114" Type="http://schemas.openxmlformats.org/officeDocument/2006/relationships/hyperlink" Target="http://paperpile.com/b/5ytb5f/nw6MS" TargetMode="External"/><Relationship Id="rId461" Type="http://schemas.openxmlformats.org/officeDocument/2006/relationships/hyperlink" Target="http://paperpile.com/b/5ytb5f/BlR1J" TargetMode="External"/><Relationship Id="rId559" Type="http://schemas.openxmlformats.org/officeDocument/2006/relationships/hyperlink" Target="http://paperpile.com/b/5ytb5f/ik2zY" TargetMode="External"/><Relationship Id="rId198" Type="http://schemas.openxmlformats.org/officeDocument/2006/relationships/hyperlink" Target="https://www.eslc.org/land-preservation/" TargetMode="External"/><Relationship Id="rId321" Type="http://schemas.openxmlformats.org/officeDocument/2006/relationships/hyperlink" Target="https://www.irs.gov/charities-non-profits/charitable-organizations/the-restriction-of-political-campaign-intervention-by-section-501c3-tax-exempt-organizations" TargetMode="External"/><Relationship Id="rId419" Type="http://schemas.openxmlformats.org/officeDocument/2006/relationships/hyperlink" Target="https://www.nps.gov/nr/publications/bulletins/pdfs/nrb15.pdf" TargetMode="External"/><Relationship Id="rId626" Type="http://schemas.openxmlformats.org/officeDocument/2006/relationships/hyperlink" Target="https://www.nass.usda.gov/Newsroom/2018/10-01-2018.php" TargetMode="External"/></Relationships>
</file>

<file path=word/_rels/footnotes.xml.rels><?xml version="1.0" encoding="UTF-8" standalone="yes"?>
<Relationships xmlns="http://schemas.openxmlformats.org/package/2006/relationships"><Relationship Id="rId117" Type="http://schemas.openxmlformats.org/officeDocument/2006/relationships/hyperlink" Target="https://paperpile.com/c/5ytb5f/5QlTR+qF2PQ" TargetMode="External"/><Relationship Id="rId299" Type="http://schemas.openxmlformats.org/officeDocument/2006/relationships/hyperlink" Target="https://paperpile.com/c/5ytb5f/ywYWY/?locator=623" TargetMode="External"/><Relationship Id="rId21" Type="http://schemas.openxmlformats.org/officeDocument/2006/relationships/hyperlink" Target="https://paperpile.com/c/5ytb5f/kbNKu/?locator=1" TargetMode="External"/><Relationship Id="rId63" Type="http://schemas.openxmlformats.org/officeDocument/2006/relationships/hyperlink" Target="https://paperpile.com/c/5ytb5f/XAZGq/?locator=35" TargetMode="External"/><Relationship Id="rId159" Type="http://schemas.openxmlformats.org/officeDocument/2006/relationships/hyperlink" Target="https://paperpile.com/c/5ytb5f/9LLg8" TargetMode="External"/><Relationship Id="rId324" Type="http://schemas.openxmlformats.org/officeDocument/2006/relationships/hyperlink" Target="https://paperpile.com/c/5ytb5f/voz8L+OkNoF" TargetMode="External"/><Relationship Id="rId366" Type="http://schemas.openxmlformats.org/officeDocument/2006/relationships/hyperlink" Target="https://paperpile.com/c/5ytb5f/6fS4c+BYpl2" TargetMode="External"/><Relationship Id="rId170" Type="http://schemas.openxmlformats.org/officeDocument/2006/relationships/hyperlink" Target="https://paperpile.com/c/5ytb5f/h46f0+Nhh3K/?locator=,143" TargetMode="External"/><Relationship Id="rId226" Type="http://schemas.openxmlformats.org/officeDocument/2006/relationships/hyperlink" Target="https://paperpile.com/c/5ytb5f/q5Siz" TargetMode="External"/><Relationship Id="rId433" Type="http://schemas.openxmlformats.org/officeDocument/2006/relationships/hyperlink" Target="https://paperpile.com/c/5ytb5f/o99Bp" TargetMode="External"/><Relationship Id="rId268" Type="http://schemas.openxmlformats.org/officeDocument/2006/relationships/hyperlink" Target="https://paperpile.com/c/5ytb5f/p5vMh" TargetMode="External"/><Relationship Id="rId32" Type="http://schemas.openxmlformats.org/officeDocument/2006/relationships/hyperlink" Target="https://paperpile.com/c/5ytb5f/0NmcW+FAG2d" TargetMode="External"/><Relationship Id="rId74" Type="http://schemas.openxmlformats.org/officeDocument/2006/relationships/hyperlink" Target="https://paperpile.com/c/5ytb5f/8dvgP+MuPOF" TargetMode="External"/><Relationship Id="rId128" Type="http://schemas.openxmlformats.org/officeDocument/2006/relationships/hyperlink" Target="https://paperpile.com/c/5ytb5f/dwV5Q" TargetMode="External"/><Relationship Id="rId335" Type="http://schemas.openxmlformats.org/officeDocument/2006/relationships/hyperlink" Target="https://paperpile.com/c/5ytb5f/hvSD2" TargetMode="External"/><Relationship Id="rId377" Type="http://schemas.openxmlformats.org/officeDocument/2006/relationships/hyperlink" Target="https://paperpile.com/c/5ytb5f/4aJXo" TargetMode="External"/><Relationship Id="rId5" Type="http://schemas.openxmlformats.org/officeDocument/2006/relationships/hyperlink" Target="https://paperpile.com/c/5ytb5f/HNFlu/?locator=48" TargetMode="External"/><Relationship Id="rId181" Type="http://schemas.openxmlformats.org/officeDocument/2006/relationships/hyperlink" Target="https://paperpile.com/c/5ytb5f/82Z8q" TargetMode="External"/><Relationship Id="rId237" Type="http://schemas.openxmlformats.org/officeDocument/2006/relationships/hyperlink" Target="https://paperpile.com/c/5ytb5f/ABAmF" TargetMode="External"/><Relationship Id="rId402" Type="http://schemas.openxmlformats.org/officeDocument/2006/relationships/hyperlink" Target="https://paperpile.com/c/5ytb5f/DFA0R/?locator_label=chapter&amp;locator=5" TargetMode="External"/><Relationship Id="rId279" Type="http://schemas.openxmlformats.org/officeDocument/2006/relationships/hyperlink" Target="https://paperpile.com/c/5ytb5f/5Ajw6/?locator=2-3" TargetMode="External"/><Relationship Id="rId444" Type="http://schemas.openxmlformats.org/officeDocument/2006/relationships/hyperlink" Target="https://paperpile.com/c/5ytb5f/wEVu9" TargetMode="External"/><Relationship Id="rId43" Type="http://schemas.openxmlformats.org/officeDocument/2006/relationships/hyperlink" Target="https://paperpile.com/c/5ytb5f/DLsRe/?locator=161" TargetMode="External"/><Relationship Id="rId139" Type="http://schemas.openxmlformats.org/officeDocument/2006/relationships/hyperlink" Target="https://paperpile.com/c/5ytb5f/RYVv9" TargetMode="External"/><Relationship Id="rId290" Type="http://schemas.openxmlformats.org/officeDocument/2006/relationships/hyperlink" Target="https://paperpile.com/c/5ytb5f/vGGVS+bmZ0t/?locator=69," TargetMode="External"/><Relationship Id="rId304" Type="http://schemas.openxmlformats.org/officeDocument/2006/relationships/hyperlink" Target="https://paperpile.com/c/5ytb5f/tvoZh/?locator=191-192" TargetMode="External"/><Relationship Id="rId346" Type="http://schemas.openxmlformats.org/officeDocument/2006/relationships/hyperlink" Target="https://paperpile.com/c/5ytb5f/DNX31" TargetMode="External"/><Relationship Id="rId388" Type="http://schemas.openxmlformats.org/officeDocument/2006/relationships/hyperlink" Target="https://paperpile.com/c/5ytb5f/vpqgG/?locator=4" TargetMode="External"/><Relationship Id="rId85" Type="http://schemas.openxmlformats.org/officeDocument/2006/relationships/hyperlink" Target="https://paperpile.com/c/5ytb5f/6Xh2K" TargetMode="External"/><Relationship Id="rId150" Type="http://schemas.openxmlformats.org/officeDocument/2006/relationships/hyperlink" Target="https://paperpile.com/c/5ytb5f/t4ATT/?locator=299" TargetMode="External"/><Relationship Id="rId192" Type="http://schemas.openxmlformats.org/officeDocument/2006/relationships/hyperlink" Target="https://paperpile.com/c/5ytb5f/nw6MS" TargetMode="External"/><Relationship Id="rId206" Type="http://schemas.openxmlformats.org/officeDocument/2006/relationships/hyperlink" Target="https://paperpile.com/c/5ytb5f/9B0AX" TargetMode="External"/><Relationship Id="rId413" Type="http://schemas.openxmlformats.org/officeDocument/2006/relationships/hyperlink" Target="https://paperpile.com/c/5ytb5f/6PT9r+PUULy+v1GJs+PgVAM" TargetMode="External"/><Relationship Id="rId248" Type="http://schemas.openxmlformats.org/officeDocument/2006/relationships/hyperlink" Target="https://paperpile.com/c/5ytb5f/4wIhg/?locator=39" TargetMode="External"/><Relationship Id="rId455" Type="http://schemas.openxmlformats.org/officeDocument/2006/relationships/hyperlink" Target="https://paperpile.com/c/5ytb5f/tvoZh/?locator=149" TargetMode="External"/><Relationship Id="rId12" Type="http://schemas.openxmlformats.org/officeDocument/2006/relationships/hyperlink" Target="https://paperpile.com/c/5ytb5f/lfEjU/?locator=83" TargetMode="External"/><Relationship Id="rId108" Type="http://schemas.openxmlformats.org/officeDocument/2006/relationships/hyperlink" Target="https://paperpile.com/c/5ytb5f/vwsNo" TargetMode="External"/><Relationship Id="rId315" Type="http://schemas.openxmlformats.org/officeDocument/2006/relationships/hyperlink" Target="https://paperpile.com/c/5ytb5f/0fx7h/?locator=7-8" TargetMode="External"/><Relationship Id="rId357" Type="http://schemas.openxmlformats.org/officeDocument/2006/relationships/hyperlink" Target="https://paperpile.com/c/5ytb5f/EhyHK" TargetMode="External"/><Relationship Id="rId54" Type="http://schemas.openxmlformats.org/officeDocument/2006/relationships/hyperlink" Target="https://paperpile.com/c/5ytb5f/wFVow+ziZOc+CrHnq/?locator=S113,," TargetMode="External"/><Relationship Id="rId96" Type="http://schemas.openxmlformats.org/officeDocument/2006/relationships/hyperlink" Target="https://paperpile.com/c/5ytb5f/2458R/?locator=3" TargetMode="External"/><Relationship Id="rId161" Type="http://schemas.openxmlformats.org/officeDocument/2006/relationships/hyperlink" Target="https://paperpile.com/c/5ytb5f/tvoZh/?locator=122" TargetMode="External"/><Relationship Id="rId217" Type="http://schemas.openxmlformats.org/officeDocument/2006/relationships/hyperlink" Target="https://paperpile.com/c/5ytb5f/tvoZh/?locator=84" TargetMode="External"/><Relationship Id="rId399" Type="http://schemas.openxmlformats.org/officeDocument/2006/relationships/hyperlink" Target="https://paperpile.com/c/5ytb5f/Sd3xI" TargetMode="External"/><Relationship Id="rId259" Type="http://schemas.openxmlformats.org/officeDocument/2006/relationships/hyperlink" Target="https://paperpile.com/c/5ytb5f/IaJsn/?locator_label=chapter&amp;locator=12" TargetMode="External"/><Relationship Id="rId424" Type="http://schemas.openxmlformats.org/officeDocument/2006/relationships/hyperlink" Target="https://paperpile.com/c/5ytb5f/UqIts/?locator=10-12" TargetMode="External"/><Relationship Id="rId23" Type="http://schemas.openxmlformats.org/officeDocument/2006/relationships/hyperlink" Target="https://paperpile.com/c/5ytb5f/kRr78" TargetMode="External"/><Relationship Id="rId119" Type="http://schemas.openxmlformats.org/officeDocument/2006/relationships/hyperlink" Target="https://paperpile.com/c/5ytb5f/ert1f" TargetMode="External"/><Relationship Id="rId270" Type="http://schemas.openxmlformats.org/officeDocument/2006/relationships/hyperlink" Target="https://paperpile.com/c/5ytb5f/Cbs3C+kym0Z" TargetMode="External"/><Relationship Id="rId326" Type="http://schemas.openxmlformats.org/officeDocument/2006/relationships/hyperlink" Target="https://paperpile.com/c/5ytb5f/BqROb+qNb7A" TargetMode="External"/><Relationship Id="rId65" Type="http://schemas.openxmlformats.org/officeDocument/2006/relationships/hyperlink" Target="https://paperpile.com/c/5ytb5f/XAZGq/?locator=35" TargetMode="External"/><Relationship Id="rId130" Type="http://schemas.openxmlformats.org/officeDocument/2006/relationships/hyperlink" Target="https://paperpile.com/c/5ytb5f/yAfxG" TargetMode="External"/><Relationship Id="rId368" Type="http://schemas.openxmlformats.org/officeDocument/2006/relationships/hyperlink" Target="https://paperpile.com/c/5ytb5f/QXZhv" TargetMode="External"/><Relationship Id="rId172" Type="http://schemas.openxmlformats.org/officeDocument/2006/relationships/hyperlink" Target="https://paperpile.com/c/5ytb5f/PQ2bK/?locator=5" TargetMode="External"/><Relationship Id="rId228" Type="http://schemas.openxmlformats.org/officeDocument/2006/relationships/hyperlink" Target="https://paperpile.com/c/5ytb5f/q5Siz" TargetMode="External"/><Relationship Id="rId435" Type="http://schemas.openxmlformats.org/officeDocument/2006/relationships/hyperlink" Target="https://paperpile.com/c/5ytb5f/10m2n/?locator=53" TargetMode="External"/><Relationship Id="rId281" Type="http://schemas.openxmlformats.org/officeDocument/2006/relationships/hyperlink" Target="https://paperpile.com/c/5ytb5f/mOxfz" TargetMode="External"/><Relationship Id="rId337" Type="http://schemas.openxmlformats.org/officeDocument/2006/relationships/hyperlink" Target="https://paperpile.com/c/5ytb5f/Dh7iG" TargetMode="External"/><Relationship Id="rId34" Type="http://schemas.openxmlformats.org/officeDocument/2006/relationships/hyperlink" Target="https://paperpile.com/c/5ytb5f/0NmcW+FAG2d" TargetMode="External"/><Relationship Id="rId76" Type="http://schemas.openxmlformats.org/officeDocument/2006/relationships/hyperlink" Target="https://paperpile.com/c/5ytb5f/8dvgP+MuPOF" TargetMode="External"/><Relationship Id="rId141" Type="http://schemas.openxmlformats.org/officeDocument/2006/relationships/hyperlink" Target="https://paperpile.com/c/5ytb5f/RYVv9" TargetMode="External"/><Relationship Id="rId379" Type="http://schemas.openxmlformats.org/officeDocument/2006/relationships/hyperlink" Target="https://paperpile.com/c/5ytb5f/4aJXo" TargetMode="External"/><Relationship Id="rId7" Type="http://schemas.openxmlformats.org/officeDocument/2006/relationships/hyperlink" Target="https://paperpile.com/c/5ytb5f/FopJ7/?locator=58" TargetMode="External"/><Relationship Id="rId183" Type="http://schemas.openxmlformats.org/officeDocument/2006/relationships/hyperlink" Target="https://paperpile.com/c/5ytb5f/Lmx6Q/?locator=3" TargetMode="External"/><Relationship Id="rId239" Type="http://schemas.openxmlformats.org/officeDocument/2006/relationships/hyperlink" Target="https://paperpile.com/c/5ytb5f/Lw3hr" TargetMode="External"/><Relationship Id="rId390" Type="http://schemas.openxmlformats.org/officeDocument/2006/relationships/hyperlink" Target="https://paperpile.com/c/5ytb5f/MuPOF/?locator=184" TargetMode="External"/><Relationship Id="rId404" Type="http://schemas.openxmlformats.org/officeDocument/2006/relationships/hyperlink" Target="https://paperpile.com/c/5ytb5f/fo3WS/?locator_label=section&amp;locator=1.4" TargetMode="External"/><Relationship Id="rId446" Type="http://schemas.openxmlformats.org/officeDocument/2006/relationships/hyperlink" Target="https://paperpile.com/c/5ytb5f/F7Rhe" TargetMode="External"/><Relationship Id="rId250" Type="http://schemas.openxmlformats.org/officeDocument/2006/relationships/hyperlink" Target="https://paperpile.com/c/5ytb5f/4wIhg/?locator=43-44" TargetMode="External"/><Relationship Id="rId292" Type="http://schemas.openxmlformats.org/officeDocument/2006/relationships/hyperlink" Target="https://paperpile.com/c/5ytb5f/6jxLW/?locator=9" TargetMode="External"/><Relationship Id="rId306" Type="http://schemas.openxmlformats.org/officeDocument/2006/relationships/hyperlink" Target="https://paperpile.com/c/5ytb5f/tvoZh/?locator=191-192" TargetMode="External"/><Relationship Id="rId45" Type="http://schemas.openxmlformats.org/officeDocument/2006/relationships/hyperlink" Target="https://paperpile.com/c/5ytb5f/DLsRe/?locator=162" TargetMode="External"/><Relationship Id="rId87" Type="http://schemas.openxmlformats.org/officeDocument/2006/relationships/hyperlink" Target="https://paperpile.com/c/5ytb5f/6Xh2K" TargetMode="External"/><Relationship Id="rId110" Type="http://schemas.openxmlformats.org/officeDocument/2006/relationships/hyperlink" Target="https://paperpile.com/c/5ytb5f/Nhh3K+qz7QJ/?locator=144," TargetMode="External"/><Relationship Id="rId348" Type="http://schemas.openxmlformats.org/officeDocument/2006/relationships/hyperlink" Target="https://paperpile.com/c/5ytb5f/DNX31" TargetMode="External"/><Relationship Id="rId152" Type="http://schemas.openxmlformats.org/officeDocument/2006/relationships/hyperlink" Target="https://paperpile.com/c/5ytb5f/YxegS+w0Srl/?locator=135," TargetMode="External"/><Relationship Id="rId194" Type="http://schemas.openxmlformats.org/officeDocument/2006/relationships/hyperlink" Target="https://paperpile.com/c/5ytb5f/MVE9G/?locator=136" TargetMode="External"/><Relationship Id="rId208" Type="http://schemas.openxmlformats.org/officeDocument/2006/relationships/hyperlink" Target="https://paperpile.com/c/5ytb5f/Lwa51" TargetMode="External"/><Relationship Id="rId415" Type="http://schemas.openxmlformats.org/officeDocument/2006/relationships/hyperlink" Target="https://paperpile.com/c/5ytb5f/6PT9r+PUULy+v1GJs+PgVAM" TargetMode="External"/><Relationship Id="rId457" Type="http://schemas.openxmlformats.org/officeDocument/2006/relationships/hyperlink" Target="https://paperpile.com/c/5ytb5f/tvoZh/?locator=149" TargetMode="External"/><Relationship Id="rId261" Type="http://schemas.openxmlformats.org/officeDocument/2006/relationships/hyperlink" Target="https://paperpile.com/c/5ytb5f/rJOkh+UmNPF" TargetMode="External"/><Relationship Id="rId14" Type="http://schemas.openxmlformats.org/officeDocument/2006/relationships/hyperlink" Target="https://paperpile.com/c/5ytb5f/bxUCt/?locator=146" TargetMode="External"/><Relationship Id="rId56" Type="http://schemas.openxmlformats.org/officeDocument/2006/relationships/hyperlink" Target="https://paperpile.com/c/5ytb5f/wFVow+ziZOc+CrHnq/?locator=S113,," TargetMode="External"/><Relationship Id="rId317" Type="http://schemas.openxmlformats.org/officeDocument/2006/relationships/hyperlink" Target="https://paperpile.com/c/5ytb5f/EQEXn" TargetMode="External"/><Relationship Id="rId359" Type="http://schemas.openxmlformats.org/officeDocument/2006/relationships/hyperlink" Target="https://paperpile.com/c/5ytb5f/EhyHK" TargetMode="External"/><Relationship Id="rId98" Type="http://schemas.openxmlformats.org/officeDocument/2006/relationships/hyperlink" Target="https://paperpile.com/c/5ytb5f/DhFRq/?locator=453" TargetMode="External"/><Relationship Id="rId121" Type="http://schemas.openxmlformats.org/officeDocument/2006/relationships/hyperlink" Target="https://paperpile.com/c/5ytb5f/ert1f" TargetMode="External"/><Relationship Id="rId163" Type="http://schemas.openxmlformats.org/officeDocument/2006/relationships/hyperlink" Target="https://paperpile.com/c/5ytb5f/mw6sI/?locator=75" TargetMode="External"/><Relationship Id="rId219" Type="http://schemas.openxmlformats.org/officeDocument/2006/relationships/hyperlink" Target="https://paperpile.com/c/5ytb5f/SjynJ/?locator=183" TargetMode="External"/><Relationship Id="rId370" Type="http://schemas.openxmlformats.org/officeDocument/2006/relationships/hyperlink" Target="https://paperpile.com/c/5ytb5f/IDDHF" TargetMode="External"/><Relationship Id="rId426" Type="http://schemas.openxmlformats.org/officeDocument/2006/relationships/hyperlink" Target="https://paperpile.com/c/5ytb5f/vblIW+SiLto/?locator=124," TargetMode="External"/><Relationship Id="rId230" Type="http://schemas.openxmlformats.org/officeDocument/2006/relationships/hyperlink" Target="https://paperpile.com/c/5ytb5f/77XXj" TargetMode="External"/><Relationship Id="rId25" Type="http://schemas.openxmlformats.org/officeDocument/2006/relationships/hyperlink" Target="https://paperpile.com/c/5ytb5f/kRr78" TargetMode="External"/><Relationship Id="rId67" Type="http://schemas.openxmlformats.org/officeDocument/2006/relationships/hyperlink" Target="https://paperpile.com/c/5ytb5f/2YcdF+EEffh/?locator=1179," TargetMode="External"/><Relationship Id="rId272" Type="http://schemas.openxmlformats.org/officeDocument/2006/relationships/hyperlink" Target="https://paperpile.com/c/5ytb5f/UzrUE" TargetMode="External"/><Relationship Id="rId328" Type="http://schemas.openxmlformats.org/officeDocument/2006/relationships/hyperlink" Target="https://paperpile.com/c/5ytb5f/BqROb" TargetMode="External"/><Relationship Id="rId132" Type="http://schemas.openxmlformats.org/officeDocument/2006/relationships/hyperlink" Target="https://paperpile.com/c/5ytb5f/Ux9g8" TargetMode="External"/><Relationship Id="rId174" Type="http://schemas.openxmlformats.org/officeDocument/2006/relationships/hyperlink" Target="https://paperpile.com/c/5ytb5f/PQ2bK/?locator=5" TargetMode="External"/><Relationship Id="rId381" Type="http://schemas.openxmlformats.org/officeDocument/2006/relationships/hyperlink" Target="https://paperpile.com/c/5ytb5f/8dvgP/?locator=1" TargetMode="External"/><Relationship Id="rId241" Type="http://schemas.openxmlformats.org/officeDocument/2006/relationships/hyperlink" Target="https://paperpile.com/c/5ytb5f/Lw3hr" TargetMode="External"/><Relationship Id="rId437" Type="http://schemas.openxmlformats.org/officeDocument/2006/relationships/hyperlink" Target="https://paperpile.com/c/5ytb5f/v1GJs+PgVAM/?locator=209,307" TargetMode="External"/><Relationship Id="rId36" Type="http://schemas.openxmlformats.org/officeDocument/2006/relationships/hyperlink" Target="https://paperpile.com/c/5ytb5f/vpqgG/?locator=4" TargetMode="External"/><Relationship Id="rId283" Type="http://schemas.openxmlformats.org/officeDocument/2006/relationships/hyperlink" Target="https://paperpile.com/c/5ytb5f/lM9XG" TargetMode="External"/><Relationship Id="rId339" Type="http://schemas.openxmlformats.org/officeDocument/2006/relationships/hyperlink" Target="https://paperpile.com/c/5ytb5f/nw6MS/?locator=3" TargetMode="External"/><Relationship Id="rId78" Type="http://schemas.openxmlformats.org/officeDocument/2006/relationships/hyperlink" Target="https://paperpile.com/c/5ytb5f/nVuMx" TargetMode="External"/><Relationship Id="rId101" Type="http://schemas.openxmlformats.org/officeDocument/2006/relationships/hyperlink" Target="https://paperpile.com/c/5ytb5f/BWD4M+3ee4U" TargetMode="External"/><Relationship Id="rId143" Type="http://schemas.openxmlformats.org/officeDocument/2006/relationships/hyperlink" Target="https://paperpile.com/c/5ytb5f/Nhh3K/?locator=143" TargetMode="External"/><Relationship Id="rId185" Type="http://schemas.openxmlformats.org/officeDocument/2006/relationships/hyperlink" Target="https://paperpile.com/c/5ytb5f/idcsa+Lmx6Q" TargetMode="External"/><Relationship Id="rId350" Type="http://schemas.openxmlformats.org/officeDocument/2006/relationships/hyperlink" Target="https://paperpile.com/c/5ytb5f/q9vyJ/?locator=2" TargetMode="External"/><Relationship Id="rId406" Type="http://schemas.openxmlformats.org/officeDocument/2006/relationships/hyperlink" Target="https://paperpile.com/c/5ytb5f/x6gYt" TargetMode="External"/><Relationship Id="rId9" Type="http://schemas.openxmlformats.org/officeDocument/2006/relationships/hyperlink" Target="https://paperpile.com/c/5ytb5f/FopJ7/?locator=58" TargetMode="External"/><Relationship Id="rId210" Type="http://schemas.openxmlformats.org/officeDocument/2006/relationships/hyperlink" Target="https://paperpile.com/c/5ytb5f/WOtAc+oqD40+poD07" TargetMode="External"/><Relationship Id="rId392" Type="http://schemas.openxmlformats.org/officeDocument/2006/relationships/hyperlink" Target="https://paperpile.com/c/5ytb5f/tSTbw/?locator=2" TargetMode="External"/><Relationship Id="rId448" Type="http://schemas.openxmlformats.org/officeDocument/2006/relationships/hyperlink" Target="https://paperpile.com/c/5ytb5f/HLYU6+F7Rhe" TargetMode="External"/><Relationship Id="rId252" Type="http://schemas.openxmlformats.org/officeDocument/2006/relationships/hyperlink" Target="https://paperpile.com/c/5ytb5f/ROaDY/?locator=88" TargetMode="External"/><Relationship Id="rId294" Type="http://schemas.openxmlformats.org/officeDocument/2006/relationships/hyperlink" Target="https://paperpile.com/c/5ytb5f/04iix" TargetMode="External"/><Relationship Id="rId308" Type="http://schemas.openxmlformats.org/officeDocument/2006/relationships/hyperlink" Target="https://paperpile.com/c/5ytb5f/0fx7h+tvoZh/?locator=3,166-167" TargetMode="External"/><Relationship Id="rId47" Type="http://schemas.openxmlformats.org/officeDocument/2006/relationships/hyperlink" Target="https://paperpile.com/c/5ytb5f/uZwZz/?locator=10-11" TargetMode="External"/><Relationship Id="rId89" Type="http://schemas.openxmlformats.org/officeDocument/2006/relationships/hyperlink" Target="https://paperpile.com/c/5ytb5f/4gPLk+FopJ7/?locator=XII-XVI,1&amp;locator_label=page,chapter" TargetMode="External"/><Relationship Id="rId112" Type="http://schemas.openxmlformats.org/officeDocument/2006/relationships/hyperlink" Target="https://paperpile.com/c/5ytb5f/Nhh3K+qz7QJ/?locator=144," TargetMode="External"/><Relationship Id="rId154" Type="http://schemas.openxmlformats.org/officeDocument/2006/relationships/hyperlink" Target="https://paperpile.com/c/5ytb5f/YxegS+w0Srl/?locator=135," TargetMode="External"/><Relationship Id="rId361" Type="http://schemas.openxmlformats.org/officeDocument/2006/relationships/hyperlink" Target="https://paperpile.com/c/5ytb5f/Dn5L3+9sneu/?locator=,335" TargetMode="External"/><Relationship Id="rId196" Type="http://schemas.openxmlformats.org/officeDocument/2006/relationships/hyperlink" Target="https://paperpile.com/c/5ytb5f/MVE9G/?locator=136" TargetMode="External"/><Relationship Id="rId417" Type="http://schemas.openxmlformats.org/officeDocument/2006/relationships/hyperlink" Target="https://paperpile.com/c/5ytb5f/6PT9r+PUULy+v1GJs+PgVAM" TargetMode="External"/><Relationship Id="rId16" Type="http://schemas.openxmlformats.org/officeDocument/2006/relationships/hyperlink" Target="https://paperpile.com/c/5ytb5f/0DruD" TargetMode="External"/><Relationship Id="rId221" Type="http://schemas.openxmlformats.org/officeDocument/2006/relationships/hyperlink" Target="https://paperpile.com/c/5ytb5f/SjynJ/?locator=183" TargetMode="External"/><Relationship Id="rId263" Type="http://schemas.openxmlformats.org/officeDocument/2006/relationships/hyperlink" Target="https://paperpile.com/c/5ytb5f/8UexS/?locator=309-310" TargetMode="External"/><Relationship Id="rId319" Type="http://schemas.openxmlformats.org/officeDocument/2006/relationships/hyperlink" Target="https://paperpile.com/c/5ytb5f/0fx7h+Lp37A+fVX41+nir8S/?locator=14-15,,," TargetMode="External"/><Relationship Id="rId58" Type="http://schemas.openxmlformats.org/officeDocument/2006/relationships/hyperlink" Target="https://paperpile.com/c/5ytb5f/DLsRe/?locator=163" TargetMode="External"/><Relationship Id="rId123" Type="http://schemas.openxmlformats.org/officeDocument/2006/relationships/hyperlink" Target="https://paperpile.com/c/5ytb5f/xsQ6x" TargetMode="External"/><Relationship Id="rId330" Type="http://schemas.openxmlformats.org/officeDocument/2006/relationships/hyperlink" Target="https://paperpile.com/c/5ytb5f/qNb7A" TargetMode="External"/><Relationship Id="rId165" Type="http://schemas.openxmlformats.org/officeDocument/2006/relationships/hyperlink" Target="https://paperpile.com/c/5ytb5f/mw6sI/?locator=75" TargetMode="External"/><Relationship Id="rId372" Type="http://schemas.openxmlformats.org/officeDocument/2006/relationships/hyperlink" Target="https://paperpile.com/c/5ytb5f/lU77P" TargetMode="External"/><Relationship Id="rId428" Type="http://schemas.openxmlformats.org/officeDocument/2006/relationships/hyperlink" Target="https://paperpile.com/c/5ytb5f/vblIW+SiLto/?locator=124," TargetMode="External"/><Relationship Id="rId232" Type="http://schemas.openxmlformats.org/officeDocument/2006/relationships/hyperlink" Target="https://paperpile.com/c/5ytb5f/KxABh" TargetMode="External"/><Relationship Id="rId274" Type="http://schemas.openxmlformats.org/officeDocument/2006/relationships/hyperlink" Target="https://paperpile.com/c/5ytb5f/N5k2C" TargetMode="External"/><Relationship Id="rId27" Type="http://schemas.openxmlformats.org/officeDocument/2006/relationships/hyperlink" Target="https://paperpile.com/c/5ytb5f/BBhUI+pyRIZ" TargetMode="External"/><Relationship Id="rId69" Type="http://schemas.openxmlformats.org/officeDocument/2006/relationships/hyperlink" Target="https://paperpile.com/c/5ytb5f/2YcdF+EEffh/?locator=1179," TargetMode="External"/><Relationship Id="rId134" Type="http://schemas.openxmlformats.org/officeDocument/2006/relationships/hyperlink" Target="https://paperpile.com/c/5ytb5f/Ux9g8" TargetMode="External"/><Relationship Id="rId80" Type="http://schemas.openxmlformats.org/officeDocument/2006/relationships/hyperlink" Target="https://paperpile.com/c/5ytb5f/ONLrE/?locator=8349" TargetMode="External"/><Relationship Id="rId176" Type="http://schemas.openxmlformats.org/officeDocument/2006/relationships/hyperlink" Target="https://paperpile.com/c/5ytb5f/uIWKz+8FxQv/?locator=1044," TargetMode="External"/><Relationship Id="rId341" Type="http://schemas.openxmlformats.org/officeDocument/2006/relationships/hyperlink" Target="https://paperpile.com/c/5ytb5f/XFhBN/?locator=3" TargetMode="External"/><Relationship Id="rId383" Type="http://schemas.openxmlformats.org/officeDocument/2006/relationships/hyperlink" Target="https://paperpile.com/c/5ytb5f/8dvgP/?locator=1" TargetMode="External"/><Relationship Id="rId439" Type="http://schemas.openxmlformats.org/officeDocument/2006/relationships/hyperlink" Target="https://paperpile.com/c/5ytb5f/tvoZh/?locator=168-172" TargetMode="External"/><Relationship Id="rId201" Type="http://schemas.openxmlformats.org/officeDocument/2006/relationships/hyperlink" Target="https://paperpile.com/c/5ytb5f/0UBLw" TargetMode="External"/><Relationship Id="rId243" Type="http://schemas.openxmlformats.org/officeDocument/2006/relationships/hyperlink" Target="https://paperpile.com/c/5ytb5f/GaKag+MJIxv/?locator=3," TargetMode="External"/><Relationship Id="rId285" Type="http://schemas.openxmlformats.org/officeDocument/2006/relationships/hyperlink" Target="https://paperpile.com/c/5ytb5f/bmZ0t" TargetMode="External"/><Relationship Id="rId450" Type="http://schemas.openxmlformats.org/officeDocument/2006/relationships/hyperlink" Target="https://paperpile.com/c/5ytb5f/HLYU6" TargetMode="External"/><Relationship Id="rId38" Type="http://schemas.openxmlformats.org/officeDocument/2006/relationships/hyperlink" Target="https://paperpile.com/c/5ytb5f/V8dnI" TargetMode="External"/><Relationship Id="rId103" Type="http://schemas.openxmlformats.org/officeDocument/2006/relationships/hyperlink" Target="https://paperpile.com/c/5ytb5f/BWD4M+3ee4U" TargetMode="External"/><Relationship Id="rId310" Type="http://schemas.openxmlformats.org/officeDocument/2006/relationships/hyperlink" Target="https://paperpile.com/c/5ytb5f/0fx7h+tvoZh/?locator=3,166-167" TargetMode="External"/><Relationship Id="rId91" Type="http://schemas.openxmlformats.org/officeDocument/2006/relationships/hyperlink" Target="https://paperpile.com/c/5ytb5f/4gPLk+FopJ7/?locator=XII-XVI,1&amp;locator_label=page,chapter" TargetMode="External"/><Relationship Id="rId145" Type="http://schemas.openxmlformats.org/officeDocument/2006/relationships/hyperlink" Target="https://paperpile.com/c/5ytb5f/HHUHH/?locator=1138" TargetMode="External"/><Relationship Id="rId187" Type="http://schemas.openxmlformats.org/officeDocument/2006/relationships/hyperlink" Target="https://paperpile.com/c/5ytb5f/Lmx6Q/?locator=3" TargetMode="External"/><Relationship Id="rId352" Type="http://schemas.openxmlformats.org/officeDocument/2006/relationships/hyperlink" Target="https://paperpile.com/c/5ytb5f/8UexS/?locator=308" TargetMode="External"/><Relationship Id="rId394" Type="http://schemas.openxmlformats.org/officeDocument/2006/relationships/hyperlink" Target="https://paperpile.com/c/5ytb5f/tSTbw/?locator=2" TargetMode="External"/><Relationship Id="rId408" Type="http://schemas.openxmlformats.org/officeDocument/2006/relationships/hyperlink" Target="https://paperpile.com/c/5ytb5f/fo3WS/?locator_label=section&amp;locator=14" TargetMode="External"/><Relationship Id="rId212" Type="http://schemas.openxmlformats.org/officeDocument/2006/relationships/hyperlink" Target="https://paperpile.com/c/5ytb5f/kEPoK+jGlsS+8jQmu+3rA81" TargetMode="External"/><Relationship Id="rId254" Type="http://schemas.openxmlformats.org/officeDocument/2006/relationships/hyperlink" Target="https://paperpile.com/c/5ytb5f/ROaDY/?locator=88" TargetMode="External"/><Relationship Id="rId49" Type="http://schemas.openxmlformats.org/officeDocument/2006/relationships/hyperlink" Target="https://paperpile.com/c/5ytb5f/uZwZz/?locator=10-11" TargetMode="External"/><Relationship Id="rId114" Type="http://schemas.openxmlformats.org/officeDocument/2006/relationships/hyperlink" Target="https://paperpile.com/c/5ytb5f/Nhh3K+qz7QJ/?locator=144," TargetMode="External"/><Relationship Id="rId296" Type="http://schemas.openxmlformats.org/officeDocument/2006/relationships/hyperlink" Target="https://paperpile.com/c/5ytb5f/Twjjz" TargetMode="External"/><Relationship Id="rId60" Type="http://schemas.openxmlformats.org/officeDocument/2006/relationships/hyperlink" Target="https://paperpile.com/c/5ytb5f/DLsRe/?locator=164" TargetMode="External"/><Relationship Id="rId156" Type="http://schemas.openxmlformats.org/officeDocument/2006/relationships/hyperlink" Target="https://paperpile.com/c/5ytb5f/9LLg8" TargetMode="External"/><Relationship Id="rId198" Type="http://schemas.openxmlformats.org/officeDocument/2006/relationships/hyperlink" Target="https://paperpile.com/c/5ytb5f/hqdSO" TargetMode="External"/><Relationship Id="rId321" Type="http://schemas.openxmlformats.org/officeDocument/2006/relationships/hyperlink" Target="https://paperpile.com/c/5ytb5f/FFiVG" TargetMode="External"/><Relationship Id="rId363" Type="http://schemas.openxmlformats.org/officeDocument/2006/relationships/hyperlink" Target="https://paperpile.com/c/5ytb5f/nNjsU/?locator=12-13" TargetMode="External"/><Relationship Id="rId419" Type="http://schemas.openxmlformats.org/officeDocument/2006/relationships/hyperlink" Target="https://paperpile.com/c/5ytb5f/6PT9r+PUULy+v1GJs+PgVAM" TargetMode="External"/><Relationship Id="rId223" Type="http://schemas.openxmlformats.org/officeDocument/2006/relationships/hyperlink" Target="https://paperpile.com/c/5ytb5f/1itE7" TargetMode="External"/><Relationship Id="rId430" Type="http://schemas.openxmlformats.org/officeDocument/2006/relationships/hyperlink" Target="https://paperpile.com/c/5ytb5f/v1GJs/?locator=207" TargetMode="External"/><Relationship Id="rId18" Type="http://schemas.openxmlformats.org/officeDocument/2006/relationships/hyperlink" Target="https://paperpile.com/c/5ytb5f/O94UM+GIN3Y/?locator=7," TargetMode="External"/><Relationship Id="rId265" Type="http://schemas.openxmlformats.org/officeDocument/2006/relationships/hyperlink" Target="https://paperpile.com/c/5ytb5f/ZWwhn" TargetMode="External"/><Relationship Id="rId125" Type="http://schemas.openxmlformats.org/officeDocument/2006/relationships/hyperlink" Target="https://paperpile.com/c/5ytb5f/WoQEy" TargetMode="External"/><Relationship Id="rId167" Type="http://schemas.openxmlformats.org/officeDocument/2006/relationships/hyperlink" Target="https://paperpile.com/c/5ytb5f/R7wDP/?locator=1220" TargetMode="External"/><Relationship Id="rId332" Type="http://schemas.openxmlformats.org/officeDocument/2006/relationships/hyperlink" Target="https://paperpile.com/c/5ytb5f/etSgN" TargetMode="External"/><Relationship Id="rId374" Type="http://schemas.openxmlformats.org/officeDocument/2006/relationships/hyperlink" Target="https://paperpile.com/c/5ytb5f/W8rs3/?locator=170-171" TargetMode="External"/><Relationship Id="rId71" Type="http://schemas.openxmlformats.org/officeDocument/2006/relationships/hyperlink" Target="https://paperpile.com/c/5ytb5f/DLsRe/?locator=160" TargetMode="External"/><Relationship Id="rId234" Type="http://schemas.openxmlformats.org/officeDocument/2006/relationships/hyperlink" Target="https://paperpile.com/c/5ytb5f/KxABh" TargetMode="External"/><Relationship Id="rId2" Type="http://schemas.openxmlformats.org/officeDocument/2006/relationships/hyperlink" Target="https://paperpile.com/c/5ytb5f/gF8XW" TargetMode="External"/><Relationship Id="rId29" Type="http://schemas.openxmlformats.org/officeDocument/2006/relationships/hyperlink" Target="https://paperpile.com/c/5ytb5f/BBhUI+pyRIZ" TargetMode="External"/><Relationship Id="rId255" Type="http://schemas.openxmlformats.org/officeDocument/2006/relationships/hyperlink" Target="https://paperpile.com/c/5ytb5f/wCTQX" TargetMode="External"/><Relationship Id="rId276" Type="http://schemas.openxmlformats.org/officeDocument/2006/relationships/hyperlink" Target="https://paperpile.com/c/5ytb5f/mw6sI/?locator_label=chapter&amp;locator=1" TargetMode="External"/><Relationship Id="rId297" Type="http://schemas.openxmlformats.org/officeDocument/2006/relationships/hyperlink" Target="https://paperpile.com/c/5ytb5f/ywYWY/?locator=623" TargetMode="External"/><Relationship Id="rId441" Type="http://schemas.openxmlformats.org/officeDocument/2006/relationships/hyperlink" Target="https://paperpile.com/c/5ytb5f/tvoZh/?locator=168-172" TargetMode="External"/><Relationship Id="rId40" Type="http://schemas.openxmlformats.org/officeDocument/2006/relationships/hyperlink" Target="https://paperpile.com/c/5ytb5f/zAsVv/?locator=3" TargetMode="External"/><Relationship Id="rId115" Type="http://schemas.openxmlformats.org/officeDocument/2006/relationships/hyperlink" Target="https://paperpile.com/c/5ytb5f/Nhh3K/?locator=144" TargetMode="External"/><Relationship Id="rId136" Type="http://schemas.openxmlformats.org/officeDocument/2006/relationships/hyperlink" Target="https://paperpile.com/c/5ytb5f/DMvOi" TargetMode="External"/><Relationship Id="rId157" Type="http://schemas.openxmlformats.org/officeDocument/2006/relationships/hyperlink" Target="https://paperpile.com/c/5ytb5f/9LLg8" TargetMode="External"/><Relationship Id="rId178" Type="http://schemas.openxmlformats.org/officeDocument/2006/relationships/hyperlink" Target="https://paperpile.com/c/5ytb5f/uIWKz+8FxQv/?locator=1044," TargetMode="External"/><Relationship Id="rId301" Type="http://schemas.openxmlformats.org/officeDocument/2006/relationships/hyperlink" Target="https://paperpile.com/c/5ytb5f/ZgrVJ" TargetMode="External"/><Relationship Id="rId322" Type="http://schemas.openxmlformats.org/officeDocument/2006/relationships/hyperlink" Target="https://paperpile.com/c/5ytb5f/Kq6I5" TargetMode="External"/><Relationship Id="rId343" Type="http://schemas.openxmlformats.org/officeDocument/2006/relationships/hyperlink" Target="https://paperpile.com/c/5ytb5f/YSjlZ/?locator=335" TargetMode="External"/><Relationship Id="rId364" Type="http://schemas.openxmlformats.org/officeDocument/2006/relationships/hyperlink" Target="https://paperpile.com/c/5ytb5f/QbSVA+hXjKK" TargetMode="External"/><Relationship Id="rId61" Type="http://schemas.openxmlformats.org/officeDocument/2006/relationships/hyperlink" Target="https://paperpile.com/c/5ytb5f/DLsRe/?locator=165" TargetMode="External"/><Relationship Id="rId82" Type="http://schemas.openxmlformats.org/officeDocument/2006/relationships/hyperlink" Target="https://paperpile.com/c/5ytb5f/ONLrE/?locator=8349" TargetMode="External"/><Relationship Id="rId199" Type="http://schemas.openxmlformats.org/officeDocument/2006/relationships/hyperlink" Target="https://paperpile.com/c/5ytb5f/vcKFL" TargetMode="External"/><Relationship Id="rId203" Type="http://schemas.openxmlformats.org/officeDocument/2006/relationships/hyperlink" Target="https://paperpile.com/c/5ytb5f/fEBl6" TargetMode="External"/><Relationship Id="rId385" Type="http://schemas.openxmlformats.org/officeDocument/2006/relationships/hyperlink" Target="https://paperpile.com/c/5ytb5f/MuPOF/?locator=184" TargetMode="External"/><Relationship Id="rId19" Type="http://schemas.openxmlformats.org/officeDocument/2006/relationships/hyperlink" Target="https://paperpile.com/c/5ytb5f/O94UM+GIN3Y/?locator=7," TargetMode="External"/><Relationship Id="rId224" Type="http://schemas.openxmlformats.org/officeDocument/2006/relationships/hyperlink" Target="https://paperpile.com/c/5ytb5f/1itE7" TargetMode="External"/><Relationship Id="rId245" Type="http://schemas.openxmlformats.org/officeDocument/2006/relationships/hyperlink" Target="https://paperpile.com/c/5ytb5f/GaKag+MJIxv/?locator=3," TargetMode="External"/><Relationship Id="rId266" Type="http://schemas.openxmlformats.org/officeDocument/2006/relationships/hyperlink" Target="https://paperpile.com/c/5ytb5f/TDk1H" TargetMode="External"/><Relationship Id="rId287" Type="http://schemas.openxmlformats.org/officeDocument/2006/relationships/hyperlink" Target="https://paperpile.com/c/5ytb5f/i0QGr" TargetMode="External"/><Relationship Id="rId410" Type="http://schemas.openxmlformats.org/officeDocument/2006/relationships/hyperlink" Target="https://paperpile.com/c/5ytb5f/fo3WS/?locator_label=section&amp;locator=17" TargetMode="External"/><Relationship Id="rId431" Type="http://schemas.openxmlformats.org/officeDocument/2006/relationships/hyperlink" Target="https://paperpile.com/c/5ytb5f/o99Bp" TargetMode="External"/><Relationship Id="rId452" Type="http://schemas.openxmlformats.org/officeDocument/2006/relationships/hyperlink" Target="https://paperpile.com/c/5ytb5f/UeKXx+ckWsh" TargetMode="External"/><Relationship Id="rId30" Type="http://schemas.openxmlformats.org/officeDocument/2006/relationships/hyperlink" Target="https://paperpile.com/c/5ytb5f/BBhUI+pyRIZ" TargetMode="External"/><Relationship Id="rId105" Type="http://schemas.openxmlformats.org/officeDocument/2006/relationships/hyperlink" Target="https://paperpile.com/c/5ytb5f/BWD4M+3ee4U" TargetMode="External"/><Relationship Id="rId126" Type="http://schemas.openxmlformats.org/officeDocument/2006/relationships/hyperlink" Target="https://paperpile.com/c/5ytb5f/WoQEy" TargetMode="External"/><Relationship Id="rId147" Type="http://schemas.openxmlformats.org/officeDocument/2006/relationships/hyperlink" Target="https://paperpile.com/c/5ytb5f/HHUHH/?locator=1138" TargetMode="External"/><Relationship Id="rId168" Type="http://schemas.openxmlformats.org/officeDocument/2006/relationships/hyperlink" Target="https://paperpile.com/c/5ytb5f/R7wDP/?locator=1220" TargetMode="External"/><Relationship Id="rId312" Type="http://schemas.openxmlformats.org/officeDocument/2006/relationships/hyperlink" Target="https://paperpile.com/c/5ytb5f/0fx7h+tvoZh/?locator=7,166" TargetMode="External"/><Relationship Id="rId333" Type="http://schemas.openxmlformats.org/officeDocument/2006/relationships/hyperlink" Target="https://paperpile.com/c/5ytb5f/hvSD2" TargetMode="External"/><Relationship Id="rId354" Type="http://schemas.openxmlformats.org/officeDocument/2006/relationships/hyperlink" Target="https://paperpile.com/c/5ytb5f/PFxEI" TargetMode="External"/><Relationship Id="rId51" Type="http://schemas.openxmlformats.org/officeDocument/2006/relationships/hyperlink" Target="https://paperpile.com/c/5ytb5f/wFVow+ziZOc+CrHnq/?locator=S113,," TargetMode="External"/><Relationship Id="rId72" Type="http://schemas.openxmlformats.org/officeDocument/2006/relationships/hyperlink" Target="https://paperpile.com/c/5ytb5f/vpqgG" TargetMode="External"/><Relationship Id="rId93" Type="http://schemas.openxmlformats.org/officeDocument/2006/relationships/hyperlink" Target="https://paperpile.com/c/5ytb5f/I4RHF" TargetMode="External"/><Relationship Id="rId189" Type="http://schemas.openxmlformats.org/officeDocument/2006/relationships/hyperlink" Target="https://paperpile.com/c/5ytb5f/oCuAR/?locator=23-24" TargetMode="External"/><Relationship Id="rId375" Type="http://schemas.openxmlformats.org/officeDocument/2006/relationships/hyperlink" Target="https://paperpile.com/c/5ytb5f/W8rs3/?locator=170-171" TargetMode="External"/><Relationship Id="rId396" Type="http://schemas.openxmlformats.org/officeDocument/2006/relationships/hyperlink" Target="https://paperpile.com/c/5ytb5f/nqyJx" TargetMode="External"/><Relationship Id="rId3" Type="http://schemas.openxmlformats.org/officeDocument/2006/relationships/hyperlink" Target="https://paperpile.com/c/5ytb5f/HNFlu/?locator=48" TargetMode="External"/><Relationship Id="rId214" Type="http://schemas.openxmlformats.org/officeDocument/2006/relationships/hyperlink" Target="https://paperpile.com/c/5ytb5f/kEPoK+jGlsS+8jQmu+3rA81" TargetMode="External"/><Relationship Id="rId235" Type="http://schemas.openxmlformats.org/officeDocument/2006/relationships/hyperlink" Target="https://paperpile.com/c/5ytb5f/zAsVv" TargetMode="External"/><Relationship Id="rId256" Type="http://schemas.openxmlformats.org/officeDocument/2006/relationships/hyperlink" Target="https://paperpile.com/c/5ytb5f/Y8kOE" TargetMode="External"/><Relationship Id="rId277" Type="http://schemas.openxmlformats.org/officeDocument/2006/relationships/hyperlink" Target="https://paperpile.com/c/5ytb5f/mw6sI/?locator_label=chapter&amp;locator=1" TargetMode="External"/><Relationship Id="rId298" Type="http://schemas.openxmlformats.org/officeDocument/2006/relationships/hyperlink" Target="https://paperpile.com/c/5ytb5f/ywYWY/?locator=623" TargetMode="External"/><Relationship Id="rId400" Type="http://schemas.openxmlformats.org/officeDocument/2006/relationships/hyperlink" Target="https://paperpile.com/c/5ytb5f/DFA0R/?locator_label=chapter&amp;locator=5" TargetMode="External"/><Relationship Id="rId421" Type="http://schemas.openxmlformats.org/officeDocument/2006/relationships/hyperlink" Target="https://paperpile.com/c/5ytb5f/UqIts/?locator=3" TargetMode="External"/><Relationship Id="rId442" Type="http://schemas.openxmlformats.org/officeDocument/2006/relationships/hyperlink" Target="https://paperpile.com/c/5ytb5f/6PT9r" TargetMode="External"/><Relationship Id="rId116" Type="http://schemas.openxmlformats.org/officeDocument/2006/relationships/hyperlink" Target="https://paperpile.com/c/5ytb5f/5QlTR+qF2PQ" TargetMode="External"/><Relationship Id="rId137" Type="http://schemas.openxmlformats.org/officeDocument/2006/relationships/hyperlink" Target="https://paperpile.com/c/5ytb5f/DMvOi" TargetMode="External"/><Relationship Id="rId158" Type="http://schemas.openxmlformats.org/officeDocument/2006/relationships/hyperlink" Target="https://paperpile.com/c/5ytb5f/9LLg8" TargetMode="External"/><Relationship Id="rId302" Type="http://schemas.openxmlformats.org/officeDocument/2006/relationships/hyperlink" Target="https://paperpile.com/c/5ytb5f/ZgrVJ" TargetMode="External"/><Relationship Id="rId323" Type="http://schemas.openxmlformats.org/officeDocument/2006/relationships/hyperlink" Target="https://paperpile.com/c/5ytb5f/aq7MF" TargetMode="External"/><Relationship Id="rId344" Type="http://schemas.openxmlformats.org/officeDocument/2006/relationships/hyperlink" Target="https://paperpile.com/c/5ytb5f/9t9Mv" TargetMode="External"/><Relationship Id="rId20" Type="http://schemas.openxmlformats.org/officeDocument/2006/relationships/hyperlink" Target="https://paperpile.com/c/5ytb5f/kbNKu/?locator=1" TargetMode="External"/><Relationship Id="rId41" Type="http://schemas.openxmlformats.org/officeDocument/2006/relationships/hyperlink" Target="https://paperpile.com/c/5ytb5f/zAsVv/?locator=3" TargetMode="External"/><Relationship Id="rId62" Type="http://schemas.openxmlformats.org/officeDocument/2006/relationships/hyperlink" Target="https://paperpile.com/c/5ytb5f/DLsRe/?locator=166" TargetMode="External"/><Relationship Id="rId83" Type="http://schemas.openxmlformats.org/officeDocument/2006/relationships/hyperlink" Target="https://paperpile.com/c/5ytb5f/ONLrE/?locator=8350" TargetMode="External"/><Relationship Id="rId179" Type="http://schemas.openxmlformats.org/officeDocument/2006/relationships/hyperlink" Target="https://paperpile.com/c/5ytb5f/uIWKz+8FxQv/?locator=1044," TargetMode="External"/><Relationship Id="rId365" Type="http://schemas.openxmlformats.org/officeDocument/2006/relationships/hyperlink" Target="https://paperpile.com/c/5ytb5f/q9vyJ" TargetMode="External"/><Relationship Id="rId386" Type="http://schemas.openxmlformats.org/officeDocument/2006/relationships/hyperlink" Target="https://paperpile.com/c/5ytb5f/MuPOF/?locator=184" TargetMode="External"/><Relationship Id="rId190" Type="http://schemas.openxmlformats.org/officeDocument/2006/relationships/hyperlink" Target="https://paperpile.com/c/5ytb5f/oCuAR/?locator=23-24" TargetMode="External"/><Relationship Id="rId204" Type="http://schemas.openxmlformats.org/officeDocument/2006/relationships/hyperlink" Target="https://paperpile.com/c/5ytb5f/XqK6Y" TargetMode="External"/><Relationship Id="rId225" Type="http://schemas.openxmlformats.org/officeDocument/2006/relationships/hyperlink" Target="https://paperpile.com/c/5ytb5f/1itE7" TargetMode="External"/><Relationship Id="rId246" Type="http://schemas.openxmlformats.org/officeDocument/2006/relationships/hyperlink" Target="https://paperpile.com/c/5ytb5f/GaKag+MJIxv/?locator=3," TargetMode="External"/><Relationship Id="rId267" Type="http://schemas.openxmlformats.org/officeDocument/2006/relationships/hyperlink" Target="https://paperpile.com/c/5ytb5f/p5vMh" TargetMode="External"/><Relationship Id="rId288" Type="http://schemas.openxmlformats.org/officeDocument/2006/relationships/hyperlink" Target="https://paperpile.com/c/5ytb5f/i0QGr" TargetMode="External"/><Relationship Id="rId411" Type="http://schemas.openxmlformats.org/officeDocument/2006/relationships/hyperlink" Target="https://paperpile.com/c/5ytb5f/6PT9r+PUULy+v1GJs+PgVAM" TargetMode="External"/><Relationship Id="rId432" Type="http://schemas.openxmlformats.org/officeDocument/2006/relationships/hyperlink" Target="https://paperpile.com/c/5ytb5f/o99Bp" TargetMode="External"/><Relationship Id="rId453" Type="http://schemas.openxmlformats.org/officeDocument/2006/relationships/hyperlink" Target="https://paperpile.com/c/5ytb5f/amMFt" TargetMode="External"/><Relationship Id="rId106" Type="http://schemas.openxmlformats.org/officeDocument/2006/relationships/hyperlink" Target="https://paperpile.com/c/5ytb5f/vwsNo" TargetMode="External"/><Relationship Id="rId127" Type="http://schemas.openxmlformats.org/officeDocument/2006/relationships/hyperlink" Target="https://paperpile.com/c/5ytb5f/WoQEy" TargetMode="External"/><Relationship Id="rId313" Type="http://schemas.openxmlformats.org/officeDocument/2006/relationships/hyperlink" Target="https://paperpile.com/c/5ytb5f/0fx7h+tvoZh/?locator=7,166" TargetMode="External"/><Relationship Id="rId10" Type="http://schemas.openxmlformats.org/officeDocument/2006/relationships/hyperlink" Target="https://paperpile.com/c/5ytb5f/lfEjU/?locator=83" TargetMode="External"/><Relationship Id="rId31" Type="http://schemas.openxmlformats.org/officeDocument/2006/relationships/hyperlink" Target="https://paperpile.com/c/5ytb5f/BlRnr+h46f0" TargetMode="External"/><Relationship Id="rId52" Type="http://schemas.openxmlformats.org/officeDocument/2006/relationships/hyperlink" Target="https://paperpile.com/c/5ytb5f/wFVow+ziZOc+CrHnq/?locator=S113,," TargetMode="External"/><Relationship Id="rId73" Type="http://schemas.openxmlformats.org/officeDocument/2006/relationships/hyperlink" Target="https://paperpile.com/c/5ytb5f/fo3WS/?locator_label=section&amp;locator=6.3" TargetMode="External"/><Relationship Id="rId94" Type="http://schemas.openxmlformats.org/officeDocument/2006/relationships/hyperlink" Target="https://paperpile.com/c/5ytb5f/AjPpj" TargetMode="External"/><Relationship Id="rId148" Type="http://schemas.openxmlformats.org/officeDocument/2006/relationships/hyperlink" Target="https://paperpile.com/c/5ytb5f/t4ATT/?locator=299" TargetMode="External"/><Relationship Id="rId169" Type="http://schemas.openxmlformats.org/officeDocument/2006/relationships/hyperlink" Target="https://paperpile.com/c/5ytb5f/YPPDx" TargetMode="External"/><Relationship Id="rId334" Type="http://schemas.openxmlformats.org/officeDocument/2006/relationships/hyperlink" Target="https://paperpile.com/c/5ytb5f/hvSD2" TargetMode="External"/><Relationship Id="rId355" Type="http://schemas.openxmlformats.org/officeDocument/2006/relationships/hyperlink" Target="https://paperpile.com/c/5ytb5f/q9vyJ/?locator=2" TargetMode="External"/><Relationship Id="rId376" Type="http://schemas.openxmlformats.org/officeDocument/2006/relationships/hyperlink" Target="https://paperpile.com/c/5ytb5f/27uWt" TargetMode="External"/><Relationship Id="rId397" Type="http://schemas.openxmlformats.org/officeDocument/2006/relationships/hyperlink" Target="https://paperpile.com/c/5ytb5f/Sd3xI" TargetMode="External"/><Relationship Id="rId4" Type="http://schemas.openxmlformats.org/officeDocument/2006/relationships/hyperlink" Target="https://paperpile.com/c/5ytb5f/HNFlu/?locator=48" TargetMode="External"/><Relationship Id="rId180" Type="http://schemas.openxmlformats.org/officeDocument/2006/relationships/hyperlink" Target="https://paperpile.com/c/5ytb5f/zAsVv/?locator=3" TargetMode="External"/><Relationship Id="rId215" Type="http://schemas.openxmlformats.org/officeDocument/2006/relationships/hyperlink" Target="https://paperpile.com/c/5ytb5f/kEPoK+jGlsS+8jQmu+3rA81" TargetMode="External"/><Relationship Id="rId236" Type="http://schemas.openxmlformats.org/officeDocument/2006/relationships/hyperlink" Target="https://paperpile.com/c/5ytb5f/ABAmF" TargetMode="External"/><Relationship Id="rId257" Type="http://schemas.openxmlformats.org/officeDocument/2006/relationships/hyperlink" Target="https://paperpile.com/c/5ytb5f/IaJsn/?locator_label=chapter&amp;locator=12" TargetMode="External"/><Relationship Id="rId278" Type="http://schemas.openxmlformats.org/officeDocument/2006/relationships/hyperlink" Target="https://paperpile.com/c/5ytb5f/mw6sI/?locator_label=chapter&amp;locator=1" TargetMode="External"/><Relationship Id="rId401" Type="http://schemas.openxmlformats.org/officeDocument/2006/relationships/hyperlink" Target="https://paperpile.com/c/5ytb5f/DFA0R/?locator_label=chapter&amp;locator=5" TargetMode="External"/><Relationship Id="rId422" Type="http://schemas.openxmlformats.org/officeDocument/2006/relationships/hyperlink" Target="https://paperpile.com/c/5ytb5f/RQBE4" TargetMode="External"/><Relationship Id="rId443" Type="http://schemas.openxmlformats.org/officeDocument/2006/relationships/hyperlink" Target="https://paperpile.com/c/5ytb5f/v1GJs/?locator=210-211" TargetMode="External"/><Relationship Id="rId303" Type="http://schemas.openxmlformats.org/officeDocument/2006/relationships/hyperlink" Target="https://paperpile.com/c/5ytb5f/0fx7h/?locator=10-11" TargetMode="External"/><Relationship Id="rId42" Type="http://schemas.openxmlformats.org/officeDocument/2006/relationships/hyperlink" Target="https://paperpile.com/c/5ytb5f/DLsRe/?locator=161" TargetMode="External"/><Relationship Id="rId84" Type="http://schemas.openxmlformats.org/officeDocument/2006/relationships/hyperlink" Target="https://paperpile.com/c/5ytb5f/zAsVv" TargetMode="External"/><Relationship Id="rId138" Type="http://schemas.openxmlformats.org/officeDocument/2006/relationships/hyperlink" Target="https://paperpile.com/c/5ytb5f/vMSjZ+71qPK" TargetMode="External"/><Relationship Id="rId345" Type="http://schemas.openxmlformats.org/officeDocument/2006/relationships/hyperlink" Target="https://paperpile.com/c/5ytb5f/kbNKu" TargetMode="External"/><Relationship Id="rId387" Type="http://schemas.openxmlformats.org/officeDocument/2006/relationships/hyperlink" Target="https://paperpile.com/c/5ytb5f/vpqgG/?locator=4" TargetMode="External"/><Relationship Id="rId191" Type="http://schemas.openxmlformats.org/officeDocument/2006/relationships/hyperlink" Target="https://paperpile.com/c/5ytb5f/oCuAR/?locator=34" TargetMode="External"/><Relationship Id="rId205" Type="http://schemas.openxmlformats.org/officeDocument/2006/relationships/hyperlink" Target="https://paperpile.com/c/5ytb5f/XqK6Y" TargetMode="External"/><Relationship Id="rId247" Type="http://schemas.openxmlformats.org/officeDocument/2006/relationships/hyperlink" Target="https://paperpile.com/c/5ytb5f/4wIhg/?locator=39" TargetMode="External"/><Relationship Id="rId412" Type="http://schemas.openxmlformats.org/officeDocument/2006/relationships/hyperlink" Target="https://paperpile.com/c/5ytb5f/6PT9r+PUULy+v1GJs+PgVAM" TargetMode="External"/><Relationship Id="rId107" Type="http://schemas.openxmlformats.org/officeDocument/2006/relationships/hyperlink" Target="https://paperpile.com/c/5ytb5f/vwsNo" TargetMode="External"/><Relationship Id="rId289" Type="http://schemas.openxmlformats.org/officeDocument/2006/relationships/hyperlink" Target="https://paperpile.com/c/5ytb5f/vGGVS+bmZ0t/?locator=69," TargetMode="External"/><Relationship Id="rId454" Type="http://schemas.openxmlformats.org/officeDocument/2006/relationships/hyperlink" Target="https://paperpile.com/c/5ytb5f/ipYtG" TargetMode="External"/><Relationship Id="rId11" Type="http://schemas.openxmlformats.org/officeDocument/2006/relationships/hyperlink" Target="https://paperpile.com/c/5ytb5f/lfEjU/?locator=83" TargetMode="External"/><Relationship Id="rId53" Type="http://schemas.openxmlformats.org/officeDocument/2006/relationships/hyperlink" Target="https://paperpile.com/c/5ytb5f/wFVow+ziZOc+CrHnq/?locator=S113,," TargetMode="External"/><Relationship Id="rId149" Type="http://schemas.openxmlformats.org/officeDocument/2006/relationships/hyperlink" Target="https://paperpile.com/c/5ytb5f/t4ATT/?locator=299" TargetMode="External"/><Relationship Id="rId314" Type="http://schemas.openxmlformats.org/officeDocument/2006/relationships/hyperlink" Target="https://paperpile.com/c/5ytb5f/0fx7h+tvoZh/?locator=7,166" TargetMode="External"/><Relationship Id="rId356" Type="http://schemas.openxmlformats.org/officeDocument/2006/relationships/hyperlink" Target="https://paperpile.com/c/5ytb5f/ztvnS" TargetMode="External"/><Relationship Id="rId398" Type="http://schemas.openxmlformats.org/officeDocument/2006/relationships/hyperlink" Target="https://paperpile.com/c/5ytb5f/Sd3xI" TargetMode="External"/><Relationship Id="rId95" Type="http://schemas.openxmlformats.org/officeDocument/2006/relationships/hyperlink" Target="https://paperpile.com/c/5ytb5f/2458R/?locator=3" TargetMode="External"/><Relationship Id="rId160" Type="http://schemas.openxmlformats.org/officeDocument/2006/relationships/hyperlink" Target="https://paperpile.com/c/5ytb5f/tvoZh/?locator=122" TargetMode="External"/><Relationship Id="rId216" Type="http://schemas.openxmlformats.org/officeDocument/2006/relationships/hyperlink" Target="https://paperpile.com/c/5ytb5f/tvoZh/?locator=84" TargetMode="External"/><Relationship Id="rId423" Type="http://schemas.openxmlformats.org/officeDocument/2006/relationships/hyperlink" Target="https://paperpile.com/c/5ytb5f/pO4Bu" TargetMode="External"/><Relationship Id="rId258" Type="http://schemas.openxmlformats.org/officeDocument/2006/relationships/hyperlink" Target="https://paperpile.com/c/5ytb5f/IaJsn/?locator_label=chapter&amp;locator=12" TargetMode="External"/><Relationship Id="rId22" Type="http://schemas.openxmlformats.org/officeDocument/2006/relationships/hyperlink" Target="https://paperpile.com/c/5ytb5f/kbNKu/?locator=1" TargetMode="External"/><Relationship Id="rId64" Type="http://schemas.openxmlformats.org/officeDocument/2006/relationships/hyperlink" Target="https://paperpile.com/c/5ytb5f/XAZGq/?locator=35" TargetMode="External"/><Relationship Id="rId118" Type="http://schemas.openxmlformats.org/officeDocument/2006/relationships/hyperlink" Target="https://paperpile.com/c/5ytb5f/5QlTR+qF2PQ" TargetMode="External"/><Relationship Id="rId325" Type="http://schemas.openxmlformats.org/officeDocument/2006/relationships/hyperlink" Target="https://paperpile.com/c/5ytb5f/B5NOs" TargetMode="External"/><Relationship Id="rId367" Type="http://schemas.openxmlformats.org/officeDocument/2006/relationships/hyperlink" Target="https://paperpile.com/c/5ytb5f/6fS4c" TargetMode="External"/><Relationship Id="rId171" Type="http://schemas.openxmlformats.org/officeDocument/2006/relationships/hyperlink" Target="https://paperpile.com/c/5ytb5f/PQ2bK/?locator=5" TargetMode="External"/><Relationship Id="rId227" Type="http://schemas.openxmlformats.org/officeDocument/2006/relationships/hyperlink" Target="https://paperpile.com/c/5ytb5f/q5Siz" TargetMode="External"/><Relationship Id="rId269" Type="http://schemas.openxmlformats.org/officeDocument/2006/relationships/hyperlink" Target="https://paperpile.com/c/5ytb5f/Cbs3C" TargetMode="External"/><Relationship Id="rId434" Type="http://schemas.openxmlformats.org/officeDocument/2006/relationships/hyperlink" Target="https://paperpile.com/c/5ytb5f/10m2n/?locator=53" TargetMode="External"/><Relationship Id="rId33" Type="http://schemas.openxmlformats.org/officeDocument/2006/relationships/hyperlink" Target="https://paperpile.com/c/5ytb5f/0NmcW+FAG2d" TargetMode="External"/><Relationship Id="rId129" Type="http://schemas.openxmlformats.org/officeDocument/2006/relationships/hyperlink" Target="https://paperpile.com/c/5ytb5f/yAfxG" TargetMode="External"/><Relationship Id="rId280" Type="http://schemas.openxmlformats.org/officeDocument/2006/relationships/hyperlink" Target="https://paperpile.com/c/5ytb5f/5Ajw6/?locator=26" TargetMode="External"/><Relationship Id="rId336" Type="http://schemas.openxmlformats.org/officeDocument/2006/relationships/hyperlink" Target="https://paperpile.com/c/5ytb5f/ecbPV" TargetMode="External"/><Relationship Id="rId75" Type="http://schemas.openxmlformats.org/officeDocument/2006/relationships/hyperlink" Target="https://paperpile.com/c/5ytb5f/8dvgP+MuPOF" TargetMode="External"/><Relationship Id="rId140" Type="http://schemas.openxmlformats.org/officeDocument/2006/relationships/hyperlink" Target="https://paperpile.com/c/5ytb5f/RYVv9" TargetMode="External"/><Relationship Id="rId182" Type="http://schemas.openxmlformats.org/officeDocument/2006/relationships/hyperlink" Target="https://paperpile.com/c/5ytb5f/Lmx6Q/?locator=3" TargetMode="External"/><Relationship Id="rId378" Type="http://schemas.openxmlformats.org/officeDocument/2006/relationships/hyperlink" Target="https://paperpile.com/c/5ytb5f/4aJXo" TargetMode="External"/><Relationship Id="rId403" Type="http://schemas.openxmlformats.org/officeDocument/2006/relationships/hyperlink" Target="https://paperpile.com/c/5ytb5f/fo3WS" TargetMode="External"/><Relationship Id="rId6" Type="http://schemas.openxmlformats.org/officeDocument/2006/relationships/hyperlink" Target="https://paperpile.com/c/5ytb5f/FopJ7/?locator=58" TargetMode="External"/><Relationship Id="rId238" Type="http://schemas.openxmlformats.org/officeDocument/2006/relationships/hyperlink" Target="https://paperpile.com/c/5ytb5f/ABAmF" TargetMode="External"/><Relationship Id="rId445" Type="http://schemas.openxmlformats.org/officeDocument/2006/relationships/hyperlink" Target="https://paperpile.com/c/5ytb5f/F7Rhe" TargetMode="External"/><Relationship Id="rId291" Type="http://schemas.openxmlformats.org/officeDocument/2006/relationships/hyperlink" Target="https://paperpile.com/c/5ytb5f/vGGVS+bmZ0t/?locator=69," TargetMode="External"/><Relationship Id="rId305" Type="http://schemas.openxmlformats.org/officeDocument/2006/relationships/hyperlink" Target="https://paperpile.com/c/5ytb5f/tvoZh/?locator=191-192" TargetMode="External"/><Relationship Id="rId347" Type="http://schemas.openxmlformats.org/officeDocument/2006/relationships/hyperlink" Target="https://paperpile.com/c/5ytb5f/DNX31" TargetMode="External"/><Relationship Id="rId44" Type="http://schemas.openxmlformats.org/officeDocument/2006/relationships/hyperlink" Target="https://paperpile.com/c/5ytb5f/DLsRe/?locator=161" TargetMode="External"/><Relationship Id="rId86" Type="http://schemas.openxmlformats.org/officeDocument/2006/relationships/hyperlink" Target="https://paperpile.com/c/5ytb5f/6Xh2K" TargetMode="External"/><Relationship Id="rId151" Type="http://schemas.openxmlformats.org/officeDocument/2006/relationships/hyperlink" Target="https://paperpile.com/c/5ytb5f/YxegS+w0Srl/?locator=135," TargetMode="External"/><Relationship Id="rId389" Type="http://schemas.openxmlformats.org/officeDocument/2006/relationships/hyperlink" Target="https://paperpile.com/c/5ytb5f/MuPOF/?locator=184" TargetMode="External"/><Relationship Id="rId193" Type="http://schemas.openxmlformats.org/officeDocument/2006/relationships/hyperlink" Target="https://paperpile.com/c/5ytb5f/Of2O4" TargetMode="External"/><Relationship Id="rId207" Type="http://schemas.openxmlformats.org/officeDocument/2006/relationships/hyperlink" Target="https://paperpile.com/c/5ytb5f/ik2zY" TargetMode="External"/><Relationship Id="rId249" Type="http://schemas.openxmlformats.org/officeDocument/2006/relationships/hyperlink" Target="https://paperpile.com/c/5ytb5f/4wIhg/?locator=39" TargetMode="External"/><Relationship Id="rId414" Type="http://schemas.openxmlformats.org/officeDocument/2006/relationships/hyperlink" Target="https://paperpile.com/c/5ytb5f/6PT9r+PUULy+v1GJs+PgVAM" TargetMode="External"/><Relationship Id="rId456" Type="http://schemas.openxmlformats.org/officeDocument/2006/relationships/hyperlink" Target="https://paperpile.com/c/5ytb5f/tvoZh/?locator=149" TargetMode="External"/><Relationship Id="rId13" Type="http://schemas.openxmlformats.org/officeDocument/2006/relationships/hyperlink" Target="https://paperpile.com/c/5ytb5f/bxUCt/?locator=146" TargetMode="External"/><Relationship Id="rId109" Type="http://schemas.openxmlformats.org/officeDocument/2006/relationships/hyperlink" Target="https://paperpile.com/c/5ytb5f/DhFRq/?locator=450" TargetMode="External"/><Relationship Id="rId260" Type="http://schemas.openxmlformats.org/officeDocument/2006/relationships/hyperlink" Target="https://paperpile.com/c/COQJsw/9Rl0m" TargetMode="External"/><Relationship Id="rId316" Type="http://schemas.openxmlformats.org/officeDocument/2006/relationships/hyperlink" Target="https://paperpile.com/c/5ytb5f/OhS6g/?locator=14" TargetMode="External"/><Relationship Id="rId55" Type="http://schemas.openxmlformats.org/officeDocument/2006/relationships/hyperlink" Target="https://paperpile.com/c/5ytb5f/wFVow+ziZOc+CrHnq/?locator=S113,," TargetMode="External"/><Relationship Id="rId97" Type="http://schemas.openxmlformats.org/officeDocument/2006/relationships/hyperlink" Target="https://paperpile.com/c/5ytb5f/2458R/?locator=3" TargetMode="External"/><Relationship Id="rId120" Type="http://schemas.openxmlformats.org/officeDocument/2006/relationships/hyperlink" Target="https://paperpile.com/c/5ytb5f/ert1f" TargetMode="External"/><Relationship Id="rId358" Type="http://schemas.openxmlformats.org/officeDocument/2006/relationships/hyperlink" Target="https://paperpile.com/c/5ytb5f/EhyHK" TargetMode="External"/><Relationship Id="rId162" Type="http://schemas.openxmlformats.org/officeDocument/2006/relationships/hyperlink" Target="https://paperpile.com/c/5ytb5f/tvoZh/?locator=122" TargetMode="External"/><Relationship Id="rId218" Type="http://schemas.openxmlformats.org/officeDocument/2006/relationships/hyperlink" Target="https://paperpile.com/c/5ytb5f/tvoZh/?locator=84" TargetMode="External"/><Relationship Id="rId425" Type="http://schemas.openxmlformats.org/officeDocument/2006/relationships/hyperlink" Target="https://paperpile.com/c/5ytb5f/PgVAM/?locator=307" TargetMode="External"/><Relationship Id="rId271" Type="http://schemas.openxmlformats.org/officeDocument/2006/relationships/hyperlink" Target="https://paperpile.com/c/5ytb5f/s0HRC" TargetMode="External"/><Relationship Id="rId24" Type="http://schemas.openxmlformats.org/officeDocument/2006/relationships/hyperlink" Target="https://paperpile.com/c/5ytb5f/kRr78" TargetMode="External"/><Relationship Id="rId66" Type="http://schemas.openxmlformats.org/officeDocument/2006/relationships/hyperlink" Target="https://paperpile.com/c/5ytb5f/2YcdF+EEffh/?locator=1179," TargetMode="External"/><Relationship Id="rId131" Type="http://schemas.openxmlformats.org/officeDocument/2006/relationships/hyperlink" Target="https://paperpile.com/c/5ytb5f/yAfxG" TargetMode="External"/><Relationship Id="rId327" Type="http://schemas.openxmlformats.org/officeDocument/2006/relationships/hyperlink" Target="https://paperpile.com/c/5ytb5f/JP3iu" TargetMode="External"/><Relationship Id="rId369" Type="http://schemas.openxmlformats.org/officeDocument/2006/relationships/hyperlink" Target="https://paperpile.com/c/5ytb5f/zAsVv" TargetMode="External"/><Relationship Id="rId173" Type="http://schemas.openxmlformats.org/officeDocument/2006/relationships/hyperlink" Target="https://paperpile.com/c/5ytb5f/PQ2bK/?locator=5" TargetMode="External"/><Relationship Id="rId229" Type="http://schemas.openxmlformats.org/officeDocument/2006/relationships/hyperlink" Target="https://paperpile.com/c/5ytb5f/77XXj" TargetMode="External"/><Relationship Id="rId380" Type="http://schemas.openxmlformats.org/officeDocument/2006/relationships/hyperlink" Target="https://paperpile.com/c/5ytb5f/8dvgP/?locator=1" TargetMode="External"/><Relationship Id="rId436" Type="http://schemas.openxmlformats.org/officeDocument/2006/relationships/hyperlink" Target="https://paperpile.com/c/5ytb5f/10m2n/?locator=53" TargetMode="External"/><Relationship Id="rId240" Type="http://schemas.openxmlformats.org/officeDocument/2006/relationships/hyperlink" Target="https://paperpile.com/c/5ytb5f/Lw3hr" TargetMode="External"/><Relationship Id="rId35" Type="http://schemas.openxmlformats.org/officeDocument/2006/relationships/hyperlink" Target="https://paperpile.com/c/5ytb5f/vpqgG/?locator=4" TargetMode="External"/><Relationship Id="rId77" Type="http://schemas.openxmlformats.org/officeDocument/2006/relationships/hyperlink" Target="https://paperpile.com/c/5ytb5f/nVuMx" TargetMode="External"/><Relationship Id="rId100" Type="http://schemas.openxmlformats.org/officeDocument/2006/relationships/hyperlink" Target="https://paperpile.com/c/5ytb5f/DhFRq/?locator=453" TargetMode="External"/><Relationship Id="rId282" Type="http://schemas.openxmlformats.org/officeDocument/2006/relationships/hyperlink" Target="https://paperpile.com/c/5ytb5f/lM9XG+mOxfz" TargetMode="External"/><Relationship Id="rId338" Type="http://schemas.openxmlformats.org/officeDocument/2006/relationships/hyperlink" Target="https://paperpile.com/c/5ytb5f/BlR1J+E9daT" TargetMode="External"/><Relationship Id="rId8" Type="http://schemas.openxmlformats.org/officeDocument/2006/relationships/hyperlink" Target="https://paperpile.com/c/5ytb5f/FopJ7/?locator=58" TargetMode="External"/><Relationship Id="rId142" Type="http://schemas.openxmlformats.org/officeDocument/2006/relationships/hyperlink" Target="https://paperpile.com/c/5ytb5f/h46f0+Nhh3K/?locator=,143" TargetMode="External"/><Relationship Id="rId184" Type="http://schemas.openxmlformats.org/officeDocument/2006/relationships/hyperlink" Target="https://paperpile.com/c/5ytb5f/Lmx6Q/?locator=3" TargetMode="External"/><Relationship Id="rId391" Type="http://schemas.openxmlformats.org/officeDocument/2006/relationships/hyperlink" Target="https://paperpile.com/c/5ytb5f/MuPOF/?locator=184" TargetMode="External"/><Relationship Id="rId405" Type="http://schemas.openxmlformats.org/officeDocument/2006/relationships/hyperlink" Target="https://paperpile.com/c/5ytb5f/fo3WS/?locator_label=section&amp;locator=1.6" TargetMode="External"/><Relationship Id="rId447" Type="http://schemas.openxmlformats.org/officeDocument/2006/relationships/hyperlink" Target="https://paperpile.com/c/5ytb5f/F7Rhe" TargetMode="External"/><Relationship Id="rId251" Type="http://schemas.openxmlformats.org/officeDocument/2006/relationships/hyperlink" Target="https://paperpile.com/c/5ytb5f/ALIlI" TargetMode="External"/><Relationship Id="rId46" Type="http://schemas.openxmlformats.org/officeDocument/2006/relationships/hyperlink" Target="https://paperpile.com/c/5ytb5f/DLsRe/?locator=162" TargetMode="External"/><Relationship Id="rId293" Type="http://schemas.openxmlformats.org/officeDocument/2006/relationships/hyperlink" Target="https://paperpile.com/c/5ytb5f/aoHiP" TargetMode="External"/><Relationship Id="rId307" Type="http://schemas.openxmlformats.org/officeDocument/2006/relationships/hyperlink" Target="https://paperpile.com/c/5ytb5f/K8ygl" TargetMode="External"/><Relationship Id="rId349" Type="http://schemas.openxmlformats.org/officeDocument/2006/relationships/hyperlink" Target="https://paperpile.com/c/5ytb5f/q9vyJ" TargetMode="External"/><Relationship Id="rId88" Type="http://schemas.openxmlformats.org/officeDocument/2006/relationships/hyperlink" Target="https://paperpile.com/c/5ytb5f/4gPLk+FopJ7/?locator=XII-XVI,1&amp;locator_label=page,chapter" TargetMode="External"/><Relationship Id="rId111" Type="http://schemas.openxmlformats.org/officeDocument/2006/relationships/hyperlink" Target="https://paperpile.com/c/5ytb5f/Nhh3K+qz7QJ/?locator=144," TargetMode="External"/><Relationship Id="rId153" Type="http://schemas.openxmlformats.org/officeDocument/2006/relationships/hyperlink" Target="https://paperpile.com/c/5ytb5f/YxegS+w0Srl/?locator=135," TargetMode="External"/><Relationship Id="rId195" Type="http://schemas.openxmlformats.org/officeDocument/2006/relationships/hyperlink" Target="https://paperpile.com/c/5ytb5f/MVE9G/?locator=136" TargetMode="External"/><Relationship Id="rId209" Type="http://schemas.openxmlformats.org/officeDocument/2006/relationships/hyperlink" Target="https://paperpile.com/c/5ytb5f/9sneu" TargetMode="External"/><Relationship Id="rId360" Type="http://schemas.openxmlformats.org/officeDocument/2006/relationships/hyperlink" Target="https://paperpile.com/c/5ytb5f/Dn5L3+9sneu/?locator=,335" TargetMode="External"/><Relationship Id="rId416" Type="http://schemas.openxmlformats.org/officeDocument/2006/relationships/hyperlink" Target="https://paperpile.com/c/5ytb5f/6PT9r+PUULy+v1GJs+PgVAM" TargetMode="External"/><Relationship Id="rId220" Type="http://schemas.openxmlformats.org/officeDocument/2006/relationships/hyperlink" Target="https://paperpile.com/c/5ytb5f/SjynJ/?locator=183" TargetMode="External"/><Relationship Id="rId458" Type="http://schemas.openxmlformats.org/officeDocument/2006/relationships/hyperlink" Target="https://paperpile.com/c/5ytb5f/WNCUB" TargetMode="External"/><Relationship Id="rId15" Type="http://schemas.openxmlformats.org/officeDocument/2006/relationships/hyperlink" Target="https://paperpile.com/c/5ytb5f/bxUCt/?locator=146" TargetMode="External"/><Relationship Id="rId57" Type="http://schemas.openxmlformats.org/officeDocument/2006/relationships/hyperlink" Target="https://paperpile.com/c/5ytb5f/wFVow+ziZOc+CrHnq/?locator=S113,," TargetMode="External"/><Relationship Id="rId262" Type="http://schemas.openxmlformats.org/officeDocument/2006/relationships/hyperlink" Target="https://paperpile.com/c/5ytb5f/8UexS/?locator=309-310" TargetMode="External"/><Relationship Id="rId318" Type="http://schemas.openxmlformats.org/officeDocument/2006/relationships/hyperlink" Target="https://paperpile.com/c/5ytb5f/jIaFb+FvR9t+6yfa0" TargetMode="External"/><Relationship Id="rId99" Type="http://schemas.openxmlformats.org/officeDocument/2006/relationships/hyperlink" Target="https://paperpile.com/c/5ytb5f/DhFRq/?locator=453" TargetMode="External"/><Relationship Id="rId122" Type="http://schemas.openxmlformats.org/officeDocument/2006/relationships/hyperlink" Target="https://paperpile.com/c/5ytb5f/NPTPN" TargetMode="External"/><Relationship Id="rId164" Type="http://schemas.openxmlformats.org/officeDocument/2006/relationships/hyperlink" Target="https://paperpile.com/c/5ytb5f/mw6sI/?locator=75" TargetMode="External"/><Relationship Id="rId371" Type="http://schemas.openxmlformats.org/officeDocument/2006/relationships/hyperlink" Target="https://paperpile.com/c/5ytb5f/YSjlZ+nVuMx" TargetMode="External"/><Relationship Id="rId427" Type="http://schemas.openxmlformats.org/officeDocument/2006/relationships/hyperlink" Target="https://paperpile.com/c/5ytb5f/vblIW+SiLto/?locator=124," TargetMode="External"/><Relationship Id="rId26" Type="http://schemas.openxmlformats.org/officeDocument/2006/relationships/hyperlink" Target="https://paperpile.com/c/5ytb5f/BBhUI+pyRIZ" TargetMode="External"/><Relationship Id="rId231" Type="http://schemas.openxmlformats.org/officeDocument/2006/relationships/hyperlink" Target="https://paperpile.com/c/5ytb5f/77XXj" TargetMode="External"/><Relationship Id="rId273" Type="http://schemas.openxmlformats.org/officeDocument/2006/relationships/hyperlink" Target="https://paperpile.com/c/5ytb5f/dWNxc" TargetMode="External"/><Relationship Id="rId329" Type="http://schemas.openxmlformats.org/officeDocument/2006/relationships/hyperlink" Target="https://paperpile.com/c/5ytb5f/BlR1J" TargetMode="External"/><Relationship Id="rId68" Type="http://schemas.openxmlformats.org/officeDocument/2006/relationships/hyperlink" Target="https://paperpile.com/c/5ytb5f/2YcdF+EEffh/?locator=1179," TargetMode="External"/><Relationship Id="rId133" Type="http://schemas.openxmlformats.org/officeDocument/2006/relationships/hyperlink" Target="https://paperpile.com/c/5ytb5f/Ux9g8" TargetMode="External"/><Relationship Id="rId175" Type="http://schemas.openxmlformats.org/officeDocument/2006/relationships/hyperlink" Target="https://paperpile.com/c/5ytb5f/uIWKz+8FxQv/?locator=1044," TargetMode="External"/><Relationship Id="rId340" Type="http://schemas.openxmlformats.org/officeDocument/2006/relationships/hyperlink" Target="https://paperpile.com/c/5ytb5f/WXhsq" TargetMode="External"/><Relationship Id="rId200" Type="http://schemas.openxmlformats.org/officeDocument/2006/relationships/hyperlink" Target="https://paperpile.com/c/5ytb5f/hqdSO" TargetMode="External"/><Relationship Id="rId382" Type="http://schemas.openxmlformats.org/officeDocument/2006/relationships/hyperlink" Target="https://paperpile.com/c/5ytb5f/27uWt" TargetMode="External"/><Relationship Id="rId438" Type="http://schemas.openxmlformats.org/officeDocument/2006/relationships/hyperlink" Target="https://paperpile.com/c/5ytb5f/SjynJ/?locator=182-184" TargetMode="External"/><Relationship Id="rId242" Type="http://schemas.openxmlformats.org/officeDocument/2006/relationships/hyperlink" Target="https://paperpile.com/c/5ytb5f/GaKag+MJIxv/?locator=3," TargetMode="External"/><Relationship Id="rId284" Type="http://schemas.openxmlformats.org/officeDocument/2006/relationships/hyperlink" Target="https://paperpile.com/c/5ytb5f/mOxfz" TargetMode="External"/><Relationship Id="rId37" Type="http://schemas.openxmlformats.org/officeDocument/2006/relationships/hyperlink" Target="https://paperpile.com/c/5ytb5f/vpqgG/?locator=4" TargetMode="External"/><Relationship Id="rId79" Type="http://schemas.openxmlformats.org/officeDocument/2006/relationships/hyperlink" Target="https://paperpile.com/c/5ytb5f/nVuMx" TargetMode="External"/><Relationship Id="rId102" Type="http://schemas.openxmlformats.org/officeDocument/2006/relationships/hyperlink" Target="https://paperpile.com/c/5ytb5f/BWD4M+3ee4U" TargetMode="External"/><Relationship Id="rId144" Type="http://schemas.openxmlformats.org/officeDocument/2006/relationships/hyperlink" Target="https://paperpile.com/c/5ytb5f/wFVow/?locator=S103" TargetMode="External"/><Relationship Id="rId90" Type="http://schemas.openxmlformats.org/officeDocument/2006/relationships/hyperlink" Target="https://paperpile.com/c/5ytb5f/4gPLk+FopJ7/?locator=XII-XVI,1&amp;locator_label=page,chapter" TargetMode="External"/><Relationship Id="rId186" Type="http://schemas.openxmlformats.org/officeDocument/2006/relationships/hyperlink" Target="https://paperpile.com/c/5ytb5f/gxf7N" TargetMode="External"/><Relationship Id="rId351" Type="http://schemas.openxmlformats.org/officeDocument/2006/relationships/hyperlink" Target="https://paperpile.com/c/5ytb5f/qOMO5" TargetMode="External"/><Relationship Id="rId393" Type="http://schemas.openxmlformats.org/officeDocument/2006/relationships/hyperlink" Target="https://paperpile.com/c/5ytb5f/tSTbw/?locator=2" TargetMode="External"/><Relationship Id="rId407" Type="http://schemas.openxmlformats.org/officeDocument/2006/relationships/hyperlink" Target="https://paperpile.com/c/5ytb5f/Tmyaq+nchRf/?locator=,9-11" TargetMode="External"/><Relationship Id="rId449" Type="http://schemas.openxmlformats.org/officeDocument/2006/relationships/hyperlink" Target="https://paperpile.com/c/5ytb5f/Bg3Oo" TargetMode="External"/><Relationship Id="rId211" Type="http://schemas.openxmlformats.org/officeDocument/2006/relationships/hyperlink" Target="https://paperpile.com/c/5ytb5f/kEPoK+jGlsS+8jQmu+3rA81" TargetMode="External"/><Relationship Id="rId253" Type="http://schemas.openxmlformats.org/officeDocument/2006/relationships/hyperlink" Target="https://paperpile.com/c/5ytb5f/ROaDY/?locator=88" TargetMode="External"/><Relationship Id="rId295" Type="http://schemas.openxmlformats.org/officeDocument/2006/relationships/hyperlink" Target="https://paperpile.com/c/5ytb5f/4bubv" TargetMode="External"/><Relationship Id="rId309" Type="http://schemas.openxmlformats.org/officeDocument/2006/relationships/hyperlink" Target="https://paperpile.com/c/5ytb5f/0fx7h+tvoZh/?locator=3,166-167" TargetMode="External"/><Relationship Id="rId48" Type="http://schemas.openxmlformats.org/officeDocument/2006/relationships/hyperlink" Target="https://paperpile.com/c/5ytb5f/uZwZz/?locator=10-11" TargetMode="External"/><Relationship Id="rId113" Type="http://schemas.openxmlformats.org/officeDocument/2006/relationships/hyperlink" Target="https://paperpile.com/c/5ytb5f/Nhh3K+qz7QJ/?locator=144," TargetMode="External"/><Relationship Id="rId320" Type="http://schemas.openxmlformats.org/officeDocument/2006/relationships/hyperlink" Target="https://paperpile.com/c/5ytb5f/0fx7h+TNYy6+dCB6M+8MnhN/?locator=14-15,,," TargetMode="External"/><Relationship Id="rId155" Type="http://schemas.openxmlformats.org/officeDocument/2006/relationships/hyperlink" Target="https://paperpile.com/c/5ytb5f/YxegS+w0Srl/?locator=135," TargetMode="External"/><Relationship Id="rId197" Type="http://schemas.openxmlformats.org/officeDocument/2006/relationships/hyperlink" Target="https://paperpile.com/c/5ytb5f/Kny3y" TargetMode="External"/><Relationship Id="rId362" Type="http://schemas.openxmlformats.org/officeDocument/2006/relationships/hyperlink" Target="https://paperpile.com/c/5ytb5f/Dn5L3+9sneu/?locator=,335" TargetMode="External"/><Relationship Id="rId418" Type="http://schemas.openxmlformats.org/officeDocument/2006/relationships/hyperlink" Target="https://paperpile.com/c/5ytb5f/6PT9r+PUULy+v1GJs+PgVAM" TargetMode="External"/><Relationship Id="rId222" Type="http://schemas.openxmlformats.org/officeDocument/2006/relationships/hyperlink" Target="https://paperpile.com/c/5ytb5f/TuIRq" TargetMode="External"/><Relationship Id="rId264" Type="http://schemas.openxmlformats.org/officeDocument/2006/relationships/hyperlink" Target="https://paperpile.com/c/5ytb5f/8UexS/?locator=309-310" TargetMode="External"/><Relationship Id="rId17" Type="http://schemas.openxmlformats.org/officeDocument/2006/relationships/hyperlink" Target="https://paperpile.com/c/5ytb5f/O94UM+GIN3Y/?locator=7," TargetMode="External"/><Relationship Id="rId59" Type="http://schemas.openxmlformats.org/officeDocument/2006/relationships/hyperlink" Target="https://paperpile.com/c/5ytb5f/DLsRe/?locator=164" TargetMode="External"/><Relationship Id="rId124" Type="http://schemas.openxmlformats.org/officeDocument/2006/relationships/hyperlink" Target="https://paperpile.com/c/5ytb5f/WoQEy" TargetMode="External"/><Relationship Id="rId70" Type="http://schemas.openxmlformats.org/officeDocument/2006/relationships/hyperlink" Target="https://paperpile.com/c/5ytb5f/2YcdF+EEffh/?locator=1179," TargetMode="External"/><Relationship Id="rId166" Type="http://schemas.openxmlformats.org/officeDocument/2006/relationships/hyperlink" Target="https://paperpile.com/c/5ytb5f/R7wDP/?locator=1220" TargetMode="External"/><Relationship Id="rId331" Type="http://schemas.openxmlformats.org/officeDocument/2006/relationships/hyperlink" Target="https://paperpile.com/c/5ytb5f/cXlyA" TargetMode="External"/><Relationship Id="rId373" Type="http://schemas.openxmlformats.org/officeDocument/2006/relationships/hyperlink" Target="https://paperpile.com/c/5ytb5f/W8rs3/?locator=170-171" TargetMode="External"/><Relationship Id="rId429" Type="http://schemas.openxmlformats.org/officeDocument/2006/relationships/hyperlink" Target="https://paperpile.com/c/5ytb5f/pO4Bu/?locator=2-3" TargetMode="External"/><Relationship Id="rId1" Type="http://schemas.openxmlformats.org/officeDocument/2006/relationships/hyperlink" Target="https://paperpile.com/c/5ytb5f/3rZ5g" TargetMode="External"/><Relationship Id="rId233" Type="http://schemas.openxmlformats.org/officeDocument/2006/relationships/hyperlink" Target="https://paperpile.com/c/5ytb5f/KxABh" TargetMode="External"/><Relationship Id="rId440" Type="http://schemas.openxmlformats.org/officeDocument/2006/relationships/hyperlink" Target="https://paperpile.com/c/5ytb5f/tvoZh/?locator=168-172" TargetMode="External"/><Relationship Id="rId28" Type="http://schemas.openxmlformats.org/officeDocument/2006/relationships/hyperlink" Target="https://paperpile.com/c/5ytb5f/BBhUI+pyRIZ" TargetMode="External"/><Relationship Id="rId275" Type="http://schemas.openxmlformats.org/officeDocument/2006/relationships/hyperlink" Target="https://paperpile.com/c/5ytb5f/wjQIL+Kyo5E" TargetMode="External"/><Relationship Id="rId300" Type="http://schemas.openxmlformats.org/officeDocument/2006/relationships/hyperlink" Target="https://paperpile.com/c/5ytb5f/0NmcW/?locator=262" TargetMode="External"/><Relationship Id="rId81" Type="http://schemas.openxmlformats.org/officeDocument/2006/relationships/hyperlink" Target="https://paperpile.com/c/5ytb5f/ONLrE/?locator=8349" TargetMode="External"/><Relationship Id="rId135" Type="http://schemas.openxmlformats.org/officeDocument/2006/relationships/hyperlink" Target="https://paperpile.com/c/5ytb5f/DMvOi" TargetMode="External"/><Relationship Id="rId177" Type="http://schemas.openxmlformats.org/officeDocument/2006/relationships/hyperlink" Target="https://paperpile.com/c/5ytb5f/uIWKz+8FxQv/?locator=1044," TargetMode="External"/><Relationship Id="rId342" Type="http://schemas.openxmlformats.org/officeDocument/2006/relationships/hyperlink" Target="https://paperpile.com/c/5ytb5f/r8LRw" TargetMode="External"/><Relationship Id="rId384" Type="http://schemas.openxmlformats.org/officeDocument/2006/relationships/hyperlink" Target="https://paperpile.com/c/5ytb5f/MuPOF/?locator=184" TargetMode="External"/><Relationship Id="rId202" Type="http://schemas.openxmlformats.org/officeDocument/2006/relationships/hyperlink" Target="https://paperpile.com/c/5ytb5f/MVE9G/?locator=139" TargetMode="External"/><Relationship Id="rId244" Type="http://schemas.openxmlformats.org/officeDocument/2006/relationships/hyperlink" Target="https://paperpile.com/c/5ytb5f/GaKag+MJIxv/?locator=3," TargetMode="External"/><Relationship Id="rId39" Type="http://schemas.openxmlformats.org/officeDocument/2006/relationships/hyperlink" Target="https://paperpile.com/c/5ytb5f/zAsVv/?locator=3" TargetMode="External"/><Relationship Id="rId286" Type="http://schemas.openxmlformats.org/officeDocument/2006/relationships/hyperlink" Target="https://paperpile.com/c/5ytb5f/i0QGr" TargetMode="External"/><Relationship Id="rId451" Type="http://schemas.openxmlformats.org/officeDocument/2006/relationships/hyperlink" Target="https://paperpile.com/c/5ytb5f/0UBLw" TargetMode="External"/><Relationship Id="rId50" Type="http://schemas.openxmlformats.org/officeDocument/2006/relationships/hyperlink" Target="https://paperpile.com/c/5ytb5f/DLsRe/?locator=163" TargetMode="External"/><Relationship Id="rId104" Type="http://schemas.openxmlformats.org/officeDocument/2006/relationships/hyperlink" Target="https://paperpile.com/c/5ytb5f/BWD4M+3ee4U" TargetMode="External"/><Relationship Id="rId146" Type="http://schemas.openxmlformats.org/officeDocument/2006/relationships/hyperlink" Target="https://paperpile.com/c/5ytb5f/HHUHH/?locator=1138" TargetMode="External"/><Relationship Id="rId188" Type="http://schemas.openxmlformats.org/officeDocument/2006/relationships/hyperlink" Target="https://paperpile.com/c/5ytb5f/oCuAR/?locator=23-24" TargetMode="External"/><Relationship Id="rId311" Type="http://schemas.openxmlformats.org/officeDocument/2006/relationships/hyperlink" Target="https://paperpile.com/c/5ytb5f/0fx7h/?locator=7" TargetMode="External"/><Relationship Id="rId353" Type="http://schemas.openxmlformats.org/officeDocument/2006/relationships/hyperlink" Target="https://paperpile.com/c/5ytb5f/q9vyJ/?locator=2" TargetMode="External"/><Relationship Id="rId395" Type="http://schemas.openxmlformats.org/officeDocument/2006/relationships/hyperlink" Target="https://paperpile.com/c/5ytb5f/ArPNS/?locator=S5" TargetMode="External"/><Relationship Id="rId409" Type="http://schemas.openxmlformats.org/officeDocument/2006/relationships/hyperlink" Target="https://paperpile.com/c/5ytb5f/fo3WS/?locator_label=section&amp;locator=15" TargetMode="External"/><Relationship Id="rId92" Type="http://schemas.openxmlformats.org/officeDocument/2006/relationships/hyperlink" Target="https://paperpile.com/c/5ytb5f/4gPLk+FopJ7/?locator=XII-XVI,1&amp;locator_label=page,chapter" TargetMode="External"/><Relationship Id="rId213" Type="http://schemas.openxmlformats.org/officeDocument/2006/relationships/hyperlink" Target="https://paperpile.com/c/5ytb5f/kEPoK+jGlsS+8jQmu+3rA81" TargetMode="External"/><Relationship Id="rId420" Type="http://schemas.openxmlformats.org/officeDocument/2006/relationships/hyperlink" Target="https://paperpile.com/c/5ytb5f/xS16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986ED62B-CD0A-904C-B336-48EA7DD5C7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1043</TotalTime>
  <Pages>167</Pages>
  <Words>47599</Words>
  <Characters>271316</Characters>
  <Application>Microsoft Office Word</Application>
  <DocSecurity>0</DocSecurity>
  <Lines>2260</Lines>
  <Paragraphs>636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318279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David L Weir</cp:lastModifiedBy>
  <cp:revision>8</cp:revision>
  <cp:lastPrinted>2019-05-22T22:25:00Z</cp:lastPrinted>
  <dcterms:created xsi:type="dcterms:W3CDTF">2019-04-25T21:35:00Z</dcterms:created>
  <dcterms:modified xsi:type="dcterms:W3CDTF">2019-05-30T00:51:00Z</dcterms:modified>
</cp:coreProperties>
</file>