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1C847" w14:textId="77777777" w:rsidR="00E20A49" w:rsidRPr="003144EF" w:rsidRDefault="00E20A49" w:rsidP="00E20A49">
      <w:pPr>
        <w:spacing w:line="480" w:lineRule="auto"/>
        <w:jc w:val="center"/>
        <w:rPr>
          <w:rFonts w:ascii="Times New Roman" w:hAnsi="Times New Roman" w:cs="Times New Roman"/>
          <w:b/>
          <w:bCs/>
          <w:sz w:val="28"/>
          <w:szCs w:val="28"/>
        </w:rPr>
      </w:pPr>
      <w:r w:rsidRPr="003144EF">
        <w:rPr>
          <w:rFonts w:ascii="Times New Roman" w:hAnsi="Times New Roman" w:cs="Times New Roman"/>
          <w:b/>
          <w:bCs/>
          <w:sz w:val="28"/>
          <w:szCs w:val="28"/>
        </w:rPr>
        <w:t>Exploring Ozone Production Sensitivity to NO</w:t>
      </w:r>
      <w:r w:rsidRPr="003144EF">
        <w:rPr>
          <w:rFonts w:ascii="Times New Roman" w:hAnsi="Times New Roman" w:cs="Times New Roman"/>
          <w:b/>
          <w:bCs/>
          <w:sz w:val="28"/>
          <w:szCs w:val="28"/>
          <w:vertAlign w:val="subscript"/>
        </w:rPr>
        <w:t>x</w:t>
      </w:r>
      <w:r w:rsidRPr="003144EF">
        <w:rPr>
          <w:rFonts w:ascii="Times New Roman" w:hAnsi="Times New Roman" w:cs="Times New Roman"/>
          <w:b/>
          <w:bCs/>
          <w:sz w:val="28"/>
          <w:szCs w:val="28"/>
        </w:rPr>
        <w:t xml:space="preserve"> and VOCs in the New York City Airshed in the Spring and Summers of 2017-2019</w:t>
      </w:r>
    </w:p>
    <w:p w14:paraId="67DD222F" w14:textId="77777777" w:rsidR="00E20A49" w:rsidRPr="003144EF" w:rsidRDefault="00E20A49" w:rsidP="00E20A49">
      <w:pPr>
        <w:spacing w:line="240" w:lineRule="auto"/>
        <w:jc w:val="center"/>
        <w:rPr>
          <w:rFonts w:ascii="Times New Roman" w:hAnsi="Times New Roman" w:cs="Times New Roman"/>
          <w:b/>
          <w:bCs/>
          <w:sz w:val="24"/>
          <w:szCs w:val="24"/>
        </w:rPr>
      </w:pPr>
      <w:r w:rsidRPr="003144EF">
        <w:rPr>
          <w:rFonts w:ascii="Times New Roman" w:hAnsi="Times New Roman" w:cs="Times New Roman"/>
          <w:b/>
          <w:bCs/>
          <w:sz w:val="24"/>
          <w:szCs w:val="24"/>
        </w:rPr>
        <w:t>Abby E. Sebol</w:t>
      </w:r>
      <w:r w:rsidRPr="003144EF">
        <w:rPr>
          <w:rFonts w:ascii="Times New Roman" w:hAnsi="Times New Roman" w:cs="Times New Roman"/>
          <w:b/>
          <w:bCs/>
          <w:sz w:val="24"/>
          <w:szCs w:val="24"/>
          <w:vertAlign w:val="superscript"/>
        </w:rPr>
        <w:t>1</w:t>
      </w:r>
      <w:r w:rsidRPr="003144EF">
        <w:rPr>
          <w:rFonts w:ascii="Times New Roman" w:hAnsi="Times New Roman" w:cs="Times New Roman"/>
          <w:b/>
          <w:bCs/>
          <w:sz w:val="24"/>
          <w:szCs w:val="24"/>
        </w:rPr>
        <w:t>, Timothy P. Canty</w:t>
      </w:r>
      <w:r w:rsidRPr="003144EF">
        <w:rPr>
          <w:rFonts w:ascii="Times New Roman" w:hAnsi="Times New Roman" w:cs="Times New Roman"/>
          <w:b/>
          <w:bCs/>
          <w:sz w:val="24"/>
          <w:szCs w:val="24"/>
          <w:vertAlign w:val="superscript"/>
        </w:rPr>
        <w:t>1</w:t>
      </w:r>
      <w:r w:rsidRPr="003144EF">
        <w:rPr>
          <w:rFonts w:ascii="Times New Roman" w:hAnsi="Times New Roman" w:cs="Times New Roman"/>
          <w:b/>
          <w:bCs/>
          <w:sz w:val="24"/>
          <w:szCs w:val="24"/>
        </w:rPr>
        <w:t>, Glenn M. Wolfe</w:t>
      </w:r>
      <w:r w:rsidRPr="003144EF">
        <w:rPr>
          <w:rFonts w:ascii="Times New Roman" w:hAnsi="Times New Roman" w:cs="Times New Roman"/>
          <w:b/>
          <w:bCs/>
          <w:sz w:val="24"/>
          <w:szCs w:val="24"/>
          <w:vertAlign w:val="superscript"/>
        </w:rPr>
        <w:t>2</w:t>
      </w:r>
      <w:r w:rsidRPr="003144EF">
        <w:rPr>
          <w:rFonts w:ascii="Times New Roman" w:hAnsi="Times New Roman" w:cs="Times New Roman"/>
          <w:b/>
          <w:bCs/>
          <w:sz w:val="24"/>
          <w:szCs w:val="24"/>
        </w:rPr>
        <w:t>, Reem Hannun</w:t>
      </w:r>
      <w:r w:rsidRPr="003144EF">
        <w:rPr>
          <w:rFonts w:ascii="Times New Roman" w:hAnsi="Times New Roman" w:cs="Times New Roman"/>
          <w:b/>
          <w:bCs/>
          <w:sz w:val="24"/>
          <w:szCs w:val="24"/>
          <w:vertAlign w:val="superscript"/>
        </w:rPr>
        <w:t>2,3</w:t>
      </w:r>
      <w:r w:rsidRPr="003144EF">
        <w:rPr>
          <w:rFonts w:ascii="Times New Roman" w:hAnsi="Times New Roman" w:cs="Times New Roman"/>
          <w:b/>
          <w:bCs/>
          <w:sz w:val="24"/>
          <w:szCs w:val="24"/>
        </w:rPr>
        <w:t>, Allison M. Ring</w:t>
      </w:r>
      <w:r w:rsidRPr="003144EF">
        <w:rPr>
          <w:rFonts w:ascii="Times New Roman" w:hAnsi="Times New Roman" w:cs="Times New Roman"/>
          <w:b/>
          <w:bCs/>
          <w:sz w:val="24"/>
          <w:szCs w:val="24"/>
          <w:vertAlign w:val="superscript"/>
        </w:rPr>
        <w:t>1</w:t>
      </w:r>
      <w:r w:rsidRPr="003144EF">
        <w:rPr>
          <w:rFonts w:ascii="Times New Roman" w:hAnsi="Times New Roman" w:cs="Times New Roman"/>
          <w:b/>
          <w:bCs/>
          <w:sz w:val="24"/>
          <w:szCs w:val="24"/>
        </w:rPr>
        <w:t>, Xinrong Ren</w:t>
      </w:r>
      <w:r w:rsidRPr="003144EF">
        <w:rPr>
          <w:rFonts w:ascii="Times New Roman" w:hAnsi="Times New Roman" w:cs="Times New Roman"/>
          <w:b/>
          <w:bCs/>
          <w:sz w:val="24"/>
          <w:szCs w:val="24"/>
          <w:vertAlign w:val="superscript"/>
        </w:rPr>
        <w:t>1,4</w:t>
      </w:r>
    </w:p>
    <w:p w14:paraId="29754F79" w14:textId="77777777" w:rsidR="00E20A49" w:rsidRPr="003144EF" w:rsidRDefault="00E20A49" w:rsidP="00E20A49">
      <w:pPr>
        <w:spacing w:line="480" w:lineRule="auto"/>
        <w:rPr>
          <w:rFonts w:ascii="Times New Roman" w:hAnsi="Times New Roman" w:cs="Times New Roman"/>
          <w:sz w:val="24"/>
          <w:szCs w:val="24"/>
          <w:vertAlign w:val="superscript"/>
        </w:rPr>
      </w:pPr>
      <w:r w:rsidRPr="003144EF">
        <w:rPr>
          <w:rFonts w:ascii="Times New Roman" w:hAnsi="Times New Roman" w:cs="Times New Roman"/>
          <w:sz w:val="24"/>
          <w:szCs w:val="24"/>
          <w:vertAlign w:val="superscript"/>
        </w:rPr>
        <w:t>1</w:t>
      </w:r>
      <w:r w:rsidRPr="003144EF">
        <w:rPr>
          <w:rFonts w:ascii="Times New Roman" w:hAnsi="Times New Roman" w:cs="Times New Roman"/>
          <w:sz w:val="24"/>
          <w:szCs w:val="24"/>
        </w:rPr>
        <w:t xml:space="preserve">Department of Atmospheric and Oceanic Science, University of Maryland </w:t>
      </w:r>
      <w:r w:rsidRPr="003144EF">
        <w:rPr>
          <w:rFonts w:ascii="Times New Roman" w:hAnsi="Times New Roman" w:cs="Times New Roman"/>
          <w:sz w:val="24"/>
          <w:szCs w:val="24"/>
          <w:vertAlign w:val="superscript"/>
        </w:rPr>
        <w:t>2</w:t>
      </w:r>
      <w:r w:rsidRPr="003144EF">
        <w:rPr>
          <w:rFonts w:ascii="Times New Roman" w:hAnsi="Times New Roman" w:cs="Times New Roman"/>
          <w:sz w:val="24"/>
          <w:szCs w:val="24"/>
        </w:rPr>
        <w:t xml:space="preserve">Atmospheric Chemistry and Dynamics Laboratory, NASA Goddard Space Flight Center </w:t>
      </w:r>
      <w:r w:rsidRPr="003144EF">
        <w:rPr>
          <w:rFonts w:ascii="Times New Roman" w:hAnsi="Times New Roman" w:cs="Times New Roman"/>
          <w:sz w:val="24"/>
          <w:szCs w:val="24"/>
          <w:vertAlign w:val="superscript"/>
        </w:rPr>
        <w:t>3</w:t>
      </w:r>
      <w:r w:rsidRPr="003144EF">
        <w:rPr>
          <w:rFonts w:ascii="Times New Roman" w:hAnsi="Times New Roman" w:cs="Times New Roman"/>
          <w:sz w:val="24"/>
          <w:szCs w:val="24"/>
        </w:rPr>
        <w:t xml:space="preserve">Department of Geology and Environmental Science, University of Pittsburgh </w:t>
      </w:r>
      <w:r w:rsidRPr="003144EF">
        <w:rPr>
          <w:rFonts w:ascii="Times New Roman" w:hAnsi="Times New Roman" w:cs="Times New Roman"/>
          <w:sz w:val="24"/>
          <w:szCs w:val="24"/>
          <w:vertAlign w:val="superscript"/>
        </w:rPr>
        <w:t>4</w:t>
      </w:r>
      <w:r w:rsidRPr="003144EF">
        <w:rPr>
          <w:rFonts w:ascii="Times New Roman" w:hAnsi="Times New Roman" w:cs="Times New Roman"/>
          <w:sz w:val="24"/>
          <w:szCs w:val="24"/>
        </w:rPr>
        <w:t xml:space="preserve">Air Resources Laboratory, National Oceanic and Atmospheric Administration </w:t>
      </w:r>
    </w:p>
    <w:p w14:paraId="1476AC1A" w14:textId="77777777" w:rsidR="00E20A49" w:rsidRDefault="00E20A49" w:rsidP="00E20A49">
      <w:pPr>
        <w:ind w:left="720" w:hanging="720"/>
        <w:rPr>
          <w:rFonts w:ascii="Times New Roman" w:hAnsi="Times New Roman" w:cs="Times New Roman"/>
          <w:b/>
          <w:bCs/>
          <w:sz w:val="24"/>
          <w:szCs w:val="24"/>
          <w:u w:val="single"/>
        </w:rPr>
      </w:pPr>
    </w:p>
    <w:p w14:paraId="27B51E70" w14:textId="77777777" w:rsidR="00E20A49" w:rsidRPr="00100CD0" w:rsidRDefault="00E20A49" w:rsidP="00E20A49">
      <w:pPr>
        <w:ind w:left="720" w:hanging="720"/>
        <w:rPr>
          <w:rFonts w:ascii="Times New Roman" w:hAnsi="Times New Roman" w:cs="Times New Roman"/>
          <w:b/>
          <w:bCs/>
          <w:sz w:val="24"/>
          <w:szCs w:val="24"/>
          <w:u w:val="single"/>
        </w:rPr>
      </w:pPr>
      <w:r w:rsidRPr="00100CD0">
        <w:rPr>
          <w:rFonts w:ascii="Times New Roman" w:hAnsi="Times New Roman" w:cs="Times New Roman"/>
          <w:b/>
          <w:bCs/>
          <w:sz w:val="24"/>
          <w:szCs w:val="24"/>
          <w:u w:val="single"/>
        </w:rPr>
        <w:t>Supplemental Material:</w:t>
      </w:r>
    </w:p>
    <w:p w14:paraId="6A5D82FB" w14:textId="77777777" w:rsidR="00E20A49" w:rsidRPr="00100CD0" w:rsidRDefault="00E20A49" w:rsidP="00E20A49">
      <w:pPr>
        <w:ind w:left="720" w:hanging="720"/>
        <w:rPr>
          <w:rFonts w:ascii="Times New Roman" w:hAnsi="Times New Roman" w:cs="Times New Roman"/>
          <w:b/>
          <w:bCs/>
          <w:sz w:val="24"/>
          <w:szCs w:val="24"/>
          <w:u w:val="single"/>
        </w:rPr>
      </w:pPr>
    </w:p>
    <w:p w14:paraId="2076BE4A"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b/>
          <w:bCs/>
          <w:noProof/>
          <w:sz w:val="24"/>
          <w:szCs w:val="24"/>
        </w:rPr>
        <w:t>Table S1:</w:t>
      </w:r>
      <w:r w:rsidRPr="00100CD0">
        <w:rPr>
          <w:rFonts w:ascii="Times New Roman" w:hAnsi="Times New Roman" w:cs="Times New Roman"/>
          <w:noProof/>
          <w:sz w:val="24"/>
          <w:szCs w:val="24"/>
        </w:rPr>
        <w:t xml:space="preserve"> All observed species reported from the whole air samples. When applicable, the corresponding MCMv3.3.1 and CB6r2 identifier are included. </w:t>
      </w:r>
    </w:p>
    <w:tbl>
      <w:tblPr>
        <w:tblStyle w:val="TableGrid"/>
        <w:tblW w:w="0" w:type="auto"/>
        <w:tblLook w:val="04A0" w:firstRow="1" w:lastRow="0" w:firstColumn="1" w:lastColumn="0" w:noHBand="0" w:noVBand="1"/>
      </w:tblPr>
      <w:tblGrid>
        <w:gridCol w:w="3527"/>
        <w:gridCol w:w="2951"/>
        <w:gridCol w:w="2872"/>
      </w:tblGrid>
      <w:tr w:rsidR="00E20A49" w:rsidRPr="00100CD0" w14:paraId="2B6926E9" w14:textId="77777777" w:rsidTr="00BC39E5">
        <w:tc>
          <w:tcPr>
            <w:tcW w:w="3527" w:type="dxa"/>
          </w:tcPr>
          <w:p w14:paraId="066ECDF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b/>
                <w:bCs/>
                <w:sz w:val="24"/>
                <w:szCs w:val="24"/>
              </w:rPr>
              <w:t>Observation Name</w:t>
            </w:r>
          </w:p>
        </w:tc>
        <w:tc>
          <w:tcPr>
            <w:tcW w:w="2951" w:type="dxa"/>
          </w:tcPr>
          <w:p w14:paraId="63E02F3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b/>
                <w:bCs/>
                <w:sz w:val="24"/>
                <w:szCs w:val="24"/>
              </w:rPr>
              <w:t>MCMv3.3.1 Name</w:t>
            </w:r>
          </w:p>
        </w:tc>
        <w:tc>
          <w:tcPr>
            <w:tcW w:w="2872" w:type="dxa"/>
          </w:tcPr>
          <w:p w14:paraId="2A80D49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b/>
                <w:bCs/>
                <w:sz w:val="24"/>
                <w:szCs w:val="24"/>
              </w:rPr>
              <w:t>CB6r2 Name</w:t>
            </w:r>
          </w:p>
        </w:tc>
      </w:tr>
      <w:tr w:rsidR="00E20A49" w:rsidRPr="00100CD0" w14:paraId="1B63CB28" w14:textId="77777777" w:rsidTr="00BC39E5">
        <w:tc>
          <w:tcPr>
            <w:tcW w:w="3527" w:type="dxa"/>
          </w:tcPr>
          <w:p w14:paraId="7C0681F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Acrolein</w:t>
            </w:r>
          </w:p>
        </w:tc>
        <w:tc>
          <w:tcPr>
            <w:tcW w:w="2951" w:type="dxa"/>
          </w:tcPr>
          <w:p w14:paraId="20B60D2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ACR</w:t>
            </w:r>
          </w:p>
        </w:tc>
        <w:tc>
          <w:tcPr>
            <w:tcW w:w="2872" w:type="dxa"/>
          </w:tcPr>
          <w:p w14:paraId="03241C7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ALDX</w:t>
            </w:r>
          </w:p>
        </w:tc>
      </w:tr>
      <w:tr w:rsidR="00E20A49" w:rsidRPr="00100CD0" w14:paraId="75735CBD" w14:textId="77777777" w:rsidTr="00BC39E5">
        <w:trPr>
          <w:trHeight w:val="126"/>
        </w:trPr>
        <w:tc>
          <w:tcPr>
            <w:tcW w:w="3527" w:type="dxa"/>
            <w:hideMark/>
          </w:tcPr>
          <w:p w14:paraId="5E75888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aPinene</w:t>
            </w:r>
          </w:p>
        </w:tc>
        <w:tc>
          <w:tcPr>
            <w:tcW w:w="2951" w:type="dxa"/>
            <w:hideMark/>
          </w:tcPr>
          <w:p w14:paraId="5E03D9C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APINENE</w:t>
            </w:r>
          </w:p>
        </w:tc>
        <w:tc>
          <w:tcPr>
            <w:tcW w:w="2872" w:type="dxa"/>
            <w:hideMark/>
          </w:tcPr>
          <w:p w14:paraId="54C71B6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APIN</w:t>
            </w:r>
          </w:p>
        </w:tc>
      </w:tr>
      <w:tr w:rsidR="00E20A49" w:rsidRPr="00100CD0" w14:paraId="558E99D7" w14:textId="77777777" w:rsidTr="00BC39E5">
        <w:trPr>
          <w:trHeight w:val="66"/>
        </w:trPr>
        <w:tc>
          <w:tcPr>
            <w:tcW w:w="3527" w:type="dxa"/>
            <w:hideMark/>
          </w:tcPr>
          <w:p w14:paraId="65B9B77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Benzene</w:t>
            </w:r>
          </w:p>
        </w:tc>
        <w:tc>
          <w:tcPr>
            <w:tcW w:w="2951" w:type="dxa"/>
            <w:hideMark/>
          </w:tcPr>
          <w:p w14:paraId="20BF62C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BENZENE</w:t>
            </w:r>
          </w:p>
        </w:tc>
        <w:tc>
          <w:tcPr>
            <w:tcW w:w="2872" w:type="dxa"/>
            <w:hideMark/>
          </w:tcPr>
          <w:p w14:paraId="693C9E3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50832926" w14:textId="77777777" w:rsidTr="00BC39E5">
        <w:trPr>
          <w:trHeight w:val="66"/>
        </w:trPr>
        <w:tc>
          <w:tcPr>
            <w:tcW w:w="3527" w:type="dxa"/>
            <w:hideMark/>
          </w:tcPr>
          <w:p w14:paraId="5AB0C29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bPinene</w:t>
            </w:r>
          </w:p>
        </w:tc>
        <w:tc>
          <w:tcPr>
            <w:tcW w:w="2951" w:type="dxa"/>
            <w:hideMark/>
          </w:tcPr>
          <w:p w14:paraId="4A2613D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BPINENE</w:t>
            </w:r>
          </w:p>
        </w:tc>
        <w:tc>
          <w:tcPr>
            <w:tcW w:w="2872" w:type="dxa"/>
            <w:hideMark/>
          </w:tcPr>
          <w:p w14:paraId="31D4EC8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TERP</w:t>
            </w:r>
          </w:p>
        </w:tc>
      </w:tr>
      <w:tr w:rsidR="00E20A49" w:rsidRPr="00100CD0" w14:paraId="3A8ACDE2" w14:textId="77777777" w:rsidTr="00BC39E5">
        <w:trPr>
          <w:trHeight w:val="66"/>
        </w:trPr>
        <w:tc>
          <w:tcPr>
            <w:tcW w:w="3527" w:type="dxa"/>
            <w:hideMark/>
          </w:tcPr>
          <w:p w14:paraId="52CE676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x1Butene</w:t>
            </w:r>
          </w:p>
        </w:tc>
        <w:tc>
          <w:tcPr>
            <w:tcW w:w="2951" w:type="dxa"/>
            <w:hideMark/>
          </w:tcPr>
          <w:p w14:paraId="5362AB8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BUT1ENE</w:t>
            </w:r>
          </w:p>
        </w:tc>
        <w:tc>
          <w:tcPr>
            <w:tcW w:w="2872" w:type="dxa"/>
            <w:hideMark/>
          </w:tcPr>
          <w:p w14:paraId="0B5AEEE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OLE</w:t>
            </w:r>
          </w:p>
        </w:tc>
      </w:tr>
      <w:tr w:rsidR="00E20A49" w:rsidRPr="00100CD0" w14:paraId="089D2046" w14:textId="77777777" w:rsidTr="00BC39E5">
        <w:trPr>
          <w:trHeight w:val="66"/>
        </w:trPr>
        <w:tc>
          <w:tcPr>
            <w:tcW w:w="3527" w:type="dxa"/>
            <w:hideMark/>
          </w:tcPr>
          <w:p w14:paraId="7A092E0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Ethyne</w:t>
            </w:r>
          </w:p>
        </w:tc>
        <w:tc>
          <w:tcPr>
            <w:tcW w:w="2951" w:type="dxa"/>
            <w:hideMark/>
          </w:tcPr>
          <w:p w14:paraId="4D37444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C2H2</w:t>
            </w:r>
          </w:p>
        </w:tc>
        <w:tc>
          <w:tcPr>
            <w:tcW w:w="2872" w:type="dxa"/>
            <w:hideMark/>
          </w:tcPr>
          <w:p w14:paraId="5C42C56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ETHY</w:t>
            </w:r>
          </w:p>
        </w:tc>
      </w:tr>
      <w:tr w:rsidR="00E20A49" w:rsidRPr="00100CD0" w14:paraId="1D4E7B15" w14:textId="77777777" w:rsidTr="00BC39E5">
        <w:trPr>
          <w:trHeight w:val="66"/>
        </w:trPr>
        <w:tc>
          <w:tcPr>
            <w:tcW w:w="3527" w:type="dxa"/>
            <w:hideMark/>
          </w:tcPr>
          <w:p w14:paraId="0EEBD4F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Ethylene</w:t>
            </w:r>
          </w:p>
        </w:tc>
        <w:tc>
          <w:tcPr>
            <w:tcW w:w="2951" w:type="dxa"/>
            <w:hideMark/>
          </w:tcPr>
          <w:p w14:paraId="08555EF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C2H4</w:t>
            </w:r>
          </w:p>
        </w:tc>
        <w:tc>
          <w:tcPr>
            <w:tcW w:w="2872" w:type="dxa"/>
            <w:hideMark/>
          </w:tcPr>
          <w:p w14:paraId="4E29312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w:t>
            </w:r>
          </w:p>
        </w:tc>
      </w:tr>
      <w:tr w:rsidR="00E20A49" w:rsidRPr="00100CD0" w14:paraId="4A0E6249" w14:textId="77777777" w:rsidTr="00BC39E5">
        <w:trPr>
          <w:trHeight w:val="66"/>
        </w:trPr>
        <w:tc>
          <w:tcPr>
            <w:tcW w:w="3527" w:type="dxa"/>
            <w:hideMark/>
          </w:tcPr>
          <w:p w14:paraId="66D4A20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Ethane</w:t>
            </w:r>
          </w:p>
        </w:tc>
        <w:tc>
          <w:tcPr>
            <w:tcW w:w="2951" w:type="dxa"/>
            <w:hideMark/>
          </w:tcPr>
          <w:p w14:paraId="0658D8B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C2H6</w:t>
            </w:r>
          </w:p>
        </w:tc>
        <w:tc>
          <w:tcPr>
            <w:tcW w:w="2872" w:type="dxa"/>
            <w:hideMark/>
          </w:tcPr>
          <w:p w14:paraId="197F773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ETHA</w:t>
            </w:r>
          </w:p>
        </w:tc>
      </w:tr>
      <w:tr w:rsidR="00E20A49" w:rsidRPr="00100CD0" w14:paraId="330F6404" w14:textId="77777777" w:rsidTr="00BC39E5">
        <w:trPr>
          <w:trHeight w:val="66"/>
        </w:trPr>
        <w:tc>
          <w:tcPr>
            <w:tcW w:w="3527" w:type="dxa"/>
            <w:hideMark/>
          </w:tcPr>
          <w:p w14:paraId="24DD5F6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Propylene</w:t>
            </w:r>
          </w:p>
        </w:tc>
        <w:tc>
          <w:tcPr>
            <w:tcW w:w="2951" w:type="dxa"/>
            <w:hideMark/>
          </w:tcPr>
          <w:p w14:paraId="5BA237A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C3H6</w:t>
            </w:r>
          </w:p>
        </w:tc>
        <w:tc>
          <w:tcPr>
            <w:tcW w:w="2872" w:type="dxa"/>
            <w:hideMark/>
          </w:tcPr>
          <w:p w14:paraId="793CF85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OLE</w:t>
            </w:r>
          </w:p>
        </w:tc>
      </w:tr>
      <w:tr w:rsidR="00E20A49" w:rsidRPr="00100CD0" w14:paraId="48A59840" w14:textId="77777777" w:rsidTr="00BC39E5">
        <w:trPr>
          <w:trHeight w:val="66"/>
        </w:trPr>
        <w:tc>
          <w:tcPr>
            <w:tcW w:w="3527" w:type="dxa"/>
            <w:hideMark/>
          </w:tcPr>
          <w:p w14:paraId="707CBB9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Propane</w:t>
            </w:r>
          </w:p>
        </w:tc>
        <w:tc>
          <w:tcPr>
            <w:tcW w:w="2951" w:type="dxa"/>
            <w:hideMark/>
          </w:tcPr>
          <w:p w14:paraId="7C35EE1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C3H8</w:t>
            </w:r>
          </w:p>
        </w:tc>
        <w:tc>
          <w:tcPr>
            <w:tcW w:w="2872" w:type="dxa"/>
            <w:hideMark/>
          </w:tcPr>
          <w:p w14:paraId="3BFBDEF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PRPA</w:t>
            </w:r>
          </w:p>
        </w:tc>
      </w:tr>
      <w:tr w:rsidR="00E20A49" w:rsidRPr="00100CD0" w14:paraId="180CA8BD" w14:textId="77777777" w:rsidTr="00BC39E5">
        <w:trPr>
          <w:trHeight w:val="66"/>
        </w:trPr>
        <w:tc>
          <w:tcPr>
            <w:tcW w:w="3527" w:type="dxa"/>
            <w:hideMark/>
          </w:tcPr>
          <w:p w14:paraId="13CEA60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x13butadiene</w:t>
            </w:r>
          </w:p>
        </w:tc>
        <w:tc>
          <w:tcPr>
            <w:tcW w:w="2951" w:type="dxa"/>
            <w:hideMark/>
          </w:tcPr>
          <w:p w14:paraId="79C3CE5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C4H6</w:t>
            </w:r>
          </w:p>
        </w:tc>
        <w:tc>
          <w:tcPr>
            <w:tcW w:w="2872" w:type="dxa"/>
            <w:hideMark/>
          </w:tcPr>
          <w:p w14:paraId="67CF556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50F7371" w14:textId="77777777" w:rsidTr="00BC39E5">
        <w:trPr>
          <w:trHeight w:val="66"/>
        </w:trPr>
        <w:tc>
          <w:tcPr>
            <w:tcW w:w="3527" w:type="dxa"/>
            <w:hideMark/>
          </w:tcPr>
          <w:p w14:paraId="38B21D5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Isoprene</w:t>
            </w:r>
          </w:p>
        </w:tc>
        <w:tc>
          <w:tcPr>
            <w:tcW w:w="2951" w:type="dxa"/>
            <w:hideMark/>
          </w:tcPr>
          <w:p w14:paraId="241CAC2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C5H8</w:t>
            </w:r>
          </w:p>
        </w:tc>
        <w:tc>
          <w:tcPr>
            <w:tcW w:w="2872" w:type="dxa"/>
            <w:hideMark/>
          </w:tcPr>
          <w:p w14:paraId="7B04752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ISOP</w:t>
            </w:r>
          </w:p>
        </w:tc>
      </w:tr>
      <w:tr w:rsidR="00E20A49" w:rsidRPr="00100CD0" w14:paraId="166BDCA2" w14:textId="77777777" w:rsidTr="00BC39E5">
        <w:trPr>
          <w:trHeight w:val="66"/>
        </w:trPr>
        <w:tc>
          <w:tcPr>
            <w:tcW w:w="3527" w:type="dxa"/>
            <w:hideMark/>
          </w:tcPr>
          <w:p w14:paraId="6CCCB64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Cis2Butene</w:t>
            </w:r>
          </w:p>
        </w:tc>
        <w:tc>
          <w:tcPr>
            <w:tcW w:w="2951" w:type="dxa"/>
            <w:hideMark/>
          </w:tcPr>
          <w:p w14:paraId="0478AD5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CBUT2ENE</w:t>
            </w:r>
          </w:p>
        </w:tc>
        <w:tc>
          <w:tcPr>
            <w:tcW w:w="2872" w:type="dxa"/>
            <w:hideMark/>
          </w:tcPr>
          <w:p w14:paraId="249F82D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IOLE</w:t>
            </w:r>
          </w:p>
        </w:tc>
      </w:tr>
      <w:tr w:rsidR="00E20A49" w:rsidRPr="00100CD0" w14:paraId="3FF432CD" w14:textId="77777777" w:rsidTr="00BC39E5">
        <w:trPr>
          <w:trHeight w:val="66"/>
        </w:trPr>
        <w:tc>
          <w:tcPr>
            <w:tcW w:w="3527" w:type="dxa"/>
            <w:hideMark/>
          </w:tcPr>
          <w:p w14:paraId="42FBFAD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x11dichloroethene</w:t>
            </w:r>
          </w:p>
        </w:tc>
        <w:tc>
          <w:tcPr>
            <w:tcW w:w="2951" w:type="dxa"/>
            <w:hideMark/>
          </w:tcPr>
          <w:p w14:paraId="57D392C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CCL2CH2</w:t>
            </w:r>
          </w:p>
        </w:tc>
        <w:tc>
          <w:tcPr>
            <w:tcW w:w="2872" w:type="dxa"/>
            <w:hideMark/>
          </w:tcPr>
          <w:p w14:paraId="6AB1BED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975133B" w14:textId="77777777" w:rsidTr="00BC39E5">
        <w:trPr>
          <w:trHeight w:val="66"/>
        </w:trPr>
        <w:tc>
          <w:tcPr>
            <w:tcW w:w="3527" w:type="dxa"/>
            <w:hideMark/>
          </w:tcPr>
          <w:p w14:paraId="164DA86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Dichloromethane</w:t>
            </w:r>
          </w:p>
        </w:tc>
        <w:tc>
          <w:tcPr>
            <w:tcW w:w="2951" w:type="dxa"/>
            <w:hideMark/>
          </w:tcPr>
          <w:p w14:paraId="3C417D2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CH2CL2</w:t>
            </w:r>
          </w:p>
        </w:tc>
        <w:tc>
          <w:tcPr>
            <w:tcW w:w="2872" w:type="dxa"/>
            <w:hideMark/>
          </w:tcPr>
          <w:p w14:paraId="376A70C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523A26D" w14:textId="77777777" w:rsidTr="00BC39E5">
        <w:trPr>
          <w:trHeight w:val="66"/>
        </w:trPr>
        <w:tc>
          <w:tcPr>
            <w:tcW w:w="3527" w:type="dxa"/>
            <w:hideMark/>
          </w:tcPr>
          <w:p w14:paraId="6B6F73D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x112TCEA</w:t>
            </w:r>
          </w:p>
        </w:tc>
        <w:tc>
          <w:tcPr>
            <w:tcW w:w="2951" w:type="dxa"/>
            <w:hideMark/>
          </w:tcPr>
          <w:p w14:paraId="2DBC85F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CH2CLCHCL2</w:t>
            </w:r>
          </w:p>
        </w:tc>
        <w:tc>
          <w:tcPr>
            <w:tcW w:w="2872" w:type="dxa"/>
            <w:hideMark/>
          </w:tcPr>
          <w:p w14:paraId="346BC2F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352FC84" w14:textId="77777777" w:rsidTr="00BC39E5">
        <w:trPr>
          <w:trHeight w:val="66"/>
        </w:trPr>
        <w:tc>
          <w:tcPr>
            <w:tcW w:w="3527" w:type="dxa"/>
            <w:hideMark/>
          </w:tcPr>
          <w:p w14:paraId="631AEC8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Bromomethane</w:t>
            </w:r>
          </w:p>
        </w:tc>
        <w:tc>
          <w:tcPr>
            <w:tcW w:w="2951" w:type="dxa"/>
            <w:hideMark/>
          </w:tcPr>
          <w:p w14:paraId="1AF0514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CH3BR</w:t>
            </w:r>
          </w:p>
        </w:tc>
        <w:tc>
          <w:tcPr>
            <w:tcW w:w="2872" w:type="dxa"/>
            <w:hideMark/>
          </w:tcPr>
          <w:p w14:paraId="106AFC0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BB5312B" w14:textId="77777777" w:rsidTr="00BC39E5">
        <w:trPr>
          <w:trHeight w:val="133"/>
        </w:trPr>
        <w:tc>
          <w:tcPr>
            <w:tcW w:w="3527" w:type="dxa"/>
            <w:hideMark/>
          </w:tcPr>
          <w:p w14:paraId="51AE56B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x111TCEA</w:t>
            </w:r>
          </w:p>
        </w:tc>
        <w:tc>
          <w:tcPr>
            <w:tcW w:w="2951" w:type="dxa"/>
            <w:hideMark/>
          </w:tcPr>
          <w:p w14:paraId="28410FE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CH3CCL3</w:t>
            </w:r>
          </w:p>
        </w:tc>
        <w:tc>
          <w:tcPr>
            <w:tcW w:w="2872" w:type="dxa"/>
            <w:hideMark/>
          </w:tcPr>
          <w:p w14:paraId="630B186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85F243A" w14:textId="77777777" w:rsidTr="00BC39E5">
        <w:trPr>
          <w:trHeight w:val="66"/>
        </w:trPr>
        <w:tc>
          <w:tcPr>
            <w:tcW w:w="3527" w:type="dxa"/>
            <w:hideMark/>
          </w:tcPr>
          <w:p w14:paraId="312C061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Chloroethane</w:t>
            </w:r>
          </w:p>
        </w:tc>
        <w:tc>
          <w:tcPr>
            <w:tcW w:w="2951" w:type="dxa"/>
            <w:hideMark/>
          </w:tcPr>
          <w:p w14:paraId="00F2F83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CH3CH2CL</w:t>
            </w:r>
          </w:p>
        </w:tc>
        <w:tc>
          <w:tcPr>
            <w:tcW w:w="2872" w:type="dxa"/>
            <w:hideMark/>
          </w:tcPr>
          <w:p w14:paraId="0429885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D9D6E21" w14:textId="77777777" w:rsidTr="00BC39E5">
        <w:trPr>
          <w:trHeight w:val="66"/>
        </w:trPr>
        <w:tc>
          <w:tcPr>
            <w:tcW w:w="3527" w:type="dxa"/>
            <w:hideMark/>
          </w:tcPr>
          <w:p w14:paraId="04FDAF2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Chloromethane</w:t>
            </w:r>
          </w:p>
        </w:tc>
        <w:tc>
          <w:tcPr>
            <w:tcW w:w="2951" w:type="dxa"/>
            <w:hideMark/>
          </w:tcPr>
          <w:p w14:paraId="1334485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CH3CL</w:t>
            </w:r>
          </w:p>
        </w:tc>
        <w:tc>
          <w:tcPr>
            <w:tcW w:w="2872" w:type="dxa"/>
            <w:hideMark/>
          </w:tcPr>
          <w:p w14:paraId="57C8637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0CF5C9D" w14:textId="77777777" w:rsidTr="00BC39E5">
        <w:trPr>
          <w:trHeight w:val="66"/>
        </w:trPr>
        <w:tc>
          <w:tcPr>
            <w:tcW w:w="3527" w:type="dxa"/>
            <w:hideMark/>
          </w:tcPr>
          <w:p w14:paraId="5B96B8E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CH4</w:t>
            </w:r>
          </w:p>
        </w:tc>
        <w:tc>
          <w:tcPr>
            <w:tcW w:w="2951" w:type="dxa"/>
            <w:hideMark/>
          </w:tcPr>
          <w:p w14:paraId="4040A31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CH4</w:t>
            </w:r>
          </w:p>
        </w:tc>
        <w:tc>
          <w:tcPr>
            <w:tcW w:w="2872" w:type="dxa"/>
            <w:hideMark/>
          </w:tcPr>
          <w:p w14:paraId="0ABD075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CH4</w:t>
            </w:r>
          </w:p>
        </w:tc>
      </w:tr>
      <w:tr w:rsidR="00E20A49" w:rsidRPr="00100CD0" w14:paraId="5CD7FDD1" w14:textId="77777777" w:rsidTr="00BC39E5">
        <w:trPr>
          <w:trHeight w:val="66"/>
        </w:trPr>
        <w:tc>
          <w:tcPr>
            <w:tcW w:w="3527" w:type="dxa"/>
            <w:hideMark/>
          </w:tcPr>
          <w:p w14:paraId="7E20BBD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lastRenderedPageBreak/>
              <w:t>x11DCEA</w:t>
            </w:r>
          </w:p>
        </w:tc>
        <w:tc>
          <w:tcPr>
            <w:tcW w:w="2951" w:type="dxa"/>
            <w:hideMark/>
          </w:tcPr>
          <w:p w14:paraId="48D3FC6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CHCL2CH3</w:t>
            </w:r>
          </w:p>
        </w:tc>
        <w:tc>
          <w:tcPr>
            <w:tcW w:w="2872" w:type="dxa"/>
            <w:hideMark/>
          </w:tcPr>
          <w:p w14:paraId="0786E3A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B5A0924" w14:textId="77777777" w:rsidTr="00BC39E5">
        <w:trPr>
          <w:trHeight w:val="66"/>
        </w:trPr>
        <w:tc>
          <w:tcPr>
            <w:tcW w:w="3527" w:type="dxa"/>
            <w:hideMark/>
          </w:tcPr>
          <w:p w14:paraId="653122B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x1122Tetrachloroethane</w:t>
            </w:r>
          </w:p>
        </w:tc>
        <w:tc>
          <w:tcPr>
            <w:tcW w:w="2951" w:type="dxa"/>
            <w:hideMark/>
          </w:tcPr>
          <w:p w14:paraId="290D1CD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CHCL2CHCL2</w:t>
            </w:r>
          </w:p>
        </w:tc>
        <w:tc>
          <w:tcPr>
            <w:tcW w:w="2872" w:type="dxa"/>
            <w:hideMark/>
          </w:tcPr>
          <w:p w14:paraId="77177E6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25BA197" w14:textId="77777777" w:rsidTr="00BC39E5">
        <w:trPr>
          <w:trHeight w:val="66"/>
        </w:trPr>
        <w:tc>
          <w:tcPr>
            <w:tcW w:w="3527" w:type="dxa"/>
            <w:hideMark/>
          </w:tcPr>
          <w:p w14:paraId="281D998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Chloroform</w:t>
            </w:r>
          </w:p>
        </w:tc>
        <w:tc>
          <w:tcPr>
            <w:tcW w:w="2951" w:type="dxa"/>
            <w:hideMark/>
          </w:tcPr>
          <w:p w14:paraId="12967AC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CHCL3</w:t>
            </w:r>
          </w:p>
        </w:tc>
        <w:tc>
          <w:tcPr>
            <w:tcW w:w="2872" w:type="dxa"/>
            <w:hideMark/>
          </w:tcPr>
          <w:p w14:paraId="31F1BFE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A340E9D" w14:textId="77777777" w:rsidTr="00BC39E5">
        <w:trPr>
          <w:trHeight w:val="133"/>
        </w:trPr>
        <w:tc>
          <w:tcPr>
            <w:tcW w:w="3527" w:type="dxa"/>
            <w:hideMark/>
          </w:tcPr>
          <w:p w14:paraId="3052D8D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Cyclohexane</w:t>
            </w:r>
          </w:p>
        </w:tc>
        <w:tc>
          <w:tcPr>
            <w:tcW w:w="2951" w:type="dxa"/>
            <w:hideMark/>
          </w:tcPr>
          <w:p w14:paraId="7554EE9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CHEX</w:t>
            </w:r>
          </w:p>
        </w:tc>
        <w:tc>
          <w:tcPr>
            <w:tcW w:w="2872" w:type="dxa"/>
            <w:hideMark/>
          </w:tcPr>
          <w:p w14:paraId="565306A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7F94F834" w14:textId="77777777" w:rsidTr="00BC39E5">
        <w:trPr>
          <w:trHeight w:val="66"/>
        </w:trPr>
        <w:tc>
          <w:tcPr>
            <w:tcW w:w="3527" w:type="dxa"/>
            <w:hideMark/>
          </w:tcPr>
          <w:p w14:paraId="4A2168D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x12DCPA</w:t>
            </w:r>
          </w:p>
        </w:tc>
        <w:tc>
          <w:tcPr>
            <w:tcW w:w="2951" w:type="dxa"/>
            <w:hideMark/>
          </w:tcPr>
          <w:p w14:paraId="7EC0B93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CL12PROP</w:t>
            </w:r>
          </w:p>
        </w:tc>
        <w:tc>
          <w:tcPr>
            <w:tcW w:w="2872" w:type="dxa"/>
            <w:hideMark/>
          </w:tcPr>
          <w:p w14:paraId="428EE93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7B93FAF" w14:textId="77777777" w:rsidTr="00BC39E5">
        <w:trPr>
          <w:trHeight w:val="66"/>
        </w:trPr>
        <w:tc>
          <w:tcPr>
            <w:tcW w:w="3527" w:type="dxa"/>
            <w:hideMark/>
          </w:tcPr>
          <w:p w14:paraId="1102E95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CO</w:t>
            </w:r>
          </w:p>
        </w:tc>
        <w:tc>
          <w:tcPr>
            <w:tcW w:w="2951" w:type="dxa"/>
            <w:hideMark/>
          </w:tcPr>
          <w:p w14:paraId="37BD76C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CO</w:t>
            </w:r>
          </w:p>
        </w:tc>
        <w:tc>
          <w:tcPr>
            <w:tcW w:w="2872" w:type="dxa"/>
            <w:hideMark/>
          </w:tcPr>
          <w:p w14:paraId="7A83A76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CO</w:t>
            </w:r>
          </w:p>
        </w:tc>
      </w:tr>
      <w:tr w:rsidR="00E20A49" w:rsidRPr="00100CD0" w14:paraId="56CC1781" w14:textId="77777777" w:rsidTr="00BC39E5">
        <w:trPr>
          <w:trHeight w:val="66"/>
        </w:trPr>
        <w:tc>
          <w:tcPr>
            <w:tcW w:w="3527" w:type="dxa"/>
            <w:hideMark/>
          </w:tcPr>
          <w:p w14:paraId="08CCD16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cis2Pentene</w:t>
            </w:r>
          </w:p>
        </w:tc>
        <w:tc>
          <w:tcPr>
            <w:tcW w:w="2951" w:type="dxa"/>
            <w:hideMark/>
          </w:tcPr>
          <w:p w14:paraId="348A121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CPENT2ENE</w:t>
            </w:r>
          </w:p>
        </w:tc>
        <w:tc>
          <w:tcPr>
            <w:tcW w:w="2872" w:type="dxa"/>
            <w:hideMark/>
          </w:tcPr>
          <w:p w14:paraId="2FE3F21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IOLE</w:t>
            </w:r>
          </w:p>
        </w:tc>
      </w:tr>
      <w:tr w:rsidR="00E20A49" w:rsidRPr="00100CD0" w14:paraId="298B6A17" w14:textId="77777777" w:rsidTr="00BC39E5">
        <w:trPr>
          <w:trHeight w:val="66"/>
        </w:trPr>
        <w:tc>
          <w:tcPr>
            <w:tcW w:w="3527" w:type="dxa"/>
            <w:hideMark/>
          </w:tcPr>
          <w:p w14:paraId="6EAE88F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x12Dibromoethane</w:t>
            </w:r>
          </w:p>
        </w:tc>
        <w:tc>
          <w:tcPr>
            <w:tcW w:w="2951" w:type="dxa"/>
            <w:hideMark/>
          </w:tcPr>
          <w:p w14:paraId="38C8D15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DIBRET</w:t>
            </w:r>
          </w:p>
        </w:tc>
        <w:tc>
          <w:tcPr>
            <w:tcW w:w="2872" w:type="dxa"/>
            <w:hideMark/>
          </w:tcPr>
          <w:p w14:paraId="0B146C4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A234405" w14:textId="77777777" w:rsidTr="00BC39E5">
        <w:trPr>
          <w:trHeight w:val="66"/>
        </w:trPr>
        <w:tc>
          <w:tcPr>
            <w:tcW w:w="3527" w:type="dxa"/>
            <w:hideMark/>
          </w:tcPr>
          <w:p w14:paraId="6471BCF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Ethylbenzene</w:t>
            </w:r>
          </w:p>
        </w:tc>
        <w:tc>
          <w:tcPr>
            <w:tcW w:w="2951" w:type="dxa"/>
            <w:hideMark/>
          </w:tcPr>
          <w:p w14:paraId="7A6B039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EBENZ</w:t>
            </w:r>
          </w:p>
        </w:tc>
        <w:tc>
          <w:tcPr>
            <w:tcW w:w="2872" w:type="dxa"/>
            <w:hideMark/>
          </w:tcPr>
          <w:p w14:paraId="7675394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6ABF50C3" w14:textId="77777777" w:rsidTr="00BC39E5">
        <w:trPr>
          <w:trHeight w:val="66"/>
        </w:trPr>
        <w:tc>
          <w:tcPr>
            <w:tcW w:w="3527" w:type="dxa"/>
            <w:hideMark/>
          </w:tcPr>
          <w:p w14:paraId="05F5249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HCHO</w:t>
            </w:r>
          </w:p>
        </w:tc>
        <w:tc>
          <w:tcPr>
            <w:tcW w:w="2951" w:type="dxa"/>
            <w:hideMark/>
          </w:tcPr>
          <w:p w14:paraId="2889BE9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HCHO</w:t>
            </w:r>
          </w:p>
        </w:tc>
        <w:tc>
          <w:tcPr>
            <w:tcW w:w="2872" w:type="dxa"/>
            <w:hideMark/>
          </w:tcPr>
          <w:p w14:paraId="4760E1B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FORM</w:t>
            </w:r>
          </w:p>
        </w:tc>
      </w:tr>
      <w:tr w:rsidR="00E20A49" w:rsidRPr="00100CD0" w14:paraId="18783A67" w14:textId="77777777" w:rsidTr="00BC39E5">
        <w:trPr>
          <w:trHeight w:val="66"/>
        </w:trPr>
        <w:tc>
          <w:tcPr>
            <w:tcW w:w="3527" w:type="dxa"/>
            <w:hideMark/>
          </w:tcPr>
          <w:p w14:paraId="488A46A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x1Hexene</w:t>
            </w:r>
          </w:p>
        </w:tc>
        <w:tc>
          <w:tcPr>
            <w:tcW w:w="2951" w:type="dxa"/>
            <w:hideMark/>
          </w:tcPr>
          <w:p w14:paraId="7BC500C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HEX1ENE</w:t>
            </w:r>
          </w:p>
        </w:tc>
        <w:tc>
          <w:tcPr>
            <w:tcW w:w="2872" w:type="dxa"/>
            <w:hideMark/>
          </w:tcPr>
          <w:p w14:paraId="4FBCC90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OLE</w:t>
            </w:r>
          </w:p>
        </w:tc>
      </w:tr>
      <w:tr w:rsidR="00E20A49" w:rsidRPr="00100CD0" w14:paraId="66FDCA23" w14:textId="77777777" w:rsidTr="00BC39E5">
        <w:trPr>
          <w:trHeight w:val="66"/>
        </w:trPr>
        <w:tc>
          <w:tcPr>
            <w:tcW w:w="3527" w:type="dxa"/>
            <w:hideMark/>
          </w:tcPr>
          <w:p w14:paraId="576551B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Isobutane</w:t>
            </w:r>
          </w:p>
        </w:tc>
        <w:tc>
          <w:tcPr>
            <w:tcW w:w="2951" w:type="dxa"/>
            <w:hideMark/>
          </w:tcPr>
          <w:p w14:paraId="64FDB51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IC4H10</w:t>
            </w:r>
          </w:p>
        </w:tc>
        <w:tc>
          <w:tcPr>
            <w:tcW w:w="2872" w:type="dxa"/>
            <w:hideMark/>
          </w:tcPr>
          <w:p w14:paraId="7418659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45EF8ECA" w14:textId="77777777" w:rsidTr="00BC39E5">
        <w:trPr>
          <w:trHeight w:val="66"/>
        </w:trPr>
        <w:tc>
          <w:tcPr>
            <w:tcW w:w="3527" w:type="dxa"/>
            <w:hideMark/>
          </w:tcPr>
          <w:p w14:paraId="314085C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Isopentane</w:t>
            </w:r>
          </w:p>
        </w:tc>
        <w:tc>
          <w:tcPr>
            <w:tcW w:w="2951" w:type="dxa"/>
            <w:hideMark/>
          </w:tcPr>
          <w:p w14:paraId="135997D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IC5H12</w:t>
            </w:r>
          </w:p>
        </w:tc>
        <w:tc>
          <w:tcPr>
            <w:tcW w:w="2872" w:type="dxa"/>
            <w:hideMark/>
          </w:tcPr>
          <w:p w14:paraId="6F23A7F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50D3FFED" w14:textId="77777777" w:rsidTr="00BC39E5">
        <w:trPr>
          <w:trHeight w:val="66"/>
        </w:trPr>
        <w:tc>
          <w:tcPr>
            <w:tcW w:w="3527" w:type="dxa"/>
            <w:hideMark/>
          </w:tcPr>
          <w:p w14:paraId="1245B02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Isopropylbenzene</w:t>
            </w:r>
          </w:p>
        </w:tc>
        <w:tc>
          <w:tcPr>
            <w:tcW w:w="2951" w:type="dxa"/>
            <w:hideMark/>
          </w:tcPr>
          <w:p w14:paraId="1682A62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IPBENZ</w:t>
            </w:r>
          </w:p>
        </w:tc>
        <w:tc>
          <w:tcPr>
            <w:tcW w:w="2872" w:type="dxa"/>
            <w:hideMark/>
          </w:tcPr>
          <w:p w14:paraId="2D2DCB1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29F0730E" w14:textId="77777777" w:rsidTr="00BC39E5">
        <w:trPr>
          <w:trHeight w:val="66"/>
        </w:trPr>
        <w:tc>
          <w:tcPr>
            <w:tcW w:w="3527" w:type="dxa"/>
            <w:hideMark/>
          </w:tcPr>
          <w:p w14:paraId="700DFC2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x22Dimethylbutane</w:t>
            </w:r>
          </w:p>
        </w:tc>
        <w:tc>
          <w:tcPr>
            <w:tcW w:w="2951" w:type="dxa"/>
            <w:hideMark/>
          </w:tcPr>
          <w:p w14:paraId="638ED12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M22C4</w:t>
            </w:r>
          </w:p>
        </w:tc>
        <w:tc>
          <w:tcPr>
            <w:tcW w:w="2872" w:type="dxa"/>
            <w:hideMark/>
          </w:tcPr>
          <w:p w14:paraId="78FA007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18DA3C3C" w14:textId="77777777" w:rsidTr="00BC39E5">
        <w:trPr>
          <w:trHeight w:val="66"/>
        </w:trPr>
        <w:tc>
          <w:tcPr>
            <w:tcW w:w="3527" w:type="dxa"/>
            <w:hideMark/>
          </w:tcPr>
          <w:p w14:paraId="087A9EF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x23Dimethylbutane</w:t>
            </w:r>
          </w:p>
        </w:tc>
        <w:tc>
          <w:tcPr>
            <w:tcW w:w="2951" w:type="dxa"/>
            <w:hideMark/>
          </w:tcPr>
          <w:p w14:paraId="6330B95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M23C4</w:t>
            </w:r>
          </w:p>
        </w:tc>
        <w:tc>
          <w:tcPr>
            <w:tcW w:w="2872" w:type="dxa"/>
            <w:hideMark/>
          </w:tcPr>
          <w:p w14:paraId="5F42985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48D66488" w14:textId="77777777" w:rsidTr="00BC39E5">
        <w:trPr>
          <w:trHeight w:val="133"/>
        </w:trPr>
        <w:tc>
          <w:tcPr>
            <w:tcW w:w="3527" w:type="dxa"/>
            <w:hideMark/>
          </w:tcPr>
          <w:p w14:paraId="0745975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x2Methylhexane</w:t>
            </w:r>
          </w:p>
        </w:tc>
        <w:tc>
          <w:tcPr>
            <w:tcW w:w="2951" w:type="dxa"/>
            <w:hideMark/>
          </w:tcPr>
          <w:p w14:paraId="13CC0B1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M2HEX</w:t>
            </w:r>
          </w:p>
        </w:tc>
        <w:tc>
          <w:tcPr>
            <w:tcW w:w="2872" w:type="dxa"/>
            <w:hideMark/>
          </w:tcPr>
          <w:p w14:paraId="15D288C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469B1F76" w14:textId="77777777" w:rsidTr="00BC39E5">
        <w:trPr>
          <w:trHeight w:val="133"/>
        </w:trPr>
        <w:tc>
          <w:tcPr>
            <w:tcW w:w="3527" w:type="dxa"/>
            <w:hideMark/>
          </w:tcPr>
          <w:p w14:paraId="63DB834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x2Methylpentane</w:t>
            </w:r>
          </w:p>
        </w:tc>
        <w:tc>
          <w:tcPr>
            <w:tcW w:w="2951" w:type="dxa"/>
            <w:hideMark/>
          </w:tcPr>
          <w:p w14:paraId="77474A3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M2PE</w:t>
            </w:r>
          </w:p>
        </w:tc>
        <w:tc>
          <w:tcPr>
            <w:tcW w:w="2872" w:type="dxa"/>
            <w:hideMark/>
          </w:tcPr>
          <w:p w14:paraId="04F859D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1F7C2240" w14:textId="77777777" w:rsidTr="00BC39E5">
        <w:trPr>
          <w:trHeight w:val="66"/>
        </w:trPr>
        <w:tc>
          <w:tcPr>
            <w:tcW w:w="3527" w:type="dxa"/>
            <w:hideMark/>
          </w:tcPr>
          <w:p w14:paraId="4812DEF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x3Methylhexane</w:t>
            </w:r>
          </w:p>
        </w:tc>
        <w:tc>
          <w:tcPr>
            <w:tcW w:w="2951" w:type="dxa"/>
            <w:hideMark/>
          </w:tcPr>
          <w:p w14:paraId="17006F3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M3HEX</w:t>
            </w:r>
          </w:p>
        </w:tc>
        <w:tc>
          <w:tcPr>
            <w:tcW w:w="2872" w:type="dxa"/>
            <w:hideMark/>
          </w:tcPr>
          <w:p w14:paraId="06B66CE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42973770" w14:textId="77777777" w:rsidTr="00BC39E5">
        <w:tc>
          <w:tcPr>
            <w:tcW w:w="3527" w:type="dxa"/>
            <w:hideMark/>
          </w:tcPr>
          <w:p w14:paraId="783AA64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x3Methylpentane</w:t>
            </w:r>
          </w:p>
        </w:tc>
        <w:tc>
          <w:tcPr>
            <w:tcW w:w="2951" w:type="dxa"/>
            <w:hideMark/>
          </w:tcPr>
          <w:p w14:paraId="7D0AA28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M3PE</w:t>
            </w:r>
          </w:p>
        </w:tc>
        <w:tc>
          <w:tcPr>
            <w:tcW w:w="2872" w:type="dxa"/>
            <w:hideMark/>
          </w:tcPr>
          <w:p w14:paraId="1C09E4B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6DE56052" w14:textId="77777777" w:rsidTr="00BC39E5">
        <w:trPr>
          <w:trHeight w:val="66"/>
        </w:trPr>
        <w:tc>
          <w:tcPr>
            <w:tcW w:w="3527" w:type="dxa"/>
            <w:hideMark/>
          </w:tcPr>
          <w:p w14:paraId="3E36950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x1Butene_Isobutene</w:t>
            </w:r>
          </w:p>
        </w:tc>
        <w:tc>
          <w:tcPr>
            <w:tcW w:w="2951" w:type="dxa"/>
            <w:hideMark/>
          </w:tcPr>
          <w:p w14:paraId="4F01445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MEPROPENE</w:t>
            </w:r>
          </w:p>
        </w:tc>
        <w:tc>
          <w:tcPr>
            <w:tcW w:w="2872" w:type="dxa"/>
            <w:hideMark/>
          </w:tcPr>
          <w:p w14:paraId="7EA7293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OLE</w:t>
            </w:r>
          </w:p>
        </w:tc>
      </w:tr>
      <w:tr w:rsidR="00E20A49" w:rsidRPr="00100CD0" w14:paraId="012F286B" w14:textId="77777777" w:rsidTr="00BC39E5">
        <w:trPr>
          <w:trHeight w:val="66"/>
        </w:trPr>
        <w:tc>
          <w:tcPr>
            <w:tcW w:w="3527" w:type="dxa"/>
            <w:hideMark/>
          </w:tcPr>
          <w:p w14:paraId="13AD2A4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mEthyltoluene</w:t>
            </w:r>
          </w:p>
        </w:tc>
        <w:tc>
          <w:tcPr>
            <w:tcW w:w="2951" w:type="dxa"/>
            <w:hideMark/>
          </w:tcPr>
          <w:p w14:paraId="753C468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METHTOL</w:t>
            </w:r>
          </w:p>
        </w:tc>
        <w:tc>
          <w:tcPr>
            <w:tcW w:w="2872" w:type="dxa"/>
            <w:hideMark/>
          </w:tcPr>
          <w:p w14:paraId="246992B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w:t>
            </w:r>
          </w:p>
        </w:tc>
      </w:tr>
      <w:tr w:rsidR="00E20A49" w:rsidRPr="00100CD0" w14:paraId="4A685FF0" w14:textId="77777777" w:rsidTr="00BC39E5">
        <w:trPr>
          <w:trHeight w:val="133"/>
        </w:trPr>
        <w:tc>
          <w:tcPr>
            <w:tcW w:w="3527" w:type="dxa"/>
            <w:hideMark/>
          </w:tcPr>
          <w:p w14:paraId="092E367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MTBE</w:t>
            </w:r>
          </w:p>
        </w:tc>
        <w:tc>
          <w:tcPr>
            <w:tcW w:w="2951" w:type="dxa"/>
            <w:hideMark/>
          </w:tcPr>
          <w:p w14:paraId="4CED13E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MTBE</w:t>
            </w:r>
          </w:p>
        </w:tc>
        <w:tc>
          <w:tcPr>
            <w:tcW w:w="2872" w:type="dxa"/>
            <w:hideMark/>
          </w:tcPr>
          <w:p w14:paraId="3E22717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6FFFB62" w14:textId="77777777" w:rsidTr="00BC39E5">
        <w:trPr>
          <w:trHeight w:val="66"/>
        </w:trPr>
        <w:tc>
          <w:tcPr>
            <w:tcW w:w="3527" w:type="dxa"/>
            <w:hideMark/>
          </w:tcPr>
          <w:p w14:paraId="2135556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mpXylene</w:t>
            </w:r>
          </w:p>
        </w:tc>
        <w:tc>
          <w:tcPr>
            <w:tcW w:w="2951" w:type="dxa"/>
            <w:hideMark/>
          </w:tcPr>
          <w:p w14:paraId="16191FE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MXYL</w:t>
            </w:r>
          </w:p>
        </w:tc>
        <w:tc>
          <w:tcPr>
            <w:tcW w:w="2872" w:type="dxa"/>
            <w:hideMark/>
          </w:tcPr>
          <w:p w14:paraId="5CE9236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XYL</w:t>
            </w:r>
          </w:p>
        </w:tc>
      </w:tr>
      <w:tr w:rsidR="00E20A49" w:rsidRPr="00100CD0" w14:paraId="601ECD7C" w14:textId="77777777" w:rsidTr="00BC39E5">
        <w:trPr>
          <w:trHeight w:val="66"/>
        </w:trPr>
        <w:tc>
          <w:tcPr>
            <w:tcW w:w="3527" w:type="dxa"/>
            <w:hideMark/>
          </w:tcPr>
          <w:p w14:paraId="555BDE0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nDecane</w:t>
            </w:r>
          </w:p>
        </w:tc>
        <w:tc>
          <w:tcPr>
            <w:tcW w:w="2951" w:type="dxa"/>
            <w:hideMark/>
          </w:tcPr>
          <w:p w14:paraId="406297E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NC10H22</w:t>
            </w:r>
          </w:p>
        </w:tc>
        <w:tc>
          <w:tcPr>
            <w:tcW w:w="2872" w:type="dxa"/>
            <w:hideMark/>
          </w:tcPr>
          <w:p w14:paraId="21694F9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25B3053B" w14:textId="77777777" w:rsidTr="00BC39E5">
        <w:trPr>
          <w:trHeight w:val="66"/>
        </w:trPr>
        <w:tc>
          <w:tcPr>
            <w:tcW w:w="3527" w:type="dxa"/>
            <w:hideMark/>
          </w:tcPr>
          <w:p w14:paraId="18BDFD6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nUndecane</w:t>
            </w:r>
          </w:p>
        </w:tc>
        <w:tc>
          <w:tcPr>
            <w:tcW w:w="2951" w:type="dxa"/>
            <w:hideMark/>
          </w:tcPr>
          <w:p w14:paraId="4BAEBC0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NC11H24</w:t>
            </w:r>
          </w:p>
        </w:tc>
        <w:tc>
          <w:tcPr>
            <w:tcW w:w="2872" w:type="dxa"/>
            <w:hideMark/>
          </w:tcPr>
          <w:p w14:paraId="096FEBB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6F261CF4" w14:textId="77777777" w:rsidTr="00BC39E5">
        <w:trPr>
          <w:trHeight w:val="66"/>
        </w:trPr>
        <w:tc>
          <w:tcPr>
            <w:tcW w:w="3527" w:type="dxa"/>
            <w:hideMark/>
          </w:tcPr>
          <w:p w14:paraId="5FDC66E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nDodecane</w:t>
            </w:r>
          </w:p>
        </w:tc>
        <w:tc>
          <w:tcPr>
            <w:tcW w:w="2951" w:type="dxa"/>
            <w:hideMark/>
          </w:tcPr>
          <w:p w14:paraId="2565584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NC12H26</w:t>
            </w:r>
          </w:p>
        </w:tc>
        <w:tc>
          <w:tcPr>
            <w:tcW w:w="2872" w:type="dxa"/>
            <w:hideMark/>
          </w:tcPr>
          <w:p w14:paraId="3BF989B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736DBDFE" w14:textId="77777777" w:rsidTr="00BC39E5">
        <w:trPr>
          <w:trHeight w:val="66"/>
        </w:trPr>
        <w:tc>
          <w:tcPr>
            <w:tcW w:w="3527" w:type="dxa"/>
            <w:hideMark/>
          </w:tcPr>
          <w:p w14:paraId="2431C22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nButane</w:t>
            </w:r>
          </w:p>
        </w:tc>
        <w:tc>
          <w:tcPr>
            <w:tcW w:w="2951" w:type="dxa"/>
            <w:hideMark/>
          </w:tcPr>
          <w:p w14:paraId="23F2931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NC4H10</w:t>
            </w:r>
          </w:p>
        </w:tc>
        <w:tc>
          <w:tcPr>
            <w:tcW w:w="2872" w:type="dxa"/>
            <w:hideMark/>
          </w:tcPr>
          <w:p w14:paraId="2C02687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76CDC8F9" w14:textId="77777777" w:rsidTr="00BC39E5">
        <w:trPr>
          <w:trHeight w:val="66"/>
        </w:trPr>
        <w:tc>
          <w:tcPr>
            <w:tcW w:w="3527" w:type="dxa"/>
            <w:hideMark/>
          </w:tcPr>
          <w:p w14:paraId="541EBEA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nPentane</w:t>
            </w:r>
          </w:p>
        </w:tc>
        <w:tc>
          <w:tcPr>
            <w:tcW w:w="2951" w:type="dxa"/>
            <w:hideMark/>
          </w:tcPr>
          <w:p w14:paraId="3A84A61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NC5H12</w:t>
            </w:r>
          </w:p>
        </w:tc>
        <w:tc>
          <w:tcPr>
            <w:tcW w:w="2872" w:type="dxa"/>
            <w:hideMark/>
          </w:tcPr>
          <w:p w14:paraId="0DE3CA1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3DEBA61C" w14:textId="77777777" w:rsidTr="00BC39E5">
        <w:trPr>
          <w:trHeight w:val="66"/>
        </w:trPr>
        <w:tc>
          <w:tcPr>
            <w:tcW w:w="3527" w:type="dxa"/>
            <w:hideMark/>
          </w:tcPr>
          <w:p w14:paraId="4FA3DDC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nHexane</w:t>
            </w:r>
          </w:p>
        </w:tc>
        <w:tc>
          <w:tcPr>
            <w:tcW w:w="2951" w:type="dxa"/>
            <w:hideMark/>
          </w:tcPr>
          <w:p w14:paraId="5C7F4B7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NC6H14</w:t>
            </w:r>
          </w:p>
        </w:tc>
        <w:tc>
          <w:tcPr>
            <w:tcW w:w="2872" w:type="dxa"/>
            <w:hideMark/>
          </w:tcPr>
          <w:p w14:paraId="1A800FD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1EA43AE1" w14:textId="77777777" w:rsidTr="00BC39E5">
        <w:trPr>
          <w:trHeight w:val="66"/>
        </w:trPr>
        <w:tc>
          <w:tcPr>
            <w:tcW w:w="3527" w:type="dxa"/>
            <w:hideMark/>
          </w:tcPr>
          <w:p w14:paraId="14504A3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nHeptane</w:t>
            </w:r>
          </w:p>
        </w:tc>
        <w:tc>
          <w:tcPr>
            <w:tcW w:w="2951" w:type="dxa"/>
            <w:hideMark/>
          </w:tcPr>
          <w:p w14:paraId="673B720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NC7H16</w:t>
            </w:r>
          </w:p>
        </w:tc>
        <w:tc>
          <w:tcPr>
            <w:tcW w:w="2872" w:type="dxa"/>
            <w:hideMark/>
          </w:tcPr>
          <w:p w14:paraId="6E93294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722F4627" w14:textId="77777777" w:rsidTr="00BC39E5">
        <w:trPr>
          <w:trHeight w:val="66"/>
        </w:trPr>
        <w:tc>
          <w:tcPr>
            <w:tcW w:w="3527" w:type="dxa"/>
            <w:hideMark/>
          </w:tcPr>
          <w:p w14:paraId="1D737D5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nOctane</w:t>
            </w:r>
          </w:p>
        </w:tc>
        <w:tc>
          <w:tcPr>
            <w:tcW w:w="2951" w:type="dxa"/>
            <w:hideMark/>
          </w:tcPr>
          <w:p w14:paraId="729D386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NC8H18</w:t>
            </w:r>
          </w:p>
        </w:tc>
        <w:tc>
          <w:tcPr>
            <w:tcW w:w="2872" w:type="dxa"/>
            <w:hideMark/>
          </w:tcPr>
          <w:p w14:paraId="14894BD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4BDA70EB" w14:textId="77777777" w:rsidTr="00BC39E5">
        <w:trPr>
          <w:trHeight w:val="66"/>
        </w:trPr>
        <w:tc>
          <w:tcPr>
            <w:tcW w:w="3527" w:type="dxa"/>
            <w:hideMark/>
          </w:tcPr>
          <w:p w14:paraId="1AA3383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nNonane</w:t>
            </w:r>
          </w:p>
        </w:tc>
        <w:tc>
          <w:tcPr>
            <w:tcW w:w="2951" w:type="dxa"/>
            <w:hideMark/>
          </w:tcPr>
          <w:p w14:paraId="02B034C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NC9H20</w:t>
            </w:r>
          </w:p>
        </w:tc>
        <w:tc>
          <w:tcPr>
            <w:tcW w:w="2872" w:type="dxa"/>
            <w:hideMark/>
          </w:tcPr>
          <w:p w14:paraId="3CE582D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PAR</w:t>
            </w:r>
          </w:p>
        </w:tc>
      </w:tr>
      <w:tr w:rsidR="00E20A49" w:rsidRPr="00100CD0" w14:paraId="52A7485D" w14:textId="77777777" w:rsidTr="00BC39E5">
        <w:trPr>
          <w:trHeight w:val="66"/>
        </w:trPr>
        <w:tc>
          <w:tcPr>
            <w:tcW w:w="3527" w:type="dxa"/>
            <w:hideMark/>
          </w:tcPr>
          <w:p w14:paraId="162AB1E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w:t>
            </w:r>
          </w:p>
        </w:tc>
        <w:tc>
          <w:tcPr>
            <w:tcW w:w="2951" w:type="dxa"/>
            <w:hideMark/>
          </w:tcPr>
          <w:p w14:paraId="7EF8A0A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w:t>
            </w:r>
          </w:p>
        </w:tc>
        <w:tc>
          <w:tcPr>
            <w:tcW w:w="2872" w:type="dxa"/>
            <w:hideMark/>
          </w:tcPr>
          <w:p w14:paraId="2338BC9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w:t>
            </w:r>
          </w:p>
        </w:tc>
      </w:tr>
      <w:tr w:rsidR="00E20A49" w:rsidRPr="00100CD0" w14:paraId="54379BC3" w14:textId="77777777" w:rsidTr="00BC39E5">
        <w:trPr>
          <w:trHeight w:val="66"/>
        </w:trPr>
        <w:tc>
          <w:tcPr>
            <w:tcW w:w="3527" w:type="dxa"/>
            <w:hideMark/>
          </w:tcPr>
          <w:p w14:paraId="7690066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NO2</w:t>
            </w:r>
          </w:p>
        </w:tc>
        <w:tc>
          <w:tcPr>
            <w:tcW w:w="2951" w:type="dxa"/>
            <w:hideMark/>
          </w:tcPr>
          <w:p w14:paraId="0E5194F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NO2</w:t>
            </w:r>
          </w:p>
        </w:tc>
        <w:tc>
          <w:tcPr>
            <w:tcW w:w="2872" w:type="dxa"/>
            <w:hideMark/>
          </w:tcPr>
          <w:p w14:paraId="6ACCF74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NO2</w:t>
            </w:r>
          </w:p>
        </w:tc>
      </w:tr>
      <w:tr w:rsidR="00E20A49" w:rsidRPr="00100CD0" w14:paraId="764A1E48" w14:textId="77777777" w:rsidTr="00BC39E5">
        <w:trPr>
          <w:trHeight w:val="66"/>
        </w:trPr>
        <w:tc>
          <w:tcPr>
            <w:tcW w:w="3527" w:type="dxa"/>
            <w:hideMark/>
          </w:tcPr>
          <w:p w14:paraId="745F659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O3</w:t>
            </w:r>
          </w:p>
        </w:tc>
        <w:tc>
          <w:tcPr>
            <w:tcW w:w="2951" w:type="dxa"/>
            <w:hideMark/>
          </w:tcPr>
          <w:p w14:paraId="0AC89B2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O3</w:t>
            </w:r>
          </w:p>
        </w:tc>
        <w:tc>
          <w:tcPr>
            <w:tcW w:w="2872" w:type="dxa"/>
            <w:hideMark/>
          </w:tcPr>
          <w:p w14:paraId="4CF536F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O3</w:t>
            </w:r>
          </w:p>
        </w:tc>
      </w:tr>
      <w:tr w:rsidR="00E20A49" w:rsidRPr="00100CD0" w14:paraId="4829F262" w14:textId="77777777" w:rsidTr="00BC39E5">
        <w:trPr>
          <w:trHeight w:val="66"/>
        </w:trPr>
        <w:tc>
          <w:tcPr>
            <w:tcW w:w="3527" w:type="dxa"/>
            <w:hideMark/>
          </w:tcPr>
          <w:p w14:paraId="1478A2B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oEthyltoluene</w:t>
            </w:r>
          </w:p>
        </w:tc>
        <w:tc>
          <w:tcPr>
            <w:tcW w:w="2951" w:type="dxa"/>
            <w:hideMark/>
          </w:tcPr>
          <w:p w14:paraId="730762B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OETHTOL</w:t>
            </w:r>
          </w:p>
        </w:tc>
        <w:tc>
          <w:tcPr>
            <w:tcW w:w="2872" w:type="dxa"/>
            <w:hideMark/>
          </w:tcPr>
          <w:p w14:paraId="7D6288E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w:t>
            </w:r>
          </w:p>
        </w:tc>
      </w:tr>
      <w:tr w:rsidR="00E20A49" w:rsidRPr="00100CD0" w14:paraId="517F294E" w14:textId="77777777" w:rsidTr="00BC39E5">
        <w:trPr>
          <w:trHeight w:val="66"/>
        </w:trPr>
        <w:tc>
          <w:tcPr>
            <w:tcW w:w="3527" w:type="dxa"/>
            <w:hideMark/>
          </w:tcPr>
          <w:p w14:paraId="0C4480E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oXylene</w:t>
            </w:r>
          </w:p>
        </w:tc>
        <w:tc>
          <w:tcPr>
            <w:tcW w:w="2951" w:type="dxa"/>
            <w:hideMark/>
          </w:tcPr>
          <w:p w14:paraId="3B12F07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OXYL</w:t>
            </w:r>
          </w:p>
        </w:tc>
        <w:tc>
          <w:tcPr>
            <w:tcW w:w="2872" w:type="dxa"/>
            <w:hideMark/>
          </w:tcPr>
          <w:p w14:paraId="609F11E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XYL</w:t>
            </w:r>
          </w:p>
        </w:tc>
      </w:tr>
      <w:tr w:rsidR="00E20A49" w:rsidRPr="00100CD0" w14:paraId="13B31AD6" w14:textId="77777777" w:rsidTr="00BC39E5">
        <w:trPr>
          <w:trHeight w:val="66"/>
        </w:trPr>
        <w:tc>
          <w:tcPr>
            <w:tcW w:w="3527" w:type="dxa"/>
            <w:hideMark/>
          </w:tcPr>
          <w:p w14:paraId="1660736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nPropylbenzene</w:t>
            </w:r>
          </w:p>
        </w:tc>
        <w:tc>
          <w:tcPr>
            <w:tcW w:w="2951" w:type="dxa"/>
            <w:hideMark/>
          </w:tcPr>
          <w:p w14:paraId="0D36DBC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PBENZ</w:t>
            </w:r>
          </w:p>
        </w:tc>
        <w:tc>
          <w:tcPr>
            <w:tcW w:w="2872" w:type="dxa"/>
            <w:hideMark/>
          </w:tcPr>
          <w:p w14:paraId="0C9A3A1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291602CB" w14:textId="77777777" w:rsidTr="00BC39E5">
        <w:trPr>
          <w:trHeight w:val="66"/>
        </w:trPr>
        <w:tc>
          <w:tcPr>
            <w:tcW w:w="3527" w:type="dxa"/>
            <w:hideMark/>
          </w:tcPr>
          <w:p w14:paraId="59194A1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x1Pentene</w:t>
            </w:r>
          </w:p>
        </w:tc>
        <w:tc>
          <w:tcPr>
            <w:tcW w:w="2951" w:type="dxa"/>
            <w:hideMark/>
          </w:tcPr>
          <w:p w14:paraId="3A3C906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PENT1ENE</w:t>
            </w:r>
          </w:p>
        </w:tc>
        <w:tc>
          <w:tcPr>
            <w:tcW w:w="2872" w:type="dxa"/>
            <w:hideMark/>
          </w:tcPr>
          <w:p w14:paraId="407D7C4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OLE</w:t>
            </w:r>
          </w:p>
        </w:tc>
      </w:tr>
      <w:tr w:rsidR="00E20A49" w:rsidRPr="00100CD0" w14:paraId="687A359F" w14:textId="77777777" w:rsidTr="00BC39E5">
        <w:trPr>
          <w:trHeight w:val="66"/>
        </w:trPr>
        <w:tc>
          <w:tcPr>
            <w:tcW w:w="3527" w:type="dxa"/>
            <w:hideMark/>
          </w:tcPr>
          <w:p w14:paraId="4C75EC6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pEthyltoluene</w:t>
            </w:r>
          </w:p>
        </w:tc>
        <w:tc>
          <w:tcPr>
            <w:tcW w:w="2951" w:type="dxa"/>
            <w:hideMark/>
          </w:tcPr>
          <w:p w14:paraId="62FB104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PETHTOL</w:t>
            </w:r>
          </w:p>
        </w:tc>
        <w:tc>
          <w:tcPr>
            <w:tcW w:w="2872" w:type="dxa"/>
            <w:hideMark/>
          </w:tcPr>
          <w:p w14:paraId="54AC13A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w:t>
            </w:r>
          </w:p>
        </w:tc>
      </w:tr>
      <w:tr w:rsidR="00E20A49" w:rsidRPr="00100CD0" w14:paraId="4AD08265" w14:textId="77777777" w:rsidTr="00BC39E5">
        <w:trPr>
          <w:trHeight w:val="66"/>
        </w:trPr>
        <w:tc>
          <w:tcPr>
            <w:tcW w:w="3527" w:type="dxa"/>
            <w:hideMark/>
          </w:tcPr>
          <w:p w14:paraId="3367F3B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SO2</w:t>
            </w:r>
          </w:p>
        </w:tc>
        <w:tc>
          <w:tcPr>
            <w:tcW w:w="2951" w:type="dxa"/>
            <w:hideMark/>
          </w:tcPr>
          <w:p w14:paraId="35FCD2D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SO2</w:t>
            </w:r>
          </w:p>
        </w:tc>
        <w:tc>
          <w:tcPr>
            <w:tcW w:w="2872" w:type="dxa"/>
            <w:hideMark/>
          </w:tcPr>
          <w:p w14:paraId="3F30B65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SO2</w:t>
            </w:r>
          </w:p>
        </w:tc>
      </w:tr>
      <w:tr w:rsidR="00E20A49" w:rsidRPr="00100CD0" w14:paraId="0B4234D0" w14:textId="77777777" w:rsidTr="00BC39E5">
        <w:trPr>
          <w:trHeight w:val="66"/>
        </w:trPr>
        <w:tc>
          <w:tcPr>
            <w:tcW w:w="3527" w:type="dxa"/>
            <w:hideMark/>
          </w:tcPr>
          <w:p w14:paraId="3C27458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Styrene</w:t>
            </w:r>
          </w:p>
        </w:tc>
        <w:tc>
          <w:tcPr>
            <w:tcW w:w="2951" w:type="dxa"/>
            <w:hideMark/>
          </w:tcPr>
          <w:p w14:paraId="49A2B73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STYRENE</w:t>
            </w:r>
          </w:p>
        </w:tc>
        <w:tc>
          <w:tcPr>
            <w:tcW w:w="2872" w:type="dxa"/>
            <w:hideMark/>
          </w:tcPr>
          <w:p w14:paraId="025B7FC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3E2E662" w14:textId="77777777" w:rsidTr="00BC39E5">
        <w:trPr>
          <w:trHeight w:val="66"/>
        </w:trPr>
        <w:tc>
          <w:tcPr>
            <w:tcW w:w="3527" w:type="dxa"/>
            <w:hideMark/>
          </w:tcPr>
          <w:p w14:paraId="05F0CD8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trans2Butene</w:t>
            </w:r>
          </w:p>
        </w:tc>
        <w:tc>
          <w:tcPr>
            <w:tcW w:w="2951" w:type="dxa"/>
            <w:hideMark/>
          </w:tcPr>
          <w:p w14:paraId="0209AD3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TBUT2ENE</w:t>
            </w:r>
          </w:p>
        </w:tc>
        <w:tc>
          <w:tcPr>
            <w:tcW w:w="2872" w:type="dxa"/>
            <w:hideMark/>
          </w:tcPr>
          <w:p w14:paraId="484616B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IOLE</w:t>
            </w:r>
          </w:p>
        </w:tc>
      </w:tr>
      <w:tr w:rsidR="00E20A49" w:rsidRPr="00100CD0" w14:paraId="1C3D1BFB" w14:textId="77777777" w:rsidTr="00BC39E5">
        <w:trPr>
          <w:trHeight w:val="66"/>
        </w:trPr>
        <w:tc>
          <w:tcPr>
            <w:tcW w:w="3527" w:type="dxa"/>
            <w:hideMark/>
          </w:tcPr>
          <w:p w14:paraId="72AD12B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PERC</w:t>
            </w:r>
          </w:p>
        </w:tc>
        <w:tc>
          <w:tcPr>
            <w:tcW w:w="2951" w:type="dxa"/>
            <w:hideMark/>
          </w:tcPr>
          <w:p w14:paraId="74B403D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TCE</w:t>
            </w:r>
          </w:p>
        </w:tc>
        <w:tc>
          <w:tcPr>
            <w:tcW w:w="2872" w:type="dxa"/>
            <w:hideMark/>
          </w:tcPr>
          <w:p w14:paraId="3905528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40D64AA" w14:textId="77777777" w:rsidTr="00BC39E5">
        <w:trPr>
          <w:trHeight w:val="66"/>
        </w:trPr>
        <w:tc>
          <w:tcPr>
            <w:tcW w:w="3527" w:type="dxa"/>
            <w:hideMark/>
          </w:tcPr>
          <w:p w14:paraId="6F67327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lastRenderedPageBreak/>
              <w:t>t12DCEE</w:t>
            </w:r>
          </w:p>
        </w:tc>
        <w:tc>
          <w:tcPr>
            <w:tcW w:w="2951" w:type="dxa"/>
            <w:hideMark/>
          </w:tcPr>
          <w:p w14:paraId="6507E79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TDICLETH</w:t>
            </w:r>
          </w:p>
        </w:tc>
        <w:tc>
          <w:tcPr>
            <w:tcW w:w="2872" w:type="dxa"/>
            <w:hideMark/>
          </w:tcPr>
          <w:p w14:paraId="7B4D003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66FBBE1" w14:textId="77777777" w:rsidTr="00BC39E5">
        <w:trPr>
          <w:trHeight w:val="66"/>
        </w:trPr>
        <w:tc>
          <w:tcPr>
            <w:tcW w:w="3527" w:type="dxa"/>
            <w:hideMark/>
          </w:tcPr>
          <w:p w14:paraId="20DBBA2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x123Trimethylbenzene</w:t>
            </w:r>
          </w:p>
        </w:tc>
        <w:tc>
          <w:tcPr>
            <w:tcW w:w="2951" w:type="dxa"/>
            <w:hideMark/>
          </w:tcPr>
          <w:p w14:paraId="28824A2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TM123B</w:t>
            </w:r>
          </w:p>
        </w:tc>
        <w:tc>
          <w:tcPr>
            <w:tcW w:w="2872" w:type="dxa"/>
            <w:hideMark/>
          </w:tcPr>
          <w:p w14:paraId="2964ADE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595CA8F6" w14:textId="77777777" w:rsidTr="00BC39E5">
        <w:trPr>
          <w:trHeight w:val="66"/>
        </w:trPr>
        <w:tc>
          <w:tcPr>
            <w:tcW w:w="3527" w:type="dxa"/>
            <w:hideMark/>
          </w:tcPr>
          <w:p w14:paraId="5787551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x124trimethylbenzene</w:t>
            </w:r>
          </w:p>
        </w:tc>
        <w:tc>
          <w:tcPr>
            <w:tcW w:w="2951" w:type="dxa"/>
            <w:hideMark/>
          </w:tcPr>
          <w:p w14:paraId="7DD94A7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TM124B</w:t>
            </w:r>
          </w:p>
        </w:tc>
        <w:tc>
          <w:tcPr>
            <w:tcW w:w="2872" w:type="dxa"/>
            <w:hideMark/>
          </w:tcPr>
          <w:p w14:paraId="1409DC7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4DD87584" w14:textId="77777777" w:rsidTr="00BC39E5">
        <w:trPr>
          <w:trHeight w:val="133"/>
        </w:trPr>
        <w:tc>
          <w:tcPr>
            <w:tcW w:w="3527" w:type="dxa"/>
            <w:hideMark/>
          </w:tcPr>
          <w:p w14:paraId="52CAC16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x135trimethylbenzene</w:t>
            </w:r>
          </w:p>
        </w:tc>
        <w:tc>
          <w:tcPr>
            <w:tcW w:w="2951" w:type="dxa"/>
            <w:hideMark/>
          </w:tcPr>
          <w:p w14:paraId="4769822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TM135B</w:t>
            </w:r>
          </w:p>
        </w:tc>
        <w:tc>
          <w:tcPr>
            <w:tcW w:w="2872" w:type="dxa"/>
            <w:hideMark/>
          </w:tcPr>
          <w:p w14:paraId="35B3CD5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w:t>
            </w:r>
          </w:p>
        </w:tc>
      </w:tr>
      <w:tr w:rsidR="00E20A49" w:rsidRPr="00100CD0" w14:paraId="4DD9CE86" w14:textId="77777777" w:rsidTr="00BC39E5">
        <w:trPr>
          <w:trHeight w:val="133"/>
        </w:trPr>
        <w:tc>
          <w:tcPr>
            <w:tcW w:w="3527" w:type="dxa"/>
            <w:hideMark/>
          </w:tcPr>
          <w:p w14:paraId="042121A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Toluene</w:t>
            </w:r>
          </w:p>
        </w:tc>
        <w:tc>
          <w:tcPr>
            <w:tcW w:w="2951" w:type="dxa"/>
            <w:hideMark/>
          </w:tcPr>
          <w:p w14:paraId="0615795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TOLUENE</w:t>
            </w:r>
          </w:p>
        </w:tc>
        <w:tc>
          <w:tcPr>
            <w:tcW w:w="2872" w:type="dxa"/>
            <w:hideMark/>
          </w:tcPr>
          <w:p w14:paraId="00DD88E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TOL</w:t>
            </w:r>
          </w:p>
        </w:tc>
      </w:tr>
      <w:tr w:rsidR="00E20A49" w:rsidRPr="00100CD0" w14:paraId="550ED48F" w14:textId="77777777" w:rsidTr="00BC39E5">
        <w:trPr>
          <w:trHeight w:val="133"/>
        </w:trPr>
        <w:tc>
          <w:tcPr>
            <w:tcW w:w="3527" w:type="dxa"/>
            <w:hideMark/>
          </w:tcPr>
          <w:p w14:paraId="37D4C4E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trans2Pentene</w:t>
            </w:r>
          </w:p>
        </w:tc>
        <w:tc>
          <w:tcPr>
            <w:tcW w:w="2951" w:type="dxa"/>
            <w:hideMark/>
          </w:tcPr>
          <w:p w14:paraId="78925EC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TPENT2ENE</w:t>
            </w:r>
          </w:p>
        </w:tc>
        <w:tc>
          <w:tcPr>
            <w:tcW w:w="2872" w:type="dxa"/>
            <w:hideMark/>
          </w:tcPr>
          <w:p w14:paraId="224BE7F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IOLE</w:t>
            </w:r>
          </w:p>
        </w:tc>
      </w:tr>
      <w:tr w:rsidR="00E20A49" w:rsidRPr="00100CD0" w14:paraId="33DF66EF" w14:textId="77777777" w:rsidTr="00BC39E5">
        <w:trPr>
          <w:trHeight w:val="66"/>
        </w:trPr>
        <w:tc>
          <w:tcPr>
            <w:tcW w:w="3527" w:type="dxa"/>
            <w:hideMark/>
          </w:tcPr>
          <w:p w14:paraId="34FD460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TCE</w:t>
            </w:r>
          </w:p>
        </w:tc>
        <w:tc>
          <w:tcPr>
            <w:tcW w:w="2951" w:type="dxa"/>
            <w:hideMark/>
          </w:tcPr>
          <w:p w14:paraId="7374000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TRICLETH</w:t>
            </w:r>
          </w:p>
        </w:tc>
        <w:tc>
          <w:tcPr>
            <w:tcW w:w="2872" w:type="dxa"/>
            <w:hideMark/>
          </w:tcPr>
          <w:p w14:paraId="443156E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863B7E7" w14:textId="77777777" w:rsidTr="00BC39E5">
        <w:trPr>
          <w:trHeight w:val="66"/>
        </w:trPr>
        <w:tc>
          <w:tcPr>
            <w:tcW w:w="3527" w:type="dxa"/>
            <w:hideMark/>
          </w:tcPr>
          <w:p w14:paraId="1C7CAD3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VinylChloride</w:t>
            </w:r>
          </w:p>
        </w:tc>
        <w:tc>
          <w:tcPr>
            <w:tcW w:w="2951" w:type="dxa"/>
            <w:hideMark/>
          </w:tcPr>
          <w:p w14:paraId="760D573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VINCL</w:t>
            </w:r>
          </w:p>
        </w:tc>
        <w:tc>
          <w:tcPr>
            <w:tcW w:w="2872" w:type="dxa"/>
            <w:hideMark/>
          </w:tcPr>
          <w:p w14:paraId="78D7C31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631B800F" w14:textId="77777777" w:rsidTr="00BC39E5">
        <w:trPr>
          <w:trHeight w:val="66"/>
        </w:trPr>
        <w:tc>
          <w:tcPr>
            <w:tcW w:w="3527" w:type="dxa"/>
            <w:hideMark/>
          </w:tcPr>
          <w:p w14:paraId="7492C01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BenzylChloride</w:t>
            </w:r>
          </w:p>
        </w:tc>
        <w:tc>
          <w:tcPr>
            <w:tcW w:w="2951" w:type="dxa"/>
            <w:hideMark/>
          </w:tcPr>
          <w:p w14:paraId="3CE0A59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13CC34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14FDB1E" w14:textId="77777777" w:rsidTr="00BC39E5">
        <w:trPr>
          <w:trHeight w:val="66"/>
        </w:trPr>
        <w:tc>
          <w:tcPr>
            <w:tcW w:w="3527" w:type="dxa"/>
            <w:hideMark/>
          </w:tcPr>
          <w:p w14:paraId="310CAB6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CarbonTetrachloride</w:t>
            </w:r>
          </w:p>
        </w:tc>
        <w:tc>
          <w:tcPr>
            <w:tcW w:w="2951" w:type="dxa"/>
            <w:hideMark/>
          </w:tcPr>
          <w:p w14:paraId="4E191E4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34AAA38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7180DF1" w14:textId="77777777" w:rsidTr="00BC39E5">
        <w:trPr>
          <w:trHeight w:val="66"/>
        </w:trPr>
        <w:tc>
          <w:tcPr>
            <w:tcW w:w="3527" w:type="dxa"/>
            <w:hideMark/>
          </w:tcPr>
          <w:p w14:paraId="3F95D16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CHBrCl2</w:t>
            </w:r>
          </w:p>
        </w:tc>
        <w:tc>
          <w:tcPr>
            <w:tcW w:w="2951" w:type="dxa"/>
            <w:hideMark/>
          </w:tcPr>
          <w:p w14:paraId="718F75D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27A9C5D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w:t>
            </w:r>
          </w:p>
        </w:tc>
      </w:tr>
      <w:tr w:rsidR="00E20A49" w:rsidRPr="00100CD0" w14:paraId="1DA10F32" w14:textId="77777777" w:rsidTr="00BC39E5">
        <w:trPr>
          <w:trHeight w:val="133"/>
        </w:trPr>
        <w:tc>
          <w:tcPr>
            <w:tcW w:w="3527" w:type="dxa"/>
            <w:hideMark/>
          </w:tcPr>
          <w:p w14:paraId="30DBB6E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Chlorobenzene</w:t>
            </w:r>
          </w:p>
        </w:tc>
        <w:tc>
          <w:tcPr>
            <w:tcW w:w="2951" w:type="dxa"/>
            <w:hideMark/>
          </w:tcPr>
          <w:p w14:paraId="7804D2B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w:t>
            </w:r>
          </w:p>
        </w:tc>
        <w:tc>
          <w:tcPr>
            <w:tcW w:w="2872" w:type="dxa"/>
            <w:hideMark/>
          </w:tcPr>
          <w:p w14:paraId="6C15DBE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w:t>
            </w:r>
          </w:p>
        </w:tc>
      </w:tr>
      <w:tr w:rsidR="00E20A49" w:rsidRPr="00100CD0" w14:paraId="6304961F" w14:textId="77777777" w:rsidTr="00BC39E5">
        <w:trPr>
          <w:trHeight w:val="66"/>
        </w:trPr>
        <w:tc>
          <w:tcPr>
            <w:tcW w:w="3527" w:type="dxa"/>
            <w:hideMark/>
          </w:tcPr>
          <w:p w14:paraId="46D0BD8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cis13DCPE</w:t>
            </w:r>
          </w:p>
        </w:tc>
        <w:tc>
          <w:tcPr>
            <w:tcW w:w="2951" w:type="dxa"/>
            <w:hideMark/>
          </w:tcPr>
          <w:p w14:paraId="51034E5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06E0395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A308D53" w14:textId="77777777" w:rsidTr="00BC39E5">
        <w:tc>
          <w:tcPr>
            <w:tcW w:w="3527" w:type="dxa"/>
            <w:hideMark/>
          </w:tcPr>
          <w:p w14:paraId="4200031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Cyclopentane</w:t>
            </w:r>
          </w:p>
        </w:tc>
        <w:tc>
          <w:tcPr>
            <w:tcW w:w="2951" w:type="dxa"/>
            <w:hideMark/>
          </w:tcPr>
          <w:p w14:paraId="158395C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4158F8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D376A47" w14:textId="77777777" w:rsidTr="00BC39E5">
        <w:trPr>
          <w:trHeight w:val="66"/>
        </w:trPr>
        <w:tc>
          <w:tcPr>
            <w:tcW w:w="3527" w:type="dxa"/>
            <w:hideMark/>
          </w:tcPr>
          <w:p w14:paraId="33AAB47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Dichlorodifluoromethane</w:t>
            </w:r>
          </w:p>
        </w:tc>
        <w:tc>
          <w:tcPr>
            <w:tcW w:w="2951" w:type="dxa"/>
            <w:hideMark/>
          </w:tcPr>
          <w:p w14:paraId="36D946A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4878CC0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61D7DFA5" w14:textId="77777777" w:rsidTr="00BC39E5">
        <w:trPr>
          <w:trHeight w:val="66"/>
        </w:trPr>
        <w:tc>
          <w:tcPr>
            <w:tcW w:w="3527" w:type="dxa"/>
            <w:hideMark/>
          </w:tcPr>
          <w:p w14:paraId="31F501C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Ethane_12dichloro1122tetrafluoro</w:t>
            </w:r>
          </w:p>
        </w:tc>
        <w:tc>
          <w:tcPr>
            <w:tcW w:w="2951" w:type="dxa"/>
            <w:hideMark/>
          </w:tcPr>
          <w:p w14:paraId="1F5317C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51C3DBE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1B2BA77" w14:textId="77777777" w:rsidTr="00BC39E5">
        <w:trPr>
          <w:trHeight w:val="133"/>
        </w:trPr>
        <w:tc>
          <w:tcPr>
            <w:tcW w:w="3527" w:type="dxa"/>
            <w:hideMark/>
          </w:tcPr>
          <w:p w14:paraId="31AB95A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HCBD</w:t>
            </w:r>
          </w:p>
        </w:tc>
        <w:tc>
          <w:tcPr>
            <w:tcW w:w="2951" w:type="dxa"/>
            <w:hideMark/>
          </w:tcPr>
          <w:p w14:paraId="1E992A4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4F7638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69EC722B" w14:textId="77777777" w:rsidTr="00BC39E5">
        <w:trPr>
          <w:trHeight w:val="133"/>
        </w:trPr>
        <w:tc>
          <w:tcPr>
            <w:tcW w:w="3527" w:type="dxa"/>
            <w:hideMark/>
          </w:tcPr>
          <w:p w14:paraId="50A8418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IsocyanatoMethane</w:t>
            </w:r>
          </w:p>
        </w:tc>
        <w:tc>
          <w:tcPr>
            <w:tcW w:w="2951" w:type="dxa"/>
            <w:hideMark/>
          </w:tcPr>
          <w:p w14:paraId="61E6606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5E0E695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1301F6D" w14:textId="77777777" w:rsidTr="00BC39E5">
        <w:trPr>
          <w:trHeight w:val="66"/>
        </w:trPr>
        <w:tc>
          <w:tcPr>
            <w:tcW w:w="3527" w:type="dxa"/>
            <w:hideMark/>
          </w:tcPr>
          <w:p w14:paraId="2EE4B89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mDCB</w:t>
            </w:r>
          </w:p>
        </w:tc>
        <w:tc>
          <w:tcPr>
            <w:tcW w:w="2951" w:type="dxa"/>
            <w:hideMark/>
          </w:tcPr>
          <w:p w14:paraId="178AFC1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49F683E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844D8DB" w14:textId="77777777" w:rsidTr="00BC39E5">
        <w:trPr>
          <w:trHeight w:val="133"/>
        </w:trPr>
        <w:tc>
          <w:tcPr>
            <w:tcW w:w="3527" w:type="dxa"/>
            <w:hideMark/>
          </w:tcPr>
          <w:p w14:paraId="7E324387"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mDiethylbenzene</w:t>
            </w:r>
          </w:p>
        </w:tc>
        <w:tc>
          <w:tcPr>
            <w:tcW w:w="2951" w:type="dxa"/>
            <w:hideMark/>
          </w:tcPr>
          <w:p w14:paraId="6955955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34E274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610F46CE" w14:textId="77777777" w:rsidTr="00BC39E5">
        <w:trPr>
          <w:trHeight w:val="66"/>
        </w:trPr>
        <w:tc>
          <w:tcPr>
            <w:tcW w:w="3527" w:type="dxa"/>
            <w:hideMark/>
          </w:tcPr>
          <w:p w14:paraId="4440272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Methylcyclohexane</w:t>
            </w:r>
          </w:p>
        </w:tc>
        <w:tc>
          <w:tcPr>
            <w:tcW w:w="2951" w:type="dxa"/>
            <w:hideMark/>
          </w:tcPr>
          <w:p w14:paraId="6C2A8B4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372D547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6D02C4B" w14:textId="77777777" w:rsidTr="00BC39E5">
        <w:trPr>
          <w:trHeight w:val="66"/>
        </w:trPr>
        <w:tc>
          <w:tcPr>
            <w:tcW w:w="3527" w:type="dxa"/>
            <w:hideMark/>
          </w:tcPr>
          <w:p w14:paraId="221C2F4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Methylcyclopentane</w:t>
            </w:r>
          </w:p>
        </w:tc>
        <w:tc>
          <w:tcPr>
            <w:tcW w:w="2951" w:type="dxa"/>
            <w:hideMark/>
          </w:tcPr>
          <w:p w14:paraId="2E4F1DA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2C31352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6463E88" w14:textId="77777777" w:rsidTr="00BC39E5">
        <w:trPr>
          <w:trHeight w:val="133"/>
        </w:trPr>
        <w:tc>
          <w:tcPr>
            <w:tcW w:w="3527" w:type="dxa"/>
            <w:hideMark/>
          </w:tcPr>
          <w:p w14:paraId="2B403C5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mpXylenes</w:t>
            </w:r>
          </w:p>
        </w:tc>
        <w:tc>
          <w:tcPr>
            <w:tcW w:w="2951" w:type="dxa"/>
            <w:hideMark/>
          </w:tcPr>
          <w:p w14:paraId="5A58DD8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E3870A5"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1FF1905" w14:textId="77777777" w:rsidTr="00BC39E5">
        <w:trPr>
          <w:trHeight w:val="133"/>
        </w:trPr>
        <w:tc>
          <w:tcPr>
            <w:tcW w:w="3527" w:type="dxa"/>
            <w:hideMark/>
          </w:tcPr>
          <w:p w14:paraId="7FD9EA6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Naphthalene</w:t>
            </w:r>
          </w:p>
        </w:tc>
        <w:tc>
          <w:tcPr>
            <w:tcW w:w="2951" w:type="dxa"/>
            <w:hideMark/>
          </w:tcPr>
          <w:p w14:paraId="6601788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617AE06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0F39245" w14:textId="77777777" w:rsidTr="00BC39E5">
        <w:trPr>
          <w:trHeight w:val="66"/>
        </w:trPr>
        <w:tc>
          <w:tcPr>
            <w:tcW w:w="3527" w:type="dxa"/>
            <w:hideMark/>
          </w:tcPr>
          <w:p w14:paraId="726FB39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oDCB</w:t>
            </w:r>
          </w:p>
        </w:tc>
        <w:tc>
          <w:tcPr>
            <w:tcW w:w="2951" w:type="dxa"/>
            <w:hideMark/>
          </w:tcPr>
          <w:p w14:paraId="4249EC2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28F6039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BC32A4C" w14:textId="77777777" w:rsidTr="00BC39E5">
        <w:trPr>
          <w:trHeight w:val="66"/>
        </w:trPr>
        <w:tc>
          <w:tcPr>
            <w:tcW w:w="3527" w:type="dxa"/>
            <w:hideMark/>
          </w:tcPr>
          <w:p w14:paraId="1B3F043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pDCB</w:t>
            </w:r>
          </w:p>
        </w:tc>
        <w:tc>
          <w:tcPr>
            <w:tcW w:w="2951" w:type="dxa"/>
            <w:hideMark/>
          </w:tcPr>
          <w:p w14:paraId="5B91465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6F452C5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DD4AAE1" w14:textId="77777777" w:rsidTr="00BC39E5">
        <w:trPr>
          <w:trHeight w:val="66"/>
        </w:trPr>
        <w:tc>
          <w:tcPr>
            <w:tcW w:w="3527" w:type="dxa"/>
            <w:hideMark/>
          </w:tcPr>
          <w:p w14:paraId="193A890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pdiethylbenzene</w:t>
            </w:r>
          </w:p>
        </w:tc>
        <w:tc>
          <w:tcPr>
            <w:tcW w:w="2951" w:type="dxa"/>
            <w:hideMark/>
          </w:tcPr>
          <w:p w14:paraId="75A81FE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4DDC772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C08835F" w14:textId="77777777" w:rsidTr="00BC39E5">
        <w:trPr>
          <w:trHeight w:val="66"/>
        </w:trPr>
        <w:tc>
          <w:tcPr>
            <w:tcW w:w="3527" w:type="dxa"/>
            <w:hideMark/>
          </w:tcPr>
          <w:p w14:paraId="02AC2FB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trans13DCPE</w:t>
            </w:r>
          </w:p>
        </w:tc>
        <w:tc>
          <w:tcPr>
            <w:tcW w:w="2951" w:type="dxa"/>
            <w:hideMark/>
          </w:tcPr>
          <w:p w14:paraId="22AE446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2824E7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E6B6CA9" w14:textId="77777777" w:rsidTr="00BC39E5">
        <w:trPr>
          <w:trHeight w:val="66"/>
        </w:trPr>
        <w:tc>
          <w:tcPr>
            <w:tcW w:w="3527" w:type="dxa"/>
            <w:hideMark/>
          </w:tcPr>
          <w:p w14:paraId="5DA4951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Trichlorofluoromethane</w:t>
            </w:r>
          </w:p>
        </w:tc>
        <w:tc>
          <w:tcPr>
            <w:tcW w:w="2951" w:type="dxa"/>
            <w:hideMark/>
          </w:tcPr>
          <w:p w14:paraId="0DF7D14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72415F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11A50B3" w14:textId="77777777" w:rsidTr="00BC39E5">
        <w:trPr>
          <w:trHeight w:val="66"/>
        </w:trPr>
        <w:tc>
          <w:tcPr>
            <w:tcW w:w="3527" w:type="dxa"/>
            <w:hideMark/>
          </w:tcPr>
          <w:p w14:paraId="3A34779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x112122Trichlorotrifluoroethane</w:t>
            </w:r>
          </w:p>
        </w:tc>
        <w:tc>
          <w:tcPr>
            <w:tcW w:w="2951" w:type="dxa"/>
            <w:hideMark/>
          </w:tcPr>
          <w:p w14:paraId="09DDDBA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F3FE3F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0BE6E74" w14:textId="77777777" w:rsidTr="00BC39E5">
        <w:trPr>
          <w:trHeight w:val="133"/>
        </w:trPr>
        <w:tc>
          <w:tcPr>
            <w:tcW w:w="3527" w:type="dxa"/>
            <w:hideMark/>
          </w:tcPr>
          <w:p w14:paraId="1996E38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x124TCB</w:t>
            </w:r>
          </w:p>
        </w:tc>
        <w:tc>
          <w:tcPr>
            <w:tcW w:w="2951" w:type="dxa"/>
            <w:hideMark/>
          </w:tcPr>
          <w:p w14:paraId="4CA39FA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3C310CA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B437A3E" w14:textId="77777777" w:rsidTr="00BC39E5">
        <w:trPr>
          <w:trHeight w:val="133"/>
        </w:trPr>
        <w:tc>
          <w:tcPr>
            <w:tcW w:w="3527" w:type="dxa"/>
            <w:hideMark/>
          </w:tcPr>
          <w:p w14:paraId="64A03C8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x13Diethylbenzene</w:t>
            </w:r>
          </w:p>
        </w:tc>
        <w:tc>
          <w:tcPr>
            <w:tcW w:w="2951" w:type="dxa"/>
            <w:hideMark/>
          </w:tcPr>
          <w:p w14:paraId="723F899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0A8F6C8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FE4A8E5" w14:textId="77777777" w:rsidTr="00BC39E5">
        <w:trPr>
          <w:trHeight w:val="66"/>
        </w:trPr>
        <w:tc>
          <w:tcPr>
            <w:tcW w:w="3527" w:type="dxa"/>
            <w:hideMark/>
          </w:tcPr>
          <w:p w14:paraId="26B5786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x14Diethylbenzene</w:t>
            </w:r>
          </w:p>
        </w:tc>
        <w:tc>
          <w:tcPr>
            <w:tcW w:w="2951" w:type="dxa"/>
            <w:hideMark/>
          </w:tcPr>
          <w:p w14:paraId="1AD83BF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4814FF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7CD232A" w14:textId="77777777" w:rsidTr="00BC39E5">
        <w:trPr>
          <w:trHeight w:val="66"/>
        </w:trPr>
        <w:tc>
          <w:tcPr>
            <w:tcW w:w="3527" w:type="dxa"/>
            <w:hideMark/>
          </w:tcPr>
          <w:p w14:paraId="223012A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x224TrimethylHexane</w:t>
            </w:r>
          </w:p>
        </w:tc>
        <w:tc>
          <w:tcPr>
            <w:tcW w:w="2951" w:type="dxa"/>
            <w:hideMark/>
          </w:tcPr>
          <w:p w14:paraId="2948C37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677ED56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930065C" w14:textId="77777777" w:rsidTr="00BC39E5">
        <w:trPr>
          <w:trHeight w:val="66"/>
        </w:trPr>
        <w:tc>
          <w:tcPr>
            <w:tcW w:w="3527" w:type="dxa"/>
            <w:hideMark/>
          </w:tcPr>
          <w:p w14:paraId="63CAC0D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x224Trimethylpentane</w:t>
            </w:r>
          </w:p>
        </w:tc>
        <w:tc>
          <w:tcPr>
            <w:tcW w:w="2951" w:type="dxa"/>
            <w:hideMark/>
          </w:tcPr>
          <w:p w14:paraId="74542BD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5C22414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D56E9D0" w14:textId="77777777" w:rsidTr="00BC39E5">
        <w:trPr>
          <w:trHeight w:val="133"/>
        </w:trPr>
        <w:tc>
          <w:tcPr>
            <w:tcW w:w="3527" w:type="dxa"/>
            <w:hideMark/>
          </w:tcPr>
          <w:p w14:paraId="3270B3A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x22Dimethylpentane</w:t>
            </w:r>
          </w:p>
        </w:tc>
        <w:tc>
          <w:tcPr>
            <w:tcW w:w="2951" w:type="dxa"/>
            <w:hideMark/>
          </w:tcPr>
          <w:p w14:paraId="28A95C1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043EEEA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915346D" w14:textId="77777777" w:rsidTr="00BC39E5">
        <w:trPr>
          <w:trHeight w:val="133"/>
        </w:trPr>
        <w:tc>
          <w:tcPr>
            <w:tcW w:w="3527" w:type="dxa"/>
            <w:hideMark/>
          </w:tcPr>
          <w:p w14:paraId="0A54CCA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x233TrimethylPentane</w:t>
            </w:r>
          </w:p>
        </w:tc>
        <w:tc>
          <w:tcPr>
            <w:tcW w:w="2951" w:type="dxa"/>
            <w:hideMark/>
          </w:tcPr>
          <w:p w14:paraId="723BA7FC"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5A86AC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1581A1A8" w14:textId="77777777" w:rsidTr="00BC39E5">
        <w:trPr>
          <w:trHeight w:val="133"/>
        </w:trPr>
        <w:tc>
          <w:tcPr>
            <w:tcW w:w="3527" w:type="dxa"/>
            <w:hideMark/>
          </w:tcPr>
          <w:p w14:paraId="1D89153D"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x234Trimethylpentane</w:t>
            </w:r>
          </w:p>
        </w:tc>
        <w:tc>
          <w:tcPr>
            <w:tcW w:w="2951" w:type="dxa"/>
            <w:hideMark/>
          </w:tcPr>
          <w:p w14:paraId="2F007E4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40F86D3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44A68BBF" w14:textId="77777777" w:rsidTr="00BC39E5">
        <w:trPr>
          <w:trHeight w:val="133"/>
        </w:trPr>
        <w:tc>
          <w:tcPr>
            <w:tcW w:w="3527" w:type="dxa"/>
            <w:hideMark/>
          </w:tcPr>
          <w:p w14:paraId="29236DF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x23Dimethylpentane</w:t>
            </w:r>
          </w:p>
        </w:tc>
        <w:tc>
          <w:tcPr>
            <w:tcW w:w="2951" w:type="dxa"/>
            <w:hideMark/>
          </w:tcPr>
          <w:p w14:paraId="4F3F797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5122F1E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382A9227" w14:textId="77777777" w:rsidTr="00BC39E5">
        <w:trPr>
          <w:trHeight w:val="133"/>
        </w:trPr>
        <w:tc>
          <w:tcPr>
            <w:tcW w:w="3527" w:type="dxa"/>
            <w:hideMark/>
          </w:tcPr>
          <w:p w14:paraId="444C090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x24Dimethylpentane</w:t>
            </w:r>
          </w:p>
        </w:tc>
        <w:tc>
          <w:tcPr>
            <w:tcW w:w="2951" w:type="dxa"/>
            <w:hideMark/>
          </w:tcPr>
          <w:p w14:paraId="34027DC6"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5E9FEBE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A7CBEF0" w14:textId="77777777" w:rsidTr="00BC39E5">
        <w:trPr>
          <w:trHeight w:val="133"/>
        </w:trPr>
        <w:tc>
          <w:tcPr>
            <w:tcW w:w="3527" w:type="dxa"/>
            <w:hideMark/>
          </w:tcPr>
          <w:p w14:paraId="5435BEB4"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x25Dimethylhexane</w:t>
            </w:r>
          </w:p>
        </w:tc>
        <w:tc>
          <w:tcPr>
            <w:tcW w:w="2951" w:type="dxa"/>
            <w:hideMark/>
          </w:tcPr>
          <w:p w14:paraId="2CE1E5BF"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71378881"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26D7F2B2" w14:textId="77777777" w:rsidTr="00BC39E5">
        <w:trPr>
          <w:trHeight w:val="133"/>
        </w:trPr>
        <w:tc>
          <w:tcPr>
            <w:tcW w:w="3527" w:type="dxa"/>
            <w:hideMark/>
          </w:tcPr>
          <w:p w14:paraId="1EB5E39E"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x2Methylheptane</w:t>
            </w:r>
          </w:p>
        </w:tc>
        <w:tc>
          <w:tcPr>
            <w:tcW w:w="2951" w:type="dxa"/>
            <w:hideMark/>
          </w:tcPr>
          <w:p w14:paraId="42E9E39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21CBE9E0"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5C143537" w14:textId="77777777" w:rsidTr="00BC39E5">
        <w:trPr>
          <w:trHeight w:val="133"/>
        </w:trPr>
        <w:tc>
          <w:tcPr>
            <w:tcW w:w="3527" w:type="dxa"/>
            <w:hideMark/>
          </w:tcPr>
          <w:p w14:paraId="4586529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x3Ethyl1Octene</w:t>
            </w:r>
          </w:p>
        </w:tc>
        <w:tc>
          <w:tcPr>
            <w:tcW w:w="2951" w:type="dxa"/>
            <w:hideMark/>
          </w:tcPr>
          <w:p w14:paraId="4D1BEA23"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42F214C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76C0B2AB" w14:textId="77777777" w:rsidTr="00BC39E5">
        <w:trPr>
          <w:trHeight w:val="66"/>
        </w:trPr>
        <w:tc>
          <w:tcPr>
            <w:tcW w:w="3527" w:type="dxa"/>
            <w:hideMark/>
          </w:tcPr>
          <w:p w14:paraId="0E4A62CA"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x3EthylHexane</w:t>
            </w:r>
          </w:p>
        </w:tc>
        <w:tc>
          <w:tcPr>
            <w:tcW w:w="2951" w:type="dxa"/>
            <w:hideMark/>
          </w:tcPr>
          <w:p w14:paraId="56BC90C2"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1B0A573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r w:rsidR="00E20A49" w:rsidRPr="00100CD0" w14:paraId="01971B8F" w14:textId="77777777" w:rsidTr="00BC39E5">
        <w:trPr>
          <w:trHeight w:val="66"/>
        </w:trPr>
        <w:tc>
          <w:tcPr>
            <w:tcW w:w="3527" w:type="dxa"/>
            <w:hideMark/>
          </w:tcPr>
          <w:p w14:paraId="59933438"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x3Methylheptane</w:t>
            </w:r>
          </w:p>
        </w:tc>
        <w:tc>
          <w:tcPr>
            <w:tcW w:w="2951" w:type="dxa"/>
            <w:hideMark/>
          </w:tcPr>
          <w:p w14:paraId="7F4729F9"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c>
          <w:tcPr>
            <w:tcW w:w="2872" w:type="dxa"/>
            <w:hideMark/>
          </w:tcPr>
          <w:p w14:paraId="6822294B" w14:textId="77777777" w:rsidR="00E20A49" w:rsidRPr="00100CD0" w:rsidRDefault="00E20A49" w:rsidP="00BC39E5">
            <w:pPr>
              <w:rPr>
                <w:rFonts w:ascii="Times New Roman" w:hAnsi="Times New Roman" w:cs="Times New Roman"/>
                <w:sz w:val="24"/>
                <w:szCs w:val="24"/>
              </w:rPr>
            </w:pPr>
            <w:r w:rsidRPr="00100CD0">
              <w:rPr>
                <w:rFonts w:ascii="Times New Roman" w:hAnsi="Times New Roman" w:cs="Times New Roman"/>
                <w:sz w:val="24"/>
                <w:szCs w:val="24"/>
              </w:rPr>
              <w:t> -</w:t>
            </w:r>
          </w:p>
        </w:tc>
      </w:tr>
    </w:tbl>
    <w:p w14:paraId="1D08F35A" w14:textId="77777777" w:rsidR="00E20A49" w:rsidRDefault="00E20A49" w:rsidP="00E20A49">
      <w:pPr>
        <w:ind w:left="720" w:hanging="720"/>
        <w:jc w:val="center"/>
        <w:rPr>
          <w:rFonts w:ascii="Times New Roman" w:hAnsi="Times New Roman" w:cs="Times New Roman"/>
          <w:b/>
          <w:bCs/>
          <w:sz w:val="24"/>
          <w:szCs w:val="24"/>
          <w:u w:val="single"/>
        </w:rPr>
      </w:pPr>
      <w:bookmarkStart w:id="0" w:name="_Hlk155277987"/>
      <w:r>
        <w:rPr>
          <w:noProof/>
        </w:rPr>
        <w:lastRenderedPageBreak/>
        <w:drawing>
          <wp:inline distT="0" distB="0" distL="0" distR="0" wp14:anchorId="07788C2E" wp14:editId="36A67ED4">
            <wp:extent cx="3609892" cy="2707033"/>
            <wp:effectExtent l="0" t="0" r="0" b="0"/>
            <wp:docPr id="673208101" name="Picture 1" descr="A graph of a number of 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208101" name="Picture 1" descr="A graph of a number of red bars&#10;&#10;Description automatically generated with medium confidenc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16144" cy="2711721"/>
                    </a:xfrm>
                    <a:prstGeom prst="rect">
                      <a:avLst/>
                    </a:prstGeom>
                    <a:noFill/>
                    <a:ln>
                      <a:noFill/>
                    </a:ln>
                  </pic:spPr>
                </pic:pic>
              </a:graphicData>
            </a:graphic>
          </wp:inline>
        </w:drawing>
      </w:r>
    </w:p>
    <w:p w14:paraId="7B6C7239" w14:textId="77777777" w:rsidR="00E20A49" w:rsidRPr="00100CD0" w:rsidRDefault="00E20A49" w:rsidP="00E20A49">
      <w:pPr>
        <w:ind w:left="720" w:hanging="720"/>
        <w:rPr>
          <w:rFonts w:ascii="Times New Roman" w:hAnsi="Times New Roman" w:cs="Times New Roman"/>
          <w:b/>
          <w:bCs/>
          <w:sz w:val="24"/>
          <w:szCs w:val="24"/>
          <w:u w:val="single"/>
        </w:rPr>
      </w:pPr>
    </w:p>
    <w:p w14:paraId="0A66F8B2"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b/>
          <w:bCs/>
          <w:sz w:val="24"/>
          <w:szCs w:val="24"/>
        </w:rPr>
        <w:t>Figure S</w:t>
      </w:r>
      <w:r>
        <w:rPr>
          <w:rFonts w:ascii="Times New Roman" w:hAnsi="Times New Roman" w:cs="Times New Roman"/>
          <w:b/>
          <w:bCs/>
          <w:sz w:val="24"/>
          <w:szCs w:val="24"/>
        </w:rPr>
        <w:t>1</w:t>
      </w:r>
      <w:r w:rsidRPr="00100CD0">
        <w:rPr>
          <w:rFonts w:ascii="Times New Roman" w:hAnsi="Times New Roman" w:cs="Times New Roman"/>
          <w:b/>
          <w:bCs/>
          <w:sz w:val="24"/>
          <w:szCs w:val="24"/>
        </w:rPr>
        <w:t>:</w:t>
      </w:r>
      <w:r w:rsidRPr="00100CD0">
        <w:rPr>
          <w:rFonts w:ascii="Times New Roman" w:hAnsi="Times New Roman" w:cs="Times New Roman"/>
          <w:sz w:val="24"/>
          <w:szCs w:val="24"/>
        </w:rPr>
        <w:t xml:space="preserve"> </w:t>
      </w:r>
      <w:r>
        <w:rPr>
          <w:rFonts w:ascii="Times New Roman" w:hAnsi="Times New Roman" w:cs="Times New Roman"/>
          <w:sz w:val="24"/>
          <w:szCs w:val="24"/>
        </w:rPr>
        <w:t xml:space="preserve">Histogram of the </w:t>
      </w:r>
      <w:r w:rsidRPr="00484607">
        <w:rPr>
          <w:rFonts w:ascii="Times New Roman" w:hAnsi="Times New Roman" w:cs="Times New Roman"/>
          <w:sz w:val="24"/>
          <w:szCs w:val="24"/>
        </w:rPr>
        <w:t>LRO</w:t>
      </w:r>
      <w:r w:rsidRPr="00484607">
        <w:rPr>
          <w:rFonts w:ascii="Times New Roman" w:hAnsi="Times New Roman" w:cs="Times New Roman"/>
          <w:sz w:val="24"/>
          <w:szCs w:val="24"/>
          <w:vertAlign w:val="subscript"/>
        </w:rPr>
        <w:t>x</w:t>
      </w:r>
      <w:r w:rsidRPr="00484607">
        <w:rPr>
          <w:rFonts w:ascii="Times New Roman" w:hAnsi="Times New Roman" w:cs="Times New Roman"/>
          <w:sz w:val="24"/>
          <w:szCs w:val="24"/>
        </w:rPr>
        <w:t>/LNO</w:t>
      </w:r>
      <w:r w:rsidRPr="00484607">
        <w:rPr>
          <w:rFonts w:ascii="Times New Roman" w:hAnsi="Times New Roman" w:cs="Times New Roman"/>
          <w:sz w:val="24"/>
          <w:szCs w:val="24"/>
          <w:vertAlign w:val="subscript"/>
        </w:rPr>
        <w:t>x</w:t>
      </w:r>
      <w:r w:rsidRPr="00484607">
        <w:rPr>
          <w:rFonts w:ascii="Times New Roman" w:hAnsi="Times New Roman" w:cs="Times New Roman"/>
          <w:sz w:val="24"/>
          <w:szCs w:val="24"/>
        </w:rPr>
        <w:t xml:space="preserve"> </w:t>
      </w:r>
      <w:r>
        <w:rPr>
          <w:rFonts w:ascii="Times New Roman" w:hAnsi="Times New Roman" w:cs="Times New Roman"/>
          <w:sz w:val="24"/>
          <w:szCs w:val="24"/>
        </w:rPr>
        <w:t xml:space="preserve">value calculated at the peak of each individual </w:t>
      </w:r>
      <w:r w:rsidRPr="00484607">
        <w:rPr>
          <w:rFonts w:ascii="Times New Roman" w:hAnsi="Times New Roman" w:cs="Times New Roman"/>
          <w:sz w:val="24"/>
          <w:szCs w:val="24"/>
        </w:rPr>
        <w:t>PO</w:t>
      </w:r>
      <w:r w:rsidRPr="00484607">
        <w:rPr>
          <w:rFonts w:ascii="Times New Roman" w:hAnsi="Times New Roman" w:cs="Times New Roman"/>
          <w:sz w:val="24"/>
          <w:szCs w:val="24"/>
          <w:vertAlign w:val="subscript"/>
        </w:rPr>
        <w:t>3</w:t>
      </w:r>
      <w:r>
        <w:rPr>
          <w:rFonts w:ascii="Times New Roman" w:hAnsi="Times New Roman" w:cs="Times New Roman"/>
          <w:sz w:val="24"/>
          <w:szCs w:val="24"/>
        </w:rPr>
        <w:t xml:space="preserve"> curve (Fig. 2). These values range from 0.09 to 0.54 and have an average value of 0.30. </w:t>
      </w:r>
    </w:p>
    <w:p w14:paraId="2B5F89D3" w14:textId="77777777" w:rsidR="00E20A49" w:rsidRPr="000E4F33" w:rsidRDefault="00E20A49" w:rsidP="00E20A49">
      <w:pPr>
        <w:jc w:val="both"/>
        <w:rPr>
          <w:rFonts w:ascii="Times New Roman" w:hAnsi="Times New Roman" w:cs="Times New Roman"/>
          <w:sz w:val="24"/>
          <w:szCs w:val="24"/>
        </w:rPr>
      </w:pPr>
      <w:r>
        <w:rPr>
          <w:rFonts w:ascii="Times New Roman" w:hAnsi="Times New Roman" w:cs="Times New Roman"/>
          <w:sz w:val="24"/>
          <w:szCs w:val="24"/>
        </w:rPr>
        <w:t xml:space="preserve">On average, the value of </w:t>
      </w:r>
      <w:r w:rsidRPr="000E4F33">
        <w:rPr>
          <w:rFonts w:ascii="Times New Roman" w:hAnsi="Times New Roman" w:cs="Times New Roman"/>
          <w:sz w:val="24"/>
          <w:szCs w:val="24"/>
        </w:rPr>
        <w:t>LRO</w:t>
      </w:r>
      <w:r w:rsidRPr="000E4F33">
        <w:rPr>
          <w:rFonts w:ascii="Times New Roman" w:hAnsi="Times New Roman" w:cs="Times New Roman"/>
          <w:sz w:val="24"/>
          <w:szCs w:val="24"/>
          <w:vertAlign w:val="subscript"/>
        </w:rPr>
        <w:t>x</w:t>
      </w:r>
      <w:r w:rsidRPr="000E4F33">
        <w:rPr>
          <w:rFonts w:ascii="Times New Roman" w:hAnsi="Times New Roman" w:cs="Times New Roman"/>
          <w:sz w:val="24"/>
          <w:szCs w:val="24"/>
        </w:rPr>
        <w:t>/LNO</w:t>
      </w:r>
      <w:r w:rsidRPr="000E4F33">
        <w:rPr>
          <w:rFonts w:ascii="Times New Roman" w:hAnsi="Times New Roman" w:cs="Times New Roman"/>
          <w:sz w:val="24"/>
          <w:szCs w:val="24"/>
          <w:vertAlign w:val="subscript"/>
        </w:rPr>
        <w:t>x</w:t>
      </w:r>
      <w:r w:rsidRPr="000E4F33">
        <w:rPr>
          <w:rFonts w:ascii="Times New Roman" w:hAnsi="Times New Roman" w:cs="Times New Roman"/>
          <w:sz w:val="24"/>
          <w:szCs w:val="24"/>
        </w:rPr>
        <w:t xml:space="preserve"> </w:t>
      </w:r>
      <w:r>
        <w:rPr>
          <w:rFonts w:ascii="Times New Roman" w:hAnsi="Times New Roman" w:cs="Times New Roman"/>
          <w:sz w:val="24"/>
          <w:szCs w:val="24"/>
        </w:rPr>
        <w:t xml:space="preserve">at the peak of the </w:t>
      </w:r>
      <w:r w:rsidRPr="000E4F33">
        <w:rPr>
          <w:rFonts w:ascii="Times New Roman" w:hAnsi="Times New Roman" w:cs="Times New Roman"/>
          <w:sz w:val="24"/>
          <w:szCs w:val="24"/>
        </w:rPr>
        <w:t>PO</w:t>
      </w:r>
      <w:r w:rsidRPr="000E4F33">
        <w:rPr>
          <w:rFonts w:ascii="Times New Roman" w:hAnsi="Times New Roman" w:cs="Times New Roman"/>
          <w:sz w:val="24"/>
          <w:szCs w:val="24"/>
          <w:vertAlign w:val="subscript"/>
        </w:rPr>
        <w:t>3</w:t>
      </w:r>
      <w:r>
        <w:rPr>
          <w:rFonts w:ascii="Times New Roman" w:hAnsi="Times New Roman" w:cs="Times New Roman"/>
          <w:sz w:val="24"/>
          <w:szCs w:val="24"/>
        </w:rPr>
        <w:t xml:space="preserve"> curves is 0.30. This represents the threshold where ozone production becomes VOC-limited. The variation of this value is likely due to different VOC compositions.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&lt;EndNote&gt;&lt;Cite&gt;&lt;Author&gt;Schroeder&lt;/Author&gt;&lt;Year&gt;2017&lt;/Year&gt;&lt;RecNum&gt;26&lt;/RecNum&gt;&lt;DisplayText&gt;Schroeder et al., 2017&lt;/DisplayText&gt;&lt;record&gt;&lt;rec-number&gt;26&lt;/rec-number&gt;&lt;foreign-keys&gt;&lt;key app="EN" db-id="vttz0svx1az0rpepesxvzd9150avxv5d5xdz" timestamp="1681418723"&gt;26&lt;/key&gt;&lt;/foreign-keys&gt;&lt;ref-type name="Journal Article"&gt;17&lt;/ref-type&gt;&lt;contributors&gt;&lt;authors&gt;&lt;author&gt;Schroeder, J. R.&lt;/author&gt;&lt;author&gt;Crawford, J. H.&lt;/author&gt;&lt;author&gt;Fried, A.&lt;/author&gt;&lt;author&gt;Walega, J.&lt;/author&gt;&lt;author&gt;Weinheimer, A.&lt;/author&gt;&lt;author&gt;Wisthaler, A.&lt;/author&gt;&lt;author&gt;Muller, M.&lt;/author&gt;&lt;author&gt;Mikoviny, T.&lt;/author&gt;&lt;author&gt;Chen, G.&lt;/author&gt;&lt;author&gt;Shook, M.&lt;/author&gt;&lt;author&gt;Blake, D. R.&lt;/author&gt;&lt;author&gt;Tonnesen, G. S.&lt;/author&gt;&lt;/authors&gt;&lt;/contributors&gt;&lt;titles&gt;&lt;title&gt;New insights into the column CH2O/NO2 ratio as an indicator of near-surface ozone sensitivity&lt;/title&gt;&lt;secondary-title&gt;Journal of Geophysical Research-Atmospheres&lt;/secondary-title&gt;&lt;/titles&gt;&lt;periodical&gt;&lt;full-title&gt;Journal of Geophysical Research-Atmospheres&lt;/full-title&gt;&lt;abbr-1&gt;J. Geophys. Res.-Atmos.&lt;/abbr-1&gt;&lt;/periodical&gt;&lt;pages&gt;8885-8907&lt;/pages&gt;&lt;volume&gt;122&lt;/volume&gt;&lt;number&gt;16&lt;/number&gt;&lt;dates&gt;&lt;year&gt;2017&lt;/year&gt;&lt;pub-dates&gt;&lt;date&gt;Aug&lt;/date&gt;&lt;/pub-dates&gt;&lt;/dates&gt;&lt;isbn&gt;2169-897X&lt;/isbn&gt;&lt;accession-num&gt;WOS:000416382800028&lt;/accession-num&gt;&lt;urls&gt;&lt;related-urls&gt;&lt;url&gt;&amp;lt;Go to ISI&amp;gt;://WOS:000416382800028&lt;/url&gt;&lt;/related-urls&gt;&lt;/urls&gt;&lt;electronic-resource-num&gt;10.1002/2017jd026781&lt;/electronic-resource-num&gt;&lt;/record&gt;&lt;/Cite&gt;&lt;/EndNote&gt;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Schroeder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provides a range of 0.25-0.35 which encompasses 80% of these data. </w:t>
      </w:r>
    </w:p>
    <w:bookmarkEnd w:id="0"/>
    <w:p w14:paraId="0B37303C" w14:textId="77777777" w:rsidR="00E20A49" w:rsidRPr="00100CD0" w:rsidRDefault="00E20A49" w:rsidP="00E20A49">
      <w:pPr>
        <w:rPr>
          <w:rFonts w:ascii="Times New Roman" w:hAnsi="Times New Roman" w:cs="Times New Roman"/>
          <w:b/>
          <w:bCs/>
          <w:sz w:val="24"/>
          <w:szCs w:val="24"/>
          <w:u w:val="single"/>
        </w:rPr>
      </w:pPr>
    </w:p>
    <w:p w14:paraId="5F421356" w14:textId="77777777" w:rsidR="00E20A49" w:rsidRPr="00100CD0" w:rsidRDefault="00E20A49" w:rsidP="00E20A49">
      <w:pPr>
        <w:ind w:left="720" w:hanging="720"/>
        <w:jc w:val="center"/>
        <w:rPr>
          <w:rFonts w:ascii="Times New Roman" w:hAnsi="Times New Roman" w:cs="Times New Roman"/>
          <w:b/>
          <w:bCs/>
          <w:sz w:val="24"/>
          <w:szCs w:val="24"/>
          <w:u w:val="single"/>
        </w:rPr>
      </w:pPr>
      <w:r>
        <w:rPr>
          <w:noProof/>
        </w:rPr>
        <w:drawing>
          <wp:inline distT="0" distB="0" distL="0" distR="0" wp14:anchorId="2C5C54BF" wp14:editId="6D2BF308">
            <wp:extent cx="4238045" cy="2302399"/>
            <wp:effectExtent l="0" t="0" r="0" b="3175"/>
            <wp:docPr id="503801813" name="Picture 1" descr="A graph of blu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801813" name="Picture 1" descr="A graph of blue dots&#10;&#10;Description automatically generated"/>
                    <pic:cNvPicPr/>
                  </pic:nvPicPr>
                  <pic:blipFill>
                    <a:blip r:embed="rId5"/>
                    <a:stretch>
                      <a:fillRect/>
                    </a:stretch>
                  </pic:blipFill>
                  <pic:spPr>
                    <a:xfrm>
                      <a:off x="0" y="0"/>
                      <a:ext cx="4250578" cy="2309208"/>
                    </a:xfrm>
                    <a:prstGeom prst="rect">
                      <a:avLst/>
                    </a:prstGeom>
                  </pic:spPr>
                </pic:pic>
              </a:graphicData>
            </a:graphic>
          </wp:inline>
        </w:drawing>
      </w:r>
    </w:p>
    <w:p w14:paraId="04ECA429"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b/>
          <w:bCs/>
          <w:sz w:val="24"/>
          <w:szCs w:val="24"/>
        </w:rPr>
        <w:t>Figure S</w:t>
      </w:r>
      <w:r>
        <w:rPr>
          <w:rFonts w:ascii="Times New Roman" w:hAnsi="Times New Roman" w:cs="Times New Roman"/>
          <w:b/>
          <w:bCs/>
          <w:sz w:val="24"/>
          <w:szCs w:val="24"/>
        </w:rPr>
        <w:t>2</w:t>
      </w:r>
      <w:r w:rsidRPr="00100CD0">
        <w:rPr>
          <w:rFonts w:ascii="Times New Roman" w:hAnsi="Times New Roman" w:cs="Times New Roman"/>
          <w:b/>
          <w:bCs/>
          <w:sz w:val="24"/>
          <w:szCs w:val="24"/>
        </w:rPr>
        <w:t>:</w:t>
      </w:r>
      <w:r w:rsidRPr="00100CD0">
        <w:rPr>
          <w:rFonts w:ascii="Times New Roman" w:hAnsi="Times New Roman" w:cs="Times New Roman"/>
          <w:sz w:val="24"/>
          <w:szCs w:val="24"/>
        </w:rPr>
        <w:t xml:space="preserve"> The logarithmic relationship between d[PO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]/d[NO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and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at observed NO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Dashed reference lines are included for d[PO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]/d[NO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 0 (black),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 1 (yellow) and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 0.30 (pink).</w:t>
      </w:r>
    </w:p>
    <w:p w14:paraId="05626B2D" w14:textId="77777777" w:rsidR="00E20A49" w:rsidRDefault="00E20A49" w:rsidP="00E20A49">
      <w:pPr>
        <w:rPr>
          <w:rFonts w:ascii="Times New Roman" w:hAnsi="Times New Roman" w:cs="Times New Roman"/>
          <w:sz w:val="24"/>
          <w:szCs w:val="24"/>
        </w:rPr>
      </w:pPr>
      <w:r w:rsidRPr="00100CD0">
        <w:rPr>
          <w:rFonts w:ascii="Times New Roman" w:hAnsi="Times New Roman" w:cs="Times New Roman"/>
          <w:sz w:val="24"/>
          <w:szCs w:val="24"/>
        </w:rPr>
        <w:t>As stated in section 3.</w:t>
      </w:r>
      <w:r>
        <w:rPr>
          <w:rFonts w:ascii="Times New Roman" w:hAnsi="Times New Roman" w:cs="Times New Roman"/>
          <w:sz w:val="24"/>
          <w:szCs w:val="24"/>
        </w:rPr>
        <w:t>1</w:t>
      </w:r>
      <w:r w:rsidRPr="00100CD0">
        <w:rPr>
          <w:rFonts w:ascii="Times New Roman" w:hAnsi="Times New Roman" w:cs="Times New Roman"/>
          <w:sz w:val="24"/>
          <w:szCs w:val="24"/>
        </w:rPr>
        <w:t>.1,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and slope are</w:t>
      </w:r>
      <w:r>
        <w:rPr>
          <w:rFonts w:ascii="Times New Roman" w:hAnsi="Times New Roman" w:cs="Times New Roman"/>
          <w:sz w:val="24"/>
          <w:szCs w:val="24"/>
        </w:rPr>
        <w:t xml:space="preserve"> </w:t>
      </w:r>
      <w:r w:rsidRPr="00100CD0">
        <w:rPr>
          <w:rFonts w:ascii="Times New Roman" w:hAnsi="Times New Roman" w:cs="Times New Roman"/>
          <w:sz w:val="24"/>
          <w:szCs w:val="24"/>
        </w:rPr>
        <w:t>used to define a shift between a NO</w:t>
      </w:r>
      <w:r w:rsidRPr="00525128">
        <w:rPr>
          <w:rFonts w:ascii="Times New Roman" w:hAnsi="Times New Roman" w:cs="Times New Roman"/>
          <w:sz w:val="24"/>
          <w:szCs w:val="24"/>
          <w:vertAlign w:val="subscript"/>
        </w:rPr>
        <w:t>x</w:t>
      </w:r>
      <w:r w:rsidRPr="00100CD0">
        <w:rPr>
          <w:rFonts w:ascii="Times New Roman" w:hAnsi="Times New Roman" w:cs="Times New Roman"/>
          <w:sz w:val="24"/>
          <w:szCs w:val="24"/>
        </w:rPr>
        <w:t>-limited and VOC-lim</w:t>
      </w:r>
      <w:r>
        <w:rPr>
          <w:rFonts w:ascii="Times New Roman" w:hAnsi="Times New Roman" w:cs="Times New Roman"/>
          <w:sz w:val="24"/>
          <w:szCs w:val="24"/>
        </w:rPr>
        <w:t>it</w:t>
      </w:r>
      <w:r w:rsidRPr="00100CD0">
        <w:rPr>
          <w:rFonts w:ascii="Times New Roman" w:hAnsi="Times New Roman" w:cs="Times New Roman"/>
          <w:sz w:val="24"/>
          <w:szCs w:val="24"/>
        </w:rPr>
        <w:t>ed regime. Based on these data,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is equal to 0.30 where the </w:t>
      </w:r>
      <w:r w:rsidRPr="00100CD0">
        <w:rPr>
          <w:rFonts w:ascii="Times New Roman" w:hAnsi="Times New Roman" w:cs="Times New Roman"/>
          <w:sz w:val="24"/>
          <w:szCs w:val="24"/>
        </w:rPr>
        <w:lastRenderedPageBreak/>
        <w:t>slope is</w:t>
      </w:r>
      <w:r>
        <w:rPr>
          <w:rFonts w:ascii="Times New Roman" w:hAnsi="Times New Roman" w:cs="Times New Roman"/>
          <w:sz w:val="24"/>
          <w:szCs w:val="24"/>
        </w:rPr>
        <w:t xml:space="preserve"> equal to</w:t>
      </w:r>
      <w:r w:rsidRPr="00100CD0">
        <w:rPr>
          <w:rFonts w:ascii="Times New Roman" w:hAnsi="Times New Roman" w:cs="Times New Roman"/>
          <w:sz w:val="24"/>
          <w:szCs w:val="24"/>
        </w:rPr>
        <w:t xml:space="preserve"> zero. We define the transition region to be 0.3 &lt;= LRO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/LNO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&lt;= 1 where 1 is the point at which the radicals are removed at the same speed through self- radical reactions as through NO</w:t>
      </w:r>
      <w:r w:rsidRPr="00100CD0">
        <w:rPr>
          <w:rFonts w:ascii="Times New Roman" w:hAnsi="Times New Roman" w:cs="Times New Roman"/>
          <w:sz w:val="24"/>
          <w:szCs w:val="24"/>
          <w:vertAlign w:val="subscript"/>
        </w:rPr>
        <w:t>x</w:t>
      </w:r>
      <w:r w:rsidRPr="00100CD0">
        <w:rPr>
          <w:rFonts w:ascii="Times New Roman" w:hAnsi="Times New Roman" w:cs="Times New Roman"/>
          <w:sz w:val="24"/>
          <w:szCs w:val="24"/>
        </w:rPr>
        <w:t xml:space="preserve"> reactions. Values below 0.30 indicate a VOC-limited regime, while samples above 1 indicate a NOx-limited regime. </w:t>
      </w:r>
    </w:p>
    <w:p w14:paraId="2BB64C41" w14:textId="77777777" w:rsidR="00E20A49" w:rsidRDefault="00E20A49" w:rsidP="00E20A49">
      <w:pPr>
        <w:pStyle w:val="NormalWeb"/>
        <w:jc w:val="center"/>
      </w:pPr>
    </w:p>
    <w:p w14:paraId="0B982837" w14:textId="77777777" w:rsidR="00E20A49" w:rsidRDefault="00E20A49" w:rsidP="00E20A49">
      <w:pPr>
        <w:rPr>
          <w:rFonts w:ascii="Times New Roman" w:hAnsi="Times New Roman" w:cs="Times New Roman"/>
          <w:sz w:val="24"/>
          <w:szCs w:val="24"/>
        </w:rPr>
      </w:pPr>
    </w:p>
    <w:p w14:paraId="674B8E36" w14:textId="77777777" w:rsidR="00E20A49" w:rsidRDefault="00E20A49" w:rsidP="00E20A49">
      <w:pPr>
        <w:jc w:val="center"/>
        <w:rPr>
          <w:rFonts w:ascii="Times New Roman" w:hAnsi="Times New Roman" w:cs="Times New Roman"/>
          <w:sz w:val="24"/>
          <w:szCs w:val="24"/>
        </w:rPr>
      </w:pPr>
      <w:r>
        <w:rPr>
          <w:noProof/>
        </w:rPr>
        <w:drawing>
          <wp:inline distT="0" distB="0" distL="0" distR="0" wp14:anchorId="4A177D55" wp14:editId="022FF070">
            <wp:extent cx="3543300" cy="2657854"/>
            <wp:effectExtent l="0" t="0" r="0" b="9525"/>
            <wp:docPr id="1626033936" name="Picture 1" descr="A map with red dots and blue triang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033936" name="Picture 1" descr="A map with red dots and blue triangles&#10;&#10;Description automatically generated"/>
                    <pic:cNvPicPr/>
                  </pic:nvPicPr>
                  <pic:blipFill>
                    <a:blip r:embed="rId6"/>
                    <a:stretch>
                      <a:fillRect/>
                    </a:stretch>
                  </pic:blipFill>
                  <pic:spPr>
                    <a:xfrm>
                      <a:off x="0" y="0"/>
                      <a:ext cx="3554525" cy="2666274"/>
                    </a:xfrm>
                    <a:prstGeom prst="rect">
                      <a:avLst/>
                    </a:prstGeom>
                  </pic:spPr>
                </pic:pic>
              </a:graphicData>
            </a:graphic>
          </wp:inline>
        </w:drawing>
      </w:r>
    </w:p>
    <w:p w14:paraId="589B8B5A" w14:textId="77777777" w:rsidR="00E20A49" w:rsidRDefault="00E20A49" w:rsidP="00E20A49">
      <w:pPr>
        <w:spacing w:line="240" w:lineRule="auto"/>
        <w:rPr>
          <w:rFonts w:ascii="Times New Roman" w:hAnsi="Times New Roman" w:cs="Times New Roman"/>
          <w:sz w:val="24"/>
          <w:szCs w:val="24"/>
        </w:rPr>
      </w:pPr>
      <w:r w:rsidRPr="00CE6E68">
        <w:rPr>
          <w:rFonts w:ascii="Times New Roman" w:hAnsi="Times New Roman" w:cs="Times New Roman"/>
          <w:b/>
          <w:bCs/>
          <w:sz w:val="24"/>
          <w:szCs w:val="24"/>
        </w:rPr>
        <w:t>Figure S</w:t>
      </w:r>
      <w:r>
        <w:rPr>
          <w:rFonts w:ascii="Times New Roman" w:hAnsi="Times New Roman" w:cs="Times New Roman"/>
          <w:b/>
          <w:bCs/>
          <w:sz w:val="24"/>
          <w:szCs w:val="24"/>
        </w:rPr>
        <w:t>3</w:t>
      </w:r>
      <w:r w:rsidRPr="00CE6E68">
        <w:rPr>
          <w:rFonts w:ascii="Times New Roman" w:hAnsi="Times New Roman" w:cs="Times New Roman"/>
          <w:b/>
          <w:bCs/>
          <w:sz w:val="24"/>
          <w:szCs w:val="24"/>
        </w:rPr>
        <w:t xml:space="preserve">: </w:t>
      </w:r>
      <w:r w:rsidRPr="00CE6E68">
        <w:rPr>
          <w:rFonts w:ascii="Times New Roman" w:hAnsi="Times New Roman" w:cs="Times New Roman"/>
          <w:sz w:val="24"/>
          <w:szCs w:val="24"/>
        </w:rPr>
        <w:t>Map of ozone production regime for each sample as classified by slope at the point of observed NO</w:t>
      </w:r>
      <w:r w:rsidRPr="00CE6E68">
        <w:rPr>
          <w:rFonts w:ascii="Times New Roman" w:hAnsi="Times New Roman" w:cs="Times New Roman"/>
          <w:sz w:val="24"/>
          <w:szCs w:val="24"/>
          <w:vertAlign w:val="subscript"/>
        </w:rPr>
        <w:t>2</w:t>
      </w:r>
      <w:r w:rsidRPr="00CE6E68">
        <w:rPr>
          <w:rFonts w:ascii="Times New Roman" w:hAnsi="Times New Roman" w:cs="Times New Roman"/>
          <w:sz w:val="24"/>
          <w:szCs w:val="24"/>
        </w:rPr>
        <w:t>. Blue triangles represent a VOC-limited regime and red circles a NO</w:t>
      </w:r>
      <w:r w:rsidRPr="00CE6E68">
        <w:rPr>
          <w:rFonts w:ascii="Times New Roman" w:hAnsi="Times New Roman" w:cs="Times New Roman"/>
          <w:sz w:val="24"/>
          <w:szCs w:val="24"/>
          <w:vertAlign w:val="subscript"/>
        </w:rPr>
        <w:t>x</w:t>
      </w:r>
      <w:r w:rsidRPr="00CE6E68">
        <w:rPr>
          <w:rFonts w:ascii="Times New Roman" w:hAnsi="Times New Roman" w:cs="Times New Roman"/>
          <w:sz w:val="24"/>
          <w:szCs w:val="24"/>
        </w:rPr>
        <w:t xml:space="preserve"> limited regime. </w:t>
      </w:r>
    </w:p>
    <w:p w14:paraId="623DDE73" w14:textId="77777777" w:rsidR="00E20A49" w:rsidRPr="00CE6E68" w:rsidRDefault="00E20A49" w:rsidP="00E20A49">
      <w:pPr>
        <w:spacing w:line="240" w:lineRule="auto"/>
        <w:rPr>
          <w:rFonts w:ascii="Times New Roman" w:hAnsi="Times New Roman" w:cs="Times New Roman"/>
          <w:sz w:val="24"/>
          <w:szCs w:val="24"/>
        </w:rPr>
      </w:pPr>
      <w:r>
        <w:rPr>
          <w:rFonts w:ascii="Times New Roman" w:hAnsi="Times New Roman" w:cs="Times New Roman"/>
          <w:sz w:val="24"/>
          <w:szCs w:val="24"/>
        </w:rPr>
        <w:t xml:space="preserve">The spatial variability of </w:t>
      </w:r>
      <w:r w:rsidRPr="00CE6E68">
        <w:rPr>
          <w:rFonts w:ascii="Times New Roman" w:hAnsi="Times New Roman" w:cs="Times New Roman"/>
          <w:sz w:val="24"/>
          <w:szCs w:val="24"/>
        </w:rPr>
        <w:t>PO</w:t>
      </w:r>
      <w:r w:rsidRPr="00CE6E68">
        <w:rPr>
          <w:rFonts w:ascii="Times New Roman" w:hAnsi="Times New Roman" w:cs="Times New Roman"/>
          <w:sz w:val="24"/>
          <w:szCs w:val="24"/>
          <w:vertAlign w:val="subscript"/>
        </w:rPr>
        <w:t>3</w:t>
      </w:r>
      <w:r>
        <w:rPr>
          <w:rFonts w:ascii="Times New Roman" w:hAnsi="Times New Roman" w:cs="Times New Roman"/>
          <w:sz w:val="24"/>
          <w:szCs w:val="24"/>
        </w:rPr>
        <w:t xml:space="preserve"> regime based on slope is similar to </w:t>
      </w:r>
      <w:r w:rsidRPr="00CE6E68">
        <w:rPr>
          <w:rFonts w:ascii="Times New Roman" w:hAnsi="Times New Roman" w:cs="Times New Roman"/>
          <w:sz w:val="24"/>
          <w:szCs w:val="24"/>
        </w:rPr>
        <w:t>LRO</w:t>
      </w:r>
      <w:r w:rsidRPr="00CE6E68">
        <w:rPr>
          <w:rFonts w:ascii="Times New Roman" w:hAnsi="Times New Roman" w:cs="Times New Roman"/>
          <w:sz w:val="24"/>
          <w:szCs w:val="24"/>
          <w:vertAlign w:val="subscript"/>
        </w:rPr>
        <w:t>x</w:t>
      </w:r>
      <w:r w:rsidRPr="00CE6E68">
        <w:rPr>
          <w:rFonts w:ascii="Times New Roman" w:hAnsi="Times New Roman" w:cs="Times New Roman"/>
          <w:sz w:val="24"/>
          <w:szCs w:val="24"/>
        </w:rPr>
        <w:t>/LNO</w:t>
      </w:r>
      <w:r w:rsidRPr="00CE6E68">
        <w:rPr>
          <w:rFonts w:ascii="Times New Roman" w:hAnsi="Times New Roman" w:cs="Times New Roman"/>
          <w:sz w:val="24"/>
          <w:szCs w:val="24"/>
          <w:vertAlign w:val="subscript"/>
        </w:rPr>
        <w:t>x</w:t>
      </w:r>
      <w:r>
        <w:rPr>
          <w:rFonts w:ascii="Times New Roman" w:hAnsi="Times New Roman" w:cs="Times New Roman"/>
          <w:sz w:val="24"/>
          <w:szCs w:val="24"/>
        </w:rPr>
        <w:t xml:space="preserve">. Most samples (86%) are in a NOx-limited regime. </w:t>
      </w:r>
      <w:r w:rsidRPr="003144EF">
        <w:rPr>
          <w:rFonts w:ascii="Times New Roman" w:hAnsi="Times New Roman" w:cs="Times New Roman"/>
          <w:sz w:val="24"/>
          <w:szCs w:val="24"/>
        </w:rPr>
        <w:t xml:space="preserve">However, along the Hudson River and CT coastline (I-95 corridor), </w:t>
      </w:r>
      <w:r>
        <w:rPr>
          <w:rFonts w:ascii="Times New Roman" w:hAnsi="Times New Roman" w:cs="Times New Roman"/>
          <w:sz w:val="24"/>
          <w:szCs w:val="24"/>
        </w:rPr>
        <w:t>we find several samples with a</w:t>
      </w:r>
      <w:r w:rsidRPr="003144EF">
        <w:rPr>
          <w:rFonts w:ascii="Times New Roman" w:hAnsi="Times New Roman" w:cs="Times New Roman"/>
          <w:sz w:val="24"/>
          <w:szCs w:val="24"/>
        </w:rPr>
        <w:t xml:space="preserve"> VOC-limited regime. Samples taken further away from NYC and Long Island tend to be closer to the peak PO</w:t>
      </w:r>
      <w:r w:rsidRPr="003144EF">
        <w:rPr>
          <w:rFonts w:ascii="Times New Roman" w:hAnsi="Times New Roman" w:cs="Times New Roman"/>
          <w:sz w:val="24"/>
          <w:szCs w:val="24"/>
          <w:vertAlign w:val="subscript"/>
        </w:rPr>
        <w:t>3</w:t>
      </w:r>
      <w:r w:rsidRPr="003144EF">
        <w:rPr>
          <w:rFonts w:ascii="Times New Roman" w:hAnsi="Times New Roman" w:cs="Times New Roman"/>
          <w:sz w:val="24"/>
          <w:szCs w:val="24"/>
        </w:rPr>
        <w:t xml:space="preserve"> and, while still having a positive slope, are close to th</w:t>
      </w:r>
      <w:r>
        <w:rPr>
          <w:rFonts w:ascii="Times New Roman" w:hAnsi="Times New Roman" w:cs="Times New Roman"/>
          <w:sz w:val="24"/>
          <w:szCs w:val="24"/>
        </w:rPr>
        <w:t>e</w:t>
      </w:r>
      <w:r w:rsidRPr="003144EF">
        <w:rPr>
          <w:rFonts w:ascii="Times New Roman" w:hAnsi="Times New Roman" w:cs="Times New Roman"/>
          <w:sz w:val="24"/>
          <w:szCs w:val="24"/>
        </w:rPr>
        <w:t xml:space="preserve"> turning point into a VOC-limited regime given small increases in NO</w:t>
      </w:r>
      <w:r w:rsidRPr="003144EF">
        <w:rPr>
          <w:rFonts w:ascii="Times New Roman" w:hAnsi="Times New Roman" w:cs="Times New Roman"/>
          <w:sz w:val="24"/>
          <w:szCs w:val="24"/>
          <w:vertAlign w:val="subscript"/>
        </w:rPr>
        <w:t>2</w:t>
      </w:r>
      <w:r w:rsidRPr="003144EF">
        <w:rPr>
          <w:rFonts w:ascii="Times New Roman" w:hAnsi="Times New Roman" w:cs="Times New Roman"/>
          <w:sz w:val="24"/>
          <w:szCs w:val="24"/>
        </w:rPr>
        <w:t>.</w:t>
      </w:r>
    </w:p>
    <w:p w14:paraId="7A8BCB0C" w14:textId="77777777" w:rsidR="00E20A49" w:rsidRPr="00100CD0" w:rsidRDefault="00E20A49" w:rsidP="00E20A49">
      <w:pPr>
        <w:rPr>
          <w:rFonts w:ascii="Times New Roman" w:hAnsi="Times New Roman" w:cs="Times New Roman"/>
          <w:sz w:val="24"/>
          <w:szCs w:val="24"/>
        </w:rPr>
      </w:pPr>
    </w:p>
    <w:p w14:paraId="5FF9936D" w14:textId="77777777" w:rsidR="00E20A49" w:rsidRPr="00100CD0" w:rsidRDefault="00E20A49" w:rsidP="00E20A49">
      <w:pPr>
        <w:ind w:left="720" w:hanging="720"/>
        <w:jc w:val="center"/>
        <w:rPr>
          <w:rFonts w:ascii="Times New Roman" w:hAnsi="Times New Roman" w:cs="Times New Roman"/>
          <w:b/>
          <w:bCs/>
          <w:sz w:val="24"/>
          <w:szCs w:val="24"/>
          <w:u w:val="single"/>
        </w:rPr>
      </w:pPr>
      <w:r w:rsidRPr="00643DA3">
        <w:rPr>
          <w:noProof/>
        </w:rPr>
        <w:lastRenderedPageBreak/>
        <w:t xml:space="preserve"> </w:t>
      </w:r>
      <w:r>
        <w:rPr>
          <w:noProof/>
        </w:rPr>
        <w:drawing>
          <wp:inline distT="0" distB="0" distL="0" distR="0" wp14:anchorId="0427A1E7" wp14:editId="7F7ACAA5">
            <wp:extent cx="5140197" cy="2086833"/>
            <wp:effectExtent l="0" t="0" r="3810" b="8890"/>
            <wp:docPr id="1349293408" name="Picture 1"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293408" name="Picture 1" descr="A close-up of a graph&#10;&#10;Description automatically generated"/>
                    <pic:cNvPicPr/>
                  </pic:nvPicPr>
                  <pic:blipFill>
                    <a:blip r:embed="rId7"/>
                    <a:stretch>
                      <a:fillRect/>
                    </a:stretch>
                  </pic:blipFill>
                  <pic:spPr>
                    <a:xfrm>
                      <a:off x="0" y="0"/>
                      <a:ext cx="5159601" cy="2094711"/>
                    </a:xfrm>
                    <a:prstGeom prst="rect">
                      <a:avLst/>
                    </a:prstGeom>
                  </pic:spPr>
                </pic:pic>
              </a:graphicData>
            </a:graphic>
          </wp:inline>
        </w:drawing>
      </w:r>
    </w:p>
    <w:p w14:paraId="0499B769" w14:textId="77777777" w:rsidR="00E20A49" w:rsidRPr="00100CD0" w:rsidRDefault="00E20A49" w:rsidP="00E20A49">
      <w:pPr>
        <w:ind w:left="720" w:hanging="720"/>
        <w:rPr>
          <w:rFonts w:ascii="Times New Roman" w:hAnsi="Times New Roman" w:cs="Times New Roman"/>
          <w:sz w:val="24"/>
          <w:szCs w:val="24"/>
        </w:rPr>
      </w:pPr>
      <w:r w:rsidRPr="00100CD0">
        <w:rPr>
          <w:rFonts w:ascii="Times New Roman" w:hAnsi="Times New Roman" w:cs="Times New Roman"/>
          <w:b/>
          <w:bCs/>
          <w:sz w:val="24"/>
          <w:szCs w:val="24"/>
        </w:rPr>
        <w:t>Figure S</w:t>
      </w:r>
      <w:r>
        <w:rPr>
          <w:rFonts w:ascii="Times New Roman" w:hAnsi="Times New Roman" w:cs="Times New Roman"/>
          <w:b/>
          <w:bCs/>
          <w:sz w:val="24"/>
          <w:szCs w:val="24"/>
        </w:rPr>
        <w:t>4</w:t>
      </w:r>
      <w:r w:rsidRPr="00100CD0">
        <w:rPr>
          <w:rFonts w:ascii="Times New Roman" w:hAnsi="Times New Roman" w:cs="Times New Roman"/>
          <w:b/>
          <w:bCs/>
          <w:sz w:val="24"/>
          <w:szCs w:val="24"/>
        </w:rPr>
        <w:t>:</w:t>
      </w:r>
      <w:r w:rsidRPr="00100CD0">
        <w:rPr>
          <w:rFonts w:ascii="Times New Roman" w:hAnsi="Times New Roman" w:cs="Times New Roman"/>
          <w:sz w:val="24"/>
          <w:szCs w:val="24"/>
        </w:rPr>
        <w:t xml:space="preserve"> Same as Figure 5 but s</w:t>
      </w:r>
      <w:r>
        <w:rPr>
          <w:rFonts w:ascii="Times New Roman" w:hAnsi="Times New Roman" w:cs="Times New Roman"/>
          <w:sz w:val="24"/>
          <w:szCs w:val="24"/>
        </w:rPr>
        <w:t>eparated</w:t>
      </w:r>
      <w:r w:rsidRPr="00100CD0">
        <w:rPr>
          <w:rFonts w:ascii="Times New Roman" w:hAnsi="Times New Roman" w:cs="Times New Roman"/>
          <w:sz w:val="24"/>
          <w:szCs w:val="24"/>
        </w:rPr>
        <w:t xml:space="preserve"> by </w:t>
      </w:r>
      <w:r w:rsidRPr="002F3423">
        <w:rPr>
          <w:rFonts w:ascii="Times New Roman" w:hAnsi="Times New Roman" w:cs="Times New Roman"/>
          <w:b/>
          <w:bCs/>
          <w:sz w:val="24"/>
          <w:szCs w:val="24"/>
        </w:rPr>
        <w:t>(a)</w:t>
      </w:r>
      <w:r w:rsidRPr="00100CD0">
        <w:rPr>
          <w:rFonts w:ascii="Times New Roman" w:hAnsi="Times New Roman" w:cs="Times New Roman"/>
          <w:sz w:val="24"/>
          <w:szCs w:val="24"/>
        </w:rPr>
        <w:t xml:space="preserve"> AM and </w:t>
      </w:r>
      <w:r w:rsidRPr="002F3423">
        <w:rPr>
          <w:rFonts w:ascii="Times New Roman" w:hAnsi="Times New Roman" w:cs="Times New Roman"/>
          <w:b/>
          <w:bCs/>
          <w:sz w:val="24"/>
          <w:szCs w:val="24"/>
        </w:rPr>
        <w:t>(b)</w:t>
      </w:r>
      <w:r w:rsidRPr="00100CD0">
        <w:rPr>
          <w:rFonts w:ascii="Times New Roman" w:hAnsi="Times New Roman" w:cs="Times New Roman"/>
          <w:sz w:val="24"/>
          <w:szCs w:val="24"/>
        </w:rPr>
        <w:t xml:space="preserve"> PM samples. </w:t>
      </w:r>
    </w:p>
    <w:p w14:paraId="181DDF75"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sz w:val="24"/>
          <w:szCs w:val="24"/>
        </w:rPr>
        <w:t xml:space="preserve">A diurnal pattern </w:t>
      </w:r>
      <w:r>
        <w:rPr>
          <w:rFonts w:ascii="Times New Roman" w:hAnsi="Times New Roman" w:cs="Times New Roman"/>
          <w:sz w:val="24"/>
          <w:szCs w:val="24"/>
        </w:rPr>
        <w:t>of</w:t>
      </w:r>
      <w:r w:rsidRPr="00100CD0">
        <w:rPr>
          <w:rFonts w:ascii="Times New Roman" w:hAnsi="Times New Roman" w:cs="Times New Roman"/>
          <w:sz w:val="24"/>
          <w:szCs w:val="24"/>
        </w:rPr>
        <w:t xml:space="preserve">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is discussed in section 3.</w:t>
      </w:r>
      <w:r>
        <w:rPr>
          <w:rFonts w:ascii="Times New Roman" w:hAnsi="Times New Roman" w:cs="Times New Roman"/>
          <w:sz w:val="24"/>
          <w:szCs w:val="24"/>
        </w:rPr>
        <w:t>1</w:t>
      </w:r>
      <w:r w:rsidRPr="00100CD0">
        <w:rPr>
          <w:rFonts w:ascii="Times New Roman" w:hAnsi="Times New Roman" w:cs="Times New Roman"/>
          <w:sz w:val="24"/>
          <w:szCs w:val="24"/>
        </w:rPr>
        <w:t>.3. There is greater control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in the morning compared to the afternoon (22 ppb/hr and 10 ppb/hr, respectively) as well as peak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(35 ppb/hr and 20 ppb/hr, respectively).  </w:t>
      </w:r>
    </w:p>
    <w:p w14:paraId="4D125AB4" w14:textId="77777777" w:rsidR="00E20A49" w:rsidRDefault="00E20A49" w:rsidP="00E20A49">
      <w:pPr>
        <w:rPr>
          <w:rFonts w:ascii="Times New Roman" w:hAnsi="Times New Roman" w:cs="Times New Roman"/>
          <w:b/>
          <w:bCs/>
          <w:sz w:val="24"/>
          <w:szCs w:val="24"/>
          <w:u w:val="single"/>
        </w:rPr>
      </w:pPr>
    </w:p>
    <w:p w14:paraId="542E8501" w14:textId="77777777" w:rsidR="00E20A49" w:rsidRDefault="00E20A49" w:rsidP="00E20A49">
      <w:pPr>
        <w:pStyle w:val="NormalWeb"/>
        <w:jc w:val="center"/>
      </w:pPr>
      <w:r>
        <w:rPr>
          <w:noProof/>
        </w:rPr>
        <w:drawing>
          <wp:inline distT="0" distB="0" distL="0" distR="0" wp14:anchorId="24BD27D3" wp14:editId="07AD9901">
            <wp:extent cx="2687541" cy="2015369"/>
            <wp:effectExtent l="0" t="0" r="0" b="4445"/>
            <wp:docPr id="516989592" name="Picture 4" descr="A graph of a number of numbers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989592" name="Picture 4" descr="A graph of a number of numbers and a line&#10;&#10;Description automatically generated with medium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3750" cy="2020025"/>
                    </a:xfrm>
                    <a:prstGeom prst="rect">
                      <a:avLst/>
                    </a:prstGeom>
                    <a:noFill/>
                    <a:ln>
                      <a:noFill/>
                    </a:ln>
                  </pic:spPr>
                </pic:pic>
              </a:graphicData>
            </a:graphic>
          </wp:inline>
        </w:drawing>
      </w:r>
    </w:p>
    <w:p w14:paraId="17B15A7F" w14:textId="77777777" w:rsidR="00E20A49" w:rsidRPr="0014417F" w:rsidRDefault="00E20A49" w:rsidP="00E20A49">
      <w:pPr>
        <w:pStyle w:val="NormalWeb"/>
      </w:pPr>
      <w:r>
        <w:rPr>
          <w:b/>
          <w:bCs/>
        </w:rPr>
        <w:t>Figure S5</w:t>
      </w:r>
      <w:r w:rsidRPr="00726766">
        <w:rPr>
          <w:b/>
          <w:bCs/>
        </w:rPr>
        <w:t>:</w:t>
      </w:r>
      <w:r>
        <w:rPr>
          <w:b/>
          <w:bCs/>
        </w:rPr>
        <w:t xml:space="preserve"> </w:t>
      </w:r>
      <w:r>
        <w:t xml:space="preserve">Mean </w:t>
      </w:r>
      <w:r w:rsidRPr="00BB0C31">
        <w:t>PO</w:t>
      </w:r>
      <w:r w:rsidRPr="00BB0C31">
        <w:rPr>
          <w:vertAlign w:val="subscript"/>
        </w:rPr>
        <w:t>3</w:t>
      </w:r>
      <w:r>
        <w:t xml:space="preserve"> curves comparing</w:t>
      </w:r>
      <w:r w:rsidRPr="00726766">
        <w:rPr>
          <w:b/>
          <w:bCs/>
        </w:rPr>
        <w:t xml:space="preserve"> </w:t>
      </w:r>
      <w:r>
        <w:t>all July samples (red, n=57) and all July samples north of latitude 40.95 (green, n=25). Both</w:t>
      </w:r>
      <w:r w:rsidRPr="005F4160">
        <w:t xml:space="preserve"> line</w:t>
      </w:r>
      <w:r>
        <w:t>s</w:t>
      </w:r>
      <w:r w:rsidRPr="005F4160">
        <w:t xml:space="preserve"> include the observed NO</w:t>
      </w:r>
      <w:r w:rsidRPr="005F4160">
        <w:rPr>
          <w:vertAlign w:val="subscript"/>
        </w:rPr>
        <w:t xml:space="preserve">2 </w:t>
      </w:r>
      <w:r w:rsidRPr="005F4160">
        <w:t xml:space="preserve">(black/gray </w:t>
      </w:r>
      <w:r>
        <w:t>circle</w:t>
      </w:r>
      <w:r w:rsidRPr="005F4160">
        <w:t>), LRO</w:t>
      </w:r>
      <w:r w:rsidRPr="005F4160">
        <w:rPr>
          <w:vertAlign w:val="subscript"/>
        </w:rPr>
        <w:t>x</w:t>
      </w:r>
      <w:r w:rsidRPr="005F4160">
        <w:t>/LNO</w:t>
      </w:r>
      <w:r w:rsidRPr="005F4160">
        <w:rPr>
          <w:vertAlign w:val="subscript"/>
        </w:rPr>
        <w:t>x</w:t>
      </w:r>
      <w:r w:rsidRPr="005F4160">
        <w:t xml:space="preserve"> = 1 (yellow square), and LRO</w:t>
      </w:r>
      <w:r w:rsidRPr="005F4160">
        <w:rPr>
          <w:vertAlign w:val="subscript"/>
        </w:rPr>
        <w:t>x</w:t>
      </w:r>
      <w:r w:rsidRPr="005F4160">
        <w:t>/LNO</w:t>
      </w:r>
      <w:r w:rsidRPr="005F4160">
        <w:rPr>
          <w:vertAlign w:val="subscript"/>
        </w:rPr>
        <w:t>x</w:t>
      </w:r>
      <w:r w:rsidRPr="005F4160">
        <w:t xml:space="preserve"> = 0.30 (pink triangle).</w:t>
      </w:r>
    </w:p>
    <w:p w14:paraId="09E97988" w14:textId="77777777" w:rsidR="00E20A49" w:rsidRDefault="00E20A49" w:rsidP="00E20A49">
      <w:pPr>
        <w:rPr>
          <w:rFonts w:ascii="Times New Roman" w:hAnsi="Times New Roman" w:cs="Times New Roman"/>
          <w:sz w:val="24"/>
          <w:szCs w:val="24"/>
          <w:u w:val="single"/>
        </w:rPr>
      </w:pPr>
      <w:r w:rsidRPr="00BE259A">
        <w:rPr>
          <w:rFonts w:ascii="Times New Roman" w:hAnsi="Times New Roman" w:cs="Times New Roman"/>
          <w:sz w:val="24"/>
          <w:szCs w:val="24"/>
          <w:u w:val="single"/>
        </w:rPr>
        <w:t xml:space="preserve">Text S1: </w:t>
      </w:r>
    </w:p>
    <w:p w14:paraId="5CE7FD25" w14:textId="77777777" w:rsidR="00E20A49" w:rsidRDefault="00E20A49" w:rsidP="00E20A49">
      <w:pPr>
        <w:spacing w:line="480" w:lineRule="auto"/>
        <w:rPr>
          <w:rFonts w:ascii="Times New Roman" w:hAnsi="Times New Roman" w:cs="Times New Roman"/>
          <w:sz w:val="24"/>
          <w:szCs w:val="24"/>
        </w:rPr>
      </w:pPr>
      <w:r>
        <w:rPr>
          <w:rFonts w:ascii="Times New Roman" w:hAnsi="Times New Roman" w:cs="Times New Roman"/>
          <w:sz w:val="24"/>
          <w:szCs w:val="24"/>
        </w:rPr>
        <w:tab/>
      </w:r>
      <w:bookmarkStart w:id="1" w:name="_Hlk155297914"/>
      <w:r>
        <w:rPr>
          <w:rFonts w:ascii="Times New Roman" w:hAnsi="Times New Roman" w:cs="Times New Roman"/>
          <w:sz w:val="24"/>
          <w:szCs w:val="24"/>
        </w:rPr>
        <w:t xml:space="preserve">We recognize </w:t>
      </w:r>
      <w:r w:rsidRPr="00B27934">
        <w:rPr>
          <w:rFonts w:ascii="Times New Roman" w:hAnsi="Times New Roman" w:cs="Times New Roman"/>
          <w:sz w:val="24"/>
          <w:szCs w:val="24"/>
        </w:rPr>
        <w:t>a potential sampling bias where May observations were predominantly taken in the Long Island Sound and near the CT coast, while July and August samples were more concentrated over Long Island and NYC (Fig.1). These research</w:t>
      </w:r>
      <w:r>
        <w:rPr>
          <w:rFonts w:ascii="Times New Roman" w:hAnsi="Times New Roman" w:cs="Times New Roman"/>
          <w:sz w:val="24"/>
          <w:szCs w:val="24"/>
        </w:rPr>
        <w:t xml:space="preserve"> flight paths in May were motivated by a forecasted ozone exceedance in the CT and Long Island Sound area </w:t>
      </w:r>
      <w:bookmarkEnd w:id="1"/>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&lt;EndNote&gt;&lt;Cite&gt;&lt;Author&gt;Ring&lt;/Author&gt;&lt;Year&gt;2023&lt;/Year&gt;&lt;RecNum&gt;92&lt;/RecNum&gt;&lt;DisplayText&gt;Ring et al., 2023&lt;/DisplayText&gt;&lt;record&gt;&lt;rec-number&gt;92&lt;/rec-number&gt;&lt;foreign-keys&gt;&lt;key app="EN" db-id="vttz0svx1az0rpepesxvzd9150avxv5d5xdz" timestamp="1681418725"&gt;92&lt;/key&gt;&lt;/foreign-keys&gt;&lt;ref-type name="Journal Article"&gt;17&lt;/ref-type&gt;&lt;contributors&gt;&lt;authors&gt;&lt;author&gt;Ring, Allison M.&lt;/author&gt;&lt;author&gt;Dickerson, Russell R.&lt;/author&gt;&lt;author&gt;Sebol, Abby E.&lt;/author&gt;&lt;author&gt;Ren, Xintrong&lt;/author&gt;&lt;author&gt;Benish, Sarah E.&lt;/author&gt;&lt;author&gt;Salawitch, Ross J.&lt;/author&gt;&lt;author&gt;Galasyn, Andrea&lt;/author&gt;&lt;author&gt;Miller, Paul J.&lt;/author&gt;&lt;/authors&gt;&lt;/contributors&gt;&lt;titles&gt;&lt;title&gt;Anthropogenic VOCs in the Long Island Sound, NY Airshed and their role in ozone production&lt;/title&gt;&lt;secondary-title&gt;Atmospheric Environment&lt;/secondary-title&gt;&lt;/titles&gt;&lt;periodical&gt;&lt;full-title&gt;Atmospheric Environment&lt;/full-title&gt;&lt;/periodical&gt;&lt;pages&gt;119583&lt;/pages&gt;&lt;volume&gt;296&lt;/volume&gt;&lt;number&gt;1352-2310&lt;/number&gt;&lt;dates&gt;&lt;year&gt;2023&lt;/year&gt;&lt;/dates&gt;&lt;urls&gt;&lt;/urls&gt;&lt;electronic-resource-num&gt;https://doi.org/10.1016/j.atmosenv.2023.119583.&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Ring et al., </w:t>
      </w:r>
      <w:r>
        <w:rPr>
          <w:rFonts w:ascii="Times New Roman" w:hAnsi="Times New Roman" w:cs="Times New Roman"/>
          <w:noProof/>
          <w:sz w:val="24"/>
          <w:szCs w:val="24"/>
        </w:rPr>
        <w:lastRenderedPageBreak/>
        <w:t>2023</w:t>
      </w:r>
      <w:r>
        <w:rPr>
          <w:rFonts w:ascii="Times New Roman" w:hAnsi="Times New Roman" w:cs="Times New Roman"/>
          <w:sz w:val="24"/>
          <w:szCs w:val="24"/>
        </w:rPr>
        <w:fldChar w:fldCharType="end"/>
      </w:r>
      <w:r>
        <w:rPr>
          <w:rFonts w:ascii="Times New Roman" w:hAnsi="Times New Roman" w:cs="Times New Roman"/>
          <w:sz w:val="24"/>
          <w:szCs w:val="24"/>
        </w:rPr>
        <w:t xml:space="preserve">). To investigate whether analysis of seasonal differences in section 3.1.3 is impacted by such bias, we look at subsets of July samples as these were taken across the entire domain (Fig. 1). Fig. S5 shows two mean </w:t>
      </w:r>
      <w:r w:rsidRPr="00647816">
        <w:rPr>
          <w:rFonts w:ascii="Times New Roman" w:hAnsi="Times New Roman" w:cs="Times New Roman"/>
          <w:sz w:val="24"/>
          <w:szCs w:val="24"/>
        </w:rPr>
        <w:t>PO</w:t>
      </w:r>
      <w:r w:rsidRPr="00647816">
        <w:rPr>
          <w:rFonts w:ascii="Times New Roman" w:hAnsi="Times New Roman" w:cs="Times New Roman"/>
          <w:sz w:val="24"/>
          <w:szCs w:val="24"/>
          <w:vertAlign w:val="subscript"/>
        </w:rPr>
        <w:t>3</w:t>
      </w:r>
      <w:r>
        <w:rPr>
          <w:rFonts w:ascii="Times New Roman" w:hAnsi="Times New Roman" w:cs="Times New Roman"/>
          <w:sz w:val="24"/>
          <w:szCs w:val="24"/>
        </w:rPr>
        <w:t xml:space="preserve"> curves, one with all July samples (red) and one excluding 32 July samples taken at latitudes less than 40.95. This threshold was chosen because it roughly marks the point where no May samples are taken in the given domain. These two average curves are very similar with near equal peak </w:t>
      </w:r>
      <w:r w:rsidRPr="00B00957">
        <w:rPr>
          <w:rFonts w:ascii="Times New Roman" w:hAnsi="Times New Roman" w:cs="Times New Roman"/>
          <w:sz w:val="24"/>
          <w:szCs w:val="24"/>
        </w:rPr>
        <w:t>PO</w:t>
      </w:r>
      <w:r w:rsidRPr="00B00957">
        <w:rPr>
          <w:rFonts w:ascii="Times New Roman" w:hAnsi="Times New Roman" w:cs="Times New Roman"/>
          <w:sz w:val="24"/>
          <w:szCs w:val="24"/>
          <w:vertAlign w:val="subscript"/>
        </w:rPr>
        <w:t>3</w:t>
      </w:r>
      <w:r>
        <w:rPr>
          <w:rFonts w:ascii="Times New Roman" w:hAnsi="Times New Roman" w:cs="Times New Roman"/>
          <w:sz w:val="24"/>
          <w:szCs w:val="24"/>
        </w:rPr>
        <w:t xml:space="preserve">. There is a slightly greater mean observed </w:t>
      </w:r>
      <w:r w:rsidRPr="00B00957">
        <w:rPr>
          <w:rFonts w:ascii="Times New Roman" w:hAnsi="Times New Roman" w:cs="Times New Roman"/>
          <w:sz w:val="24"/>
          <w:szCs w:val="24"/>
        </w:rPr>
        <w:t>NO</w:t>
      </w:r>
      <w:r w:rsidRPr="00B00957">
        <w:rPr>
          <w:rFonts w:ascii="Times New Roman" w:hAnsi="Times New Roman" w:cs="Times New Roman"/>
          <w:sz w:val="24"/>
          <w:szCs w:val="24"/>
          <w:vertAlign w:val="subscript"/>
        </w:rPr>
        <w:t>2</w:t>
      </w:r>
      <w:r>
        <w:rPr>
          <w:rFonts w:ascii="Times New Roman" w:hAnsi="Times New Roman" w:cs="Times New Roman"/>
          <w:sz w:val="24"/>
          <w:szCs w:val="24"/>
        </w:rPr>
        <w:t xml:space="preserve"> when considering all samples (2.7 ppb) to just the northern subset (2.5 ppb). This subset does not include samples taken in NYC, which has higher </w:t>
      </w:r>
      <w:r w:rsidRPr="00B00957">
        <w:rPr>
          <w:rFonts w:ascii="Times New Roman" w:hAnsi="Times New Roman" w:cs="Times New Roman"/>
          <w:sz w:val="24"/>
          <w:szCs w:val="24"/>
        </w:rPr>
        <w:t>NO</w:t>
      </w:r>
      <w:r w:rsidRPr="00B00957">
        <w:rPr>
          <w:rFonts w:ascii="Times New Roman" w:hAnsi="Times New Roman" w:cs="Times New Roman"/>
          <w:sz w:val="24"/>
          <w:szCs w:val="24"/>
          <w:vertAlign w:val="subscript"/>
        </w:rPr>
        <w:t>2</w:t>
      </w:r>
      <w:r>
        <w:rPr>
          <w:rFonts w:ascii="Times New Roman" w:hAnsi="Times New Roman" w:cs="Times New Roman"/>
          <w:sz w:val="24"/>
          <w:szCs w:val="24"/>
        </w:rPr>
        <w:t xml:space="preserve">. The increase in observed </w:t>
      </w:r>
      <w:r w:rsidRPr="00B00957">
        <w:rPr>
          <w:rFonts w:ascii="Times New Roman" w:hAnsi="Times New Roman" w:cs="Times New Roman"/>
          <w:sz w:val="24"/>
          <w:szCs w:val="24"/>
        </w:rPr>
        <w:t>NO</w:t>
      </w:r>
      <w:r w:rsidRPr="00B00957">
        <w:rPr>
          <w:rFonts w:ascii="Times New Roman" w:hAnsi="Times New Roman" w:cs="Times New Roman"/>
          <w:sz w:val="24"/>
          <w:szCs w:val="24"/>
          <w:vertAlign w:val="subscript"/>
        </w:rPr>
        <w:t>2</w:t>
      </w:r>
      <w:r>
        <w:rPr>
          <w:rFonts w:ascii="Times New Roman" w:hAnsi="Times New Roman" w:cs="Times New Roman"/>
          <w:sz w:val="24"/>
          <w:szCs w:val="24"/>
        </w:rPr>
        <w:t xml:space="preserve"> leads to greater </w:t>
      </w:r>
      <w:r w:rsidRPr="00B00957">
        <w:rPr>
          <w:rFonts w:ascii="Times New Roman" w:hAnsi="Times New Roman" w:cs="Times New Roman"/>
          <w:sz w:val="24"/>
          <w:szCs w:val="24"/>
        </w:rPr>
        <w:t>PO</w:t>
      </w:r>
      <w:r w:rsidRPr="00B00957">
        <w:rPr>
          <w:rFonts w:ascii="Times New Roman" w:hAnsi="Times New Roman" w:cs="Times New Roman"/>
          <w:sz w:val="24"/>
          <w:szCs w:val="24"/>
          <w:vertAlign w:val="subscript"/>
        </w:rPr>
        <w:t>3</w:t>
      </w:r>
      <w:r>
        <w:rPr>
          <w:rFonts w:ascii="Times New Roman" w:hAnsi="Times New Roman" w:cs="Times New Roman"/>
          <w:sz w:val="24"/>
          <w:szCs w:val="24"/>
        </w:rPr>
        <w:t xml:space="preserve"> for all samples (1.2 ppb/hr increase). This suggests that should there have been samples taken in NYC during the month of May, those data points would not impact the seasonal comparison. </w:t>
      </w:r>
    </w:p>
    <w:p w14:paraId="4AE74AC2" w14:textId="77777777" w:rsidR="00E20A49" w:rsidRDefault="00E20A49" w:rsidP="00E20A49">
      <w:pPr>
        <w:spacing w:line="480" w:lineRule="auto"/>
        <w:rPr>
          <w:rFonts w:ascii="Times New Roman" w:hAnsi="Times New Roman" w:cs="Times New Roman"/>
          <w:sz w:val="24"/>
          <w:szCs w:val="24"/>
        </w:rPr>
      </w:pPr>
      <w:r>
        <w:rPr>
          <w:rFonts w:ascii="Times New Roman" w:hAnsi="Times New Roman" w:cs="Times New Roman"/>
          <w:sz w:val="24"/>
          <w:szCs w:val="24"/>
        </w:rPr>
        <w:tab/>
        <w:t>The similarity in the average isopleths suggests the subset of data north of latitude 40.95 is representative of the entire domain when looking at the monthly averages. The sampling bias in the May observations is unlikely to be impacting the results discussed in section 3.1.3.</w:t>
      </w:r>
    </w:p>
    <w:p w14:paraId="262BD7E9" w14:textId="77777777" w:rsidR="00E20A49" w:rsidRPr="00BE259A" w:rsidRDefault="00E20A49" w:rsidP="00E20A49">
      <w:pPr>
        <w:rPr>
          <w:rFonts w:ascii="Times New Roman" w:hAnsi="Times New Roman" w:cs="Times New Roman"/>
          <w:sz w:val="24"/>
          <w:szCs w:val="24"/>
        </w:rPr>
      </w:pPr>
    </w:p>
    <w:p w14:paraId="7B06BA8A" w14:textId="77777777" w:rsidR="00E20A49" w:rsidRPr="00100CD0" w:rsidRDefault="00E20A49" w:rsidP="00E20A49">
      <w:pPr>
        <w:spacing w:line="480" w:lineRule="auto"/>
        <w:rPr>
          <w:rFonts w:ascii="Times New Roman" w:hAnsi="Times New Roman" w:cs="Times New Roman"/>
          <w:sz w:val="24"/>
          <w:szCs w:val="24"/>
        </w:rPr>
      </w:pPr>
      <w:r w:rsidRPr="00100CD0">
        <w:rPr>
          <w:rFonts w:ascii="Times New Roman" w:hAnsi="Times New Roman" w:cs="Times New Roman"/>
          <w:sz w:val="24"/>
          <w:szCs w:val="24"/>
          <w:u w:val="single"/>
        </w:rPr>
        <w:t>Text S</w:t>
      </w:r>
      <w:r>
        <w:rPr>
          <w:rFonts w:ascii="Times New Roman" w:hAnsi="Times New Roman" w:cs="Times New Roman"/>
          <w:sz w:val="24"/>
          <w:szCs w:val="24"/>
          <w:u w:val="single"/>
        </w:rPr>
        <w:t>2</w:t>
      </w:r>
      <w:r w:rsidRPr="00100CD0">
        <w:rPr>
          <w:rFonts w:ascii="Times New Roman" w:hAnsi="Times New Roman" w:cs="Times New Roman"/>
          <w:sz w:val="24"/>
          <w:szCs w:val="24"/>
          <w:u w:val="single"/>
        </w:rPr>
        <w:t>: PO</w:t>
      </w:r>
      <w:r w:rsidRPr="00100CD0">
        <w:rPr>
          <w:rFonts w:ascii="Times New Roman" w:hAnsi="Times New Roman" w:cs="Times New Roman"/>
          <w:sz w:val="24"/>
          <w:szCs w:val="24"/>
          <w:u w:val="single"/>
          <w:vertAlign w:val="subscript"/>
        </w:rPr>
        <w:t>3</w:t>
      </w:r>
      <w:r w:rsidRPr="00100CD0">
        <w:rPr>
          <w:rFonts w:ascii="Times New Roman" w:hAnsi="Times New Roman" w:cs="Times New Roman"/>
          <w:sz w:val="24"/>
          <w:szCs w:val="24"/>
          <w:u w:val="single"/>
        </w:rPr>
        <w:t xml:space="preserve"> sensitivity to </w:t>
      </w:r>
      <w:r>
        <w:rPr>
          <w:rFonts w:ascii="Times New Roman" w:hAnsi="Times New Roman" w:cs="Times New Roman"/>
          <w:sz w:val="24"/>
          <w:szCs w:val="24"/>
          <w:u w:val="single"/>
        </w:rPr>
        <w:t>f</w:t>
      </w:r>
      <w:r w:rsidRPr="00100CD0">
        <w:rPr>
          <w:rFonts w:ascii="Times New Roman" w:hAnsi="Times New Roman" w:cs="Times New Roman"/>
          <w:sz w:val="24"/>
          <w:szCs w:val="24"/>
          <w:u w:val="single"/>
        </w:rPr>
        <w:t>ormaldehyde</w:t>
      </w:r>
      <w:r w:rsidRPr="00100CD0">
        <w:rPr>
          <w:rFonts w:ascii="Times New Roman" w:hAnsi="Times New Roman" w:cs="Times New Roman"/>
          <w:sz w:val="24"/>
          <w:szCs w:val="24"/>
        </w:rPr>
        <w:t xml:space="preserve"> </w:t>
      </w:r>
    </w:p>
    <w:p w14:paraId="4C2F497A" w14:textId="77777777" w:rsidR="00E20A49" w:rsidRPr="00100CD0" w:rsidRDefault="00E20A49" w:rsidP="00E20A49">
      <w:pPr>
        <w:spacing w:line="480" w:lineRule="auto"/>
        <w:ind w:firstLine="720"/>
        <w:rPr>
          <w:rFonts w:ascii="Times New Roman" w:hAnsi="Times New Roman" w:cs="Times New Roman"/>
          <w:b/>
          <w:bCs/>
          <w:sz w:val="24"/>
          <w:szCs w:val="24"/>
        </w:rPr>
      </w:pPr>
      <w:r w:rsidRPr="00100CD0">
        <w:rPr>
          <w:rFonts w:ascii="Times New Roman" w:hAnsi="Times New Roman" w:cs="Times New Roman"/>
          <w:sz w:val="24"/>
          <w:szCs w:val="24"/>
        </w:rPr>
        <w:t>Formaldehyde is a reactive oxygenated volatile organic compound (oVOC) that makes up the largest portion of modeled OH reactivity (18% in MCM) after CO (Fig.</w:t>
      </w:r>
      <w:r>
        <w:rPr>
          <w:rFonts w:ascii="Times New Roman" w:hAnsi="Times New Roman" w:cs="Times New Roman"/>
          <w:sz w:val="24"/>
          <w:szCs w:val="24"/>
        </w:rPr>
        <w:t xml:space="preserve"> 9</w:t>
      </w:r>
      <w:r w:rsidRPr="00100CD0">
        <w:rPr>
          <w:rFonts w:ascii="Times New Roman" w:hAnsi="Times New Roman" w:cs="Times New Roman"/>
          <w:sz w:val="24"/>
          <w:szCs w:val="24"/>
        </w:rPr>
        <w:t>)</w:t>
      </w:r>
      <w:r>
        <w:rPr>
          <w:rFonts w:ascii="Times New Roman" w:hAnsi="Times New Roman" w:cs="Times New Roman"/>
          <w:sz w:val="24"/>
          <w:szCs w:val="24"/>
        </w:rPr>
        <w:t>. It</w:t>
      </w:r>
      <w:r w:rsidRPr="00100CD0">
        <w:rPr>
          <w:rFonts w:ascii="Times New Roman" w:hAnsi="Times New Roman" w:cs="Times New Roman"/>
          <w:sz w:val="24"/>
          <w:szCs w:val="24"/>
        </w:rPr>
        <w:t xml:space="preserve"> is a major source of HO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xml:space="preserve"> through reactions with OH and photolysis. </w:t>
      </w:r>
    </w:p>
    <w:p w14:paraId="4D22A536" w14:textId="77777777" w:rsidR="00E20A49" w:rsidRDefault="00E20A49" w:rsidP="00E20A4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Simultaneous </w:t>
      </w:r>
      <w:r w:rsidRPr="00100CD0">
        <w:rPr>
          <w:rFonts w:ascii="Times New Roman" w:hAnsi="Times New Roman" w:cs="Times New Roman"/>
          <w:sz w:val="24"/>
          <w:szCs w:val="24"/>
        </w:rPr>
        <w:t>HCHO observations are available for 41 of 1</w:t>
      </w:r>
      <w:r>
        <w:rPr>
          <w:rFonts w:ascii="Times New Roman" w:hAnsi="Times New Roman" w:cs="Times New Roman"/>
          <w:sz w:val="24"/>
          <w:szCs w:val="24"/>
        </w:rPr>
        <w:t>07</w:t>
      </w:r>
      <w:r w:rsidRPr="00100CD0">
        <w:rPr>
          <w:rFonts w:ascii="Times New Roman" w:hAnsi="Times New Roman" w:cs="Times New Roman"/>
          <w:sz w:val="24"/>
          <w:szCs w:val="24"/>
        </w:rPr>
        <w:t xml:space="preserve"> samples. For consistency, model runs discussed in the main text were not constrained to HCHO. 0-D box models do not always accurately model HCHO (</w:t>
      </w:r>
      <w:r w:rsidRPr="00100CD0">
        <w:rPr>
          <w:rFonts w:ascii="Times New Roman" w:hAnsi="Times New Roman" w:cs="Times New Roman"/>
          <w:sz w:val="24"/>
          <w:szCs w:val="24"/>
        </w:rPr>
        <w:fldChar w:fldCharType="begin"/>
      </w:r>
      <w:r w:rsidRPr="00100CD0">
        <w:rPr>
          <w:rFonts w:ascii="Times New Roman" w:hAnsi="Times New Roman" w:cs="Times New Roman"/>
          <w:sz w:val="24"/>
          <w:szCs w:val="24"/>
        </w:rPr>
        <w:instrText xml:space="preserve"> ADDIN EN.CITE &lt;EndNote&gt;&lt;Cite&gt;&lt;Author&gt;Zhang&lt;/Author&gt;&lt;Year&gt;2021&lt;/Year&gt;&lt;RecNum&gt;111&lt;/RecNum&gt;&lt;DisplayText&gt;Zhang et al., 2021&lt;/DisplayText&gt;&lt;record&gt;&lt;rec-number&gt;111&lt;/rec-number&gt;&lt;foreign-keys&gt;&lt;key app="EN" db-id="vttz0svx1az0rpepesxvzd9150avxv5d5xdz" timestamp="1683430211"&gt;111&lt;/key&gt;&lt;/foreign-keys&gt;&lt;ref-type name="Journal Article"&gt;17&lt;/ref-type&gt;&lt;contributors&gt;&lt;authors&gt;&lt;author&gt;Zhang, K.&lt;/author&gt;&lt;author&gt;Duan, Y. S.&lt;/author&gt;&lt;author&gt;Huo, J. T.&lt;/author&gt;&lt;author&gt;Huang, L.&lt;/author&gt;&lt;author&gt;Wang, Y. J.&lt;/author&gt;&lt;author&gt;Fu, Q. Y.&lt;/author&gt;&lt;author&gt;Wang, Y. H.&lt;/author&gt;&lt;author&gt;Li, L.&lt;/author&gt;&lt;/authors&gt;&lt;/contributors&gt;&lt;titles&gt;&lt;title&gt;Formation mechanism of HCHO pollution in the suburban Yangtze River Delta region, China: A box model study and policy implementations&lt;/title&gt;&lt;secondary-title&gt;Atmospheric Environment&lt;/secondary-title&gt;&lt;/titles&gt;&lt;periodical&gt;&lt;full-title&gt;Atmospheric Environment&lt;/full-title&gt;&lt;/periodical&gt;&lt;volume&gt;267&lt;/volume&gt;&lt;dates&gt;&lt;year&gt;2021&lt;/year&gt;&lt;pub-dates&gt;&lt;date&gt;Dec&lt;/date&gt;&lt;/pub-dates&gt;&lt;/dates&gt;&lt;isbn&gt;1352-2310&lt;/isbn&gt;&lt;accession-num&gt;WOS:000709713300001&lt;/accession-num&gt;&lt;urls&gt;&lt;related-urls&gt;&lt;url&gt;&amp;lt;Go to ISI&amp;gt;://WOS:000709713300001&lt;/url&gt;&lt;/related-urls&gt;&lt;/urls&gt;&lt;custom7&gt;118755&lt;/custom7&gt;&lt;electronic-resource-num&gt;10.1016/j.atmosenv.2021.118755&lt;/electronic-resource-num&gt;&lt;/record&gt;&lt;/Cite&gt;&lt;/EndNote&gt;</w:instrText>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Zhang et al., 2021</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 xml:space="preserve">; </w:t>
      </w:r>
      <w:r w:rsidRPr="00100CD0">
        <w:rPr>
          <w:rFonts w:ascii="Times New Roman" w:hAnsi="Times New Roman" w:cs="Times New Roman"/>
          <w:sz w:val="24"/>
          <w:szCs w:val="24"/>
        </w:rPr>
        <w:fldChar w:fldCharType="begin"/>
      </w:r>
      <w:r w:rsidRPr="00100CD0">
        <w:rPr>
          <w:rFonts w:ascii="Times New Roman" w:hAnsi="Times New Roman" w:cs="Times New Roman"/>
          <w:sz w:val="24"/>
          <w:szCs w:val="24"/>
        </w:rPr>
        <w:instrText xml:space="preserve"> ADDIN EN.CITE &lt;EndNote&gt;&lt;Cite&gt;&lt;Author&gt;Souri&lt;/Author&gt;&lt;Year&gt;2023&lt;/Year&gt;&lt;RecNum&gt;110&lt;/RecNum&gt;&lt;DisplayText&gt;Souri et al., 2023&lt;/DisplayText&gt;&lt;record&gt;&lt;rec-number&gt;110&lt;/rec-number&gt;&lt;foreign-keys&gt;&lt;key app="EN" db-id="vttz0svx1az0rpepesxvzd9150avxv5d5xdz" timestamp="1683430000"&gt;110&lt;/key&gt;&lt;/foreign-keys&gt;&lt;ref-type name="Journal Article"&gt;17&lt;/ref-type&gt;&lt;contributors&gt;&lt;authors&gt;&lt;author&gt;Souri, A. H.&lt;/author&gt;&lt;author&gt;Johnson, M. S.&lt;/author&gt;&lt;author&gt;Wolfe, G. M.&lt;/author&gt;&lt;author&gt;Crawford, J. H.&lt;/author&gt;&lt;author&gt;Fried, A.&lt;/author&gt;&lt;author&gt;Wisthaler, A.&lt;/author&gt;&lt;author&gt;Brune, W. H.&lt;/author&gt;&lt;author&gt;Blake, D. R.&lt;/author&gt;&lt;author&gt;Weinheimer, A. J.&lt;/author&gt;&lt;author&gt;Verhoelst, T.&lt;/author&gt;&lt;author&gt;Compernolle, S.&lt;/author&gt;&lt;author&gt;Pinardi, G.&lt;/author&gt;&lt;author&gt;Vigouroux, C.&lt;/author&gt;&lt;author&gt;Langerock, B.&lt;/author&gt;&lt;author&gt;Choi, S.&lt;/author&gt;&lt;author&gt;Lamsal, L.&lt;/author&gt;&lt;author&gt;Zhu, L.&lt;/author&gt;&lt;author&gt;Sun, S.&lt;/author&gt;&lt;author&gt;Cohen, R. C.&lt;/author&gt;&lt;author&gt;Min, K. E.&lt;/author&gt;&lt;author&gt;Cho, C. M.&lt;/author&gt;&lt;author&gt;Philip, S.&lt;/author&gt;&lt;author&gt;Liu, X.&lt;/author&gt;&lt;author&gt;Chance, K.&lt;/author&gt;&lt;/authors&gt;&lt;/contributors&gt;&lt;titles&gt;&lt;title&gt;Characterization of errors in satellite-based HCHO/NO2 tropospheric column ratios with respect to chemistry, column-to-PBL translation, spatialrepresentation, and retrieval uncertainties&lt;/title&gt;&lt;secondary-title&gt;Atmospheric Chemistry and Physics&lt;/secondary-title&gt;&lt;/titles&gt;&lt;periodical&gt;&lt;full-title&gt;Atmospheric Chemistry and Physics&lt;/full-title&gt;&lt;abbr-1&gt;Atmos. Chem. Phys.&lt;/abbr-1&gt;&lt;/periodical&gt;&lt;pages&gt;1963-1986&lt;/pages&gt;&lt;volume&gt;23&lt;/volume&gt;&lt;number&gt;3&lt;/number&gt;&lt;dates&gt;&lt;year&gt;2023&lt;/year&gt;&lt;pub-dates&gt;&lt;date&gt;Feb&lt;/date&gt;&lt;/pub-dates&gt;&lt;/dates&gt;&lt;isbn&gt;1680-7316&lt;/isbn&gt;&lt;accession-num&gt;WOS:000928069700001&lt;/accession-num&gt;&lt;urls&gt;&lt;related-urls&gt;&lt;url&gt;&amp;lt;Go to ISI&amp;gt;://WOS:000928069700001&lt;/url&gt;&lt;/related-urls&gt;&lt;/urls&gt;&lt;electronic-resource-num&gt;10.5194/acp-23-1963-2023&lt;/electronic-resource-num&gt;&lt;/record&gt;&lt;/Cite&gt;&lt;/EndNote&gt;</w:instrText>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Souri et al., 2023</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w:t>
      </w:r>
      <w:r>
        <w:rPr>
          <w:rFonts w:ascii="Times New Roman" w:hAnsi="Times New Roman" w:cs="Times New Roman"/>
          <w:sz w:val="24"/>
          <w:szCs w:val="24"/>
        </w:rPr>
        <w:t>,</w:t>
      </w:r>
      <w:r w:rsidRPr="00100CD0">
        <w:rPr>
          <w:rFonts w:ascii="Times New Roman" w:hAnsi="Times New Roman" w:cs="Times New Roman"/>
          <w:sz w:val="24"/>
          <w:szCs w:val="24"/>
        </w:rPr>
        <w:t xml:space="preserve"> as steady state </w:t>
      </w:r>
      <w:r w:rsidRPr="00100CD0">
        <w:rPr>
          <w:rFonts w:ascii="Times New Roman" w:hAnsi="Times New Roman" w:cs="Times New Roman"/>
          <w:sz w:val="24"/>
          <w:szCs w:val="24"/>
        </w:rPr>
        <w:lastRenderedPageBreak/>
        <w:t>assumptions may not be valid near emission sources or when highly reactive alkenes dominate VOC reactivity (</w:t>
      </w:r>
      <w:r w:rsidRPr="00100CD0">
        <w:rPr>
          <w:rFonts w:ascii="Times New Roman" w:hAnsi="Times New Roman" w:cs="Times New Roman"/>
          <w:sz w:val="24"/>
          <w:szCs w:val="24"/>
        </w:rPr>
        <w:fldChar w:fldCharType="begin">
          <w:fldData xml:space="preserve">PEVuZE5vdGU+PENpdGU+PEF1dGhvcj5GcmllZDwvQXV0aG9yPjxZZWFyPjIwMTE8L1llYXI+PFJl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</w:fldData>
        </w:fldChar>
      </w:r>
      <w:r w:rsidRPr="00100CD0">
        <w:rPr>
          <w:rFonts w:ascii="Times New Roman" w:hAnsi="Times New Roman" w:cs="Times New Roman"/>
          <w:sz w:val="24"/>
          <w:szCs w:val="24"/>
        </w:rPr>
        <w:instrText xml:space="preserve"> ADDIN EN.CITE </w:instrText>
      </w:r>
      <w:r w:rsidRPr="00100CD0">
        <w:rPr>
          <w:rFonts w:ascii="Times New Roman" w:hAnsi="Times New Roman" w:cs="Times New Roman"/>
          <w:sz w:val="24"/>
          <w:szCs w:val="24"/>
        </w:rPr>
        <w:fldChar w:fldCharType="begin">
          <w:fldData xml:space="preserve">PEVuZE5vdGU+PENpdGU+PEF1dGhvcj5GcmllZDwvQXV0aG9yPjxZZWFyPjIwMTE8L1llYXI+PFJl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</w:fldData>
        </w:fldChar>
      </w:r>
      <w:r w:rsidRPr="00100CD0">
        <w:rPr>
          <w:rFonts w:ascii="Times New Roman" w:hAnsi="Times New Roman" w:cs="Times New Roman"/>
          <w:sz w:val="24"/>
          <w:szCs w:val="24"/>
        </w:rPr>
        <w:instrText xml:space="preserve"> ADDIN EN.CITE.DATA </w:instrText>
      </w:r>
      <w:r w:rsidRPr="00100CD0">
        <w:rPr>
          <w:rFonts w:ascii="Times New Roman" w:hAnsi="Times New Roman" w:cs="Times New Roman"/>
          <w:sz w:val="24"/>
          <w:szCs w:val="24"/>
        </w:rPr>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Fried et al., 2011</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 However this issue does not significantly impact overall modeled radical chemistry (</w:t>
      </w:r>
      <w:r w:rsidRPr="00100CD0">
        <w:rPr>
          <w:rFonts w:ascii="Times New Roman" w:hAnsi="Times New Roman" w:cs="Times New Roman"/>
          <w:sz w:val="24"/>
          <w:szCs w:val="24"/>
        </w:rPr>
        <w:fldChar w:fldCharType="begin"/>
      </w:r>
      <w:r w:rsidRPr="00100CD0">
        <w:rPr>
          <w:rFonts w:ascii="Times New Roman" w:hAnsi="Times New Roman" w:cs="Times New Roman"/>
          <w:sz w:val="24"/>
          <w:szCs w:val="24"/>
        </w:rPr>
        <w:instrText xml:space="preserve"> ADDIN EN.CITE &lt;EndNote&gt;&lt;Cite&gt;&lt;Author&gt;Olson&lt;/Author&gt;&lt;Year&gt;2004&lt;/Year&gt;&lt;RecNum&gt;87&lt;/RecNum&gt;&lt;DisplayText&gt;Olson et al., 2004&lt;/DisplayText&gt;&lt;record&gt;&lt;rec-number&gt;87&lt;/rec-number&gt;&lt;foreign-keys&gt;&lt;key app="EN" db-id="vttz0svx1az0rpepesxvzd9150avxv5d5xdz" timestamp="1681418724"&gt;87&lt;/key&gt;&lt;/foreign-keys&gt;&lt;ref-type name="Journal Article"&gt;17&lt;/ref-type&gt;&lt;contributors&gt;&lt;authors&gt;&lt;author&gt;Olson, J. R.&lt;/author&gt;&lt;author&gt;Crawford, J. H.&lt;/author&gt;&lt;author&gt;Chen, G.&lt;/author&gt;&lt;author&gt;Fried, A.&lt;/author&gt;&lt;author&gt;Evans, M. J.&lt;/author&gt;&lt;author&gt;Jordan, C. E.&lt;/author&gt;&lt;author&gt;Sandholm, S. T.&lt;/author&gt;&lt;author&gt;Davis, D. D.&lt;/author&gt;&lt;author&gt;Anderson, B. E.&lt;/author&gt;&lt;author&gt;Avery, M. A.&lt;/author&gt;&lt;author&gt;Barrick, J. D.&lt;/author&gt;&lt;author&gt;Blake, D. R.&lt;/author&gt;&lt;author&gt;Brune, W. H.&lt;/author&gt;&lt;author&gt;Eisele, F. L.&lt;/author&gt;&lt;author&gt;Flocke, F.&lt;/author&gt;&lt;author&gt;Harder, H.&lt;/author&gt;&lt;author&gt;Jacob, D. J.&lt;/author&gt;&lt;author&gt;Kondo, Y.&lt;/author&gt;&lt;author&gt;Lefer, B. L.&lt;/author&gt;&lt;author&gt;Martinez, M.&lt;/author&gt;&lt;author&gt;Mauldin, R. L.&lt;/author&gt;&lt;author&gt;Sachse, G. W.&lt;/author&gt;&lt;author&gt;Shetter, R. E.&lt;/author&gt;&lt;author&gt;Singh, H. B.&lt;/author&gt;&lt;author&gt;Talbot, R. W.&lt;/author&gt;&lt;author&gt;Tan, D.&lt;/author&gt;&lt;/authors&gt;&lt;/contributors&gt;&lt;titles&gt;&lt;title&gt;Testing fast photochemical theory during TRACE-P based on measurements of OH, HO2, and CH2O&lt;/title&gt;&lt;secondary-title&gt;Journal of Geophysical Research-Atmospheres&lt;/secondary-title&gt;&lt;/titles&gt;&lt;periodical&gt;&lt;full-title&gt;Journal of Geophysical Research-Atmospheres&lt;/full-title&gt;&lt;abbr-1&gt;J. Geophys. Res.-Atmos.&lt;/abbr-1&gt;&lt;/periodical&gt;&lt;volume&gt;109&lt;/volume&gt;&lt;number&gt;D15&lt;/number&gt;&lt;dates&gt;&lt;year&gt;2004&lt;/year&gt;&lt;pub-dates&gt;&lt;date&gt;Jun&lt;/date&gt;&lt;/pub-dates&gt;&lt;/dates&gt;&lt;isbn&gt;2169-897X&lt;/isbn&gt;&lt;accession-num&gt;WOS:000222776300001&lt;/accession-num&gt;&lt;urls&gt;&lt;related-urls&gt;&lt;url&gt;&amp;lt;Go to ISI&amp;gt;://WOS:000222776300001&lt;/url&gt;&lt;/related-urls&gt;&lt;/urls&gt;&lt;custom7&gt;D15s10&lt;/custom7&gt;&lt;electronic-resource-num&gt;10.1029/2003jd004278&lt;/electronic-resource-num&gt;&lt;/record&gt;&lt;/Cite&gt;&lt;/EndNote&gt;</w:instrText>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Olson et al., 2004</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 xml:space="preserve">; </w:t>
      </w:r>
      <w:r w:rsidRPr="00100CD0">
        <w:rPr>
          <w:rFonts w:ascii="Times New Roman" w:hAnsi="Times New Roman" w:cs="Times New Roman"/>
          <w:sz w:val="24"/>
          <w:szCs w:val="24"/>
        </w:rPr>
        <w:fldChar w:fldCharType="begin"/>
      </w:r>
      <w:r w:rsidRPr="00100CD0">
        <w:rPr>
          <w:rFonts w:ascii="Times New Roman" w:hAnsi="Times New Roman" w:cs="Times New Roman"/>
          <w:sz w:val="24"/>
          <w:szCs w:val="24"/>
        </w:rPr>
        <w:instrText xml:space="preserve"> ADDIN EN.CITE &lt;EndNote&gt;&lt;Cite&gt;&lt;Author&gt;Schroeder&lt;/Author&gt;&lt;Year&gt;2020&lt;/Year&gt;&lt;RecNum&gt;82&lt;/RecNum&gt;&lt;DisplayText&gt;Schroeder et al., 2020&lt;/DisplayText&gt;&lt;record&gt;&lt;rec-number&gt;82&lt;/rec-number&gt;&lt;foreign-keys&gt;&lt;key app="EN" db-id="vttz0svx1az0rpepesxvzd9150avxv5d5xdz" timestamp="1681418724"&gt;82&lt;/key&gt;&lt;/foreign-keys&gt;&lt;ref-type name="Journal Article"&gt;17&lt;/ref-type&gt;&lt;contributors&gt;&lt;authors&gt;&lt;author&gt;Schroeder, J. R.&lt;/author&gt;&lt;author&gt;Crawford, J. H.&lt;/author&gt;&lt;author&gt;Ahn, J. Y.&lt;/author&gt;&lt;author&gt;Chang, L.&lt;/author&gt;&lt;author&gt;Fried, A.&lt;/author&gt;&lt;author&gt;Walega, J.&lt;/author&gt;&lt;author&gt;Weinheimer, A.&lt;/author&gt;&lt;author&gt;Montzka, D. D.&lt;/author&gt;&lt;author&gt;Hall, S. R.&lt;/author&gt;&lt;author&gt;Ullmann, K.&lt;/author&gt;&lt;author&gt;Wisthaler, A.&lt;/author&gt;&lt;author&gt;Mikoviny, T.&lt;/author&gt;&lt;author&gt;Chen, G.&lt;/author&gt;&lt;author&gt;Blake, D. R.&lt;/author&gt;&lt;author&gt;Blake, N. J.&lt;/author&gt;&lt;author&gt;Hughes, S. C.&lt;/author&gt;&lt;author&gt;Meinardi, S.&lt;/author&gt;&lt;author&gt;Diskin, G.&lt;/author&gt;&lt;author&gt;Digangi, J. P.&lt;/author&gt;&lt;author&gt;Choi, Y.&lt;/author&gt;&lt;author&gt;Pusede, S. E.&lt;/author&gt;&lt;author&gt;Huey, G. L.&lt;/author&gt;&lt;author&gt;Tanner, D. J.&lt;/author&gt;&lt;author&gt;Kim, M.&lt;/author&gt;&lt;author&gt;Wennberg, P.&lt;/author&gt;&lt;/authors&gt;&lt;/contributors&gt;&lt;titles&gt;&lt;title&gt;Observation-based modeling of ozone chemistry in the Seoul metropolitan area during the Korea-United States Air Quality Study (KORUS-AQ)&lt;/title&gt;&lt;secondary-title&gt;Elementa-Science of the Anthropocene&lt;/secondary-title&gt;&lt;/titles&gt;&lt;periodical&gt;&lt;full-title&gt;Elementa-Science of the Anthropocene&lt;/full-title&gt;&lt;/periodical&gt;&lt;volume&gt;8&lt;/volume&gt;&lt;dates&gt;&lt;year&gt;2020&lt;/year&gt;&lt;pub-dates&gt;&lt;date&gt;Jan&lt;/date&gt;&lt;/pub-dates&gt;&lt;/dates&gt;&lt;isbn&gt;2325-1026&lt;/isbn&gt;&lt;accession-num&gt;WOS:000510668800001&lt;/accession-num&gt;&lt;urls&gt;&lt;related-urls&gt;&lt;url&gt;&amp;lt;Go to ISI&amp;gt;://WOS:000510668800001&lt;/url&gt;&lt;/related-urls&gt;&lt;/urls&gt;&lt;custom7&gt;3&lt;/custom7&gt;&lt;electronic-resource-num&gt;10.1525/elementa.400&lt;/electronic-resource-num&gt;&lt;/record&gt;&lt;/Cite&gt;&lt;/EndNote&gt;</w:instrText>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Schroeder et al., 2020</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 The model also does not include additional primary emissions of HCHO. It has been estimated that ~90% HCHO in NYC is formed from secondary production in the summer (</w:t>
      </w:r>
      <w:r w:rsidRPr="00100CD0">
        <w:rPr>
          <w:rFonts w:ascii="Times New Roman" w:hAnsi="Times New Roman" w:cs="Times New Roman"/>
          <w:sz w:val="24"/>
          <w:szCs w:val="24"/>
        </w:rPr>
        <w:fldChar w:fldCharType="begin"/>
      </w:r>
      <w:r w:rsidRPr="00100CD0">
        <w:rPr>
          <w:rFonts w:ascii="Times New Roman" w:hAnsi="Times New Roman" w:cs="Times New Roman"/>
          <w:sz w:val="24"/>
          <w:szCs w:val="24"/>
        </w:rPr>
        <w:instrText xml:space="preserve"> ADDIN EN.CITE &lt;EndNote&gt;&lt;Cite&gt;&lt;Author&gt;Lin&lt;/Author&gt;&lt;Year&gt;2012&lt;/Year&gt;&lt;RecNum&gt;91&lt;/RecNum&gt;&lt;DisplayText&gt;Lin et al., 2012&lt;/DisplayText&gt;&lt;record&gt;&lt;rec-number&gt;91&lt;/rec-number&gt;&lt;foreign-keys&gt;&lt;key app="EN" db-id="vttz0svx1az0rpepesxvzd9150avxv5d5xdz" timestamp="1681418725"&gt;91&lt;/key&gt;&lt;/foreign-keys&gt;&lt;ref-type name="Journal Article"&gt;17&lt;/ref-type&gt;&lt;contributors&gt;&lt;authors&gt;&lt;author&gt;Lin, Y. C.&lt;/author&gt;&lt;author&gt;Schwab, J. J.&lt;/author&gt;&lt;author&gt;Demerjian, K. L.&lt;/author&gt;&lt;author&gt;Bae, M. S.&lt;/author&gt;&lt;author&gt;Chen, W. N.&lt;/author&gt;&lt;author&gt;Sun, Y.&lt;/author&gt;&lt;author&gt;Zhang, Q.&lt;/author&gt;&lt;author&gt;Hung, H. M.&lt;/author&gt;&lt;author&gt;Perry, J.&lt;/author&gt;&lt;/authors&gt;&lt;/contributors&gt;&lt;titles&gt;&lt;title&gt;Summertime formaldehyde observations in New York City: Ambient levels, sources and its contribution to HOx radicals&lt;/title&gt;&lt;secondary-title&gt;Journal of Geophysical Research-Atmospheres&lt;/secondary-title&gt;&lt;/titles&gt;&lt;periodical&gt;&lt;full-title&gt;Journal of Geophysical Research-Atmospheres&lt;/full-title&gt;&lt;abbr-1&gt;J. Geophys. Res.-Atmos.&lt;/abbr-1&gt;&lt;/periodical&gt;&lt;volume&gt;117&lt;/volume&gt;&lt;dates&gt;&lt;year&gt;2012&lt;/year&gt;&lt;pub-dates&gt;&lt;date&gt;Apr&lt;/date&gt;&lt;/pub-dates&gt;&lt;/dates&gt;&lt;isbn&gt;2169-897X&lt;/isbn&gt;&lt;accession-num&gt;WOS:000303315700001&lt;/accession-num&gt;&lt;urls&gt;&lt;related-urls&gt;&lt;url&gt;&amp;lt;Go to ISI&amp;gt;://WOS:000303315700001&lt;/url&gt;&lt;/related-urls&gt;&lt;/urls&gt;&lt;custom7&gt;D08305&lt;/custom7&gt;&lt;electronic-resource-num&gt;10.1029/2011jd016504&lt;/electronic-resource-num&gt;&lt;/record&gt;&lt;/Cite&gt;&lt;/EndNote&gt;</w:instrText>
      </w:r>
      <w:r w:rsidRPr="00100CD0">
        <w:rPr>
          <w:rFonts w:ascii="Times New Roman" w:hAnsi="Times New Roman" w:cs="Times New Roman"/>
          <w:sz w:val="24"/>
          <w:szCs w:val="24"/>
        </w:rPr>
        <w:fldChar w:fldCharType="separate"/>
      </w:r>
      <w:r w:rsidRPr="00100CD0">
        <w:rPr>
          <w:rFonts w:ascii="Times New Roman" w:hAnsi="Times New Roman" w:cs="Times New Roman"/>
          <w:noProof/>
          <w:sz w:val="24"/>
          <w:szCs w:val="24"/>
        </w:rPr>
        <w:t>Lin et al., 2012</w:t>
      </w:r>
      <w:r w:rsidRPr="00100CD0">
        <w:rPr>
          <w:rFonts w:ascii="Times New Roman" w:hAnsi="Times New Roman" w:cs="Times New Roman"/>
          <w:sz w:val="24"/>
          <w:szCs w:val="24"/>
        </w:rPr>
        <w:fldChar w:fldCharType="end"/>
      </w:r>
      <w:r w:rsidRPr="00100CD0">
        <w:rPr>
          <w:rFonts w:ascii="Times New Roman" w:hAnsi="Times New Roman" w:cs="Times New Roman"/>
          <w:sz w:val="24"/>
          <w:szCs w:val="24"/>
        </w:rPr>
        <w:t xml:space="preserve">). </w:t>
      </w:r>
    </w:p>
    <w:p w14:paraId="4528E4EE" w14:textId="77777777" w:rsidR="00E20A49" w:rsidRDefault="00E20A49" w:rsidP="00E20A49">
      <w:pPr>
        <w:spacing w:line="480" w:lineRule="auto"/>
        <w:ind w:firstLine="720"/>
        <w:rPr>
          <w:rFonts w:ascii="Times New Roman" w:hAnsi="Times New Roman" w:cs="Times New Roman"/>
          <w:sz w:val="24"/>
          <w:szCs w:val="24"/>
        </w:rPr>
      </w:pPr>
      <w:r w:rsidRPr="00100CD0">
        <w:rPr>
          <w:rFonts w:ascii="Times New Roman" w:hAnsi="Times New Roman" w:cs="Times New Roman"/>
          <w:sz w:val="24"/>
          <w:szCs w:val="24"/>
        </w:rPr>
        <w:t xml:space="preserve">For those 41 available measurements, we test the model’s ability to calculate HCHO. All observations of HCHO are between </w:t>
      </w:r>
      <w:r>
        <w:rPr>
          <w:rFonts w:ascii="Times New Roman" w:hAnsi="Times New Roman" w:cs="Times New Roman"/>
          <w:sz w:val="24"/>
          <w:szCs w:val="24"/>
        </w:rPr>
        <w:t>2</w:t>
      </w:r>
      <w:r w:rsidRPr="00100CD0">
        <w:rPr>
          <w:rFonts w:ascii="Times New Roman" w:hAnsi="Times New Roman" w:cs="Times New Roman"/>
          <w:sz w:val="24"/>
          <w:szCs w:val="24"/>
        </w:rPr>
        <w:t xml:space="preserve"> and 10 ppb, while model-generated HCHO ranges from 1 to 23 ppb. Fig. S</w:t>
      </w:r>
      <w:r>
        <w:rPr>
          <w:rFonts w:ascii="Times New Roman" w:hAnsi="Times New Roman" w:cs="Times New Roman"/>
          <w:sz w:val="24"/>
          <w:szCs w:val="24"/>
        </w:rPr>
        <w:t>6</w:t>
      </w:r>
      <w:r w:rsidRPr="00100CD0">
        <w:rPr>
          <w:rFonts w:ascii="Times New Roman" w:hAnsi="Times New Roman" w:cs="Times New Roman"/>
          <w:sz w:val="24"/>
          <w:szCs w:val="24"/>
        </w:rPr>
        <w:t xml:space="preserve"> shows the absolute bias in HCHO (the difference between the modeled HCHO and the observed HCHO) versus the total modeled OH reactivity (not including reactivity</w:t>
      </w:r>
      <w:r>
        <w:rPr>
          <w:rFonts w:ascii="Times New Roman" w:hAnsi="Times New Roman" w:cs="Times New Roman"/>
          <w:sz w:val="24"/>
          <w:szCs w:val="24"/>
        </w:rPr>
        <w:t xml:space="preserve"> due to HCHO</w:t>
      </w:r>
      <w:r w:rsidRPr="00100CD0">
        <w:rPr>
          <w:rFonts w:ascii="Times New Roman" w:hAnsi="Times New Roman" w:cs="Times New Roman"/>
          <w:sz w:val="24"/>
          <w:szCs w:val="24"/>
        </w:rPr>
        <w:t>) calculated in the unconstrained run. The model tends to overestimate HCHO when OH reactivity is high and underestimate HCHO when OH reactivity is low (&lt;7 s</w:t>
      </w:r>
      <w:r w:rsidRPr="00100CD0">
        <w:rPr>
          <w:rFonts w:ascii="Times New Roman" w:hAnsi="Times New Roman" w:cs="Times New Roman"/>
          <w:sz w:val="24"/>
          <w:szCs w:val="24"/>
          <w:vertAlign w:val="superscript"/>
        </w:rPr>
        <w:t>-1</w:t>
      </w:r>
      <w:r w:rsidRPr="00100CD0">
        <w:rPr>
          <w:rFonts w:ascii="Times New Roman" w:hAnsi="Times New Roman" w:cs="Times New Roman"/>
          <w:sz w:val="24"/>
          <w:szCs w:val="24"/>
        </w:rPr>
        <w:t>). Fig. S</w:t>
      </w:r>
      <w:r>
        <w:rPr>
          <w:rFonts w:ascii="Times New Roman" w:hAnsi="Times New Roman" w:cs="Times New Roman"/>
          <w:sz w:val="24"/>
          <w:szCs w:val="24"/>
        </w:rPr>
        <w:t xml:space="preserve">7 </w:t>
      </w:r>
      <w:r w:rsidRPr="00100CD0">
        <w:rPr>
          <w:rFonts w:ascii="Times New Roman" w:hAnsi="Times New Roman" w:cs="Times New Roman"/>
          <w:sz w:val="24"/>
          <w:szCs w:val="24"/>
        </w:rPr>
        <w:t>shows overall little impact on the concentrations of OH, HO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HO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/OH, or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compared to model runs with HCHO constrained to observations. The agreement of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is poorest at greater values of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where steady state assumptions are </w:t>
      </w:r>
      <w:r>
        <w:rPr>
          <w:rFonts w:ascii="Times New Roman" w:hAnsi="Times New Roman" w:cs="Times New Roman"/>
          <w:sz w:val="24"/>
          <w:szCs w:val="24"/>
        </w:rPr>
        <w:t>likely less</w:t>
      </w:r>
      <w:r w:rsidRPr="00100CD0">
        <w:rPr>
          <w:rFonts w:ascii="Times New Roman" w:hAnsi="Times New Roman" w:cs="Times New Roman"/>
          <w:sz w:val="24"/>
          <w:szCs w:val="24"/>
        </w:rPr>
        <w:t xml:space="preserve"> valid</w:t>
      </w:r>
      <w:r>
        <w:rPr>
          <w:rFonts w:ascii="Times New Roman" w:hAnsi="Times New Roman" w:cs="Times New Roman"/>
          <w:sz w:val="24"/>
          <w:szCs w:val="24"/>
        </w:rPr>
        <w:t xml:space="preserve"> due to high NO</w:t>
      </w:r>
      <w:r w:rsidRPr="00FD305F">
        <w:rPr>
          <w:rFonts w:ascii="Times New Roman" w:hAnsi="Times New Roman" w:cs="Times New Roman"/>
          <w:sz w:val="24"/>
          <w:szCs w:val="24"/>
          <w:vertAlign w:val="subscript"/>
        </w:rPr>
        <w:t>x</w:t>
      </w:r>
      <w:r>
        <w:rPr>
          <w:rFonts w:ascii="Times New Roman" w:hAnsi="Times New Roman" w:cs="Times New Roman"/>
          <w:sz w:val="24"/>
          <w:szCs w:val="24"/>
        </w:rPr>
        <w:t xml:space="preserve"> from strong local emissions</w:t>
      </w:r>
      <w:r w:rsidRPr="00100CD0">
        <w:rPr>
          <w:rFonts w:ascii="Times New Roman" w:hAnsi="Times New Roman" w:cs="Times New Roman"/>
          <w:sz w:val="24"/>
          <w:szCs w:val="24"/>
        </w:rPr>
        <w:t xml:space="preserve">. </w:t>
      </w:r>
      <w:r>
        <w:rPr>
          <w:rFonts w:ascii="Times New Roman" w:hAnsi="Times New Roman" w:cs="Times New Roman"/>
          <w:sz w:val="24"/>
          <w:szCs w:val="24"/>
        </w:rPr>
        <w:t>The slope of [HO</w:t>
      </w:r>
      <w:r w:rsidRPr="00905185">
        <w:rPr>
          <w:rFonts w:ascii="Times New Roman" w:hAnsi="Times New Roman" w:cs="Times New Roman"/>
          <w:sz w:val="24"/>
          <w:szCs w:val="24"/>
          <w:vertAlign w:val="subscript"/>
        </w:rPr>
        <w:t>2</w:t>
      </w:r>
      <w:r>
        <w:rPr>
          <w:rFonts w:ascii="Times New Roman" w:hAnsi="Times New Roman" w:cs="Times New Roman"/>
          <w:sz w:val="24"/>
          <w:szCs w:val="24"/>
        </w:rPr>
        <w:t>] (Fig. S7c) indicates that the inclusion of HCHO as a constraint will increase the calculated HO</w:t>
      </w:r>
      <w:r w:rsidRPr="009754FF">
        <w:rPr>
          <w:rFonts w:ascii="Times New Roman" w:hAnsi="Times New Roman" w:cs="Times New Roman"/>
          <w:sz w:val="24"/>
          <w:szCs w:val="24"/>
          <w:vertAlign w:val="subscript"/>
        </w:rPr>
        <w:t>2</w:t>
      </w:r>
      <w:r>
        <w:rPr>
          <w:rFonts w:ascii="Times New Roman" w:hAnsi="Times New Roman" w:cs="Times New Roman"/>
          <w:sz w:val="24"/>
          <w:szCs w:val="24"/>
        </w:rPr>
        <w:t xml:space="preserve"> at relatively lower values and decrease HO</w:t>
      </w:r>
      <w:r w:rsidRPr="009754FF">
        <w:rPr>
          <w:rFonts w:ascii="Times New Roman" w:hAnsi="Times New Roman" w:cs="Times New Roman"/>
          <w:sz w:val="24"/>
          <w:szCs w:val="24"/>
          <w:vertAlign w:val="subscript"/>
        </w:rPr>
        <w:t>2</w:t>
      </w:r>
      <w:r>
        <w:rPr>
          <w:rFonts w:ascii="Times New Roman" w:hAnsi="Times New Roman" w:cs="Times New Roman"/>
          <w:sz w:val="24"/>
          <w:szCs w:val="24"/>
        </w:rPr>
        <w:t xml:space="preserve"> concentrations at relatively greater values as determined by the unconstrained runs.</w:t>
      </w:r>
    </w:p>
    <w:p w14:paraId="4CE34FE8" w14:textId="77777777" w:rsidR="00E20A49" w:rsidRPr="00100CD0" w:rsidRDefault="00E20A49" w:rsidP="00E20A49">
      <w:pPr>
        <w:spacing w:line="480" w:lineRule="auto"/>
        <w:ind w:firstLine="720"/>
        <w:rPr>
          <w:rFonts w:ascii="Times New Roman" w:hAnsi="Times New Roman" w:cs="Times New Roman"/>
          <w:sz w:val="24"/>
          <w:szCs w:val="24"/>
        </w:rPr>
      </w:pPr>
      <w:r w:rsidRPr="00100CD0">
        <w:rPr>
          <w:rFonts w:ascii="Times New Roman" w:hAnsi="Times New Roman" w:cs="Times New Roman"/>
          <w:sz w:val="24"/>
          <w:szCs w:val="24"/>
        </w:rPr>
        <w:t>If model calculations of HCHO are not in good agreement with the observations, then it is possible that other oVOC are also not being simulated accurately. More observations of species such as HCHO and acetaldehyde would provide a starting point for assessing model performance regarding oVOC predictions and their cumulative impacts on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We further note that these issues may be less severe in full 3-D chemical transport models that explicitly simulate emissions and transport. </w:t>
      </w:r>
    </w:p>
    <w:p w14:paraId="477D6221" w14:textId="77777777" w:rsidR="00E20A49" w:rsidRPr="00100CD0" w:rsidRDefault="00E20A49" w:rsidP="00E20A49">
      <w:pPr>
        <w:spacing w:line="480" w:lineRule="auto"/>
        <w:jc w:val="center"/>
        <w:rPr>
          <w:rFonts w:ascii="Times New Roman" w:hAnsi="Times New Roman" w:cs="Times New Roman"/>
          <w:sz w:val="24"/>
          <w:szCs w:val="24"/>
        </w:rPr>
      </w:pPr>
      <w:r w:rsidRPr="00100CD0">
        <w:rPr>
          <w:rFonts w:ascii="Times New Roman" w:hAnsi="Times New Roman" w:cs="Times New Roman"/>
          <w:noProof/>
          <w:sz w:val="24"/>
          <w:szCs w:val="24"/>
        </w:rPr>
        <w:lastRenderedPageBreak/>
        <w:drawing>
          <wp:inline distT="0" distB="0" distL="0" distR="0" wp14:anchorId="29D37C8D" wp14:editId="315E081D">
            <wp:extent cx="3729162" cy="2797270"/>
            <wp:effectExtent l="0" t="0" r="5080" b="3175"/>
            <wp:docPr id="645989034" name="Picture 1" descr="A graph with a line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989034" name="Picture 1" descr="A graph with a line and a line&#10;&#10;Description automatically generated with medium confidence"/>
                    <pic:cNvPicPr/>
                  </pic:nvPicPr>
                  <pic:blipFill>
                    <a:blip r:embed="rId9"/>
                    <a:stretch>
                      <a:fillRect/>
                    </a:stretch>
                  </pic:blipFill>
                  <pic:spPr>
                    <a:xfrm>
                      <a:off x="0" y="0"/>
                      <a:ext cx="3735594" cy="2802095"/>
                    </a:xfrm>
                    <a:prstGeom prst="rect">
                      <a:avLst/>
                    </a:prstGeom>
                  </pic:spPr>
                </pic:pic>
              </a:graphicData>
            </a:graphic>
          </wp:inline>
        </w:drawing>
      </w:r>
    </w:p>
    <w:p w14:paraId="302A6694" w14:textId="77777777" w:rsidR="00E20A49" w:rsidRPr="00100CD0" w:rsidRDefault="00E20A49" w:rsidP="00E20A49">
      <w:pPr>
        <w:spacing w:line="240" w:lineRule="auto"/>
        <w:rPr>
          <w:rFonts w:ascii="Times New Roman" w:hAnsi="Times New Roman" w:cs="Times New Roman"/>
          <w:sz w:val="24"/>
          <w:szCs w:val="24"/>
        </w:rPr>
      </w:pPr>
      <w:r w:rsidRPr="00100CD0">
        <w:rPr>
          <w:rFonts w:ascii="Times New Roman" w:hAnsi="Times New Roman" w:cs="Times New Roman"/>
          <w:b/>
          <w:bCs/>
          <w:sz w:val="24"/>
          <w:szCs w:val="24"/>
        </w:rPr>
        <w:t xml:space="preserve">Figure </w:t>
      </w:r>
      <w:r>
        <w:rPr>
          <w:rFonts w:ascii="Times New Roman" w:hAnsi="Times New Roman" w:cs="Times New Roman"/>
          <w:b/>
          <w:bCs/>
          <w:sz w:val="24"/>
          <w:szCs w:val="24"/>
        </w:rPr>
        <w:t>S6</w:t>
      </w:r>
      <w:r w:rsidRPr="00100CD0">
        <w:rPr>
          <w:rFonts w:ascii="Times New Roman" w:hAnsi="Times New Roman" w:cs="Times New Roman"/>
          <w:b/>
          <w:bCs/>
          <w:sz w:val="24"/>
          <w:szCs w:val="24"/>
        </w:rPr>
        <w:t xml:space="preserve">: </w:t>
      </w:r>
      <w:r w:rsidRPr="00100CD0">
        <w:rPr>
          <w:rFonts w:ascii="Times New Roman" w:hAnsi="Times New Roman" w:cs="Times New Roman"/>
          <w:sz w:val="24"/>
          <w:szCs w:val="24"/>
        </w:rPr>
        <w:t xml:space="preserve">A comparison of the modeled minus observed HCHO with the total OH reactivity (excluding HCHO). All HCHO observations are between 2 and 10 ppb. </w:t>
      </w:r>
    </w:p>
    <w:p w14:paraId="65AE0664" w14:textId="77777777" w:rsidR="00E20A49" w:rsidRPr="00100CD0" w:rsidRDefault="00E20A49" w:rsidP="00E20A49">
      <w:pPr>
        <w:spacing w:line="480" w:lineRule="auto"/>
        <w:jc w:val="center"/>
        <w:rPr>
          <w:rFonts w:ascii="Times New Roman" w:hAnsi="Times New Roman" w:cs="Times New Roman"/>
          <w:sz w:val="24"/>
          <w:szCs w:val="24"/>
        </w:rPr>
      </w:pPr>
      <w:r w:rsidRPr="00100CD0">
        <w:rPr>
          <w:rFonts w:ascii="Times New Roman" w:hAnsi="Times New Roman" w:cs="Times New Roman"/>
          <w:noProof/>
          <w:sz w:val="24"/>
          <w:szCs w:val="24"/>
        </w:rPr>
        <w:drawing>
          <wp:inline distT="0" distB="0" distL="0" distR="0" wp14:anchorId="7F6A00AC" wp14:editId="20A8B2E8">
            <wp:extent cx="4786685" cy="3815031"/>
            <wp:effectExtent l="0" t="0" r="0" b="0"/>
            <wp:docPr id="7" name="Picture 6" descr="A group of graphs showing different types of numbers&#10;&#10;Description automatically generated with medium confidence">
              <a:extLst xmlns:a="http://schemas.openxmlformats.org/drawingml/2006/main">
                <a:ext uri="{FF2B5EF4-FFF2-40B4-BE49-F238E27FC236}">
                  <a16:creationId xmlns:a16="http://schemas.microsoft.com/office/drawing/2014/main" id="{B7D0EAC8-08D4-6120-1519-7F5846F810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oup of graphs showing different types of numbers&#10;&#10;Description automatically generated with medium confidence">
                      <a:extLst>
                        <a:ext uri="{FF2B5EF4-FFF2-40B4-BE49-F238E27FC236}">
                          <a16:creationId xmlns:a16="http://schemas.microsoft.com/office/drawing/2014/main" id="{B7D0EAC8-08D4-6120-1519-7F5846F81048}"/>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40134" cy="3857631"/>
                    </a:xfrm>
                    <a:prstGeom prst="rect">
                      <a:avLst/>
                    </a:prstGeom>
                  </pic:spPr>
                </pic:pic>
              </a:graphicData>
            </a:graphic>
          </wp:inline>
        </w:drawing>
      </w:r>
    </w:p>
    <w:p w14:paraId="6038273B" w14:textId="77777777" w:rsidR="00E20A49" w:rsidRDefault="00E20A49" w:rsidP="00E20A49">
      <w:pPr>
        <w:spacing w:line="240" w:lineRule="auto"/>
        <w:rPr>
          <w:rFonts w:ascii="Times New Roman" w:hAnsi="Times New Roman" w:cs="Times New Roman"/>
          <w:sz w:val="24"/>
          <w:szCs w:val="24"/>
        </w:rPr>
      </w:pPr>
      <w:r w:rsidRPr="00100CD0">
        <w:rPr>
          <w:rFonts w:ascii="Times New Roman" w:hAnsi="Times New Roman" w:cs="Times New Roman"/>
          <w:b/>
          <w:bCs/>
          <w:sz w:val="24"/>
          <w:szCs w:val="24"/>
        </w:rPr>
        <w:t xml:space="preserve">Figure </w:t>
      </w:r>
      <w:r>
        <w:rPr>
          <w:rFonts w:ascii="Times New Roman" w:hAnsi="Times New Roman" w:cs="Times New Roman"/>
          <w:b/>
          <w:bCs/>
          <w:sz w:val="24"/>
          <w:szCs w:val="24"/>
        </w:rPr>
        <w:t>S7</w:t>
      </w:r>
      <w:r w:rsidRPr="00100CD0">
        <w:rPr>
          <w:rFonts w:ascii="Times New Roman" w:hAnsi="Times New Roman" w:cs="Times New Roman"/>
          <w:b/>
          <w:bCs/>
          <w:sz w:val="24"/>
          <w:szCs w:val="24"/>
        </w:rPr>
        <w:t>:</w:t>
      </w:r>
      <w:r w:rsidRPr="00100CD0">
        <w:rPr>
          <w:rFonts w:ascii="Times New Roman" w:hAnsi="Times New Roman" w:cs="Times New Roman"/>
          <w:sz w:val="24"/>
          <w:szCs w:val="24"/>
        </w:rPr>
        <w:t xml:space="preserve"> A comparison of </w:t>
      </w:r>
      <w:r w:rsidRPr="002F3423">
        <w:rPr>
          <w:rFonts w:ascii="Times New Roman" w:hAnsi="Times New Roman" w:cs="Times New Roman"/>
          <w:b/>
          <w:bCs/>
          <w:sz w:val="24"/>
          <w:szCs w:val="24"/>
        </w:rPr>
        <w:t>(a)</w:t>
      </w:r>
      <w:r w:rsidRPr="00100CD0">
        <w:rPr>
          <w:rFonts w:ascii="Times New Roman" w:hAnsi="Times New Roman" w:cs="Times New Roman"/>
          <w:sz w:val="24"/>
          <w:szCs w:val="24"/>
        </w:rPr>
        <w:t xml:space="preserve"> PO</w:t>
      </w:r>
      <w:r w:rsidRPr="00100CD0">
        <w:rPr>
          <w:rFonts w:ascii="Times New Roman" w:hAnsi="Times New Roman" w:cs="Times New Roman"/>
          <w:sz w:val="24"/>
          <w:szCs w:val="24"/>
          <w:vertAlign w:val="subscript"/>
        </w:rPr>
        <w:t>3,</w:t>
      </w:r>
      <w:r w:rsidRPr="00100CD0">
        <w:rPr>
          <w:rFonts w:ascii="Times New Roman" w:hAnsi="Times New Roman" w:cs="Times New Roman"/>
          <w:sz w:val="24"/>
          <w:szCs w:val="24"/>
        </w:rPr>
        <w:t xml:space="preserve"> </w:t>
      </w:r>
      <w:r w:rsidRPr="002F3423">
        <w:rPr>
          <w:rFonts w:ascii="Times New Roman" w:hAnsi="Times New Roman" w:cs="Times New Roman"/>
          <w:b/>
          <w:bCs/>
          <w:sz w:val="24"/>
          <w:szCs w:val="24"/>
        </w:rPr>
        <w:t>(b)</w:t>
      </w:r>
      <w:r w:rsidRPr="00100CD0">
        <w:rPr>
          <w:rFonts w:ascii="Times New Roman" w:hAnsi="Times New Roman" w:cs="Times New Roman"/>
          <w:sz w:val="24"/>
          <w:szCs w:val="24"/>
        </w:rPr>
        <w:t xml:space="preserve"> [OH], </w:t>
      </w:r>
      <w:r w:rsidRPr="002F3423">
        <w:rPr>
          <w:rFonts w:ascii="Times New Roman" w:hAnsi="Times New Roman" w:cs="Times New Roman"/>
          <w:b/>
          <w:bCs/>
          <w:sz w:val="24"/>
          <w:szCs w:val="24"/>
        </w:rPr>
        <w:t>(c)</w:t>
      </w:r>
      <w:r w:rsidRPr="00100CD0">
        <w:rPr>
          <w:rFonts w:ascii="Times New Roman" w:hAnsi="Times New Roman" w:cs="Times New Roman"/>
          <w:sz w:val="24"/>
          <w:szCs w:val="24"/>
        </w:rPr>
        <w:t xml:space="preserve"> [HO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 xml:space="preserve">], and </w:t>
      </w:r>
      <w:r w:rsidRPr="002F3423">
        <w:rPr>
          <w:rFonts w:ascii="Times New Roman" w:hAnsi="Times New Roman" w:cs="Times New Roman"/>
          <w:b/>
          <w:bCs/>
          <w:sz w:val="24"/>
          <w:szCs w:val="24"/>
        </w:rPr>
        <w:t>(d)</w:t>
      </w:r>
      <w:r w:rsidRPr="00100CD0">
        <w:rPr>
          <w:rFonts w:ascii="Times New Roman" w:hAnsi="Times New Roman" w:cs="Times New Roman"/>
          <w:sz w:val="24"/>
          <w:szCs w:val="24"/>
        </w:rPr>
        <w:t xml:space="preserve"> [HO</w:t>
      </w:r>
      <w:r w:rsidRPr="00100CD0">
        <w:rPr>
          <w:rFonts w:ascii="Times New Roman" w:hAnsi="Times New Roman" w:cs="Times New Roman"/>
          <w:sz w:val="24"/>
          <w:szCs w:val="24"/>
          <w:vertAlign w:val="subscript"/>
        </w:rPr>
        <w:t>2</w:t>
      </w:r>
      <w:r w:rsidRPr="00100CD0">
        <w:rPr>
          <w:rFonts w:ascii="Times New Roman" w:hAnsi="Times New Roman" w:cs="Times New Roman"/>
          <w:sz w:val="24"/>
          <w:szCs w:val="24"/>
        </w:rPr>
        <w:t>]/[OH] when HCHO is unconstrained in the box model to when HCHO is constrained. Lines of best fit are included in all panels. Dashed black lines are 1:1 reference lines.</w:t>
      </w:r>
    </w:p>
    <w:p w14:paraId="6545FAC4" w14:textId="77777777" w:rsidR="00E20A49" w:rsidRPr="00100CD0" w:rsidRDefault="00E20A49" w:rsidP="00E20A49">
      <w:pPr>
        <w:spacing w:line="240" w:lineRule="auto"/>
        <w:rPr>
          <w:rFonts w:ascii="Times New Roman" w:hAnsi="Times New Roman" w:cs="Times New Roman"/>
          <w:sz w:val="24"/>
          <w:szCs w:val="24"/>
        </w:rPr>
      </w:pPr>
    </w:p>
    <w:p w14:paraId="48B22677" w14:textId="77777777" w:rsidR="00E20A49" w:rsidRPr="00100CD0" w:rsidRDefault="00E20A49" w:rsidP="00E20A49">
      <w:pPr>
        <w:ind w:left="720" w:hanging="720"/>
        <w:jc w:val="center"/>
        <w:rPr>
          <w:rFonts w:ascii="Times New Roman" w:hAnsi="Times New Roman" w:cs="Times New Roman"/>
          <w:b/>
          <w:bCs/>
          <w:sz w:val="24"/>
          <w:szCs w:val="24"/>
          <w:u w:val="single"/>
        </w:rPr>
      </w:pPr>
      <w:r>
        <w:rPr>
          <w:noProof/>
        </w:rPr>
        <w:drawing>
          <wp:inline distT="0" distB="0" distL="0" distR="0" wp14:anchorId="02E441D5" wp14:editId="09BE29CD">
            <wp:extent cx="4054475" cy="3041289"/>
            <wp:effectExtent l="0" t="0" r="3175" b="6985"/>
            <wp:docPr id="1666702541" name="Picture 1" descr="A graph with a green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575808" name="Picture 1" descr="A graph with a green line&#10;&#10;Description automatically generated"/>
                    <pic:cNvPicPr/>
                  </pic:nvPicPr>
                  <pic:blipFill>
                    <a:blip r:embed="rId11"/>
                    <a:stretch>
                      <a:fillRect/>
                    </a:stretch>
                  </pic:blipFill>
                  <pic:spPr>
                    <a:xfrm>
                      <a:off x="0" y="0"/>
                      <a:ext cx="4064892" cy="3049103"/>
                    </a:xfrm>
                    <a:prstGeom prst="rect">
                      <a:avLst/>
                    </a:prstGeom>
                  </pic:spPr>
                </pic:pic>
              </a:graphicData>
            </a:graphic>
          </wp:inline>
        </w:drawing>
      </w:r>
    </w:p>
    <w:p w14:paraId="757A8755"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b/>
          <w:bCs/>
          <w:sz w:val="24"/>
          <w:szCs w:val="24"/>
        </w:rPr>
        <w:t>Figure S</w:t>
      </w:r>
      <w:r>
        <w:rPr>
          <w:rFonts w:ascii="Times New Roman" w:hAnsi="Times New Roman" w:cs="Times New Roman"/>
          <w:b/>
          <w:bCs/>
          <w:sz w:val="24"/>
          <w:szCs w:val="24"/>
        </w:rPr>
        <w:t>8</w:t>
      </w:r>
      <w:r w:rsidRPr="00100CD0">
        <w:rPr>
          <w:rFonts w:ascii="Times New Roman" w:hAnsi="Times New Roman" w:cs="Times New Roman"/>
          <w:b/>
          <w:bCs/>
          <w:sz w:val="24"/>
          <w:szCs w:val="24"/>
        </w:rPr>
        <w:t>:</w:t>
      </w:r>
      <w:r w:rsidRPr="00100CD0">
        <w:rPr>
          <w:rFonts w:ascii="Times New Roman" w:hAnsi="Times New Roman" w:cs="Times New Roman"/>
          <w:sz w:val="24"/>
          <w:szCs w:val="24"/>
        </w:rPr>
        <w:t xml:space="preserve"> A comparison of MCMv3.3.1 to CB6r2 for the final mixing ratio of NO. Line of best fit (green) and 1:1 line (dashed black) are included. </w:t>
      </w:r>
    </w:p>
    <w:p w14:paraId="78A6BB7D" w14:textId="77777777" w:rsidR="00E20A49" w:rsidRPr="00100CD0" w:rsidRDefault="00E20A49" w:rsidP="00E20A49">
      <w:pPr>
        <w:rPr>
          <w:rFonts w:ascii="Times New Roman" w:hAnsi="Times New Roman" w:cs="Times New Roman"/>
          <w:sz w:val="24"/>
          <w:szCs w:val="24"/>
        </w:rPr>
      </w:pPr>
      <w:r w:rsidRPr="00100CD0">
        <w:rPr>
          <w:rFonts w:ascii="Times New Roman" w:hAnsi="Times New Roman" w:cs="Times New Roman"/>
          <w:sz w:val="24"/>
          <w:szCs w:val="24"/>
        </w:rPr>
        <w:t xml:space="preserve">There is </w:t>
      </w:r>
      <w:r>
        <w:rPr>
          <w:rFonts w:ascii="Times New Roman" w:hAnsi="Times New Roman" w:cs="Times New Roman"/>
          <w:sz w:val="24"/>
          <w:szCs w:val="24"/>
        </w:rPr>
        <w:t>good</w:t>
      </w:r>
      <w:r w:rsidRPr="00100CD0">
        <w:rPr>
          <w:rFonts w:ascii="Times New Roman" w:hAnsi="Times New Roman" w:cs="Times New Roman"/>
          <w:sz w:val="24"/>
          <w:szCs w:val="24"/>
        </w:rPr>
        <w:t xml:space="preserve"> agreement in the final NO mixing ratio between MCM and CB6r2. The differences in Fig. </w:t>
      </w:r>
      <w:r>
        <w:rPr>
          <w:rFonts w:ascii="Times New Roman" w:hAnsi="Times New Roman" w:cs="Times New Roman"/>
          <w:sz w:val="24"/>
          <w:szCs w:val="24"/>
        </w:rPr>
        <w:t>6</w:t>
      </w:r>
      <w:r w:rsidRPr="00100CD0">
        <w:rPr>
          <w:rFonts w:ascii="Times New Roman" w:hAnsi="Times New Roman" w:cs="Times New Roman"/>
          <w:sz w:val="24"/>
          <w:szCs w:val="24"/>
        </w:rPr>
        <w:t>b are not due to [NO], but rather disagreement in [HO</w:t>
      </w:r>
      <w:r w:rsidRPr="00525128">
        <w:rPr>
          <w:rFonts w:ascii="Times New Roman" w:hAnsi="Times New Roman" w:cs="Times New Roman"/>
          <w:sz w:val="24"/>
          <w:szCs w:val="24"/>
          <w:vertAlign w:val="subscript"/>
        </w:rPr>
        <w:t>2</w:t>
      </w:r>
      <w:r w:rsidRPr="00100CD0">
        <w:rPr>
          <w:rFonts w:ascii="Times New Roman" w:hAnsi="Times New Roman" w:cs="Times New Roman"/>
          <w:sz w:val="24"/>
          <w:szCs w:val="24"/>
        </w:rPr>
        <w:t>], total [RO</w:t>
      </w:r>
      <w:r w:rsidRPr="00525128">
        <w:rPr>
          <w:rFonts w:ascii="Times New Roman" w:hAnsi="Times New Roman" w:cs="Times New Roman"/>
          <w:sz w:val="24"/>
          <w:szCs w:val="24"/>
          <w:vertAlign w:val="subscript"/>
        </w:rPr>
        <w:t>2</w:t>
      </w:r>
      <w:r w:rsidRPr="00100CD0">
        <w:rPr>
          <w:rFonts w:ascii="Times New Roman" w:hAnsi="Times New Roman" w:cs="Times New Roman"/>
          <w:sz w:val="24"/>
          <w:szCs w:val="24"/>
        </w:rPr>
        <w:t xml:space="preserve">], and rate coefficients as discussed in section 3.1 in the main text. </w:t>
      </w:r>
    </w:p>
    <w:p w14:paraId="2F73B51B" w14:textId="77777777" w:rsidR="00E20A49" w:rsidRDefault="00E20A49" w:rsidP="00E20A49">
      <w:pPr>
        <w:rPr>
          <w:rFonts w:ascii="Times New Roman" w:hAnsi="Times New Roman" w:cs="Times New Roman"/>
          <w:sz w:val="24"/>
          <w:szCs w:val="24"/>
        </w:rPr>
      </w:pPr>
    </w:p>
    <w:p w14:paraId="04F788AE" w14:textId="77777777" w:rsidR="00E20A49" w:rsidRPr="00100CD0" w:rsidRDefault="00E20A49" w:rsidP="00E20A49">
      <w:pPr>
        <w:rPr>
          <w:rFonts w:ascii="Times New Roman" w:hAnsi="Times New Roman" w:cs="Times New Roman"/>
          <w:sz w:val="24"/>
          <w:szCs w:val="24"/>
        </w:rPr>
      </w:pPr>
    </w:p>
    <w:p w14:paraId="274333B5" w14:textId="77777777" w:rsidR="00E20A49" w:rsidRPr="00100CD0" w:rsidRDefault="00E20A49" w:rsidP="00E20A49">
      <w:pPr>
        <w:rPr>
          <w:rFonts w:ascii="Times New Roman" w:hAnsi="Times New Roman" w:cs="Times New Roman"/>
          <w:sz w:val="24"/>
          <w:szCs w:val="24"/>
          <w:u w:val="single"/>
        </w:rPr>
      </w:pPr>
      <w:r w:rsidRPr="00100CD0">
        <w:rPr>
          <w:rFonts w:ascii="Times New Roman" w:hAnsi="Times New Roman" w:cs="Times New Roman"/>
          <w:sz w:val="24"/>
          <w:szCs w:val="24"/>
          <w:u w:val="single"/>
        </w:rPr>
        <w:t>Supplemental References</w:t>
      </w:r>
    </w:p>
    <w:p w14:paraId="58237EF1"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fldChar w:fldCharType="begin"/>
      </w:r>
      <w:r w:rsidRPr="00BD6820">
        <w:rPr>
          <w:rFonts w:ascii="Times New Roman" w:hAnsi="Times New Roman" w:cs="Times New Roman"/>
          <w:sz w:val="24"/>
          <w:szCs w:val="24"/>
        </w:rPr>
        <w:instrText xml:space="preserve"> ADDIN EN.REFLIST </w:instrText>
      </w:r>
      <w:r w:rsidRPr="00BD6820">
        <w:rPr>
          <w:rFonts w:ascii="Times New Roman" w:hAnsi="Times New Roman" w:cs="Times New Roman"/>
          <w:sz w:val="24"/>
          <w:szCs w:val="24"/>
        </w:rPr>
        <w:fldChar w:fldCharType="separate"/>
      </w:r>
      <w:r w:rsidRPr="00BD6820">
        <w:rPr>
          <w:rFonts w:ascii="Times New Roman" w:hAnsi="Times New Roman" w:cs="Times New Roman"/>
          <w:sz w:val="24"/>
          <w:szCs w:val="24"/>
        </w:rPr>
        <w:t xml:space="preserve">Fried, A., C. Cantrell, J. Olson, and Coauthors, 2011: Detailed comparisons of airborne formaldehyde measurements with box models during the 2006 INTEX-B and MILAGRO campaigns: potential evidence for significant impacts of unmeasured and multi-generation volatile organic carbon compounds. </w:t>
      </w:r>
      <w:r w:rsidRPr="00BD6820">
        <w:rPr>
          <w:rFonts w:ascii="Times New Roman" w:hAnsi="Times New Roman" w:cs="Times New Roman"/>
          <w:i/>
          <w:sz w:val="24"/>
          <w:szCs w:val="24"/>
        </w:rPr>
        <w:t>Atmos. Chem. Phys.</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11,</w:t>
      </w:r>
      <w:r w:rsidRPr="00BD6820">
        <w:rPr>
          <w:rFonts w:ascii="Times New Roman" w:hAnsi="Times New Roman" w:cs="Times New Roman"/>
          <w:sz w:val="24"/>
          <w:szCs w:val="24"/>
        </w:rPr>
        <w:t xml:space="preserve"> 11867-11894.</w:t>
      </w:r>
    </w:p>
    <w:p w14:paraId="64C9DBBC"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Lin, Y. C., J. J. Schwab, K. L. Demerjian, M. S. Bae, W. N. Chen, Y. Sun, Q. Zhang, H. M. Hung, and J. Perry, 2012: Summertime formaldehyde observations in New York City: Ambient levels, sources and its contribution to HOx radicals. </w:t>
      </w:r>
      <w:r w:rsidRPr="00BD6820">
        <w:rPr>
          <w:rFonts w:ascii="Times New Roman" w:hAnsi="Times New Roman" w:cs="Times New Roman"/>
          <w:i/>
          <w:sz w:val="24"/>
          <w:szCs w:val="24"/>
        </w:rPr>
        <w:t>J. Geophys. Res.-Atmos.</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117</w:t>
      </w:r>
      <w:r w:rsidRPr="00BD6820">
        <w:rPr>
          <w:rFonts w:ascii="Times New Roman" w:hAnsi="Times New Roman" w:cs="Times New Roman"/>
          <w:sz w:val="24"/>
          <w:szCs w:val="24"/>
        </w:rPr>
        <w:t>.</w:t>
      </w:r>
    </w:p>
    <w:p w14:paraId="2EFFA2A0"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Olson, J. R., J. H. Crawford, G. Chen, and Coauthors, 2004: Testing fast photochemical theory during TRACE-P based on measurements of OH, HO2, and CH2O. </w:t>
      </w:r>
      <w:r w:rsidRPr="00BD6820">
        <w:rPr>
          <w:rFonts w:ascii="Times New Roman" w:hAnsi="Times New Roman" w:cs="Times New Roman"/>
          <w:i/>
          <w:sz w:val="24"/>
          <w:szCs w:val="24"/>
        </w:rPr>
        <w:t>J. Geophys. Res.-Atmos.</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109</w:t>
      </w:r>
      <w:r w:rsidRPr="00BD6820">
        <w:rPr>
          <w:rFonts w:ascii="Times New Roman" w:hAnsi="Times New Roman" w:cs="Times New Roman"/>
          <w:sz w:val="24"/>
          <w:szCs w:val="24"/>
        </w:rPr>
        <w:t>.</w:t>
      </w:r>
    </w:p>
    <w:p w14:paraId="200E9A1C"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Ring, A. M., R. R. Dickerson, A. E. Sebol, X. Ren, S. E. Benish, R. J. Salawitch, A. Galasyn, and P. J. Miller, 2023: Anthropogenic VOCs in the Long Island Sound, NY Airshed and their role in ozone production. </w:t>
      </w:r>
      <w:r w:rsidRPr="00BD6820">
        <w:rPr>
          <w:rFonts w:ascii="Times New Roman" w:hAnsi="Times New Roman" w:cs="Times New Roman"/>
          <w:i/>
          <w:sz w:val="24"/>
          <w:szCs w:val="24"/>
        </w:rPr>
        <w:t>Atmospheric Environment</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296,</w:t>
      </w:r>
      <w:r w:rsidRPr="00BD6820">
        <w:rPr>
          <w:rFonts w:ascii="Times New Roman" w:hAnsi="Times New Roman" w:cs="Times New Roman"/>
          <w:sz w:val="24"/>
          <w:szCs w:val="24"/>
        </w:rPr>
        <w:t xml:space="preserve"> 119583.</w:t>
      </w:r>
    </w:p>
    <w:p w14:paraId="6B3AF0AC"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lastRenderedPageBreak/>
        <w:t xml:space="preserve">Schroeder, J. R., J. H. Crawford, A. Fried, and Coauthors, 2017: New insights into the column CH2O/NO2 ratio as an indicator of near-surface ozone sensitivity. </w:t>
      </w:r>
      <w:r w:rsidRPr="00BD6820">
        <w:rPr>
          <w:rFonts w:ascii="Times New Roman" w:hAnsi="Times New Roman" w:cs="Times New Roman"/>
          <w:i/>
          <w:sz w:val="24"/>
          <w:szCs w:val="24"/>
        </w:rPr>
        <w:t>J. Geophys. Res.-Atmos.</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122,</w:t>
      </w:r>
      <w:r w:rsidRPr="00BD6820">
        <w:rPr>
          <w:rFonts w:ascii="Times New Roman" w:hAnsi="Times New Roman" w:cs="Times New Roman"/>
          <w:sz w:val="24"/>
          <w:szCs w:val="24"/>
        </w:rPr>
        <w:t xml:space="preserve"> 8885-8907.</w:t>
      </w:r>
    </w:p>
    <w:p w14:paraId="4F2FE1C8"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Schroeder, J. R., J. H. Crawford, J. Y. Ahn, and Coauthors, 2020: Observation-based modeling of ozone chemistry in the Seoul metropolitan area during the Korea-United States Air Quality Study (KORUS-AQ). </w:t>
      </w:r>
      <w:r w:rsidRPr="00BD6820">
        <w:rPr>
          <w:rFonts w:ascii="Times New Roman" w:hAnsi="Times New Roman" w:cs="Times New Roman"/>
          <w:i/>
          <w:sz w:val="24"/>
          <w:szCs w:val="24"/>
        </w:rPr>
        <w:t>Elementa-Science of the Anthropocene</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8</w:t>
      </w:r>
      <w:r w:rsidRPr="00BD6820">
        <w:rPr>
          <w:rFonts w:ascii="Times New Roman" w:hAnsi="Times New Roman" w:cs="Times New Roman"/>
          <w:sz w:val="24"/>
          <w:szCs w:val="24"/>
        </w:rPr>
        <w:t>.</w:t>
      </w:r>
    </w:p>
    <w:p w14:paraId="7AF593B0" w14:textId="77777777" w:rsidR="00E20A49" w:rsidRPr="00BD6820" w:rsidRDefault="00E20A49" w:rsidP="00E20A49">
      <w:pPr>
        <w:pStyle w:val="EndNoteBibliography"/>
        <w:spacing w:after="0"/>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Souri, A. H., M. S. Johnson, G. M. Wolfe, and Coauthors, 2023: Characterization of errors in satellite-based HCHO/NO2 tropospheric column ratios with respect to chemistry, column-to-PBL translation, spatialrepresentation, and retrieval uncertainties. </w:t>
      </w:r>
      <w:r w:rsidRPr="00BD6820">
        <w:rPr>
          <w:rFonts w:ascii="Times New Roman" w:hAnsi="Times New Roman" w:cs="Times New Roman"/>
          <w:i/>
          <w:sz w:val="24"/>
          <w:szCs w:val="24"/>
        </w:rPr>
        <w:t>Atmos. Chem. Phys.</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23,</w:t>
      </w:r>
      <w:r w:rsidRPr="00BD6820">
        <w:rPr>
          <w:rFonts w:ascii="Times New Roman" w:hAnsi="Times New Roman" w:cs="Times New Roman"/>
          <w:sz w:val="24"/>
          <w:szCs w:val="24"/>
        </w:rPr>
        <w:t xml:space="preserve"> 1963-1986.</w:t>
      </w:r>
    </w:p>
    <w:p w14:paraId="3A2FC591" w14:textId="77777777" w:rsidR="00E20A49" w:rsidRPr="00BD6820" w:rsidRDefault="00E20A49" w:rsidP="00E20A49">
      <w:pPr>
        <w:pStyle w:val="EndNoteBibliography"/>
        <w:ind w:left="720" w:hanging="720"/>
        <w:rPr>
          <w:rFonts w:ascii="Times New Roman" w:hAnsi="Times New Roman" w:cs="Times New Roman"/>
          <w:sz w:val="24"/>
          <w:szCs w:val="24"/>
        </w:rPr>
      </w:pPr>
      <w:r w:rsidRPr="00BD6820">
        <w:rPr>
          <w:rFonts w:ascii="Times New Roman" w:hAnsi="Times New Roman" w:cs="Times New Roman"/>
          <w:sz w:val="24"/>
          <w:szCs w:val="24"/>
        </w:rPr>
        <w:t xml:space="preserve">Zhang, K., Y. S. Duan, J. T. Huo, L. Huang, Y. J. Wang, Q. Y. Fu, Y. H. Wang, and L. Li, 2021: Formation mechanism of HCHO pollution in the suburban Yangtze River Delta region, China: A box model study and policy implementations. </w:t>
      </w:r>
      <w:r w:rsidRPr="00BD6820">
        <w:rPr>
          <w:rFonts w:ascii="Times New Roman" w:hAnsi="Times New Roman" w:cs="Times New Roman"/>
          <w:i/>
          <w:sz w:val="24"/>
          <w:szCs w:val="24"/>
        </w:rPr>
        <w:t>Atmospheric Environment</w:t>
      </w:r>
      <w:r w:rsidRPr="00BD6820">
        <w:rPr>
          <w:rFonts w:ascii="Times New Roman" w:hAnsi="Times New Roman" w:cs="Times New Roman"/>
          <w:sz w:val="24"/>
          <w:szCs w:val="24"/>
        </w:rPr>
        <w:t xml:space="preserve">, </w:t>
      </w:r>
      <w:r w:rsidRPr="00BD6820">
        <w:rPr>
          <w:rFonts w:ascii="Times New Roman" w:hAnsi="Times New Roman" w:cs="Times New Roman"/>
          <w:b/>
          <w:sz w:val="24"/>
          <w:szCs w:val="24"/>
        </w:rPr>
        <w:t>267</w:t>
      </w:r>
      <w:r w:rsidRPr="00BD6820">
        <w:rPr>
          <w:rFonts w:ascii="Times New Roman" w:hAnsi="Times New Roman" w:cs="Times New Roman"/>
          <w:sz w:val="24"/>
          <w:szCs w:val="24"/>
        </w:rPr>
        <w:t>.</w:t>
      </w:r>
    </w:p>
    <w:p w14:paraId="55BB249D" w14:textId="77777777" w:rsidR="00E20A49" w:rsidRPr="00BD6820" w:rsidRDefault="00E20A49" w:rsidP="00E20A49">
      <w:pPr>
        <w:spacing w:line="480" w:lineRule="auto"/>
        <w:ind w:left="720" w:hanging="720"/>
        <w:rPr>
          <w:rFonts w:ascii="Times New Roman" w:hAnsi="Times New Roman" w:cs="Times New Roman"/>
          <w:color w:val="FF0000"/>
          <w:sz w:val="24"/>
          <w:szCs w:val="24"/>
        </w:rPr>
      </w:pPr>
      <w:r w:rsidRPr="00BD6820">
        <w:rPr>
          <w:rFonts w:ascii="Times New Roman" w:hAnsi="Times New Roman" w:cs="Times New Roman"/>
          <w:sz w:val="24"/>
          <w:szCs w:val="24"/>
        </w:rPr>
        <w:fldChar w:fldCharType="end"/>
      </w:r>
    </w:p>
    <w:p w14:paraId="1A11E0C2" w14:textId="77777777" w:rsidR="001A0BC6" w:rsidRDefault="001A0BC6"/>
    <w:sectPr w:rsidR="001A0BC6" w:rsidSect="00F01AC8">
      <w:footerReference w:type="default" r:id="rId12"/>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010995"/>
      <w:docPartObj>
        <w:docPartGallery w:val="Page Numbers (Bottom of Page)"/>
        <w:docPartUnique/>
      </w:docPartObj>
    </w:sdtPr>
    <w:sdtEndPr>
      <w:rPr>
        <w:noProof/>
      </w:rPr>
    </w:sdtEndPr>
    <w:sdtContent>
      <w:p w14:paraId="5F565166" w14:textId="77777777" w:rsidR="00000000"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D7DA22C" w14:textId="77777777" w:rsidR="00000000" w:rsidRDefault="00000000">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A79"/>
    <w:rsid w:val="001A0BC6"/>
    <w:rsid w:val="004C073F"/>
    <w:rsid w:val="00812E6E"/>
    <w:rsid w:val="00E20A49"/>
    <w:rsid w:val="00E77A79"/>
    <w:rsid w:val="00F01A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5C6E27-AF83-49BC-B5D3-E63DB9F5A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0A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20A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0A49"/>
  </w:style>
  <w:style w:type="table" w:styleId="TableGrid">
    <w:name w:val="Table Grid"/>
    <w:basedOn w:val="TableNormal"/>
    <w:uiPriority w:val="39"/>
    <w:rsid w:val="00E20A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E20A49"/>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E20A49"/>
    <w:rPr>
      <w:rFonts w:ascii="Calibri" w:hAnsi="Calibri" w:cs="Calibri"/>
      <w:noProof/>
    </w:rPr>
  </w:style>
  <w:style w:type="paragraph" w:styleId="NormalWeb">
    <w:name w:val="Normal (Web)"/>
    <w:basedOn w:val="Normal"/>
    <w:uiPriority w:val="99"/>
    <w:unhideWhenUsed/>
    <w:rsid w:val="00E20A4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LineNumber">
    <w:name w:val="line number"/>
    <w:basedOn w:val="DefaultParagraphFont"/>
    <w:uiPriority w:val="99"/>
    <w:semiHidden/>
    <w:unhideWhenUsed/>
    <w:rsid w:val="00E20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jpe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3510</Words>
  <Characters>20007</Characters>
  <Application>Microsoft Office Word</Application>
  <DocSecurity>0</DocSecurity>
  <Lines>166</Lines>
  <Paragraphs>46</Paragraphs>
  <ScaleCrop>false</ScaleCrop>
  <Company/>
  <LinksUpToDate>false</LinksUpToDate>
  <CharactersWithSpaces>23471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Sebol</dc:creator>
  <cp:keywords/>
  <dc:description/>
  <cp:lastModifiedBy>Abby Sebol</cp:lastModifiedBy>
  <cp:revision>2</cp:revision>
  <dcterms:created xsi:type="dcterms:W3CDTF">2024-01-17T19:23:00Z</dcterms:created>
  <dcterms:modified xsi:type="dcterms:W3CDTF">2024-01-17T19:24:00Z</dcterms:modified>
</cp:coreProperties>
</file>