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1BA3" w:rsidRPr="00060F4F" w:rsidRDefault="00951BA3" w:rsidP="00CB76C8">
      <w:pPr>
        <w:pStyle w:val="NoSpacing"/>
        <w:rPr>
          <w:rFonts w:ascii="Times New Roman" w:hAnsi="Times New Roman"/>
          <w:b/>
        </w:rPr>
      </w:pPr>
      <w:r>
        <w:rPr>
          <w:rFonts w:ascii="Times New Roman" w:hAnsi="Times New Roman"/>
          <w:b/>
        </w:rPr>
        <w:t>Online Appendix: Additional Data Description</w:t>
      </w:r>
    </w:p>
    <w:p w:rsidR="00951BA3" w:rsidRDefault="00951BA3" w:rsidP="00CB76C8">
      <w:pPr>
        <w:pStyle w:val="NoSpacing"/>
        <w:rPr>
          <w:rFonts w:ascii="Times New Roman" w:hAnsi="Times New Roman"/>
          <w:i/>
        </w:rPr>
      </w:pPr>
    </w:p>
    <w:p w:rsidR="00951BA3" w:rsidRPr="00432F2F" w:rsidRDefault="00951BA3" w:rsidP="00CB76C8">
      <w:pPr>
        <w:pStyle w:val="NoSpacing"/>
        <w:rPr>
          <w:rFonts w:ascii="Times New Roman" w:hAnsi="Times New Roman"/>
          <w:b/>
          <w:bCs/>
          <w:i/>
        </w:rPr>
      </w:pPr>
      <w:r w:rsidRPr="00432F2F">
        <w:rPr>
          <w:rFonts w:ascii="Times New Roman" w:hAnsi="Times New Roman"/>
          <w:b/>
          <w:bCs/>
          <w:i/>
        </w:rPr>
        <w:t>A.1. Identification of Agricultural Land Covers Using the CDL</w:t>
      </w:r>
    </w:p>
    <w:p w:rsidR="00951BA3" w:rsidRDefault="00951BA3" w:rsidP="00CB76C8">
      <w:pPr>
        <w:pStyle w:val="NoSpacing"/>
        <w:rPr>
          <w:rFonts w:ascii="Times New Roman" w:hAnsi="Times New Roman"/>
        </w:rPr>
      </w:pPr>
    </w:p>
    <w:p w:rsidR="00951BA3" w:rsidRDefault="00951BA3" w:rsidP="00CB76C8">
      <w:pPr>
        <w:pStyle w:val="NoSpacing"/>
        <w:rPr>
          <w:rFonts w:ascii="Times New Roman" w:hAnsi="Times New Roman"/>
        </w:rPr>
      </w:pPr>
      <w:r w:rsidRPr="004852ED">
        <w:rPr>
          <w:rFonts w:ascii="Times New Roman" w:hAnsi="Times New Roman"/>
        </w:rPr>
        <w:t xml:space="preserve">The spatiotemporal resolution of the </w:t>
      </w:r>
      <w:r>
        <w:rPr>
          <w:rFonts w:ascii="Times New Roman" w:hAnsi="Times New Roman"/>
        </w:rPr>
        <w:t xml:space="preserve">Cropland Data Layer (CDL) </w:t>
      </w:r>
      <w:r w:rsidRPr="004852ED">
        <w:rPr>
          <w:rFonts w:ascii="Times New Roman" w:hAnsi="Times New Roman"/>
        </w:rPr>
        <w:t>make</w:t>
      </w:r>
      <w:r>
        <w:rPr>
          <w:rFonts w:ascii="Times New Roman" w:hAnsi="Times New Roman"/>
        </w:rPr>
        <w:t>s</w:t>
      </w:r>
      <w:r w:rsidRPr="004852ED">
        <w:rPr>
          <w:rFonts w:ascii="Times New Roman" w:hAnsi="Times New Roman"/>
        </w:rPr>
        <w:t xml:space="preserve"> it a useful and practical resource for examining agricultural land use change over time. However, as several </w:t>
      </w:r>
      <w:r>
        <w:rPr>
          <w:rFonts w:ascii="Times New Roman" w:hAnsi="Times New Roman"/>
        </w:rPr>
        <w:t xml:space="preserve">previous </w:t>
      </w:r>
      <w:r w:rsidRPr="004852ED">
        <w:rPr>
          <w:rFonts w:ascii="Times New Roman" w:hAnsi="Times New Roman"/>
        </w:rPr>
        <w:t xml:space="preserve">studies have noted, </w:t>
      </w:r>
      <w:r>
        <w:rPr>
          <w:rFonts w:ascii="Times New Roman" w:hAnsi="Times New Roman"/>
        </w:rPr>
        <w:t xml:space="preserve">variability </w:t>
      </w:r>
      <w:r w:rsidRPr="004852ED">
        <w:rPr>
          <w:rFonts w:ascii="Times New Roman" w:hAnsi="Times New Roman"/>
        </w:rPr>
        <w:t xml:space="preserve">in </w:t>
      </w:r>
      <w:r>
        <w:rPr>
          <w:rFonts w:ascii="Times New Roman" w:hAnsi="Times New Roman"/>
        </w:rPr>
        <w:t xml:space="preserve">sensor data, </w:t>
      </w:r>
      <w:r w:rsidRPr="004852ED">
        <w:rPr>
          <w:rFonts w:ascii="Times New Roman" w:hAnsi="Times New Roman"/>
        </w:rPr>
        <w:t>classification methodology</w:t>
      </w:r>
      <w:r>
        <w:rPr>
          <w:rFonts w:ascii="Times New Roman" w:hAnsi="Times New Roman"/>
        </w:rPr>
        <w:t>,</w:t>
      </w:r>
      <w:r w:rsidRPr="004852ED">
        <w:rPr>
          <w:rFonts w:ascii="Times New Roman" w:hAnsi="Times New Roman"/>
        </w:rPr>
        <w:t xml:space="preserve"> and accuracy are </w:t>
      </w:r>
      <w:r>
        <w:rPr>
          <w:rFonts w:ascii="Times New Roman" w:hAnsi="Times New Roman"/>
        </w:rPr>
        <w:t>major</w:t>
      </w:r>
      <w:r w:rsidRPr="004852ED">
        <w:rPr>
          <w:rFonts w:ascii="Times New Roman" w:hAnsi="Times New Roman"/>
        </w:rPr>
        <w:t xml:space="preserve"> drawbacks</w:t>
      </w:r>
      <w:r>
        <w:rPr>
          <w:rFonts w:ascii="Times New Roman" w:hAnsi="Times New Roman"/>
        </w:rPr>
        <w:t>. The effects of such inconsistencies on analyses are difficult to quantify.</w:t>
      </w:r>
      <w:r w:rsidRPr="004852ED">
        <w:rPr>
          <w:rFonts w:ascii="Times New Roman" w:hAnsi="Times New Roman"/>
        </w:rPr>
        <w:t xml:space="preserve"> </w:t>
      </w:r>
      <w:r>
        <w:rPr>
          <w:rFonts w:ascii="Times New Roman" w:hAnsi="Times New Roman"/>
        </w:rPr>
        <w:t>M</w:t>
      </w:r>
      <w:r w:rsidRPr="004852ED">
        <w:rPr>
          <w:rFonts w:ascii="Times New Roman" w:hAnsi="Times New Roman"/>
        </w:rPr>
        <w:t xml:space="preserve">ethods to </w:t>
      </w:r>
      <w:r>
        <w:rPr>
          <w:rFonts w:ascii="Times New Roman" w:hAnsi="Times New Roman"/>
        </w:rPr>
        <w:t>improve</w:t>
      </w:r>
      <w:r w:rsidRPr="004852ED">
        <w:rPr>
          <w:rFonts w:ascii="Times New Roman" w:hAnsi="Times New Roman"/>
        </w:rPr>
        <w:t xml:space="preserve"> accuracy and consistency </w:t>
      </w:r>
      <w:r>
        <w:rPr>
          <w:rFonts w:ascii="Times New Roman" w:hAnsi="Times New Roman"/>
        </w:rPr>
        <w:t xml:space="preserve">for analytical purposes </w:t>
      </w:r>
      <w:r w:rsidRPr="004852ED">
        <w:rPr>
          <w:rFonts w:ascii="Times New Roman" w:hAnsi="Times New Roman"/>
        </w:rPr>
        <w:t>have been developed, such as filtering and using USDA Common Land Units to define individual farms with common land covers</w:t>
      </w:r>
      <w:r>
        <w:rPr>
          <w:rFonts w:ascii="Times New Roman" w:hAnsi="Times New Roman"/>
        </w:rPr>
        <w:t xml:space="preserve"> (Kline et al. 2013, Sahajpal et al. 2014, Laingen 2015, Noe 2015, Stevens 2015, Reitsma et al. 2016)</w:t>
      </w:r>
      <w:r w:rsidRPr="004852ED">
        <w:rPr>
          <w:rFonts w:ascii="Times New Roman" w:hAnsi="Times New Roman"/>
        </w:rPr>
        <w:t xml:space="preserve">. We maintain the data’s raw format but aggregate classes into four groups: </w:t>
      </w:r>
      <w:r>
        <w:rPr>
          <w:rFonts w:ascii="Times New Roman" w:hAnsi="Times New Roman"/>
        </w:rPr>
        <w:t>all crops, spring</w:t>
      </w:r>
      <w:r w:rsidRPr="004852ED">
        <w:rPr>
          <w:rFonts w:ascii="Times New Roman" w:hAnsi="Times New Roman"/>
        </w:rPr>
        <w:t xml:space="preserve"> wheat,</w:t>
      </w:r>
      <w:r>
        <w:rPr>
          <w:rFonts w:ascii="Times New Roman" w:hAnsi="Times New Roman"/>
        </w:rPr>
        <w:t xml:space="preserve"> durum wheat, and fallow/idle.</w:t>
      </w:r>
      <w:r w:rsidRPr="0063583C">
        <w:rPr>
          <w:rFonts w:ascii="Times New Roman" w:hAnsi="Times New Roman"/>
        </w:rPr>
        <w:t xml:space="preserve"> </w:t>
      </w:r>
      <w:r>
        <w:rPr>
          <w:rFonts w:ascii="Times New Roman" w:hAnsi="Times New Roman"/>
        </w:rPr>
        <w:t>In our study area, spring and durum wheat are the dominant crop covers. Wheat classes, along with other major commodity crops such as corn, are classified with more accuracy relative to other crops (Laingen 2015).</w:t>
      </w:r>
    </w:p>
    <w:p w:rsidR="00951BA3" w:rsidRDefault="00951BA3" w:rsidP="00CB76C8">
      <w:pPr>
        <w:pStyle w:val="NoSpacing"/>
        <w:rPr>
          <w:rFonts w:ascii="Times New Roman" w:hAnsi="Times New Roman"/>
        </w:rPr>
      </w:pPr>
    </w:p>
    <w:p w:rsidR="00951BA3" w:rsidRDefault="00951BA3" w:rsidP="00CB76C8">
      <w:pPr>
        <w:pStyle w:val="NoSpacing"/>
        <w:rPr>
          <w:rFonts w:ascii="Times New Roman" w:hAnsi="Times New Roman"/>
        </w:rPr>
      </w:pPr>
      <w:r w:rsidRPr="00AE1126">
        <w:rPr>
          <w:rFonts w:ascii="Times New Roman" w:hAnsi="Times New Roman"/>
        </w:rPr>
        <w:t xml:space="preserve">CDL categories included in the aggregate </w:t>
      </w:r>
      <w:r>
        <w:rPr>
          <w:rFonts w:ascii="Times New Roman" w:hAnsi="Times New Roman"/>
        </w:rPr>
        <w:t>“all c</w:t>
      </w:r>
      <w:r w:rsidRPr="00AE1126">
        <w:rPr>
          <w:rFonts w:ascii="Times New Roman" w:hAnsi="Times New Roman"/>
        </w:rPr>
        <w:t>rop</w:t>
      </w:r>
      <w:r>
        <w:rPr>
          <w:rFonts w:ascii="Times New Roman" w:hAnsi="Times New Roman"/>
        </w:rPr>
        <w:t>s”</w:t>
      </w:r>
      <w:r w:rsidRPr="00AE1126">
        <w:rPr>
          <w:rFonts w:ascii="Times New Roman" w:hAnsi="Times New Roman"/>
        </w:rPr>
        <w:t xml:space="preserve"> group include: Corn, Alfalfa, Apples, Cotton, Other Hay/Non Alfalfa, Grapes, Rice, Camelina, Christmas Trees, Sorghum, Buckwheat, Other Tree Crops, Soybeans, Sugarbeets, Citrus, Sunflower, Dry Beans, Pecans, Peanuts, Potatoes, Almonds, Tobacco, Other Crops, Walnuts, Sweet Corn,</w:t>
      </w:r>
      <w:r w:rsidRPr="00AE1126">
        <w:t xml:space="preserve"> </w:t>
      </w:r>
      <w:r w:rsidRPr="00AE1126">
        <w:rPr>
          <w:rFonts w:ascii="Times New Roman" w:hAnsi="Times New Roman"/>
        </w:rPr>
        <w:t>Sugarcane, Pears, Pop / ornamental Corn, Sweet Potatoes, Pistachios, Mint, Miscellaneous vegetables / fruits, Triticale, Barley, Watermelons, Carrots, Durum Wheat, Onions, Asparagus, Spring Wheat, Cucumbers, Garlic, Winter Wheat, Chickpeas, Cantaloupes, Other Small Grains, Lentils, Prunes, Double crop: Winter wheat and soybeans, Peas, Olives, Rye, Tomatoes, Oranges, Oats, Caneberries, Honeydew Melons, Millet, Hops, Broccoli, Speltz, Herbs, Peppers, Canola, Clover/Wildflowers, Pomegranates, Flaxseed, Sod/Grass Seed, Nectarines, Safflower, Switchgrass, Greens, Rapeseed, Cherries, Plums, Mustard, Peaches, and Strawberries.</w:t>
      </w:r>
    </w:p>
    <w:p w:rsidR="00951BA3" w:rsidRDefault="00951BA3" w:rsidP="00CB76C8">
      <w:pPr>
        <w:pStyle w:val="NoSpacing"/>
        <w:rPr>
          <w:rFonts w:ascii="Times New Roman" w:hAnsi="Times New Roman"/>
        </w:rPr>
      </w:pPr>
    </w:p>
    <w:p w:rsidR="00951BA3" w:rsidRPr="00AE1126" w:rsidRDefault="00951BA3" w:rsidP="00CB76C8">
      <w:pPr>
        <w:pStyle w:val="NoSpacing"/>
        <w:rPr>
          <w:rFonts w:ascii="Times New Roman" w:hAnsi="Times New Roman"/>
        </w:rPr>
      </w:pPr>
      <w:r w:rsidRPr="00E40A32">
        <w:rPr>
          <w:rFonts w:ascii="Times New Roman" w:hAnsi="Times New Roman"/>
        </w:rPr>
        <w:t xml:space="preserve">In the 2006 North Dakota CDL, there is no fallow/idle area. Because this is likely due to differences in classification processes across years, we drop 2006 from analyses of the fallow/idle category, resulting in about an 11 percent decrease in the sample </w:t>
      </w:r>
      <w:r>
        <w:rPr>
          <w:rFonts w:ascii="Times New Roman" w:hAnsi="Times New Roman"/>
        </w:rPr>
        <w:t xml:space="preserve">size </w:t>
      </w:r>
      <w:r w:rsidRPr="00E40A32">
        <w:rPr>
          <w:rFonts w:ascii="Times New Roman" w:hAnsi="Times New Roman"/>
        </w:rPr>
        <w:t>relative to crop-based regressions.</w:t>
      </w:r>
    </w:p>
    <w:p w:rsidR="00951BA3" w:rsidRDefault="00951BA3" w:rsidP="00CB76C8">
      <w:pPr>
        <w:pStyle w:val="NoSpacing"/>
        <w:rPr>
          <w:rFonts w:ascii="Times New Roman" w:hAnsi="Times New Roman"/>
        </w:rPr>
      </w:pPr>
      <w:r>
        <w:rPr>
          <w:rFonts w:ascii="Times New Roman" w:hAnsi="Times New Roman"/>
        </w:rPr>
        <w:t xml:space="preserve"> </w:t>
      </w:r>
    </w:p>
    <w:p w:rsidR="00951BA3" w:rsidRDefault="00951BA3" w:rsidP="00CB76C8">
      <w:pPr>
        <w:pStyle w:val="NoSpacing"/>
        <w:rPr>
          <w:rFonts w:ascii="Times New Roman" w:hAnsi="Times New Roman"/>
        </w:rPr>
      </w:pPr>
      <w:r w:rsidRPr="003264A4">
        <w:rPr>
          <w:rFonts w:ascii="Times New Roman" w:hAnsi="Times New Roman"/>
        </w:rPr>
        <w:t xml:space="preserve">For non-agricultural land cover, </w:t>
      </w:r>
      <w:r>
        <w:rPr>
          <w:rFonts w:ascii="Times New Roman" w:hAnsi="Times New Roman"/>
        </w:rPr>
        <w:t xml:space="preserve">CDL </w:t>
      </w:r>
      <w:r w:rsidRPr="003264A4">
        <w:rPr>
          <w:rFonts w:ascii="Times New Roman" w:hAnsi="Times New Roman"/>
        </w:rPr>
        <w:t xml:space="preserve">pixels are </w:t>
      </w:r>
      <w:r>
        <w:rPr>
          <w:rFonts w:ascii="Times New Roman" w:hAnsi="Times New Roman"/>
        </w:rPr>
        <w:t xml:space="preserve">classified using the most recent </w:t>
      </w:r>
      <w:r w:rsidRPr="003264A4">
        <w:rPr>
          <w:rFonts w:ascii="Times New Roman" w:hAnsi="Times New Roman"/>
        </w:rPr>
        <w:t xml:space="preserve">National Land Cover Database (NLCD) </w:t>
      </w:r>
      <w:r>
        <w:rPr>
          <w:rFonts w:ascii="Times New Roman" w:hAnsi="Times New Roman"/>
        </w:rPr>
        <w:t>as training data (USDA 2017)</w:t>
      </w:r>
      <w:r w:rsidRPr="003264A4">
        <w:rPr>
          <w:rFonts w:ascii="Times New Roman" w:hAnsi="Times New Roman"/>
        </w:rPr>
        <w:t>.</w:t>
      </w:r>
      <w:r>
        <w:rPr>
          <w:rFonts w:ascii="Times New Roman" w:hAnsi="Times New Roman"/>
        </w:rPr>
        <w:t xml:space="preserve"> Because the CDL is annual and the NLCD is not, non-agricultural land covers in the CDL lack temporal precision. For example, according to the CDL metadata, the 2013 </w:t>
      </w:r>
      <w:smartTag w:uri="urn:schemas-microsoft-com:office:smarttags" w:element="country-region">
        <w:r>
          <w:rPr>
            <w:rFonts w:ascii="Times New Roman" w:hAnsi="Times New Roman"/>
          </w:rPr>
          <w:t>North Dakota</w:t>
        </w:r>
      </w:smartTag>
      <w:r>
        <w:rPr>
          <w:rFonts w:ascii="Times New Roman" w:hAnsi="Times New Roman"/>
        </w:rPr>
        <w:t xml:space="preserve"> dataset was developed using the 2006 NLCD as training and validation data for non-agricultural land covers. As a result, </w:t>
      </w:r>
      <w:r w:rsidRPr="003264A4">
        <w:rPr>
          <w:rFonts w:ascii="Times New Roman" w:hAnsi="Times New Roman"/>
        </w:rPr>
        <w:t>we are unable to accurately analyze annual changes i</w:t>
      </w:r>
      <w:r>
        <w:rPr>
          <w:rFonts w:ascii="Times New Roman" w:hAnsi="Times New Roman"/>
        </w:rPr>
        <w:t xml:space="preserve">n non-agricultural land covers such as grassland, </w:t>
      </w:r>
      <w:r w:rsidRPr="003264A4">
        <w:rPr>
          <w:rFonts w:ascii="Times New Roman" w:hAnsi="Times New Roman"/>
        </w:rPr>
        <w:t xml:space="preserve">pasture, development, forests, and wetlands. </w:t>
      </w:r>
      <w:r>
        <w:rPr>
          <w:rFonts w:ascii="Times New Roman" w:hAnsi="Times New Roman"/>
        </w:rPr>
        <w:t>Furthermore, the “grassland/pasture” category</w:t>
      </w:r>
      <w:r w:rsidRPr="003264A4">
        <w:rPr>
          <w:rFonts w:ascii="Times New Roman" w:hAnsi="Times New Roman"/>
        </w:rPr>
        <w:t xml:space="preserve"> includes urban, grazing, and other types of grassland cover, and cannot be used for distinguishing agricultural pasture from meadows or wild rangelands</w:t>
      </w:r>
      <w:r>
        <w:rPr>
          <w:rFonts w:ascii="Times New Roman" w:hAnsi="Times New Roman"/>
        </w:rPr>
        <w:t xml:space="preserve"> (USDA 2017)</w:t>
      </w:r>
      <w:r w:rsidRPr="003264A4">
        <w:rPr>
          <w:rFonts w:ascii="Times New Roman" w:hAnsi="Times New Roman"/>
        </w:rPr>
        <w:t>.</w:t>
      </w:r>
    </w:p>
    <w:p w:rsidR="00951BA3" w:rsidRDefault="00951BA3" w:rsidP="00CB76C8">
      <w:pPr>
        <w:pStyle w:val="NoSpacing"/>
        <w:rPr>
          <w:rFonts w:ascii="Times New Roman" w:hAnsi="Times New Roman"/>
        </w:rPr>
      </w:pPr>
    </w:p>
    <w:p w:rsidR="00951BA3" w:rsidRDefault="00951BA3" w:rsidP="00DE39D9">
      <w:pPr>
        <w:pStyle w:val="NoSpacing"/>
        <w:rPr>
          <w:rFonts w:ascii="Times New Roman" w:hAnsi="Times New Roman"/>
        </w:rPr>
      </w:pPr>
      <w:r>
        <w:rPr>
          <w:rFonts w:ascii="Times New Roman" w:hAnsi="Times New Roman"/>
        </w:rPr>
        <w:t>Our spatial units of observation are 90 by 90 meter raster cells, generated to align with the CDL. Using the Tabulate Area tool in ArcGIS, we calculate the land cover area in each class per 90 by 90 meter spatial unit. Figure A1</w:t>
      </w:r>
      <w:r w:rsidRPr="001F5149">
        <w:rPr>
          <w:rFonts w:ascii="Times New Roman" w:hAnsi="Times New Roman"/>
        </w:rPr>
        <w:t xml:space="preserve"> </w:t>
      </w:r>
      <w:r>
        <w:rPr>
          <w:rFonts w:ascii="Times New Roman" w:hAnsi="Times New Roman"/>
        </w:rPr>
        <w:t xml:space="preserve">provides a visual example of how the CDL relates to our spatial units, with pink dots representing well locations. </w:t>
      </w:r>
    </w:p>
    <w:p w:rsidR="00951BA3" w:rsidRDefault="00951BA3" w:rsidP="00CB76C8">
      <w:pPr>
        <w:pStyle w:val="NoSpacing"/>
        <w:rPr>
          <w:rFonts w:ascii="Times New Roman" w:hAnsi="Times New Roman"/>
        </w:rPr>
      </w:pPr>
    </w:p>
    <w:p w:rsidR="00951BA3" w:rsidRPr="00537C18" w:rsidRDefault="00951BA3" w:rsidP="00CB76C8">
      <w:pPr>
        <w:pStyle w:val="NoSpacing"/>
        <w:rPr>
          <w:rFonts w:ascii="Times New Roman" w:hAnsi="Times New Roman"/>
          <w:b/>
        </w:rPr>
      </w:pPr>
      <w:r>
        <w:rPr>
          <w:rFonts w:ascii="Times New Roman" w:hAnsi="Times New Roman"/>
          <w:b/>
        </w:rPr>
        <w:t>Figure A1: Example of spatial observation units in relation to CDL cells and wells</w:t>
      </w:r>
    </w:p>
    <w:p w:rsidR="00951BA3" w:rsidRDefault="00951BA3" w:rsidP="00CB76C8">
      <w:pPr>
        <w:pStyle w:val="NoSpacing"/>
        <w:rPr>
          <w:rFonts w:ascii="Times New Roman" w:hAnsi="Times New Roman"/>
        </w:rPr>
      </w:pPr>
      <w:r w:rsidRPr="009B491E">
        <w:rPr>
          <w:rFonts w:ascii="Times New Roman" w:hAnsi="Times New Roman"/>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i1025" type="#_x0000_t75" style="width:68.25pt;height:75pt;visibility:visible">
            <v:imagedata r:id="rId6" o:title=""/>
          </v:shape>
        </w:pict>
      </w:r>
    </w:p>
    <w:p w:rsidR="00951BA3" w:rsidRDefault="00951BA3" w:rsidP="00CB76C8">
      <w:pPr>
        <w:pStyle w:val="NoSpacing"/>
        <w:rPr>
          <w:rFonts w:ascii="Times New Roman" w:hAnsi="Times New Roman"/>
          <w:i/>
        </w:rPr>
      </w:pPr>
    </w:p>
    <w:p w:rsidR="00951BA3" w:rsidRDefault="00951BA3" w:rsidP="00CB76C8">
      <w:pPr>
        <w:pStyle w:val="NoSpacing"/>
        <w:rPr>
          <w:rFonts w:ascii="Times New Roman" w:hAnsi="Times New Roman"/>
          <w:i/>
        </w:rPr>
      </w:pPr>
    </w:p>
    <w:p w:rsidR="00951BA3" w:rsidRPr="00432F2F" w:rsidRDefault="00951BA3" w:rsidP="00CB76C8">
      <w:pPr>
        <w:pStyle w:val="NoSpacing"/>
        <w:rPr>
          <w:rFonts w:ascii="Times New Roman" w:hAnsi="Times New Roman"/>
          <w:b/>
          <w:bCs/>
          <w:i/>
        </w:rPr>
      </w:pPr>
      <w:r w:rsidRPr="00432F2F">
        <w:rPr>
          <w:rFonts w:ascii="Times New Roman" w:hAnsi="Times New Roman"/>
          <w:b/>
          <w:bCs/>
          <w:i/>
        </w:rPr>
        <w:t>A.2. Identification of Wells and Well Pads Using DrillingInfo Data</w:t>
      </w:r>
    </w:p>
    <w:p w:rsidR="00951BA3" w:rsidRPr="00E40A32" w:rsidRDefault="00951BA3" w:rsidP="00CB76C8">
      <w:pPr>
        <w:pStyle w:val="NoSpacing"/>
        <w:rPr>
          <w:rFonts w:ascii="Times New Roman" w:hAnsi="Times New Roman"/>
        </w:rPr>
      </w:pPr>
    </w:p>
    <w:p w:rsidR="00951BA3" w:rsidRDefault="00951BA3" w:rsidP="00CB76C8">
      <w:pPr>
        <w:pStyle w:val="NoSpacing"/>
        <w:rPr>
          <w:rFonts w:ascii="Times New Roman" w:hAnsi="Times New Roman"/>
        </w:rPr>
      </w:pPr>
      <w:r w:rsidRPr="00E40A32">
        <w:rPr>
          <w:rFonts w:ascii="Times New Roman" w:hAnsi="Times New Roman"/>
        </w:rPr>
        <w:t xml:space="preserve">Wells with no reported production are likely to be wells that were planned but never began production, and thus do not represent actual disturbances to the landscape. We verified this by visually inspecting </w:t>
      </w:r>
      <w:r>
        <w:rPr>
          <w:rFonts w:ascii="Times New Roman" w:hAnsi="Times New Roman"/>
        </w:rPr>
        <w:t xml:space="preserve">USDA 2015 National Agriculture Imagery Program (NAIP) </w:t>
      </w:r>
      <w:r w:rsidRPr="00E40A32">
        <w:rPr>
          <w:rFonts w:ascii="Times New Roman" w:hAnsi="Times New Roman"/>
        </w:rPr>
        <w:t>aerial imagery in a sample of such observations</w:t>
      </w:r>
      <w:r>
        <w:rPr>
          <w:rFonts w:ascii="Times New Roman" w:hAnsi="Times New Roman"/>
        </w:rPr>
        <w:t xml:space="preserve"> (USDA 2015). We found that more than 80 percent of sites showed no indication of an active well pad or historical disturbance</w:t>
      </w:r>
      <w:r w:rsidRPr="00E40A32">
        <w:rPr>
          <w:rFonts w:ascii="Times New Roman" w:hAnsi="Times New Roman"/>
        </w:rPr>
        <w:t>.</w:t>
      </w:r>
    </w:p>
    <w:p w:rsidR="00951BA3" w:rsidRDefault="00951BA3" w:rsidP="00CB76C8">
      <w:pPr>
        <w:pStyle w:val="NoSpacing"/>
        <w:rPr>
          <w:rFonts w:ascii="Times New Roman" w:hAnsi="Times New Roman"/>
        </w:rPr>
      </w:pPr>
    </w:p>
    <w:p w:rsidR="00951BA3" w:rsidRPr="0041789B" w:rsidRDefault="00951BA3" w:rsidP="00257CE7">
      <w:pPr>
        <w:pStyle w:val="NoSpacing"/>
        <w:rPr>
          <w:rFonts w:ascii="Times New Roman" w:hAnsi="Times New Roman"/>
          <w:b/>
        </w:rPr>
      </w:pPr>
      <w:r w:rsidRPr="0041789B">
        <w:rPr>
          <w:rFonts w:ascii="Times New Roman" w:hAnsi="Times New Roman"/>
          <w:b/>
        </w:rPr>
        <w:t xml:space="preserve">Figure </w:t>
      </w:r>
      <w:r>
        <w:rPr>
          <w:rFonts w:ascii="Times New Roman" w:hAnsi="Times New Roman"/>
          <w:b/>
        </w:rPr>
        <w:t>A2</w:t>
      </w:r>
      <w:r w:rsidRPr="0041789B">
        <w:rPr>
          <w:rFonts w:ascii="Times New Roman" w:hAnsi="Times New Roman"/>
          <w:b/>
        </w:rPr>
        <w:t xml:space="preserve">: Example of </w:t>
      </w:r>
      <w:r>
        <w:rPr>
          <w:rFonts w:ascii="Times New Roman" w:hAnsi="Times New Roman"/>
          <w:b/>
        </w:rPr>
        <w:t xml:space="preserve">multiple </w:t>
      </w:r>
      <w:r w:rsidRPr="0041789B">
        <w:rPr>
          <w:rFonts w:ascii="Times New Roman" w:hAnsi="Times New Roman"/>
          <w:b/>
        </w:rPr>
        <w:t>wells sharing a single well pad</w:t>
      </w:r>
    </w:p>
    <w:p w:rsidR="00951BA3" w:rsidRDefault="00951BA3" w:rsidP="00257CE7">
      <w:pPr>
        <w:pStyle w:val="NoSpacing"/>
        <w:rPr>
          <w:rFonts w:ascii="Times New Roman" w:hAnsi="Times New Roman"/>
        </w:rPr>
      </w:pPr>
      <w:r w:rsidRPr="009B491E">
        <w:rPr>
          <w:rFonts w:ascii="Times New Roman" w:hAnsi="Times New Roman"/>
          <w:noProof/>
        </w:rPr>
        <w:pict>
          <v:shape id="Picture 2" o:spid="_x0000_i1026" type="#_x0000_t75" style="width:256.5pt;height:233.25pt;visibility:visible">
            <v:imagedata r:id="rId7" o:title=""/>
          </v:shape>
        </w:pict>
      </w:r>
    </w:p>
    <w:p w:rsidR="00951BA3" w:rsidRDefault="00951BA3" w:rsidP="00CB76C8">
      <w:pPr>
        <w:pStyle w:val="NoSpacing"/>
        <w:rPr>
          <w:rFonts w:ascii="Times New Roman" w:hAnsi="Times New Roman"/>
        </w:rPr>
      </w:pPr>
    </w:p>
    <w:p w:rsidR="00951BA3" w:rsidRPr="00AE1126" w:rsidRDefault="00951BA3" w:rsidP="00CB76C8">
      <w:pPr>
        <w:pStyle w:val="NoSpacing"/>
        <w:rPr>
          <w:rFonts w:ascii="Times New Roman" w:hAnsi="Times New Roman"/>
        </w:rPr>
      </w:pPr>
      <w:r>
        <w:rPr>
          <w:rFonts w:ascii="Times New Roman" w:hAnsi="Times New Roman"/>
        </w:rPr>
        <w:t>We also used NAIP imagery to establish a circular well pad footprint of about 3.2 acres, with a radius of 64 meters. This buffer size aggregates pads of nearby wells together if wells are within 128 meters of each other. We visually inspected aerial imagery at hundreds of well sites, comparing alternative buffer sizes, and found that 64 meters most frequently accurately represents the pad footprint, as well as the scale at which nearby wells are on common versus individual pads. Figure A2 illustrates an example. The white lines represent our 90 by 90 meter grid, the green triangles represent the locations of the wells provided by DrillingInfo, the blue 64 meter buffers represent well pads, and the NAIP imagery shows that the wells are located on a single well pad. Because the two wells are within 128 meters of each other, the buffers are merged and represent one well pad.</w:t>
      </w:r>
    </w:p>
    <w:p w:rsidR="00951BA3" w:rsidRDefault="00951BA3" w:rsidP="00CB76C8">
      <w:pPr>
        <w:pStyle w:val="NoSpacing"/>
        <w:rPr>
          <w:rFonts w:ascii="Times New Roman" w:hAnsi="Times New Roman"/>
          <w:b/>
        </w:rPr>
      </w:pPr>
    </w:p>
    <w:p w:rsidR="00951BA3" w:rsidRDefault="00951BA3" w:rsidP="00CB76C8">
      <w:pPr>
        <w:pStyle w:val="NoSpacing"/>
        <w:rPr>
          <w:rFonts w:ascii="Times New Roman" w:hAnsi="Times New Roman"/>
          <w:b/>
        </w:rPr>
      </w:pPr>
    </w:p>
    <w:p w:rsidR="00951BA3" w:rsidRPr="00257CE7" w:rsidRDefault="00951BA3" w:rsidP="00850BD3">
      <w:pPr>
        <w:rPr>
          <w:rFonts w:ascii="Times New Roman" w:hAnsi="Times New Roman"/>
          <w:b/>
          <w:sz w:val="24"/>
          <w:szCs w:val="24"/>
        </w:rPr>
      </w:pPr>
      <w:r w:rsidRPr="00684E36">
        <w:rPr>
          <w:rFonts w:ascii="Times New Roman" w:hAnsi="Times New Roman"/>
          <w:b/>
          <w:i/>
          <w:iCs/>
          <w:color w:val="000000"/>
          <w:sz w:val="24"/>
          <w:szCs w:val="24"/>
        </w:rPr>
        <w:t>A.</w:t>
      </w:r>
      <w:r>
        <w:rPr>
          <w:rFonts w:ascii="Times New Roman" w:hAnsi="Times New Roman"/>
          <w:b/>
          <w:i/>
          <w:iCs/>
          <w:color w:val="000000"/>
          <w:sz w:val="24"/>
          <w:szCs w:val="24"/>
        </w:rPr>
        <w:t>3</w:t>
      </w:r>
      <w:r w:rsidRPr="00684E36">
        <w:rPr>
          <w:rFonts w:ascii="Times New Roman" w:hAnsi="Times New Roman"/>
          <w:b/>
          <w:i/>
          <w:iCs/>
          <w:color w:val="000000"/>
          <w:sz w:val="24"/>
          <w:szCs w:val="24"/>
        </w:rPr>
        <w:t>. Average Cropland Values and Rental Rates Over Time</w:t>
      </w:r>
    </w:p>
    <w:p w:rsidR="00951BA3" w:rsidRPr="00850BD3" w:rsidRDefault="00951BA3" w:rsidP="00684E36">
      <w:pPr>
        <w:pStyle w:val="NoSpacing"/>
        <w:rPr>
          <w:rFonts w:ascii="Times New Roman" w:hAnsi="Times New Roman"/>
          <w:b/>
        </w:rPr>
      </w:pPr>
      <w:r w:rsidRPr="0041789B">
        <w:rPr>
          <w:rFonts w:ascii="Times New Roman" w:hAnsi="Times New Roman"/>
          <w:b/>
        </w:rPr>
        <w:t xml:space="preserve">Figure </w:t>
      </w:r>
      <w:r>
        <w:rPr>
          <w:rFonts w:ascii="Times New Roman" w:hAnsi="Times New Roman"/>
          <w:b/>
        </w:rPr>
        <w:t>A3</w:t>
      </w:r>
      <w:r w:rsidRPr="0041789B">
        <w:rPr>
          <w:rFonts w:ascii="Times New Roman" w:hAnsi="Times New Roman"/>
          <w:b/>
        </w:rPr>
        <w:t xml:space="preserve">: </w:t>
      </w:r>
      <w:r>
        <w:rPr>
          <w:rFonts w:ascii="Times New Roman" w:hAnsi="Times New Roman"/>
          <w:b/>
        </w:rPr>
        <w:t>Average cropland values and rental rates over time</w:t>
      </w:r>
    </w:p>
    <w:p w:rsidR="00951BA3" w:rsidRDefault="00951BA3" w:rsidP="00684E36">
      <w:pPr>
        <w:pStyle w:val="NoSpacing"/>
        <w:rPr>
          <w:rFonts w:ascii="Times New Roman" w:hAnsi="Times New Roman"/>
        </w:rPr>
      </w:pPr>
      <w:r w:rsidRPr="009B491E">
        <w:rPr>
          <w:noProof/>
          <w:color w:val="1F497D"/>
        </w:rPr>
        <w:pict>
          <v:shape id="Picture 5" o:spid="_x0000_i1027" type="#_x0000_t75" alt="cid:image002.png@01D59B10.A4D06340" style="width:213.75pt;height:132pt;visibility:visible">
            <v:imagedata r:id="rId8" r:href="rId9"/>
          </v:shape>
        </w:pict>
      </w:r>
      <w:r w:rsidRPr="003A4AF8">
        <w:rPr>
          <w:color w:val="1F497D"/>
        </w:rPr>
        <w:t xml:space="preserve"> </w:t>
      </w:r>
      <w:r w:rsidRPr="009B491E">
        <w:rPr>
          <w:noProof/>
          <w:color w:val="1F497D"/>
        </w:rPr>
        <w:pict>
          <v:shape id="Picture 7" o:spid="_x0000_i1028" type="#_x0000_t75" style="width:213pt;height:131.25pt;visibility:visible">
            <v:imagedata r:id="rId10" r:href="rId11"/>
          </v:shape>
        </w:pict>
      </w:r>
    </w:p>
    <w:p w:rsidR="00951BA3" w:rsidRDefault="00951BA3" w:rsidP="000525A1">
      <w:pPr>
        <w:rPr>
          <w:rFonts w:ascii="Times New Roman" w:hAnsi="Times New Roman"/>
          <w:b/>
          <w:color w:val="000000"/>
          <w:sz w:val="24"/>
          <w:szCs w:val="24"/>
        </w:rPr>
      </w:pPr>
    </w:p>
    <w:p w:rsidR="00951BA3" w:rsidRDefault="00951BA3" w:rsidP="00850BD3">
      <w:pPr>
        <w:pStyle w:val="NoSpacing"/>
        <w:rPr>
          <w:rFonts w:ascii="Times New Roman" w:hAnsi="Times New Roman"/>
          <w:b/>
          <w:bCs/>
          <w:i/>
        </w:rPr>
      </w:pPr>
      <w:r>
        <w:rPr>
          <w:rFonts w:ascii="Times New Roman" w:hAnsi="Times New Roman"/>
          <w:b/>
          <w:bCs/>
          <w:i/>
        </w:rPr>
        <w:t>A.4. Robustness Check: Specifications with 2 Annual Leads and 7 Annual Lags</w:t>
      </w:r>
    </w:p>
    <w:p w:rsidR="00951BA3" w:rsidRDefault="00951BA3" w:rsidP="00850BD3">
      <w:pPr>
        <w:pStyle w:val="NoSpacing"/>
        <w:rPr>
          <w:rFonts w:ascii="Times New Roman" w:hAnsi="Times New Roman"/>
        </w:rPr>
      </w:pPr>
    </w:p>
    <w:p w:rsidR="00951BA3" w:rsidRDefault="00951BA3" w:rsidP="00850BD3">
      <w:pPr>
        <w:pStyle w:val="NoSpacing"/>
        <w:rPr>
          <w:rFonts w:ascii="Times New Roman" w:hAnsi="Times New Roman"/>
        </w:rPr>
      </w:pPr>
      <w:r w:rsidRPr="009B491E">
        <w:rPr>
          <w:rFonts w:ascii="Times New Roman" w:hAnsi="Times New Roman"/>
          <w:noProof/>
        </w:rPr>
        <w:pict>
          <v:shape id="Picture 9" o:spid="_x0000_i1029" type="#_x0000_t75" style="width:214.5pt;height:138.75pt;visibility:visible">
            <v:imagedata r:id="rId12" o:title=""/>
          </v:shape>
        </w:pict>
      </w:r>
      <w:r w:rsidRPr="009B491E">
        <w:rPr>
          <w:rFonts w:ascii="Times New Roman" w:hAnsi="Times New Roman"/>
          <w:noProof/>
        </w:rPr>
        <w:pict>
          <v:shape id="Picture 11" o:spid="_x0000_i1030" type="#_x0000_t75" style="width:213.75pt;height:138.75pt;visibility:visible">
            <v:imagedata r:id="rId13" o:title=""/>
          </v:shape>
        </w:pict>
      </w:r>
    </w:p>
    <w:p w:rsidR="00951BA3" w:rsidRPr="00850BD3" w:rsidRDefault="00951BA3" w:rsidP="00850BD3">
      <w:pPr>
        <w:pStyle w:val="NoSpacing"/>
        <w:rPr>
          <w:rFonts w:ascii="Times New Roman" w:hAnsi="Times New Roman"/>
          <w:bCs/>
        </w:rPr>
      </w:pPr>
    </w:p>
    <w:p w:rsidR="00951BA3" w:rsidRDefault="00951BA3" w:rsidP="00850BD3">
      <w:pPr>
        <w:pStyle w:val="NoSpacing"/>
        <w:rPr>
          <w:rFonts w:ascii="Times New Roman" w:hAnsi="Times New Roman"/>
          <w:b/>
          <w:bCs/>
          <w:i/>
        </w:rPr>
      </w:pPr>
    </w:p>
    <w:p w:rsidR="00951BA3" w:rsidRPr="00432F2F" w:rsidRDefault="00951BA3" w:rsidP="00850BD3">
      <w:pPr>
        <w:pStyle w:val="NoSpacing"/>
        <w:rPr>
          <w:rFonts w:ascii="Times New Roman" w:hAnsi="Times New Roman"/>
          <w:b/>
          <w:bCs/>
          <w:i/>
        </w:rPr>
      </w:pPr>
      <w:r w:rsidRPr="00432F2F">
        <w:rPr>
          <w:rFonts w:ascii="Times New Roman" w:hAnsi="Times New Roman"/>
          <w:b/>
          <w:bCs/>
          <w:i/>
        </w:rPr>
        <w:t>A.</w:t>
      </w:r>
      <w:r>
        <w:rPr>
          <w:rFonts w:ascii="Times New Roman" w:hAnsi="Times New Roman"/>
          <w:b/>
          <w:bCs/>
          <w:i/>
        </w:rPr>
        <w:t>5</w:t>
      </w:r>
      <w:r w:rsidRPr="00432F2F">
        <w:rPr>
          <w:rFonts w:ascii="Times New Roman" w:hAnsi="Times New Roman"/>
          <w:b/>
          <w:bCs/>
          <w:i/>
        </w:rPr>
        <w:t>. Data Sources for Other Spatial Features</w:t>
      </w:r>
    </w:p>
    <w:p w:rsidR="00951BA3" w:rsidRPr="00E40A32" w:rsidRDefault="00951BA3" w:rsidP="00850BD3">
      <w:pPr>
        <w:pStyle w:val="NoSpacing"/>
        <w:rPr>
          <w:rFonts w:ascii="Times New Roman" w:hAnsi="Times New Roman"/>
        </w:rPr>
      </w:pPr>
    </w:p>
    <w:p w:rsidR="00951BA3" w:rsidRPr="00E40A32" w:rsidRDefault="00951BA3" w:rsidP="00850BD3">
      <w:pPr>
        <w:pStyle w:val="NoSpacing"/>
        <w:rPr>
          <w:rFonts w:ascii="Times New Roman" w:hAnsi="Times New Roman"/>
        </w:rPr>
      </w:pPr>
      <w:r w:rsidRPr="00E40A32">
        <w:rPr>
          <w:rFonts w:ascii="Times New Roman" w:hAnsi="Times New Roman"/>
        </w:rPr>
        <w:t>Water features were acquired through the US Geological Survey (USGS) National Hydrography Dataset version 10.1 f</w:t>
      </w:r>
      <w:r>
        <w:rPr>
          <w:rFonts w:ascii="Times New Roman" w:hAnsi="Times New Roman"/>
        </w:rPr>
        <w:t xml:space="preserve">or </w:t>
      </w:r>
      <w:smartTag w:uri="urn:schemas-microsoft-com:office:smarttags" w:element="country-region">
        <w:r>
          <w:rPr>
            <w:rFonts w:ascii="Times New Roman" w:hAnsi="Times New Roman"/>
          </w:rPr>
          <w:t>North Dakota</w:t>
        </w:r>
      </w:smartTag>
      <w:r>
        <w:rPr>
          <w:rFonts w:ascii="Times New Roman" w:hAnsi="Times New Roman"/>
        </w:rPr>
        <w:t xml:space="preserve"> (accessed 2016).</w:t>
      </w:r>
      <w:r w:rsidRPr="00E40A32">
        <w:rPr>
          <w:rFonts w:ascii="Times New Roman" w:hAnsi="Times New Roman"/>
        </w:rPr>
        <w:t xml:space="preserve"> Bakken </w:t>
      </w:r>
      <w:r>
        <w:rPr>
          <w:rFonts w:ascii="Times New Roman" w:hAnsi="Times New Roman"/>
        </w:rPr>
        <w:t>S</w:t>
      </w:r>
      <w:r w:rsidRPr="00E40A32">
        <w:rPr>
          <w:rFonts w:ascii="Times New Roman" w:hAnsi="Times New Roman"/>
        </w:rPr>
        <w:t xml:space="preserve">hale play boundaries </w:t>
      </w:r>
      <w:r>
        <w:rPr>
          <w:rFonts w:ascii="Times New Roman" w:hAnsi="Times New Roman"/>
        </w:rPr>
        <w:t xml:space="preserve">were </w:t>
      </w:r>
      <w:r w:rsidRPr="00E40A32">
        <w:rPr>
          <w:rFonts w:ascii="Times New Roman" w:hAnsi="Times New Roman"/>
        </w:rPr>
        <w:t>acquired from the US Energy Information Administration (EIA) 2015 U.S. S</w:t>
      </w:r>
      <w:r>
        <w:rPr>
          <w:rFonts w:ascii="Times New Roman" w:hAnsi="Times New Roman"/>
        </w:rPr>
        <w:t>hale Plays data (accessed 2016). P</w:t>
      </w:r>
      <w:r w:rsidRPr="00E40A32">
        <w:rPr>
          <w:rFonts w:ascii="Times New Roman" w:hAnsi="Times New Roman"/>
        </w:rPr>
        <w:t xml:space="preserve">rotected area data </w:t>
      </w:r>
      <w:r>
        <w:rPr>
          <w:rFonts w:ascii="Times New Roman" w:hAnsi="Times New Roman"/>
        </w:rPr>
        <w:t xml:space="preserve">were </w:t>
      </w:r>
      <w:r w:rsidRPr="00E40A32">
        <w:rPr>
          <w:rFonts w:ascii="Times New Roman" w:hAnsi="Times New Roman"/>
        </w:rPr>
        <w:t>acquired from the USGS Gap Analysis Prog</w:t>
      </w:r>
      <w:r>
        <w:rPr>
          <w:rFonts w:ascii="Times New Roman" w:hAnsi="Times New Roman"/>
        </w:rPr>
        <w:t>ram version 1.4 (accessed 2017). R</w:t>
      </w:r>
      <w:r w:rsidRPr="00E40A32">
        <w:rPr>
          <w:rFonts w:ascii="Times New Roman" w:hAnsi="Times New Roman"/>
        </w:rPr>
        <w:t xml:space="preserve">oad data </w:t>
      </w:r>
      <w:r>
        <w:rPr>
          <w:rFonts w:ascii="Times New Roman" w:hAnsi="Times New Roman"/>
        </w:rPr>
        <w:t xml:space="preserve">were </w:t>
      </w:r>
      <w:r w:rsidRPr="00E40A32">
        <w:rPr>
          <w:rFonts w:ascii="Times New Roman" w:hAnsi="Times New Roman"/>
        </w:rPr>
        <w:t>acquired from the US Census Bureau 2012 TIGER/Line</w:t>
      </w:r>
      <w:r>
        <w:rPr>
          <w:rFonts w:ascii="Times New Roman" w:hAnsi="Times New Roman"/>
        </w:rPr>
        <w:t>.</w:t>
      </w:r>
    </w:p>
    <w:p w:rsidR="00951BA3" w:rsidRDefault="00951BA3" w:rsidP="00850BD3">
      <w:pPr>
        <w:pStyle w:val="NoSpacing"/>
        <w:rPr>
          <w:rFonts w:ascii="Times New Roman" w:hAnsi="Times New Roman"/>
        </w:rPr>
      </w:pPr>
    </w:p>
    <w:p w:rsidR="00951BA3" w:rsidRDefault="00951BA3" w:rsidP="00850BD3">
      <w:pPr>
        <w:pStyle w:val="NoSpacing"/>
        <w:rPr>
          <w:rFonts w:ascii="Times New Roman" w:hAnsi="Times New Roman"/>
        </w:rPr>
      </w:pPr>
    </w:p>
    <w:p w:rsidR="00951BA3" w:rsidRPr="00432F2F" w:rsidRDefault="00951BA3" w:rsidP="00850BD3">
      <w:pPr>
        <w:pStyle w:val="NoSpacing"/>
        <w:rPr>
          <w:rFonts w:ascii="Times New Roman" w:hAnsi="Times New Roman"/>
          <w:b/>
          <w:bCs/>
          <w:i/>
        </w:rPr>
      </w:pPr>
      <w:r w:rsidRPr="00432F2F">
        <w:rPr>
          <w:rFonts w:ascii="Times New Roman" w:hAnsi="Times New Roman"/>
          <w:b/>
          <w:bCs/>
          <w:i/>
        </w:rPr>
        <w:t>A.</w:t>
      </w:r>
      <w:r>
        <w:rPr>
          <w:rFonts w:ascii="Times New Roman" w:hAnsi="Times New Roman"/>
          <w:b/>
          <w:bCs/>
          <w:i/>
        </w:rPr>
        <w:t>6</w:t>
      </w:r>
      <w:r w:rsidRPr="00432F2F">
        <w:rPr>
          <w:rFonts w:ascii="Times New Roman" w:hAnsi="Times New Roman"/>
          <w:b/>
          <w:bCs/>
          <w:i/>
        </w:rPr>
        <w:t>. Identification of Cells Covered by Wells or Well Pads</w:t>
      </w:r>
    </w:p>
    <w:p w:rsidR="00951BA3" w:rsidRDefault="00951BA3" w:rsidP="00850BD3">
      <w:pPr>
        <w:pStyle w:val="NoSpacing"/>
        <w:rPr>
          <w:rFonts w:ascii="Times New Roman" w:hAnsi="Times New Roman"/>
          <w:i/>
        </w:rPr>
      </w:pPr>
    </w:p>
    <w:p w:rsidR="00951BA3" w:rsidRDefault="00951BA3" w:rsidP="00850BD3">
      <w:pPr>
        <w:pStyle w:val="NoSpacing"/>
        <w:rPr>
          <w:rFonts w:ascii="Times New Roman" w:hAnsi="Times New Roman"/>
        </w:rPr>
      </w:pPr>
      <w:r w:rsidRPr="00936CB4">
        <w:rPr>
          <w:rFonts w:ascii="Times New Roman" w:hAnsi="Times New Roman"/>
        </w:rPr>
        <w:t>For each year</w:t>
      </w:r>
      <w:r w:rsidRPr="000B11B8">
        <w:rPr>
          <w:rFonts w:ascii="Times New Roman" w:hAnsi="Times New Roman"/>
        </w:rPr>
        <w:t xml:space="preserve">’s set of active wells and well pads, we intersect well points and </w:t>
      </w:r>
      <w:r>
        <w:rPr>
          <w:rFonts w:ascii="Times New Roman" w:hAnsi="Times New Roman"/>
        </w:rPr>
        <w:t xml:space="preserve">well </w:t>
      </w:r>
      <w:r w:rsidRPr="000B11B8">
        <w:rPr>
          <w:rFonts w:ascii="Times New Roman" w:hAnsi="Times New Roman"/>
        </w:rPr>
        <w:t xml:space="preserve">pads with </w:t>
      </w:r>
      <w:r>
        <w:rPr>
          <w:rFonts w:ascii="Times New Roman" w:hAnsi="Times New Roman"/>
        </w:rPr>
        <w:t>our spatial observation cell units</w:t>
      </w:r>
      <w:r w:rsidRPr="000B11B8">
        <w:rPr>
          <w:rFonts w:ascii="Times New Roman" w:hAnsi="Times New Roman"/>
        </w:rPr>
        <w:t xml:space="preserve">. The result is information on the proportion of cell area </w:t>
      </w:r>
      <w:r>
        <w:rPr>
          <w:rFonts w:ascii="Times New Roman" w:hAnsi="Times New Roman"/>
        </w:rPr>
        <w:t>covered</w:t>
      </w:r>
      <w:r w:rsidRPr="000B11B8">
        <w:rPr>
          <w:rFonts w:ascii="Times New Roman" w:hAnsi="Times New Roman"/>
        </w:rPr>
        <w:t xml:space="preserve"> by well pads and the number of wells on those pads.</w:t>
      </w:r>
      <w:r>
        <w:rPr>
          <w:rFonts w:ascii="Times New Roman" w:hAnsi="Times New Roman"/>
        </w:rPr>
        <w:t xml:space="preserve"> Well pad area is separated into “active” and “newly spudded” area by subtracting the previous year’s total active pad area from the current year. The difference represents the well pad area developed to accommodate newly spudded wells. In regressions which include both active and newly spudded pad area variables, the active pad area is the previous year’s area.</w:t>
      </w:r>
    </w:p>
    <w:p w:rsidR="00951BA3" w:rsidRDefault="00951BA3" w:rsidP="00E76393">
      <w:pPr>
        <w:pStyle w:val="NoSpacing"/>
        <w:rPr>
          <w:rFonts w:ascii="Times New Roman" w:hAnsi="Times New Roman"/>
          <w:b/>
        </w:rPr>
      </w:pPr>
    </w:p>
    <w:p w:rsidR="00951BA3" w:rsidRDefault="00951BA3" w:rsidP="00E76393">
      <w:pPr>
        <w:pStyle w:val="NoSpacing"/>
        <w:rPr>
          <w:rFonts w:ascii="Times New Roman" w:hAnsi="Times New Roman"/>
          <w:b/>
        </w:rPr>
      </w:pPr>
    </w:p>
    <w:p w:rsidR="00951BA3" w:rsidRPr="00E76393" w:rsidRDefault="00951BA3" w:rsidP="00E76393">
      <w:pPr>
        <w:pStyle w:val="NoSpacing"/>
        <w:rPr>
          <w:rFonts w:ascii="Times New Roman" w:hAnsi="Times New Roman"/>
          <w:b/>
        </w:rPr>
      </w:pPr>
      <w:r>
        <w:rPr>
          <w:rFonts w:ascii="Times New Roman" w:hAnsi="Times New Roman"/>
          <w:b/>
        </w:rPr>
        <w:t xml:space="preserve">Online Appendix </w:t>
      </w:r>
      <w:r w:rsidRPr="00E76393">
        <w:rPr>
          <w:rFonts w:ascii="Times New Roman" w:hAnsi="Times New Roman"/>
          <w:b/>
        </w:rPr>
        <w:t xml:space="preserve">References </w:t>
      </w:r>
    </w:p>
    <w:p w:rsidR="00951BA3" w:rsidRDefault="00951BA3" w:rsidP="00E76393">
      <w:pPr>
        <w:pStyle w:val="NoSpacing"/>
        <w:rPr>
          <w:rFonts w:ascii="Times New Roman" w:hAnsi="Times New Roman"/>
        </w:rPr>
      </w:pPr>
    </w:p>
    <w:p w:rsidR="00951BA3" w:rsidRDefault="00951BA3" w:rsidP="00E76393">
      <w:pPr>
        <w:pStyle w:val="NoSpacing"/>
        <w:rPr>
          <w:rFonts w:ascii="Times New Roman" w:hAnsi="Times New Roman"/>
        </w:rPr>
      </w:pPr>
      <w:r w:rsidRPr="00E76393">
        <w:rPr>
          <w:rFonts w:ascii="Times New Roman" w:hAnsi="Times New Roman"/>
        </w:rPr>
        <w:t xml:space="preserve">Kline, Keith L., Nagendra Singh, and Virginia H. Dale. “Cultivated hay and fallow/idle cropland confound analysis of grassland conversion in the </w:t>
      </w:r>
      <w:smartTag w:uri="urn:schemas-microsoft-com:office:smarttags" w:element="country-region">
        <w:r w:rsidRPr="00E76393">
          <w:rPr>
            <w:rFonts w:ascii="Times New Roman" w:hAnsi="Times New Roman"/>
          </w:rPr>
          <w:t>Western Corn Belt</w:t>
        </w:r>
      </w:smartTag>
      <w:r w:rsidRPr="00E76393">
        <w:rPr>
          <w:rFonts w:ascii="Times New Roman" w:hAnsi="Times New Roman"/>
        </w:rPr>
        <w:t xml:space="preserve">.” </w:t>
      </w:r>
      <w:r w:rsidRPr="00E76393">
        <w:rPr>
          <w:rFonts w:ascii="Times New Roman" w:hAnsi="Times New Roman"/>
          <w:i/>
        </w:rPr>
        <w:t xml:space="preserve">Proceedings of the </w:t>
      </w:r>
      <w:smartTag w:uri="urn:schemas-microsoft-com:office:smarttags" w:element="country-region">
        <w:smartTag w:uri="urn:schemas-microsoft-com:office:smarttags" w:element="country-region">
          <w:r w:rsidRPr="00E76393">
            <w:rPr>
              <w:rFonts w:ascii="Times New Roman" w:hAnsi="Times New Roman"/>
              <w:i/>
            </w:rPr>
            <w:t>National</w:t>
          </w:r>
        </w:smartTag>
        <w:r w:rsidRPr="00E76393">
          <w:rPr>
            <w:rFonts w:ascii="Times New Roman" w:hAnsi="Times New Roman"/>
            <w:i/>
          </w:rPr>
          <w:t xml:space="preserve"> </w:t>
        </w:r>
        <w:smartTag w:uri="urn:schemas-microsoft-com:office:smarttags" w:element="country-region">
          <w:r w:rsidRPr="00E76393">
            <w:rPr>
              <w:rFonts w:ascii="Times New Roman" w:hAnsi="Times New Roman"/>
              <w:i/>
            </w:rPr>
            <w:t>Academy</w:t>
          </w:r>
        </w:smartTag>
      </w:smartTag>
      <w:r w:rsidRPr="00E76393">
        <w:rPr>
          <w:rFonts w:ascii="Times New Roman" w:hAnsi="Times New Roman"/>
          <w:i/>
        </w:rPr>
        <w:t xml:space="preserve"> of Sciences</w:t>
      </w:r>
      <w:r w:rsidRPr="00E76393">
        <w:rPr>
          <w:rFonts w:ascii="Times New Roman" w:hAnsi="Times New Roman"/>
        </w:rPr>
        <w:t xml:space="preserve"> 110, no. 31 (2013): E2863-E2863.</w:t>
      </w:r>
    </w:p>
    <w:p w:rsidR="00951BA3" w:rsidRPr="00E76393" w:rsidRDefault="00951BA3" w:rsidP="00E76393">
      <w:pPr>
        <w:pStyle w:val="NoSpacing"/>
        <w:rPr>
          <w:rFonts w:ascii="Times New Roman" w:hAnsi="Times New Roman"/>
        </w:rPr>
      </w:pPr>
    </w:p>
    <w:p w:rsidR="00951BA3" w:rsidRDefault="00951BA3" w:rsidP="00E76393">
      <w:pPr>
        <w:pStyle w:val="NoSpacing"/>
        <w:rPr>
          <w:rFonts w:ascii="Times New Roman" w:hAnsi="Times New Roman"/>
        </w:rPr>
      </w:pPr>
      <w:r w:rsidRPr="00E76393">
        <w:rPr>
          <w:rFonts w:ascii="Times New Roman" w:hAnsi="Times New Roman"/>
        </w:rPr>
        <w:t xml:space="preserve">Laingen, Chris. “Measuring cropland change: A cautionary tale.” </w:t>
      </w:r>
      <w:r w:rsidRPr="00E76393">
        <w:rPr>
          <w:rFonts w:ascii="Times New Roman" w:hAnsi="Times New Roman"/>
          <w:i/>
        </w:rPr>
        <w:t>Papers in Applied Geography</w:t>
      </w:r>
      <w:r w:rsidRPr="00E76393">
        <w:rPr>
          <w:rFonts w:ascii="Times New Roman" w:hAnsi="Times New Roman"/>
        </w:rPr>
        <w:t xml:space="preserve"> 1, no. 1 (2015): 65-72.</w:t>
      </w:r>
    </w:p>
    <w:p w:rsidR="00951BA3" w:rsidRPr="00E76393" w:rsidRDefault="00951BA3" w:rsidP="00E76393">
      <w:pPr>
        <w:pStyle w:val="NoSpacing"/>
        <w:rPr>
          <w:rFonts w:ascii="Times New Roman" w:hAnsi="Times New Roman"/>
        </w:rPr>
      </w:pPr>
    </w:p>
    <w:p w:rsidR="00951BA3" w:rsidRDefault="00951BA3" w:rsidP="00E76393">
      <w:pPr>
        <w:pStyle w:val="NoSpacing"/>
        <w:rPr>
          <w:rFonts w:ascii="Times New Roman" w:hAnsi="Times New Roman"/>
        </w:rPr>
      </w:pPr>
      <w:r w:rsidRPr="00E76393">
        <w:rPr>
          <w:rFonts w:ascii="Times New Roman" w:hAnsi="Times New Roman"/>
        </w:rPr>
        <w:t xml:space="preserve">Noe, Ryan R. </w:t>
      </w:r>
      <w:r w:rsidRPr="00E76393">
        <w:rPr>
          <w:rFonts w:ascii="Times New Roman" w:hAnsi="Times New Roman"/>
          <w:i/>
        </w:rPr>
        <w:t>Uncertainty in Cropland Data Layer derived land-use change estimates: putting corn and soy expansion estimates in context</w:t>
      </w:r>
      <w:r w:rsidRPr="00E76393">
        <w:rPr>
          <w:rFonts w:ascii="Times New Roman" w:hAnsi="Times New Roman"/>
        </w:rPr>
        <w:t xml:space="preserve">. </w:t>
      </w:r>
      <w:smartTag w:uri="urn:schemas-microsoft-com:office:smarttags" w:element="country-region">
        <w:smartTag w:uri="urn:schemas-microsoft-com:office:smarttags" w:element="country-region">
          <w:r w:rsidRPr="00E76393">
            <w:rPr>
              <w:rFonts w:ascii="Times New Roman" w:hAnsi="Times New Roman"/>
            </w:rPr>
            <w:t>University</w:t>
          </w:r>
        </w:smartTag>
        <w:r w:rsidRPr="00E76393">
          <w:rPr>
            <w:rFonts w:ascii="Times New Roman" w:hAnsi="Times New Roman"/>
          </w:rPr>
          <w:t xml:space="preserve"> of </w:t>
        </w:r>
        <w:smartTag w:uri="urn:schemas-microsoft-com:office:smarttags" w:element="country-region">
          <w:r w:rsidRPr="00E76393">
            <w:rPr>
              <w:rFonts w:ascii="Times New Roman" w:hAnsi="Times New Roman"/>
            </w:rPr>
            <w:t>Minnesota</w:t>
          </w:r>
        </w:smartTag>
      </w:smartTag>
      <w:r w:rsidRPr="00E76393">
        <w:rPr>
          <w:rFonts w:ascii="Times New Roman" w:hAnsi="Times New Roman"/>
        </w:rPr>
        <w:t>, 2015.</w:t>
      </w:r>
    </w:p>
    <w:p w:rsidR="00951BA3" w:rsidRPr="00E76393" w:rsidRDefault="00951BA3" w:rsidP="00E76393">
      <w:pPr>
        <w:pStyle w:val="NoSpacing"/>
        <w:rPr>
          <w:rFonts w:ascii="Times New Roman" w:hAnsi="Times New Roman"/>
        </w:rPr>
      </w:pPr>
    </w:p>
    <w:p w:rsidR="00951BA3" w:rsidRDefault="00951BA3" w:rsidP="00E76393">
      <w:pPr>
        <w:widowControl w:val="0"/>
        <w:autoSpaceDE w:val="0"/>
        <w:autoSpaceDN w:val="0"/>
        <w:adjustRightInd w:val="0"/>
        <w:spacing w:after="0" w:line="240" w:lineRule="auto"/>
        <w:rPr>
          <w:rFonts w:ascii="Times New Roman" w:hAnsi="Times New Roman"/>
          <w:sz w:val="24"/>
          <w:szCs w:val="24"/>
        </w:rPr>
      </w:pPr>
      <w:r w:rsidRPr="00E76393">
        <w:rPr>
          <w:rFonts w:ascii="Times New Roman" w:hAnsi="Times New Roman"/>
          <w:sz w:val="24"/>
          <w:szCs w:val="24"/>
        </w:rPr>
        <w:t xml:space="preserve">Reitsma, Kurtis D., David E. Clay, Sharon A. Clay, Barry H. Dunn, and Cheryl Reese. “Does the </w:t>
      </w:r>
      <w:smartTag w:uri="urn:schemas-microsoft-com:office:smarttags" w:element="country-region">
        <w:r w:rsidRPr="00E76393">
          <w:rPr>
            <w:rFonts w:ascii="Times New Roman" w:hAnsi="Times New Roman"/>
            <w:sz w:val="24"/>
            <w:szCs w:val="24"/>
          </w:rPr>
          <w:t>US</w:t>
        </w:r>
      </w:smartTag>
      <w:r w:rsidRPr="00E76393">
        <w:rPr>
          <w:rFonts w:ascii="Times New Roman" w:hAnsi="Times New Roman"/>
          <w:sz w:val="24"/>
          <w:szCs w:val="24"/>
        </w:rPr>
        <w:t xml:space="preserve"> cropland data layer provide an accurate benchmark for land-use change estimates?” </w:t>
      </w:r>
      <w:r w:rsidRPr="00E76393">
        <w:rPr>
          <w:rFonts w:ascii="Times New Roman" w:hAnsi="Times New Roman"/>
          <w:i/>
          <w:sz w:val="24"/>
          <w:szCs w:val="24"/>
        </w:rPr>
        <w:t>Agronomy Journal</w:t>
      </w:r>
      <w:r w:rsidRPr="00E76393">
        <w:rPr>
          <w:rFonts w:ascii="Times New Roman" w:hAnsi="Times New Roman"/>
          <w:sz w:val="24"/>
          <w:szCs w:val="24"/>
        </w:rPr>
        <w:t xml:space="preserve"> 108, no. 1 (2016): 266-272.</w:t>
      </w:r>
    </w:p>
    <w:p w:rsidR="00951BA3" w:rsidRPr="00E76393" w:rsidRDefault="00951BA3" w:rsidP="00E76393">
      <w:pPr>
        <w:widowControl w:val="0"/>
        <w:autoSpaceDE w:val="0"/>
        <w:autoSpaceDN w:val="0"/>
        <w:adjustRightInd w:val="0"/>
        <w:spacing w:after="0" w:line="240" w:lineRule="auto"/>
        <w:rPr>
          <w:rFonts w:ascii="Times New Roman" w:hAnsi="Times New Roman"/>
          <w:sz w:val="24"/>
          <w:szCs w:val="24"/>
        </w:rPr>
      </w:pPr>
    </w:p>
    <w:p w:rsidR="00951BA3" w:rsidRDefault="00951BA3" w:rsidP="00E76393">
      <w:pPr>
        <w:widowControl w:val="0"/>
        <w:autoSpaceDE w:val="0"/>
        <w:autoSpaceDN w:val="0"/>
        <w:adjustRightInd w:val="0"/>
        <w:spacing w:after="0" w:line="240" w:lineRule="auto"/>
        <w:rPr>
          <w:rFonts w:ascii="Times New Roman" w:hAnsi="Times New Roman"/>
          <w:sz w:val="24"/>
          <w:szCs w:val="24"/>
        </w:rPr>
      </w:pPr>
      <w:r w:rsidRPr="00E76393">
        <w:rPr>
          <w:rFonts w:ascii="Times New Roman" w:hAnsi="Times New Roman"/>
          <w:sz w:val="24"/>
          <w:szCs w:val="24"/>
        </w:rPr>
        <w:t xml:space="preserve">Sahajpal, Ritvik, Xuesong Zhang, Roberto C. Izaurralde, Ilya Gelfand, and George C. Hurtt. “Identifying representative crop rotation patterns and grassland loss in the US Western Corn Belt.” </w:t>
      </w:r>
      <w:r w:rsidRPr="00E76393">
        <w:rPr>
          <w:rFonts w:ascii="Times New Roman" w:hAnsi="Times New Roman"/>
          <w:i/>
          <w:sz w:val="24"/>
          <w:szCs w:val="24"/>
        </w:rPr>
        <w:t>Computers and Electronics in Agriculture</w:t>
      </w:r>
      <w:r w:rsidRPr="00E76393">
        <w:rPr>
          <w:rFonts w:ascii="Times New Roman" w:hAnsi="Times New Roman"/>
          <w:sz w:val="24"/>
          <w:szCs w:val="24"/>
        </w:rPr>
        <w:t xml:space="preserve"> 108 (2014): 173-182.</w:t>
      </w:r>
    </w:p>
    <w:p w:rsidR="00951BA3" w:rsidRPr="00E76393" w:rsidRDefault="00951BA3" w:rsidP="00E76393">
      <w:pPr>
        <w:widowControl w:val="0"/>
        <w:autoSpaceDE w:val="0"/>
        <w:autoSpaceDN w:val="0"/>
        <w:adjustRightInd w:val="0"/>
        <w:spacing w:after="0" w:line="240" w:lineRule="auto"/>
        <w:rPr>
          <w:rFonts w:ascii="Times New Roman" w:hAnsi="Times New Roman"/>
          <w:sz w:val="24"/>
          <w:szCs w:val="24"/>
        </w:rPr>
      </w:pPr>
    </w:p>
    <w:p w:rsidR="00951BA3" w:rsidRDefault="00951BA3" w:rsidP="00E76393">
      <w:pPr>
        <w:widowControl w:val="0"/>
        <w:autoSpaceDE w:val="0"/>
        <w:autoSpaceDN w:val="0"/>
        <w:adjustRightInd w:val="0"/>
        <w:spacing w:after="0" w:line="240" w:lineRule="auto"/>
        <w:rPr>
          <w:rFonts w:ascii="Times New Roman" w:hAnsi="Times New Roman"/>
          <w:sz w:val="24"/>
          <w:szCs w:val="24"/>
        </w:rPr>
      </w:pPr>
      <w:r w:rsidRPr="00E76393">
        <w:rPr>
          <w:rFonts w:ascii="Times New Roman" w:hAnsi="Times New Roman"/>
          <w:sz w:val="24"/>
          <w:szCs w:val="24"/>
        </w:rPr>
        <w:t xml:space="preserve">Stevens, Andrew. </w:t>
      </w:r>
      <w:r w:rsidRPr="00E76393">
        <w:rPr>
          <w:rFonts w:ascii="Times New Roman" w:hAnsi="Times New Roman"/>
          <w:i/>
          <w:sz w:val="24"/>
          <w:szCs w:val="24"/>
        </w:rPr>
        <w:t>Fueling Local Water Pollution: Ethanol Refineries, Land Use, and Nitrate Runoff</w:t>
      </w:r>
      <w:r w:rsidRPr="00E76393">
        <w:rPr>
          <w:rFonts w:ascii="Times New Roman" w:hAnsi="Times New Roman"/>
          <w:sz w:val="24"/>
          <w:szCs w:val="24"/>
        </w:rPr>
        <w:t>. 2015 AAEA &amp; WAEA Joint Annual Meeting, July 26-28, San Francisco, California, Agricultural and Applied Economics Association &amp; Western Agricultural Economics Association, 2015.</w:t>
      </w:r>
    </w:p>
    <w:p w:rsidR="00951BA3" w:rsidRDefault="00951BA3" w:rsidP="00E76393">
      <w:pPr>
        <w:widowControl w:val="0"/>
        <w:autoSpaceDE w:val="0"/>
        <w:autoSpaceDN w:val="0"/>
        <w:adjustRightInd w:val="0"/>
        <w:spacing w:after="0" w:line="240" w:lineRule="auto"/>
        <w:rPr>
          <w:rFonts w:ascii="Times New Roman" w:hAnsi="Times New Roman"/>
          <w:sz w:val="24"/>
          <w:szCs w:val="24"/>
        </w:rPr>
      </w:pPr>
    </w:p>
    <w:p w:rsidR="00951BA3" w:rsidRDefault="00951BA3" w:rsidP="00E76393">
      <w:pPr>
        <w:pStyle w:val="NoSpacing"/>
        <w:rPr>
          <w:rStyle w:val="Hyperlink"/>
          <w:rFonts w:ascii="Times New Roman" w:hAnsi="Times New Roman"/>
        </w:rPr>
      </w:pPr>
      <w:r w:rsidRPr="00E76393">
        <w:rPr>
          <w:rFonts w:ascii="Times New Roman" w:hAnsi="Times New Roman"/>
        </w:rPr>
        <w:t xml:space="preserve">USDA (United States Department of Agriculture). “CropScape and Cropland Data Layers: FAQ’s.” National Agricultural Statistics Service (NASS), 2017. </w:t>
      </w:r>
      <w:hyperlink r:id="rId14" w:history="1">
        <w:r w:rsidRPr="00E76393">
          <w:rPr>
            <w:rStyle w:val="Hyperlink"/>
            <w:rFonts w:ascii="Times New Roman" w:hAnsi="Times New Roman"/>
          </w:rPr>
          <w:t>https://www.nass.usda.gov/Research_and_Science/Cropland/sarsfaqs2.php</w:t>
        </w:r>
      </w:hyperlink>
    </w:p>
    <w:p w:rsidR="00951BA3" w:rsidRPr="00E76393" w:rsidRDefault="00951BA3" w:rsidP="00E76393">
      <w:pPr>
        <w:pStyle w:val="NoSpacing"/>
        <w:rPr>
          <w:rFonts w:ascii="Times New Roman" w:hAnsi="Times New Roman"/>
        </w:rPr>
      </w:pPr>
    </w:p>
    <w:p w:rsidR="00951BA3" w:rsidRPr="00E76393" w:rsidRDefault="00951BA3" w:rsidP="00E76393">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USDA (</w:t>
      </w:r>
      <w:r w:rsidRPr="00CC02E1">
        <w:rPr>
          <w:rFonts w:ascii="Times New Roman" w:hAnsi="Times New Roman"/>
          <w:sz w:val="24"/>
          <w:szCs w:val="24"/>
        </w:rPr>
        <w:t>U</w:t>
      </w:r>
      <w:r>
        <w:rPr>
          <w:rFonts w:ascii="Times New Roman" w:hAnsi="Times New Roman"/>
          <w:sz w:val="24"/>
          <w:szCs w:val="24"/>
        </w:rPr>
        <w:t>nited States</w:t>
      </w:r>
      <w:r w:rsidRPr="00CC02E1">
        <w:rPr>
          <w:rFonts w:ascii="Times New Roman" w:hAnsi="Times New Roman"/>
          <w:sz w:val="24"/>
          <w:szCs w:val="24"/>
        </w:rPr>
        <w:t xml:space="preserve"> Department of Agriculture</w:t>
      </w:r>
      <w:r>
        <w:rPr>
          <w:rFonts w:ascii="Times New Roman" w:hAnsi="Times New Roman"/>
          <w:sz w:val="24"/>
          <w:szCs w:val="24"/>
        </w:rPr>
        <w:t>)</w:t>
      </w:r>
      <w:r w:rsidRPr="00CC02E1">
        <w:rPr>
          <w:rFonts w:ascii="Times New Roman" w:hAnsi="Times New Roman"/>
          <w:sz w:val="24"/>
          <w:szCs w:val="24"/>
        </w:rPr>
        <w:t xml:space="preserve">. Geospatial data gateway. Available at: </w:t>
      </w:r>
      <w:hyperlink r:id="rId15" w:history="1">
        <w:r w:rsidRPr="00CC02E1">
          <w:rPr>
            <w:rStyle w:val="Hyperlink"/>
            <w:rFonts w:ascii="Times New Roman" w:hAnsi="Times New Roman"/>
            <w:sz w:val="24"/>
            <w:szCs w:val="24"/>
          </w:rPr>
          <w:t>http://datagateway.nrcs.usda.gov</w:t>
        </w:r>
      </w:hyperlink>
      <w:r>
        <w:rPr>
          <w:rFonts w:ascii="Times New Roman" w:hAnsi="Times New Roman"/>
          <w:sz w:val="24"/>
          <w:szCs w:val="24"/>
        </w:rPr>
        <w:t>, 2015</w:t>
      </w:r>
      <w:r w:rsidRPr="00CC02E1">
        <w:rPr>
          <w:rFonts w:ascii="Times New Roman" w:hAnsi="Times New Roman"/>
          <w:sz w:val="24"/>
          <w:szCs w:val="24"/>
        </w:rPr>
        <w:t>. Accessed April 2017.</w:t>
      </w:r>
    </w:p>
    <w:sectPr w:rsidR="00951BA3" w:rsidRPr="00E76393" w:rsidSect="00CB76C8">
      <w:footerReference w:type="default" r:id="rId1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1BA3" w:rsidRDefault="00951BA3" w:rsidP="00AF49B7">
      <w:pPr>
        <w:spacing w:after="0" w:line="240" w:lineRule="auto"/>
      </w:pPr>
      <w:r>
        <w:separator/>
      </w:r>
    </w:p>
  </w:endnote>
  <w:endnote w:type="continuationSeparator" w:id="0">
    <w:p w:rsidR="00951BA3" w:rsidRDefault="00951BA3" w:rsidP="00AF49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altName w:val="Menlo Bold"/>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1BA3" w:rsidRPr="00AF14AB" w:rsidRDefault="00951BA3">
    <w:pPr>
      <w:pStyle w:val="Footer"/>
      <w:jc w:val="center"/>
      <w:rPr>
        <w:rFonts w:ascii="Times New Roman" w:hAnsi="Times New Roman"/>
      </w:rPr>
    </w:pPr>
    <w:r w:rsidRPr="00AF14AB">
      <w:rPr>
        <w:rFonts w:ascii="Times New Roman" w:hAnsi="Times New Roman"/>
      </w:rPr>
      <w:fldChar w:fldCharType="begin"/>
    </w:r>
    <w:r w:rsidRPr="00AF14AB">
      <w:rPr>
        <w:rFonts w:ascii="Times New Roman" w:hAnsi="Times New Roman"/>
      </w:rPr>
      <w:instrText xml:space="preserve"> PAGE   \* MERGEFORMAT </w:instrText>
    </w:r>
    <w:r w:rsidRPr="00AF14AB">
      <w:rPr>
        <w:rFonts w:ascii="Times New Roman" w:hAnsi="Times New Roman"/>
      </w:rPr>
      <w:fldChar w:fldCharType="separate"/>
    </w:r>
    <w:r>
      <w:rPr>
        <w:rFonts w:ascii="Times New Roman" w:hAnsi="Times New Roman"/>
        <w:noProof/>
      </w:rPr>
      <w:t>1</w:t>
    </w:r>
    <w:r w:rsidRPr="00AF14AB">
      <w:rPr>
        <w:rFonts w:ascii="Times New Roman" w:hAnsi="Times New Roman"/>
      </w:rPr>
      <w:fldChar w:fldCharType="end"/>
    </w:r>
  </w:p>
  <w:p w:rsidR="00951BA3" w:rsidRDefault="00951BA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1BA3" w:rsidRDefault="00951BA3" w:rsidP="00AF49B7">
      <w:pPr>
        <w:spacing w:after="0" w:line="240" w:lineRule="auto"/>
      </w:pPr>
      <w:r>
        <w:separator/>
      </w:r>
    </w:p>
  </w:footnote>
  <w:footnote w:type="continuationSeparator" w:id="0">
    <w:p w:rsidR="00951BA3" w:rsidRDefault="00951BA3" w:rsidP="00AF49B7">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051ED"/>
    <w:rsid w:val="0000307C"/>
    <w:rsid w:val="00010E1C"/>
    <w:rsid w:val="000154B4"/>
    <w:rsid w:val="00025722"/>
    <w:rsid w:val="000267D9"/>
    <w:rsid w:val="00034C67"/>
    <w:rsid w:val="00044820"/>
    <w:rsid w:val="00050A2E"/>
    <w:rsid w:val="000525A1"/>
    <w:rsid w:val="00060F4F"/>
    <w:rsid w:val="000713BA"/>
    <w:rsid w:val="000733F4"/>
    <w:rsid w:val="00080072"/>
    <w:rsid w:val="00085F4D"/>
    <w:rsid w:val="000A62E0"/>
    <w:rsid w:val="000B11B8"/>
    <w:rsid w:val="000B2054"/>
    <w:rsid w:val="000D1C80"/>
    <w:rsid w:val="000D2834"/>
    <w:rsid w:val="000D6C7F"/>
    <w:rsid w:val="000E3573"/>
    <w:rsid w:val="000E63BC"/>
    <w:rsid w:val="000F7E9B"/>
    <w:rsid w:val="0010116C"/>
    <w:rsid w:val="001011E4"/>
    <w:rsid w:val="0010160F"/>
    <w:rsid w:val="00110DED"/>
    <w:rsid w:val="00122651"/>
    <w:rsid w:val="00136BE6"/>
    <w:rsid w:val="0014648E"/>
    <w:rsid w:val="0015118C"/>
    <w:rsid w:val="00151496"/>
    <w:rsid w:val="0016012A"/>
    <w:rsid w:val="001719B3"/>
    <w:rsid w:val="00181267"/>
    <w:rsid w:val="0019417A"/>
    <w:rsid w:val="001A5A71"/>
    <w:rsid w:val="001A6D99"/>
    <w:rsid w:val="001A7038"/>
    <w:rsid w:val="001B0590"/>
    <w:rsid w:val="001B0625"/>
    <w:rsid w:val="001B66C1"/>
    <w:rsid w:val="001C0BB3"/>
    <w:rsid w:val="001D53A7"/>
    <w:rsid w:val="001F5149"/>
    <w:rsid w:val="0020333D"/>
    <w:rsid w:val="00212854"/>
    <w:rsid w:val="00217D85"/>
    <w:rsid w:val="00222125"/>
    <w:rsid w:val="00222B63"/>
    <w:rsid w:val="002358EB"/>
    <w:rsid w:val="00257CE7"/>
    <w:rsid w:val="00262607"/>
    <w:rsid w:val="00262614"/>
    <w:rsid w:val="002745CE"/>
    <w:rsid w:val="00275ED5"/>
    <w:rsid w:val="002774A5"/>
    <w:rsid w:val="00282175"/>
    <w:rsid w:val="002824FD"/>
    <w:rsid w:val="00285A24"/>
    <w:rsid w:val="00292980"/>
    <w:rsid w:val="002A7E79"/>
    <w:rsid w:val="002B0B5F"/>
    <w:rsid w:val="002C4ED7"/>
    <w:rsid w:val="002D0E8E"/>
    <w:rsid w:val="002D35D8"/>
    <w:rsid w:val="002E311E"/>
    <w:rsid w:val="00304A8B"/>
    <w:rsid w:val="00304A9F"/>
    <w:rsid w:val="003113E8"/>
    <w:rsid w:val="0032398E"/>
    <w:rsid w:val="003264A4"/>
    <w:rsid w:val="00342B65"/>
    <w:rsid w:val="003557BE"/>
    <w:rsid w:val="00360B92"/>
    <w:rsid w:val="003638F5"/>
    <w:rsid w:val="00383D15"/>
    <w:rsid w:val="00386FC6"/>
    <w:rsid w:val="00396A5B"/>
    <w:rsid w:val="003A3A4A"/>
    <w:rsid w:val="003A4AF8"/>
    <w:rsid w:val="003A7293"/>
    <w:rsid w:val="003B1796"/>
    <w:rsid w:val="003C419D"/>
    <w:rsid w:val="003D04C0"/>
    <w:rsid w:val="003D7256"/>
    <w:rsid w:val="003E78A1"/>
    <w:rsid w:val="003F3F07"/>
    <w:rsid w:val="003F74F6"/>
    <w:rsid w:val="0041789B"/>
    <w:rsid w:val="0042529A"/>
    <w:rsid w:val="00432A0F"/>
    <w:rsid w:val="00432F2F"/>
    <w:rsid w:val="004334C4"/>
    <w:rsid w:val="004341A3"/>
    <w:rsid w:val="004405AF"/>
    <w:rsid w:val="00442832"/>
    <w:rsid w:val="004468E9"/>
    <w:rsid w:val="004852ED"/>
    <w:rsid w:val="00492238"/>
    <w:rsid w:val="00494E25"/>
    <w:rsid w:val="004A15C4"/>
    <w:rsid w:val="004B4DBB"/>
    <w:rsid w:val="004C1F30"/>
    <w:rsid w:val="004C56C0"/>
    <w:rsid w:val="004C7340"/>
    <w:rsid w:val="004E6A12"/>
    <w:rsid w:val="004F1DE8"/>
    <w:rsid w:val="004F4048"/>
    <w:rsid w:val="004F4ACF"/>
    <w:rsid w:val="005051ED"/>
    <w:rsid w:val="00507693"/>
    <w:rsid w:val="00513715"/>
    <w:rsid w:val="00522EA4"/>
    <w:rsid w:val="00537C18"/>
    <w:rsid w:val="005465D9"/>
    <w:rsid w:val="00553C1D"/>
    <w:rsid w:val="00576E1D"/>
    <w:rsid w:val="005839F7"/>
    <w:rsid w:val="005924DE"/>
    <w:rsid w:val="00597779"/>
    <w:rsid w:val="005C5E80"/>
    <w:rsid w:val="005D473A"/>
    <w:rsid w:val="005E1B01"/>
    <w:rsid w:val="005F56EB"/>
    <w:rsid w:val="005F6236"/>
    <w:rsid w:val="00610579"/>
    <w:rsid w:val="00610771"/>
    <w:rsid w:val="00617FA6"/>
    <w:rsid w:val="006334F0"/>
    <w:rsid w:val="0063583C"/>
    <w:rsid w:val="00640BC5"/>
    <w:rsid w:val="0065092F"/>
    <w:rsid w:val="00652650"/>
    <w:rsid w:val="00666560"/>
    <w:rsid w:val="006732B6"/>
    <w:rsid w:val="006766E5"/>
    <w:rsid w:val="00680D4C"/>
    <w:rsid w:val="00684E36"/>
    <w:rsid w:val="00693315"/>
    <w:rsid w:val="00697745"/>
    <w:rsid w:val="006978DB"/>
    <w:rsid w:val="006A2555"/>
    <w:rsid w:val="006A2BE8"/>
    <w:rsid w:val="006B2515"/>
    <w:rsid w:val="006B74BD"/>
    <w:rsid w:val="006C65D2"/>
    <w:rsid w:val="006E16E7"/>
    <w:rsid w:val="00707D7B"/>
    <w:rsid w:val="0072493E"/>
    <w:rsid w:val="00746523"/>
    <w:rsid w:val="00750038"/>
    <w:rsid w:val="00752385"/>
    <w:rsid w:val="0075279E"/>
    <w:rsid w:val="00766D33"/>
    <w:rsid w:val="007676B3"/>
    <w:rsid w:val="007706F7"/>
    <w:rsid w:val="00770A05"/>
    <w:rsid w:val="00771306"/>
    <w:rsid w:val="007841F1"/>
    <w:rsid w:val="0078480B"/>
    <w:rsid w:val="0078793C"/>
    <w:rsid w:val="007940DF"/>
    <w:rsid w:val="007B2899"/>
    <w:rsid w:val="007D55DA"/>
    <w:rsid w:val="007E2363"/>
    <w:rsid w:val="007E4942"/>
    <w:rsid w:val="007F29D2"/>
    <w:rsid w:val="007F45EA"/>
    <w:rsid w:val="00814423"/>
    <w:rsid w:val="00821DA8"/>
    <w:rsid w:val="00845B71"/>
    <w:rsid w:val="00850BD3"/>
    <w:rsid w:val="00854CCB"/>
    <w:rsid w:val="008565DB"/>
    <w:rsid w:val="0088176B"/>
    <w:rsid w:val="00882978"/>
    <w:rsid w:val="00891A5B"/>
    <w:rsid w:val="00892C2C"/>
    <w:rsid w:val="008A71A6"/>
    <w:rsid w:val="008A7406"/>
    <w:rsid w:val="008C6B06"/>
    <w:rsid w:val="008D024F"/>
    <w:rsid w:val="008D5D48"/>
    <w:rsid w:val="008F38F9"/>
    <w:rsid w:val="008F6222"/>
    <w:rsid w:val="00912887"/>
    <w:rsid w:val="00913555"/>
    <w:rsid w:val="0091528D"/>
    <w:rsid w:val="00922ACD"/>
    <w:rsid w:val="00924DB1"/>
    <w:rsid w:val="00925E8F"/>
    <w:rsid w:val="00936CB4"/>
    <w:rsid w:val="00947905"/>
    <w:rsid w:val="00951BA3"/>
    <w:rsid w:val="00963170"/>
    <w:rsid w:val="00967ED1"/>
    <w:rsid w:val="00970D9B"/>
    <w:rsid w:val="009758D5"/>
    <w:rsid w:val="00986798"/>
    <w:rsid w:val="00995790"/>
    <w:rsid w:val="00997942"/>
    <w:rsid w:val="009B127E"/>
    <w:rsid w:val="009B491E"/>
    <w:rsid w:val="009C7756"/>
    <w:rsid w:val="009C7DD0"/>
    <w:rsid w:val="009D5787"/>
    <w:rsid w:val="009D5BD2"/>
    <w:rsid w:val="009D7240"/>
    <w:rsid w:val="009F7CCF"/>
    <w:rsid w:val="00A1300C"/>
    <w:rsid w:val="00A17666"/>
    <w:rsid w:val="00A25C44"/>
    <w:rsid w:val="00A40A63"/>
    <w:rsid w:val="00A41678"/>
    <w:rsid w:val="00A42C6C"/>
    <w:rsid w:val="00A54A15"/>
    <w:rsid w:val="00A63CDB"/>
    <w:rsid w:val="00A70B18"/>
    <w:rsid w:val="00A942EB"/>
    <w:rsid w:val="00AB0A3D"/>
    <w:rsid w:val="00AE1126"/>
    <w:rsid w:val="00AE385A"/>
    <w:rsid w:val="00AF14AB"/>
    <w:rsid w:val="00AF4483"/>
    <w:rsid w:val="00AF49B7"/>
    <w:rsid w:val="00B00D0F"/>
    <w:rsid w:val="00B07F05"/>
    <w:rsid w:val="00B10C3C"/>
    <w:rsid w:val="00B119DF"/>
    <w:rsid w:val="00B135A2"/>
    <w:rsid w:val="00B15BD0"/>
    <w:rsid w:val="00B160C9"/>
    <w:rsid w:val="00B213BC"/>
    <w:rsid w:val="00B2268D"/>
    <w:rsid w:val="00B32695"/>
    <w:rsid w:val="00B33915"/>
    <w:rsid w:val="00B36DBF"/>
    <w:rsid w:val="00B45366"/>
    <w:rsid w:val="00B47491"/>
    <w:rsid w:val="00B52DC6"/>
    <w:rsid w:val="00B70AD0"/>
    <w:rsid w:val="00B72E2A"/>
    <w:rsid w:val="00B7498B"/>
    <w:rsid w:val="00B85162"/>
    <w:rsid w:val="00B91161"/>
    <w:rsid w:val="00B92532"/>
    <w:rsid w:val="00BA4DE8"/>
    <w:rsid w:val="00BA7611"/>
    <w:rsid w:val="00BB43F3"/>
    <w:rsid w:val="00BB7404"/>
    <w:rsid w:val="00BC0842"/>
    <w:rsid w:val="00BC1B74"/>
    <w:rsid w:val="00BD13D4"/>
    <w:rsid w:val="00BF0168"/>
    <w:rsid w:val="00BF0AD6"/>
    <w:rsid w:val="00BF2670"/>
    <w:rsid w:val="00BF6CC8"/>
    <w:rsid w:val="00C00837"/>
    <w:rsid w:val="00C23AE7"/>
    <w:rsid w:val="00C376C3"/>
    <w:rsid w:val="00C37721"/>
    <w:rsid w:val="00C56233"/>
    <w:rsid w:val="00C5646F"/>
    <w:rsid w:val="00C710A0"/>
    <w:rsid w:val="00C71A9A"/>
    <w:rsid w:val="00C74790"/>
    <w:rsid w:val="00C86980"/>
    <w:rsid w:val="00CA4A9D"/>
    <w:rsid w:val="00CA73BB"/>
    <w:rsid w:val="00CA7E8E"/>
    <w:rsid w:val="00CB0BA6"/>
    <w:rsid w:val="00CB76C8"/>
    <w:rsid w:val="00CC02E1"/>
    <w:rsid w:val="00CD7E0F"/>
    <w:rsid w:val="00CE484E"/>
    <w:rsid w:val="00CF3760"/>
    <w:rsid w:val="00CF6806"/>
    <w:rsid w:val="00D01344"/>
    <w:rsid w:val="00D01DAF"/>
    <w:rsid w:val="00D06B02"/>
    <w:rsid w:val="00D0798F"/>
    <w:rsid w:val="00D07ADC"/>
    <w:rsid w:val="00D1326F"/>
    <w:rsid w:val="00D20240"/>
    <w:rsid w:val="00D22E8D"/>
    <w:rsid w:val="00D3679F"/>
    <w:rsid w:val="00D3737C"/>
    <w:rsid w:val="00D551E6"/>
    <w:rsid w:val="00D62E81"/>
    <w:rsid w:val="00D63BA3"/>
    <w:rsid w:val="00D64DEE"/>
    <w:rsid w:val="00D71CD9"/>
    <w:rsid w:val="00D75382"/>
    <w:rsid w:val="00DA1F3B"/>
    <w:rsid w:val="00DA63A7"/>
    <w:rsid w:val="00DB1A6A"/>
    <w:rsid w:val="00DC0583"/>
    <w:rsid w:val="00DD67B8"/>
    <w:rsid w:val="00DE306D"/>
    <w:rsid w:val="00DE39D9"/>
    <w:rsid w:val="00DF7F76"/>
    <w:rsid w:val="00E11B69"/>
    <w:rsid w:val="00E11F7C"/>
    <w:rsid w:val="00E257E3"/>
    <w:rsid w:val="00E27144"/>
    <w:rsid w:val="00E27764"/>
    <w:rsid w:val="00E40A32"/>
    <w:rsid w:val="00E6305F"/>
    <w:rsid w:val="00E66764"/>
    <w:rsid w:val="00E74AFB"/>
    <w:rsid w:val="00E76393"/>
    <w:rsid w:val="00E80592"/>
    <w:rsid w:val="00E921A3"/>
    <w:rsid w:val="00E94E63"/>
    <w:rsid w:val="00E972A7"/>
    <w:rsid w:val="00EA3541"/>
    <w:rsid w:val="00ED5458"/>
    <w:rsid w:val="00EE52D8"/>
    <w:rsid w:val="00EE5E55"/>
    <w:rsid w:val="00EF1E29"/>
    <w:rsid w:val="00F05EAD"/>
    <w:rsid w:val="00F07363"/>
    <w:rsid w:val="00F36609"/>
    <w:rsid w:val="00F40F73"/>
    <w:rsid w:val="00F46567"/>
    <w:rsid w:val="00F65217"/>
    <w:rsid w:val="00F73D3C"/>
    <w:rsid w:val="00F7717E"/>
    <w:rsid w:val="00F81F07"/>
    <w:rsid w:val="00F8277A"/>
    <w:rsid w:val="00F8518C"/>
    <w:rsid w:val="00F94724"/>
    <w:rsid w:val="00FB22EF"/>
    <w:rsid w:val="00FB5626"/>
    <w:rsid w:val="00FC3AFA"/>
    <w:rsid w:val="00FC4851"/>
    <w:rsid w:val="00FD292D"/>
    <w:rsid w:val="00FD38F3"/>
    <w:rsid w:val="00FD76BB"/>
    <w:rsid w:val="00FE595E"/>
    <w:rsid w:val="00FF7B6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3F07"/>
    <w:pPr>
      <w:spacing w:after="160" w:line="259"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5051ED"/>
    <w:rPr>
      <w:sz w:val="24"/>
      <w:szCs w:val="24"/>
    </w:rPr>
  </w:style>
  <w:style w:type="character" w:styleId="Hyperlink">
    <w:name w:val="Hyperlink"/>
    <w:basedOn w:val="DefaultParagraphFont"/>
    <w:uiPriority w:val="99"/>
    <w:rsid w:val="005051ED"/>
    <w:rPr>
      <w:rFonts w:cs="Times New Roman"/>
      <w:color w:val="0563C1"/>
      <w:u w:val="single"/>
    </w:rPr>
  </w:style>
  <w:style w:type="paragraph" w:styleId="FootnoteText">
    <w:name w:val="footnote text"/>
    <w:basedOn w:val="Normal"/>
    <w:link w:val="FootnoteTextChar"/>
    <w:uiPriority w:val="99"/>
    <w:rsid w:val="00AF49B7"/>
    <w:pPr>
      <w:spacing w:after="0" w:line="240" w:lineRule="auto"/>
    </w:pPr>
    <w:rPr>
      <w:sz w:val="24"/>
      <w:szCs w:val="24"/>
    </w:rPr>
  </w:style>
  <w:style w:type="character" w:customStyle="1" w:styleId="FootnoteTextChar">
    <w:name w:val="Footnote Text Char"/>
    <w:basedOn w:val="DefaultParagraphFont"/>
    <w:link w:val="FootnoteText"/>
    <w:uiPriority w:val="99"/>
    <w:locked/>
    <w:rsid w:val="00AF49B7"/>
    <w:rPr>
      <w:rFonts w:cs="Times New Roman"/>
      <w:sz w:val="24"/>
      <w:szCs w:val="24"/>
    </w:rPr>
  </w:style>
  <w:style w:type="character" w:styleId="FootnoteReference">
    <w:name w:val="footnote reference"/>
    <w:basedOn w:val="DefaultParagraphFont"/>
    <w:uiPriority w:val="99"/>
    <w:rsid w:val="00AF49B7"/>
    <w:rPr>
      <w:rFonts w:cs="Times New Roman"/>
      <w:vertAlign w:val="superscript"/>
    </w:rPr>
  </w:style>
  <w:style w:type="character" w:styleId="CommentReference">
    <w:name w:val="annotation reference"/>
    <w:basedOn w:val="DefaultParagraphFont"/>
    <w:uiPriority w:val="99"/>
    <w:semiHidden/>
    <w:rsid w:val="00AF49B7"/>
    <w:rPr>
      <w:rFonts w:cs="Times New Roman"/>
      <w:sz w:val="18"/>
      <w:szCs w:val="18"/>
    </w:rPr>
  </w:style>
  <w:style w:type="paragraph" w:styleId="CommentText">
    <w:name w:val="annotation text"/>
    <w:basedOn w:val="Normal"/>
    <w:link w:val="CommentTextChar"/>
    <w:uiPriority w:val="99"/>
    <w:rsid w:val="00AF49B7"/>
    <w:pPr>
      <w:spacing w:after="0" w:line="240" w:lineRule="auto"/>
    </w:pPr>
    <w:rPr>
      <w:sz w:val="24"/>
      <w:szCs w:val="24"/>
    </w:rPr>
  </w:style>
  <w:style w:type="character" w:customStyle="1" w:styleId="CommentTextChar">
    <w:name w:val="Comment Text Char"/>
    <w:basedOn w:val="DefaultParagraphFont"/>
    <w:link w:val="CommentText"/>
    <w:uiPriority w:val="99"/>
    <w:locked/>
    <w:rsid w:val="00AF49B7"/>
    <w:rPr>
      <w:rFonts w:cs="Times New Roman"/>
      <w:sz w:val="24"/>
      <w:szCs w:val="24"/>
    </w:rPr>
  </w:style>
  <w:style w:type="table" w:styleId="TableGrid">
    <w:name w:val="Table Grid"/>
    <w:basedOn w:val="TableNormal"/>
    <w:uiPriority w:val="99"/>
    <w:rsid w:val="00AF49B7"/>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AF49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locked/>
    <w:rsid w:val="00AF49B7"/>
    <w:rPr>
      <w:rFonts w:ascii="Segoe UI" w:hAnsi="Segoe UI" w:cs="Segoe UI"/>
      <w:sz w:val="18"/>
      <w:szCs w:val="18"/>
    </w:rPr>
  </w:style>
  <w:style w:type="paragraph" w:styleId="Footer">
    <w:name w:val="footer"/>
    <w:basedOn w:val="Normal"/>
    <w:link w:val="FooterChar"/>
    <w:uiPriority w:val="99"/>
    <w:rsid w:val="00C71A9A"/>
    <w:pPr>
      <w:tabs>
        <w:tab w:val="center" w:pos="4680"/>
        <w:tab w:val="right" w:pos="9360"/>
      </w:tabs>
      <w:spacing w:after="0" w:line="240" w:lineRule="auto"/>
    </w:pPr>
    <w:rPr>
      <w:sz w:val="24"/>
      <w:szCs w:val="24"/>
    </w:rPr>
  </w:style>
  <w:style w:type="character" w:customStyle="1" w:styleId="FooterChar">
    <w:name w:val="Footer Char"/>
    <w:basedOn w:val="DefaultParagraphFont"/>
    <w:link w:val="Footer"/>
    <w:uiPriority w:val="99"/>
    <w:locked/>
    <w:rsid w:val="00C71A9A"/>
    <w:rPr>
      <w:rFonts w:cs="Times New Roman"/>
      <w:sz w:val="24"/>
      <w:szCs w:val="24"/>
    </w:rPr>
  </w:style>
  <w:style w:type="paragraph" w:styleId="Header">
    <w:name w:val="header"/>
    <w:basedOn w:val="Normal"/>
    <w:link w:val="HeaderChar"/>
    <w:uiPriority w:val="99"/>
    <w:rsid w:val="00610771"/>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610771"/>
    <w:rPr>
      <w:rFonts w:cs="Times New Roman"/>
    </w:rPr>
  </w:style>
  <w:style w:type="paragraph" w:styleId="CommentSubject">
    <w:name w:val="annotation subject"/>
    <w:basedOn w:val="CommentText"/>
    <w:next w:val="CommentText"/>
    <w:link w:val="CommentSubjectChar"/>
    <w:uiPriority w:val="99"/>
    <w:semiHidden/>
    <w:rsid w:val="001B66C1"/>
    <w:pPr>
      <w:spacing w:after="160"/>
    </w:pPr>
    <w:rPr>
      <w:b/>
      <w:bCs/>
      <w:sz w:val="20"/>
      <w:szCs w:val="20"/>
    </w:rPr>
  </w:style>
  <w:style w:type="character" w:customStyle="1" w:styleId="CommentSubjectChar">
    <w:name w:val="Comment Subject Char"/>
    <w:basedOn w:val="CommentTextChar"/>
    <w:link w:val="CommentSubject"/>
    <w:uiPriority w:val="99"/>
    <w:semiHidden/>
    <w:locked/>
    <w:rsid w:val="001B66C1"/>
    <w:rPr>
      <w:b/>
      <w:bCs/>
      <w:sz w:val="20"/>
      <w:szCs w:val="20"/>
    </w:rPr>
  </w:style>
  <w:style w:type="paragraph" w:styleId="Revision">
    <w:name w:val="Revision"/>
    <w:hidden/>
    <w:uiPriority w:val="99"/>
    <w:semiHidden/>
    <w:rsid w:val="00B47491"/>
  </w:style>
  <w:style w:type="character" w:styleId="LineNumber">
    <w:name w:val="line number"/>
    <w:basedOn w:val="DefaultParagraphFont"/>
    <w:uiPriority w:val="99"/>
    <w:semiHidden/>
    <w:rsid w:val="00B213BC"/>
    <w:rPr>
      <w:rFonts w:cs="Times New Roman"/>
    </w:rPr>
  </w:style>
  <w:style w:type="character" w:customStyle="1" w:styleId="UnresolvedMention1">
    <w:name w:val="Unresolved Mention1"/>
    <w:basedOn w:val="DefaultParagraphFont"/>
    <w:uiPriority w:val="99"/>
    <w:semiHidden/>
    <w:rsid w:val="007676B3"/>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2010213092">
      <w:marLeft w:val="0"/>
      <w:marRight w:val="0"/>
      <w:marTop w:val="0"/>
      <w:marBottom w:val="0"/>
      <w:divBdr>
        <w:top w:val="none" w:sz="0" w:space="0" w:color="auto"/>
        <w:left w:val="none" w:sz="0" w:space="0" w:color="auto"/>
        <w:bottom w:val="none" w:sz="0" w:space="0" w:color="auto"/>
        <w:right w:val="none" w:sz="0" w:space="0" w:color="auto"/>
      </w:divBdr>
    </w:div>
    <w:div w:id="2010213093">
      <w:marLeft w:val="0"/>
      <w:marRight w:val="0"/>
      <w:marTop w:val="0"/>
      <w:marBottom w:val="0"/>
      <w:divBdr>
        <w:top w:val="none" w:sz="0" w:space="0" w:color="auto"/>
        <w:left w:val="none" w:sz="0" w:space="0" w:color="auto"/>
        <w:bottom w:val="none" w:sz="0" w:space="0" w:color="auto"/>
        <w:right w:val="none" w:sz="0" w:space="0" w:color="auto"/>
      </w:divBdr>
    </w:div>
    <w:div w:id="201021309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cid:image001.png@01D59B10.A4D06340" TargetMode="External"/><Relationship Id="rId5" Type="http://schemas.openxmlformats.org/officeDocument/2006/relationships/endnotes" Target="endnotes.xml"/><Relationship Id="rId15" Type="http://schemas.openxmlformats.org/officeDocument/2006/relationships/hyperlink" Target="http://datagateway.nrcs.usda.gov" TargetMode="Externa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cid:image002.png@01D59B10.A4D06340" TargetMode="External"/><Relationship Id="rId14" Type="http://schemas.openxmlformats.org/officeDocument/2006/relationships/hyperlink" Target="https://www.nass.usda.gov/Research_and_Science/Cropland/sarsfaqs2.ph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10</TotalTime>
  <Pages>4</Pages>
  <Words>1233</Words>
  <Characters>7033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Kuwayama, Yusuke</dc:creator>
  <cp:keywords/>
  <dc:description/>
  <cp:lastModifiedBy>14925</cp:lastModifiedBy>
  <cp:revision>5</cp:revision>
  <cp:lastPrinted>2019-07-08T22:51:00Z</cp:lastPrinted>
  <dcterms:created xsi:type="dcterms:W3CDTF">2019-11-20T13:11:00Z</dcterms:created>
  <dcterms:modified xsi:type="dcterms:W3CDTF">2019-12-01T07:37:00Z</dcterms:modified>
</cp:coreProperties>
</file>