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005E" w:rsidRPr="00C560A4" w:rsidRDefault="003A005E" w:rsidP="003A005E">
      <w:pPr>
        <w:spacing w:line="480" w:lineRule="auto"/>
        <w:jc w:val="center"/>
        <w:rPr>
          <w:b/>
          <w:sz w:val="28"/>
        </w:rPr>
      </w:pPr>
      <w:r w:rsidRPr="00C560A4">
        <w:rPr>
          <w:b/>
          <w:sz w:val="28"/>
        </w:rPr>
        <w:t>Satellite Detection of Soil Moisture Related Impacts on Ecosystem Productivity using the MODIS-based Photochemical Reflectance Index</w:t>
      </w:r>
    </w:p>
    <w:p w:rsidR="003A005E" w:rsidRPr="00C560A4" w:rsidRDefault="003A005E" w:rsidP="003A005E">
      <w:pPr>
        <w:spacing w:after="360" w:line="480" w:lineRule="auto"/>
        <w:jc w:val="center"/>
        <w:rPr>
          <w:sz w:val="24"/>
          <w:szCs w:val="24"/>
        </w:rPr>
      </w:pPr>
      <w:r w:rsidRPr="00C560A4">
        <w:rPr>
          <w:sz w:val="24"/>
          <w:szCs w:val="24"/>
        </w:rPr>
        <w:t>Mingzhu He, John S. Kimball, Steven Running, Ashley Ballantyne, Kaiyu Guan, Fred Heummrich</w:t>
      </w:r>
      <w:bookmarkStart w:id="0" w:name="_GoBack"/>
      <w:bookmarkEnd w:id="0"/>
    </w:p>
    <w:p w:rsidR="00346FBA" w:rsidRDefault="00346FBA" w:rsidP="00A11AC9">
      <w:pPr>
        <w:spacing w:after="240" w:line="480" w:lineRule="auto"/>
      </w:pPr>
      <w:r w:rsidRPr="009062E9">
        <w:t>In this stu</w:t>
      </w:r>
      <w:r w:rsidR="009B7175">
        <w:t>dy, no atmospheric corrections we</w:t>
      </w:r>
      <w:r w:rsidRPr="009062E9">
        <w:t>re applied to the MODIS reflectance data. In order to clarify the impacts of atmospheric corrections on</w:t>
      </w:r>
      <w:r w:rsidR="009B7175">
        <w:t xml:space="preserve"> the</w:t>
      </w:r>
      <w:r w:rsidRPr="009062E9">
        <w:t xml:space="preserve"> PRI and</w:t>
      </w:r>
      <w:r w:rsidR="009B7175">
        <w:t xml:space="preserve"> associated TCF LUE model based</w:t>
      </w:r>
      <w:r w:rsidRPr="009062E9">
        <w:t xml:space="preserve"> GPP </w:t>
      </w:r>
      <w:r w:rsidR="009B7175">
        <w:t>calculations</w:t>
      </w:r>
      <w:r w:rsidRPr="009062E9">
        <w:t>,</w:t>
      </w:r>
      <w:r w:rsidR="009B7175">
        <w:t xml:space="preserve"> we evaluated alternative PRI records derived from</w:t>
      </w:r>
      <w:r w:rsidRPr="009062E9">
        <w:t xml:space="preserve"> the</w:t>
      </w:r>
      <w:r w:rsidR="009B7175">
        <w:t xml:space="preserve"> MODIS</w:t>
      </w:r>
      <w:r w:rsidRPr="009062E9">
        <w:t xml:space="preserve"> Multi</w:t>
      </w:r>
      <w:r w:rsidR="005277CB">
        <w:t>-</w:t>
      </w:r>
      <w:r w:rsidRPr="009062E9">
        <w:t>Angle Implimentation of Atmospheric Correction (MAIAC) data</w:t>
      </w:r>
      <w:r w:rsidR="009B7175">
        <w:t>set</w:t>
      </w:r>
      <w:r w:rsidRPr="009062E9">
        <w:t xml:space="preserve"> (Lyapustin et al. 2012)</w:t>
      </w:r>
      <w:r w:rsidR="009B7175">
        <w:t>.</w:t>
      </w:r>
      <w:r w:rsidRPr="009062E9">
        <w:t xml:space="preserve"> </w:t>
      </w:r>
      <w:r w:rsidR="009B7175">
        <w:t>The MAIAC based PRI records were used to derive GPP at the</w:t>
      </w:r>
      <w:r w:rsidRPr="009062E9">
        <w:t xml:space="preserve"> US-Ton, US-Dk2 and US-Me2 </w:t>
      </w:r>
      <w:r w:rsidR="009B7175">
        <w:t>tower sites and compared against the corresponding daily GPP</w:t>
      </w:r>
      <w:r w:rsidR="009B7175" w:rsidRPr="00384E74">
        <w:rPr>
          <w:vertAlign w:val="subscript"/>
        </w:rPr>
        <w:t>f</w:t>
      </w:r>
      <w:r w:rsidR="009B7175">
        <w:t xml:space="preserve"> observations</w:t>
      </w:r>
      <w:r w:rsidRPr="009062E9">
        <w:t xml:space="preserve">. There </w:t>
      </w:r>
      <w:r w:rsidR="009B7175">
        <w:t>we</w:t>
      </w:r>
      <w:r w:rsidRPr="009062E9">
        <w:t xml:space="preserve">re only 118, 25 and 32 </w:t>
      </w:r>
      <w:r w:rsidR="009B7175">
        <w:t>days with suitable</w:t>
      </w:r>
      <w:r w:rsidR="009B7175" w:rsidRPr="009062E9">
        <w:t xml:space="preserve"> </w:t>
      </w:r>
      <w:r w:rsidR="009B7175">
        <w:t xml:space="preserve">MAIAC </w:t>
      </w:r>
      <w:r w:rsidRPr="009062E9">
        <w:t xml:space="preserve">reflectance data </w:t>
      </w:r>
      <w:r w:rsidR="009B7175">
        <w:t>with</w:t>
      </w:r>
      <w:r w:rsidRPr="009062E9">
        <w:t xml:space="preserve"> zenith</w:t>
      </w:r>
      <w:r w:rsidR="009B7175">
        <w:t xml:space="preserve"> view</w:t>
      </w:r>
      <w:r w:rsidRPr="009062E9">
        <w:t xml:space="preserve"> angle</w:t>
      </w:r>
      <w:r w:rsidR="009B7175">
        <w:t>s</w:t>
      </w:r>
      <w:r w:rsidRPr="009062E9">
        <w:t xml:space="preserve"> less than 40</w:t>
      </w:r>
      <w:r w:rsidRPr="009062E9">
        <w:rPr>
          <w:vertAlign w:val="superscript"/>
        </w:rPr>
        <w:t>o</w:t>
      </w:r>
      <w:r w:rsidRPr="009062E9">
        <w:t xml:space="preserve"> for US-Ton, US-Dk2 and US-Me2 during the study period, respectively. However, </w:t>
      </w:r>
      <w:r w:rsidR="009B7175">
        <w:t xml:space="preserve">the </w:t>
      </w:r>
      <w:r w:rsidRPr="009062E9">
        <w:t xml:space="preserve">MODIS </w:t>
      </w:r>
      <w:r w:rsidR="009B7175">
        <w:t xml:space="preserve">sensor records from both </w:t>
      </w:r>
      <w:r w:rsidRPr="009062E9">
        <w:t>Terra</w:t>
      </w:r>
      <w:r w:rsidR="009B7175">
        <w:t xml:space="preserve"> and </w:t>
      </w:r>
      <w:r w:rsidRPr="009062E9">
        <w:t xml:space="preserve">Aqua </w:t>
      </w:r>
      <w:r w:rsidR="009B7175">
        <w:t xml:space="preserve">satellites </w:t>
      </w:r>
      <w:r w:rsidRPr="009062E9">
        <w:t>provide</w:t>
      </w:r>
      <w:r w:rsidR="005E76BB">
        <w:t>d</w:t>
      </w:r>
      <w:r w:rsidRPr="009062E9">
        <w:t xml:space="preserve"> 367, 476 and 331 </w:t>
      </w:r>
      <w:r w:rsidR="008E5B80">
        <w:t>days of suitable</w:t>
      </w:r>
      <w:r w:rsidR="008E5B80" w:rsidRPr="009062E9">
        <w:t xml:space="preserve"> </w:t>
      </w:r>
      <w:r w:rsidRPr="009062E9">
        <w:t>reflectance data for the corresponding sites</w:t>
      </w:r>
      <w:r w:rsidR="008E5B80">
        <w:t xml:space="preserve"> and study period</w:t>
      </w:r>
      <w:r w:rsidRPr="009062E9">
        <w:t>, which</w:t>
      </w:r>
      <w:r w:rsidR="008E5B80">
        <w:t xml:space="preserve"> </w:t>
      </w:r>
      <w:r w:rsidR="009C3504">
        <w:t xml:space="preserve">represents a </w:t>
      </w:r>
      <w:r w:rsidR="008E5B80">
        <w:t xml:space="preserve">more than </w:t>
      </w:r>
      <w:r w:rsidR="00384E74">
        <w:t>3</w:t>
      </w:r>
      <w:r w:rsidR="008E5B80">
        <w:t>-fold larger record than the available</w:t>
      </w:r>
      <w:r w:rsidRPr="009062E9">
        <w:t xml:space="preserve"> MAIAC data. </w:t>
      </w:r>
      <w:r w:rsidR="008E5B80">
        <w:t>The</w:t>
      </w:r>
      <w:r w:rsidRPr="009062E9">
        <w:t xml:space="preserve"> MAIAC data</w:t>
      </w:r>
      <w:r w:rsidR="008E5B80">
        <w:t>set also</w:t>
      </w:r>
      <w:r w:rsidRPr="009062E9">
        <w:t xml:space="preserve"> does</w:t>
      </w:r>
      <w:r w:rsidR="008E5B80">
        <w:t>n’t</w:t>
      </w:r>
      <w:r w:rsidRPr="009062E9">
        <w:t xml:space="preserve"> contain MODIS band 13 (662-672 nm) </w:t>
      </w:r>
      <w:r w:rsidR="008E5B80">
        <w:t>reflectance</w:t>
      </w:r>
      <w:r w:rsidR="009C3504">
        <w:t>s</w:t>
      </w:r>
      <w:r w:rsidR="008E5B80">
        <w:t>, which were found to provide superior reference conditions for deriving sPRI relative to other potential reference bands in this study.</w:t>
      </w:r>
      <w:r w:rsidR="008E5B80" w:rsidRPr="009062E9">
        <w:t xml:space="preserve"> </w:t>
      </w:r>
      <w:r w:rsidR="008E5B80">
        <w:t>The resulting</w:t>
      </w:r>
      <w:r w:rsidRPr="009062E9">
        <w:t xml:space="preserve"> </w:t>
      </w:r>
      <w:r w:rsidR="008E5B80">
        <w:t xml:space="preserve">MODIS </w:t>
      </w:r>
      <w:r w:rsidR="005449F7" w:rsidRPr="009062E9">
        <w:t xml:space="preserve">and </w:t>
      </w:r>
      <w:r w:rsidRPr="009062E9">
        <w:t xml:space="preserve">MAIAC </w:t>
      </w:r>
      <w:r w:rsidR="008E5B80">
        <w:t xml:space="preserve">standard sPRI records </w:t>
      </w:r>
      <w:r w:rsidR="00384E74">
        <w:t>(</w:t>
      </w:r>
      <w:r w:rsidR="00EC3C34">
        <w:t>using band</w:t>
      </w:r>
      <w:r w:rsidR="009C3504">
        <w:t>s</w:t>
      </w:r>
      <w:r w:rsidR="00EC3C34">
        <w:t xml:space="preserve"> 1, 4, 10</w:t>
      </w:r>
      <w:r w:rsidR="003F34E0">
        <w:t>,</w:t>
      </w:r>
      <w:r w:rsidR="00EC3C34">
        <w:t xml:space="preserve"> 12</w:t>
      </w:r>
      <w:r w:rsidR="003F34E0">
        <w:t xml:space="preserve"> and 13</w:t>
      </w:r>
      <w:r w:rsidR="00EC3C34">
        <w:t xml:space="preserve"> as reference bands</w:t>
      </w:r>
      <w:r w:rsidR="007B4BB1">
        <w:t xml:space="preserve"> to derive MODIS sPRI</w:t>
      </w:r>
      <w:r w:rsidR="00EC3C34">
        <w:t xml:space="preserve">, </w:t>
      </w:r>
      <w:r w:rsidR="007B4BB1">
        <w:t>while using band</w:t>
      </w:r>
      <w:r w:rsidR="009C3504">
        <w:t>s</w:t>
      </w:r>
      <w:r w:rsidR="007B4BB1">
        <w:t xml:space="preserve"> 1, 4, 10 and 12</w:t>
      </w:r>
      <w:r w:rsidR="004C0D26">
        <w:t xml:space="preserve"> </w:t>
      </w:r>
      <w:r w:rsidR="009C3504">
        <w:t xml:space="preserve">as references </w:t>
      </w:r>
      <w:r w:rsidR="004C0D26">
        <w:t>to derive</w:t>
      </w:r>
      <w:r w:rsidR="007B4BB1">
        <w:t xml:space="preserve"> </w:t>
      </w:r>
      <w:r w:rsidR="003B7D96">
        <w:t>MAIAC sPRI</w:t>
      </w:r>
      <w:r w:rsidR="007B4BB1">
        <w:t xml:space="preserve">, </w:t>
      </w:r>
      <w:r w:rsidR="00EC3C34">
        <w:t>respectively</w:t>
      </w:r>
      <w:r w:rsidR="00384E74">
        <w:t xml:space="preserve">) </w:t>
      </w:r>
      <w:r w:rsidR="008E5B80">
        <w:t>were compared against daily</w:t>
      </w:r>
      <w:r w:rsidRPr="009062E9">
        <w:t xml:space="preserve"> GPP</w:t>
      </w:r>
      <w:r w:rsidRPr="009062E9">
        <w:rPr>
          <w:vertAlign w:val="subscript"/>
        </w:rPr>
        <w:t>f</w:t>
      </w:r>
      <w:r w:rsidRPr="009062E9">
        <w:t xml:space="preserve"> </w:t>
      </w:r>
      <w:r w:rsidR="008E5B80">
        <w:t>observations at the selected tower sites</w:t>
      </w:r>
      <w:r w:rsidRPr="009062E9">
        <w:t xml:space="preserve">. </w:t>
      </w:r>
      <w:r w:rsidR="008E5B80">
        <w:t xml:space="preserve">These results </w:t>
      </w:r>
      <w:r w:rsidR="005E76BB">
        <w:t xml:space="preserve">are summarized in (Table S1) and </w:t>
      </w:r>
      <w:r w:rsidR="008E5B80">
        <w:t>indicate</w:t>
      </w:r>
      <w:r w:rsidRPr="009062E9">
        <w:t xml:space="preserve"> that</w:t>
      </w:r>
      <w:r w:rsidR="008E5B80">
        <w:t xml:space="preserve"> the</w:t>
      </w:r>
      <w:r w:rsidRPr="009062E9">
        <w:t xml:space="preserve"> </w:t>
      </w:r>
      <w:r w:rsidR="008E5B80">
        <w:t xml:space="preserve">standard </w:t>
      </w:r>
      <w:r w:rsidRPr="009062E9">
        <w:t xml:space="preserve">MODIS sPRI </w:t>
      </w:r>
      <w:r w:rsidR="008E5B80">
        <w:t>results</w:t>
      </w:r>
      <w:r w:rsidR="005E76BB">
        <w:t>, especially sPRI</w:t>
      </w:r>
      <w:r w:rsidR="005E76BB" w:rsidRPr="00384E74">
        <w:rPr>
          <w:vertAlign w:val="subscript"/>
        </w:rPr>
        <w:t>13</w:t>
      </w:r>
      <w:r w:rsidR="005E76BB">
        <w:t>,</w:t>
      </w:r>
      <w:r w:rsidR="008E5B80">
        <w:t xml:space="preserve"> </w:t>
      </w:r>
      <w:r w:rsidRPr="009062E9">
        <w:t>outperform</w:t>
      </w:r>
      <w:r w:rsidR="008E5B80">
        <w:t xml:space="preserve"> the </w:t>
      </w:r>
      <w:r w:rsidRPr="009062E9">
        <w:t>MAIAC-based sPRI</w:t>
      </w:r>
      <w:r w:rsidR="005E76BB">
        <w:t xml:space="preserve"> results</w:t>
      </w:r>
      <w:r w:rsidRPr="009062E9">
        <w:t xml:space="preserve">, </w:t>
      </w:r>
      <w:r w:rsidR="005E76BB">
        <w:t>with</w:t>
      </w:r>
      <w:r w:rsidRPr="009062E9">
        <w:t xml:space="preserve"> higher </w:t>
      </w:r>
      <w:r w:rsidR="005E76BB">
        <w:t>correspondence in relation to</w:t>
      </w:r>
      <w:r w:rsidRPr="009062E9">
        <w:t xml:space="preserve"> GPP</w:t>
      </w:r>
      <w:r w:rsidRPr="009062E9">
        <w:rPr>
          <w:vertAlign w:val="subscript"/>
        </w:rPr>
        <w:t>f</w:t>
      </w:r>
      <w:r w:rsidR="005E76BB">
        <w:t xml:space="preserve"> for the tower sites examined.</w:t>
      </w:r>
      <w:r w:rsidRPr="009062E9">
        <w:t xml:space="preserve"> </w:t>
      </w:r>
      <w:r w:rsidR="005E76BB">
        <w:t>These results are also consistent</w:t>
      </w:r>
      <w:r w:rsidRPr="009062E9">
        <w:t xml:space="preserve"> </w:t>
      </w:r>
      <w:r w:rsidR="005E76BB">
        <w:t xml:space="preserve">with </w:t>
      </w:r>
      <w:r w:rsidRPr="009062E9">
        <w:t>previous studies</w:t>
      </w:r>
      <w:r w:rsidR="005E76BB">
        <w:t xml:space="preserve"> indicating</w:t>
      </w:r>
      <w:r w:rsidRPr="009062E9">
        <w:t xml:space="preserve"> that </w:t>
      </w:r>
      <w:r w:rsidR="009C3504">
        <w:t xml:space="preserve">the </w:t>
      </w:r>
      <w:r w:rsidRPr="009062E9">
        <w:t>us</w:t>
      </w:r>
      <w:r w:rsidR="009C3504">
        <w:t>e of</w:t>
      </w:r>
      <w:r w:rsidRPr="009062E9">
        <w:t xml:space="preserve"> top-of-atmosphere reflectance </w:t>
      </w:r>
      <w:r w:rsidR="005E76BB">
        <w:t xml:space="preserve">can produce robust PRI metrics with </w:t>
      </w:r>
      <w:r w:rsidRPr="009062E9">
        <w:t xml:space="preserve">high </w:t>
      </w:r>
      <w:r w:rsidR="005E76BB">
        <w:t>correspondence to</w:t>
      </w:r>
      <w:r w:rsidRPr="009062E9">
        <w:t xml:space="preserve"> LUE (</w:t>
      </w:r>
      <w:r w:rsidR="005068D0">
        <w:t xml:space="preserve">Drolet et al. </w:t>
      </w:r>
      <w:r w:rsidR="005068D0">
        <w:lastRenderedPageBreak/>
        <w:t xml:space="preserve">2005; </w:t>
      </w:r>
      <w:r w:rsidRPr="009062E9">
        <w:t xml:space="preserve">Goerner et al. 2009, 2011; </w:t>
      </w:r>
      <w:bookmarkStart w:id="1" w:name="OLE_LINK5"/>
      <w:r w:rsidRPr="009062E9">
        <w:t>Moreno et al. 2012</w:t>
      </w:r>
      <w:bookmarkEnd w:id="1"/>
      <w:r w:rsidRPr="009062E9">
        <w:t xml:space="preserve">). </w:t>
      </w:r>
      <w:r w:rsidR="005E76BB">
        <w:t>The use of</w:t>
      </w:r>
      <w:r w:rsidRPr="009062E9">
        <w:t xml:space="preserve"> top-of-atmosphere reflectance</w:t>
      </w:r>
      <w:r w:rsidR="009C3504">
        <w:t>s</w:t>
      </w:r>
      <w:r w:rsidRPr="009062E9">
        <w:t xml:space="preserve"> also avoids the need for radiative transfer models to account for atmosphere scattering and absorption effects, which can impart substantial uncertainty to estimated surface reflectance (Goerner et al. 2009, 2011). </w:t>
      </w:r>
      <w:r w:rsidR="005E76BB">
        <w:t>The standard MODIS</w:t>
      </w:r>
      <w:r w:rsidRPr="009062E9">
        <w:t xml:space="preserve"> daily reflectance data </w:t>
      </w:r>
      <w:r w:rsidR="005E76BB">
        <w:t>also provide for a more extensive spatial and temporal PRI record relative to the smaller</w:t>
      </w:r>
      <w:r w:rsidRPr="009062E9">
        <w:t xml:space="preserve"> MAIAC </w:t>
      </w:r>
      <w:r w:rsidR="005E76BB">
        <w:t xml:space="preserve">record, allowing better characterization PRI and GPP spatial and seasonal variations. </w:t>
      </w:r>
      <w:r w:rsidRPr="009062E9">
        <w:t>Thus,</w:t>
      </w:r>
      <w:r w:rsidR="005E76BB">
        <w:t xml:space="preserve"> the standard</w:t>
      </w:r>
      <w:r w:rsidRPr="009062E9">
        <w:t xml:space="preserve"> MODIS top-of-atmosphere reflectance data </w:t>
      </w:r>
      <w:r w:rsidR="005E76BB">
        <w:t>was used to derive the PRI records used in this study.</w:t>
      </w:r>
      <w:r w:rsidR="005E76BB" w:rsidRPr="009062E9">
        <w:t xml:space="preserve"> </w:t>
      </w:r>
    </w:p>
    <w:p w:rsidR="00704CC3" w:rsidRDefault="0057348D" w:rsidP="004D4001">
      <w:pPr>
        <w:spacing w:after="120" w:line="480" w:lineRule="auto"/>
      </w:pPr>
      <w:r w:rsidRPr="009062E9">
        <w:t xml:space="preserve">Table </w:t>
      </w:r>
      <w:r w:rsidR="00006FDC">
        <w:t>S1.</w:t>
      </w:r>
      <w:r w:rsidRPr="009062E9">
        <w:t xml:space="preserve"> The </w:t>
      </w:r>
      <w:r>
        <w:t>relationships (R</w:t>
      </w:r>
      <w:r w:rsidRPr="00C93DA2">
        <w:rPr>
          <w:vertAlign w:val="superscript"/>
        </w:rPr>
        <w:t>2</w:t>
      </w:r>
      <w:r>
        <w:t>)</w:t>
      </w:r>
      <w:r w:rsidRPr="009062E9">
        <w:t xml:space="preserve"> of sPRI</w:t>
      </w:r>
      <w:r w:rsidRPr="009062E9">
        <w:rPr>
          <w:vertAlign w:val="subscript"/>
        </w:rPr>
        <w:t>1</w:t>
      </w:r>
      <w:r w:rsidRPr="009062E9">
        <w:t>, sPRI</w:t>
      </w:r>
      <w:r w:rsidRPr="009062E9">
        <w:rPr>
          <w:vertAlign w:val="subscript"/>
        </w:rPr>
        <w:t>4</w:t>
      </w:r>
      <w:r w:rsidRPr="009062E9">
        <w:t>, sPRI</w:t>
      </w:r>
      <w:r w:rsidRPr="009062E9">
        <w:rPr>
          <w:vertAlign w:val="subscript"/>
        </w:rPr>
        <w:t>10</w:t>
      </w:r>
      <w:r w:rsidRPr="009062E9">
        <w:t>, sPRI</w:t>
      </w:r>
      <w:r w:rsidRPr="009062E9">
        <w:rPr>
          <w:vertAlign w:val="subscript"/>
        </w:rPr>
        <w:t>12</w:t>
      </w:r>
      <w:r w:rsidRPr="009062E9">
        <w:t xml:space="preserve"> and sPRI</w:t>
      </w:r>
      <w:r w:rsidRPr="009062E9">
        <w:rPr>
          <w:vertAlign w:val="subscript"/>
        </w:rPr>
        <w:t>13</w:t>
      </w:r>
      <w:r w:rsidRPr="009062E9">
        <w:t xml:space="preserve"> </w:t>
      </w:r>
      <w:r>
        <w:t xml:space="preserve">(scaled PRI calculated </w:t>
      </w:r>
      <w:r w:rsidR="004C0D26">
        <w:t>using</w:t>
      </w:r>
      <w:r>
        <w:t xml:space="preserve"> bands 1, 4, 10, 12 and 13, res</w:t>
      </w:r>
      <w:r w:rsidR="003F7E67">
        <w:t>pectively)</w:t>
      </w:r>
      <w:r w:rsidR="00EE65C2">
        <w:t xml:space="preserve"> from MODIS and MAIAC </w:t>
      </w:r>
      <w:r w:rsidR="003F7E67">
        <w:t xml:space="preserve">reflectance </w:t>
      </w:r>
      <w:r w:rsidR="00EE65C2">
        <w:t xml:space="preserve">data </w:t>
      </w:r>
      <w:r w:rsidRPr="009062E9">
        <w:t>with tower</w:t>
      </w:r>
      <w:r>
        <w:t xml:space="preserve"> observed</w:t>
      </w:r>
      <w:r w:rsidRPr="009062E9">
        <w:t xml:space="preserve"> GPP </w:t>
      </w:r>
      <w:r>
        <w:t>(GPP</w:t>
      </w:r>
      <w:r w:rsidRPr="00CB25B4">
        <w:rPr>
          <w:vertAlign w:val="subscript"/>
        </w:rPr>
        <w:t>f</w:t>
      </w:r>
      <w:r>
        <w:t xml:space="preserve">) </w:t>
      </w:r>
      <w:r w:rsidRPr="009062E9">
        <w:t xml:space="preserve">across </w:t>
      </w:r>
      <w:r w:rsidR="004C0D26">
        <w:t xml:space="preserve">selected </w:t>
      </w:r>
      <w:r w:rsidR="009C3504">
        <w:t xml:space="preserve">CONUS </w:t>
      </w:r>
      <w:r w:rsidR="004C0D26">
        <w:t>tower sites</w:t>
      </w:r>
      <w:r w:rsidR="00EE65C2">
        <w:t>.</w:t>
      </w:r>
    </w:p>
    <w:tbl>
      <w:tblPr>
        <w:tblStyle w:val="LightShading"/>
        <w:tblW w:w="9600" w:type="dxa"/>
        <w:tblLook w:val="04A0" w:firstRow="1" w:lastRow="0" w:firstColumn="1" w:lastColumn="0" w:noHBand="0" w:noVBand="1"/>
      </w:tblPr>
      <w:tblGrid>
        <w:gridCol w:w="960"/>
        <w:gridCol w:w="953"/>
        <w:gridCol w:w="967"/>
        <w:gridCol w:w="953"/>
        <w:gridCol w:w="967"/>
        <w:gridCol w:w="953"/>
        <w:gridCol w:w="967"/>
        <w:gridCol w:w="953"/>
        <w:gridCol w:w="967"/>
        <w:gridCol w:w="960"/>
      </w:tblGrid>
      <w:tr w:rsidR="00F338D6" w:rsidRPr="00F338D6" w:rsidTr="004E07D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" w:type="dxa"/>
            <w:vMerge w:val="restart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rPr>
                <w:rFonts w:ascii="Calibri" w:eastAsia="Times New Roman" w:hAnsi="Calibri" w:cs="Times New Roman"/>
                <w:b w:val="0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b w:val="0"/>
                <w:color w:val="000000"/>
              </w:rPr>
              <w:t>Site</w:t>
            </w:r>
          </w:p>
        </w:tc>
        <w:tc>
          <w:tcPr>
            <w:tcW w:w="1920" w:type="dxa"/>
            <w:gridSpan w:val="2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 w:val="0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b w:val="0"/>
                <w:color w:val="000000"/>
              </w:rPr>
              <w:t>sPRI</w:t>
            </w:r>
            <w:r w:rsidRPr="00F338D6">
              <w:rPr>
                <w:rFonts w:ascii="Calibri" w:eastAsia="Times New Roman" w:hAnsi="Calibri" w:cs="Times New Roman"/>
                <w:b w:val="0"/>
                <w:color w:val="000000"/>
                <w:vertAlign w:val="subscript"/>
              </w:rPr>
              <w:t>1</w:t>
            </w:r>
          </w:p>
        </w:tc>
        <w:tc>
          <w:tcPr>
            <w:tcW w:w="1920" w:type="dxa"/>
            <w:gridSpan w:val="2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 w:val="0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b w:val="0"/>
                <w:color w:val="000000"/>
              </w:rPr>
              <w:t>sPRI</w:t>
            </w:r>
            <w:r w:rsidRPr="00F338D6">
              <w:rPr>
                <w:rFonts w:ascii="Calibri" w:eastAsia="Times New Roman" w:hAnsi="Calibri" w:cs="Times New Roman"/>
                <w:b w:val="0"/>
                <w:color w:val="000000"/>
                <w:vertAlign w:val="subscript"/>
              </w:rPr>
              <w:t>4</w:t>
            </w:r>
          </w:p>
        </w:tc>
        <w:tc>
          <w:tcPr>
            <w:tcW w:w="1920" w:type="dxa"/>
            <w:gridSpan w:val="2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 w:val="0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b w:val="0"/>
                <w:color w:val="000000"/>
              </w:rPr>
              <w:t>sPRI</w:t>
            </w:r>
            <w:r w:rsidRPr="00F338D6">
              <w:rPr>
                <w:rFonts w:ascii="Calibri" w:eastAsia="Times New Roman" w:hAnsi="Calibri" w:cs="Times New Roman"/>
                <w:b w:val="0"/>
                <w:color w:val="000000"/>
                <w:vertAlign w:val="subscript"/>
              </w:rPr>
              <w:t>10</w:t>
            </w:r>
          </w:p>
        </w:tc>
        <w:tc>
          <w:tcPr>
            <w:tcW w:w="1920" w:type="dxa"/>
            <w:gridSpan w:val="2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 w:val="0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b w:val="0"/>
                <w:color w:val="000000"/>
              </w:rPr>
              <w:t>sPRI</w:t>
            </w:r>
            <w:r w:rsidRPr="00F338D6">
              <w:rPr>
                <w:rFonts w:ascii="Calibri" w:eastAsia="Times New Roman" w:hAnsi="Calibri" w:cs="Times New Roman"/>
                <w:b w:val="0"/>
                <w:color w:val="000000"/>
                <w:vertAlign w:val="subscript"/>
              </w:rPr>
              <w:t>12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 w:val="0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b w:val="0"/>
                <w:color w:val="000000"/>
              </w:rPr>
              <w:t>sPRI</w:t>
            </w:r>
            <w:r w:rsidRPr="00F338D6">
              <w:rPr>
                <w:rFonts w:ascii="Calibri" w:eastAsia="Times New Roman" w:hAnsi="Calibri" w:cs="Times New Roman"/>
                <w:b w:val="0"/>
                <w:color w:val="000000"/>
                <w:vertAlign w:val="subscript"/>
              </w:rPr>
              <w:t>13</w:t>
            </w:r>
          </w:p>
        </w:tc>
      </w:tr>
      <w:tr w:rsidR="00F338D6" w:rsidRPr="00F338D6" w:rsidTr="004E07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" w:type="dxa"/>
            <w:vMerge/>
            <w:shd w:val="clear" w:color="auto" w:fill="auto"/>
            <w:vAlign w:val="center"/>
            <w:hideMark/>
          </w:tcPr>
          <w:p w:rsidR="00F338D6" w:rsidRPr="00F338D6" w:rsidRDefault="00F338D6" w:rsidP="004E07D3">
            <w:pPr>
              <w:jc w:val="center"/>
              <w:rPr>
                <w:rFonts w:ascii="Calibri" w:eastAsia="Times New Roman" w:hAnsi="Calibri" w:cs="Times New Roman"/>
                <w:b w:val="0"/>
                <w:color w:val="000000"/>
              </w:rPr>
            </w:pPr>
          </w:p>
        </w:tc>
        <w:tc>
          <w:tcPr>
            <w:tcW w:w="953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MAIAC</w:t>
            </w:r>
          </w:p>
        </w:tc>
        <w:tc>
          <w:tcPr>
            <w:tcW w:w="967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MODIS</w:t>
            </w:r>
          </w:p>
        </w:tc>
        <w:tc>
          <w:tcPr>
            <w:tcW w:w="953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MAIAC</w:t>
            </w:r>
          </w:p>
        </w:tc>
        <w:tc>
          <w:tcPr>
            <w:tcW w:w="967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MODIS</w:t>
            </w:r>
          </w:p>
        </w:tc>
        <w:tc>
          <w:tcPr>
            <w:tcW w:w="953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MAIAC</w:t>
            </w:r>
          </w:p>
        </w:tc>
        <w:tc>
          <w:tcPr>
            <w:tcW w:w="967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MODIS</w:t>
            </w:r>
          </w:p>
        </w:tc>
        <w:tc>
          <w:tcPr>
            <w:tcW w:w="953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MAIAC</w:t>
            </w:r>
          </w:p>
        </w:tc>
        <w:tc>
          <w:tcPr>
            <w:tcW w:w="967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MODIS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MODIS</w:t>
            </w:r>
          </w:p>
        </w:tc>
      </w:tr>
      <w:tr w:rsidR="00F338D6" w:rsidRPr="00F338D6" w:rsidTr="004E07D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rPr>
                <w:rFonts w:ascii="Calibri" w:eastAsia="Times New Roman" w:hAnsi="Calibri" w:cs="Times New Roman"/>
                <w:b w:val="0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b w:val="0"/>
                <w:color w:val="000000"/>
              </w:rPr>
              <w:t>US-Ton</w:t>
            </w:r>
          </w:p>
        </w:tc>
        <w:tc>
          <w:tcPr>
            <w:tcW w:w="953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0.052</w:t>
            </w:r>
          </w:p>
        </w:tc>
        <w:tc>
          <w:tcPr>
            <w:tcW w:w="967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0.220</w:t>
            </w:r>
          </w:p>
        </w:tc>
        <w:tc>
          <w:tcPr>
            <w:tcW w:w="953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0.007</w:t>
            </w:r>
          </w:p>
        </w:tc>
        <w:tc>
          <w:tcPr>
            <w:tcW w:w="967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0.001</w:t>
            </w:r>
          </w:p>
        </w:tc>
        <w:tc>
          <w:tcPr>
            <w:tcW w:w="953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0.001</w:t>
            </w:r>
          </w:p>
        </w:tc>
        <w:tc>
          <w:tcPr>
            <w:tcW w:w="967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0.199</w:t>
            </w:r>
          </w:p>
        </w:tc>
        <w:tc>
          <w:tcPr>
            <w:tcW w:w="953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0.008</w:t>
            </w:r>
          </w:p>
        </w:tc>
        <w:tc>
          <w:tcPr>
            <w:tcW w:w="967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0.087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0.317</w:t>
            </w:r>
          </w:p>
        </w:tc>
      </w:tr>
      <w:tr w:rsidR="00F338D6" w:rsidRPr="00F338D6" w:rsidTr="004E07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rPr>
                <w:rFonts w:ascii="Calibri" w:eastAsia="Times New Roman" w:hAnsi="Calibri" w:cs="Times New Roman"/>
                <w:b w:val="0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b w:val="0"/>
                <w:color w:val="000000"/>
              </w:rPr>
              <w:t>US-Dk2</w:t>
            </w:r>
          </w:p>
        </w:tc>
        <w:tc>
          <w:tcPr>
            <w:tcW w:w="953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0.015</w:t>
            </w:r>
          </w:p>
        </w:tc>
        <w:tc>
          <w:tcPr>
            <w:tcW w:w="967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0.083</w:t>
            </w:r>
          </w:p>
        </w:tc>
        <w:tc>
          <w:tcPr>
            <w:tcW w:w="953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0.415</w:t>
            </w:r>
          </w:p>
        </w:tc>
        <w:tc>
          <w:tcPr>
            <w:tcW w:w="967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0.089</w:t>
            </w:r>
          </w:p>
        </w:tc>
        <w:tc>
          <w:tcPr>
            <w:tcW w:w="953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0.259</w:t>
            </w:r>
          </w:p>
        </w:tc>
        <w:tc>
          <w:tcPr>
            <w:tcW w:w="967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0.472</w:t>
            </w:r>
          </w:p>
        </w:tc>
        <w:tc>
          <w:tcPr>
            <w:tcW w:w="953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0.081</w:t>
            </w:r>
          </w:p>
        </w:tc>
        <w:tc>
          <w:tcPr>
            <w:tcW w:w="967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0.035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0.756</w:t>
            </w:r>
          </w:p>
        </w:tc>
      </w:tr>
      <w:tr w:rsidR="00F338D6" w:rsidRPr="00F338D6" w:rsidTr="004E07D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rPr>
                <w:rFonts w:ascii="Calibri" w:eastAsia="Times New Roman" w:hAnsi="Calibri" w:cs="Times New Roman"/>
                <w:b w:val="0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b w:val="0"/>
                <w:color w:val="000000"/>
              </w:rPr>
              <w:t>US-Me2</w:t>
            </w:r>
          </w:p>
        </w:tc>
        <w:tc>
          <w:tcPr>
            <w:tcW w:w="953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0.014</w:t>
            </w:r>
          </w:p>
        </w:tc>
        <w:tc>
          <w:tcPr>
            <w:tcW w:w="967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0.581</w:t>
            </w:r>
          </w:p>
        </w:tc>
        <w:tc>
          <w:tcPr>
            <w:tcW w:w="953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0.011</w:t>
            </w:r>
          </w:p>
        </w:tc>
        <w:tc>
          <w:tcPr>
            <w:tcW w:w="967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0.807</w:t>
            </w:r>
          </w:p>
        </w:tc>
        <w:tc>
          <w:tcPr>
            <w:tcW w:w="953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0.089</w:t>
            </w:r>
          </w:p>
        </w:tc>
        <w:tc>
          <w:tcPr>
            <w:tcW w:w="967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0.878</w:t>
            </w:r>
          </w:p>
        </w:tc>
        <w:tc>
          <w:tcPr>
            <w:tcW w:w="953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0.109</w:t>
            </w:r>
          </w:p>
        </w:tc>
        <w:tc>
          <w:tcPr>
            <w:tcW w:w="967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0.282</w:t>
            </w:r>
          </w:p>
        </w:tc>
        <w:tc>
          <w:tcPr>
            <w:tcW w:w="960" w:type="dxa"/>
            <w:shd w:val="clear" w:color="auto" w:fill="auto"/>
            <w:noWrap/>
            <w:vAlign w:val="center"/>
            <w:hideMark/>
          </w:tcPr>
          <w:p w:rsidR="00F338D6" w:rsidRPr="00F338D6" w:rsidRDefault="00F338D6" w:rsidP="004E07D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</w:rPr>
            </w:pPr>
            <w:r w:rsidRPr="00F338D6">
              <w:rPr>
                <w:rFonts w:ascii="Calibri" w:eastAsia="Times New Roman" w:hAnsi="Calibri" w:cs="Times New Roman"/>
                <w:color w:val="000000"/>
              </w:rPr>
              <w:t>0.546</w:t>
            </w:r>
          </w:p>
        </w:tc>
      </w:tr>
    </w:tbl>
    <w:p w:rsidR="0073530E" w:rsidRDefault="00BB1A53" w:rsidP="00346FBA">
      <w:r>
        <w:br w:type="page"/>
      </w:r>
    </w:p>
    <w:p w:rsidR="00704CC3" w:rsidRPr="00261BC0" w:rsidRDefault="00704CC3" w:rsidP="00261BC0">
      <w:pPr>
        <w:pStyle w:val="Heading2"/>
        <w:spacing w:after="120" w:line="480" w:lineRule="auto"/>
        <w:rPr>
          <w:color w:val="auto"/>
        </w:rPr>
      </w:pPr>
      <w:r w:rsidRPr="00261BC0">
        <w:rPr>
          <w:color w:val="auto"/>
        </w:rPr>
        <w:lastRenderedPageBreak/>
        <w:t>References</w:t>
      </w:r>
    </w:p>
    <w:p w:rsidR="00773FE8" w:rsidRPr="00A11AC9" w:rsidRDefault="00773FE8" w:rsidP="004D4001">
      <w:pPr>
        <w:spacing w:after="0" w:line="480" w:lineRule="auto"/>
        <w:ind w:left="360" w:hanging="360"/>
      </w:pPr>
      <w:r w:rsidRPr="00A11AC9">
        <w:t>Lyapustin, A.I., Wang, Y., Laszlo, I., Hilker, T., Hall, F.G., Sellers, P.J., Tucker, C.J., and Korkin, S.V., 2012. Multi-angle implementation of atmospheric correction for MODIS (MAIAC): 3. Atmospheric correction. Remote Sensing of Environment, 127: 385-393.</w:t>
      </w:r>
    </w:p>
    <w:p w:rsidR="00141C9B" w:rsidRPr="00A11AC9" w:rsidRDefault="00141C9B" w:rsidP="004D4001">
      <w:pPr>
        <w:spacing w:after="0" w:line="480" w:lineRule="auto"/>
        <w:ind w:left="360" w:hanging="360"/>
      </w:pPr>
      <w:r w:rsidRPr="00A11AC9">
        <w:t>Drolet, G.G., Huemmrich, K.F., Hall, F.G., Middleton, E.M., Black, T.A., Barr, A.G., and Margolis, H.A., 2005. A MODIS-derived photochemical reflectance index to detect inter-annual variations in the photosynthetic light-use efficiency of a boreal deciduous forest. Remote Sensing of Environment, 98: 212-224.</w:t>
      </w:r>
    </w:p>
    <w:p w:rsidR="00141C9B" w:rsidRPr="00A11AC9" w:rsidRDefault="00141C9B" w:rsidP="004D4001">
      <w:pPr>
        <w:spacing w:after="0" w:line="480" w:lineRule="auto"/>
        <w:ind w:left="360" w:hanging="360"/>
      </w:pPr>
      <w:r w:rsidRPr="00A11AC9">
        <w:t>Goerner, A., Reichstein, M., and Rambal, S., 2009. Tracking seasonal drought effects on ecosystem light use efficiency with satellite-based PRI in a Mediterranean forest. Remote Sensing of Environment, 113: 1101-1111.</w:t>
      </w:r>
    </w:p>
    <w:p w:rsidR="00141C9B" w:rsidRPr="00A11AC9" w:rsidRDefault="00141C9B" w:rsidP="004D4001">
      <w:pPr>
        <w:spacing w:after="0" w:line="480" w:lineRule="auto"/>
        <w:ind w:left="360" w:hanging="360"/>
      </w:pPr>
      <w:r w:rsidRPr="00A11AC9">
        <w:t>Goerner, A., Reichstein, M., Tomelleri, E., Hanan, N., Rambal, S., Papale, D., Dragoni, D., and Schmullius, C., 2011. Remote sensing of ecosystem light use efficiency with MODIS-based PRI. Biogeosciences, 8: 189-202.</w:t>
      </w:r>
    </w:p>
    <w:p w:rsidR="00704CC3" w:rsidRPr="009062E9" w:rsidRDefault="00141C9B" w:rsidP="004D4001">
      <w:pPr>
        <w:spacing w:after="0" w:line="480" w:lineRule="auto"/>
        <w:ind w:left="360" w:hanging="360"/>
      </w:pPr>
      <w:r w:rsidRPr="00A11AC9">
        <w:t>Moreno, A., Maselli, F., Gilabert, M.A., Chiesi, M., Martinez, B., and Seufert, G., 2012. Assessment of MODIS imagery to track light-use efficiency in a water-limited Mediterranean pine forest. Remote Sensing of Environment, 123:359-367</w:t>
      </w:r>
      <w:r w:rsidR="009C3504">
        <w:t>.</w:t>
      </w:r>
    </w:p>
    <w:sectPr w:rsidR="00704CC3" w:rsidRPr="009062E9" w:rsidSect="000B3147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0229" w:rsidRDefault="00590229" w:rsidP="000B3147">
      <w:pPr>
        <w:spacing w:after="0" w:line="240" w:lineRule="auto"/>
      </w:pPr>
      <w:r>
        <w:separator/>
      </w:r>
    </w:p>
  </w:endnote>
  <w:endnote w:type="continuationSeparator" w:id="0">
    <w:p w:rsidR="00590229" w:rsidRDefault="00590229" w:rsidP="000B31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2897168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B3147" w:rsidRDefault="000B314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95217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0B3147" w:rsidRDefault="000B314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0229" w:rsidRDefault="00590229" w:rsidP="000B3147">
      <w:pPr>
        <w:spacing w:after="0" w:line="240" w:lineRule="auto"/>
      </w:pPr>
      <w:r>
        <w:separator/>
      </w:r>
    </w:p>
  </w:footnote>
  <w:footnote w:type="continuationSeparator" w:id="0">
    <w:p w:rsidR="00590229" w:rsidRDefault="00590229" w:rsidP="000B314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6FBA"/>
    <w:rsid w:val="00006FDC"/>
    <w:rsid w:val="000B3147"/>
    <w:rsid w:val="00141C9B"/>
    <w:rsid w:val="001F3E0A"/>
    <w:rsid w:val="001F544F"/>
    <w:rsid w:val="00257064"/>
    <w:rsid w:val="00261BC0"/>
    <w:rsid w:val="002F29A2"/>
    <w:rsid w:val="00346FBA"/>
    <w:rsid w:val="00384E74"/>
    <w:rsid w:val="003A005E"/>
    <w:rsid w:val="003B7D96"/>
    <w:rsid w:val="003F34E0"/>
    <w:rsid w:val="003F7E67"/>
    <w:rsid w:val="0044641F"/>
    <w:rsid w:val="004C0D26"/>
    <w:rsid w:val="004D4001"/>
    <w:rsid w:val="004E07D3"/>
    <w:rsid w:val="004E61E8"/>
    <w:rsid w:val="005068D0"/>
    <w:rsid w:val="005277CB"/>
    <w:rsid w:val="005449F7"/>
    <w:rsid w:val="0057348D"/>
    <w:rsid w:val="00586296"/>
    <w:rsid w:val="00590229"/>
    <w:rsid w:val="005C2D11"/>
    <w:rsid w:val="005E76BB"/>
    <w:rsid w:val="00634A57"/>
    <w:rsid w:val="006F57C0"/>
    <w:rsid w:val="00704CC3"/>
    <w:rsid w:val="0073530E"/>
    <w:rsid w:val="0075003E"/>
    <w:rsid w:val="00773FE8"/>
    <w:rsid w:val="007B4BB1"/>
    <w:rsid w:val="00842890"/>
    <w:rsid w:val="008E5B80"/>
    <w:rsid w:val="009017ED"/>
    <w:rsid w:val="00997EB6"/>
    <w:rsid w:val="009B7175"/>
    <w:rsid w:val="009C3504"/>
    <w:rsid w:val="009C451C"/>
    <w:rsid w:val="009D6F16"/>
    <w:rsid w:val="009F3E9F"/>
    <w:rsid w:val="00A10AEB"/>
    <w:rsid w:val="00A11AC9"/>
    <w:rsid w:val="00A3189F"/>
    <w:rsid w:val="00A40CDA"/>
    <w:rsid w:val="00B03F7B"/>
    <w:rsid w:val="00B83BD1"/>
    <w:rsid w:val="00BA49B4"/>
    <w:rsid w:val="00BB1A53"/>
    <w:rsid w:val="00C5031E"/>
    <w:rsid w:val="00CA2F68"/>
    <w:rsid w:val="00CC698E"/>
    <w:rsid w:val="00CD4DEC"/>
    <w:rsid w:val="00CF3BFD"/>
    <w:rsid w:val="00D95217"/>
    <w:rsid w:val="00DF7DDF"/>
    <w:rsid w:val="00EA2653"/>
    <w:rsid w:val="00EC3C34"/>
    <w:rsid w:val="00ED7D6A"/>
    <w:rsid w:val="00EE65C2"/>
    <w:rsid w:val="00F17179"/>
    <w:rsid w:val="00F338D6"/>
    <w:rsid w:val="00F6619C"/>
    <w:rsid w:val="00FC20E2"/>
    <w:rsid w:val="00FC6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8B03F84-5303-43DB-8F82-F1141044F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6FBA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1BC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B71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7175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E5B8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E5B8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E5B8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5B8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5B80"/>
    <w:rPr>
      <w:b/>
      <w:bCs/>
      <w:sz w:val="20"/>
      <w:szCs w:val="20"/>
    </w:rPr>
  </w:style>
  <w:style w:type="table" w:styleId="LightShading">
    <w:name w:val="Light Shading"/>
    <w:basedOn w:val="TableNormal"/>
    <w:uiPriority w:val="60"/>
    <w:rsid w:val="00F338D6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customStyle="1" w:styleId="Heading2Char">
    <w:name w:val="Heading 2 Char"/>
    <w:basedOn w:val="DefaultParagraphFont"/>
    <w:link w:val="Heading2"/>
    <w:uiPriority w:val="9"/>
    <w:rsid w:val="00261BC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LineNumber">
    <w:name w:val="line number"/>
    <w:basedOn w:val="DefaultParagraphFont"/>
    <w:uiPriority w:val="99"/>
    <w:semiHidden/>
    <w:unhideWhenUsed/>
    <w:rsid w:val="00BB1A53"/>
  </w:style>
  <w:style w:type="paragraph" w:styleId="Header">
    <w:name w:val="header"/>
    <w:basedOn w:val="Normal"/>
    <w:link w:val="HeaderChar"/>
    <w:uiPriority w:val="99"/>
    <w:unhideWhenUsed/>
    <w:rsid w:val="000B31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3147"/>
  </w:style>
  <w:style w:type="paragraph" w:styleId="Footer">
    <w:name w:val="footer"/>
    <w:basedOn w:val="Normal"/>
    <w:link w:val="FooterChar"/>
    <w:uiPriority w:val="99"/>
    <w:unhideWhenUsed/>
    <w:rsid w:val="000B31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31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72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678</Words>
  <Characters>3867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Mingzhu He</dc:creator>
  <cp:lastModifiedBy>User</cp:lastModifiedBy>
  <cp:revision>2</cp:revision>
  <dcterms:created xsi:type="dcterms:W3CDTF">2016-06-29T15:11:00Z</dcterms:created>
  <dcterms:modified xsi:type="dcterms:W3CDTF">2016-06-29T15:11:00Z</dcterms:modified>
</cp:coreProperties>
</file>