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F06D11" w14:textId="2D0AFD74" w:rsidR="00766D25" w:rsidRPr="00964075" w:rsidRDefault="00964075" w:rsidP="00766D25">
      <w:pPr>
        <w:pStyle w:val="Title"/>
        <w:rPr>
          <w:b/>
          <w:bCs/>
          <w:sz w:val="40"/>
          <w:szCs w:val="40"/>
        </w:rPr>
      </w:pPr>
      <w:r w:rsidRPr="00964075">
        <w:rPr>
          <w:b/>
          <w:bCs/>
          <w:sz w:val="40"/>
          <w:szCs w:val="40"/>
        </w:rPr>
        <w:t>Supp</w:t>
      </w:r>
      <w:r w:rsidR="00E41696">
        <w:rPr>
          <w:b/>
          <w:bCs/>
          <w:sz w:val="40"/>
          <w:szCs w:val="40"/>
        </w:rPr>
        <w:t>lementary</w:t>
      </w:r>
      <w:r w:rsidRPr="00964075">
        <w:rPr>
          <w:b/>
          <w:bCs/>
          <w:sz w:val="40"/>
          <w:szCs w:val="40"/>
        </w:rPr>
        <w:t xml:space="preserve"> Information</w:t>
      </w:r>
    </w:p>
    <w:p w14:paraId="3B0D76EC" w14:textId="77777777" w:rsidR="00766D25" w:rsidRDefault="00766D25" w:rsidP="00766D25">
      <w:pPr>
        <w:pStyle w:val="Title"/>
        <w:rPr>
          <w:sz w:val="40"/>
          <w:szCs w:val="40"/>
        </w:rPr>
      </w:pPr>
    </w:p>
    <w:p w14:paraId="7C7E4B24" w14:textId="4DB71556" w:rsidR="00E63965" w:rsidRPr="00E63965" w:rsidRDefault="00E63965" w:rsidP="00E63965">
      <w:pPr>
        <w:spacing w:after="0" w:line="480" w:lineRule="auto"/>
        <w:rPr>
          <w:rFonts w:ascii="Times New Roman" w:eastAsiaTheme="majorEastAsia" w:hAnsi="Times New Roman" w:cstheme="majorBidi"/>
          <w:spacing w:val="-10"/>
          <w:kern w:val="28"/>
          <w:sz w:val="44"/>
          <w:szCs w:val="56"/>
          <w14:ligatures w14:val="none"/>
        </w:rPr>
      </w:pPr>
      <w:r w:rsidRPr="00E63965">
        <w:rPr>
          <w:rFonts w:ascii="Times New Roman" w:eastAsiaTheme="majorEastAsia" w:hAnsi="Times New Roman" w:cstheme="majorBidi"/>
          <w:spacing w:val="-10"/>
          <w:kern w:val="28"/>
          <w:sz w:val="40"/>
          <w:szCs w:val="40"/>
          <w14:ligatures w14:val="none"/>
        </w:rPr>
        <w:t xml:space="preserve">Identifying the chemical gel point of </w:t>
      </w:r>
      <w:r w:rsidR="00663E05">
        <w:rPr>
          <w:rFonts w:ascii="Times New Roman" w:eastAsiaTheme="majorEastAsia" w:hAnsi="Times New Roman" w:cstheme="majorBidi"/>
          <w:spacing w:val="-10"/>
          <w:kern w:val="28"/>
          <w:sz w:val="40"/>
          <w:szCs w:val="40"/>
          <w14:ligatures w14:val="none"/>
        </w:rPr>
        <w:t>epoxy-fumed silica</w:t>
      </w:r>
      <w:r w:rsidRPr="00E63965">
        <w:rPr>
          <w:rFonts w:ascii="Times New Roman" w:eastAsiaTheme="majorEastAsia" w:hAnsi="Times New Roman" w:cstheme="majorBidi"/>
          <w:spacing w:val="-10"/>
          <w:kern w:val="28"/>
          <w:sz w:val="40"/>
          <w:szCs w:val="40"/>
          <w14:ligatures w14:val="none"/>
        </w:rPr>
        <w:t xml:space="preserve"> composites using optimally windowed chirp measurements</w:t>
      </w:r>
    </w:p>
    <w:p w14:paraId="1415A675" w14:textId="77777777" w:rsidR="00E63965" w:rsidRPr="00E63965" w:rsidRDefault="00E63965" w:rsidP="00E63965">
      <w:pPr>
        <w:spacing w:after="0" w:line="480" w:lineRule="auto"/>
        <w:jc w:val="both"/>
        <w:rPr>
          <w:rFonts w:ascii="Times New Roman" w:hAnsi="Times New Roman" w:cs="Times New Roman"/>
          <w:bCs/>
          <w:kern w:val="0"/>
          <w:sz w:val="24"/>
          <w:szCs w:val="24"/>
          <w14:ligatures w14:val="none"/>
        </w:rPr>
      </w:pPr>
      <w:r w:rsidRPr="00E63965">
        <w:rPr>
          <w:rFonts w:ascii="Times New Roman" w:hAnsi="Times New Roman" w:cs="Times New Roman"/>
          <w:bCs/>
          <w:i/>
          <w:iCs/>
          <w:kern w:val="0"/>
          <w:sz w:val="24"/>
          <w:szCs w:val="24"/>
          <w14:ligatures w14:val="none"/>
        </w:rPr>
        <w:t>Stian K. Romberg, Sarah Lehrman, Jonathan Seppala, Anthony P. Kotula</w:t>
      </w:r>
      <w:r w:rsidRPr="00E63965">
        <w:rPr>
          <w:rFonts w:ascii="Times New Roman" w:hAnsi="Times New Roman" w:cs="Times New Roman"/>
          <w:bCs/>
          <w:kern w:val="0"/>
          <w:sz w:val="24"/>
          <w:szCs w:val="24"/>
          <w14:ligatures w14:val="none"/>
        </w:rPr>
        <w:t>*</w:t>
      </w:r>
    </w:p>
    <w:p w14:paraId="1D9F8C14" w14:textId="77777777" w:rsidR="00E63965" w:rsidRPr="00E63965" w:rsidRDefault="00E63965" w:rsidP="00E63965">
      <w:pPr>
        <w:spacing w:after="0" w:line="480" w:lineRule="auto"/>
        <w:contextualSpacing/>
        <w:jc w:val="both"/>
        <w:rPr>
          <w:rFonts w:ascii="Times New Roman" w:hAnsi="Times New Roman" w:cs="Times New Roman"/>
          <w:bCs/>
          <w:kern w:val="0"/>
          <w:sz w:val="24"/>
          <w:szCs w:val="24"/>
          <w14:ligatures w14:val="none"/>
        </w:rPr>
      </w:pPr>
      <w:r w:rsidRPr="00E63965">
        <w:rPr>
          <w:rFonts w:ascii="Times New Roman" w:hAnsi="Times New Roman" w:cs="Times New Roman"/>
          <w:bCs/>
          <w:kern w:val="0"/>
          <w:sz w:val="24"/>
          <w:szCs w:val="24"/>
          <w14:ligatures w14:val="none"/>
        </w:rPr>
        <w:t>Materials Science and Engineering Division, National Institute of Standards and Technology Gaithersburg, MD 20899, United States of America</w:t>
      </w:r>
    </w:p>
    <w:p w14:paraId="0CCDB03D" w14:textId="77777777" w:rsidR="00E63965" w:rsidRPr="00E63965" w:rsidRDefault="00E63965" w:rsidP="00E63965">
      <w:pPr>
        <w:spacing w:after="240" w:line="480" w:lineRule="auto"/>
        <w:rPr>
          <w:rFonts w:ascii="Times New Roman" w:hAnsi="Times New Roman"/>
          <w:kern w:val="0"/>
          <w:sz w:val="24"/>
          <w14:ligatures w14:val="none"/>
        </w:rPr>
      </w:pPr>
      <w:r w:rsidRPr="00E63965">
        <w:rPr>
          <w:rFonts w:ascii="Times New Roman" w:hAnsi="Times New Roman" w:cs="Times New Roman"/>
          <w:bCs/>
          <w:kern w:val="0"/>
          <w:sz w:val="24"/>
          <w:szCs w:val="24"/>
          <w14:ligatures w14:val="none"/>
        </w:rPr>
        <w:t>*</w:t>
      </w:r>
      <w:r w:rsidRPr="00E63965">
        <w:rPr>
          <w:rFonts w:ascii="Times New Roman" w:hAnsi="Times New Roman"/>
          <w:kern w:val="0"/>
          <w:sz w:val="24"/>
          <w14:ligatures w14:val="none"/>
        </w:rPr>
        <w:t xml:space="preserve">Email of corresponding author: </w:t>
      </w:r>
      <w:hyperlink r:id="rId7" w:history="1">
        <w:r w:rsidRPr="00E63965">
          <w:rPr>
            <w:rFonts w:ascii="Times New Roman" w:hAnsi="Times New Roman"/>
            <w:color w:val="0563C1" w:themeColor="hyperlink"/>
            <w:kern w:val="0"/>
            <w:sz w:val="24"/>
            <w:u w:val="single"/>
            <w14:ligatures w14:val="none"/>
          </w:rPr>
          <w:t>anthony.kotula@nist.gov</w:t>
        </w:r>
      </w:hyperlink>
    </w:p>
    <w:p w14:paraId="4BBC351D" w14:textId="0E4E85E3" w:rsidR="00766D25" w:rsidRDefault="00766D25">
      <w:pPr>
        <w:rPr>
          <w:noProof/>
        </w:rPr>
      </w:pPr>
      <w:r>
        <w:rPr>
          <w:noProof/>
        </w:rPr>
        <w:br w:type="page"/>
      </w:r>
    </w:p>
    <w:p w14:paraId="608C626A" w14:textId="77777777" w:rsidR="00FE7241" w:rsidRDefault="00C355C9" w:rsidP="00C355C9">
      <w:pPr>
        <w:ind w:left="-270"/>
      </w:pPr>
      <w:r>
        <w:rPr>
          <w:noProof/>
        </w:rPr>
        <w:lastRenderedPageBreak/>
        <w:drawing>
          <wp:inline distT="0" distB="0" distL="0" distR="0" wp14:anchorId="7DF38AC5" wp14:editId="773A7BFF">
            <wp:extent cx="6262661" cy="4780041"/>
            <wp:effectExtent l="0" t="0" r="0" b="0"/>
            <wp:docPr id="12660511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6051177" name="Picture 1"/>
                    <pic:cNvPicPr/>
                  </pic:nvPicPr>
                  <pic:blipFill>
                    <a:blip r:embed="rId8" cstate="print">
                      <a:extLst>
                        <a:ext uri="{28A0092B-C50C-407E-A947-70E740481C1C}">
                          <a14:useLocalDpi xmlns:a14="http://schemas.microsoft.com/office/drawing/2010/main" val="0"/>
                        </a:ext>
                      </a:extLst>
                    </a:blip>
                    <a:stretch>
                      <a:fillRect/>
                    </a:stretch>
                  </pic:blipFill>
                  <pic:spPr>
                    <a:xfrm>
                      <a:off x="0" y="0"/>
                      <a:ext cx="6262661" cy="4780041"/>
                    </a:xfrm>
                    <a:prstGeom prst="rect">
                      <a:avLst/>
                    </a:prstGeom>
                  </pic:spPr>
                </pic:pic>
              </a:graphicData>
            </a:graphic>
          </wp:inline>
        </w:drawing>
      </w:r>
    </w:p>
    <w:p w14:paraId="4C107158" w14:textId="13785594" w:rsidR="00FE7241" w:rsidRDefault="00FE7241" w:rsidP="00C355C9">
      <w:pPr>
        <w:ind w:left="-270"/>
      </w:pPr>
      <w:r>
        <w:t>Fig</w:t>
      </w:r>
      <w:r w:rsidR="00D00133">
        <w:t>.</w:t>
      </w:r>
      <w:r>
        <w:t xml:space="preserve"> S1: </w:t>
      </w:r>
      <w:r w:rsidR="0059328C">
        <w:t xml:space="preserve">OWCh data at </w:t>
      </w:r>
      <w:r w:rsidR="005241FA">
        <w:t>selected</w:t>
      </w:r>
      <w:r w:rsidR="0059328C">
        <w:t xml:space="preserve"> times for the resin with 0 % fumed silica</w:t>
      </w:r>
      <w:r w:rsidR="00A15564">
        <w:t xml:space="preserve"> cured at 70 </w:t>
      </w:r>
      <w:r w:rsidR="00A15564" w:rsidRPr="00E36C75">
        <w:t>°</w:t>
      </w:r>
      <w:r w:rsidR="00A15564">
        <w:t>C</w:t>
      </w:r>
      <w:r w:rsidR="0059328C">
        <w:t>. (a)</w:t>
      </w:r>
      <w:r w:rsidR="005241FA">
        <w:t xml:space="preserve"> Applied OWCh waveform. (b) Resulting</w:t>
      </w:r>
      <w:r w:rsidR="00EE78C6">
        <w:t xml:space="preserve"> stress response. (c) Resulting linear viscoelastic moduli. (d) Resulting loss tangent.</w:t>
      </w:r>
    </w:p>
    <w:p w14:paraId="6995A3AF" w14:textId="77777777" w:rsidR="00FE7241" w:rsidRDefault="00C355C9" w:rsidP="00C355C9">
      <w:pPr>
        <w:ind w:left="-270"/>
      </w:pPr>
      <w:r>
        <w:rPr>
          <w:noProof/>
        </w:rPr>
        <w:lastRenderedPageBreak/>
        <w:drawing>
          <wp:inline distT="0" distB="0" distL="0" distR="0" wp14:anchorId="7491ECD6" wp14:editId="0327E660">
            <wp:extent cx="6262661" cy="4780041"/>
            <wp:effectExtent l="0" t="0" r="0" b="0"/>
            <wp:docPr id="89378924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3789244" name="Picture 2"/>
                    <pic:cNvPicPr/>
                  </pic:nvPicPr>
                  <pic:blipFill>
                    <a:blip r:embed="rId9" cstate="print">
                      <a:extLst>
                        <a:ext uri="{28A0092B-C50C-407E-A947-70E740481C1C}">
                          <a14:useLocalDpi xmlns:a14="http://schemas.microsoft.com/office/drawing/2010/main" val="0"/>
                        </a:ext>
                      </a:extLst>
                    </a:blip>
                    <a:stretch>
                      <a:fillRect/>
                    </a:stretch>
                  </pic:blipFill>
                  <pic:spPr>
                    <a:xfrm>
                      <a:off x="0" y="0"/>
                      <a:ext cx="6262661" cy="4780041"/>
                    </a:xfrm>
                    <a:prstGeom prst="rect">
                      <a:avLst/>
                    </a:prstGeom>
                  </pic:spPr>
                </pic:pic>
              </a:graphicData>
            </a:graphic>
          </wp:inline>
        </w:drawing>
      </w:r>
    </w:p>
    <w:p w14:paraId="453350CE" w14:textId="2A7FA34C" w:rsidR="00FE7241" w:rsidRDefault="00FE7241" w:rsidP="00C355C9">
      <w:pPr>
        <w:ind w:left="-270"/>
      </w:pPr>
      <w:r>
        <w:t xml:space="preserve">Fig. S2: </w:t>
      </w:r>
      <w:r w:rsidR="00EE78C6">
        <w:t>OWCh data at selected times for the resin with 2.5 % fumed silica</w:t>
      </w:r>
      <w:r w:rsidR="003A4970">
        <w:t xml:space="preserve"> cured at 70 </w:t>
      </w:r>
      <w:r w:rsidR="003A4970" w:rsidRPr="00E36C75">
        <w:t>°</w:t>
      </w:r>
      <w:r w:rsidR="003A4970">
        <w:t>C</w:t>
      </w:r>
      <w:r w:rsidR="00EE78C6">
        <w:t>. (a) Applied OWCh waveform. (b) Resulting stress response. (c) Resulting linear viscoelastic moduli. (d) Resulting loss tangent.</w:t>
      </w:r>
    </w:p>
    <w:p w14:paraId="262646DF" w14:textId="77777777" w:rsidR="0096358D" w:rsidRDefault="00C355C9" w:rsidP="00C355C9">
      <w:pPr>
        <w:ind w:left="-270"/>
      </w:pPr>
      <w:r>
        <w:rPr>
          <w:noProof/>
        </w:rPr>
        <w:lastRenderedPageBreak/>
        <w:drawing>
          <wp:inline distT="0" distB="0" distL="0" distR="0" wp14:anchorId="4430DEC6" wp14:editId="0B17A270">
            <wp:extent cx="6262661" cy="4780041"/>
            <wp:effectExtent l="0" t="0" r="0" b="0"/>
            <wp:docPr id="182798111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981116" name="Picture 3"/>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262661" cy="4780041"/>
                    </a:xfrm>
                    <a:prstGeom prst="rect">
                      <a:avLst/>
                    </a:prstGeom>
                  </pic:spPr>
                </pic:pic>
              </a:graphicData>
            </a:graphic>
          </wp:inline>
        </w:drawing>
      </w:r>
    </w:p>
    <w:p w14:paraId="445CDA15" w14:textId="41549F4A" w:rsidR="0096358D" w:rsidRDefault="0096358D" w:rsidP="00C355C9">
      <w:pPr>
        <w:ind w:left="-270"/>
      </w:pPr>
      <w:r>
        <w:t>Fig. S3:</w:t>
      </w:r>
      <w:r w:rsidR="00EE78C6">
        <w:t xml:space="preserve"> OWCh data at selected times for the resin with 5 % fumed silica</w:t>
      </w:r>
      <w:r w:rsidR="003A4970">
        <w:t xml:space="preserve"> cured at 70 </w:t>
      </w:r>
      <w:r w:rsidR="003A4970" w:rsidRPr="00E36C75">
        <w:t>°</w:t>
      </w:r>
      <w:r w:rsidR="003A4970">
        <w:t>C</w:t>
      </w:r>
      <w:r w:rsidR="00EE78C6">
        <w:t>. (a) Applied OWCh waveform. (b) Resulting stress response. (c) Resulting linear viscoelastic moduli. (d) Resulting loss tangent.</w:t>
      </w:r>
    </w:p>
    <w:p w14:paraId="2832202B" w14:textId="6F4E33CE" w:rsidR="00C355C9" w:rsidRDefault="00C355C9" w:rsidP="00C355C9">
      <w:pPr>
        <w:ind w:left="-270"/>
      </w:pPr>
      <w:r>
        <w:rPr>
          <w:noProof/>
        </w:rPr>
        <w:lastRenderedPageBreak/>
        <w:drawing>
          <wp:inline distT="0" distB="0" distL="0" distR="0" wp14:anchorId="6FBD3FAA" wp14:editId="79A5D9A4">
            <wp:extent cx="6262661" cy="4780040"/>
            <wp:effectExtent l="0" t="0" r="0" b="0"/>
            <wp:docPr id="66293206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2932067" name="Picture 4"/>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262661" cy="4780040"/>
                    </a:xfrm>
                    <a:prstGeom prst="rect">
                      <a:avLst/>
                    </a:prstGeom>
                  </pic:spPr>
                </pic:pic>
              </a:graphicData>
            </a:graphic>
          </wp:inline>
        </w:drawing>
      </w:r>
    </w:p>
    <w:p w14:paraId="5D053D7B" w14:textId="6357B405" w:rsidR="0096358D" w:rsidRDefault="0096358D" w:rsidP="00C355C9">
      <w:pPr>
        <w:ind w:left="-270"/>
      </w:pPr>
      <w:r>
        <w:t xml:space="preserve">Fig. S4: </w:t>
      </w:r>
      <w:r w:rsidR="00EE78C6">
        <w:t>OWCh data at selected times for the resin with 10 % fumed silica</w:t>
      </w:r>
      <w:r w:rsidR="003A4970">
        <w:t xml:space="preserve"> cured at 70 </w:t>
      </w:r>
      <w:r w:rsidR="003A4970" w:rsidRPr="00E36C75">
        <w:t>°</w:t>
      </w:r>
      <w:r w:rsidR="003A4970">
        <w:t>C</w:t>
      </w:r>
      <w:r w:rsidR="00EE78C6">
        <w:t>. (a) Applied OWCh waveform. (b) Resulting stress response. (c) Resulting linear viscoelastic moduli. (d) Resulting loss tangent.</w:t>
      </w:r>
    </w:p>
    <w:p w14:paraId="30319145" w14:textId="789ECBD8" w:rsidR="00EE78C6" w:rsidRDefault="00EE78C6">
      <w:r>
        <w:br w:type="page"/>
      </w:r>
    </w:p>
    <w:p w14:paraId="6367B409" w14:textId="6C1A8201" w:rsidR="0065317C" w:rsidRDefault="00AF5960" w:rsidP="0065317C">
      <w:pPr>
        <w:ind w:firstLine="720"/>
      </w:pPr>
      <w:r>
        <w:lastRenderedPageBreak/>
        <w:t>Optimally windowed chirp (</w:t>
      </w:r>
      <w:r w:rsidR="0065317C">
        <w:t>OWCh</w:t>
      </w:r>
      <w:r>
        <w:t>)</w:t>
      </w:r>
      <w:r w:rsidR="0065317C">
        <w:t xml:space="preserve"> measurements are attractive because they can be conducted quickly, so it is important to verify that the measurement period of these chirps is short enough to provide reliable measurements. This can be done by evaluating the mutation number (Equation S</w:t>
      </w:r>
      <w:r w:rsidR="00D11D90">
        <w:t>1</w:t>
      </w:r>
      <w:r w:rsidR="0065317C">
        <w:t xml:space="preserve">), which compares the measurement period to the rate of change of a </w:t>
      </w:r>
      <w:r w:rsidR="00CE641A">
        <w:t xml:space="preserve">rheological </w:t>
      </w:r>
      <w:r w:rsidR="0065317C">
        <w:t>property</w:t>
      </w:r>
      <w:r w:rsidR="00CE641A">
        <w:t xml:space="preserve"> of interest</w:t>
      </w:r>
      <w:r w:rsidR="0065317C">
        <w:t xml:space="preserve"> </w:t>
      </w:r>
      <w:r w:rsidR="00CE641A">
        <w:rPr>
          <w:i/>
          <w:iCs/>
        </w:rPr>
        <w:t>g</w:t>
      </w:r>
      <w:r w:rsidR="0065317C">
        <w:t>.</w:t>
      </w:r>
    </w:p>
    <w:tbl>
      <w:tblPr>
        <w:tblStyle w:val="TableGrid"/>
        <w:tblW w:w="0" w:type="auto"/>
        <w:tblLook w:val="04A0" w:firstRow="1" w:lastRow="0" w:firstColumn="1" w:lastColumn="0" w:noHBand="0" w:noVBand="1"/>
      </w:tblPr>
      <w:tblGrid>
        <w:gridCol w:w="8725"/>
        <w:gridCol w:w="625"/>
      </w:tblGrid>
      <w:tr w:rsidR="0065317C" w14:paraId="02A06269" w14:textId="77777777" w:rsidTr="00E525D4">
        <w:trPr>
          <w:trHeight w:val="747"/>
        </w:trPr>
        <w:tc>
          <w:tcPr>
            <w:tcW w:w="8725" w:type="dxa"/>
            <w:tcBorders>
              <w:top w:val="nil"/>
              <w:left w:val="nil"/>
              <w:bottom w:val="nil"/>
              <w:right w:val="nil"/>
            </w:tcBorders>
            <w:vAlign w:val="center"/>
          </w:tcPr>
          <w:p w14:paraId="1C72B7A1" w14:textId="3F465EC4" w:rsidR="0065317C" w:rsidRPr="003342AA" w:rsidRDefault="00000000" w:rsidP="00E525D4">
            <m:oMathPara>
              <m:oMath>
                <m:sSub>
                  <m:sSubPr>
                    <m:ctrlPr>
                      <w:rPr>
                        <w:rFonts w:ascii="Cambria Math" w:hAnsi="Cambria Math"/>
                        <w:i/>
                      </w:rPr>
                    </m:ctrlPr>
                  </m:sSubPr>
                  <m:e>
                    <m:r>
                      <w:rPr>
                        <w:rFonts w:ascii="Cambria Math" w:hAnsi="Cambria Math"/>
                        <w:lang w:val="el-GR"/>
                      </w:rPr>
                      <m:t>λ</m:t>
                    </m:r>
                  </m:e>
                  <m:sub>
                    <m:r>
                      <w:rPr>
                        <w:rFonts w:ascii="Cambria Math" w:hAnsi="Cambria Math"/>
                      </w:rPr>
                      <m:t>mu</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meas</m:t>
                        </m:r>
                      </m:sub>
                    </m:sSub>
                  </m:num>
                  <m:den>
                    <m:sSub>
                      <m:sSubPr>
                        <m:ctrlPr>
                          <w:rPr>
                            <w:rFonts w:ascii="Cambria Math" w:hAnsi="Cambria Math"/>
                            <w:i/>
                          </w:rPr>
                        </m:ctrlPr>
                      </m:sSubPr>
                      <m:e>
                        <m:r>
                          <w:rPr>
                            <w:rFonts w:ascii="Cambria Math" w:hAnsi="Cambria Math"/>
                          </w:rPr>
                          <m:t>t</m:t>
                        </m:r>
                      </m:e>
                      <m:sub>
                        <m:r>
                          <w:rPr>
                            <w:rFonts w:ascii="Cambria Math" w:hAnsi="Cambria Math"/>
                          </w:rPr>
                          <m:t>mu</m:t>
                        </m:r>
                      </m:sub>
                    </m:sSub>
                  </m:den>
                </m:f>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t</m:t>
                        </m:r>
                      </m:e>
                      <m:sub>
                        <m:r>
                          <w:rPr>
                            <w:rFonts w:ascii="Cambria Math" w:hAnsi="Cambria Math"/>
                          </w:rPr>
                          <m:t>meas</m:t>
                        </m:r>
                      </m:sub>
                    </m:sSub>
                  </m:num>
                  <m:den>
                    <m:sSup>
                      <m:sSupPr>
                        <m:ctrlPr>
                          <w:rPr>
                            <w:rFonts w:ascii="Cambria Math" w:hAnsi="Cambria Math"/>
                            <w:i/>
                          </w:rPr>
                        </m:ctrlPr>
                      </m:sSupPr>
                      <m:e>
                        <m:d>
                          <m:dPr>
                            <m:ctrlPr>
                              <w:rPr>
                                <w:rFonts w:ascii="Cambria Math" w:hAnsi="Cambria Math"/>
                                <w:i/>
                              </w:rPr>
                            </m:ctrlPr>
                          </m:dPr>
                          <m:e>
                            <m:f>
                              <m:fPr>
                                <m:ctrlPr>
                                  <w:rPr>
                                    <w:rFonts w:ascii="Cambria Math" w:hAnsi="Cambria Math"/>
                                    <w:i/>
                                  </w:rPr>
                                </m:ctrlPr>
                              </m:fPr>
                              <m:num>
                                <m:r>
                                  <w:rPr>
                                    <w:rFonts w:ascii="Cambria Math" w:hAnsi="Cambria Math"/>
                                  </w:rPr>
                                  <m:t>d[</m:t>
                                </m:r>
                                <m:func>
                                  <m:funcPr>
                                    <m:ctrlPr>
                                      <w:rPr>
                                        <w:rFonts w:ascii="Cambria Math" w:hAnsi="Cambria Math"/>
                                      </w:rPr>
                                    </m:ctrlPr>
                                  </m:funcPr>
                                  <m:fName>
                                    <m:r>
                                      <m:rPr>
                                        <m:sty m:val="p"/>
                                      </m:rPr>
                                      <w:rPr>
                                        <w:rFonts w:ascii="Cambria Math" w:hAnsi="Cambria Math"/>
                                      </w:rPr>
                                      <m:t>ln</m:t>
                                    </m:r>
                                    <m:ctrlPr>
                                      <w:rPr>
                                        <w:rFonts w:ascii="Cambria Math" w:hAnsi="Cambria Math"/>
                                        <w:i/>
                                      </w:rPr>
                                    </m:ctrlPr>
                                  </m:fName>
                                  <m:e>
                                    <m:r>
                                      <w:rPr>
                                        <w:rFonts w:ascii="Cambria Math" w:hAnsi="Cambria Math"/>
                                      </w:rPr>
                                      <m:t>g</m:t>
                                    </m:r>
                                  </m:e>
                                </m:func>
                                <m:r>
                                  <w:rPr>
                                    <w:rFonts w:ascii="Cambria Math" w:hAnsi="Cambria Math"/>
                                  </w:rPr>
                                  <m:t>]</m:t>
                                </m:r>
                              </m:num>
                              <m:den>
                                <m:r>
                                  <w:rPr>
                                    <w:rFonts w:ascii="Cambria Math" w:hAnsi="Cambria Math"/>
                                  </w:rPr>
                                  <m:t>dt</m:t>
                                </m:r>
                              </m:den>
                            </m:f>
                          </m:e>
                        </m:d>
                      </m:e>
                      <m:sup>
                        <m:r>
                          <w:rPr>
                            <w:rFonts w:ascii="Cambria Math" w:hAnsi="Cambria Math"/>
                          </w:rPr>
                          <m:t>-1</m:t>
                        </m:r>
                      </m:sup>
                    </m:sSup>
                  </m:den>
                </m:f>
              </m:oMath>
            </m:oMathPara>
          </w:p>
        </w:tc>
        <w:tc>
          <w:tcPr>
            <w:tcW w:w="625" w:type="dxa"/>
            <w:tcBorders>
              <w:top w:val="nil"/>
              <w:left w:val="nil"/>
              <w:bottom w:val="nil"/>
              <w:right w:val="nil"/>
            </w:tcBorders>
            <w:vAlign w:val="center"/>
          </w:tcPr>
          <w:p w14:paraId="77FB66B7" w14:textId="7175B4F3" w:rsidR="0065317C" w:rsidRDefault="0065317C" w:rsidP="00E525D4">
            <w:pPr>
              <w:jc w:val="center"/>
            </w:pPr>
            <w:r>
              <w:t>(S</w:t>
            </w:r>
            <w:r w:rsidR="00D11D90">
              <w:t>1</w:t>
            </w:r>
            <w:r>
              <w:t>)</w:t>
            </w:r>
          </w:p>
        </w:tc>
      </w:tr>
    </w:tbl>
    <w:p w14:paraId="5DEC0739" w14:textId="38B378E3" w:rsidR="0065317C" w:rsidRDefault="004B7659" w:rsidP="0065317C">
      <w:r>
        <w:t xml:space="preserve">In </w:t>
      </w:r>
      <w:r w:rsidR="002C486B">
        <w:t>Equation S</w:t>
      </w:r>
      <w:r w:rsidR="00165701">
        <w:t>1</w:t>
      </w:r>
      <w:r w:rsidR="002C486B">
        <w:t>,</w:t>
      </w:r>
      <w:r w:rsidR="0065317C">
        <w:t xml:space="preserve"> </w:t>
      </w:r>
      <w:r w:rsidR="0065317C" w:rsidRPr="00426EEE">
        <w:rPr>
          <w:i/>
          <w:iCs/>
          <w:lang w:val="el-GR"/>
        </w:rPr>
        <w:t>λ</w:t>
      </w:r>
      <w:r w:rsidR="0065317C" w:rsidRPr="00426EEE">
        <w:rPr>
          <w:i/>
          <w:iCs/>
          <w:vertAlign w:val="subscript"/>
        </w:rPr>
        <w:t>mu</w:t>
      </w:r>
      <w:r w:rsidR="0065317C">
        <w:t xml:space="preserve"> is the mutation number, </w:t>
      </w:r>
      <w:r w:rsidR="0065317C" w:rsidRPr="00426EEE">
        <w:rPr>
          <w:i/>
          <w:iCs/>
        </w:rPr>
        <w:t>t</w:t>
      </w:r>
      <w:r w:rsidR="0065317C" w:rsidRPr="00426EEE">
        <w:rPr>
          <w:i/>
          <w:iCs/>
          <w:vertAlign w:val="subscript"/>
        </w:rPr>
        <w:t>meas</w:t>
      </w:r>
      <w:r w:rsidR="0065317C">
        <w:t xml:space="preserve"> is the measurement period of the OWCh, and </w:t>
      </w:r>
      <w:r w:rsidR="0065317C" w:rsidRPr="00426EEE">
        <w:rPr>
          <w:i/>
          <w:iCs/>
        </w:rPr>
        <w:t>t</w:t>
      </w:r>
      <w:r w:rsidR="0065317C" w:rsidRPr="00426EEE">
        <w:rPr>
          <w:i/>
          <w:iCs/>
          <w:vertAlign w:val="subscript"/>
        </w:rPr>
        <w:t>mu</w:t>
      </w:r>
      <w:r w:rsidR="0065317C">
        <w:t xml:space="preserve"> is the mutation time. Mutation numbers below 0.15 indicate measurements that avoid significant error due to non-linear effects </w:t>
      </w:r>
      <w:r w:rsidR="0065317C">
        <w:fldChar w:fldCharType="begin">
          <w:fldData xml:space="preserve">PEVuZE5vdGU+PENpdGU+PEF1dGhvcj5Nb3VyczwvQXV0aG9yPjxZZWFyPjE5OTQ8L1llYXI+PFJl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</w:fldData>
        </w:fldChar>
      </w:r>
      <w:r w:rsidR="00B36ECC">
        <w:instrText xml:space="preserve"> ADDIN EN.CITE </w:instrText>
      </w:r>
      <w:r w:rsidR="00B36ECC">
        <w:fldChar w:fldCharType="begin">
          <w:fldData xml:space="preserve">PEVuZE5vdGU+PENpdGU+PEF1dGhvcj5Nb3VyczwvQXV0aG9yPjxZZWFyPjE5OTQ8L1llYXI+PFJl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</w:fldData>
        </w:fldChar>
      </w:r>
      <w:r w:rsidR="00B36ECC">
        <w:instrText xml:space="preserve"> ADDIN EN.CITE.DATA </w:instrText>
      </w:r>
      <w:r w:rsidR="00B36ECC">
        <w:fldChar w:fldCharType="end"/>
      </w:r>
      <w:r w:rsidR="0065317C">
        <w:fldChar w:fldCharType="separate"/>
      </w:r>
      <w:r w:rsidR="0065317C">
        <w:rPr>
          <w:noProof/>
        </w:rPr>
        <w:t>[1, 2]</w:t>
      </w:r>
      <w:r w:rsidR="0065317C">
        <w:fldChar w:fldCharType="end"/>
      </w:r>
      <w:r w:rsidR="0065317C">
        <w:t>. Since every single OWCh measurement generates multiple measurements of the complex modulus and loss tangent, we have a range of mutation numbers for each OWCh measurement.</w:t>
      </w:r>
      <w:r w:rsidR="0000136A">
        <w:t xml:space="preserve"> In other words, the </w:t>
      </w:r>
      <w:r w:rsidR="008C6B53">
        <w:t>rheological properties at each frequency evolve at different rates.</w:t>
      </w:r>
      <w:r w:rsidR="0065317C">
        <w:t xml:space="preserve"> To improve visibility, Fig</w:t>
      </w:r>
      <w:r w:rsidR="00A24FCA">
        <w:t>.</w:t>
      </w:r>
      <w:r w:rsidR="0065317C">
        <w:t xml:space="preserve"> S</w:t>
      </w:r>
      <w:r w:rsidR="00CE641A">
        <w:t>5</w:t>
      </w:r>
      <w:r w:rsidR="0065317C">
        <w:t xml:space="preserve"> shows a shaded region between the minimum and maximum mutation number for each chirp. The range of mutation numbers for each composite resin is below 0.15. These results indicate that the reported OWCh measurements provide time-resolved data with little error due to non-linear effects.</w:t>
      </w:r>
    </w:p>
    <w:p w14:paraId="42DDEE93" w14:textId="4E73ADC8" w:rsidR="0065317C" w:rsidRDefault="0065317C" w:rsidP="0065317C">
      <w:pPr>
        <w:ind w:left="-270"/>
      </w:pPr>
      <w:r>
        <w:rPr>
          <w:noProof/>
        </w:rPr>
        <w:drawing>
          <wp:inline distT="0" distB="0" distL="0" distR="0" wp14:anchorId="57165837" wp14:editId="0F431584">
            <wp:extent cx="6263640" cy="4754880"/>
            <wp:effectExtent l="0" t="0" r="381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pic:cNvPicPr/>
                  </pic:nvPicPr>
                  <pic:blipFill>
                    <a:blip r:embed="rId12" cstate="print">
                      <a:extLst>
                        <a:ext uri="{28A0092B-C50C-407E-A947-70E740481C1C}">
                          <a14:useLocalDpi xmlns:a14="http://schemas.microsoft.com/office/drawing/2010/main" val="0"/>
                        </a:ext>
                      </a:extLst>
                    </a:blip>
                    <a:stretch>
                      <a:fillRect/>
                    </a:stretch>
                  </pic:blipFill>
                  <pic:spPr>
                    <a:xfrm>
                      <a:off x="0" y="0"/>
                      <a:ext cx="6263640" cy="4754880"/>
                    </a:xfrm>
                    <a:prstGeom prst="rect">
                      <a:avLst/>
                    </a:prstGeom>
                  </pic:spPr>
                </pic:pic>
              </a:graphicData>
            </a:graphic>
          </wp:inline>
        </w:drawing>
      </w:r>
      <w:r>
        <w:t>Fig</w:t>
      </w:r>
      <w:r w:rsidR="00A24FCA">
        <w:t>.</w:t>
      </w:r>
      <w:r>
        <w:t xml:space="preserve"> S</w:t>
      </w:r>
      <w:r w:rsidR="00B866DD">
        <w:t>5</w:t>
      </w:r>
      <w:r>
        <w:t>: Evolution of the mutation number</w:t>
      </w:r>
      <w:r w:rsidR="003A4970" w:rsidRPr="003A4970">
        <w:t xml:space="preserve"> </w:t>
      </w:r>
      <w:r w:rsidR="00A564F3">
        <w:t>for</w:t>
      </w:r>
      <w:r w:rsidR="00F31B81">
        <w:t xml:space="preserve"> the resins cured</w:t>
      </w:r>
      <w:r w:rsidR="003A4970">
        <w:t xml:space="preserve"> at 70 </w:t>
      </w:r>
      <w:r w:rsidR="003A4970" w:rsidRPr="00E36C75">
        <w:t>°</w:t>
      </w:r>
      <w:r w:rsidR="003A4970">
        <w:t>C</w:t>
      </w:r>
      <w:r>
        <w:t>. Mutation number associated with the (a) magnitude of the complex modulus versus time</w:t>
      </w:r>
      <w:r w:rsidR="00CE641A">
        <w:t xml:space="preserve"> (</w:t>
      </w:r>
      <m:oMath>
        <m:r>
          <w:rPr>
            <w:rFonts w:ascii="Cambria Math" w:hAnsi="Cambria Math"/>
          </w:rPr>
          <m:t>g=</m:t>
        </m:r>
        <m:d>
          <m:dPr>
            <m:begChr m:val="|"/>
            <m:endChr m:val="|"/>
            <m:ctrlPr>
              <w:rPr>
                <w:rFonts w:ascii="Cambria Math" w:hAnsi="Cambria Math"/>
                <w:i/>
              </w:rPr>
            </m:ctrlPr>
          </m:dPr>
          <m:e>
            <m:sSup>
              <m:sSupPr>
                <m:ctrlPr>
                  <w:rPr>
                    <w:rFonts w:ascii="Cambria Math" w:hAnsi="Cambria Math"/>
                    <w:i/>
                  </w:rPr>
                </m:ctrlPr>
              </m:sSupPr>
              <m:e>
                <m:r>
                  <w:rPr>
                    <w:rFonts w:ascii="Cambria Math" w:hAnsi="Cambria Math"/>
                  </w:rPr>
                  <m:t>G</m:t>
                </m:r>
              </m:e>
              <m:sup>
                <m:r>
                  <w:rPr>
                    <w:rFonts w:ascii="Cambria Math" w:hAnsi="Cambria Math"/>
                  </w:rPr>
                  <m:t>*</m:t>
                </m:r>
              </m:sup>
            </m:sSup>
          </m:e>
        </m:d>
      </m:oMath>
      <w:r w:rsidR="00CE641A">
        <w:rPr>
          <w:rFonts w:eastAsiaTheme="minorEastAsia"/>
        </w:rPr>
        <w:t>)</w:t>
      </w:r>
      <w:r>
        <w:t>, (b) loss tangent versus time</w:t>
      </w:r>
      <w:r w:rsidR="00CE641A">
        <w:t xml:space="preserve">  (</w:t>
      </w:r>
      <m:oMath>
        <m:r>
          <w:rPr>
            <w:rFonts w:ascii="Cambria Math" w:hAnsi="Cambria Math"/>
          </w:rPr>
          <m:t>g=</m:t>
        </m:r>
        <m:func>
          <m:funcPr>
            <m:ctrlPr>
              <w:rPr>
                <w:rFonts w:ascii="Cambria Math" w:hAnsi="Cambria Math"/>
                <w:i/>
              </w:rPr>
            </m:ctrlPr>
          </m:funcPr>
          <m:fName>
            <m:r>
              <m:rPr>
                <m:sty m:val="p"/>
              </m:rPr>
              <w:rPr>
                <w:rFonts w:ascii="Cambria Math" w:hAnsi="Cambria Math"/>
              </w:rPr>
              <m:t>tan</m:t>
            </m:r>
          </m:fName>
          <m:e>
            <m:r>
              <w:rPr>
                <w:rFonts w:ascii="Cambria Math" w:hAnsi="Cambria Math"/>
              </w:rPr>
              <m:t>δ</m:t>
            </m:r>
          </m:e>
        </m:func>
      </m:oMath>
      <w:r w:rsidR="00CE641A">
        <w:rPr>
          <w:rFonts w:eastAsiaTheme="minorEastAsia"/>
        </w:rPr>
        <w:t>)</w:t>
      </w:r>
      <w:r>
        <w:t>, (c) magnitude of the complex modulus versus conversion, and (d) loss tangent versus conversion.</w:t>
      </w:r>
      <w:r>
        <w:br w:type="page"/>
      </w:r>
    </w:p>
    <w:p w14:paraId="3734A0FA" w14:textId="08DDC76B" w:rsidR="00DF40BE" w:rsidRDefault="00DF40BE" w:rsidP="00FB1CCD">
      <w:pPr>
        <w:ind w:left="-270"/>
      </w:pPr>
      <w:r>
        <w:rPr>
          <w:noProof/>
        </w:rPr>
        <w:lastRenderedPageBreak/>
        <w:drawing>
          <wp:inline distT="0" distB="0" distL="0" distR="0" wp14:anchorId="082BE4A5" wp14:editId="4572F6BE">
            <wp:extent cx="6263639" cy="475488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3" cstate="print">
                      <a:extLst>
                        <a:ext uri="{28A0092B-C50C-407E-A947-70E740481C1C}">
                          <a14:useLocalDpi xmlns:a14="http://schemas.microsoft.com/office/drawing/2010/main" val="0"/>
                        </a:ext>
                      </a:extLst>
                    </a:blip>
                    <a:stretch>
                      <a:fillRect/>
                    </a:stretch>
                  </pic:blipFill>
                  <pic:spPr>
                    <a:xfrm>
                      <a:off x="0" y="0"/>
                      <a:ext cx="6263639" cy="4754880"/>
                    </a:xfrm>
                    <a:prstGeom prst="rect">
                      <a:avLst/>
                    </a:prstGeom>
                  </pic:spPr>
                </pic:pic>
              </a:graphicData>
            </a:graphic>
          </wp:inline>
        </w:drawing>
      </w:r>
    </w:p>
    <w:p w14:paraId="79107A2C" w14:textId="40DF8722" w:rsidR="00DF40BE" w:rsidRDefault="00DF40BE" w:rsidP="00DF40BE">
      <w:r>
        <w:t>Fig</w:t>
      </w:r>
      <w:r w:rsidR="00A24FCA">
        <w:t>.</w:t>
      </w:r>
      <w:r>
        <w:t xml:space="preserve"> S</w:t>
      </w:r>
      <w:r w:rsidR="00B866DD">
        <w:t>6</w:t>
      </w:r>
      <w:r>
        <w:t xml:space="preserve">: </w:t>
      </w:r>
      <w:r w:rsidR="009F36E6">
        <w:t>Conversion-storage modulus relationship</w:t>
      </w:r>
      <w:r w:rsidR="004C72E7">
        <w:t xml:space="preserve"> of the resins cured at 70 </w:t>
      </w:r>
      <w:r w:rsidR="004C72E7" w:rsidRPr="00E36C75">
        <w:t>°</w:t>
      </w:r>
      <w:r w:rsidR="004C72E7">
        <w:t>C</w:t>
      </w:r>
      <w:r>
        <w:t xml:space="preserve"> obtained from the rheo-Raman instrument</w:t>
      </w:r>
      <w:r w:rsidR="001F172E">
        <w:t xml:space="preserve"> </w:t>
      </w:r>
      <w:r>
        <w:t>(at a frequency of 6.28 rad/s)</w:t>
      </w:r>
      <w:r w:rsidR="00B816BB">
        <w:t xml:space="preserve">. </w:t>
      </w:r>
      <w:r>
        <w:t>(a) Resin with 0</w:t>
      </w:r>
      <w:r w:rsidR="00932AFC">
        <w:t> </w:t>
      </w:r>
      <w:r>
        <w:t>% fumed silica. (b) Resin with 2.5</w:t>
      </w:r>
      <w:r w:rsidR="00932AFC">
        <w:t> </w:t>
      </w:r>
      <w:r>
        <w:t>% fumed silica. (c) Resin with 5</w:t>
      </w:r>
      <w:r w:rsidR="00932AFC">
        <w:t> </w:t>
      </w:r>
      <w:r>
        <w:t>% fumed silica. (d) Resin with 10</w:t>
      </w:r>
      <w:r w:rsidR="00932AFC">
        <w:t> </w:t>
      </w:r>
      <w:r>
        <w:t>% fumed silica.</w:t>
      </w:r>
    </w:p>
    <w:p w14:paraId="055F5F72" w14:textId="1924BBDF" w:rsidR="00872469" w:rsidRDefault="00872469" w:rsidP="00872469">
      <w:pPr>
        <w:ind w:firstLine="720"/>
      </w:pPr>
      <w:r>
        <w:rPr>
          <w:noProof/>
        </w:rPr>
        <w:t>Fig</w:t>
      </w:r>
      <w:r w:rsidR="00A24FCA">
        <w:rPr>
          <w:noProof/>
        </w:rPr>
        <w:t>.</w:t>
      </w:r>
      <w:r>
        <w:rPr>
          <w:noProof/>
        </w:rPr>
        <w:t xml:space="preserve"> </w:t>
      </w:r>
      <w:r w:rsidR="00CE641A">
        <w:rPr>
          <w:noProof/>
        </w:rPr>
        <w:t xml:space="preserve">S6 </w:t>
      </w:r>
      <w:r>
        <w:rPr>
          <w:noProof/>
        </w:rPr>
        <w:t>shows the conversion-</w:t>
      </w:r>
      <w:r w:rsidR="005E57B2">
        <w:rPr>
          <w:noProof/>
        </w:rPr>
        <w:t xml:space="preserve">storage </w:t>
      </w:r>
      <w:r>
        <w:rPr>
          <w:noProof/>
        </w:rPr>
        <w:t xml:space="preserve">modulus </w:t>
      </w:r>
      <w:r w:rsidR="005E57B2">
        <w:rPr>
          <w:noProof/>
        </w:rPr>
        <w:t>relationship</w:t>
      </w:r>
      <w:r>
        <w:rPr>
          <w:noProof/>
        </w:rPr>
        <w:t xml:space="preserve"> (which was measured at a frequency of 6.28 rad/s). </w:t>
      </w:r>
      <w:r w:rsidR="00B55850">
        <w:rPr>
          <w:noProof/>
        </w:rPr>
        <w:t>Data</w:t>
      </w:r>
      <w:r>
        <w:rPr>
          <w:noProof/>
        </w:rPr>
        <w:t xml:space="preserve"> shown in Fig</w:t>
      </w:r>
      <w:r w:rsidR="00A24FCA">
        <w:rPr>
          <w:noProof/>
        </w:rPr>
        <w:t>.</w:t>
      </w:r>
      <w:r>
        <w:rPr>
          <w:noProof/>
        </w:rPr>
        <w:t xml:space="preserve"> </w:t>
      </w:r>
      <w:r w:rsidR="00CE641A">
        <w:rPr>
          <w:noProof/>
        </w:rPr>
        <w:t>S6a</w:t>
      </w:r>
      <w:r>
        <w:rPr>
          <w:noProof/>
        </w:rPr>
        <w:t xml:space="preserve">,c,d were generated in previous work </w:t>
      </w:r>
      <w:r w:rsidR="00CB0802">
        <w:rPr>
          <w:noProof/>
        </w:rPr>
        <w:fldChar w:fldCharType="begin"/>
      </w:r>
      <w:r w:rsidR="0065317C">
        <w:rPr>
          <w:noProof/>
        </w:rPr>
        <w:instrText xml:space="preserve"> ADDIN EN.CITE &lt;EndNote&gt;&lt;Cite&gt;&lt;Author&gt;Romberg&lt;/Author&gt;&lt;Year&gt;2023&lt;/Year&gt;&lt;RecNum&gt;190&lt;/RecNum&gt;&lt;DisplayText&gt;[3, 4]&lt;/DisplayText&gt;&lt;record&gt;&lt;rec-number&gt;190&lt;/rec-number&gt;&lt;foreign-keys&gt;&lt;key app="EN" db-id="x5959tzdksvwwae9at9xaxprvad0x0d09vwv" timestamp="1689604330"&gt;190&lt;/key&gt;&lt;/foreign-keys&gt;&lt;ref-type name="Numbered Journal Article"&gt;40&lt;/ref-type&gt;&lt;contributors&gt;&lt;authors&gt;&lt;author&gt;Romberg, Stian&lt;/author&gt;&lt;author&gt;Kotula, Anthony&lt;/author&gt;&lt;/authors&gt;&lt;/contributors&gt;&lt;titles&gt;&lt;title&gt;Simultaneous rheology and cure kinetics dictate thermal post-curing of thermoset composite resins for material extrusion&lt;/title&gt;&lt;secondary-title&gt;Additive Manufacturing&lt;/secondary-title&gt;&lt;/titles&gt;&lt;periodical&gt;&lt;full-title&gt;Additive Manufacturing&lt;/full-title&gt;&lt;abbr-1&gt;Addit. Manuf.&lt;/abbr-1&gt;&lt;/periodical&gt;&lt;pages&gt;103589&lt;/pages&gt;&lt;volume&gt;71&lt;/volume&gt;&lt;keywords&gt;&lt;keyword&gt;Rheo-Raman&lt;/keyword&gt;&lt;keyword&gt;Thermoset composite&lt;/keyword&gt;&lt;keyword&gt;Yield stress fluid&lt;/keyword&gt;&lt;keyword&gt;Direct ink writing&lt;/keyword&gt;&lt;keyword&gt;Thermal post-cure&lt;/keyword&gt;&lt;/keywords&gt;&lt;dates&gt;&lt;year&gt;2023&lt;/year&gt;&lt;pub-dates&gt;&lt;date&gt;2023/06/05&lt;/date&gt;&lt;/pub-dates&gt;&lt;/dates&gt;&lt;isbn&gt;2214-8604&lt;/isbn&gt;&lt;urls&gt;&lt;related-urls&gt;&lt;url&gt;https://doi.org/10.1016/j.addma.2023.103589&lt;/url&gt;&lt;/related-urls&gt;&lt;/urls&gt;&lt;electronic-resource-num&gt;https://doi.org/10.1016/j.addma.2023.103589&lt;/electronic-resource-num&gt;&lt;/record&gt;&lt;/Cite&gt;&lt;Cite&gt;&lt;Author&gt;Romberg&lt;/Author&gt;&lt;Year&gt;2023&lt;/Year&gt;&lt;RecNum&gt;187&lt;/RecNum&gt;&lt;record&gt;&lt;rec-number&gt;187&lt;/rec-number&gt;&lt;foreign-keys&gt;&lt;key app="EN" db-id="x5959tzdksvwwae9at9xaxprvad0x0d09vwv" timestamp="1675980416"&gt;187&lt;/key&gt;&lt;/foreign-keys&gt;&lt;ref-type name="Dataset"&gt;59&lt;/ref-type&gt;&lt;contributors&gt;&lt;authors&gt;&lt;author&gt;Stian Romberg&lt;/author&gt;&lt;author&gt;Anthony Kotula&lt;/author&gt;&lt;/authors&gt;&lt;secondary-authors&gt;&lt;author&gt;NIST Public Data Repository&lt;/author&gt;&lt;/secondary-authors&gt;&lt;/contributors&gt;&lt;titles&gt;&lt;title&gt;Simultaneous rheology and cure kinetics dictate thermal post-curing of thermoset composite resins for material extrusion&lt;/title&gt;&lt;/titles&gt;&lt;dates&gt;&lt;year&gt;2023&lt;/year&gt;&lt;/dates&gt;&lt;urls&gt;&lt;related-urls&gt;&lt;url&gt;https://doi.org/10.18434/mds2-2918&lt;/url&gt;&lt;/related-urls&gt;&lt;/urls&gt;&lt;/record&gt;&lt;/Cite&gt;&lt;/EndNote&gt;</w:instrText>
      </w:r>
      <w:r w:rsidR="00CB0802">
        <w:rPr>
          <w:noProof/>
        </w:rPr>
        <w:fldChar w:fldCharType="separate"/>
      </w:r>
      <w:r w:rsidR="0065317C">
        <w:rPr>
          <w:noProof/>
        </w:rPr>
        <w:t>[3, 4]</w:t>
      </w:r>
      <w:r w:rsidR="00CB0802">
        <w:rPr>
          <w:noProof/>
        </w:rPr>
        <w:fldChar w:fldCharType="end"/>
      </w:r>
      <w:r>
        <w:rPr>
          <w:noProof/>
        </w:rPr>
        <w:t>, whereas those shown in Fig</w:t>
      </w:r>
      <w:r w:rsidR="00A24FCA">
        <w:rPr>
          <w:noProof/>
        </w:rPr>
        <w:t>.</w:t>
      </w:r>
      <w:r>
        <w:rPr>
          <w:noProof/>
        </w:rPr>
        <w:t xml:space="preserve"> </w:t>
      </w:r>
      <w:r w:rsidR="00CE641A">
        <w:rPr>
          <w:noProof/>
        </w:rPr>
        <w:t xml:space="preserve">S6b </w:t>
      </w:r>
      <w:r>
        <w:rPr>
          <w:noProof/>
        </w:rPr>
        <w:t xml:space="preserve">were generated during this work. </w:t>
      </w:r>
      <w:r>
        <w:t>Conversion is assigned to the OWCh measurements by interpolating this map at the storage modulus provided by the OWCh results (which were also interpolated at a frequency of 6.28 rad/s).</w:t>
      </w:r>
    </w:p>
    <w:p w14:paraId="696290F1" w14:textId="77777777" w:rsidR="00872469" w:rsidRDefault="00872469" w:rsidP="00DF40BE"/>
    <w:p w14:paraId="373F4C89" w14:textId="77777777" w:rsidR="00DF40BE" w:rsidRDefault="00DF40BE" w:rsidP="00311120">
      <w:pPr>
        <w:ind w:firstLine="720"/>
        <w:rPr>
          <w:noProof/>
        </w:rPr>
      </w:pPr>
    </w:p>
    <w:p w14:paraId="2C3B9E89" w14:textId="77777777" w:rsidR="00311120" w:rsidRDefault="00311120" w:rsidP="00021DFC">
      <w:pPr>
        <w:jc w:val="center"/>
      </w:pPr>
      <w:r>
        <w:rPr>
          <w:noProof/>
        </w:rPr>
        <w:lastRenderedPageBreak/>
        <w:drawing>
          <wp:inline distT="0" distB="0" distL="0" distR="0" wp14:anchorId="5C2C13A7" wp14:editId="472BDC77">
            <wp:extent cx="2969782" cy="2424923"/>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969782" cy="2424923"/>
                    </a:xfrm>
                    <a:prstGeom prst="rect">
                      <a:avLst/>
                    </a:prstGeom>
                  </pic:spPr>
                </pic:pic>
              </a:graphicData>
            </a:graphic>
          </wp:inline>
        </w:drawing>
      </w:r>
    </w:p>
    <w:p w14:paraId="063DA60B" w14:textId="287BF053" w:rsidR="00311120" w:rsidRDefault="00311120" w:rsidP="00311120">
      <w:r>
        <w:t>Fig</w:t>
      </w:r>
      <w:r w:rsidR="00A24FCA">
        <w:t>.</w:t>
      </w:r>
      <w:r>
        <w:t xml:space="preserve"> S</w:t>
      </w:r>
      <w:r w:rsidR="00717A3E">
        <w:t>7</w:t>
      </w:r>
      <w:r>
        <w:t xml:space="preserve">: </w:t>
      </w:r>
      <w:r w:rsidR="00286C48">
        <w:t>R</w:t>
      </w:r>
      <w:r w:rsidR="00E8016E">
        <w:t>heo-Raman measurements of conversion and storage modulus</w:t>
      </w:r>
      <w:r w:rsidR="00A27664">
        <w:t xml:space="preserve"> </w:t>
      </w:r>
      <w:r w:rsidR="00E8016E">
        <w:t>plotted as a function of time</w:t>
      </w:r>
      <w:r w:rsidR="00286C48">
        <w:t xml:space="preserve"> for the resin with 2.5 % fumed silica</w:t>
      </w:r>
      <w:r w:rsidR="006D75AC">
        <w:t xml:space="preserve"> </w:t>
      </w:r>
      <w:r w:rsidR="00BB2971">
        <w:t>cured</w:t>
      </w:r>
      <w:r w:rsidR="006D75AC">
        <w:t xml:space="preserve"> at 70 </w:t>
      </w:r>
      <w:r w:rsidR="006D75AC" w:rsidRPr="00E36C75">
        <w:t>°</w:t>
      </w:r>
      <w:r w:rsidR="006D75AC">
        <w:t>C</w:t>
      </w:r>
      <w:r w:rsidR="00E8016E">
        <w:t xml:space="preserve">. </w:t>
      </w:r>
      <w:r w:rsidR="003627BE">
        <w:t>Storage modulus was measured</w:t>
      </w:r>
      <w:r>
        <w:t xml:space="preserve"> at a frequency of 6.28 rad/s</w:t>
      </w:r>
      <w:r w:rsidR="003627BE">
        <w:t>.</w:t>
      </w:r>
    </w:p>
    <w:p w14:paraId="6AABEAE3" w14:textId="355D9C3C" w:rsidR="00A67052" w:rsidRDefault="00A67052" w:rsidP="00A67052">
      <w:pPr>
        <w:ind w:firstLine="720"/>
        <w:rPr>
          <w:noProof/>
        </w:rPr>
      </w:pPr>
      <w:r>
        <w:rPr>
          <w:noProof/>
        </w:rPr>
        <w:t>Fig</w:t>
      </w:r>
      <w:r w:rsidR="00A24FCA">
        <w:rPr>
          <w:noProof/>
        </w:rPr>
        <w:t>.</w:t>
      </w:r>
      <w:r>
        <w:rPr>
          <w:noProof/>
        </w:rPr>
        <w:t xml:space="preserve"> S</w:t>
      </w:r>
      <w:r w:rsidR="00257F3C">
        <w:rPr>
          <w:noProof/>
        </w:rPr>
        <w:t>7</w:t>
      </w:r>
      <w:r>
        <w:rPr>
          <w:noProof/>
        </w:rPr>
        <w:t xml:space="preserve"> shows the simultaneous measurements of conversion and storage modulus obtained from the rheo-Raman instrument</w:t>
      </w:r>
      <w:r w:rsidR="00625B4B">
        <w:rPr>
          <w:noProof/>
        </w:rPr>
        <w:t xml:space="preserve"> for the resin with 2.5 % fumed silica</w:t>
      </w:r>
      <w:r>
        <w:rPr>
          <w:noProof/>
        </w:rPr>
        <w:t>. These time-dependent curves were manipulated to achieve the conversion-storage modulus relationship shown in Fig</w:t>
      </w:r>
      <w:r w:rsidR="00A24FCA">
        <w:rPr>
          <w:noProof/>
        </w:rPr>
        <w:t>.</w:t>
      </w:r>
      <w:r>
        <w:rPr>
          <w:noProof/>
        </w:rPr>
        <w:t xml:space="preserve"> </w:t>
      </w:r>
      <w:r w:rsidR="00257F3C">
        <w:rPr>
          <w:noProof/>
        </w:rPr>
        <w:t>S</w:t>
      </w:r>
      <w:r w:rsidR="00A206A5">
        <w:rPr>
          <w:noProof/>
        </w:rPr>
        <w:t>6</w:t>
      </w:r>
      <w:r w:rsidR="00257F3C">
        <w:rPr>
          <w:noProof/>
        </w:rPr>
        <w:t>b</w:t>
      </w:r>
      <w:r>
        <w:rPr>
          <w:noProof/>
        </w:rPr>
        <w:t>.</w:t>
      </w:r>
    </w:p>
    <w:p w14:paraId="5CA429A0" w14:textId="77777777" w:rsidR="007825A1" w:rsidRDefault="007825A1"/>
    <w:p w14:paraId="569A252D" w14:textId="38923912" w:rsidR="00311120" w:rsidRDefault="00311120">
      <w:r>
        <w:br w:type="page"/>
      </w:r>
    </w:p>
    <w:p w14:paraId="27036205" w14:textId="77777777" w:rsidR="00546A8F" w:rsidRDefault="00546A8F" w:rsidP="00FB1CCD">
      <w:pPr>
        <w:ind w:left="-270"/>
      </w:pPr>
      <w:r>
        <w:rPr>
          <w:noProof/>
        </w:rPr>
        <w:lastRenderedPageBreak/>
        <w:drawing>
          <wp:inline distT="0" distB="0" distL="0" distR="0" wp14:anchorId="328C68AE" wp14:editId="5D77CBF7">
            <wp:extent cx="6263638" cy="2560319"/>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263638" cy="2560319"/>
                    </a:xfrm>
                    <a:prstGeom prst="rect">
                      <a:avLst/>
                    </a:prstGeom>
                  </pic:spPr>
                </pic:pic>
              </a:graphicData>
            </a:graphic>
          </wp:inline>
        </w:drawing>
      </w:r>
    </w:p>
    <w:p w14:paraId="47D431EF" w14:textId="2C195BD6" w:rsidR="00546A8F" w:rsidRDefault="00546A8F" w:rsidP="00546A8F">
      <w:r>
        <w:t>Fig</w:t>
      </w:r>
      <w:r w:rsidR="00A24FCA">
        <w:t>.</w:t>
      </w:r>
      <w:r>
        <w:t xml:space="preserve"> S</w:t>
      </w:r>
      <w:r w:rsidR="009D107E">
        <w:t>8</w:t>
      </w:r>
      <w:r>
        <w:t>: Graphical explanation of the method used to determine the horizontal shift factor for each loss tangent response. (a) Before the current response is shifted onto the previous response. (b) After the current response is shifted onto the previous response.</w:t>
      </w:r>
    </w:p>
    <w:p w14:paraId="3DB0C299" w14:textId="64C1588B" w:rsidR="00A120E3" w:rsidRDefault="00A120E3" w:rsidP="00A120E3">
      <w:pPr>
        <w:ind w:firstLine="720"/>
        <w:rPr>
          <w:rFonts w:eastAsiaTheme="minorEastAsia"/>
          <w:noProof/>
        </w:rPr>
      </w:pPr>
      <w:r>
        <w:rPr>
          <w:noProof/>
        </w:rPr>
        <w:t>Fig</w:t>
      </w:r>
      <w:r w:rsidR="00A24FCA">
        <w:rPr>
          <w:noProof/>
        </w:rPr>
        <w:t>.</w:t>
      </w:r>
      <w:r>
        <w:rPr>
          <w:noProof/>
        </w:rPr>
        <w:t xml:space="preserve"> </w:t>
      </w:r>
      <w:r w:rsidR="00257F3C">
        <w:rPr>
          <w:noProof/>
        </w:rPr>
        <w:t xml:space="preserve">S8a </w:t>
      </w:r>
      <w:r w:rsidR="0067032B">
        <w:rPr>
          <w:noProof/>
        </w:rPr>
        <w:t>illustrates</w:t>
      </w:r>
      <w:r>
        <w:rPr>
          <w:noProof/>
        </w:rPr>
        <w:t xml:space="preserve"> how the horizontal shift factor</w:t>
      </w:r>
      <w:r w:rsidR="00777EB3">
        <w:rPr>
          <w:noProof/>
        </w:rPr>
        <w:t xml:space="preserve"> (</w:t>
      </w:r>
      <m:oMath>
        <m:sSub>
          <m:sSubPr>
            <m:ctrlPr>
              <w:rPr>
                <w:rFonts w:ascii="Cambria Math" w:hAnsi="Cambria Math" w:cs="Times New Roman"/>
                <w:i/>
                <w:iCs/>
                <w:noProof/>
                <w:lang w:val="el-GR"/>
              </w:rPr>
            </m:ctrlPr>
          </m:sSubPr>
          <m:e>
            <m:r>
              <w:rPr>
                <w:rFonts w:ascii="Cambria Math" w:hAnsi="Cambria Math" w:cs="Times New Roman"/>
                <w:noProof/>
                <w:lang w:val="el-GR"/>
              </w:rPr>
              <m:t>τ</m:t>
            </m:r>
          </m:e>
          <m:sub>
            <m:r>
              <w:rPr>
                <w:rFonts w:ascii="Cambria Math" w:hAnsi="Cambria Math" w:cs="Times New Roman"/>
                <w:noProof/>
                <w:lang w:val="el-GR"/>
              </w:rPr>
              <m:t>z</m:t>
            </m:r>
          </m:sub>
        </m:sSub>
      </m:oMath>
      <w:r w:rsidR="00777EB3">
        <w:rPr>
          <w:rFonts w:eastAsiaTheme="minorEastAsia"/>
          <w:iCs/>
          <w:noProof/>
        </w:rPr>
        <w:t>)</w:t>
      </w:r>
      <w:r>
        <w:rPr>
          <w:noProof/>
        </w:rPr>
        <w:t xml:space="preserve"> was determined for each response. </w:t>
      </w:r>
      <w:r w:rsidR="00E96F0F" w:rsidRPr="000C4247">
        <w:rPr>
          <w:noProof/>
        </w:rPr>
        <w:t>The first step requires a frequency from the previous response to be paired with each frequency of the current response. This is accomplished by drawing a horizontal line corresponding to the loss tangent at each frequency of the current response</w:t>
      </w:r>
      <w:r w:rsidR="00033B08">
        <w:rPr>
          <w:noProof/>
        </w:rPr>
        <w:t xml:space="preserve"> (</w:t>
      </w:r>
      <m:oMath>
        <m:sSub>
          <m:sSubPr>
            <m:ctrlPr>
              <w:rPr>
                <w:rFonts w:ascii="Cambria Math" w:hAnsi="Cambria Math"/>
                <w:i/>
                <w:noProof/>
                <w:lang w:val="el-GR"/>
              </w:rPr>
            </m:ctrlPr>
          </m:sSubPr>
          <m:e>
            <m:r>
              <w:rPr>
                <w:rFonts w:ascii="Cambria Math" w:hAnsi="Cambria Math"/>
                <w:noProof/>
                <w:lang w:val="el-GR"/>
              </w:rPr>
              <m:t>ω</m:t>
            </m:r>
          </m:e>
          <m:sub>
            <m:r>
              <w:rPr>
                <w:rFonts w:ascii="Cambria Math" w:hAnsi="Cambria Math"/>
                <w:noProof/>
                <w:lang w:val="el-GR"/>
              </w:rPr>
              <m:t>i</m:t>
            </m:r>
            <m:r>
              <w:rPr>
                <w:rFonts w:ascii="Cambria Math" w:hAnsi="Cambria Math"/>
                <w:noProof/>
              </w:rPr>
              <m:t>,k</m:t>
            </m:r>
          </m:sub>
        </m:sSub>
      </m:oMath>
      <w:r w:rsidR="00033B08">
        <w:rPr>
          <w:rFonts w:eastAsiaTheme="minorEastAsia"/>
          <w:noProof/>
        </w:rPr>
        <w:t>)</w:t>
      </w:r>
      <w:r w:rsidR="00E96F0F" w:rsidRPr="000C4247">
        <w:rPr>
          <w:noProof/>
        </w:rPr>
        <w:t xml:space="preserve"> and finding its intersection with the previous response using MATLAB’s “fzero” function. A 4</w:t>
      </w:r>
      <w:r w:rsidR="00E96F0F" w:rsidRPr="000C4247">
        <w:rPr>
          <w:noProof/>
          <w:vertAlign w:val="superscript"/>
        </w:rPr>
        <w:t>th</w:t>
      </w:r>
      <w:r w:rsidR="00E96F0F" w:rsidRPr="000C4247">
        <w:rPr>
          <w:noProof/>
        </w:rPr>
        <w:t xml:space="preserve"> order b-spline is applied to the previous response, so that the loss tangent can be interpolated between measured frequencies rather than using the nearest measured frequency to approximate the “intersection frequency”</w:t>
      </w:r>
      <w:r w:rsidR="00215470">
        <w:rPr>
          <w:noProof/>
        </w:rPr>
        <w:t xml:space="preserve"> </w:t>
      </w:r>
      <w:r w:rsidR="00215470">
        <w:rPr>
          <w:rFonts w:eastAsiaTheme="minorEastAsia"/>
          <w:noProof/>
        </w:rPr>
        <w:t>(</w:t>
      </w:r>
      <m:oMath>
        <m:sSub>
          <m:sSubPr>
            <m:ctrlPr>
              <w:rPr>
                <w:rFonts w:ascii="Cambria Math" w:hAnsi="Cambria Math"/>
                <w:i/>
                <w:noProof/>
              </w:rPr>
            </m:ctrlPr>
          </m:sSubPr>
          <m:e>
            <m:r>
              <w:rPr>
                <w:rFonts w:ascii="Cambria Math" w:hAnsi="Cambria Math"/>
                <w:noProof/>
                <w:lang w:val="el-GR"/>
              </w:rPr>
              <m:t>ω</m:t>
            </m:r>
          </m:e>
          <m:sub>
            <m:r>
              <w:rPr>
                <w:rFonts w:ascii="Cambria Math" w:hAnsi="Cambria Math"/>
                <w:noProof/>
              </w:rPr>
              <m:t>i-1,k</m:t>
            </m:r>
          </m:sub>
        </m:sSub>
      </m:oMath>
      <w:r w:rsidR="00215470">
        <w:rPr>
          <w:rFonts w:eastAsiaTheme="minorEastAsia"/>
          <w:noProof/>
        </w:rPr>
        <w:t>).</w:t>
      </w:r>
      <w:r>
        <w:rPr>
          <w:noProof/>
        </w:rPr>
        <w:t xml:space="preserve"> Then, in Fig</w:t>
      </w:r>
      <w:r w:rsidR="00A24FCA">
        <w:rPr>
          <w:noProof/>
        </w:rPr>
        <w:t>.</w:t>
      </w:r>
      <w:r>
        <w:rPr>
          <w:noProof/>
        </w:rPr>
        <w:t xml:space="preserve"> </w:t>
      </w:r>
      <w:r w:rsidR="00257F3C">
        <w:rPr>
          <w:noProof/>
        </w:rPr>
        <w:t>S8b</w:t>
      </w:r>
      <w:r>
        <w:rPr>
          <w:noProof/>
        </w:rPr>
        <w:t>, the current response was multiplied by the shift factor to superimpose it onto the previous response. In the ideal case</w:t>
      </w:r>
      <w:r w:rsidR="009B0E3F">
        <w:rPr>
          <w:noProof/>
        </w:rPr>
        <w:t xml:space="preserve"> </w:t>
      </w:r>
      <w:r w:rsidR="00CE0CFD">
        <w:rPr>
          <w:noProof/>
        </w:rPr>
        <w:t>shown in Fig</w:t>
      </w:r>
      <w:r w:rsidR="00A24FCA">
        <w:rPr>
          <w:noProof/>
        </w:rPr>
        <w:t>.</w:t>
      </w:r>
      <w:r w:rsidR="00CE0CFD">
        <w:rPr>
          <w:noProof/>
        </w:rPr>
        <w:t xml:space="preserve"> </w:t>
      </w:r>
      <w:r w:rsidR="00257F3C">
        <w:rPr>
          <w:noProof/>
        </w:rPr>
        <w:t xml:space="preserve">S8 </w:t>
      </w:r>
      <w:r w:rsidR="009B0E3F">
        <w:rPr>
          <w:noProof/>
        </w:rPr>
        <w:t>(i.e., when the</w:t>
      </w:r>
      <w:r w:rsidR="006D7700">
        <w:rPr>
          <w:noProof/>
        </w:rPr>
        <w:t xml:space="preserve"> shapes of the curves match perfectly and there is no noise or </w:t>
      </w:r>
      <w:r w:rsidR="0081582F">
        <w:rPr>
          <w:noProof/>
        </w:rPr>
        <w:t>fluctuations</w:t>
      </w:r>
      <w:r w:rsidR="006D7700">
        <w:rPr>
          <w:noProof/>
        </w:rPr>
        <w:t>)</w:t>
      </w:r>
      <w:r>
        <w:rPr>
          <w:noProof/>
        </w:rPr>
        <w:t xml:space="preserve">, the shift factor </w:t>
      </w:r>
      <w:r w:rsidR="00184314">
        <w:rPr>
          <w:noProof/>
        </w:rPr>
        <w:t>can</w:t>
      </w:r>
      <w:r>
        <w:rPr>
          <w:noProof/>
        </w:rPr>
        <w:t xml:space="preserve"> be calculated by dividing the frequency associated with the previous response by the current frequency (i.e., </w:t>
      </w:r>
      <m:oMath>
        <m:sSub>
          <m:sSubPr>
            <m:ctrlPr>
              <w:rPr>
                <w:rFonts w:ascii="Cambria Math" w:hAnsi="Cambria Math"/>
                <w:i/>
                <w:noProof/>
              </w:rPr>
            </m:ctrlPr>
          </m:sSubPr>
          <m:e>
            <m:r>
              <w:rPr>
                <w:rFonts w:ascii="Cambria Math" w:hAnsi="Cambria Math"/>
                <w:noProof/>
                <w:lang w:val="el-GR"/>
              </w:rPr>
              <m:t>τ</m:t>
            </m:r>
          </m:e>
          <m:sub>
            <m:r>
              <w:rPr>
                <w:rFonts w:ascii="Cambria Math" w:hAnsi="Cambria Math"/>
                <w:noProof/>
              </w:rPr>
              <m:t>z</m:t>
            </m:r>
          </m:sub>
        </m:sSub>
        <m:r>
          <w:rPr>
            <w:rFonts w:ascii="Cambria Math" w:hAnsi="Cambria Math"/>
            <w:noProof/>
          </w:rPr>
          <m:t xml:space="preserve">= </m:t>
        </m:r>
        <m:f>
          <m:fPr>
            <m:ctrlPr>
              <w:rPr>
                <w:rFonts w:ascii="Cambria Math" w:hAnsi="Cambria Math"/>
                <w:i/>
                <w:noProof/>
              </w:rPr>
            </m:ctrlPr>
          </m:fPr>
          <m:num>
            <m:sSub>
              <m:sSubPr>
                <m:ctrlPr>
                  <w:rPr>
                    <w:rFonts w:ascii="Cambria Math" w:hAnsi="Cambria Math"/>
                    <w:i/>
                    <w:noProof/>
                  </w:rPr>
                </m:ctrlPr>
              </m:sSubPr>
              <m:e>
                <m:r>
                  <w:rPr>
                    <w:rFonts w:ascii="Cambria Math" w:hAnsi="Cambria Math"/>
                    <w:noProof/>
                    <w:lang w:val="el-GR"/>
                  </w:rPr>
                  <m:t>ω</m:t>
                </m:r>
              </m:e>
              <m:sub>
                <m:r>
                  <w:rPr>
                    <w:rFonts w:ascii="Cambria Math" w:hAnsi="Cambria Math"/>
                    <w:noProof/>
                  </w:rPr>
                  <m:t>i-1,k</m:t>
                </m:r>
              </m:sub>
            </m:sSub>
          </m:num>
          <m:den>
            <m:sSub>
              <m:sSubPr>
                <m:ctrlPr>
                  <w:rPr>
                    <w:rFonts w:ascii="Cambria Math" w:hAnsi="Cambria Math"/>
                    <w:i/>
                    <w:noProof/>
                    <w:lang w:val="el-GR"/>
                  </w:rPr>
                </m:ctrlPr>
              </m:sSubPr>
              <m:e>
                <m:r>
                  <w:rPr>
                    <w:rFonts w:ascii="Cambria Math" w:hAnsi="Cambria Math"/>
                    <w:noProof/>
                    <w:lang w:val="el-GR"/>
                  </w:rPr>
                  <m:t>ω</m:t>
                </m:r>
              </m:e>
              <m:sub>
                <m:r>
                  <w:rPr>
                    <w:rFonts w:ascii="Cambria Math" w:hAnsi="Cambria Math"/>
                    <w:noProof/>
                    <w:lang w:val="el-GR"/>
                  </w:rPr>
                  <m:t>i</m:t>
                </m:r>
                <m:r>
                  <w:rPr>
                    <w:rFonts w:ascii="Cambria Math" w:hAnsi="Cambria Math"/>
                    <w:noProof/>
                  </w:rPr>
                  <m:t>,k</m:t>
                </m:r>
              </m:sub>
            </m:sSub>
          </m:den>
        </m:f>
      </m:oMath>
      <w:r>
        <w:rPr>
          <w:rFonts w:eastAsiaTheme="minorEastAsia"/>
          <w:noProof/>
        </w:rPr>
        <w:t>)</w:t>
      </w:r>
      <w:r w:rsidR="0089614E">
        <w:rPr>
          <w:rFonts w:eastAsiaTheme="minorEastAsia"/>
          <w:noProof/>
        </w:rPr>
        <w:t xml:space="preserve">, </w:t>
      </w:r>
      <w:r w:rsidR="00DA15A7">
        <w:rPr>
          <w:rFonts w:eastAsiaTheme="minorEastAsia"/>
          <w:noProof/>
        </w:rPr>
        <w:t>and every instance (</w:t>
      </w:r>
      <m:oMath>
        <m:r>
          <w:rPr>
            <w:rFonts w:ascii="Cambria Math" w:eastAsiaTheme="minorEastAsia" w:hAnsi="Cambria Math"/>
            <w:noProof/>
          </w:rPr>
          <m:t>k</m:t>
        </m:r>
      </m:oMath>
      <w:r w:rsidR="00DA15A7">
        <w:rPr>
          <w:rFonts w:eastAsiaTheme="minorEastAsia"/>
          <w:noProof/>
        </w:rPr>
        <w:t>) of this equation would res</w:t>
      </w:r>
      <w:r w:rsidR="0089614E">
        <w:rPr>
          <w:rFonts w:eastAsiaTheme="minorEastAsia"/>
          <w:noProof/>
        </w:rPr>
        <w:t>u</w:t>
      </w:r>
      <w:r w:rsidR="00DA15A7">
        <w:rPr>
          <w:rFonts w:eastAsiaTheme="minorEastAsia"/>
          <w:noProof/>
        </w:rPr>
        <w:t>lt in the same value of shift factor</w:t>
      </w:r>
      <w:r>
        <w:rPr>
          <w:rFonts w:eastAsiaTheme="minorEastAsia"/>
          <w:noProof/>
        </w:rPr>
        <w:t>. Of course, for each overlapping frequency (indicated by the index “</w:t>
      </w:r>
      <m:oMath>
        <m:r>
          <w:rPr>
            <w:rFonts w:ascii="Cambria Math" w:eastAsiaTheme="minorEastAsia" w:hAnsi="Cambria Math"/>
            <w:noProof/>
          </w:rPr>
          <m:t>k</m:t>
        </m:r>
      </m:oMath>
      <w:r>
        <w:rPr>
          <w:rFonts w:eastAsiaTheme="minorEastAsia"/>
          <w:noProof/>
        </w:rPr>
        <w:t xml:space="preserve">”), the ratio of </w:t>
      </w:r>
      <m:oMath>
        <m:f>
          <m:fPr>
            <m:ctrlPr>
              <w:rPr>
                <w:rFonts w:ascii="Cambria Math" w:hAnsi="Cambria Math"/>
                <w:i/>
                <w:noProof/>
              </w:rPr>
            </m:ctrlPr>
          </m:fPr>
          <m:num>
            <m:sSub>
              <m:sSubPr>
                <m:ctrlPr>
                  <w:rPr>
                    <w:rFonts w:ascii="Cambria Math" w:hAnsi="Cambria Math"/>
                    <w:i/>
                    <w:noProof/>
                  </w:rPr>
                </m:ctrlPr>
              </m:sSubPr>
              <m:e>
                <m:r>
                  <w:rPr>
                    <w:rFonts w:ascii="Cambria Math" w:hAnsi="Cambria Math"/>
                    <w:noProof/>
                    <w:lang w:val="el-GR"/>
                  </w:rPr>
                  <m:t>ω</m:t>
                </m:r>
              </m:e>
              <m:sub>
                <m:r>
                  <w:rPr>
                    <w:rFonts w:ascii="Cambria Math" w:hAnsi="Cambria Math"/>
                    <w:noProof/>
                  </w:rPr>
                  <m:t>i-1,k</m:t>
                </m:r>
              </m:sub>
            </m:sSub>
          </m:num>
          <m:den>
            <m:sSub>
              <m:sSubPr>
                <m:ctrlPr>
                  <w:rPr>
                    <w:rFonts w:ascii="Cambria Math" w:hAnsi="Cambria Math"/>
                    <w:i/>
                    <w:noProof/>
                    <w:lang w:val="el-GR"/>
                  </w:rPr>
                </m:ctrlPr>
              </m:sSubPr>
              <m:e>
                <m:r>
                  <w:rPr>
                    <w:rFonts w:ascii="Cambria Math" w:hAnsi="Cambria Math"/>
                    <w:noProof/>
                    <w:lang w:val="el-GR"/>
                  </w:rPr>
                  <m:t>ω</m:t>
                </m:r>
              </m:e>
              <m:sub>
                <m:r>
                  <w:rPr>
                    <w:rFonts w:ascii="Cambria Math" w:hAnsi="Cambria Math"/>
                    <w:noProof/>
                    <w:lang w:val="el-GR"/>
                  </w:rPr>
                  <m:t>i</m:t>
                </m:r>
                <m:r>
                  <w:rPr>
                    <w:rFonts w:ascii="Cambria Math" w:hAnsi="Cambria Math"/>
                    <w:noProof/>
                  </w:rPr>
                  <m:t>,k</m:t>
                </m:r>
              </m:sub>
            </m:sSub>
          </m:den>
        </m:f>
      </m:oMath>
      <w:r>
        <w:rPr>
          <w:rFonts w:eastAsiaTheme="minorEastAsia"/>
          <w:noProof/>
        </w:rPr>
        <w:t xml:space="preserve"> may be different due to</w:t>
      </w:r>
      <w:r w:rsidR="00E53EA0">
        <w:rPr>
          <w:rFonts w:eastAsiaTheme="minorEastAsia"/>
          <w:noProof/>
        </w:rPr>
        <w:t xml:space="preserve"> th</w:t>
      </w:r>
      <w:r w:rsidR="002A60E5">
        <w:rPr>
          <w:rFonts w:eastAsiaTheme="minorEastAsia"/>
          <w:noProof/>
        </w:rPr>
        <w:t>e</w:t>
      </w:r>
      <w:r>
        <w:rPr>
          <w:rFonts w:eastAsiaTheme="minorEastAsia"/>
          <w:noProof/>
        </w:rPr>
        <w:t xml:space="preserve"> </w:t>
      </w:r>
      <w:r w:rsidR="008164E8">
        <w:rPr>
          <w:rFonts w:eastAsiaTheme="minorEastAsia"/>
          <w:noProof/>
        </w:rPr>
        <w:t>fluctuations</w:t>
      </w:r>
      <w:r w:rsidR="00E53EA0">
        <w:rPr>
          <w:rFonts w:eastAsiaTheme="minorEastAsia"/>
          <w:noProof/>
        </w:rPr>
        <w:t xml:space="preserve"> shown in Fig</w:t>
      </w:r>
      <w:r w:rsidR="00A24FCA">
        <w:rPr>
          <w:rFonts w:eastAsiaTheme="minorEastAsia"/>
          <w:noProof/>
        </w:rPr>
        <w:t>.</w:t>
      </w:r>
      <w:r w:rsidR="00E53EA0">
        <w:rPr>
          <w:rFonts w:eastAsiaTheme="minorEastAsia"/>
          <w:noProof/>
        </w:rPr>
        <w:t xml:space="preserve"> </w:t>
      </w:r>
      <w:r w:rsidR="00521E81">
        <w:rPr>
          <w:rFonts w:eastAsiaTheme="minorEastAsia"/>
          <w:noProof/>
        </w:rPr>
        <w:t>2</w:t>
      </w:r>
      <w:r w:rsidR="008164E8">
        <w:rPr>
          <w:rFonts w:eastAsiaTheme="minorEastAsia"/>
          <w:noProof/>
        </w:rPr>
        <w:t xml:space="preserve"> of the main text</w:t>
      </w:r>
      <w:r>
        <w:rPr>
          <w:rFonts w:eastAsiaTheme="minorEastAsia"/>
          <w:noProof/>
        </w:rPr>
        <w:t xml:space="preserve">. Therefore, some additional complexity must be incorporated into the shifting algorithm. </w:t>
      </w:r>
      <w:r w:rsidR="000824CE" w:rsidRPr="000C4247">
        <w:rPr>
          <w:noProof/>
        </w:rPr>
        <w:t xml:space="preserve">Gergesova et al. </w:t>
      </w:r>
      <w:r w:rsidR="000824CE" w:rsidRPr="000C4247">
        <w:rPr>
          <w:noProof/>
        </w:rPr>
        <w:fldChar w:fldCharType="begin"/>
      </w:r>
      <w:r w:rsidR="0065317C">
        <w:rPr>
          <w:noProof/>
        </w:rPr>
        <w:instrText xml:space="preserve"> ADDIN EN.CITE &lt;EndNote&gt;&lt;Cite&gt;&lt;Author&gt;Gergesova&lt;/Author&gt;&lt;Year&gt;2011&lt;/Year&gt;&lt;RecNum&gt;295&lt;/RecNum&gt;&lt;DisplayText&gt;[5]&lt;/DisplayText&gt;&lt;record&gt;&lt;rec-number&gt;295&lt;/rec-number&gt;&lt;foreign-keys&gt;&lt;key app="EN" db-id="x5959tzdksvwwae9at9xaxprvad0x0d09vwv" timestamp="1721837687"&gt;295&lt;/key&gt;&lt;/foreign-keys&gt;&lt;ref-type name="Journal Article"&gt;17&lt;/ref-type&gt;&lt;contributors&gt;&lt;authors&gt;&lt;author&gt;Gergesova, M.&lt;/author&gt;&lt;author&gt;Zupančič, B.&lt;/author&gt;&lt;author&gt;Saprunov, I.&lt;/author&gt;&lt;author&gt;Emri, I.&lt;/author&gt;&lt;/authors&gt;&lt;/contributors&gt;&lt;titles&gt;&lt;title&gt;The closed form t-T-P shifting (CFS) algorithm&lt;/title&gt;&lt;secondary-title&gt;Journal of Rheology&lt;/secondary-title&gt;&lt;/titles&gt;&lt;periodical&gt;&lt;full-title&gt;Journal of Rheology&lt;/full-title&gt;&lt;abbr-1&gt;J. Rheol.&lt;/abbr-1&gt;&lt;/periodical&gt;&lt;pages&gt;1-16&lt;/pages&gt;&lt;volume&gt;55&lt;/volume&gt;&lt;number&gt;1&lt;/number&gt;&lt;dates&gt;&lt;year&gt;2011&lt;/year&gt;&lt;/dates&gt;&lt;isbn&gt;0148-6055&lt;/isbn&gt;&lt;urls&gt;&lt;related-urls&gt;&lt;url&gt;https://doi.org/10.1122/1.3503529&lt;/url&gt;&lt;/related-urls&gt;&lt;/urls&gt;&lt;electronic-resource-num&gt;https://doi.org/10.1122/1.3503529&lt;/electronic-resource-num&gt;&lt;access-date&gt;7/24/2024&lt;/access-date&gt;&lt;/record&gt;&lt;/Cite&gt;&lt;/EndNote&gt;</w:instrText>
      </w:r>
      <w:r w:rsidR="000824CE" w:rsidRPr="000C4247">
        <w:rPr>
          <w:noProof/>
        </w:rPr>
        <w:fldChar w:fldCharType="separate"/>
      </w:r>
      <w:r w:rsidR="0065317C">
        <w:rPr>
          <w:noProof/>
        </w:rPr>
        <w:t>[5]</w:t>
      </w:r>
      <w:r w:rsidR="000824CE" w:rsidRPr="000C4247">
        <w:rPr>
          <w:noProof/>
        </w:rPr>
        <w:fldChar w:fldCharType="end"/>
      </w:r>
      <w:r w:rsidR="000824CE" w:rsidRPr="000C4247">
        <w:rPr>
          <w:noProof/>
        </w:rPr>
        <w:t xml:space="preserve"> developed a closed form solution to determine the horizontal shift factor by finding the value that would eliminate the </w:t>
      </w:r>
      <w:r w:rsidR="00B25D02">
        <w:rPr>
          <w:noProof/>
        </w:rPr>
        <w:t>net</w:t>
      </w:r>
      <w:r w:rsidR="00156812">
        <w:rPr>
          <w:noProof/>
        </w:rPr>
        <w:t xml:space="preserve"> </w:t>
      </w:r>
      <w:r w:rsidR="000824CE" w:rsidRPr="000C4247">
        <w:rPr>
          <w:noProof/>
        </w:rPr>
        <w:t>area between the current and previous response</w:t>
      </w:r>
      <w:r w:rsidR="003E3CDF">
        <w:rPr>
          <w:noProof/>
        </w:rPr>
        <w:t>, balancing the error</w:t>
      </w:r>
      <w:r w:rsidR="000824CE" w:rsidRPr="000C4247">
        <w:rPr>
          <w:noProof/>
        </w:rPr>
        <w:t>.</w:t>
      </w:r>
      <w:r w:rsidR="000824CE">
        <w:rPr>
          <w:noProof/>
        </w:rPr>
        <w:t xml:space="preserve"> </w:t>
      </w:r>
      <w:r w:rsidR="003905BA">
        <w:rPr>
          <w:noProof/>
        </w:rPr>
        <w:t xml:space="preserve">We implement this approach </w:t>
      </w:r>
      <w:r>
        <w:rPr>
          <w:rFonts w:eastAsiaTheme="minorEastAsia"/>
          <w:noProof/>
        </w:rPr>
        <w:t>by slightly modifying the equation shown on the x-axis of Fig</w:t>
      </w:r>
      <w:r w:rsidR="00A24FCA">
        <w:rPr>
          <w:rFonts w:eastAsiaTheme="minorEastAsia"/>
          <w:noProof/>
        </w:rPr>
        <w:t>.</w:t>
      </w:r>
      <w:r>
        <w:rPr>
          <w:rFonts w:eastAsiaTheme="minorEastAsia"/>
          <w:noProof/>
        </w:rPr>
        <w:t xml:space="preserve"> S</w:t>
      </w:r>
      <w:r w:rsidR="00257F3C">
        <w:rPr>
          <w:rFonts w:eastAsiaTheme="minorEastAsia"/>
          <w:noProof/>
        </w:rPr>
        <w:t>8</w:t>
      </w:r>
      <w:r w:rsidR="002615C8">
        <w:rPr>
          <w:rFonts w:eastAsiaTheme="minorEastAsia"/>
          <w:noProof/>
        </w:rPr>
        <w:t>b</w:t>
      </w:r>
      <w:r>
        <w:rPr>
          <w:rFonts w:eastAsiaTheme="minorEastAsia"/>
          <w:noProof/>
        </w:rPr>
        <w:t xml:space="preserve"> to </w:t>
      </w:r>
      <w:r w:rsidR="002615C8">
        <w:rPr>
          <w:rFonts w:eastAsiaTheme="minorEastAsia"/>
          <w:noProof/>
        </w:rPr>
        <w:t>assume some amount of</w:t>
      </w:r>
      <w:r>
        <w:rPr>
          <w:rFonts w:eastAsiaTheme="minorEastAsia"/>
          <w:noProof/>
        </w:rPr>
        <w:t xml:space="preserve"> error (</w:t>
      </w:r>
      <m:oMath>
        <m:sSub>
          <m:sSubPr>
            <m:ctrlPr>
              <w:rPr>
                <w:rFonts w:ascii="Cambria Math" w:hAnsi="Cambria Math"/>
                <w:i/>
                <w:noProof/>
                <w:lang w:val="el-GR"/>
              </w:rPr>
            </m:ctrlPr>
          </m:sSubPr>
          <m:e>
            <m:r>
              <w:rPr>
                <w:rFonts w:ascii="Cambria Math" w:hAnsi="Cambria Math"/>
                <w:noProof/>
                <w:lang w:val="el-GR"/>
              </w:rPr>
              <m:t>ε</m:t>
            </m:r>
          </m:e>
          <m:sub>
            <m:r>
              <w:rPr>
                <w:rFonts w:ascii="Cambria Math" w:hAnsi="Cambria Math"/>
                <w:noProof/>
                <w:lang w:val="el-GR"/>
              </w:rPr>
              <m:t>k</m:t>
            </m:r>
          </m:sub>
        </m:sSub>
      </m:oMath>
      <w:r>
        <w:rPr>
          <w:rFonts w:eastAsiaTheme="minorEastAsia"/>
          <w:noProof/>
        </w:rPr>
        <w:t>).</w:t>
      </w:r>
    </w:p>
    <w:tbl>
      <w:tblPr>
        <w:tblStyle w:val="TableGrid"/>
        <w:tblW w:w="0" w:type="auto"/>
        <w:tblLook w:val="04A0" w:firstRow="1" w:lastRow="0" w:firstColumn="1" w:lastColumn="0" w:noHBand="0" w:noVBand="1"/>
      </w:tblPr>
      <w:tblGrid>
        <w:gridCol w:w="8725"/>
        <w:gridCol w:w="625"/>
      </w:tblGrid>
      <w:tr w:rsidR="00A028B5" w14:paraId="62ABEC4B" w14:textId="77777777" w:rsidTr="00272A01">
        <w:trPr>
          <w:trHeight w:val="747"/>
        </w:trPr>
        <w:tc>
          <w:tcPr>
            <w:tcW w:w="8725" w:type="dxa"/>
            <w:tcBorders>
              <w:top w:val="nil"/>
              <w:left w:val="nil"/>
              <w:bottom w:val="nil"/>
              <w:right w:val="nil"/>
            </w:tcBorders>
            <w:vAlign w:val="center"/>
          </w:tcPr>
          <w:p w14:paraId="52E71FBA" w14:textId="6FB2F715" w:rsidR="00A028B5" w:rsidRPr="00794502" w:rsidRDefault="00000000" w:rsidP="00272A01">
            <w:pPr>
              <w:rPr>
                <w:rFonts w:eastAsiaTheme="minorEastAsia"/>
                <w:iCs/>
              </w:rPr>
            </w:pPr>
            <m:oMathPara>
              <m:oMath>
                <m:sSub>
                  <m:sSubPr>
                    <m:ctrlPr>
                      <w:rPr>
                        <w:rFonts w:ascii="Cambria Math" w:hAnsi="Cambria Math"/>
                        <w:i/>
                        <w:noProof/>
                      </w:rPr>
                    </m:ctrlPr>
                  </m:sSubPr>
                  <m:e>
                    <m:r>
                      <w:rPr>
                        <w:rFonts w:ascii="Cambria Math" w:hAnsi="Cambria Math"/>
                        <w:noProof/>
                        <w:lang w:val="el-GR"/>
                      </w:rPr>
                      <m:t>τ</m:t>
                    </m:r>
                  </m:e>
                  <m:sub>
                    <m:r>
                      <w:rPr>
                        <w:rFonts w:ascii="Cambria Math" w:hAnsi="Cambria Math"/>
                        <w:noProof/>
                      </w:rPr>
                      <m:t>z</m:t>
                    </m:r>
                  </m:sub>
                </m:sSub>
                <m:sSub>
                  <m:sSubPr>
                    <m:ctrlPr>
                      <w:rPr>
                        <w:rFonts w:ascii="Cambria Math" w:hAnsi="Cambria Math"/>
                        <w:i/>
                        <w:noProof/>
                      </w:rPr>
                    </m:ctrlPr>
                  </m:sSubPr>
                  <m:e>
                    <m:r>
                      <w:rPr>
                        <w:rFonts w:ascii="Cambria Math" w:hAnsi="Cambria Math"/>
                        <w:noProof/>
                        <w:lang w:val="el-GR"/>
                      </w:rPr>
                      <m:t>ω</m:t>
                    </m:r>
                  </m:e>
                  <m:sub>
                    <m:r>
                      <w:rPr>
                        <w:rFonts w:ascii="Cambria Math" w:hAnsi="Cambria Math"/>
                        <w:noProof/>
                      </w:rPr>
                      <m:t>i,k</m:t>
                    </m:r>
                  </m:sub>
                </m:sSub>
                <m:r>
                  <w:rPr>
                    <w:rFonts w:ascii="Cambria Math" w:hAnsi="Cambria Math"/>
                    <w:noProof/>
                    <w:lang w:val="el-GR"/>
                  </w:rPr>
                  <m:t xml:space="preserve">= </m:t>
                </m:r>
                <m:sSub>
                  <m:sSubPr>
                    <m:ctrlPr>
                      <w:rPr>
                        <w:rFonts w:ascii="Cambria Math" w:hAnsi="Cambria Math"/>
                        <w:i/>
                        <w:noProof/>
                      </w:rPr>
                    </m:ctrlPr>
                  </m:sSubPr>
                  <m:e>
                    <m:r>
                      <w:rPr>
                        <w:rFonts w:ascii="Cambria Math" w:hAnsi="Cambria Math"/>
                        <w:noProof/>
                        <w:lang w:val="el-GR"/>
                      </w:rPr>
                      <m:t>ω</m:t>
                    </m:r>
                  </m:e>
                  <m:sub>
                    <m:r>
                      <w:rPr>
                        <w:rFonts w:ascii="Cambria Math" w:hAnsi="Cambria Math"/>
                        <w:noProof/>
                      </w:rPr>
                      <m:t>i-</m:t>
                    </m:r>
                    <m:r>
                      <w:rPr>
                        <w:rFonts w:ascii="Cambria Math" w:hAnsi="Cambria Math"/>
                        <w:noProof/>
                        <w:lang w:val="el-GR"/>
                      </w:rPr>
                      <m:t>1</m:t>
                    </m:r>
                    <m:r>
                      <w:rPr>
                        <w:rFonts w:ascii="Cambria Math" w:hAnsi="Cambria Math"/>
                        <w:noProof/>
                      </w:rPr>
                      <m:t>,k</m:t>
                    </m:r>
                  </m:sub>
                </m:sSub>
                <m:r>
                  <w:rPr>
                    <w:rFonts w:ascii="Cambria Math" w:hAnsi="Cambria Math"/>
                    <w:noProof/>
                    <w:lang w:val="el-GR"/>
                  </w:rPr>
                  <m:t xml:space="preserve">+ </m:t>
                </m:r>
                <m:sSub>
                  <m:sSubPr>
                    <m:ctrlPr>
                      <w:rPr>
                        <w:rFonts w:ascii="Cambria Math" w:hAnsi="Cambria Math"/>
                        <w:i/>
                        <w:noProof/>
                        <w:color w:val="FF0000"/>
                        <w:lang w:val="el-GR"/>
                      </w:rPr>
                    </m:ctrlPr>
                  </m:sSubPr>
                  <m:e>
                    <m:r>
                      <w:rPr>
                        <w:rFonts w:ascii="Cambria Math" w:hAnsi="Cambria Math"/>
                        <w:noProof/>
                        <w:color w:val="FF0000"/>
                        <w:lang w:val="el-GR"/>
                      </w:rPr>
                      <m:t>ε</m:t>
                    </m:r>
                  </m:e>
                  <m:sub>
                    <m:r>
                      <w:rPr>
                        <w:rFonts w:ascii="Cambria Math" w:hAnsi="Cambria Math"/>
                        <w:noProof/>
                        <w:color w:val="FF0000"/>
                        <w:lang w:val="el-GR"/>
                      </w:rPr>
                      <m:t>k</m:t>
                    </m:r>
                  </m:sub>
                </m:sSub>
              </m:oMath>
            </m:oMathPara>
          </w:p>
        </w:tc>
        <w:tc>
          <w:tcPr>
            <w:tcW w:w="625" w:type="dxa"/>
            <w:tcBorders>
              <w:top w:val="nil"/>
              <w:left w:val="nil"/>
              <w:bottom w:val="nil"/>
              <w:right w:val="nil"/>
            </w:tcBorders>
            <w:vAlign w:val="center"/>
          </w:tcPr>
          <w:p w14:paraId="07B916CA" w14:textId="6E2CF4DC" w:rsidR="00A028B5" w:rsidRDefault="00A028B5" w:rsidP="00272A01">
            <w:pPr>
              <w:jc w:val="center"/>
            </w:pPr>
            <w:r>
              <w:t>(S1)</w:t>
            </w:r>
          </w:p>
        </w:tc>
      </w:tr>
    </w:tbl>
    <w:p w14:paraId="747BE46F" w14:textId="77777777" w:rsidR="00A120E3" w:rsidRDefault="00A120E3" w:rsidP="00A120E3">
      <w:pPr>
        <w:rPr>
          <w:rFonts w:eastAsiaTheme="minorEastAsia"/>
          <w:noProof/>
        </w:rPr>
      </w:pPr>
      <w:r>
        <w:rPr>
          <w:rFonts w:eastAsiaTheme="minorEastAsia"/>
          <w:iCs/>
          <w:noProof/>
        </w:rPr>
        <w:t xml:space="preserve">We eliminate the error between the shifted current response and the previous response by solving for </w:t>
      </w:r>
      <m:oMath>
        <m:sSub>
          <m:sSubPr>
            <m:ctrlPr>
              <w:rPr>
                <w:rFonts w:ascii="Cambria Math" w:hAnsi="Cambria Math"/>
                <w:i/>
                <w:noProof/>
                <w:lang w:val="el-GR"/>
              </w:rPr>
            </m:ctrlPr>
          </m:sSubPr>
          <m:e>
            <m:r>
              <w:rPr>
                <w:rFonts w:ascii="Cambria Math" w:hAnsi="Cambria Math"/>
                <w:noProof/>
                <w:lang w:val="el-GR"/>
              </w:rPr>
              <m:t>ε</m:t>
            </m:r>
          </m:e>
          <m:sub>
            <m:r>
              <w:rPr>
                <w:rFonts w:ascii="Cambria Math" w:hAnsi="Cambria Math"/>
                <w:noProof/>
                <w:lang w:val="el-GR"/>
              </w:rPr>
              <m:t>k</m:t>
            </m:r>
          </m:sub>
        </m:sSub>
      </m:oMath>
      <w:r>
        <w:rPr>
          <w:rFonts w:eastAsiaTheme="minorEastAsia"/>
          <w:noProof/>
        </w:rPr>
        <w:t>, summing over every term, and then setting that sum equal to 0.</w:t>
      </w:r>
    </w:p>
    <w:tbl>
      <w:tblPr>
        <w:tblStyle w:val="TableGrid"/>
        <w:tblW w:w="0" w:type="auto"/>
        <w:tblLook w:val="04A0" w:firstRow="1" w:lastRow="0" w:firstColumn="1" w:lastColumn="0" w:noHBand="0" w:noVBand="1"/>
      </w:tblPr>
      <w:tblGrid>
        <w:gridCol w:w="8725"/>
        <w:gridCol w:w="625"/>
      </w:tblGrid>
      <w:tr w:rsidR="00A028B5" w14:paraId="30D12EA7" w14:textId="77777777" w:rsidTr="00272A01">
        <w:trPr>
          <w:trHeight w:val="747"/>
        </w:trPr>
        <w:tc>
          <w:tcPr>
            <w:tcW w:w="8725" w:type="dxa"/>
            <w:tcBorders>
              <w:top w:val="nil"/>
              <w:left w:val="nil"/>
              <w:bottom w:val="nil"/>
              <w:right w:val="nil"/>
            </w:tcBorders>
            <w:vAlign w:val="center"/>
          </w:tcPr>
          <w:p w14:paraId="2A41F1E7" w14:textId="54618F4E" w:rsidR="00A028B5" w:rsidRPr="00794502" w:rsidRDefault="00000000" w:rsidP="00A028B5">
            <w:pPr>
              <w:spacing w:after="160" w:line="259" w:lineRule="auto"/>
              <w:rPr>
                <w:rFonts w:eastAsiaTheme="minorEastAsia"/>
                <w:iCs/>
              </w:rPr>
            </w:pPr>
            <m:oMathPara>
              <m:oMath>
                <m:nary>
                  <m:naryPr>
                    <m:chr m:val="∑"/>
                    <m:limLoc m:val="undOvr"/>
                    <m:ctrlPr>
                      <w:rPr>
                        <w:rFonts w:ascii="Cambria Math" w:hAnsi="Cambria Math"/>
                        <w:i/>
                        <w:iCs/>
                        <w:noProof/>
                      </w:rPr>
                    </m:ctrlPr>
                  </m:naryPr>
                  <m:sub>
                    <m:r>
                      <w:rPr>
                        <w:rFonts w:ascii="Cambria Math" w:hAnsi="Cambria Math"/>
                        <w:noProof/>
                      </w:rPr>
                      <m:t>j=1</m:t>
                    </m:r>
                  </m:sub>
                  <m:sup>
                    <m:r>
                      <w:rPr>
                        <w:rFonts w:ascii="Cambria Math" w:hAnsi="Cambria Math"/>
                        <w:noProof/>
                      </w:rPr>
                      <m:t>k</m:t>
                    </m:r>
                  </m:sup>
                  <m:e>
                    <m:sSub>
                      <m:sSubPr>
                        <m:ctrlPr>
                          <w:rPr>
                            <w:rFonts w:ascii="Cambria Math" w:hAnsi="Cambria Math"/>
                            <w:i/>
                            <w:noProof/>
                          </w:rPr>
                        </m:ctrlPr>
                      </m:sSubPr>
                      <m:e>
                        <m:r>
                          <w:rPr>
                            <w:rFonts w:ascii="Cambria Math" w:hAnsi="Cambria Math"/>
                            <w:noProof/>
                          </w:rPr>
                          <m:t>ε</m:t>
                        </m:r>
                      </m:e>
                      <m:sub>
                        <m:r>
                          <w:rPr>
                            <w:rFonts w:ascii="Cambria Math" w:hAnsi="Cambria Math"/>
                            <w:noProof/>
                          </w:rPr>
                          <m:t>j</m:t>
                        </m:r>
                      </m:sub>
                    </m:sSub>
                  </m:e>
                </m:nary>
                <m:r>
                  <w:rPr>
                    <w:rFonts w:ascii="Cambria Math" w:hAnsi="Cambria Math"/>
                    <w:noProof/>
                  </w:rPr>
                  <m:t xml:space="preserve">= </m:t>
                </m:r>
                <m:nary>
                  <m:naryPr>
                    <m:chr m:val="∑"/>
                    <m:limLoc m:val="undOvr"/>
                    <m:ctrlPr>
                      <w:rPr>
                        <w:rFonts w:ascii="Cambria Math" w:hAnsi="Cambria Math"/>
                        <w:i/>
                        <w:iCs/>
                        <w:noProof/>
                      </w:rPr>
                    </m:ctrlPr>
                  </m:naryPr>
                  <m:sub>
                    <m:r>
                      <w:rPr>
                        <w:rFonts w:ascii="Cambria Math" w:hAnsi="Cambria Math"/>
                        <w:noProof/>
                      </w:rPr>
                      <m:t>j=1</m:t>
                    </m:r>
                  </m:sub>
                  <m:sup>
                    <m:r>
                      <w:rPr>
                        <w:rFonts w:ascii="Cambria Math" w:hAnsi="Cambria Math"/>
                        <w:noProof/>
                      </w:rPr>
                      <m:t>k</m:t>
                    </m:r>
                  </m:sup>
                  <m:e>
                    <m:d>
                      <m:dPr>
                        <m:ctrlPr>
                          <w:rPr>
                            <w:rFonts w:ascii="Cambria Math" w:hAnsi="Cambria Math"/>
                            <w:i/>
                            <w:iCs/>
                            <w:noProof/>
                          </w:rPr>
                        </m:ctrlPr>
                      </m:dPr>
                      <m:e>
                        <m:sSub>
                          <m:sSubPr>
                            <m:ctrlPr>
                              <w:rPr>
                                <w:rFonts w:ascii="Cambria Math" w:hAnsi="Cambria Math"/>
                                <w:i/>
                                <w:noProof/>
                              </w:rPr>
                            </m:ctrlPr>
                          </m:sSubPr>
                          <m:e>
                            <m:r>
                              <w:rPr>
                                <w:rFonts w:ascii="Cambria Math" w:hAnsi="Cambria Math"/>
                                <w:noProof/>
                                <w:lang w:val="el-GR"/>
                              </w:rPr>
                              <m:t>τ</m:t>
                            </m:r>
                          </m:e>
                          <m:sub>
                            <m:r>
                              <w:rPr>
                                <w:rFonts w:ascii="Cambria Math" w:hAnsi="Cambria Math"/>
                                <w:noProof/>
                              </w:rPr>
                              <m:t>z</m:t>
                            </m:r>
                          </m:sub>
                        </m:sSub>
                        <m:sSub>
                          <m:sSubPr>
                            <m:ctrlPr>
                              <w:rPr>
                                <w:rFonts w:ascii="Cambria Math" w:hAnsi="Cambria Math"/>
                                <w:i/>
                                <w:noProof/>
                              </w:rPr>
                            </m:ctrlPr>
                          </m:sSubPr>
                          <m:e>
                            <m:r>
                              <w:rPr>
                                <w:rFonts w:ascii="Cambria Math" w:hAnsi="Cambria Math"/>
                                <w:noProof/>
                                <w:lang w:val="el-GR"/>
                              </w:rPr>
                              <m:t>ω</m:t>
                            </m:r>
                          </m:e>
                          <m:sub>
                            <m:r>
                              <w:rPr>
                                <w:rFonts w:ascii="Cambria Math" w:hAnsi="Cambria Math"/>
                                <w:noProof/>
                              </w:rPr>
                              <m:t>i,j</m:t>
                            </m:r>
                          </m:sub>
                        </m:sSub>
                        <m:r>
                          <w:rPr>
                            <w:rFonts w:ascii="Cambria Math" w:hAnsi="Cambria Math"/>
                            <w:noProof/>
                            <w:lang w:val="el-GR"/>
                          </w:rPr>
                          <m:t xml:space="preserve">- </m:t>
                        </m:r>
                        <m:sSub>
                          <m:sSubPr>
                            <m:ctrlPr>
                              <w:rPr>
                                <w:rFonts w:ascii="Cambria Math" w:hAnsi="Cambria Math"/>
                                <w:i/>
                                <w:noProof/>
                              </w:rPr>
                            </m:ctrlPr>
                          </m:sSubPr>
                          <m:e>
                            <m:r>
                              <w:rPr>
                                <w:rFonts w:ascii="Cambria Math" w:hAnsi="Cambria Math"/>
                                <w:noProof/>
                                <w:lang w:val="el-GR"/>
                              </w:rPr>
                              <m:t>ω</m:t>
                            </m:r>
                          </m:e>
                          <m:sub>
                            <m:r>
                              <w:rPr>
                                <w:rFonts w:ascii="Cambria Math" w:hAnsi="Cambria Math"/>
                                <w:noProof/>
                              </w:rPr>
                              <m:t>i-</m:t>
                            </m:r>
                            <m:r>
                              <w:rPr>
                                <w:rFonts w:ascii="Cambria Math" w:hAnsi="Cambria Math"/>
                                <w:noProof/>
                                <w:lang w:val="el-GR"/>
                              </w:rPr>
                              <m:t>1</m:t>
                            </m:r>
                            <m:r>
                              <w:rPr>
                                <w:rFonts w:ascii="Cambria Math" w:hAnsi="Cambria Math"/>
                                <w:noProof/>
                              </w:rPr>
                              <m:t>,j</m:t>
                            </m:r>
                          </m:sub>
                        </m:sSub>
                        <m:ctrlPr>
                          <w:rPr>
                            <w:rFonts w:ascii="Cambria Math" w:hAnsi="Cambria Math"/>
                            <w:i/>
                            <w:noProof/>
                          </w:rPr>
                        </m:ctrlPr>
                      </m:e>
                    </m:d>
                  </m:e>
                </m:nary>
                <m:r>
                  <w:rPr>
                    <w:rFonts w:ascii="Cambria Math" w:hAnsi="Cambria Math"/>
                    <w:noProof/>
                  </w:rPr>
                  <m:t>=0</m:t>
                </m:r>
              </m:oMath>
            </m:oMathPara>
          </w:p>
        </w:tc>
        <w:tc>
          <w:tcPr>
            <w:tcW w:w="625" w:type="dxa"/>
            <w:tcBorders>
              <w:top w:val="nil"/>
              <w:left w:val="nil"/>
              <w:bottom w:val="nil"/>
              <w:right w:val="nil"/>
            </w:tcBorders>
            <w:vAlign w:val="center"/>
          </w:tcPr>
          <w:p w14:paraId="3EE9F7B8" w14:textId="296CE557" w:rsidR="00A028B5" w:rsidRDefault="00A028B5" w:rsidP="00272A01">
            <w:pPr>
              <w:jc w:val="center"/>
            </w:pPr>
            <w:r>
              <w:t>(S2)</w:t>
            </w:r>
          </w:p>
        </w:tc>
      </w:tr>
    </w:tbl>
    <w:p w14:paraId="64991EA2" w14:textId="0861152B" w:rsidR="00A120E3" w:rsidRDefault="00A120E3" w:rsidP="00A120E3">
      <w:pPr>
        <w:rPr>
          <w:rFonts w:eastAsiaTheme="minorEastAsia"/>
          <w:noProof/>
        </w:rPr>
      </w:pPr>
      <w:r>
        <w:rPr>
          <w:rFonts w:eastAsiaTheme="minorEastAsia"/>
          <w:iCs/>
          <w:noProof/>
        </w:rPr>
        <w:t xml:space="preserve">The shift factor </w:t>
      </w:r>
      <m:oMath>
        <m:sSub>
          <m:sSubPr>
            <m:ctrlPr>
              <w:rPr>
                <w:rFonts w:ascii="Cambria Math" w:eastAsiaTheme="minorEastAsia" w:hAnsi="Cambria Math"/>
                <w:i/>
                <w:iCs/>
                <w:noProof/>
              </w:rPr>
            </m:ctrlPr>
          </m:sSubPr>
          <m:e>
            <m:r>
              <w:rPr>
                <w:rFonts w:ascii="Cambria Math" w:eastAsiaTheme="minorEastAsia" w:hAnsi="Cambria Math"/>
                <w:noProof/>
              </w:rPr>
              <m:t>τ</m:t>
            </m:r>
          </m:e>
          <m:sub>
            <m:r>
              <w:rPr>
                <w:rFonts w:ascii="Cambria Math" w:eastAsiaTheme="minorEastAsia" w:hAnsi="Cambria Math"/>
                <w:noProof/>
              </w:rPr>
              <m:t>z</m:t>
            </m:r>
          </m:sub>
        </m:sSub>
      </m:oMath>
      <w:r>
        <w:rPr>
          <w:rFonts w:eastAsiaTheme="minorEastAsia"/>
          <w:iCs/>
          <w:noProof/>
        </w:rPr>
        <w:t xml:space="preserve"> can be factored out of the frequency term and then isolated, providing a closed-form solution </w:t>
      </w:r>
      <w:r w:rsidR="00031FAA">
        <w:rPr>
          <w:rFonts w:eastAsiaTheme="minorEastAsia"/>
          <w:iCs/>
          <w:noProof/>
        </w:rPr>
        <w:t>that depends on</w:t>
      </w:r>
      <w:r>
        <w:rPr>
          <w:rFonts w:eastAsiaTheme="minorEastAsia"/>
          <w:iCs/>
          <w:noProof/>
        </w:rPr>
        <w:t xml:space="preserve"> the overlapping frequencies of the current (</w:t>
      </w:r>
      <m:oMath>
        <m:sSub>
          <m:sSubPr>
            <m:ctrlPr>
              <w:rPr>
                <w:rFonts w:ascii="Cambria Math" w:hAnsi="Cambria Math"/>
                <w:i/>
                <w:noProof/>
                <w:lang w:val="el-GR"/>
              </w:rPr>
            </m:ctrlPr>
          </m:sSubPr>
          <m:e>
            <m:r>
              <w:rPr>
                <w:rFonts w:ascii="Cambria Math" w:hAnsi="Cambria Math"/>
                <w:noProof/>
                <w:lang w:val="el-GR"/>
              </w:rPr>
              <m:t>ω</m:t>
            </m:r>
          </m:e>
          <m:sub>
            <m:r>
              <w:rPr>
                <w:rFonts w:ascii="Cambria Math" w:hAnsi="Cambria Math"/>
                <w:noProof/>
                <w:lang w:val="el-GR"/>
              </w:rPr>
              <m:t>i</m:t>
            </m:r>
            <m:r>
              <w:rPr>
                <w:rFonts w:ascii="Cambria Math" w:hAnsi="Cambria Math"/>
                <w:noProof/>
              </w:rPr>
              <m:t>,k</m:t>
            </m:r>
          </m:sub>
        </m:sSub>
      </m:oMath>
      <w:r>
        <w:rPr>
          <w:rFonts w:eastAsiaTheme="minorEastAsia"/>
          <w:noProof/>
        </w:rPr>
        <w:t>) and previous (</w:t>
      </w:r>
      <m:oMath>
        <m:sSub>
          <m:sSubPr>
            <m:ctrlPr>
              <w:rPr>
                <w:rFonts w:ascii="Cambria Math" w:hAnsi="Cambria Math"/>
                <w:i/>
                <w:noProof/>
              </w:rPr>
            </m:ctrlPr>
          </m:sSubPr>
          <m:e>
            <m:r>
              <w:rPr>
                <w:rFonts w:ascii="Cambria Math" w:hAnsi="Cambria Math"/>
                <w:noProof/>
                <w:lang w:val="el-GR"/>
              </w:rPr>
              <m:t>ω</m:t>
            </m:r>
          </m:e>
          <m:sub>
            <m:r>
              <w:rPr>
                <w:rFonts w:ascii="Cambria Math" w:hAnsi="Cambria Math"/>
                <w:noProof/>
              </w:rPr>
              <m:t>i-1,k</m:t>
            </m:r>
          </m:sub>
        </m:sSub>
      </m:oMath>
      <w:r>
        <w:rPr>
          <w:rFonts w:eastAsiaTheme="minorEastAsia"/>
          <w:noProof/>
        </w:rPr>
        <w:t>) responses.</w:t>
      </w:r>
    </w:p>
    <w:tbl>
      <w:tblPr>
        <w:tblStyle w:val="TableGrid"/>
        <w:tblW w:w="0" w:type="auto"/>
        <w:tblLook w:val="04A0" w:firstRow="1" w:lastRow="0" w:firstColumn="1" w:lastColumn="0" w:noHBand="0" w:noVBand="1"/>
      </w:tblPr>
      <w:tblGrid>
        <w:gridCol w:w="8725"/>
        <w:gridCol w:w="625"/>
      </w:tblGrid>
      <w:tr w:rsidR="00A028B5" w14:paraId="24558707" w14:textId="77777777" w:rsidTr="00272A01">
        <w:trPr>
          <w:trHeight w:val="747"/>
        </w:trPr>
        <w:tc>
          <w:tcPr>
            <w:tcW w:w="8725" w:type="dxa"/>
            <w:tcBorders>
              <w:top w:val="nil"/>
              <w:left w:val="nil"/>
              <w:bottom w:val="nil"/>
              <w:right w:val="nil"/>
            </w:tcBorders>
            <w:vAlign w:val="center"/>
          </w:tcPr>
          <w:p w14:paraId="01DE3322" w14:textId="61D86936" w:rsidR="00A028B5" w:rsidRPr="00A028B5" w:rsidRDefault="00000000" w:rsidP="00272A01">
            <w:pPr>
              <w:spacing w:after="160" w:line="259" w:lineRule="auto"/>
              <w:rPr>
                <w:iCs/>
                <w:noProof/>
                <w:kern w:val="2"/>
                <w14:ligatures w14:val="standardContextual"/>
              </w:rPr>
            </w:pPr>
            <m:oMathPara>
              <m:oMath>
                <m:sSub>
                  <m:sSubPr>
                    <m:ctrlPr>
                      <w:rPr>
                        <w:rFonts w:ascii="Cambria Math" w:hAnsi="Cambria Math"/>
                        <w:i/>
                        <w:iCs/>
                        <w:noProof/>
                      </w:rPr>
                    </m:ctrlPr>
                  </m:sSubPr>
                  <m:e>
                    <m:r>
                      <w:rPr>
                        <w:rFonts w:ascii="Cambria Math" w:hAnsi="Cambria Math"/>
                        <w:noProof/>
                        <w:lang w:val="el-GR"/>
                      </w:rPr>
                      <m:t>τ</m:t>
                    </m:r>
                  </m:e>
                  <m:sub>
                    <m:r>
                      <w:rPr>
                        <w:rFonts w:ascii="Cambria Math" w:hAnsi="Cambria Math"/>
                        <w:noProof/>
                      </w:rPr>
                      <m:t>z</m:t>
                    </m:r>
                  </m:sub>
                </m:sSub>
                <m:r>
                  <w:rPr>
                    <w:rFonts w:ascii="Cambria Math" w:hAnsi="Cambria Math"/>
                    <w:noProof/>
                  </w:rPr>
                  <m:t xml:space="preserve">= </m:t>
                </m:r>
                <m:f>
                  <m:fPr>
                    <m:ctrlPr>
                      <w:rPr>
                        <w:rFonts w:ascii="Cambria Math" w:hAnsi="Cambria Math"/>
                        <w:i/>
                        <w:iCs/>
                        <w:noProof/>
                      </w:rPr>
                    </m:ctrlPr>
                  </m:fPr>
                  <m:num>
                    <m:nary>
                      <m:naryPr>
                        <m:chr m:val="∑"/>
                        <m:limLoc m:val="undOvr"/>
                        <m:ctrlPr>
                          <w:rPr>
                            <w:rFonts w:ascii="Cambria Math" w:hAnsi="Cambria Math"/>
                            <w:i/>
                            <w:iCs/>
                            <w:noProof/>
                          </w:rPr>
                        </m:ctrlPr>
                      </m:naryPr>
                      <m:sub>
                        <m:r>
                          <w:rPr>
                            <w:rFonts w:ascii="Cambria Math" w:hAnsi="Cambria Math"/>
                            <w:noProof/>
                          </w:rPr>
                          <m:t>j=1</m:t>
                        </m:r>
                      </m:sub>
                      <m:sup>
                        <m:r>
                          <w:rPr>
                            <w:rFonts w:ascii="Cambria Math" w:hAnsi="Cambria Math"/>
                            <w:noProof/>
                          </w:rPr>
                          <m:t>k</m:t>
                        </m:r>
                      </m:sup>
                      <m:e>
                        <m:sSub>
                          <m:sSubPr>
                            <m:ctrlPr>
                              <w:rPr>
                                <w:rFonts w:ascii="Cambria Math" w:hAnsi="Cambria Math"/>
                                <w:i/>
                                <w:noProof/>
                              </w:rPr>
                            </m:ctrlPr>
                          </m:sSubPr>
                          <m:e>
                            <m:r>
                              <w:rPr>
                                <w:rFonts w:ascii="Cambria Math" w:hAnsi="Cambria Math"/>
                                <w:noProof/>
                                <w:lang w:val="el-GR"/>
                              </w:rPr>
                              <m:t>ω</m:t>
                            </m:r>
                          </m:e>
                          <m:sub>
                            <m:r>
                              <w:rPr>
                                <w:rFonts w:ascii="Cambria Math" w:hAnsi="Cambria Math"/>
                                <w:noProof/>
                              </w:rPr>
                              <m:t>i-</m:t>
                            </m:r>
                            <m:r>
                              <w:rPr>
                                <w:rFonts w:ascii="Cambria Math" w:hAnsi="Cambria Math"/>
                                <w:noProof/>
                                <w:lang w:val="el-GR"/>
                              </w:rPr>
                              <m:t>1</m:t>
                            </m:r>
                            <m:r>
                              <w:rPr>
                                <w:rFonts w:ascii="Cambria Math" w:hAnsi="Cambria Math"/>
                                <w:noProof/>
                              </w:rPr>
                              <m:t>,j</m:t>
                            </m:r>
                          </m:sub>
                        </m:sSub>
                      </m:e>
                    </m:nary>
                  </m:num>
                  <m:den>
                    <m:nary>
                      <m:naryPr>
                        <m:chr m:val="∑"/>
                        <m:limLoc m:val="undOvr"/>
                        <m:ctrlPr>
                          <w:rPr>
                            <w:rFonts w:ascii="Cambria Math" w:hAnsi="Cambria Math"/>
                            <w:i/>
                            <w:iCs/>
                            <w:noProof/>
                          </w:rPr>
                        </m:ctrlPr>
                      </m:naryPr>
                      <m:sub>
                        <m:r>
                          <w:rPr>
                            <w:rFonts w:ascii="Cambria Math" w:hAnsi="Cambria Math"/>
                            <w:noProof/>
                          </w:rPr>
                          <m:t>j=1</m:t>
                        </m:r>
                      </m:sub>
                      <m:sup>
                        <m:r>
                          <w:rPr>
                            <w:rFonts w:ascii="Cambria Math" w:hAnsi="Cambria Math"/>
                            <w:noProof/>
                          </w:rPr>
                          <m:t>k</m:t>
                        </m:r>
                      </m:sup>
                      <m:e>
                        <m:sSub>
                          <m:sSubPr>
                            <m:ctrlPr>
                              <w:rPr>
                                <w:rFonts w:ascii="Cambria Math" w:hAnsi="Cambria Math"/>
                                <w:i/>
                                <w:noProof/>
                              </w:rPr>
                            </m:ctrlPr>
                          </m:sSubPr>
                          <m:e>
                            <m:r>
                              <w:rPr>
                                <w:rFonts w:ascii="Cambria Math" w:hAnsi="Cambria Math"/>
                                <w:noProof/>
                                <w:lang w:val="el-GR"/>
                              </w:rPr>
                              <m:t>ω</m:t>
                            </m:r>
                          </m:e>
                          <m:sub>
                            <m:r>
                              <w:rPr>
                                <w:rFonts w:ascii="Cambria Math" w:hAnsi="Cambria Math"/>
                                <w:noProof/>
                              </w:rPr>
                              <m:t>i,j</m:t>
                            </m:r>
                          </m:sub>
                        </m:sSub>
                      </m:e>
                    </m:nary>
                  </m:den>
                </m:f>
              </m:oMath>
            </m:oMathPara>
          </w:p>
        </w:tc>
        <w:tc>
          <w:tcPr>
            <w:tcW w:w="625" w:type="dxa"/>
            <w:tcBorders>
              <w:top w:val="nil"/>
              <w:left w:val="nil"/>
              <w:bottom w:val="nil"/>
              <w:right w:val="nil"/>
            </w:tcBorders>
            <w:vAlign w:val="center"/>
          </w:tcPr>
          <w:p w14:paraId="445C4F28" w14:textId="7D3734F0" w:rsidR="00A028B5" w:rsidRDefault="00A028B5" w:rsidP="00272A01">
            <w:pPr>
              <w:jc w:val="center"/>
            </w:pPr>
            <w:r>
              <w:t>(S3)</w:t>
            </w:r>
          </w:p>
        </w:tc>
      </w:tr>
    </w:tbl>
    <w:p w14:paraId="2D731CDB" w14:textId="051C7888" w:rsidR="00A120E3" w:rsidRDefault="00F21EB6" w:rsidP="00D9539E">
      <w:pPr>
        <w:ind w:firstLine="720"/>
      </w:pPr>
      <w:r w:rsidRPr="000C4247">
        <w:rPr>
          <w:noProof/>
        </w:rPr>
        <w:t>The data we obtained exhibits three features that complicate determination of the horizontal shift factor. First, the data may not exhibit an “overlapping” region. In these cases, we approximated the horizontal shift factor by dividing the maximum frequency of the previous response by the minimum frequency of the current response. This is not a perfect solution, but the following results show that this provides a good approximation when the minimum loss tangent of the current response is close to the maximum loss tangent of the previous response. The best solution to this issue</w:t>
      </w:r>
      <w:r w:rsidR="005F2D23">
        <w:rPr>
          <w:noProof/>
        </w:rPr>
        <w:t xml:space="preserve"> for future experiment</w:t>
      </w:r>
      <w:r w:rsidR="00E30554">
        <w:rPr>
          <w:noProof/>
        </w:rPr>
        <w:t>ation</w:t>
      </w:r>
      <w:r w:rsidRPr="000C4247">
        <w:rPr>
          <w:noProof/>
        </w:rPr>
        <w:t xml:space="preserve"> is to obtain data more frequently or increase the range of frequencies tested. Second, noisy data can intersect the loss tangent more than once. In these cases, the “intersection frequency” was approximated by averaging all the frequencies where the loss tangent line intersected with the previous response. Finally, the loss tangent can exhibit frequency independence (if the loss tangent varied less than 10 % for all the frequencies within a given chirp, it was assumed to be frequency independent). Once frequency independence is achieved the horizontal shift factor becomes infinite, as no horizontal movement will overlay frequency independent curves at different loss tangent values. In these cases, the horizontal shift factor from the previous measurement was assumed as the current shift factor to prevent the scale of our figures from diverging. </w:t>
      </w:r>
      <w:r w:rsidR="00A120E3">
        <w:br w:type="page"/>
      </w:r>
    </w:p>
    <w:p w14:paraId="36487042" w14:textId="22A28D98" w:rsidR="00FF6E32" w:rsidRDefault="00A77FF7" w:rsidP="0046405E">
      <w:pPr>
        <w:ind w:firstLine="720"/>
        <w:rPr>
          <w:noProof/>
        </w:rPr>
      </w:pPr>
      <w:r>
        <w:rPr>
          <w:noProof/>
        </w:rPr>
        <w:lastRenderedPageBreak/>
        <w:t>S</w:t>
      </w:r>
      <w:r w:rsidR="00D92A20">
        <w:rPr>
          <w:noProof/>
        </w:rPr>
        <w:t>ome horizontal shifts</w:t>
      </w:r>
      <w:r w:rsidR="005114A3">
        <w:rPr>
          <w:noProof/>
        </w:rPr>
        <w:t xml:space="preserve"> (Fig</w:t>
      </w:r>
      <w:r w:rsidR="00A24FCA">
        <w:rPr>
          <w:noProof/>
        </w:rPr>
        <w:t>.</w:t>
      </w:r>
      <w:r w:rsidR="005114A3">
        <w:rPr>
          <w:noProof/>
        </w:rPr>
        <w:t xml:space="preserve"> 6 of the main text)</w:t>
      </w:r>
      <w:r w:rsidR="00D92A20">
        <w:rPr>
          <w:noProof/>
        </w:rPr>
        <w:t xml:space="preserve"> </w:t>
      </w:r>
      <w:r w:rsidR="005114A3">
        <w:rPr>
          <w:noProof/>
        </w:rPr>
        <w:t xml:space="preserve">produce </w:t>
      </w:r>
      <w:r w:rsidR="00612629">
        <w:rPr>
          <w:noProof/>
        </w:rPr>
        <w:t>visibly poor</w:t>
      </w:r>
      <w:r w:rsidR="00D92A20">
        <w:rPr>
          <w:noProof/>
        </w:rPr>
        <w:t xml:space="preserve"> superposition</w:t>
      </w:r>
      <w:r w:rsidR="00612629">
        <w:rPr>
          <w:noProof/>
        </w:rPr>
        <w:t xml:space="preserve"> that we associate with the gel point</w:t>
      </w:r>
      <w:r w:rsidR="00F21322">
        <w:rPr>
          <w:noProof/>
        </w:rPr>
        <w:t xml:space="preserve">. To identify these shifts, the </w:t>
      </w:r>
      <w:r w:rsidR="00340756">
        <w:rPr>
          <w:noProof/>
        </w:rPr>
        <w:t xml:space="preserve">residual </w:t>
      </w:r>
      <w:r w:rsidR="00F21322">
        <w:rPr>
          <w:noProof/>
        </w:rPr>
        <w:t xml:space="preserve">error between </w:t>
      </w:r>
      <w:r w:rsidR="00FA3AA9">
        <w:rPr>
          <w:noProof/>
        </w:rPr>
        <w:t>each shift an</w:t>
      </w:r>
      <w:r w:rsidR="009E552E">
        <w:rPr>
          <w:noProof/>
        </w:rPr>
        <w:t>d</w:t>
      </w:r>
      <w:r w:rsidR="00FA3AA9">
        <w:rPr>
          <w:noProof/>
        </w:rPr>
        <w:t xml:space="preserve"> its </w:t>
      </w:r>
      <w:r w:rsidR="00340756">
        <w:rPr>
          <w:noProof/>
        </w:rPr>
        <w:t xml:space="preserve">immediate </w:t>
      </w:r>
      <w:r w:rsidR="00FA3AA9">
        <w:rPr>
          <w:noProof/>
        </w:rPr>
        <w:t>predecessor was calculated</w:t>
      </w:r>
      <w:r w:rsidR="009E552E">
        <w:rPr>
          <w:noProof/>
        </w:rPr>
        <w:t xml:space="preserve">. </w:t>
      </w:r>
      <w:r w:rsidR="00340756">
        <w:rPr>
          <w:noProof/>
        </w:rPr>
        <w:t>This error was normalized, then averaged for each response. We e</w:t>
      </w:r>
      <w:r w:rsidR="00046623">
        <w:rPr>
          <w:noProof/>
        </w:rPr>
        <w:t xml:space="preserve">xpected to see a spike in </w:t>
      </w:r>
      <w:r w:rsidR="006D5F3F">
        <w:rPr>
          <w:noProof/>
        </w:rPr>
        <w:t xml:space="preserve">this error around the time we observed </w:t>
      </w:r>
      <w:r w:rsidR="0075726E">
        <w:rPr>
          <w:noProof/>
        </w:rPr>
        <w:t>poor superposition</w:t>
      </w:r>
      <w:r w:rsidR="00AA6187">
        <w:rPr>
          <w:noProof/>
        </w:rPr>
        <w:t xml:space="preserve">, but did not observe </w:t>
      </w:r>
      <w:r w:rsidR="009E038D">
        <w:rPr>
          <w:noProof/>
        </w:rPr>
        <w:t>such behavior</w:t>
      </w:r>
      <w:r w:rsidR="005F7617">
        <w:rPr>
          <w:noProof/>
        </w:rPr>
        <w:t xml:space="preserve">. We </w:t>
      </w:r>
      <w:r w:rsidR="005B1841">
        <w:rPr>
          <w:noProof/>
        </w:rPr>
        <w:t>notic</w:t>
      </w:r>
      <w:r w:rsidR="005F7617">
        <w:rPr>
          <w:noProof/>
        </w:rPr>
        <w:t>ed that the magnitude of the noise in the measurement</w:t>
      </w:r>
      <w:r w:rsidR="00E80424">
        <w:rPr>
          <w:noProof/>
        </w:rPr>
        <w:t xml:space="preserve"> (which </w:t>
      </w:r>
      <w:r w:rsidR="009E038D">
        <w:rPr>
          <w:noProof/>
        </w:rPr>
        <w:t>may</w:t>
      </w:r>
      <w:r w:rsidR="00E80424">
        <w:rPr>
          <w:noProof/>
        </w:rPr>
        <w:t xml:space="preserve"> be improved by increasing the </w:t>
      </w:r>
      <w:r w:rsidR="00E80424">
        <w:t xml:space="preserve">time-bandwidth constants of the OWCh signals </w:t>
      </w:r>
      <w:r w:rsidR="00E80424">
        <w:fldChar w:fldCharType="begin">
          <w:fldData xml:space="preserve">PEVuZE5vdGU+PENpdGU+PEF1dGhvcj5BdGhhbmFzaW91PC9BdXRob3I+PFllYXI+MjAyNDwvWWVh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</w:fldData>
        </w:fldChar>
      </w:r>
      <w:r w:rsidR="00B36ECC">
        <w:instrText xml:space="preserve"> ADDIN EN.CITE </w:instrText>
      </w:r>
      <w:r w:rsidR="00B36ECC">
        <w:fldChar w:fldCharType="begin">
          <w:fldData xml:space="preserve">PEVuZE5vdGU+PENpdGU+PEF1dGhvcj5BdGhhbmFzaW91PC9BdXRob3I+PFllYXI+MjAyNDwvWWVh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</w:fldData>
        </w:fldChar>
      </w:r>
      <w:r w:rsidR="00B36ECC">
        <w:instrText xml:space="preserve"> ADDIN EN.CITE.DATA </w:instrText>
      </w:r>
      <w:r w:rsidR="00B36ECC">
        <w:fldChar w:fldCharType="end"/>
      </w:r>
      <w:r w:rsidR="00E80424">
        <w:fldChar w:fldCharType="separate"/>
      </w:r>
      <w:r w:rsidR="0065317C">
        <w:rPr>
          <w:noProof/>
        </w:rPr>
        <w:t>[2, 6]</w:t>
      </w:r>
      <w:r w:rsidR="00E80424">
        <w:fldChar w:fldCharType="end"/>
      </w:r>
      <w:r w:rsidR="00E80424">
        <w:t>)</w:t>
      </w:r>
      <w:r w:rsidR="005F7617">
        <w:rPr>
          <w:noProof/>
        </w:rPr>
        <w:t xml:space="preserve"> was on the same order of magnitude as the </w:t>
      </w:r>
      <w:r w:rsidR="00B20127">
        <w:rPr>
          <w:noProof/>
        </w:rPr>
        <w:t xml:space="preserve">error observed in the curves that did not superimpose </w:t>
      </w:r>
      <w:r w:rsidR="00AC5AC9">
        <w:rPr>
          <w:noProof/>
        </w:rPr>
        <w:t>properly.</w:t>
      </w:r>
      <w:r w:rsidR="005B1841">
        <w:rPr>
          <w:noProof/>
        </w:rPr>
        <w:t xml:space="preserve"> </w:t>
      </w:r>
    </w:p>
    <w:p w14:paraId="5296D3D5" w14:textId="7FBFAF4B" w:rsidR="00E37546" w:rsidRDefault="00AC5AC9" w:rsidP="00E37546">
      <w:pPr>
        <w:ind w:firstLine="720"/>
        <w:rPr>
          <w:noProof/>
        </w:rPr>
      </w:pPr>
      <w:r>
        <w:rPr>
          <w:noProof/>
        </w:rPr>
        <w:t xml:space="preserve">To magnify the error caused by poor superposition, we </w:t>
      </w:r>
      <w:r w:rsidR="008934C6">
        <w:rPr>
          <w:noProof/>
        </w:rPr>
        <w:t xml:space="preserve">modified the </w:t>
      </w:r>
      <w:r w:rsidR="00E50F26">
        <w:rPr>
          <w:noProof/>
        </w:rPr>
        <w:t>error calculation outlined above. Instead of comparing</w:t>
      </w:r>
      <w:r w:rsidR="004C441B">
        <w:rPr>
          <w:noProof/>
        </w:rPr>
        <w:t xml:space="preserve"> each response to </w:t>
      </w:r>
      <w:r w:rsidR="00212F4F">
        <w:rPr>
          <w:noProof/>
        </w:rPr>
        <w:t>its</w:t>
      </w:r>
      <w:r w:rsidR="004C441B">
        <w:rPr>
          <w:noProof/>
        </w:rPr>
        <w:t xml:space="preserve"> immediate predecessor, we compared each response to the response prior to its immediate predecessor</w:t>
      </w:r>
      <w:r w:rsidR="00873D3B">
        <w:rPr>
          <w:noProof/>
        </w:rPr>
        <w:t>.</w:t>
      </w:r>
      <w:r w:rsidR="004C441B">
        <w:rPr>
          <w:noProof/>
        </w:rPr>
        <w:t xml:space="preserve"> </w:t>
      </w:r>
      <w:r w:rsidR="00873D3B">
        <w:rPr>
          <w:noProof/>
        </w:rPr>
        <w:t>In short,</w:t>
      </w:r>
      <w:r w:rsidR="004C441B">
        <w:rPr>
          <w:noProof/>
        </w:rPr>
        <w:t xml:space="preserve"> </w:t>
      </w:r>
      <w:r w:rsidR="00983F68">
        <w:rPr>
          <w:noProof/>
        </w:rPr>
        <w:t xml:space="preserve">we </w:t>
      </w:r>
      <w:r w:rsidR="00011BA3">
        <w:rPr>
          <w:noProof/>
        </w:rPr>
        <w:t>compared each response</w:t>
      </w:r>
      <w:r w:rsidR="00AF4376">
        <w:rPr>
          <w:noProof/>
        </w:rPr>
        <w:t xml:space="preserve"> (represented by “i”) to response</w:t>
      </w:r>
      <w:r w:rsidR="00983F68">
        <w:rPr>
          <w:noProof/>
        </w:rPr>
        <w:t xml:space="preserve"> “i-2” instead of </w:t>
      </w:r>
      <w:r w:rsidR="00AF4376">
        <w:rPr>
          <w:noProof/>
        </w:rPr>
        <w:t xml:space="preserve">response </w:t>
      </w:r>
      <w:r w:rsidR="00983F68">
        <w:rPr>
          <w:noProof/>
        </w:rPr>
        <w:t>“i-1</w:t>
      </w:r>
      <w:r w:rsidR="00AF4376">
        <w:rPr>
          <w:noProof/>
        </w:rPr>
        <w:t>.</w:t>
      </w:r>
      <w:r w:rsidR="00983F68">
        <w:rPr>
          <w:noProof/>
        </w:rPr>
        <w:t>”</w:t>
      </w:r>
      <w:r w:rsidR="00F077D3">
        <w:rPr>
          <w:noProof/>
        </w:rPr>
        <w:t xml:space="preserve"> This error metric provided the spike we were expecting</w:t>
      </w:r>
      <w:r w:rsidR="00433F5A">
        <w:rPr>
          <w:noProof/>
        </w:rPr>
        <w:t>, allowing</w:t>
      </w:r>
      <w:r w:rsidR="00F077D3">
        <w:rPr>
          <w:noProof/>
        </w:rPr>
        <w:t xml:space="preserve"> us to set an error threshold </w:t>
      </w:r>
      <w:r w:rsidR="00211380">
        <w:rPr>
          <w:noProof/>
        </w:rPr>
        <w:t>above</w:t>
      </w:r>
      <w:r w:rsidR="00F077D3">
        <w:rPr>
          <w:noProof/>
        </w:rPr>
        <w:t xml:space="preserve"> which </w:t>
      </w:r>
      <w:r w:rsidR="00433F5A">
        <w:rPr>
          <w:noProof/>
        </w:rPr>
        <w:t>“invalid shifts” could be identified. Fig</w:t>
      </w:r>
      <w:r w:rsidR="00A24FCA">
        <w:rPr>
          <w:noProof/>
        </w:rPr>
        <w:t>.</w:t>
      </w:r>
      <w:r w:rsidR="00433F5A">
        <w:rPr>
          <w:noProof/>
        </w:rPr>
        <w:t xml:space="preserve"> </w:t>
      </w:r>
      <w:r w:rsidR="00257F3C">
        <w:rPr>
          <w:noProof/>
        </w:rPr>
        <w:t xml:space="preserve">S9 </w:t>
      </w:r>
      <w:r w:rsidR="004300D2">
        <w:rPr>
          <w:noProof/>
        </w:rPr>
        <w:t>depicts the results of the error calculation as a function of time for each resin. On each plot, a horizontal line</w:t>
      </w:r>
      <w:r w:rsidR="00F54A86">
        <w:rPr>
          <w:noProof/>
        </w:rPr>
        <w:t xml:space="preserve"> represents the threshold</w:t>
      </w:r>
      <w:r w:rsidR="00375849" w:rsidRPr="00375849">
        <w:rPr>
          <w:noProof/>
        </w:rPr>
        <w:t xml:space="preserve"> </w:t>
      </w:r>
      <w:r w:rsidR="00375849">
        <w:rPr>
          <w:noProof/>
        </w:rPr>
        <w:t>used to categorize invalid shifts</w:t>
      </w:r>
      <w:r w:rsidR="00F54A86">
        <w:rPr>
          <w:noProof/>
        </w:rPr>
        <w:t xml:space="preserve"> for that resin. The error threshold was different for each resin, because the </w:t>
      </w:r>
      <w:r w:rsidR="00C27B17">
        <w:rPr>
          <w:noProof/>
        </w:rPr>
        <w:t>inherent</w:t>
      </w:r>
      <w:r w:rsidR="00F54A86">
        <w:rPr>
          <w:noProof/>
        </w:rPr>
        <w:t xml:space="preserve"> level of noise in the loss tangent measurement varies for each resin</w:t>
      </w:r>
      <w:r w:rsidR="00C27B17">
        <w:rPr>
          <w:noProof/>
        </w:rPr>
        <w:t>.</w:t>
      </w:r>
      <w:r w:rsidR="006412B2">
        <w:rPr>
          <w:noProof/>
        </w:rPr>
        <w:t xml:space="preserve"> Fig</w:t>
      </w:r>
      <w:r w:rsidR="00A24FCA">
        <w:rPr>
          <w:noProof/>
        </w:rPr>
        <w:t>.</w:t>
      </w:r>
      <w:r w:rsidR="006412B2">
        <w:rPr>
          <w:noProof/>
        </w:rPr>
        <w:t xml:space="preserve"> </w:t>
      </w:r>
      <w:r w:rsidR="00257F3C">
        <w:rPr>
          <w:noProof/>
        </w:rPr>
        <w:t xml:space="preserve">S10 </w:t>
      </w:r>
      <w:r w:rsidR="006412B2">
        <w:rPr>
          <w:noProof/>
        </w:rPr>
        <w:t xml:space="preserve">highlights these invalid shifts (in royal blue) on the </w:t>
      </w:r>
      <w:r w:rsidR="005B52A7">
        <w:rPr>
          <w:noProof/>
        </w:rPr>
        <w:t>time-cure superposition results.</w:t>
      </w:r>
    </w:p>
    <w:p w14:paraId="2ABA22F8" w14:textId="6A98ECE3" w:rsidR="00C5276E" w:rsidRDefault="00C5276E" w:rsidP="00E37546">
      <w:pPr>
        <w:ind w:left="-270"/>
        <w:rPr>
          <w:noProof/>
        </w:rPr>
      </w:pPr>
      <w:r>
        <w:rPr>
          <w:noProof/>
        </w:rPr>
        <w:drawing>
          <wp:inline distT="0" distB="0" distL="0" distR="0" wp14:anchorId="79862D1B" wp14:editId="3FA6838A">
            <wp:extent cx="6263639" cy="475488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16" cstate="print">
                      <a:extLst>
                        <a:ext uri="{28A0092B-C50C-407E-A947-70E740481C1C}">
                          <a14:useLocalDpi xmlns:a14="http://schemas.microsoft.com/office/drawing/2010/main" val="0"/>
                        </a:ext>
                      </a:extLst>
                    </a:blip>
                    <a:stretch>
                      <a:fillRect/>
                    </a:stretch>
                  </pic:blipFill>
                  <pic:spPr>
                    <a:xfrm>
                      <a:off x="0" y="0"/>
                      <a:ext cx="6263639" cy="4754880"/>
                    </a:xfrm>
                    <a:prstGeom prst="rect">
                      <a:avLst/>
                    </a:prstGeom>
                  </pic:spPr>
                </pic:pic>
              </a:graphicData>
            </a:graphic>
          </wp:inline>
        </w:drawing>
      </w:r>
      <w:r>
        <w:rPr>
          <w:noProof/>
        </w:rPr>
        <w:t>Fig</w:t>
      </w:r>
      <w:r w:rsidR="00A24FCA">
        <w:rPr>
          <w:noProof/>
        </w:rPr>
        <w:t>.</w:t>
      </w:r>
      <w:r>
        <w:rPr>
          <w:noProof/>
        </w:rPr>
        <w:t xml:space="preserve"> S</w:t>
      </w:r>
      <w:r w:rsidR="00C80783">
        <w:rPr>
          <w:noProof/>
        </w:rPr>
        <w:t>9</w:t>
      </w:r>
      <w:r>
        <w:rPr>
          <w:noProof/>
        </w:rPr>
        <w:t xml:space="preserve">: </w:t>
      </w:r>
      <w:r w:rsidR="006E1777">
        <w:rPr>
          <w:noProof/>
        </w:rPr>
        <w:t>Normalized and averaged e</w:t>
      </w:r>
      <w:r w:rsidR="00A12DD3">
        <w:rPr>
          <w:noProof/>
        </w:rPr>
        <w:t xml:space="preserve">rror in the loss tangent after </w:t>
      </w:r>
      <w:r w:rsidR="006E1777">
        <w:rPr>
          <w:noProof/>
        </w:rPr>
        <w:t xml:space="preserve">applying </w:t>
      </w:r>
      <w:r w:rsidR="00AB6B64">
        <w:rPr>
          <w:noProof/>
        </w:rPr>
        <w:t>time-cure superposition shifts</w:t>
      </w:r>
      <w:r w:rsidR="00EB7494">
        <w:rPr>
          <w:noProof/>
        </w:rPr>
        <w:t xml:space="preserve"> </w:t>
      </w:r>
      <w:r w:rsidR="00BB2971">
        <w:rPr>
          <w:noProof/>
        </w:rPr>
        <w:t xml:space="preserve">for </w:t>
      </w:r>
      <w:r w:rsidR="00BB2971">
        <w:rPr>
          <w:noProof/>
        </w:rPr>
        <w:lastRenderedPageBreak/>
        <w:t>the resins cured</w:t>
      </w:r>
      <w:r w:rsidR="00EB7494">
        <w:t xml:space="preserve"> at 70 </w:t>
      </w:r>
      <w:r w:rsidR="00EB7494" w:rsidRPr="00E36C75">
        <w:t>°</w:t>
      </w:r>
      <w:r w:rsidR="00EB7494">
        <w:t>C</w:t>
      </w:r>
      <w:r w:rsidR="00AB6B64">
        <w:rPr>
          <w:noProof/>
        </w:rPr>
        <w:t>.</w:t>
      </w:r>
      <w:r w:rsidR="00AB6B64" w:rsidRPr="00AB6B64">
        <w:t xml:space="preserve"> </w:t>
      </w:r>
      <w:r w:rsidR="00AB6B64">
        <w:t>(a) Resin with 0 % fumed silica</w:t>
      </w:r>
      <w:r w:rsidR="00AB6B64">
        <w:rPr>
          <w:noProof/>
        </w:rPr>
        <w:t>. (b) Resin with 2.5 % fumed silica. (c) Resin with 5 % fumed silica. (d) Resin with 10 % fumed silica.</w:t>
      </w:r>
    </w:p>
    <w:p w14:paraId="4B264B1C" w14:textId="3645236E" w:rsidR="00715554" w:rsidRDefault="00715554" w:rsidP="00FB1CCD">
      <w:pPr>
        <w:ind w:left="-270"/>
        <w:rPr>
          <w:noProof/>
        </w:rPr>
      </w:pPr>
      <w:r>
        <w:rPr>
          <w:noProof/>
        </w:rPr>
        <w:drawing>
          <wp:inline distT="0" distB="0" distL="0" distR="0" wp14:anchorId="156D11E6" wp14:editId="11C8F627">
            <wp:extent cx="6263639" cy="475488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7" cstate="print">
                      <a:extLst>
                        <a:ext uri="{28A0092B-C50C-407E-A947-70E740481C1C}">
                          <a14:useLocalDpi xmlns:a14="http://schemas.microsoft.com/office/drawing/2010/main" val="0"/>
                        </a:ext>
                      </a:extLst>
                    </a:blip>
                    <a:stretch>
                      <a:fillRect/>
                    </a:stretch>
                  </pic:blipFill>
                  <pic:spPr>
                    <a:xfrm>
                      <a:off x="0" y="0"/>
                      <a:ext cx="6263639" cy="4754880"/>
                    </a:xfrm>
                    <a:prstGeom prst="rect">
                      <a:avLst/>
                    </a:prstGeom>
                  </pic:spPr>
                </pic:pic>
              </a:graphicData>
            </a:graphic>
          </wp:inline>
        </w:drawing>
      </w:r>
    </w:p>
    <w:p w14:paraId="6C85472B" w14:textId="0542028D" w:rsidR="004A30EF" w:rsidRDefault="004A30EF" w:rsidP="00715554">
      <w:pPr>
        <w:rPr>
          <w:noProof/>
        </w:rPr>
      </w:pPr>
      <w:r>
        <w:rPr>
          <w:noProof/>
        </w:rPr>
        <w:t>Fig</w:t>
      </w:r>
      <w:r w:rsidR="00A24FCA">
        <w:rPr>
          <w:noProof/>
        </w:rPr>
        <w:t>.</w:t>
      </w:r>
      <w:r>
        <w:rPr>
          <w:noProof/>
        </w:rPr>
        <w:t xml:space="preserve"> S</w:t>
      </w:r>
      <w:r w:rsidR="00C80783">
        <w:rPr>
          <w:noProof/>
        </w:rPr>
        <w:t>10</w:t>
      </w:r>
      <w:r>
        <w:rPr>
          <w:noProof/>
        </w:rPr>
        <w:t xml:space="preserve">: </w:t>
      </w:r>
      <w:r w:rsidR="007505BD">
        <w:t>Time-cure superposition of the loss tangent for the resins cured at 70 </w:t>
      </w:r>
      <w:r w:rsidR="007505BD" w:rsidRPr="00E36C75">
        <w:t>°C</w:t>
      </w:r>
      <w:r w:rsidR="0079178A">
        <w:t>. T</w:t>
      </w:r>
      <w:r w:rsidR="009D1620">
        <w:t xml:space="preserve">he invalid shifts </w:t>
      </w:r>
      <w:r w:rsidR="0079178A">
        <w:t xml:space="preserve">are </w:t>
      </w:r>
      <w:r w:rsidR="00EA00CD">
        <w:t>highlig</w:t>
      </w:r>
      <w:r w:rsidR="00ED6FCE">
        <w:t>ht</w:t>
      </w:r>
      <w:r w:rsidR="00EA00CD">
        <w:t>ed in</w:t>
      </w:r>
      <w:r w:rsidR="00ED6FCE">
        <w:t xml:space="preserve"> royal</w:t>
      </w:r>
      <w:r w:rsidR="00EA00CD">
        <w:t xml:space="preserve"> blue</w:t>
      </w:r>
      <w:r w:rsidR="00397E08">
        <w:t>.</w:t>
      </w:r>
      <w:r w:rsidR="0081339C">
        <w:t xml:space="preserve"> (a) </w:t>
      </w:r>
      <w:r w:rsidR="00397E08">
        <w:t xml:space="preserve">Resin with </w:t>
      </w:r>
      <w:r w:rsidR="0081339C">
        <w:t>0 %</w:t>
      </w:r>
      <w:r w:rsidR="00397E08">
        <w:t xml:space="preserve"> fumed silica</w:t>
      </w:r>
      <w:r w:rsidR="00B2368B">
        <w:rPr>
          <w:noProof/>
        </w:rPr>
        <w:t>.</w:t>
      </w:r>
      <w:r w:rsidR="00397E08">
        <w:rPr>
          <w:noProof/>
        </w:rPr>
        <w:t xml:space="preserve"> (b) Resin with 2.5 % fumed silica. (c) Resin with 5 % fumed silica. (d) Resin with </w:t>
      </w:r>
      <w:r w:rsidR="004E7863">
        <w:rPr>
          <w:noProof/>
        </w:rPr>
        <w:t>10 % fumed silica.</w:t>
      </w:r>
    </w:p>
    <w:p w14:paraId="4F43DCEE" w14:textId="797F759E" w:rsidR="007E6B8D" w:rsidRDefault="007E6B8D">
      <w:pPr>
        <w:rPr>
          <w:noProof/>
        </w:rPr>
      </w:pPr>
      <w:r>
        <w:rPr>
          <w:noProof/>
        </w:rPr>
        <w:br w:type="page"/>
      </w:r>
    </w:p>
    <w:p w14:paraId="191F197D" w14:textId="09E7FA7E" w:rsidR="00C65B45" w:rsidRDefault="00E607C0">
      <w:r>
        <w:lastRenderedPageBreak/>
        <w:t>References</w:t>
      </w:r>
    </w:p>
    <w:p w14:paraId="3D56B760" w14:textId="379BEC2E" w:rsidR="00B36ECC" w:rsidRPr="00B36ECC" w:rsidRDefault="00874FCC" w:rsidP="00B36ECC">
      <w:pPr>
        <w:pStyle w:val="EndNoteBibliography"/>
        <w:spacing w:after="0"/>
      </w:pPr>
      <w:r>
        <w:fldChar w:fldCharType="begin"/>
      </w:r>
      <w:r>
        <w:instrText xml:space="preserve"> ADDIN EN.REFLIST </w:instrText>
      </w:r>
      <w:r>
        <w:fldChar w:fldCharType="separate"/>
      </w:r>
      <w:r w:rsidR="00B36ECC" w:rsidRPr="00B36ECC">
        <w:t xml:space="preserve">[1] Mours, M., Winter, H. H., Time-resolved rheometry, Rheol. Acta 33(5) (1994) 385-397. </w:t>
      </w:r>
      <w:hyperlink r:id="rId18" w:history="1">
        <w:r w:rsidR="00B36ECC" w:rsidRPr="00B36ECC">
          <w:rPr>
            <w:rStyle w:val="Hyperlink"/>
          </w:rPr>
          <w:t>https://doi.org/10.1007/BF00366581</w:t>
        </w:r>
      </w:hyperlink>
      <w:r w:rsidR="00B36ECC" w:rsidRPr="00B36ECC">
        <w:t>.</w:t>
      </w:r>
    </w:p>
    <w:p w14:paraId="7DBD2C5E" w14:textId="5A396BE1" w:rsidR="00B36ECC" w:rsidRPr="00B36ECC" w:rsidRDefault="00B36ECC" w:rsidP="00B36ECC">
      <w:pPr>
        <w:pStyle w:val="EndNoteBibliography"/>
        <w:spacing w:after="0"/>
      </w:pPr>
      <w:r w:rsidRPr="00B36ECC">
        <w:t xml:space="preserve">[2] Geri, M., Keshavarz, B., Divoux, T., Clasen, C., Curtis, D., McKinley, G. H., 2018. Time-Resolved Mechanical Spectroscopy of Soft Materials via Optimally Windowed Chirps, Phys. Rev. X 8(4), 041042. </w:t>
      </w:r>
      <w:hyperlink r:id="rId19" w:history="1">
        <w:r w:rsidRPr="00B36ECC">
          <w:rPr>
            <w:rStyle w:val="Hyperlink"/>
          </w:rPr>
          <w:t>https://doi.org/10.1103/PhysRevX.8.041042</w:t>
        </w:r>
      </w:hyperlink>
      <w:r w:rsidRPr="00B36ECC">
        <w:t>.</w:t>
      </w:r>
    </w:p>
    <w:p w14:paraId="5EB0A78D" w14:textId="23ACAFCB" w:rsidR="00B36ECC" w:rsidRPr="00B36ECC" w:rsidRDefault="00B36ECC" w:rsidP="00B36ECC">
      <w:pPr>
        <w:pStyle w:val="EndNoteBibliography"/>
        <w:spacing w:after="0"/>
      </w:pPr>
      <w:r w:rsidRPr="00B36ECC">
        <w:t xml:space="preserve">[3] Romberg, S., Kotula, A., 2023. Simultaneous rheology and cure kinetics dictate thermal post-curing of thermoset composite resins for material extrusion, Addit. Manuf. 71, 103589. </w:t>
      </w:r>
      <w:hyperlink r:id="rId20" w:history="1">
        <w:r w:rsidRPr="00B36ECC">
          <w:rPr>
            <w:rStyle w:val="Hyperlink"/>
          </w:rPr>
          <w:t>https://doi.org/10.1016/j.addma.2023.103589</w:t>
        </w:r>
      </w:hyperlink>
      <w:r w:rsidRPr="00B36ECC">
        <w:t>.</w:t>
      </w:r>
    </w:p>
    <w:p w14:paraId="2E46AA79" w14:textId="7DA972D8" w:rsidR="00B36ECC" w:rsidRPr="00B36ECC" w:rsidRDefault="00B36ECC" w:rsidP="00B36ECC">
      <w:pPr>
        <w:pStyle w:val="EndNoteBibliography"/>
        <w:spacing w:after="0"/>
      </w:pPr>
      <w:r w:rsidRPr="00B36ECC">
        <w:t xml:space="preserve">[4] Romberg, S., Kotula, A., Simultaneous rheology and cure kinetics dictate thermal post-curing of thermoset composite resins for material extrusion, in: N.P.D. Repository (Ed.) 2023. </w:t>
      </w:r>
      <w:hyperlink r:id="rId21" w:history="1">
        <w:r w:rsidRPr="00B36ECC">
          <w:rPr>
            <w:rStyle w:val="Hyperlink"/>
          </w:rPr>
          <w:t>https://doi.org/10.18434/mds2-2918</w:t>
        </w:r>
      </w:hyperlink>
      <w:r w:rsidRPr="00B36ECC">
        <w:t>.</w:t>
      </w:r>
    </w:p>
    <w:p w14:paraId="62C94E04" w14:textId="0CE394C4" w:rsidR="00B36ECC" w:rsidRPr="00B36ECC" w:rsidRDefault="00B36ECC" w:rsidP="00B36ECC">
      <w:pPr>
        <w:pStyle w:val="EndNoteBibliography"/>
        <w:spacing w:after="0"/>
      </w:pPr>
      <w:r w:rsidRPr="00B36ECC">
        <w:t xml:space="preserve">[5] Gergesova, M., Zupančič, B., Saprunov, I., Emri, I., The closed form t-T-P shifting (CFS) algorithm, J. Rheol. 55(1) (2011) 1-16. </w:t>
      </w:r>
      <w:hyperlink r:id="rId22" w:history="1">
        <w:r w:rsidRPr="00B36ECC">
          <w:rPr>
            <w:rStyle w:val="Hyperlink"/>
          </w:rPr>
          <w:t>https://doi.org/10.1122/1.3503529</w:t>
        </w:r>
      </w:hyperlink>
      <w:r w:rsidRPr="00B36ECC">
        <w:t>.</w:t>
      </w:r>
    </w:p>
    <w:p w14:paraId="5C3A2069" w14:textId="1B1DEDF6" w:rsidR="00B36ECC" w:rsidRPr="00B36ECC" w:rsidRDefault="00B36ECC" w:rsidP="00B36ECC">
      <w:pPr>
        <w:pStyle w:val="EndNoteBibliography"/>
      </w:pPr>
      <w:r w:rsidRPr="00B36ECC">
        <w:t xml:space="preserve">[6] Athanasiou, T., Geri, M., Roose, P., McKinley, G. H., Petekidis, G., High-frequency optimally windowed chirp rheometry for rapidly evolving viscoelastic materials: Application to a crosslinking thermoset, J. Rheol. 68(3) (2024) 445-462. </w:t>
      </w:r>
      <w:hyperlink r:id="rId23" w:history="1">
        <w:r w:rsidRPr="00B36ECC">
          <w:rPr>
            <w:rStyle w:val="Hyperlink"/>
          </w:rPr>
          <w:t>https://doi.org/10.1122/8.0000793</w:t>
        </w:r>
      </w:hyperlink>
      <w:r w:rsidRPr="00B36ECC">
        <w:t>.</w:t>
      </w:r>
    </w:p>
    <w:p w14:paraId="2A5332E0" w14:textId="01EC7C24" w:rsidR="00AD622A" w:rsidRDefault="00874FCC">
      <w:r>
        <w:fldChar w:fldCharType="end"/>
      </w:r>
    </w:p>
    <w:sectPr w:rsidR="00AD622A">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7ACD2B" w14:textId="77777777" w:rsidR="002F281A" w:rsidRDefault="002F281A" w:rsidP="00766D25">
      <w:pPr>
        <w:spacing w:after="0" w:line="240" w:lineRule="auto"/>
      </w:pPr>
      <w:r>
        <w:separator/>
      </w:r>
    </w:p>
  </w:endnote>
  <w:endnote w:type="continuationSeparator" w:id="0">
    <w:p w14:paraId="40734196" w14:textId="77777777" w:rsidR="002F281A" w:rsidRDefault="002F281A" w:rsidP="00766D25">
      <w:pPr>
        <w:spacing w:after="0" w:line="240" w:lineRule="auto"/>
      </w:pPr>
      <w:r>
        <w:continuationSeparator/>
      </w:r>
    </w:p>
  </w:endnote>
  <w:endnote w:type="continuationNotice" w:id="1">
    <w:p w14:paraId="63F3B1CB" w14:textId="77777777" w:rsidR="002F281A" w:rsidRDefault="002F281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4226B17" w14:textId="77777777" w:rsidR="002F281A" w:rsidRDefault="002F281A" w:rsidP="00766D25">
      <w:pPr>
        <w:spacing w:after="0" w:line="240" w:lineRule="auto"/>
      </w:pPr>
      <w:r>
        <w:separator/>
      </w:r>
    </w:p>
  </w:footnote>
  <w:footnote w:type="continuationSeparator" w:id="0">
    <w:p w14:paraId="086F6D4A" w14:textId="77777777" w:rsidR="002F281A" w:rsidRDefault="002F281A" w:rsidP="00766D25">
      <w:pPr>
        <w:spacing w:after="0" w:line="240" w:lineRule="auto"/>
      </w:pPr>
      <w:r>
        <w:continuationSeparator/>
      </w:r>
    </w:p>
  </w:footnote>
  <w:footnote w:type="continuationNotice" w:id="1">
    <w:p w14:paraId="2EF5E603" w14:textId="77777777" w:rsidR="002F281A" w:rsidRDefault="002F281A">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1A712E6"/>
    <w:multiLevelType w:val="hybridMultilevel"/>
    <w:tmpl w:val="81865350"/>
    <w:lvl w:ilvl="0" w:tplc="04090001">
      <w:start w:val="1"/>
      <w:numFmt w:val="bullet"/>
      <w:lvlText w:val=""/>
      <w:lvlJc w:val="left"/>
      <w:pPr>
        <w:ind w:left="792" w:hanging="360"/>
      </w:pPr>
      <w:rPr>
        <w:rFonts w:ascii="Symbol" w:hAnsi="Symbol" w:hint="default"/>
      </w:rPr>
    </w:lvl>
    <w:lvl w:ilvl="1" w:tplc="04090003">
      <w:start w:val="1"/>
      <w:numFmt w:val="bullet"/>
      <w:lvlText w:val="o"/>
      <w:lvlJc w:val="left"/>
      <w:pPr>
        <w:ind w:left="1512" w:hanging="360"/>
      </w:pPr>
      <w:rPr>
        <w:rFonts w:ascii="Courier New" w:hAnsi="Courier New" w:cs="Courier New" w:hint="default"/>
      </w:rPr>
    </w:lvl>
    <w:lvl w:ilvl="2" w:tplc="04090005" w:tentative="1">
      <w:start w:val="1"/>
      <w:numFmt w:val="bullet"/>
      <w:lvlText w:val=""/>
      <w:lvlJc w:val="left"/>
      <w:pPr>
        <w:ind w:left="2232" w:hanging="360"/>
      </w:pPr>
      <w:rPr>
        <w:rFonts w:ascii="Wingdings" w:hAnsi="Wingdings" w:hint="default"/>
      </w:rPr>
    </w:lvl>
    <w:lvl w:ilvl="3" w:tplc="04090001" w:tentative="1">
      <w:start w:val="1"/>
      <w:numFmt w:val="bullet"/>
      <w:lvlText w:val=""/>
      <w:lvlJc w:val="left"/>
      <w:pPr>
        <w:ind w:left="2952" w:hanging="360"/>
      </w:pPr>
      <w:rPr>
        <w:rFonts w:ascii="Symbol" w:hAnsi="Symbol" w:hint="default"/>
      </w:rPr>
    </w:lvl>
    <w:lvl w:ilvl="4" w:tplc="04090003" w:tentative="1">
      <w:start w:val="1"/>
      <w:numFmt w:val="bullet"/>
      <w:lvlText w:val="o"/>
      <w:lvlJc w:val="left"/>
      <w:pPr>
        <w:ind w:left="3672" w:hanging="360"/>
      </w:pPr>
      <w:rPr>
        <w:rFonts w:ascii="Courier New" w:hAnsi="Courier New" w:cs="Courier New" w:hint="default"/>
      </w:rPr>
    </w:lvl>
    <w:lvl w:ilvl="5" w:tplc="04090005" w:tentative="1">
      <w:start w:val="1"/>
      <w:numFmt w:val="bullet"/>
      <w:lvlText w:val=""/>
      <w:lvlJc w:val="left"/>
      <w:pPr>
        <w:ind w:left="4392" w:hanging="360"/>
      </w:pPr>
      <w:rPr>
        <w:rFonts w:ascii="Wingdings" w:hAnsi="Wingdings" w:hint="default"/>
      </w:rPr>
    </w:lvl>
    <w:lvl w:ilvl="6" w:tplc="04090001" w:tentative="1">
      <w:start w:val="1"/>
      <w:numFmt w:val="bullet"/>
      <w:lvlText w:val=""/>
      <w:lvlJc w:val="left"/>
      <w:pPr>
        <w:ind w:left="5112" w:hanging="360"/>
      </w:pPr>
      <w:rPr>
        <w:rFonts w:ascii="Symbol" w:hAnsi="Symbol" w:hint="default"/>
      </w:rPr>
    </w:lvl>
    <w:lvl w:ilvl="7" w:tplc="04090003" w:tentative="1">
      <w:start w:val="1"/>
      <w:numFmt w:val="bullet"/>
      <w:lvlText w:val="o"/>
      <w:lvlJc w:val="left"/>
      <w:pPr>
        <w:ind w:left="5832" w:hanging="360"/>
      </w:pPr>
      <w:rPr>
        <w:rFonts w:ascii="Courier New" w:hAnsi="Courier New" w:cs="Courier New" w:hint="default"/>
      </w:rPr>
    </w:lvl>
    <w:lvl w:ilvl="8" w:tplc="04090005" w:tentative="1">
      <w:start w:val="1"/>
      <w:numFmt w:val="bullet"/>
      <w:lvlText w:val=""/>
      <w:lvlJc w:val="left"/>
      <w:pPr>
        <w:ind w:left="6552" w:hanging="360"/>
      </w:pPr>
      <w:rPr>
        <w:rFonts w:ascii="Wingdings" w:hAnsi="Wingdings" w:hint="default"/>
      </w:rPr>
    </w:lvl>
  </w:abstractNum>
  <w:num w:numId="1" w16cid:durableId="2710601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0&lt;/Suspended&gt;&lt;/ENInstantFormat&gt;"/>
    <w:docVar w:name="EN.Layout" w:val="&lt;ENLayout&gt;&lt;Style&gt;ACS Applied Polymer Materials - V1&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x5959tzdksvwwae9at9xaxprvad0x0d09vwv&quot;&gt;My EndNote Library&lt;record-ids&gt;&lt;item&gt;130&lt;/item&gt;&lt;item&gt;144&lt;/item&gt;&lt;item&gt;187&lt;/item&gt;&lt;item&gt;190&lt;/item&gt;&lt;item&gt;295&lt;/item&gt;&lt;item&gt;299&lt;/item&gt;&lt;/record-ids&gt;&lt;/item&gt;&lt;/Libraries&gt;"/>
  </w:docVars>
  <w:rsids>
    <w:rsidRoot w:val="00BB7388"/>
    <w:rsid w:val="000005C2"/>
    <w:rsid w:val="0000136A"/>
    <w:rsid w:val="000029A0"/>
    <w:rsid w:val="00011BA3"/>
    <w:rsid w:val="000156AA"/>
    <w:rsid w:val="00015BAF"/>
    <w:rsid w:val="00020146"/>
    <w:rsid w:val="00021DFC"/>
    <w:rsid w:val="0002326C"/>
    <w:rsid w:val="00025676"/>
    <w:rsid w:val="00031FAA"/>
    <w:rsid w:val="00033B08"/>
    <w:rsid w:val="00036638"/>
    <w:rsid w:val="00040012"/>
    <w:rsid w:val="000431D2"/>
    <w:rsid w:val="000439E2"/>
    <w:rsid w:val="00044742"/>
    <w:rsid w:val="00046623"/>
    <w:rsid w:val="000536FC"/>
    <w:rsid w:val="00060F4E"/>
    <w:rsid w:val="0006150A"/>
    <w:rsid w:val="00071F47"/>
    <w:rsid w:val="00073040"/>
    <w:rsid w:val="00073149"/>
    <w:rsid w:val="00074151"/>
    <w:rsid w:val="0008191C"/>
    <w:rsid w:val="000824CE"/>
    <w:rsid w:val="00085AA8"/>
    <w:rsid w:val="00093BDF"/>
    <w:rsid w:val="000960DF"/>
    <w:rsid w:val="00096239"/>
    <w:rsid w:val="00096AEC"/>
    <w:rsid w:val="000B6245"/>
    <w:rsid w:val="000C147C"/>
    <w:rsid w:val="000C4247"/>
    <w:rsid w:val="000D1BBC"/>
    <w:rsid w:val="000D55F6"/>
    <w:rsid w:val="000D7C4C"/>
    <w:rsid w:val="000E339D"/>
    <w:rsid w:val="000E6CD6"/>
    <w:rsid w:val="000E798F"/>
    <w:rsid w:val="000F6BF4"/>
    <w:rsid w:val="001002C4"/>
    <w:rsid w:val="00110E86"/>
    <w:rsid w:val="00130CE8"/>
    <w:rsid w:val="00130E75"/>
    <w:rsid w:val="00135017"/>
    <w:rsid w:val="00140BB9"/>
    <w:rsid w:val="0014361A"/>
    <w:rsid w:val="001508B6"/>
    <w:rsid w:val="00156812"/>
    <w:rsid w:val="001625BE"/>
    <w:rsid w:val="001643B5"/>
    <w:rsid w:val="00165701"/>
    <w:rsid w:val="001718D1"/>
    <w:rsid w:val="00174066"/>
    <w:rsid w:val="00176B9B"/>
    <w:rsid w:val="00177DEA"/>
    <w:rsid w:val="00184314"/>
    <w:rsid w:val="0018663C"/>
    <w:rsid w:val="001A2451"/>
    <w:rsid w:val="001A3569"/>
    <w:rsid w:val="001A6A67"/>
    <w:rsid w:val="001B1093"/>
    <w:rsid w:val="001C3316"/>
    <w:rsid w:val="001C39AB"/>
    <w:rsid w:val="001C64BA"/>
    <w:rsid w:val="001D2EF9"/>
    <w:rsid w:val="001D5137"/>
    <w:rsid w:val="001D5D48"/>
    <w:rsid w:val="001D7070"/>
    <w:rsid w:val="001D73F2"/>
    <w:rsid w:val="001F172E"/>
    <w:rsid w:val="001F3D91"/>
    <w:rsid w:val="001F5C28"/>
    <w:rsid w:val="002011A6"/>
    <w:rsid w:val="0020565B"/>
    <w:rsid w:val="002064E6"/>
    <w:rsid w:val="002072F6"/>
    <w:rsid w:val="00211380"/>
    <w:rsid w:val="00212F4F"/>
    <w:rsid w:val="00215470"/>
    <w:rsid w:val="00217502"/>
    <w:rsid w:val="002202F1"/>
    <w:rsid w:val="002205AE"/>
    <w:rsid w:val="00227A7D"/>
    <w:rsid w:val="00227D7B"/>
    <w:rsid w:val="0023701C"/>
    <w:rsid w:val="00244DE1"/>
    <w:rsid w:val="00247902"/>
    <w:rsid w:val="002553D1"/>
    <w:rsid w:val="00257F3C"/>
    <w:rsid w:val="002615C8"/>
    <w:rsid w:val="00264E2B"/>
    <w:rsid w:val="00272A01"/>
    <w:rsid w:val="00281C2A"/>
    <w:rsid w:val="00286C48"/>
    <w:rsid w:val="00290F28"/>
    <w:rsid w:val="002941C2"/>
    <w:rsid w:val="00294252"/>
    <w:rsid w:val="00294F86"/>
    <w:rsid w:val="002A0392"/>
    <w:rsid w:val="002A2223"/>
    <w:rsid w:val="002A58F3"/>
    <w:rsid w:val="002A60E5"/>
    <w:rsid w:val="002B3C26"/>
    <w:rsid w:val="002C486B"/>
    <w:rsid w:val="002C6919"/>
    <w:rsid w:val="002D3899"/>
    <w:rsid w:val="002D7121"/>
    <w:rsid w:val="002D7E1D"/>
    <w:rsid w:val="002E3F94"/>
    <w:rsid w:val="002E406B"/>
    <w:rsid w:val="002F1AB6"/>
    <w:rsid w:val="002F281A"/>
    <w:rsid w:val="00302CFE"/>
    <w:rsid w:val="00302FE2"/>
    <w:rsid w:val="00311120"/>
    <w:rsid w:val="00326A20"/>
    <w:rsid w:val="00332EC6"/>
    <w:rsid w:val="003342AA"/>
    <w:rsid w:val="00340756"/>
    <w:rsid w:val="003444EA"/>
    <w:rsid w:val="003560E3"/>
    <w:rsid w:val="00360A63"/>
    <w:rsid w:val="00360AF9"/>
    <w:rsid w:val="0036178E"/>
    <w:rsid w:val="003627BE"/>
    <w:rsid w:val="00363EBF"/>
    <w:rsid w:val="00364EF1"/>
    <w:rsid w:val="0037053E"/>
    <w:rsid w:val="00370F8C"/>
    <w:rsid w:val="003726F3"/>
    <w:rsid w:val="00375849"/>
    <w:rsid w:val="00381CDC"/>
    <w:rsid w:val="003825C2"/>
    <w:rsid w:val="00382FFA"/>
    <w:rsid w:val="00384840"/>
    <w:rsid w:val="00386D18"/>
    <w:rsid w:val="003902A4"/>
    <w:rsid w:val="003905BA"/>
    <w:rsid w:val="00392706"/>
    <w:rsid w:val="00397E08"/>
    <w:rsid w:val="003A4970"/>
    <w:rsid w:val="003A790E"/>
    <w:rsid w:val="003E3755"/>
    <w:rsid w:val="003E3CDF"/>
    <w:rsid w:val="003E48C6"/>
    <w:rsid w:val="003E679E"/>
    <w:rsid w:val="003F5786"/>
    <w:rsid w:val="00406E02"/>
    <w:rsid w:val="0041166A"/>
    <w:rsid w:val="0041218E"/>
    <w:rsid w:val="00421DD0"/>
    <w:rsid w:val="00424061"/>
    <w:rsid w:val="004300D2"/>
    <w:rsid w:val="004332AC"/>
    <w:rsid w:val="00433C7E"/>
    <w:rsid w:val="00433F5A"/>
    <w:rsid w:val="004412EC"/>
    <w:rsid w:val="00441DDA"/>
    <w:rsid w:val="004432D2"/>
    <w:rsid w:val="0044794C"/>
    <w:rsid w:val="004549FD"/>
    <w:rsid w:val="00456725"/>
    <w:rsid w:val="00457C7F"/>
    <w:rsid w:val="00463A66"/>
    <w:rsid w:val="0046405E"/>
    <w:rsid w:val="0047720F"/>
    <w:rsid w:val="004832E5"/>
    <w:rsid w:val="0049033C"/>
    <w:rsid w:val="00495A98"/>
    <w:rsid w:val="004A30EF"/>
    <w:rsid w:val="004A3589"/>
    <w:rsid w:val="004A6597"/>
    <w:rsid w:val="004B0AE4"/>
    <w:rsid w:val="004B6314"/>
    <w:rsid w:val="004B7659"/>
    <w:rsid w:val="004C3CD4"/>
    <w:rsid w:val="004C441B"/>
    <w:rsid w:val="004C5F9D"/>
    <w:rsid w:val="004C6892"/>
    <w:rsid w:val="004C72E7"/>
    <w:rsid w:val="004C7F44"/>
    <w:rsid w:val="004D35BD"/>
    <w:rsid w:val="004D4320"/>
    <w:rsid w:val="004D53C5"/>
    <w:rsid w:val="004D6810"/>
    <w:rsid w:val="004D768C"/>
    <w:rsid w:val="004D7B9E"/>
    <w:rsid w:val="004D7F77"/>
    <w:rsid w:val="004E7863"/>
    <w:rsid w:val="004F0B0E"/>
    <w:rsid w:val="004F1454"/>
    <w:rsid w:val="004F6433"/>
    <w:rsid w:val="004F7CFE"/>
    <w:rsid w:val="00500257"/>
    <w:rsid w:val="00500510"/>
    <w:rsid w:val="005114A3"/>
    <w:rsid w:val="00513684"/>
    <w:rsid w:val="00514916"/>
    <w:rsid w:val="00521E81"/>
    <w:rsid w:val="005241FA"/>
    <w:rsid w:val="00525018"/>
    <w:rsid w:val="00527A01"/>
    <w:rsid w:val="005410D1"/>
    <w:rsid w:val="005436E3"/>
    <w:rsid w:val="005445C8"/>
    <w:rsid w:val="00546A8F"/>
    <w:rsid w:val="00550144"/>
    <w:rsid w:val="0055025D"/>
    <w:rsid w:val="00553F23"/>
    <w:rsid w:val="00555EB1"/>
    <w:rsid w:val="005610A6"/>
    <w:rsid w:val="00563D0C"/>
    <w:rsid w:val="00567188"/>
    <w:rsid w:val="0057612F"/>
    <w:rsid w:val="00576C81"/>
    <w:rsid w:val="005809B3"/>
    <w:rsid w:val="00581565"/>
    <w:rsid w:val="0059133A"/>
    <w:rsid w:val="00592F4C"/>
    <w:rsid w:val="0059328C"/>
    <w:rsid w:val="005961F4"/>
    <w:rsid w:val="005A32B0"/>
    <w:rsid w:val="005A6917"/>
    <w:rsid w:val="005B1841"/>
    <w:rsid w:val="005B40BF"/>
    <w:rsid w:val="005B48B3"/>
    <w:rsid w:val="005B52A7"/>
    <w:rsid w:val="005C0509"/>
    <w:rsid w:val="005C4C4E"/>
    <w:rsid w:val="005C6BB1"/>
    <w:rsid w:val="005D26CB"/>
    <w:rsid w:val="005D626B"/>
    <w:rsid w:val="005D6792"/>
    <w:rsid w:val="005E3671"/>
    <w:rsid w:val="005E57B2"/>
    <w:rsid w:val="005F2D23"/>
    <w:rsid w:val="005F36D9"/>
    <w:rsid w:val="005F7617"/>
    <w:rsid w:val="00600721"/>
    <w:rsid w:val="00606638"/>
    <w:rsid w:val="00612629"/>
    <w:rsid w:val="0061283A"/>
    <w:rsid w:val="00614176"/>
    <w:rsid w:val="0062334F"/>
    <w:rsid w:val="00624277"/>
    <w:rsid w:val="00625B4B"/>
    <w:rsid w:val="006316F7"/>
    <w:rsid w:val="00632674"/>
    <w:rsid w:val="00635647"/>
    <w:rsid w:val="006412B2"/>
    <w:rsid w:val="0064234F"/>
    <w:rsid w:val="00651419"/>
    <w:rsid w:val="00652284"/>
    <w:rsid w:val="0065317C"/>
    <w:rsid w:val="00653EC8"/>
    <w:rsid w:val="00654E5F"/>
    <w:rsid w:val="006605F8"/>
    <w:rsid w:val="00660CC9"/>
    <w:rsid w:val="00663E05"/>
    <w:rsid w:val="0067032B"/>
    <w:rsid w:val="0067137D"/>
    <w:rsid w:val="0068372B"/>
    <w:rsid w:val="006927C8"/>
    <w:rsid w:val="006B2848"/>
    <w:rsid w:val="006B43E4"/>
    <w:rsid w:val="006D5F3F"/>
    <w:rsid w:val="006D75AC"/>
    <w:rsid w:val="006D7700"/>
    <w:rsid w:val="006E1777"/>
    <w:rsid w:val="006E4EC7"/>
    <w:rsid w:val="006F3DDF"/>
    <w:rsid w:val="006F6758"/>
    <w:rsid w:val="00700697"/>
    <w:rsid w:val="0070106D"/>
    <w:rsid w:val="00714828"/>
    <w:rsid w:val="00715554"/>
    <w:rsid w:val="0071571A"/>
    <w:rsid w:val="00717A3E"/>
    <w:rsid w:val="00720933"/>
    <w:rsid w:val="007229DD"/>
    <w:rsid w:val="00735682"/>
    <w:rsid w:val="0073708A"/>
    <w:rsid w:val="00743C91"/>
    <w:rsid w:val="00746C7A"/>
    <w:rsid w:val="00747B76"/>
    <w:rsid w:val="007505BD"/>
    <w:rsid w:val="00750F91"/>
    <w:rsid w:val="00752ED9"/>
    <w:rsid w:val="00753203"/>
    <w:rsid w:val="0075726E"/>
    <w:rsid w:val="007654D1"/>
    <w:rsid w:val="00766D25"/>
    <w:rsid w:val="0077552D"/>
    <w:rsid w:val="00777EB3"/>
    <w:rsid w:val="0078256E"/>
    <w:rsid w:val="007825A1"/>
    <w:rsid w:val="00782689"/>
    <w:rsid w:val="007851F8"/>
    <w:rsid w:val="0078549D"/>
    <w:rsid w:val="0079178A"/>
    <w:rsid w:val="007A073F"/>
    <w:rsid w:val="007B3F73"/>
    <w:rsid w:val="007C282C"/>
    <w:rsid w:val="007D32FA"/>
    <w:rsid w:val="007D3EFB"/>
    <w:rsid w:val="007D5394"/>
    <w:rsid w:val="007D53A3"/>
    <w:rsid w:val="007E1370"/>
    <w:rsid w:val="007E2128"/>
    <w:rsid w:val="007E6B8D"/>
    <w:rsid w:val="007F0306"/>
    <w:rsid w:val="007F2641"/>
    <w:rsid w:val="007F35BB"/>
    <w:rsid w:val="00801B7F"/>
    <w:rsid w:val="008022AE"/>
    <w:rsid w:val="00802C12"/>
    <w:rsid w:val="0081339C"/>
    <w:rsid w:val="0081582F"/>
    <w:rsid w:val="008164E8"/>
    <w:rsid w:val="00822944"/>
    <w:rsid w:val="00822E9F"/>
    <w:rsid w:val="008268F7"/>
    <w:rsid w:val="008302D3"/>
    <w:rsid w:val="00835550"/>
    <w:rsid w:val="00841918"/>
    <w:rsid w:val="00843B4B"/>
    <w:rsid w:val="008473DB"/>
    <w:rsid w:val="00851948"/>
    <w:rsid w:val="00851A8C"/>
    <w:rsid w:val="008540DD"/>
    <w:rsid w:val="00854714"/>
    <w:rsid w:val="00857002"/>
    <w:rsid w:val="008612A5"/>
    <w:rsid w:val="00865BA9"/>
    <w:rsid w:val="008711B2"/>
    <w:rsid w:val="00872469"/>
    <w:rsid w:val="00873D3B"/>
    <w:rsid w:val="00874FCC"/>
    <w:rsid w:val="00875321"/>
    <w:rsid w:val="00875AF1"/>
    <w:rsid w:val="00876906"/>
    <w:rsid w:val="00880D1C"/>
    <w:rsid w:val="00882077"/>
    <w:rsid w:val="00892CAB"/>
    <w:rsid w:val="008934C6"/>
    <w:rsid w:val="0089614E"/>
    <w:rsid w:val="00897857"/>
    <w:rsid w:val="008A1A4D"/>
    <w:rsid w:val="008A45BB"/>
    <w:rsid w:val="008B1D65"/>
    <w:rsid w:val="008B2FC4"/>
    <w:rsid w:val="008B54C8"/>
    <w:rsid w:val="008B60DB"/>
    <w:rsid w:val="008C05EF"/>
    <w:rsid w:val="008C2A34"/>
    <w:rsid w:val="008C6B53"/>
    <w:rsid w:val="008D3974"/>
    <w:rsid w:val="008D7077"/>
    <w:rsid w:val="008E0844"/>
    <w:rsid w:val="008E55C9"/>
    <w:rsid w:val="008E645F"/>
    <w:rsid w:val="008E6E1C"/>
    <w:rsid w:val="008E7FCF"/>
    <w:rsid w:val="008F568A"/>
    <w:rsid w:val="008F5CA8"/>
    <w:rsid w:val="009130F9"/>
    <w:rsid w:val="00913DA3"/>
    <w:rsid w:val="0091426A"/>
    <w:rsid w:val="00916C8C"/>
    <w:rsid w:val="0092227C"/>
    <w:rsid w:val="00923DBC"/>
    <w:rsid w:val="0092655C"/>
    <w:rsid w:val="00930ACD"/>
    <w:rsid w:val="00932AFC"/>
    <w:rsid w:val="0093316C"/>
    <w:rsid w:val="009346A0"/>
    <w:rsid w:val="00951926"/>
    <w:rsid w:val="00951A0A"/>
    <w:rsid w:val="00952BCB"/>
    <w:rsid w:val="00952D8F"/>
    <w:rsid w:val="00954B9E"/>
    <w:rsid w:val="00956374"/>
    <w:rsid w:val="00960104"/>
    <w:rsid w:val="0096232E"/>
    <w:rsid w:val="0096358D"/>
    <w:rsid w:val="00964075"/>
    <w:rsid w:val="0097134F"/>
    <w:rsid w:val="00971D9E"/>
    <w:rsid w:val="0097685B"/>
    <w:rsid w:val="00983C35"/>
    <w:rsid w:val="00983F68"/>
    <w:rsid w:val="0098574B"/>
    <w:rsid w:val="00985F6A"/>
    <w:rsid w:val="0098618B"/>
    <w:rsid w:val="009870EA"/>
    <w:rsid w:val="00990313"/>
    <w:rsid w:val="009A5CE8"/>
    <w:rsid w:val="009B0E3F"/>
    <w:rsid w:val="009C1F04"/>
    <w:rsid w:val="009C4CD0"/>
    <w:rsid w:val="009D107E"/>
    <w:rsid w:val="009D1620"/>
    <w:rsid w:val="009D387F"/>
    <w:rsid w:val="009D3DF9"/>
    <w:rsid w:val="009D4AC0"/>
    <w:rsid w:val="009E038D"/>
    <w:rsid w:val="009E552E"/>
    <w:rsid w:val="009F09AE"/>
    <w:rsid w:val="009F36E6"/>
    <w:rsid w:val="009F7F9F"/>
    <w:rsid w:val="00A028B5"/>
    <w:rsid w:val="00A04FB3"/>
    <w:rsid w:val="00A06F41"/>
    <w:rsid w:val="00A120E3"/>
    <w:rsid w:val="00A12647"/>
    <w:rsid w:val="00A12DD3"/>
    <w:rsid w:val="00A15564"/>
    <w:rsid w:val="00A206A5"/>
    <w:rsid w:val="00A24858"/>
    <w:rsid w:val="00A24FCA"/>
    <w:rsid w:val="00A27664"/>
    <w:rsid w:val="00A3660E"/>
    <w:rsid w:val="00A54D3F"/>
    <w:rsid w:val="00A55584"/>
    <w:rsid w:val="00A564F3"/>
    <w:rsid w:val="00A63471"/>
    <w:rsid w:val="00A63931"/>
    <w:rsid w:val="00A67052"/>
    <w:rsid w:val="00A72A43"/>
    <w:rsid w:val="00A7459B"/>
    <w:rsid w:val="00A77FF7"/>
    <w:rsid w:val="00A83023"/>
    <w:rsid w:val="00A85E10"/>
    <w:rsid w:val="00A900FC"/>
    <w:rsid w:val="00A94D73"/>
    <w:rsid w:val="00A977F8"/>
    <w:rsid w:val="00A97BAB"/>
    <w:rsid w:val="00AA6187"/>
    <w:rsid w:val="00AB1D0E"/>
    <w:rsid w:val="00AB3ECD"/>
    <w:rsid w:val="00AB6AE8"/>
    <w:rsid w:val="00AB6B64"/>
    <w:rsid w:val="00AC0529"/>
    <w:rsid w:val="00AC2A57"/>
    <w:rsid w:val="00AC4694"/>
    <w:rsid w:val="00AC5AC9"/>
    <w:rsid w:val="00AD0BF4"/>
    <w:rsid w:val="00AD1408"/>
    <w:rsid w:val="00AD1F65"/>
    <w:rsid w:val="00AD622A"/>
    <w:rsid w:val="00AD67C1"/>
    <w:rsid w:val="00AD6ADB"/>
    <w:rsid w:val="00AE358F"/>
    <w:rsid w:val="00AE7BAE"/>
    <w:rsid w:val="00AF05FC"/>
    <w:rsid w:val="00AF4376"/>
    <w:rsid w:val="00AF5960"/>
    <w:rsid w:val="00AF6769"/>
    <w:rsid w:val="00AF7553"/>
    <w:rsid w:val="00AF79D0"/>
    <w:rsid w:val="00B00929"/>
    <w:rsid w:val="00B061BF"/>
    <w:rsid w:val="00B10DE8"/>
    <w:rsid w:val="00B11F86"/>
    <w:rsid w:val="00B15457"/>
    <w:rsid w:val="00B20127"/>
    <w:rsid w:val="00B2368B"/>
    <w:rsid w:val="00B25D02"/>
    <w:rsid w:val="00B278D2"/>
    <w:rsid w:val="00B32625"/>
    <w:rsid w:val="00B33B5B"/>
    <w:rsid w:val="00B36ECC"/>
    <w:rsid w:val="00B41991"/>
    <w:rsid w:val="00B43D6F"/>
    <w:rsid w:val="00B45DC1"/>
    <w:rsid w:val="00B51800"/>
    <w:rsid w:val="00B52C0B"/>
    <w:rsid w:val="00B5401A"/>
    <w:rsid w:val="00B55850"/>
    <w:rsid w:val="00B604CF"/>
    <w:rsid w:val="00B62AC5"/>
    <w:rsid w:val="00B66C7C"/>
    <w:rsid w:val="00B6714D"/>
    <w:rsid w:val="00B72FAE"/>
    <w:rsid w:val="00B769F3"/>
    <w:rsid w:val="00B816BB"/>
    <w:rsid w:val="00B866DD"/>
    <w:rsid w:val="00B870E8"/>
    <w:rsid w:val="00BA278E"/>
    <w:rsid w:val="00BA63BA"/>
    <w:rsid w:val="00BB2971"/>
    <w:rsid w:val="00BB7388"/>
    <w:rsid w:val="00BB7B28"/>
    <w:rsid w:val="00BC02E5"/>
    <w:rsid w:val="00BC3D7E"/>
    <w:rsid w:val="00BD36F8"/>
    <w:rsid w:val="00BD3EB0"/>
    <w:rsid w:val="00BD59E0"/>
    <w:rsid w:val="00BE179C"/>
    <w:rsid w:val="00BE2C98"/>
    <w:rsid w:val="00C06E5C"/>
    <w:rsid w:val="00C1420A"/>
    <w:rsid w:val="00C1488B"/>
    <w:rsid w:val="00C22ED5"/>
    <w:rsid w:val="00C232D8"/>
    <w:rsid w:val="00C23992"/>
    <w:rsid w:val="00C24DA0"/>
    <w:rsid w:val="00C255E1"/>
    <w:rsid w:val="00C27427"/>
    <w:rsid w:val="00C27486"/>
    <w:rsid w:val="00C27B17"/>
    <w:rsid w:val="00C34EB6"/>
    <w:rsid w:val="00C355C9"/>
    <w:rsid w:val="00C45878"/>
    <w:rsid w:val="00C46E8A"/>
    <w:rsid w:val="00C5112A"/>
    <w:rsid w:val="00C51393"/>
    <w:rsid w:val="00C5276E"/>
    <w:rsid w:val="00C55D87"/>
    <w:rsid w:val="00C63643"/>
    <w:rsid w:val="00C63C36"/>
    <w:rsid w:val="00C64EC3"/>
    <w:rsid w:val="00C653DC"/>
    <w:rsid w:val="00C65B45"/>
    <w:rsid w:val="00C71AF1"/>
    <w:rsid w:val="00C739E7"/>
    <w:rsid w:val="00C80783"/>
    <w:rsid w:val="00C80DB9"/>
    <w:rsid w:val="00C80E36"/>
    <w:rsid w:val="00C84BB8"/>
    <w:rsid w:val="00C964C3"/>
    <w:rsid w:val="00CA01E6"/>
    <w:rsid w:val="00CB0802"/>
    <w:rsid w:val="00CB49EB"/>
    <w:rsid w:val="00CB7194"/>
    <w:rsid w:val="00CB71CD"/>
    <w:rsid w:val="00CE0C9C"/>
    <w:rsid w:val="00CE0CFD"/>
    <w:rsid w:val="00CE2530"/>
    <w:rsid w:val="00CE6343"/>
    <w:rsid w:val="00CE641A"/>
    <w:rsid w:val="00CF4D33"/>
    <w:rsid w:val="00CF4DCA"/>
    <w:rsid w:val="00CF7F0B"/>
    <w:rsid w:val="00D00133"/>
    <w:rsid w:val="00D03311"/>
    <w:rsid w:val="00D059FC"/>
    <w:rsid w:val="00D079E0"/>
    <w:rsid w:val="00D11D90"/>
    <w:rsid w:val="00D20807"/>
    <w:rsid w:val="00D2715D"/>
    <w:rsid w:val="00D27A37"/>
    <w:rsid w:val="00D42596"/>
    <w:rsid w:val="00D431B6"/>
    <w:rsid w:val="00D43A25"/>
    <w:rsid w:val="00D44172"/>
    <w:rsid w:val="00D450D0"/>
    <w:rsid w:val="00D461C9"/>
    <w:rsid w:val="00D47C13"/>
    <w:rsid w:val="00D5107D"/>
    <w:rsid w:val="00D535A0"/>
    <w:rsid w:val="00D60BB5"/>
    <w:rsid w:val="00D62247"/>
    <w:rsid w:val="00D65394"/>
    <w:rsid w:val="00D720C2"/>
    <w:rsid w:val="00D73200"/>
    <w:rsid w:val="00D757A7"/>
    <w:rsid w:val="00D86D6C"/>
    <w:rsid w:val="00D9223A"/>
    <w:rsid w:val="00D92A20"/>
    <w:rsid w:val="00D9533C"/>
    <w:rsid w:val="00D9539E"/>
    <w:rsid w:val="00D97829"/>
    <w:rsid w:val="00DA15A7"/>
    <w:rsid w:val="00DA1AE8"/>
    <w:rsid w:val="00DA3AE5"/>
    <w:rsid w:val="00DA51C2"/>
    <w:rsid w:val="00DB0BEC"/>
    <w:rsid w:val="00DB21D2"/>
    <w:rsid w:val="00DC554D"/>
    <w:rsid w:val="00DC792C"/>
    <w:rsid w:val="00DD1718"/>
    <w:rsid w:val="00DD3C5C"/>
    <w:rsid w:val="00DD4CA1"/>
    <w:rsid w:val="00DD7122"/>
    <w:rsid w:val="00DE1C0E"/>
    <w:rsid w:val="00DE2263"/>
    <w:rsid w:val="00DE2421"/>
    <w:rsid w:val="00DE65BD"/>
    <w:rsid w:val="00DF10C6"/>
    <w:rsid w:val="00DF40BE"/>
    <w:rsid w:val="00DF54B8"/>
    <w:rsid w:val="00DF7688"/>
    <w:rsid w:val="00E04C9A"/>
    <w:rsid w:val="00E05FB3"/>
    <w:rsid w:val="00E07FD2"/>
    <w:rsid w:val="00E107B8"/>
    <w:rsid w:val="00E113CB"/>
    <w:rsid w:val="00E11A5A"/>
    <w:rsid w:val="00E12927"/>
    <w:rsid w:val="00E20B52"/>
    <w:rsid w:val="00E230EE"/>
    <w:rsid w:val="00E30554"/>
    <w:rsid w:val="00E323F9"/>
    <w:rsid w:val="00E35B8F"/>
    <w:rsid w:val="00E36C5C"/>
    <w:rsid w:val="00E37546"/>
    <w:rsid w:val="00E41696"/>
    <w:rsid w:val="00E457C8"/>
    <w:rsid w:val="00E50F26"/>
    <w:rsid w:val="00E53EA0"/>
    <w:rsid w:val="00E607C0"/>
    <w:rsid w:val="00E63965"/>
    <w:rsid w:val="00E750C0"/>
    <w:rsid w:val="00E8016E"/>
    <w:rsid w:val="00E80424"/>
    <w:rsid w:val="00E83483"/>
    <w:rsid w:val="00E8515E"/>
    <w:rsid w:val="00E86983"/>
    <w:rsid w:val="00E96F0F"/>
    <w:rsid w:val="00EA00CD"/>
    <w:rsid w:val="00EA409B"/>
    <w:rsid w:val="00EB69E2"/>
    <w:rsid w:val="00EB6E66"/>
    <w:rsid w:val="00EB7494"/>
    <w:rsid w:val="00ED6FCE"/>
    <w:rsid w:val="00ED7D58"/>
    <w:rsid w:val="00EE4AA1"/>
    <w:rsid w:val="00EE78C6"/>
    <w:rsid w:val="00EF3BD4"/>
    <w:rsid w:val="00F03C60"/>
    <w:rsid w:val="00F077D3"/>
    <w:rsid w:val="00F07D3B"/>
    <w:rsid w:val="00F15F06"/>
    <w:rsid w:val="00F17321"/>
    <w:rsid w:val="00F21322"/>
    <w:rsid w:val="00F21EB6"/>
    <w:rsid w:val="00F31B81"/>
    <w:rsid w:val="00F337BD"/>
    <w:rsid w:val="00F35615"/>
    <w:rsid w:val="00F3742B"/>
    <w:rsid w:val="00F3753A"/>
    <w:rsid w:val="00F42BD9"/>
    <w:rsid w:val="00F4444E"/>
    <w:rsid w:val="00F4444F"/>
    <w:rsid w:val="00F446C0"/>
    <w:rsid w:val="00F528B2"/>
    <w:rsid w:val="00F54A86"/>
    <w:rsid w:val="00F550B8"/>
    <w:rsid w:val="00F56E73"/>
    <w:rsid w:val="00F66768"/>
    <w:rsid w:val="00F71B7F"/>
    <w:rsid w:val="00F80821"/>
    <w:rsid w:val="00F83E22"/>
    <w:rsid w:val="00F96A20"/>
    <w:rsid w:val="00F97768"/>
    <w:rsid w:val="00FA3AA9"/>
    <w:rsid w:val="00FB1CCD"/>
    <w:rsid w:val="00FB28DA"/>
    <w:rsid w:val="00FB6CE2"/>
    <w:rsid w:val="00FB7979"/>
    <w:rsid w:val="00FC0A82"/>
    <w:rsid w:val="00FC5993"/>
    <w:rsid w:val="00FD71FC"/>
    <w:rsid w:val="00FE58D0"/>
    <w:rsid w:val="00FE7241"/>
    <w:rsid w:val="00FF082F"/>
    <w:rsid w:val="00FF1C99"/>
    <w:rsid w:val="00FF329D"/>
    <w:rsid w:val="00FF6433"/>
    <w:rsid w:val="00FF6E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21F364"/>
  <w15:chartTrackingRefBased/>
  <w15:docId w15:val="{025C81FB-8DC1-4ECA-ACF4-1AA10022EF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ndNoteBibliographyTitle">
    <w:name w:val="EndNote Bibliography Title"/>
    <w:basedOn w:val="Normal"/>
    <w:link w:val="EndNoteBibliographyTitleChar"/>
    <w:rsid w:val="00874FCC"/>
    <w:pPr>
      <w:spacing w:after="0"/>
      <w:jc w:val="center"/>
    </w:pPr>
    <w:rPr>
      <w:rFonts w:ascii="Calibri" w:hAnsi="Calibri" w:cs="Calibri"/>
      <w:noProof/>
    </w:rPr>
  </w:style>
  <w:style w:type="character" w:customStyle="1" w:styleId="EndNoteBibliographyTitleChar">
    <w:name w:val="EndNote Bibliography Title Char"/>
    <w:basedOn w:val="DefaultParagraphFont"/>
    <w:link w:val="EndNoteBibliographyTitle"/>
    <w:rsid w:val="00874FCC"/>
    <w:rPr>
      <w:rFonts w:ascii="Calibri" w:hAnsi="Calibri" w:cs="Calibri"/>
      <w:noProof/>
    </w:rPr>
  </w:style>
  <w:style w:type="paragraph" w:customStyle="1" w:styleId="EndNoteBibliography">
    <w:name w:val="EndNote Bibliography"/>
    <w:basedOn w:val="Normal"/>
    <w:link w:val="EndNoteBibliographyChar"/>
    <w:rsid w:val="00874FCC"/>
    <w:pPr>
      <w:spacing w:line="240" w:lineRule="auto"/>
    </w:pPr>
    <w:rPr>
      <w:rFonts w:ascii="Calibri" w:hAnsi="Calibri" w:cs="Calibri"/>
      <w:noProof/>
    </w:rPr>
  </w:style>
  <w:style w:type="character" w:customStyle="1" w:styleId="EndNoteBibliographyChar">
    <w:name w:val="EndNote Bibliography Char"/>
    <w:basedOn w:val="DefaultParagraphFont"/>
    <w:link w:val="EndNoteBibliography"/>
    <w:rsid w:val="00874FCC"/>
    <w:rPr>
      <w:rFonts w:ascii="Calibri" w:hAnsi="Calibri" w:cs="Calibri"/>
      <w:noProof/>
    </w:rPr>
  </w:style>
  <w:style w:type="character" w:styleId="Hyperlink">
    <w:name w:val="Hyperlink"/>
    <w:basedOn w:val="DefaultParagraphFont"/>
    <w:uiPriority w:val="99"/>
    <w:unhideWhenUsed/>
    <w:rsid w:val="00874FCC"/>
    <w:rPr>
      <w:color w:val="0563C1" w:themeColor="hyperlink"/>
      <w:u w:val="single"/>
    </w:rPr>
  </w:style>
  <w:style w:type="character" w:styleId="UnresolvedMention">
    <w:name w:val="Unresolved Mention"/>
    <w:basedOn w:val="DefaultParagraphFont"/>
    <w:uiPriority w:val="99"/>
    <w:semiHidden/>
    <w:unhideWhenUsed/>
    <w:rsid w:val="00874FCC"/>
    <w:rPr>
      <w:color w:val="605E5C"/>
      <w:shd w:val="clear" w:color="auto" w:fill="E1DFDD"/>
    </w:rPr>
  </w:style>
  <w:style w:type="character" w:styleId="PlaceholderText">
    <w:name w:val="Placeholder Text"/>
    <w:basedOn w:val="DefaultParagraphFont"/>
    <w:uiPriority w:val="99"/>
    <w:semiHidden/>
    <w:rsid w:val="00381CDC"/>
    <w:rPr>
      <w:color w:val="666666"/>
    </w:rPr>
  </w:style>
  <w:style w:type="character" w:styleId="CommentReference">
    <w:name w:val="annotation reference"/>
    <w:basedOn w:val="DefaultParagraphFont"/>
    <w:uiPriority w:val="99"/>
    <w:semiHidden/>
    <w:unhideWhenUsed/>
    <w:rsid w:val="00E113CB"/>
    <w:rPr>
      <w:sz w:val="16"/>
      <w:szCs w:val="16"/>
    </w:rPr>
  </w:style>
  <w:style w:type="paragraph" w:styleId="CommentText">
    <w:name w:val="annotation text"/>
    <w:basedOn w:val="Normal"/>
    <w:link w:val="CommentTextChar"/>
    <w:uiPriority w:val="99"/>
    <w:unhideWhenUsed/>
    <w:rsid w:val="00E113CB"/>
    <w:pPr>
      <w:spacing w:line="240" w:lineRule="auto"/>
    </w:pPr>
    <w:rPr>
      <w:sz w:val="20"/>
      <w:szCs w:val="20"/>
    </w:rPr>
  </w:style>
  <w:style w:type="character" w:customStyle="1" w:styleId="CommentTextChar">
    <w:name w:val="Comment Text Char"/>
    <w:basedOn w:val="DefaultParagraphFont"/>
    <w:link w:val="CommentText"/>
    <w:uiPriority w:val="99"/>
    <w:rsid w:val="00E113CB"/>
    <w:rPr>
      <w:sz w:val="20"/>
      <w:szCs w:val="20"/>
    </w:rPr>
  </w:style>
  <w:style w:type="paragraph" w:styleId="CommentSubject">
    <w:name w:val="annotation subject"/>
    <w:basedOn w:val="CommentText"/>
    <w:next w:val="CommentText"/>
    <w:link w:val="CommentSubjectChar"/>
    <w:uiPriority w:val="99"/>
    <w:semiHidden/>
    <w:unhideWhenUsed/>
    <w:rsid w:val="00E113CB"/>
    <w:rPr>
      <w:b/>
      <w:bCs/>
    </w:rPr>
  </w:style>
  <w:style w:type="character" w:customStyle="1" w:styleId="CommentSubjectChar">
    <w:name w:val="Comment Subject Char"/>
    <w:basedOn w:val="CommentTextChar"/>
    <w:link w:val="CommentSubject"/>
    <w:uiPriority w:val="99"/>
    <w:semiHidden/>
    <w:rsid w:val="00E113CB"/>
    <w:rPr>
      <w:b/>
      <w:bCs/>
      <w:sz w:val="20"/>
      <w:szCs w:val="20"/>
    </w:rPr>
  </w:style>
  <w:style w:type="paragraph" w:styleId="FootnoteText">
    <w:name w:val="footnote text"/>
    <w:basedOn w:val="Normal"/>
    <w:link w:val="FootnoteTextChar"/>
    <w:uiPriority w:val="99"/>
    <w:semiHidden/>
    <w:unhideWhenUsed/>
    <w:rsid w:val="00766D25"/>
    <w:pPr>
      <w:spacing w:after="0" w:line="240" w:lineRule="auto"/>
    </w:pPr>
    <w:rPr>
      <w:rFonts w:ascii="Times New Roman" w:hAnsi="Times New Roman"/>
      <w:kern w:val="0"/>
      <w:sz w:val="20"/>
      <w:szCs w:val="20"/>
      <w14:ligatures w14:val="none"/>
    </w:rPr>
  </w:style>
  <w:style w:type="character" w:customStyle="1" w:styleId="FootnoteTextChar">
    <w:name w:val="Footnote Text Char"/>
    <w:basedOn w:val="DefaultParagraphFont"/>
    <w:link w:val="FootnoteText"/>
    <w:uiPriority w:val="99"/>
    <w:semiHidden/>
    <w:rsid w:val="00766D25"/>
    <w:rPr>
      <w:rFonts w:ascii="Times New Roman" w:hAnsi="Times New Roman"/>
      <w:kern w:val="0"/>
      <w:sz w:val="20"/>
      <w:szCs w:val="20"/>
      <w14:ligatures w14:val="none"/>
    </w:rPr>
  </w:style>
  <w:style w:type="character" w:styleId="FootnoteReference">
    <w:name w:val="footnote reference"/>
    <w:basedOn w:val="DefaultParagraphFont"/>
    <w:uiPriority w:val="99"/>
    <w:semiHidden/>
    <w:unhideWhenUsed/>
    <w:rsid w:val="00766D25"/>
    <w:rPr>
      <w:vertAlign w:val="superscript"/>
    </w:rPr>
  </w:style>
  <w:style w:type="paragraph" w:styleId="Title">
    <w:name w:val="Title"/>
    <w:basedOn w:val="Normal"/>
    <w:next w:val="Normal"/>
    <w:link w:val="TitleChar"/>
    <w:uiPriority w:val="10"/>
    <w:qFormat/>
    <w:rsid w:val="00766D25"/>
    <w:pPr>
      <w:spacing w:after="0" w:line="480" w:lineRule="auto"/>
    </w:pPr>
    <w:rPr>
      <w:rFonts w:ascii="Times New Roman" w:eastAsiaTheme="majorEastAsia" w:hAnsi="Times New Roman" w:cstheme="majorBidi"/>
      <w:spacing w:val="-10"/>
      <w:kern w:val="28"/>
      <w:sz w:val="44"/>
      <w:szCs w:val="56"/>
      <w14:ligatures w14:val="none"/>
    </w:rPr>
  </w:style>
  <w:style w:type="character" w:customStyle="1" w:styleId="TitleChar">
    <w:name w:val="Title Char"/>
    <w:basedOn w:val="DefaultParagraphFont"/>
    <w:link w:val="Title"/>
    <w:uiPriority w:val="10"/>
    <w:rsid w:val="00766D25"/>
    <w:rPr>
      <w:rFonts w:ascii="Times New Roman" w:eastAsiaTheme="majorEastAsia" w:hAnsi="Times New Roman" w:cstheme="majorBidi"/>
      <w:spacing w:val="-10"/>
      <w:kern w:val="28"/>
      <w:sz w:val="44"/>
      <w:szCs w:val="56"/>
      <w14:ligatures w14:val="none"/>
    </w:rPr>
  </w:style>
  <w:style w:type="table" w:styleId="TableGrid">
    <w:name w:val="Table Grid"/>
    <w:basedOn w:val="TableNormal"/>
    <w:uiPriority w:val="39"/>
    <w:rsid w:val="00A028B5"/>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semiHidden/>
    <w:unhideWhenUsed/>
    <w:rsid w:val="00360AF9"/>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360AF9"/>
  </w:style>
  <w:style w:type="paragraph" w:styleId="Footer">
    <w:name w:val="footer"/>
    <w:basedOn w:val="Normal"/>
    <w:link w:val="FooterChar"/>
    <w:uiPriority w:val="99"/>
    <w:semiHidden/>
    <w:unhideWhenUsed/>
    <w:rsid w:val="00360AF9"/>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360AF9"/>
  </w:style>
  <w:style w:type="character" w:styleId="FollowedHyperlink">
    <w:name w:val="FollowedHyperlink"/>
    <w:basedOn w:val="DefaultParagraphFont"/>
    <w:uiPriority w:val="99"/>
    <w:semiHidden/>
    <w:unhideWhenUsed/>
    <w:rsid w:val="00CB49EB"/>
    <w:rPr>
      <w:color w:val="954F72" w:themeColor="followedHyperlink"/>
      <w:u w:val="single"/>
    </w:rPr>
  </w:style>
  <w:style w:type="paragraph" w:styleId="Revision">
    <w:name w:val="Revision"/>
    <w:hidden/>
    <w:uiPriority w:val="99"/>
    <w:semiHidden/>
    <w:rsid w:val="00CE641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yperlink" Target="https://doi.org/10.1007/BF00366581" TargetMode="External"/><Relationship Id="rId3" Type="http://schemas.openxmlformats.org/officeDocument/2006/relationships/settings" Target="settings.xml"/><Relationship Id="rId21" Type="http://schemas.openxmlformats.org/officeDocument/2006/relationships/hyperlink" Target="https://doi.org/10.18434/mds2-2918" TargetMode="External"/><Relationship Id="rId7" Type="http://schemas.openxmlformats.org/officeDocument/2006/relationships/hyperlink" Target="mailto:anthony.kotula@nist.gov" TargetMode="Externa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hyperlink" Target="https://doi.org/10.1016/j.addma.2023.103589"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hyperlink" Target="https://doi.org/10.1122/8.0000793" TargetMode="External"/><Relationship Id="rId10" Type="http://schemas.openxmlformats.org/officeDocument/2006/relationships/image" Target="media/image3.png"/><Relationship Id="rId19" Type="http://schemas.openxmlformats.org/officeDocument/2006/relationships/hyperlink" Target="https://doi.org/10.1103/PhysRevX.8.041042" TargetMode="Externa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doi.org/10.1122/1.350352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59</TotalTime>
  <Pages>13</Pages>
  <Words>2274</Words>
  <Characters>12962</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15206</CharactersWithSpaces>
  <SharedDoc>false</SharedDoc>
  <HLinks>
    <vt:vector size="42" baseType="variant">
      <vt:variant>
        <vt:i4>393302</vt:i4>
      </vt:variant>
      <vt:variant>
        <vt:i4>36</vt:i4>
      </vt:variant>
      <vt:variant>
        <vt:i4>0</vt:i4>
      </vt:variant>
      <vt:variant>
        <vt:i4>5</vt:i4>
      </vt:variant>
      <vt:variant>
        <vt:lpwstr>https://doi.org/10.1122/8.0000793</vt:lpwstr>
      </vt:variant>
      <vt:variant>
        <vt:lpwstr/>
      </vt:variant>
      <vt:variant>
        <vt:i4>1572945</vt:i4>
      </vt:variant>
      <vt:variant>
        <vt:i4>33</vt:i4>
      </vt:variant>
      <vt:variant>
        <vt:i4>0</vt:i4>
      </vt:variant>
      <vt:variant>
        <vt:i4>5</vt:i4>
      </vt:variant>
      <vt:variant>
        <vt:lpwstr>https://doi.org/10.1103/PhysRevX.8.041042</vt:lpwstr>
      </vt:variant>
      <vt:variant>
        <vt:lpwstr/>
      </vt:variant>
      <vt:variant>
        <vt:i4>7798834</vt:i4>
      </vt:variant>
      <vt:variant>
        <vt:i4>30</vt:i4>
      </vt:variant>
      <vt:variant>
        <vt:i4>0</vt:i4>
      </vt:variant>
      <vt:variant>
        <vt:i4>5</vt:i4>
      </vt:variant>
      <vt:variant>
        <vt:lpwstr>https://doi.org/10.1007/BF00366581</vt:lpwstr>
      </vt:variant>
      <vt:variant>
        <vt:lpwstr/>
      </vt:variant>
      <vt:variant>
        <vt:i4>720990</vt:i4>
      </vt:variant>
      <vt:variant>
        <vt:i4>27</vt:i4>
      </vt:variant>
      <vt:variant>
        <vt:i4>0</vt:i4>
      </vt:variant>
      <vt:variant>
        <vt:i4>5</vt:i4>
      </vt:variant>
      <vt:variant>
        <vt:lpwstr>https://doi.org/10.1122/1.3503529</vt:lpwstr>
      </vt:variant>
      <vt:variant>
        <vt:lpwstr/>
      </vt:variant>
      <vt:variant>
        <vt:i4>4063275</vt:i4>
      </vt:variant>
      <vt:variant>
        <vt:i4>24</vt:i4>
      </vt:variant>
      <vt:variant>
        <vt:i4>0</vt:i4>
      </vt:variant>
      <vt:variant>
        <vt:i4>5</vt:i4>
      </vt:variant>
      <vt:variant>
        <vt:lpwstr>https://doi.org/10.18434/mds2-2918</vt:lpwstr>
      </vt:variant>
      <vt:variant>
        <vt:lpwstr/>
      </vt:variant>
      <vt:variant>
        <vt:i4>2228345</vt:i4>
      </vt:variant>
      <vt:variant>
        <vt:i4>21</vt:i4>
      </vt:variant>
      <vt:variant>
        <vt:i4>0</vt:i4>
      </vt:variant>
      <vt:variant>
        <vt:i4>5</vt:i4>
      </vt:variant>
      <vt:variant>
        <vt:lpwstr>https://doi.org/10.1016/j.addma.2023.103589</vt:lpwstr>
      </vt:variant>
      <vt:variant>
        <vt:lpwstr/>
      </vt:variant>
      <vt:variant>
        <vt:i4>6160427</vt:i4>
      </vt:variant>
      <vt:variant>
        <vt:i4>0</vt:i4>
      </vt:variant>
      <vt:variant>
        <vt:i4>0</vt:i4>
      </vt:variant>
      <vt:variant>
        <vt:i4>5</vt:i4>
      </vt:variant>
      <vt:variant>
        <vt:lpwstr>mailto:anthony.kotula@nist.gov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Romberg, Stian K. (Fed)</dc:creator>
  <cp:keywords/>
  <dc:description/>
  <cp:lastModifiedBy>Romberg, Stian K. (Assoc)</cp:lastModifiedBy>
  <cp:revision>36</cp:revision>
  <dcterms:created xsi:type="dcterms:W3CDTF">2025-08-07T21:53:00Z</dcterms:created>
  <dcterms:modified xsi:type="dcterms:W3CDTF">2025-09-30T00:36:00Z</dcterms:modified>
</cp:coreProperties>
</file>