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3473B6B" w14:textId="77777777" w:rsidR="00F73C73" w:rsidRPr="0005218A" w:rsidRDefault="00F73C73">
      <w:pPr>
        <w:pStyle w:val="normal0"/>
        <w:spacing w:line="480" w:lineRule="auto"/>
        <w:rPr>
          <w:rFonts w:ascii="Times New Roman" w:hAnsi="Times New Roman" w:cs="Times New Roman"/>
          <w:sz w:val="24"/>
          <w:szCs w:val="24"/>
        </w:rPr>
      </w:pPr>
    </w:p>
    <w:p w14:paraId="6EBF486B" w14:textId="77777777" w:rsidR="00F73C73" w:rsidRPr="0005218A" w:rsidRDefault="0005218A">
      <w:pPr>
        <w:pStyle w:val="normal0"/>
        <w:spacing w:line="480" w:lineRule="auto"/>
        <w:jc w:val="center"/>
        <w:rPr>
          <w:rFonts w:ascii="Times New Roman" w:hAnsi="Times New Roman" w:cs="Times New Roman"/>
          <w:sz w:val="24"/>
          <w:szCs w:val="24"/>
        </w:rPr>
      </w:pPr>
      <w:r w:rsidRPr="0005218A">
        <w:rPr>
          <w:rFonts w:ascii="Times New Roman" w:eastAsia="Georgia" w:hAnsi="Times New Roman" w:cs="Times New Roman"/>
          <w:sz w:val="24"/>
          <w:szCs w:val="24"/>
        </w:rPr>
        <w:t>Subsidize Menstruation, Period.</w:t>
      </w:r>
    </w:p>
    <w:p w14:paraId="3B4A14D3" w14:textId="77777777" w:rsidR="00F73C73" w:rsidRPr="0005218A" w:rsidRDefault="0005218A">
      <w:pPr>
        <w:pStyle w:val="normal0"/>
        <w:spacing w:line="480" w:lineRule="auto"/>
        <w:jc w:val="center"/>
        <w:rPr>
          <w:rFonts w:ascii="Times New Roman" w:hAnsi="Times New Roman" w:cs="Times New Roman"/>
          <w:sz w:val="24"/>
          <w:szCs w:val="24"/>
        </w:rPr>
      </w:pPr>
      <w:r w:rsidRPr="0005218A">
        <w:rPr>
          <w:rFonts w:ascii="Times New Roman" w:eastAsia="Georgia" w:hAnsi="Times New Roman" w:cs="Times New Roman"/>
          <w:sz w:val="24"/>
          <w:szCs w:val="24"/>
        </w:rPr>
        <w:t>Zoe Jacobson</w:t>
      </w:r>
    </w:p>
    <w:p w14:paraId="240DC87B" w14:textId="77777777" w:rsidR="00F73C73" w:rsidRPr="0005218A" w:rsidRDefault="0005218A">
      <w:pPr>
        <w:pStyle w:val="normal0"/>
        <w:spacing w:line="480" w:lineRule="auto"/>
        <w:jc w:val="center"/>
        <w:rPr>
          <w:rFonts w:ascii="Times New Roman" w:hAnsi="Times New Roman" w:cs="Times New Roman"/>
          <w:sz w:val="24"/>
          <w:szCs w:val="24"/>
        </w:rPr>
      </w:pPr>
      <w:r w:rsidRPr="0005218A">
        <w:rPr>
          <w:rFonts w:ascii="Times New Roman" w:eastAsia="Georgia" w:hAnsi="Times New Roman" w:cs="Times New Roman"/>
          <w:sz w:val="24"/>
          <w:szCs w:val="24"/>
        </w:rPr>
        <w:t>Dr. Raj Ghoshal</w:t>
      </w:r>
    </w:p>
    <w:p w14:paraId="3FD0EAC1" w14:textId="77777777" w:rsidR="00F73C73" w:rsidRPr="0005218A" w:rsidRDefault="00F73C73">
      <w:pPr>
        <w:pStyle w:val="normal0"/>
        <w:spacing w:line="480" w:lineRule="auto"/>
        <w:rPr>
          <w:rFonts w:ascii="Times New Roman" w:hAnsi="Times New Roman" w:cs="Times New Roman"/>
          <w:sz w:val="24"/>
          <w:szCs w:val="24"/>
        </w:rPr>
      </w:pPr>
    </w:p>
    <w:p w14:paraId="4CCAC04F" w14:textId="77777777" w:rsidR="00F73C73" w:rsidRPr="0005218A" w:rsidRDefault="00F73C73">
      <w:pPr>
        <w:pStyle w:val="normal0"/>
        <w:spacing w:line="480" w:lineRule="auto"/>
        <w:rPr>
          <w:rFonts w:ascii="Times New Roman" w:hAnsi="Times New Roman" w:cs="Times New Roman"/>
          <w:sz w:val="24"/>
          <w:szCs w:val="24"/>
        </w:rPr>
      </w:pPr>
    </w:p>
    <w:p w14:paraId="19407A82" w14:textId="77777777" w:rsidR="00F73C73" w:rsidRPr="0005218A" w:rsidRDefault="00F73C73">
      <w:pPr>
        <w:pStyle w:val="normal0"/>
        <w:spacing w:line="480" w:lineRule="auto"/>
        <w:rPr>
          <w:rFonts w:ascii="Times New Roman" w:hAnsi="Times New Roman" w:cs="Times New Roman"/>
          <w:sz w:val="24"/>
          <w:szCs w:val="24"/>
        </w:rPr>
      </w:pPr>
    </w:p>
    <w:p w14:paraId="59A87E9A" w14:textId="77777777" w:rsidR="00F73C73" w:rsidRPr="0005218A" w:rsidRDefault="00F73C73">
      <w:pPr>
        <w:pStyle w:val="normal0"/>
        <w:spacing w:line="480" w:lineRule="auto"/>
        <w:ind w:firstLine="720"/>
        <w:rPr>
          <w:rFonts w:ascii="Times New Roman" w:hAnsi="Times New Roman" w:cs="Times New Roman"/>
          <w:sz w:val="24"/>
          <w:szCs w:val="24"/>
        </w:rPr>
      </w:pPr>
    </w:p>
    <w:p w14:paraId="300DCEAF" w14:textId="77777777" w:rsidR="00F73C73" w:rsidRPr="0005218A" w:rsidRDefault="00F73C73">
      <w:pPr>
        <w:pStyle w:val="normal0"/>
        <w:spacing w:line="480" w:lineRule="auto"/>
        <w:ind w:firstLine="720"/>
        <w:rPr>
          <w:rFonts w:ascii="Times New Roman" w:hAnsi="Times New Roman" w:cs="Times New Roman"/>
          <w:sz w:val="24"/>
          <w:szCs w:val="24"/>
        </w:rPr>
      </w:pPr>
    </w:p>
    <w:p w14:paraId="1CBEE944" w14:textId="77777777" w:rsidR="00F73C73" w:rsidRPr="0005218A" w:rsidRDefault="00F73C73">
      <w:pPr>
        <w:pStyle w:val="normal0"/>
        <w:spacing w:line="480" w:lineRule="auto"/>
        <w:ind w:firstLine="720"/>
        <w:rPr>
          <w:rFonts w:ascii="Times New Roman" w:hAnsi="Times New Roman" w:cs="Times New Roman"/>
          <w:sz w:val="24"/>
          <w:szCs w:val="24"/>
        </w:rPr>
      </w:pPr>
    </w:p>
    <w:p w14:paraId="63079970" w14:textId="77777777" w:rsidR="00F73C73" w:rsidRPr="0005218A" w:rsidRDefault="00F73C73">
      <w:pPr>
        <w:pStyle w:val="normal0"/>
        <w:spacing w:line="480" w:lineRule="auto"/>
        <w:ind w:firstLine="720"/>
        <w:rPr>
          <w:rFonts w:ascii="Times New Roman" w:hAnsi="Times New Roman" w:cs="Times New Roman"/>
          <w:sz w:val="24"/>
          <w:szCs w:val="24"/>
        </w:rPr>
      </w:pPr>
    </w:p>
    <w:p w14:paraId="35963F52" w14:textId="77777777" w:rsidR="00F73C73" w:rsidRPr="0005218A" w:rsidRDefault="00F73C73">
      <w:pPr>
        <w:pStyle w:val="normal0"/>
        <w:spacing w:line="480" w:lineRule="auto"/>
        <w:ind w:firstLine="720"/>
        <w:rPr>
          <w:rFonts w:ascii="Times New Roman" w:hAnsi="Times New Roman" w:cs="Times New Roman"/>
          <w:sz w:val="24"/>
          <w:szCs w:val="24"/>
        </w:rPr>
      </w:pPr>
    </w:p>
    <w:p w14:paraId="6007FA43" w14:textId="77777777" w:rsidR="00F73C73" w:rsidRPr="0005218A" w:rsidRDefault="00F73C73">
      <w:pPr>
        <w:pStyle w:val="normal0"/>
        <w:spacing w:line="480" w:lineRule="auto"/>
        <w:ind w:firstLine="720"/>
        <w:rPr>
          <w:rFonts w:ascii="Times New Roman" w:hAnsi="Times New Roman" w:cs="Times New Roman"/>
          <w:sz w:val="24"/>
          <w:szCs w:val="24"/>
        </w:rPr>
      </w:pPr>
    </w:p>
    <w:p w14:paraId="2D18D580" w14:textId="77777777" w:rsidR="00F73C73" w:rsidRPr="0005218A" w:rsidRDefault="00F73C73">
      <w:pPr>
        <w:pStyle w:val="normal0"/>
        <w:spacing w:line="480" w:lineRule="auto"/>
        <w:ind w:firstLine="720"/>
        <w:rPr>
          <w:rFonts w:ascii="Times New Roman" w:hAnsi="Times New Roman" w:cs="Times New Roman"/>
          <w:sz w:val="24"/>
          <w:szCs w:val="24"/>
        </w:rPr>
      </w:pPr>
    </w:p>
    <w:p w14:paraId="2CC35E53" w14:textId="77777777" w:rsidR="00F73C73" w:rsidRPr="0005218A" w:rsidRDefault="00F73C73">
      <w:pPr>
        <w:pStyle w:val="normal0"/>
        <w:spacing w:line="480" w:lineRule="auto"/>
        <w:ind w:firstLine="720"/>
        <w:rPr>
          <w:rFonts w:ascii="Times New Roman" w:hAnsi="Times New Roman" w:cs="Times New Roman"/>
          <w:sz w:val="24"/>
          <w:szCs w:val="24"/>
        </w:rPr>
      </w:pPr>
    </w:p>
    <w:p w14:paraId="5E067349" w14:textId="77777777" w:rsidR="00F73C73" w:rsidRPr="0005218A" w:rsidRDefault="00F73C73">
      <w:pPr>
        <w:pStyle w:val="normal0"/>
        <w:spacing w:line="480" w:lineRule="auto"/>
        <w:ind w:firstLine="720"/>
        <w:rPr>
          <w:rFonts w:ascii="Times New Roman" w:hAnsi="Times New Roman" w:cs="Times New Roman"/>
          <w:sz w:val="24"/>
          <w:szCs w:val="24"/>
        </w:rPr>
      </w:pPr>
    </w:p>
    <w:p w14:paraId="3881AF41" w14:textId="77777777" w:rsidR="00F73C73" w:rsidRPr="0005218A" w:rsidRDefault="00F73C73">
      <w:pPr>
        <w:pStyle w:val="normal0"/>
        <w:spacing w:line="480" w:lineRule="auto"/>
        <w:ind w:firstLine="720"/>
        <w:rPr>
          <w:rFonts w:ascii="Times New Roman" w:hAnsi="Times New Roman" w:cs="Times New Roman"/>
          <w:sz w:val="24"/>
          <w:szCs w:val="24"/>
        </w:rPr>
      </w:pPr>
    </w:p>
    <w:p w14:paraId="622D347E" w14:textId="77777777" w:rsidR="00F73C73" w:rsidRPr="0005218A" w:rsidRDefault="00F73C73">
      <w:pPr>
        <w:pStyle w:val="normal0"/>
        <w:spacing w:line="480" w:lineRule="auto"/>
        <w:ind w:firstLine="720"/>
        <w:rPr>
          <w:rFonts w:ascii="Times New Roman" w:hAnsi="Times New Roman" w:cs="Times New Roman"/>
          <w:sz w:val="24"/>
          <w:szCs w:val="24"/>
        </w:rPr>
      </w:pPr>
    </w:p>
    <w:p w14:paraId="7B43A47B" w14:textId="77777777" w:rsidR="00F73C73" w:rsidRPr="0005218A" w:rsidRDefault="00F73C73">
      <w:pPr>
        <w:pStyle w:val="normal0"/>
        <w:spacing w:line="480" w:lineRule="auto"/>
        <w:ind w:firstLine="720"/>
        <w:rPr>
          <w:rFonts w:ascii="Times New Roman" w:hAnsi="Times New Roman" w:cs="Times New Roman"/>
          <w:sz w:val="24"/>
          <w:szCs w:val="24"/>
        </w:rPr>
      </w:pPr>
    </w:p>
    <w:p w14:paraId="6D09F34C" w14:textId="77777777" w:rsidR="00F73C73" w:rsidRPr="0005218A" w:rsidRDefault="00F73C73">
      <w:pPr>
        <w:pStyle w:val="normal0"/>
        <w:spacing w:line="480" w:lineRule="auto"/>
        <w:ind w:firstLine="720"/>
        <w:rPr>
          <w:rFonts w:ascii="Times New Roman" w:hAnsi="Times New Roman" w:cs="Times New Roman"/>
          <w:sz w:val="24"/>
          <w:szCs w:val="24"/>
        </w:rPr>
      </w:pPr>
    </w:p>
    <w:p w14:paraId="31C7AB1D" w14:textId="77777777" w:rsidR="00F73C73" w:rsidRPr="0005218A" w:rsidRDefault="00F73C73">
      <w:pPr>
        <w:pStyle w:val="normal0"/>
        <w:spacing w:line="480" w:lineRule="auto"/>
        <w:ind w:firstLine="720"/>
        <w:rPr>
          <w:rFonts w:ascii="Times New Roman" w:hAnsi="Times New Roman" w:cs="Times New Roman"/>
          <w:sz w:val="24"/>
          <w:szCs w:val="24"/>
        </w:rPr>
      </w:pPr>
    </w:p>
    <w:p w14:paraId="53FC3ECB" w14:textId="77777777" w:rsidR="0005218A" w:rsidRDefault="0005218A">
      <w:pPr>
        <w:pStyle w:val="normal0"/>
        <w:spacing w:line="480" w:lineRule="auto"/>
        <w:ind w:firstLine="720"/>
        <w:rPr>
          <w:rFonts w:ascii="Times New Roman" w:eastAsia="Georgia" w:hAnsi="Times New Roman" w:cs="Times New Roman"/>
          <w:sz w:val="24"/>
          <w:szCs w:val="24"/>
        </w:rPr>
      </w:pPr>
    </w:p>
    <w:p w14:paraId="0F01C19F" w14:textId="77777777" w:rsidR="00F73C73" w:rsidRPr="0005218A" w:rsidRDefault="0005218A">
      <w:pPr>
        <w:pStyle w:val="normal0"/>
        <w:spacing w:line="480" w:lineRule="auto"/>
        <w:ind w:firstLine="720"/>
        <w:rPr>
          <w:rFonts w:ascii="Times New Roman" w:hAnsi="Times New Roman" w:cs="Times New Roman"/>
          <w:sz w:val="24"/>
          <w:szCs w:val="24"/>
        </w:rPr>
      </w:pPr>
      <w:bookmarkStart w:id="0" w:name="_GoBack"/>
      <w:bookmarkEnd w:id="0"/>
      <w:r w:rsidRPr="0005218A">
        <w:rPr>
          <w:rFonts w:ascii="Times New Roman" w:eastAsia="Georgia" w:hAnsi="Times New Roman" w:cs="Times New Roman"/>
          <w:sz w:val="24"/>
          <w:szCs w:val="24"/>
        </w:rPr>
        <w:lastRenderedPageBreak/>
        <w:t>Menstruation is taboo. It’s likely that the etymology of the word ‘taboo’ even stems from the Polynesian word for menstruation, “tupua” (Boosey and Wilson 2013:19). Even though it is “one of the most important physiological changes” for women, it is stigma</w:t>
      </w:r>
      <w:r w:rsidRPr="0005218A">
        <w:rPr>
          <w:rFonts w:ascii="Times New Roman" w:eastAsia="Georgia" w:hAnsi="Times New Roman" w:cs="Times New Roman"/>
          <w:sz w:val="24"/>
          <w:szCs w:val="24"/>
        </w:rPr>
        <w:t>tized (Garg, Goyal, and Gupta 2011:767). In the United States, advertisements for feminine hygiene products, such as pads and tampons, use blue dye to represent blood (Rutter-Jensen 2012:71). Commercials skirt around this issue because it is considered imp</w:t>
      </w:r>
      <w:r w:rsidRPr="0005218A">
        <w:rPr>
          <w:rFonts w:ascii="Times New Roman" w:eastAsia="Georgia" w:hAnsi="Times New Roman" w:cs="Times New Roman"/>
          <w:sz w:val="24"/>
          <w:szCs w:val="24"/>
        </w:rPr>
        <w:t>roper, shameful, and disgusting. Billions of people menstruate and yet conversations about menstruation must be done in private. Women internalize this and consequently feel ashamed and disgusting; what’s worse, millions of women cannot afford feminine hyg</w:t>
      </w:r>
      <w:r w:rsidRPr="0005218A">
        <w:rPr>
          <w:rFonts w:ascii="Times New Roman" w:eastAsia="Georgia" w:hAnsi="Times New Roman" w:cs="Times New Roman"/>
          <w:sz w:val="24"/>
          <w:szCs w:val="24"/>
        </w:rPr>
        <w:t>iene products, making them feel just as unclean as how society sees them. The cost of these products is a barrier that results in the violation of women’s rights to health, education, work and economic equality, and privacy, perpetuating inequality. In ord</w:t>
      </w:r>
      <w:r w:rsidRPr="0005218A">
        <w:rPr>
          <w:rFonts w:ascii="Times New Roman" w:eastAsia="Georgia" w:hAnsi="Times New Roman" w:cs="Times New Roman"/>
          <w:sz w:val="24"/>
          <w:szCs w:val="24"/>
        </w:rPr>
        <w:t xml:space="preserve">er to raise the status of women, we must subsidize feminine hygiene products and eliminate the stigma of menstruation through education. </w:t>
      </w:r>
    </w:p>
    <w:p w14:paraId="516DBC5D" w14:textId="77777777" w:rsidR="00F73C73" w:rsidRPr="0005218A" w:rsidRDefault="00F73C73">
      <w:pPr>
        <w:pStyle w:val="normal0"/>
        <w:spacing w:line="240" w:lineRule="auto"/>
        <w:ind w:firstLine="720"/>
        <w:rPr>
          <w:rFonts w:ascii="Times New Roman" w:hAnsi="Times New Roman" w:cs="Times New Roman"/>
          <w:sz w:val="24"/>
          <w:szCs w:val="24"/>
        </w:rPr>
      </w:pPr>
    </w:p>
    <w:p w14:paraId="79E02030"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VIOLATION OF RIGHTS</w:t>
      </w:r>
    </w:p>
    <w:p w14:paraId="263FBA90"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 xml:space="preserve">The stigma of menstruation and unaffordable feminine hygiene products violate the human right to </w:t>
      </w:r>
      <w:r w:rsidRPr="0005218A">
        <w:rPr>
          <w:rFonts w:ascii="Times New Roman" w:eastAsia="Georgia" w:hAnsi="Times New Roman" w:cs="Times New Roman"/>
          <w:sz w:val="24"/>
          <w:szCs w:val="24"/>
        </w:rPr>
        <w:t>the highest possible standard of health and safety. Menstruation is unmentionable; consequently, many schools around the globe do not address reproductive health education (Garg, Goyal, and Gupta 2011:770). Women without proper reproductive education and f</w:t>
      </w:r>
      <w:r w:rsidRPr="0005218A">
        <w:rPr>
          <w:rFonts w:ascii="Times New Roman" w:eastAsia="Georgia" w:hAnsi="Times New Roman" w:cs="Times New Roman"/>
          <w:sz w:val="24"/>
          <w:szCs w:val="24"/>
        </w:rPr>
        <w:t>eminine hygiene products respond to their monthly period with unsanitary practices that put their health at risk. When women across the globe cannot afford pads, tampons, or menstruation cups, they turn to old rags (p. 768). If this option is not viable, w</w:t>
      </w:r>
      <w:r w:rsidRPr="0005218A">
        <w:rPr>
          <w:rFonts w:ascii="Times New Roman" w:eastAsia="Georgia" w:hAnsi="Times New Roman" w:cs="Times New Roman"/>
          <w:sz w:val="24"/>
          <w:szCs w:val="24"/>
        </w:rPr>
        <w:t xml:space="preserve">omen will use “husks, dried leaves, grass, ash, sand or newspaper...as substitutes for unaffordable and more hygienic products” (Klasing 2014). Many women, due to the “culture of shame and embarrassment” that </w:t>
      </w:r>
      <w:r w:rsidRPr="0005218A">
        <w:rPr>
          <w:rFonts w:ascii="Times New Roman" w:eastAsia="Georgia" w:hAnsi="Times New Roman" w:cs="Times New Roman"/>
          <w:sz w:val="24"/>
          <w:szCs w:val="24"/>
        </w:rPr>
        <w:lastRenderedPageBreak/>
        <w:t>surrounds menstruation, dry and store their men</w:t>
      </w:r>
      <w:r w:rsidRPr="0005218A">
        <w:rPr>
          <w:rFonts w:ascii="Times New Roman" w:eastAsia="Georgia" w:hAnsi="Times New Roman" w:cs="Times New Roman"/>
          <w:sz w:val="24"/>
          <w:szCs w:val="24"/>
        </w:rPr>
        <w:t>struation products in damp, dark places, putting them at risk for Reproductive Tract Infections, cervical cancer, and infertility (Garg, Goyal, and Gupta 2011:768). Women who cannot afford to change their tampons regularly additionally expose themselves to</w:t>
      </w:r>
      <w:r w:rsidRPr="0005218A">
        <w:rPr>
          <w:rFonts w:ascii="Times New Roman" w:eastAsia="Georgia" w:hAnsi="Times New Roman" w:cs="Times New Roman"/>
          <w:sz w:val="24"/>
          <w:szCs w:val="24"/>
        </w:rPr>
        <w:t xml:space="preserve"> Toxic Shock Syndrome (Freedman 2015). One study of Bangladeshi factory workers found that 75% of the women used “highly chemically charged and often freshly dyed” rags from the factory floor to absorb their menstrual blood, leading to frequent infections </w:t>
      </w:r>
      <w:r w:rsidRPr="0005218A">
        <w:rPr>
          <w:rFonts w:ascii="Times New Roman" w:eastAsia="Georgia" w:hAnsi="Times New Roman" w:cs="Times New Roman"/>
          <w:sz w:val="24"/>
          <w:szCs w:val="24"/>
        </w:rPr>
        <w:t>(Boosey and Wilson 2013:5). Above all, failure to recognize menstrual hygiene as health care is a violation of a basic human right.</w:t>
      </w:r>
    </w:p>
    <w:p w14:paraId="75E4FA27"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Inadequate menstrual hygiene management violates women’s right to education.  Boosey and Wilson found that in Nepal and Keny</w:t>
      </w:r>
      <w:r w:rsidRPr="0005218A">
        <w:rPr>
          <w:rFonts w:ascii="Times New Roman" w:eastAsia="Georgia" w:hAnsi="Times New Roman" w:cs="Times New Roman"/>
          <w:sz w:val="24"/>
          <w:szCs w:val="24"/>
        </w:rPr>
        <w:t>a, a little over half of adolescent girls miss school during menstruation because they cannot afford feminine sanitary products; in Malawi, it jumps to 90 percent. On average, these girls miss 3-5 days, but even when they do attend school while on their pe</w:t>
      </w:r>
      <w:r w:rsidRPr="0005218A">
        <w:rPr>
          <w:rFonts w:ascii="Times New Roman" w:eastAsia="Georgia" w:hAnsi="Times New Roman" w:cs="Times New Roman"/>
          <w:sz w:val="24"/>
          <w:szCs w:val="24"/>
        </w:rPr>
        <w:t>riod, they “struggle to concentrate in lessons and are reluctant to participate because they worry about other children seeing menstrual blood stains on their clothes” (2013:4). These accidents are inevitable, as there are few bathroom breaks, if there eve</w:t>
      </w:r>
      <w:r w:rsidRPr="0005218A">
        <w:rPr>
          <w:rFonts w:ascii="Times New Roman" w:eastAsia="Georgia" w:hAnsi="Times New Roman" w:cs="Times New Roman"/>
          <w:sz w:val="24"/>
          <w:szCs w:val="24"/>
        </w:rPr>
        <w:t>n are bathrooms in the school. UNICEF found that 83 percent of girls in Burkina Faso did not have a place “to change their menstrual materials” at school (Klasing 2014). When girls miss school, they fall behind, and eventually, many drop out. Fear of stigm</w:t>
      </w:r>
      <w:r w:rsidRPr="0005218A">
        <w:rPr>
          <w:rFonts w:ascii="Times New Roman" w:eastAsia="Georgia" w:hAnsi="Times New Roman" w:cs="Times New Roman"/>
          <w:sz w:val="24"/>
          <w:szCs w:val="24"/>
        </w:rPr>
        <w:t>atization, absence of sanitary facilitations, and unaffordable sanitary hygiene products violate women’s right to an education.</w:t>
      </w:r>
    </w:p>
    <w:p w14:paraId="6C5DB42F"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Unsanitary menstrual practices also result in women missing work, violating their right to economic equality. In Bangladesh, where one in three women do not have proper menstrual hygiene (Boosey and Wilson 2013:15), 73 percent of female factory workers mis</w:t>
      </w:r>
      <w:r w:rsidRPr="0005218A">
        <w:rPr>
          <w:rFonts w:ascii="Times New Roman" w:eastAsia="Georgia" w:hAnsi="Times New Roman" w:cs="Times New Roman"/>
          <w:sz w:val="24"/>
          <w:szCs w:val="24"/>
        </w:rPr>
        <w:t xml:space="preserve">s work for an average of six days monthly due to Reproductive Tract Infections (Valenti 2014). Astonishingly, </w:t>
      </w:r>
      <w:r w:rsidRPr="0005218A">
        <w:rPr>
          <w:rFonts w:ascii="Times New Roman" w:eastAsia="Georgia" w:hAnsi="Times New Roman" w:cs="Times New Roman"/>
          <w:sz w:val="24"/>
          <w:szCs w:val="24"/>
        </w:rPr>
        <w:lastRenderedPageBreak/>
        <w:t>when these workers were provided with subsidized feminine hygiene products, this number dropped to 3 percent (Boosey and Wilson 2013:5). Women, fo</w:t>
      </w:r>
      <w:r w:rsidRPr="0005218A">
        <w:rPr>
          <w:rFonts w:ascii="Times New Roman" w:eastAsia="Georgia" w:hAnsi="Times New Roman" w:cs="Times New Roman"/>
          <w:sz w:val="24"/>
          <w:szCs w:val="24"/>
        </w:rPr>
        <w:t>rced to compromise more than a week’s pay each month, have their right to economic equality violated (Klasing 2014). However, even when given subsidized menstrual hygiene products, many do not have access to sanitary facilities.</w:t>
      </w:r>
    </w:p>
    <w:p w14:paraId="61D65F64"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Limited sanitary facilities</w:t>
      </w:r>
      <w:r w:rsidRPr="0005218A">
        <w:rPr>
          <w:rFonts w:ascii="Times New Roman" w:eastAsia="Georgia" w:hAnsi="Times New Roman" w:cs="Times New Roman"/>
          <w:sz w:val="24"/>
          <w:szCs w:val="24"/>
        </w:rPr>
        <w:t>, including private bathrooms, violate women’s rights to privacy and sanitation. As menstruation is considered shameful, women must hide all evidence of this natural cycle. Consequently, women require gender specific or private bathrooms in order to change</w:t>
      </w:r>
      <w:r w:rsidRPr="0005218A">
        <w:rPr>
          <w:rFonts w:ascii="Times New Roman" w:eastAsia="Georgia" w:hAnsi="Times New Roman" w:cs="Times New Roman"/>
          <w:sz w:val="24"/>
          <w:szCs w:val="24"/>
        </w:rPr>
        <w:t xml:space="preserve"> their hygiene products, but in rural areas these can be rare. In India, over half of adolescent girls do not have access to a private toilet (Garg, Goyal, and Gupta 2011:768). Without sanitary facilities, women are forced “to work in unsafe and unhealthy </w:t>
      </w:r>
      <w:r w:rsidRPr="0005218A">
        <w:rPr>
          <w:rFonts w:ascii="Times New Roman" w:eastAsia="Georgia" w:hAnsi="Times New Roman" w:cs="Times New Roman"/>
          <w:sz w:val="24"/>
          <w:szCs w:val="24"/>
        </w:rPr>
        <w:t>conditions or lose their jobs” (Boosey and Wilson 2013:12). Additionally, many women, especially in rural villages, do not have access to enough water to clean their menstrual rags in private (Garg, Goyal, and Gupta 2011:768). With their rights to sanitati</w:t>
      </w:r>
      <w:r w:rsidRPr="0005218A">
        <w:rPr>
          <w:rFonts w:ascii="Times New Roman" w:eastAsia="Georgia" w:hAnsi="Times New Roman" w:cs="Times New Roman"/>
          <w:sz w:val="24"/>
          <w:szCs w:val="24"/>
        </w:rPr>
        <w:t>on and privacy violated, many are forced to “change menstrual materials in the open,” bringing public shame (Klasing 2014). This shame is just one product of the stigmatization of menstruation; this stigma also produces inequality as it violates many human</w:t>
      </w:r>
      <w:r w:rsidRPr="0005218A">
        <w:rPr>
          <w:rFonts w:ascii="Times New Roman" w:eastAsia="Georgia" w:hAnsi="Times New Roman" w:cs="Times New Roman"/>
          <w:sz w:val="24"/>
          <w:szCs w:val="24"/>
        </w:rPr>
        <w:t xml:space="preserve"> rights, including right to education, work, health, privacy, and “most importantly, the right to human dignity” (Valenti 2014). </w:t>
      </w:r>
    </w:p>
    <w:p w14:paraId="781663F4" w14:textId="77777777" w:rsidR="00F73C73" w:rsidRPr="0005218A" w:rsidRDefault="00F73C73">
      <w:pPr>
        <w:pStyle w:val="normal0"/>
        <w:spacing w:line="240" w:lineRule="auto"/>
        <w:ind w:firstLine="720"/>
        <w:rPr>
          <w:rFonts w:ascii="Times New Roman" w:hAnsi="Times New Roman" w:cs="Times New Roman"/>
          <w:sz w:val="24"/>
          <w:szCs w:val="24"/>
        </w:rPr>
      </w:pPr>
    </w:p>
    <w:p w14:paraId="0E0585AC"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RESPONSES TO INEQUALITY</w:t>
      </w:r>
    </w:p>
    <w:p w14:paraId="04E5DF0B"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 xml:space="preserve">Over the last decade, a handful of NGOs and charities have become aware that women who cannot afford </w:t>
      </w:r>
      <w:r w:rsidRPr="0005218A">
        <w:rPr>
          <w:rFonts w:ascii="Times New Roman" w:eastAsia="Georgia" w:hAnsi="Times New Roman" w:cs="Times New Roman"/>
          <w:sz w:val="24"/>
          <w:szCs w:val="24"/>
        </w:rPr>
        <w:t xml:space="preserve">feminine hygiene products feel humiliated and degraded. While NGOs have struggled to provide girls in low and lower-middle-income countries with a regular supply of menstrual hygiene products, the governments of India and Bangladesh have shown that it’s </w:t>
      </w:r>
      <w:r w:rsidRPr="0005218A">
        <w:rPr>
          <w:rFonts w:ascii="Times New Roman" w:eastAsia="Georgia" w:hAnsi="Times New Roman" w:cs="Times New Roman"/>
          <w:sz w:val="24"/>
          <w:szCs w:val="24"/>
        </w:rPr>
        <w:lastRenderedPageBreak/>
        <w:t>po</w:t>
      </w:r>
      <w:r w:rsidRPr="0005218A">
        <w:rPr>
          <w:rFonts w:ascii="Times New Roman" w:eastAsia="Georgia" w:hAnsi="Times New Roman" w:cs="Times New Roman"/>
          <w:sz w:val="24"/>
          <w:szCs w:val="24"/>
        </w:rPr>
        <w:t>ssible. In Bangladesh, the government partnered with a charity to install gender specific bathrooms in schools. Within the first year, the dropout rate of girls fell by 11% (Garg, Goyal, and Gupta 2011:771). The partnership has also subsidize pads and dist</w:t>
      </w:r>
      <w:r w:rsidRPr="0005218A">
        <w:rPr>
          <w:rFonts w:ascii="Times New Roman" w:eastAsia="Georgia" w:hAnsi="Times New Roman" w:cs="Times New Roman"/>
          <w:sz w:val="24"/>
          <w:szCs w:val="24"/>
        </w:rPr>
        <w:t>ributed them to factory workers, which again, lead to the drop in percentage of women who missed work each month due to Reproductive Tract Infections from 73 percent to just 3 percent (Boosey and Wilson 2013:5). In 2010, India also began subsidizing femini</w:t>
      </w:r>
      <w:r w:rsidRPr="0005218A">
        <w:rPr>
          <w:rFonts w:ascii="Times New Roman" w:eastAsia="Georgia" w:hAnsi="Times New Roman" w:cs="Times New Roman"/>
          <w:sz w:val="24"/>
          <w:szCs w:val="24"/>
        </w:rPr>
        <w:t>ne hygiene products and distributing them to girls living in rural, low-income communities. Garg, Goyal, and Gupta found that the government of India spent 1,500 million Indian Rupees (2015 equivalent to 22 million USD) on the program during the first year</w:t>
      </w:r>
      <w:r w:rsidRPr="0005218A">
        <w:rPr>
          <w:rFonts w:ascii="Times New Roman" w:eastAsia="Georgia" w:hAnsi="Times New Roman" w:cs="Times New Roman"/>
          <w:sz w:val="24"/>
          <w:szCs w:val="24"/>
        </w:rPr>
        <w:t>, which is infinitesimal compared to the incredible effects it had (2012:770). While the program initially gave women access to menstrual hygiene products, they also helped them set up women-run businesses so that they could begin producing pads for the vi</w:t>
      </w:r>
      <w:r w:rsidRPr="0005218A">
        <w:rPr>
          <w:rFonts w:ascii="Times New Roman" w:eastAsia="Georgia" w:hAnsi="Times New Roman" w:cs="Times New Roman"/>
          <w:sz w:val="24"/>
          <w:szCs w:val="24"/>
        </w:rPr>
        <w:t>llages themselves. Nepal has started similar programs and found that women were making on average 8,000 USD profit a year producing sanitary napkins (Ruiz et al. 2014:5). After the program began in India, not a single girl surveyed used old rags or clothes</w:t>
      </w:r>
      <w:r w:rsidRPr="0005218A">
        <w:rPr>
          <w:rFonts w:ascii="Times New Roman" w:eastAsia="Georgia" w:hAnsi="Times New Roman" w:cs="Times New Roman"/>
          <w:sz w:val="24"/>
          <w:szCs w:val="24"/>
        </w:rPr>
        <w:t xml:space="preserve"> to absorb menstrual blood, the number of girls with vaginal discharge dropped by nearly 50 percent, and the girl’s quality of life improved (Shah et al. 2013:209). The Indian and Bangladeshi governments have demonstrated that the subsidy of feminine hygie</w:t>
      </w:r>
      <w:r w:rsidRPr="0005218A">
        <w:rPr>
          <w:rFonts w:ascii="Times New Roman" w:eastAsia="Georgia" w:hAnsi="Times New Roman" w:cs="Times New Roman"/>
          <w:sz w:val="24"/>
          <w:szCs w:val="24"/>
        </w:rPr>
        <w:t>ne products promotes equality: women have greater economic opportunity, lower school dropout rates, fewer health complications, and most importantly, a higher quality of life. While the effects of these programs and the work of NGOs are stunning, efforts t</w:t>
      </w:r>
      <w:r w:rsidRPr="0005218A">
        <w:rPr>
          <w:rFonts w:ascii="Times New Roman" w:eastAsia="Georgia" w:hAnsi="Times New Roman" w:cs="Times New Roman"/>
          <w:sz w:val="24"/>
          <w:szCs w:val="24"/>
        </w:rPr>
        <w:t xml:space="preserve">o pass similar legislation in the United States are crushed. </w:t>
      </w:r>
    </w:p>
    <w:p w14:paraId="01AA6E62"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 xml:space="preserve">In the United States, products that are considered necessities or non-luxury are exempt from sales tax. While these exemptions extend to food, health related items, electricity, and water, they </w:t>
      </w:r>
      <w:r w:rsidRPr="0005218A">
        <w:rPr>
          <w:rFonts w:ascii="Times New Roman" w:eastAsia="Georgia" w:hAnsi="Times New Roman" w:cs="Times New Roman"/>
          <w:sz w:val="24"/>
          <w:szCs w:val="24"/>
        </w:rPr>
        <w:t xml:space="preserve">do not extend to feminine hygiene products (Valenti 2014). As a luxury good, </w:t>
      </w:r>
      <w:r w:rsidRPr="0005218A">
        <w:rPr>
          <w:rFonts w:ascii="Times New Roman" w:eastAsia="Georgia" w:hAnsi="Times New Roman" w:cs="Times New Roman"/>
          <w:sz w:val="24"/>
          <w:szCs w:val="24"/>
        </w:rPr>
        <w:lastRenderedPageBreak/>
        <w:t>“tampons, pads, liners, cups, sponges,” or other materials used by women to absorb menstrual blood are not covered by the Supplemental Nutrition Assistance Program: feminine hygie</w:t>
      </w:r>
      <w:r w:rsidRPr="0005218A">
        <w:rPr>
          <w:rFonts w:ascii="Times New Roman" w:eastAsia="Georgia" w:hAnsi="Times New Roman" w:cs="Times New Roman"/>
          <w:sz w:val="24"/>
          <w:szCs w:val="24"/>
        </w:rPr>
        <w:t>ne products are not covered by food stamps (U.S. Congress; DiBenedetto 2015). For the 40 million women in this country living near or below the poverty line, affording expensive tampons and pads and maintaining proper menstrual hygiene is challenging at be</w:t>
      </w:r>
      <w:r w:rsidRPr="0005218A">
        <w:rPr>
          <w:rFonts w:ascii="Times New Roman" w:eastAsia="Georgia" w:hAnsi="Times New Roman" w:cs="Times New Roman"/>
          <w:sz w:val="24"/>
          <w:szCs w:val="24"/>
        </w:rPr>
        <w:t>st</w:t>
      </w:r>
      <w:r w:rsidRPr="0005218A">
        <w:rPr>
          <w:rFonts w:ascii="Times New Roman" w:eastAsia="Georgia" w:hAnsi="Times New Roman" w:cs="Times New Roman"/>
          <w:color w:val="FF0000"/>
          <w:sz w:val="24"/>
          <w:szCs w:val="24"/>
        </w:rPr>
        <w:t xml:space="preserve"> </w:t>
      </w:r>
      <w:r w:rsidRPr="0005218A">
        <w:rPr>
          <w:rFonts w:ascii="Times New Roman" w:eastAsia="Georgia" w:hAnsi="Times New Roman" w:cs="Times New Roman"/>
          <w:sz w:val="24"/>
          <w:szCs w:val="24"/>
        </w:rPr>
        <w:t xml:space="preserve">(Weiss-Wolf 2015). Unsurprisingly, incarcerated women do not have it easier. According to </w:t>
      </w:r>
      <w:r w:rsidRPr="0005218A">
        <w:rPr>
          <w:rFonts w:ascii="Times New Roman" w:eastAsia="Georgia" w:hAnsi="Times New Roman" w:cs="Times New Roman"/>
          <w:i/>
          <w:sz w:val="24"/>
          <w:szCs w:val="24"/>
        </w:rPr>
        <w:t>The Guardian</w:t>
      </w:r>
      <w:r w:rsidRPr="0005218A">
        <w:rPr>
          <w:rFonts w:ascii="Times New Roman" w:eastAsia="Georgia" w:hAnsi="Times New Roman" w:cs="Times New Roman"/>
          <w:sz w:val="24"/>
          <w:szCs w:val="24"/>
        </w:rPr>
        <w:t xml:space="preserve">, many American prisons sell a package of 24 pads at the commissary for nearly 3 dollars, or three and a half day's pay. Frequently, commissaries will </w:t>
      </w:r>
      <w:r w:rsidRPr="0005218A">
        <w:rPr>
          <w:rFonts w:ascii="Times New Roman" w:eastAsia="Georgia" w:hAnsi="Times New Roman" w:cs="Times New Roman"/>
          <w:sz w:val="24"/>
          <w:szCs w:val="24"/>
        </w:rPr>
        <w:t>not have feminine hygiene products in stock. In 2014, menstruation products in Michigan prisons were so scarce that inmates filed suit, stating that their civil rights had been violated. The prisons, while crippled financially, also withhold pads and tampo</w:t>
      </w:r>
      <w:r w:rsidRPr="0005218A">
        <w:rPr>
          <w:rFonts w:ascii="Times New Roman" w:eastAsia="Georgia" w:hAnsi="Times New Roman" w:cs="Times New Roman"/>
          <w:sz w:val="24"/>
          <w:szCs w:val="24"/>
        </w:rPr>
        <w:t>ns in order to “crystallize the power differential between inmates and guards” (Bozelko 2015). Women who cannot afford menstrual hygiene products lose their dignity; they are humiliated and powerless. Menstrual hygiene is not seen as health care and it’s n</w:t>
      </w:r>
      <w:r w:rsidRPr="0005218A">
        <w:rPr>
          <w:rFonts w:ascii="Times New Roman" w:eastAsia="Georgia" w:hAnsi="Times New Roman" w:cs="Times New Roman"/>
          <w:sz w:val="24"/>
          <w:szCs w:val="24"/>
        </w:rPr>
        <w:t>ot even seen as necessary; it’s seen as a luxury. This policy—this belief—stems from and perpetuates inequality. The cost of proper menstrual hygiene is too high for too many; we must eliminate that barrier in order to stop the systematic degradation of wo</w:t>
      </w:r>
      <w:r w:rsidRPr="0005218A">
        <w:rPr>
          <w:rFonts w:ascii="Times New Roman" w:eastAsia="Georgia" w:hAnsi="Times New Roman" w:cs="Times New Roman"/>
          <w:sz w:val="24"/>
          <w:szCs w:val="24"/>
        </w:rPr>
        <w:t xml:space="preserve">men. While a few bills have been proposed to make this a reality, none have been successful. </w:t>
      </w:r>
    </w:p>
    <w:p w14:paraId="025960B9"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“Fund Essential Menstruation Products Act of 2015” was introduced in the House of Representatives in July of 2015. The purpose of the bill is “to amend the Intern</w:t>
      </w:r>
      <w:r w:rsidRPr="0005218A">
        <w:rPr>
          <w:rFonts w:ascii="Times New Roman" w:eastAsia="Georgia" w:hAnsi="Times New Roman" w:cs="Times New Roman"/>
          <w:sz w:val="24"/>
          <w:szCs w:val="24"/>
        </w:rPr>
        <w:t>al Revenue Code of 1986 to provide reimbursement from health flexible spending arrangements for feminine hygiene products” (U.S. Congress). Essentially, anyone who works for the state would pay less for feminine hygiene products because health flexible spe</w:t>
      </w:r>
      <w:r w:rsidRPr="0005218A">
        <w:rPr>
          <w:rFonts w:ascii="Times New Roman" w:eastAsia="Georgia" w:hAnsi="Times New Roman" w:cs="Times New Roman"/>
          <w:sz w:val="24"/>
          <w:szCs w:val="24"/>
        </w:rPr>
        <w:t xml:space="preserve">nding accounts are taxed at a lower rate. Critically, this bill does not help anyone who is not employed by the state. Additionally, </w:t>
      </w:r>
      <w:r w:rsidRPr="0005218A">
        <w:rPr>
          <w:rFonts w:ascii="Times New Roman" w:eastAsia="Georgia" w:hAnsi="Times New Roman" w:cs="Times New Roman"/>
          <w:sz w:val="24"/>
          <w:szCs w:val="24"/>
        </w:rPr>
        <w:lastRenderedPageBreak/>
        <w:t>even those working for the state are still paying for feminine hygiene products; they are just paying less. Once introduced</w:t>
      </w:r>
      <w:r w:rsidRPr="0005218A">
        <w:rPr>
          <w:rFonts w:ascii="Times New Roman" w:eastAsia="Georgia" w:hAnsi="Times New Roman" w:cs="Times New Roman"/>
          <w:sz w:val="24"/>
          <w:szCs w:val="24"/>
        </w:rPr>
        <w:t xml:space="preserve"> in the House, the bill was referred to the committee, where it still remains. While this bill has little to no hope of passing, it has sparked discussion and the introduction of a second bill. </w:t>
      </w:r>
    </w:p>
    <w:p w14:paraId="39E058C0"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Wisconsin State Representative Melissa Sargent proposed a sta</w:t>
      </w:r>
      <w:r w:rsidRPr="0005218A">
        <w:rPr>
          <w:rFonts w:ascii="Times New Roman" w:eastAsia="Georgia" w:hAnsi="Times New Roman" w:cs="Times New Roman"/>
          <w:sz w:val="24"/>
          <w:szCs w:val="24"/>
        </w:rPr>
        <w:t xml:space="preserve">te bill requiring all government buildings and public schools to supply feminine hygiene products in every female bathroom. During my interview with him, one of State Representative Sargent’s aides stated, “Sargent is not hopeful that the bill will pass.” </w:t>
      </w:r>
      <w:r w:rsidRPr="0005218A">
        <w:rPr>
          <w:rFonts w:ascii="Times New Roman" w:eastAsia="Georgia" w:hAnsi="Times New Roman" w:cs="Times New Roman"/>
          <w:sz w:val="24"/>
          <w:szCs w:val="24"/>
        </w:rPr>
        <w:t>This seems likely considering the bill does not have a single Republican supporter. Unlike the rest of Wisconsin, Dane County was inspired by the bill and has approved a similar program. The program, beginning in 2016, will provide tampons and pads in eigh</w:t>
      </w:r>
      <w:r w:rsidRPr="0005218A">
        <w:rPr>
          <w:rFonts w:ascii="Times New Roman" w:eastAsia="Georgia" w:hAnsi="Times New Roman" w:cs="Times New Roman"/>
          <w:sz w:val="24"/>
          <w:szCs w:val="24"/>
        </w:rPr>
        <w:t>t state buildings, including public schools. The county budget has allocated $6,500 to fund the program. This pilot program, if as successful proportionally as the programs in India and Bangladesh, gives hope that affordable feminine hygiene products are i</w:t>
      </w:r>
      <w:r w:rsidRPr="0005218A">
        <w:rPr>
          <w:rFonts w:ascii="Times New Roman" w:eastAsia="Georgia" w:hAnsi="Times New Roman" w:cs="Times New Roman"/>
          <w:sz w:val="24"/>
          <w:szCs w:val="24"/>
        </w:rPr>
        <w:t xml:space="preserve">n the future (DiBenedetto 2015). </w:t>
      </w:r>
    </w:p>
    <w:p w14:paraId="6EB9896C" w14:textId="77777777" w:rsidR="00F73C73" w:rsidRPr="0005218A" w:rsidRDefault="0005218A">
      <w:pPr>
        <w:pStyle w:val="normal0"/>
        <w:spacing w:line="480" w:lineRule="auto"/>
        <w:ind w:firstLine="720"/>
        <w:rPr>
          <w:rFonts w:ascii="Times New Roman" w:hAnsi="Times New Roman" w:cs="Times New Roman"/>
          <w:sz w:val="24"/>
          <w:szCs w:val="24"/>
        </w:rPr>
      </w:pPr>
      <w:r w:rsidRPr="0005218A">
        <w:rPr>
          <w:rFonts w:ascii="Times New Roman" w:eastAsia="Georgia" w:hAnsi="Times New Roman" w:cs="Times New Roman"/>
          <w:sz w:val="24"/>
          <w:szCs w:val="24"/>
        </w:rPr>
        <w:t>These two bills were not passed; even so, they are not strong enough. In order to truly curtail inequality, we need to acknowledge that menstrual hygiene care is healthcare, and for many, this care is too expensive. We mus</w:t>
      </w:r>
      <w:r w:rsidRPr="0005218A">
        <w:rPr>
          <w:rFonts w:ascii="Times New Roman" w:eastAsia="Georgia" w:hAnsi="Times New Roman" w:cs="Times New Roman"/>
          <w:sz w:val="24"/>
          <w:szCs w:val="24"/>
        </w:rPr>
        <w:t xml:space="preserve">t pass federal legislation requiring Medicaid to cover menstrual hygiene products. Critically, women should not pay higher health premium; this additional expense will be paid for across gender lines, as having a uterus is not a pre-existing condition. </w:t>
      </w:r>
    </w:p>
    <w:p w14:paraId="5ED9D7F6" w14:textId="77777777" w:rsidR="00F73C73" w:rsidRPr="0005218A" w:rsidRDefault="00F73C73">
      <w:pPr>
        <w:pStyle w:val="normal0"/>
        <w:spacing w:line="240" w:lineRule="auto"/>
        <w:ind w:firstLine="720"/>
        <w:rPr>
          <w:rFonts w:ascii="Times New Roman" w:hAnsi="Times New Roman" w:cs="Times New Roman"/>
          <w:sz w:val="24"/>
          <w:szCs w:val="24"/>
        </w:rPr>
      </w:pPr>
    </w:p>
    <w:p w14:paraId="663EEF93"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D</w:t>
      </w:r>
      <w:r w:rsidRPr="0005218A">
        <w:rPr>
          <w:rFonts w:ascii="Times New Roman" w:eastAsia="Georgia" w:hAnsi="Times New Roman" w:cs="Times New Roman"/>
          <w:sz w:val="24"/>
          <w:szCs w:val="24"/>
        </w:rPr>
        <w:t>ISSENT</w:t>
      </w:r>
    </w:p>
    <w:p w14:paraId="1779DA3C"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ab/>
        <w:t xml:space="preserve">Dissent comes most ardently from a distinctly conservative, male-dominated group. They argue that bigger government is not the answer to this problem. Tim Worstall, one such </w:t>
      </w:r>
      <w:r w:rsidRPr="0005218A">
        <w:rPr>
          <w:rFonts w:ascii="Times New Roman" w:eastAsia="Georgia" w:hAnsi="Times New Roman" w:cs="Times New Roman"/>
          <w:sz w:val="24"/>
          <w:szCs w:val="24"/>
        </w:rPr>
        <w:lastRenderedPageBreak/>
        <w:t xml:space="preserve">dissenter, believes that the answer is to throw money at the problem, or, </w:t>
      </w:r>
      <w:r w:rsidRPr="0005218A">
        <w:rPr>
          <w:rFonts w:ascii="Times New Roman" w:eastAsia="Georgia" w:hAnsi="Times New Roman" w:cs="Times New Roman"/>
          <w:sz w:val="24"/>
          <w:szCs w:val="24"/>
        </w:rPr>
        <w:t xml:space="preserve">more specifically, at women. </w:t>
      </w:r>
      <w:r w:rsidRPr="0005218A">
        <w:rPr>
          <w:rFonts w:ascii="Times New Roman" w:eastAsia="Georgia" w:hAnsi="Times New Roman" w:cs="Times New Roman"/>
          <w:color w:val="222222"/>
          <w:sz w:val="24"/>
          <w:szCs w:val="24"/>
          <w:highlight w:val="white"/>
        </w:rPr>
        <w:t xml:space="preserve">Worstall doubts that women actually cannot afford menstrual products </w:t>
      </w:r>
      <w:r w:rsidRPr="0005218A">
        <w:rPr>
          <w:rFonts w:ascii="Times New Roman" w:eastAsia="Georgia" w:hAnsi="Times New Roman" w:cs="Times New Roman"/>
          <w:sz w:val="24"/>
          <w:szCs w:val="24"/>
        </w:rPr>
        <w:t>but believes, “if this is a public policy problem to which a solution must be found then that solution is to give women some money.” He does not say where thi</w:t>
      </w:r>
      <w:r w:rsidRPr="0005218A">
        <w:rPr>
          <w:rFonts w:ascii="Times New Roman" w:eastAsia="Georgia" w:hAnsi="Times New Roman" w:cs="Times New Roman"/>
          <w:sz w:val="24"/>
          <w:szCs w:val="24"/>
        </w:rPr>
        <w:t>s money should come from, who will determine how much money, or how it should be distributed (2014). Worstall’s idea is not only less efficient; it’s also more expensive; while the United States government has the buying power to negotiate lower prices, in</w:t>
      </w:r>
      <w:r w:rsidRPr="0005218A">
        <w:rPr>
          <w:rFonts w:ascii="Times New Roman" w:eastAsia="Georgia" w:hAnsi="Times New Roman" w:cs="Times New Roman"/>
          <w:sz w:val="24"/>
          <w:szCs w:val="24"/>
        </w:rPr>
        <w:t>dividual women do not. Furthermore, Worstall’s idea of simply giving women money will not solve this issue. The stigma of menstruation and the degradation of women will not be curtailed by handing women a check every month that enables them to buy products</w:t>
      </w:r>
      <w:r w:rsidRPr="0005218A">
        <w:rPr>
          <w:rFonts w:ascii="Times New Roman" w:eastAsia="Georgia" w:hAnsi="Times New Roman" w:cs="Times New Roman"/>
          <w:sz w:val="24"/>
          <w:szCs w:val="24"/>
        </w:rPr>
        <w:t xml:space="preserve"> that are a human right. Worstall’s theory treats the symptom, rather than the problem. In order to truly tackle this issue, society’s mindset surrounding menstruation must change—this can be started by enacting changes in public policy that acknowledge me</w:t>
      </w:r>
      <w:r w:rsidRPr="0005218A">
        <w:rPr>
          <w:rFonts w:ascii="Times New Roman" w:eastAsia="Georgia" w:hAnsi="Times New Roman" w:cs="Times New Roman"/>
          <w:sz w:val="24"/>
          <w:szCs w:val="24"/>
        </w:rPr>
        <w:t>nstruation as healthcare and that access to menstrual products is a human right.</w:t>
      </w:r>
    </w:p>
    <w:p w14:paraId="38B5DEA1" w14:textId="77777777" w:rsidR="00F73C73" w:rsidRPr="0005218A" w:rsidRDefault="00F73C73">
      <w:pPr>
        <w:pStyle w:val="normal0"/>
        <w:spacing w:line="240" w:lineRule="auto"/>
        <w:rPr>
          <w:rFonts w:ascii="Times New Roman" w:hAnsi="Times New Roman" w:cs="Times New Roman"/>
          <w:sz w:val="24"/>
          <w:szCs w:val="24"/>
        </w:rPr>
      </w:pPr>
    </w:p>
    <w:p w14:paraId="342A8E1F"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CONCLUSION</w:t>
      </w:r>
    </w:p>
    <w:p w14:paraId="5F9B079D"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tab/>
        <w:t>This conversation is not about tampons or pads; it’s not even about menstrual hygiene. This conversation is about sexual hegemony and oppression. Many societies u</w:t>
      </w:r>
      <w:r w:rsidRPr="0005218A">
        <w:rPr>
          <w:rFonts w:ascii="Times New Roman" w:eastAsia="Georgia" w:hAnsi="Times New Roman" w:cs="Times New Roman"/>
          <w:sz w:val="24"/>
          <w:szCs w:val="24"/>
        </w:rPr>
        <w:t>se religious texts to dominate women and establish an oppressive patriarchy: Hinduism defines menstruation as polluting; Christianity deems menstruating women impure; the Torah states that menstruating women and anything they touch are tainted; menstruatin</w:t>
      </w:r>
      <w:r w:rsidRPr="0005218A">
        <w:rPr>
          <w:rFonts w:ascii="Times New Roman" w:eastAsia="Georgia" w:hAnsi="Times New Roman" w:cs="Times New Roman"/>
          <w:sz w:val="24"/>
          <w:szCs w:val="24"/>
        </w:rPr>
        <w:t>g Muslims are forbidden from holding the Quran or praying (Garg, Goyal, and Gupta 2011:768). Women internalize these restrictions and are socialized to see menstruation as disgusting and shameful. “Poor menstrual hygiene causes inequality,” (Boosey and Wil</w:t>
      </w:r>
      <w:r w:rsidRPr="0005218A">
        <w:rPr>
          <w:rFonts w:ascii="Times New Roman" w:eastAsia="Georgia" w:hAnsi="Times New Roman" w:cs="Times New Roman"/>
          <w:sz w:val="24"/>
          <w:szCs w:val="24"/>
        </w:rPr>
        <w:t xml:space="preserve">son 2013:15), but attempts to “[redistribute] a very minor quality of...material power,” are met only with resistance (Rutter-Jensen 2012:83). These beliefs </w:t>
      </w:r>
      <w:r w:rsidRPr="0005218A">
        <w:rPr>
          <w:rFonts w:ascii="Times New Roman" w:eastAsia="Georgia" w:hAnsi="Times New Roman" w:cs="Times New Roman"/>
          <w:sz w:val="24"/>
          <w:szCs w:val="24"/>
        </w:rPr>
        <w:lastRenderedPageBreak/>
        <w:t>perpetuate inequality; therefore, it is necessary to provide subsidized feminine hygiene products a</w:t>
      </w:r>
      <w:r w:rsidRPr="0005218A">
        <w:rPr>
          <w:rFonts w:ascii="Times New Roman" w:eastAsia="Georgia" w:hAnsi="Times New Roman" w:cs="Times New Roman"/>
          <w:sz w:val="24"/>
          <w:szCs w:val="24"/>
        </w:rPr>
        <w:t>nd education about menstruation in order to raise the status of women.</w:t>
      </w:r>
    </w:p>
    <w:p w14:paraId="597FEF65" w14:textId="77777777" w:rsidR="0005218A" w:rsidRPr="0005218A" w:rsidRDefault="0005218A">
      <w:pPr>
        <w:rPr>
          <w:rFonts w:ascii="Times New Roman" w:eastAsia="Georgia" w:hAnsi="Times New Roman" w:cs="Times New Roman"/>
          <w:sz w:val="24"/>
          <w:szCs w:val="24"/>
        </w:rPr>
      </w:pPr>
      <w:r w:rsidRPr="0005218A">
        <w:rPr>
          <w:rFonts w:ascii="Times New Roman" w:eastAsia="Georgia" w:hAnsi="Times New Roman" w:cs="Times New Roman"/>
          <w:sz w:val="24"/>
          <w:szCs w:val="24"/>
        </w:rPr>
        <w:br w:type="page"/>
      </w:r>
    </w:p>
    <w:p w14:paraId="1C0FDBF9"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eastAsia="Georgia" w:hAnsi="Times New Roman" w:cs="Times New Roman"/>
          <w:sz w:val="24"/>
          <w:szCs w:val="24"/>
        </w:rPr>
        <w:lastRenderedPageBreak/>
        <w:t>REFERENCES</w:t>
      </w:r>
    </w:p>
    <w:p w14:paraId="2776909D" w14:textId="77777777" w:rsidR="00F73C73" w:rsidRPr="0005218A" w:rsidRDefault="00F73C73">
      <w:pPr>
        <w:pStyle w:val="normal0"/>
        <w:spacing w:line="240" w:lineRule="auto"/>
        <w:rPr>
          <w:rFonts w:ascii="Times New Roman" w:hAnsi="Times New Roman" w:cs="Times New Roman"/>
          <w:sz w:val="24"/>
          <w:szCs w:val="24"/>
        </w:rPr>
      </w:pPr>
    </w:p>
    <w:p w14:paraId="0A969082"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Boosey, Robyn and Emily Wilson. 2013. “The Menstrual Hygiene Management and The International Human Rights System: A Vicious Cycle of Silence.” Research Paper prepared for T</w:t>
      </w:r>
      <w:r w:rsidRPr="0005218A">
        <w:rPr>
          <w:rFonts w:ascii="Times New Roman" w:eastAsia="Georgia" w:hAnsi="Times New Roman" w:cs="Times New Roman"/>
          <w:sz w:val="24"/>
          <w:szCs w:val="24"/>
        </w:rPr>
        <w:t xml:space="preserve">he World Bank 2014:1-29. </w:t>
      </w:r>
    </w:p>
    <w:p w14:paraId="4D328AEA"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Bozelko, Chandra. 2015. “Prisons That Withhold Menstrual Pads Humiliate Women and Violate Basic Rights.” </w:t>
      </w:r>
      <w:r w:rsidRPr="0005218A">
        <w:rPr>
          <w:rFonts w:ascii="Times New Roman" w:eastAsia="Georgia" w:hAnsi="Times New Roman" w:cs="Times New Roman"/>
          <w:i/>
          <w:sz w:val="24"/>
          <w:szCs w:val="24"/>
        </w:rPr>
        <w:t>The Guardian News and Media Limited</w:t>
      </w:r>
      <w:r w:rsidRPr="0005218A">
        <w:rPr>
          <w:rFonts w:ascii="Times New Roman" w:eastAsia="Georgia" w:hAnsi="Times New Roman" w:cs="Times New Roman"/>
          <w:sz w:val="24"/>
          <w:szCs w:val="24"/>
        </w:rPr>
        <w:t xml:space="preserve">, June 12. </w:t>
      </w:r>
    </w:p>
    <w:p w14:paraId="27081BFC"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DiBenedetto, Gabrielle. 2015. “Dane County Board Poised to Approve Pilot Progr</w:t>
      </w:r>
      <w:r w:rsidRPr="0005218A">
        <w:rPr>
          <w:rFonts w:ascii="Times New Roman" w:eastAsia="Georgia" w:hAnsi="Times New Roman" w:cs="Times New Roman"/>
          <w:sz w:val="24"/>
          <w:szCs w:val="24"/>
        </w:rPr>
        <w:t xml:space="preserve">am Providing Free Tampons.” </w:t>
      </w:r>
      <w:r w:rsidRPr="0005218A">
        <w:rPr>
          <w:rFonts w:ascii="Times New Roman" w:eastAsia="Georgia" w:hAnsi="Times New Roman" w:cs="Times New Roman"/>
          <w:i/>
          <w:sz w:val="24"/>
          <w:szCs w:val="24"/>
        </w:rPr>
        <w:t>Wisconsin State Journal</w:t>
      </w:r>
      <w:r w:rsidRPr="0005218A">
        <w:rPr>
          <w:rFonts w:ascii="Times New Roman" w:eastAsia="Georgia" w:hAnsi="Times New Roman" w:cs="Times New Roman"/>
          <w:sz w:val="24"/>
          <w:szCs w:val="24"/>
        </w:rPr>
        <w:t xml:space="preserve">, November 29. </w:t>
      </w:r>
    </w:p>
    <w:p w14:paraId="7D265860"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Freedman, Zoey. 2015. “Free Tampons Would Slow Flow of Gender Inequality.” University of California, Los Angeles: </w:t>
      </w:r>
      <w:r w:rsidRPr="0005218A">
        <w:rPr>
          <w:rFonts w:ascii="Times New Roman" w:eastAsia="Georgia" w:hAnsi="Times New Roman" w:cs="Times New Roman"/>
          <w:i/>
          <w:sz w:val="24"/>
          <w:szCs w:val="24"/>
        </w:rPr>
        <w:t>The Daily Brun</w:t>
      </w:r>
      <w:r w:rsidRPr="0005218A">
        <w:rPr>
          <w:rFonts w:ascii="Times New Roman" w:eastAsia="Georgia" w:hAnsi="Times New Roman" w:cs="Times New Roman"/>
          <w:sz w:val="24"/>
          <w:szCs w:val="24"/>
        </w:rPr>
        <w:t>, July 20.</w:t>
      </w:r>
    </w:p>
    <w:p w14:paraId="4319662B"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Garg, Rajesh, Shobba Goyal, and Sanjeev Gupta. 201</w:t>
      </w:r>
      <w:r w:rsidRPr="0005218A">
        <w:rPr>
          <w:rFonts w:ascii="Times New Roman" w:eastAsia="Georgia" w:hAnsi="Times New Roman" w:cs="Times New Roman"/>
          <w:sz w:val="24"/>
          <w:szCs w:val="24"/>
        </w:rPr>
        <w:t xml:space="preserve">2. “India Moves Towards Menstrual Hygiene: Subsidized Sanitary Napkins for Rural Adolescent Girls—Issues and Challenges.” </w:t>
      </w:r>
      <w:r w:rsidRPr="0005218A">
        <w:rPr>
          <w:rFonts w:ascii="Times New Roman" w:eastAsia="Georgia" w:hAnsi="Times New Roman" w:cs="Times New Roman"/>
          <w:i/>
          <w:sz w:val="24"/>
          <w:szCs w:val="24"/>
        </w:rPr>
        <w:t>Maternal &amp; Child Health Journal</w:t>
      </w:r>
      <w:r w:rsidRPr="0005218A">
        <w:rPr>
          <w:rFonts w:ascii="Times New Roman" w:eastAsia="Georgia" w:hAnsi="Times New Roman" w:cs="Times New Roman"/>
          <w:sz w:val="24"/>
          <w:szCs w:val="24"/>
        </w:rPr>
        <w:t xml:space="preserve"> 16(1):767-74.</w:t>
      </w:r>
    </w:p>
    <w:p w14:paraId="40714CDF"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Klasing, Amanda. 2014. “Menstrual Hygiene Day Links Periods and Human Rights.” </w:t>
      </w:r>
      <w:r w:rsidRPr="0005218A">
        <w:rPr>
          <w:rFonts w:ascii="Times New Roman" w:eastAsia="Georgia" w:hAnsi="Times New Roman" w:cs="Times New Roman"/>
          <w:i/>
          <w:sz w:val="24"/>
          <w:szCs w:val="24"/>
        </w:rPr>
        <w:t>Human Rig</w:t>
      </w:r>
      <w:r w:rsidRPr="0005218A">
        <w:rPr>
          <w:rFonts w:ascii="Times New Roman" w:eastAsia="Georgia" w:hAnsi="Times New Roman" w:cs="Times New Roman"/>
          <w:i/>
          <w:sz w:val="24"/>
          <w:szCs w:val="24"/>
        </w:rPr>
        <w:t>hts Watch</w:t>
      </w:r>
      <w:r w:rsidRPr="0005218A">
        <w:rPr>
          <w:rFonts w:ascii="Times New Roman" w:eastAsia="Georgia" w:hAnsi="Times New Roman" w:cs="Times New Roman"/>
          <w:sz w:val="24"/>
          <w:szCs w:val="24"/>
        </w:rPr>
        <w:t>.</w:t>
      </w:r>
    </w:p>
    <w:p w14:paraId="559EEB44"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Ruiz, Paula, Noelia Demelchiorre, Amulya Bashyal, Sujan Adhikari, Tan Ee, Wong Zhou, Amanda Marsh, and Adam Smith. 2014. “Nepal’s Sanitary Napkin Revolution.” </w:t>
      </w:r>
      <w:r w:rsidRPr="0005218A">
        <w:rPr>
          <w:rFonts w:ascii="Times New Roman" w:eastAsia="Georgia" w:hAnsi="Times New Roman" w:cs="Times New Roman"/>
          <w:i/>
          <w:sz w:val="24"/>
          <w:szCs w:val="24"/>
        </w:rPr>
        <w:t>Global Enterprise Experience</w:t>
      </w:r>
      <w:r w:rsidRPr="0005218A">
        <w:rPr>
          <w:rFonts w:ascii="Times New Roman" w:eastAsia="Georgia" w:hAnsi="Times New Roman" w:cs="Times New Roman"/>
          <w:sz w:val="24"/>
          <w:szCs w:val="24"/>
        </w:rPr>
        <w:t xml:space="preserve">. </w:t>
      </w:r>
    </w:p>
    <w:p w14:paraId="4CB46AE4"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Rutter-Jensen, Chloe. 2012. “Auto-Entho-Pedagogic Essay.” </w:t>
      </w:r>
      <w:r w:rsidRPr="0005218A">
        <w:rPr>
          <w:rFonts w:ascii="Times New Roman" w:eastAsia="Georgia" w:hAnsi="Times New Roman" w:cs="Times New Roman"/>
          <w:i/>
          <w:sz w:val="24"/>
          <w:szCs w:val="24"/>
        </w:rPr>
        <w:t>Cultural Studies</w:t>
      </w:r>
      <w:r w:rsidRPr="0005218A">
        <w:rPr>
          <w:rFonts w:ascii="Times New Roman" w:eastAsia="Georgia" w:hAnsi="Times New Roman" w:cs="Times New Roman"/>
          <w:sz w:val="24"/>
          <w:szCs w:val="24"/>
        </w:rPr>
        <w:t xml:space="preserve"> 26(1):71-90.</w:t>
      </w:r>
    </w:p>
    <w:p w14:paraId="407588D7"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Shah, Shobja, Rajesh Nair, Pankaj Shah, Dhiren Modi, Shrey Desai, and Lata Desai. 2013. “Improving Quality of Life with New Menstrual Hygiene Practices Among Adolescent</w:t>
      </w:r>
      <w:r w:rsidRPr="0005218A">
        <w:rPr>
          <w:rFonts w:ascii="Times New Roman" w:eastAsia="Georgia" w:hAnsi="Times New Roman" w:cs="Times New Roman"/>
          <w:sz w:val="24"/>
          <w:szCs w:val="24"/>
        </w:rPr>
        <w:t xml:space="preserve"> Tribal Girls in Rural Gujarat, India.” </w:t>
      </w:r>
      <w:r w:rsidRPr="0005218A">
        <w:rPr>
          <w:rFonts w:ascii="Times New Roman" w:eastAsia="Georgia" w:hAnsi="Times New Roman" w:cs="Times New Roman"/>
          <w:i/>
          <w:sz w:val="24"/>
          <w:szCs w:val="24"/>
        </w:rPr>
        <w:t>Reproductive Health Matters</w:t>
      </w:r>
      <w:r w:rsidRPr="0005218A">
        <w:rPr>
          <w:rFonts w:ascii="Times New Roman" w:eastAsia="Georgia" w:hAnsi="Times New Roman" w:cs="Times New Roman"/>
          <w:sz w:val="24"/>
          <w:szCs w:val="24"/>
        </w:rPr>
        <w:t xml:space="preserve"> 21(41):205-13. </w:t>
      </w:r>
    </w:p>
    <w:p w14:paraId="780F7C0A"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lastRenderedPageBreak/>
        <w:t xml:space="preserve">U.S. Congress. House of Representatives. </w:t>
      </w:r>
      <w:r w:rsidRPr="0005218A">
        <w:rPr>
          <w:rFonts w:ascii="Times New Roman" w:eastAsia="Georgia" w:hAnsi="Times New Roman" w:cs="Times New Roman"/>
          <w:i/>
          <w:sz w:val="24"/>
          <w:szCs w:val="24"/>
        </w:rPr>
        <w:t>Fund Essential Menstruation Products Act of 2015</w:t>
      </w:r>
      <w:r w:rsidRPr="0005218A">
        <w:rPr>
          <w:rFonts w:ascii="Times New Roman" w:eastAsia="Georgia" w:hAnsi="Times New Roman" w:cs="Times New Roman"/>
          <w:sz w:val="24"/>
          <w:szCs w:val="24"/>
        </w:rPr>
        <w:t>. H.R. 3117. 114th Congress, 1st Session, 2015.</w:t>
      </w:r>
    </w:p>
    <w:p w14:paraId="051686F8"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Valenti, Jessica. 2014. “The Case f</w:t>
      </w:r>
      <w:r w:rsidRPr="0005218A">
        <w:rPr>
          <w:rFonts w:ascii="Times New Roman" w:eastAsia="Georgia" w:hAnsi="Times New Roman" w:cs="Times New Roman"/>
          <w:sz w:val="24"/>
          <w:szCs w:val="24"/>
        </w:rPr>
        <w:t xml:space="preserve">or Free Tampons.” </w:t>
      </w:r>
      <w:r w:rsidRPr="0005218A">
        <w:rPr>
          <w:rFonts w:ascii="Times New Roman" w:eastAsia="Georgia" w:hAnsi="Times New Roman" w:cs="Times New Roman"/>
          <w:i/>
          <w:sz w:val="24"/>
          <w:szCs w:val="24"/>
        </w:rPr>
        <w:t>The Guardian News and Media Limited</w:t>
      </w:r>
      <w:r w:rsidRPr="0005218A">
        <w:rPr>
          <w:rFonts w:ascii="Times New Roman" w:eastAsia="Georgia" w:hAnsi="Times New Roman" w:cs="Times New Roman"/>
          <w:sz w:val="24"/>
          <w:szCs w:val="24"/>
        </w:rPr>
        <w:t>, August 11.</w:t>
      </w:r>
    </w:p>
    <w:p w14:paraId="4C448AF8"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 xml:space="preserve">Weiss-Wolf, Jennifer. 2015. “Helping Woman and Girls. Period.” </w:t>
      </w:r>
      <w:r w:rsidRPr="0005218A">
        <w:rPr>
          <w:rFonts w:ascii="Times New Roman" w:eastAsia="Georgia" w:hAnsi="Times New Roman" w:cs="Times New Roman"/>
          <w:i/>
          <w:sz w:val="24"/>
          <w:szCs w:val="24"/>
        </w:rPr>
        <w:t>The New York Times Company</w:t>
      </w:r>
      <w:r w:rsidRPr="0005218A">
        <w:rPr>
          <w:rFonts w:ascii="Times New Roman" w:eastAsia="Georgia" w:hAnsi="Times New Roman" w:cs="Times New Roman"/>
          <w:sz w:val="24"/>
          <w:szCs w:val="24"/>
        </w:rPr>
        <w:t xml:space="preserve">, January 28. </w:t>
      </w:r>
    </w:p>
    <w:p w14:paraId="7C9432BE" w14:textId="77777777" w:rsidR="00F73C73" w:rsidRPr="0005218A" w:rsidRDefault="0005218A">
      <w:pPr>
        <w:pStyle w:val="normal0"/>
        <w:spacing w:line="480" w:lineRule="auto"/>
        <w:ind w:left="810" w:hanging="720"/>
        <w:rPr>
          <w:rFonts w:ascii="Times New Roman" w:hAnsi="Times New Roman" w:cs="Times New Roman"/>
          <w:sz w:val="24"/>
          <w:szCs w:val="24"/>
        </w:rPr>
      </w:pPr>
      <w:r w:rsidRPr="0005218A">
        <w:rPr>
          <w:rFonts w:ascii="Times New Roman" w:eastAsia="Georgia" w:hAnsi="Times New Roman" w:cs="Times New Roman"/>
          <w:sz w:val="24"/>
          <w:szCs w:val="24"/>
        </w:rPr>
        <w:t>Worstall, Tim. 2014. “Dumb Public Policy Suggestion of The Day; Valenti’s Free Tampons</w:t>
      </w:r>
      <w:r w:rsidRPr="0005218A">
        <w:rPr>
          <w:rFonts w:ascii="Times New Roman" w:eastAsia="Georgia" w:hAnsi="Times New Roman" w:cs="Times New Roman"/>
          <w:sz w:val="24"/>
          <w:szCs w:val="24"/>
        </w:rPr>
        <w:t xml:space="preserve"> For All.” </w:t>
      </w:r>
      <w:r w:rsidRPr="0005218A">
        <w:rPr>
          <w:rFonts w:ascii="Times New Roman" w:eastAsia="Georgia" w:hAnsi="Times New Roman" w:cs="Times New Roman"/>
          <w:i/>
          <w:sz w:val="24"/>
          <w:szCs w:val="24"/>
        </w:rPr>
        <w:t>Forbes</w:t>
      </w:r>
      <w:r w:rsidRPr="0005218A">
        <w:rPr>
          <w:rFonts w:ascii="Times New Roman" w:eastAsia="Georgia" w:hAnsi="Times New Roman" w:cs="Times New Roman"/>
          <w:sz w:val="24"/>
          <w:szCs w:val="24"/>
        </w:rPr>
        <w:t>, August 12.</w:t>
      </w:r>
    </w:p>
    <w:p w14:paraId="5C6B9D61" w14:textId="77777777" w:rsidR="00F73C73" w:rsidRPr="0005218A" w:rsidRDefault="00F73C73">
      <w:pPr>
        <w:pStyle w:val="normal0"/>
        <w:spacing w:line="480" w:lineRule="auto"/>
        <w:ind w:left="810" w:hanging="720"/>
        <w:rPr>
          <w:rFonts w:ascii="Times New Roman" w:hAnsi="Times New Roman" w:cs="Times New Roman"/>
          <w:sz w:val="24"/>
          <w:szCs w:val="24"/>
        </w:rPr>
      </w:pPr>
    </w:p>
    <w:p w14:paraId="278183E8" w14:textId="77777777" w:rsidR="00F73C73" w:rsidRPr="0005218A" w:rsidRDefault="00F73C73">
      <w:pPr>
        <w:pStyle w:val="normal0"/>
        <w:spacing w:line="480" w:lineRule="auto"/>
        <w:ind w:left="810" w:hanging="720"/>
        <w:rPr>
          <w:rFonts w:ascii="Times New Roman" w:hAnsi="Times New Roman" w:cs="Times New Roman"/>
          <w:sz w:val="24"/>
          <w:szCs w:val="24"/>
        </w:rPr>
      </w:pPr>
    </w:p>
    <w:p w14:paraId="2EAE23D0" w14:textId="77777777" w:rsidR="00F73C73" w:rsidRPr="0005218A" w:rsidRDefault="0005218A">
      <w:pPr>
        <w:pStyle w:val="normal0"/>
        <w:rPr>
          <w:rFonts w:ascii="Times New Roman" w:hAnsi="Times New Roman" w:cs="Times New Roman"/>
          <w:sz w:val="24"/>
          <w:szCs w:val="24"/>
        </w:rPr>
      </w:pPr>
      <w:r w:rsidRPr="0005218A">
        <w:rPr>
          <w:rFonts w:ascii="Times New Roman" w:hAnsi="Times New Roman" w:cs="Times New Roman"/>
          <w:sz w:val="24"/>
          <w:szCs w:val="24"/>
        </w:rPr>
        <w:br w:type="page"/>
      </w:r>
    </w:p>
    <w:p w14:paraId="69A0B5CE"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hAnsi="Times New Roman" w:cs="Times New Roman"/>
          <w:sz w:val="24"/>
          <w:szCs w:val="24"/>
        </w:rPr>
        <w:lastRenderedPageBreak/>
        <w:t>JULIA ROGERS RESEARCH PRIZE</w:t>
      </w:r>
    </w:p>
    <w:p w14:paraId="556B9878" w14:textId="77777777" w:rsidR="00F73C73" w:rsidRPr="0005218A" w:rsidRDefault="0005218A">
      <w:pPr>
        <w:pStyle w:val="normal0"/>
        <w:spacing w:line="480" w:lineRule="auto"/>
        <w:rPr>
          <w:rFonts w:ascii="Times New Roman" w:hAnsi="Times New Roman" w:cs="Times New Roman"/>
          <w:sz w:val="24"/>
          <w:szCs w:val="24"/>
        </w:rPr>
      </w:pPr>
      <w:r w:rsidRPr="0005218A">
        <w:rPr>
          <w:rFonts w:ascii="Times New Roman" w:hAnsi="Times New Roman" w:cs="Times New Roman"/>
          <w:sz w:val="24"/>
          <w:szCs w:val="24"/>
        </w:rPr>
        <w:tab/>
        <w:t>The original idea for this research paper occurred to me after a learning that a friend had been on an</w:t>
      </w:r>
      <w:r w:rsidRPr="0005218A">
        <w:rPr>
          <w:rFonts w:ascii="Times New Roman" w:hAnsi="Times New Roman" w:cs="Times New Roman"/>
          <w:sz w:val="24"/>
          <w:szCs w:val="24"/>
        </w:rPr>
        <w:t xml:space="preserve"> 8-hour</w:t>
      </w:r>
      <w:r w:rsidRPr="0005218A">
        <w:rPr>
          <w:rFonts w:ascii="Times New Roman" w:hAnsi="Times New Roman" w:cs="Times New Roman"/>
          <w:sz w:val="24"/>
          <w:szCs w:val="24"/>
        </w:rPr>
        <w:t xml:space="preserve"> plane ride when she started her period and hadn’t had a tampon or pad available. Wh</w:t>
      </w:r>
      <w:r w:rsidRPr="0005218A">
        <w:rPr>
          <w:rFonts w:ascii="Times New Roman" w:hAnsi="Times New Roman" w:cs="Times New Roman"/>
          <w:sz w:val="24"/>
          <w:szCs w:val="24"/>
        </w:rPr>
        <w:t>ile taking the Wealth, Power, Prestige course last semester, I decided to focus on limited access to feminine hygiene products as a form of inequality for my research topic. Once I had decided my topic and talked with my professor, I used the Goucher Colle</w:t>
      </w:r>
      <w:r w:rsidRPr="0005218A">
        <w:rPr>
          <w:rFonts w:ascii="Times New Roman" w:hAnsi="Times New Roman" w:cs="Times New Roman"/>
          <w:sz w:val="24"/>
          <w:szCs w:val="24"/>
        </w:rPr>
        <w:t xml:space="preserve">ge Library databases to find nearly all of my resources. I began by using EbscoHost and Jstor to do general research on the topic and discovered that many sources detailed global programs. While originally I had planned to only focus on the United States, </w:t>
      </w:r>
      <w:r w:rsidRPr="0005218A">
        <w:rPr>
          <w:rFonts w:ascii="Times New Roman" w:hAnsi="Times New Roman" w:cs="Times New Roman"/>
          <w:sz w:val="24"/>
          <w:szCs w:val="24"/>
        </w:rPr>
        <w:t>I decided to extend my paper to include the research I had found. After changing the direction of my essay, I began to do more focused research, turning to the medical, sociological, and political resources available to me from the Goucher Library. While u</w:t>
      </w:r>
      <w:r w:rsidRPr="0005218A">
        <w:rPr>
          <w:rFonts w:ascii="Times New Roman" w:hAnsi="Times New Roman" w:cs="Times New Roman"/>
          <w:sz w:val="24"/>
          <w:szCs w:val="24"/>
        </w:rPr>
        <w:t>sing these databases, I also used multiple search terms in order to narrow the scope of my search. This strategy allowed me to find articles that were more pertinent and reliable, saving time and energy. With these sources, I was able to more effectively b</w:t>
      </w:r>
      <w:r w:rsidRPr="0005218A">
        <w:rPr>
          <w:rFonts w:ascii="Times New Roman" w:hAnsi="Times New Roman" w:cs="Times New Roman"/>
          <w:sz w:val="24"/>
          <w:szCs w:val="24"/>
        </w:rPr>
        <w:t xml:space="preserve">olster my thesis, reinforcing the importance of research. Overall, this experience taught me to keep an open mind while doing the preliminary research and let the sources guide the direction of the essay. </w:t>
      </w:r>
    </w:p>
    <w:p w14:paraId="1BC51E5E" w14:textId="77777777" w:rsidR="00F73C73" w:rsidRPr="0005218A" w:rsidRDefault="00F73C73">
      <w:pPr>
        <w:pStyle w:val="normal0"/>
        <w:spacing w:line="480" w:lineRule="auto"/>
        <w:rPr>
          <w:rFonts w:ascii="Times New Roman" w:hAnsi="Times New Roman" w:cs="Times New Roman"/>
          <w:sz w:val="24"/>
          <w:szCs w:val="24"/>
        </w:rPr>
      </w:pPr>
    </w:p>
    <w:p w14:paraId="742ACFC4" w14:textId="77777777" w:rsidR="00F73C73" w:rsidRPr="0005218A" w:rsidRDefault="00F73C73">
      <w:pPr>
        <w:pStyle w:val="normal0"/>
        <w:spacing w:line="480" w:lineRule="auto"/>
        <w:rPr>
          <w:rFonts w:ascii="Times New Roman" w:hAnsi="Times New Roman" w:cs="Times New Roman"/>
          <w:sz w:val="24"/>
          <w:szCs w:val="24"/>
        </w:rPr>
      </w:pPr>
    </w:p>
    <w:p w14:paraId="29718751" w14:textId="77777777" w:rsidR="00F73C73" w:rsidRPr="0005218A" w:rsidRDefault="00F73C73">
      <w:pPr>
        <w:pStyle w:val="normal0"/>
        <w:spacing w:line="480" w:lineRule="auto"/>
        <w:rPr>
          <w:rFonts w:ascii="Times New Roman" w:hAnsi="Times New Roman" w:cs="Times New Roman"/>
          <w:sz w:val="24"/>
          <w:szCs w:val="24"/>
        </w:rPr>
      </w:pPr>
    </w:p>
    <w:p w14:paraId="036104AC" w14:textId="77777777" w:rsidR="00F73C73" w:rsidRPr="0005218A" w:rsidRDefault="00F73C73">
      <w:pPr>
        <w:pStyle w:val="normal0"/>
        <w:rPr>
          <w:rFonts w:ascii="Times New Roman" w:hAnsi="Times New Roman" w:cs="Times New Roman"/>
          <w:sz w:val="24"/>
          <w:szCs w:val="24"/>
        </w:rPr>
      </w:pPr>
    </w:p>
    <w:p w14:paraId="3BFCF095" w14:textId="77777777" w:rsidR="00F73C73" w:rsidRPr="0005218A" w:rsidRDefault="00F73C73">
      <w:pPr>
        <w:pStyle w:val="normal0"/>
        <w:rPr>
          <w:rFonts w:ascii="Times New Roman" w:hAnsi="Times New Roman" w:cs="Times New Roman"/>
          <w:sz w:val="24"/>
          <w:szCs w:val="24"/>
        </w:rPr>
      </w:pPr>
    </w:p>
    <w:sectPr w:rsidR="00F73C73" w:rsidRPr="0005218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isplayBackgroundShape/>
  <w:proofState w:spelling="clean" w:grammar="clean"/>
  <w:defaultTabStop w:val="720"/>
  <w:characterSpacingControl w:val="doNotCompress"/>
  <w:compat>
    <w:compatSetting w:name="compatibilityMode" w:uri="http://schemas.microsoft.com/office/word" w:val="14"/>
  </w:compat>
  <w:rsids>
    <w:rsidRoot w:val="00F73C73"/>
    <w:rsid w:val="0005218A"/>
    <w:rsid w:val="00F73C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447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2652</Words>
  <Characters>15122</Characters>
  <Application>Microsoft Macintosh Word</Application>
  <DocSecurity>0</DocSecurity>
  <Lines>126</Lines>
  <Paragraphs>35</Paragraphs>
  <ScaleCrop>false</ScaleCrop>
  <Company/>
  <LinksUpToDate>false</LinksUpToDate>
  <CharactersWithSpaces>17739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Zoe Jacobson</cp:lastModifiedBy>
  <cp:revision>2</cp:revision>
  <dcterms:created xsi:type="dcterms:W3CDTF">2016-03-19T00:04:00Z</dcterms:created>
  <dcterms:modified xsi:type="dcterms:W3CDTF">2016-03-19T00:06:00Z</dcterms:modified>
</cp:coreProperties>
</file>