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3D3B20" w:rsidRDefault="007B6C3C">
      <w:pPr>
        <w:pStyle w:val="normal0"/>
        <w:jc w:val="center"/>
      </w:pPr>
      <w:r>
        <w:t>A Threshold to the Frames: Applying "Information Creation as a Process" to Library Instruction</w:t>
      </w:r>
    </w:p>
    <w:p w:rsidR="003D3B20" w:rsidRDefault="007B6C3C">
      <w:pPr>
        <w:pStyle w:val="normal0"/>
        <w:ind w:firstLine="720"/>
      </w:pPr>
      <w:r>
        <w:t>Salisbury University is a public, four-year comprehensive institution located on Maryland’s Eastern Shore. Every fall, approximately 1,300 freshmen eagerly move on campus during an event that is affectionately known as Survival of Arrival. The event is apt</w:t>
      </w:r>
      <w:r>
        <w:t>ly named when one considers national education reports that describe how today’s college students struggle with the transition from high school to college. According to Project Information LIteracy’s 2013 report Learning the Ropes: How Freshmen Conduct Cou</w:t>
      </w:r>
      <w:r>
        <w:t>rse Research Once They Enter College, most freshmen “found it difficult to figure out the critical inquiry process while developing competencies, practices, and workarounds for evaluating, integrating, and applying the sources they found.”</w:t>
      </w:r>
      <w:r>
        <w:rPr>
          <w:vertAlign w:val="superscript"/>
        </w:rPr>
        <w:footnoteReference w:id="1"/>
      </w:r>
      <w:r>
        <w:t xml:space="preserve"> As many freshme</w:t>
      </w:r>
      <w:r>
        <w:t>n muddle through those first research assignments, they must find cold comfort in library instruction approaches that are tools-training heavy and concept/context light.</w:t>
      </w:r>
    </w:p>
    <w:p w:rsidR="003D3B20" w:rsidRDefault="007B6C3C">
      <w:pPr>
        <w:pStyle w:val="normal0"/>
        <w:ind w:firstLine="720"/>
      </w:pPr>
      <w:r>
        <w:t xml:space="preserve">When new college students encounter those first research writing assignments, library </w:t>
      </w:r>
      <w:r>
        <w:t>instruction strategies that privilege tools-training over teaching contextual and conceptual substances that surround research tasks, fall short. ACRL describes the need to re-envision a more flexible information literacy platform as a “</w:t>
      </w:r>
      <w:r>
        <w:rPr>
          <w:highlight w:val="white"/>
        </w:rPr>
        <w:t>dynamic and often u</w:t>
      </w:r>
      <w:r>
        <w:rPr>
          <w:highlight w:val="white"/>
        </w:rPr>
        <w:t xml:space="preserve">ncertain information ecosystem in which all of us work and live, </w:t>
      </w:r>
      <w:r>
        <w:rPr>
          <w:highlight w:val="white"/>
        </w:rPr>
        <w:t xml:space="preserve">[requires] </w:t>
      </w:r>
      <w:r>
        <w:rPr>
          <w:highlight w:val="white"/>
        </w:rPr>
        <w:t>new attention to be focused on foundational ideas about that ecosystem.”</w:t>
      </w:r>
      <w:r>
        <w:rPr>
          <w:highlight w:val="white"/>
          <w:vertAlign w:val="superscript"/>
        </w:rPr>
        <w:footnoteReference w:id="2"/>
      </w:r>
      <w:r>
        <w:rPr>
          <w:sz w:val="20"/>
          <w:szCs w:val="20"/>
          <w:highlight w:val="white"/>
        </w:rPr>
        <w:t> </w:t>
      </w:r>
      <w:r>
        <w:t>In response to an ever-changing information ecosystem, ACRL has developed a Framework for Information Lite</w:t>
      </w:r>
      <w:r>
        <w:t>racy that is meant to replace the Standards from 2000. Six Frames were developed through the lens of threshold concepts, which describe ways of identifying and thinking about core ideas within disciplines</w:t>
      </w:r>
      <w:r>
        <w:rPr>
          <w:vertAlign w:val="superscript"/>
        </w:rPr>
        <w:footnoteReference w:id="3"/>
      </w:r>
      <w:r>
        <w:t xml:space="preserve">. These include: </w:t>
      </w:r>
    </w:p>
    <w:p w:rsidR="003D3B20" w:rsidRDefault="007B6C3C">
      <w:pPr>
        <w:pStyle w:val="normal0"/>
        <w:spacing w:after="0" w:line="240" w:lineRule="auto"/>
      </w:pPr>
      <w:r>
        <w:t>Authority Is Constructed and Cont</w:t>
      </w:r>
      <w:r>
        <w:t>extual</w:t>
      </w:r>
    </w:p>
    <w:p w:rsidR="003D3B20" w:rsidRDefault="007B6C3C">
      <w:pPr>
        <w:pStyle w:val="normal0"/>
        <w:spacing w:after="0" w:line="240" w:lineRule="auto"/>
      </w:pPr>
      <w:r>
        <w:t>Information Creation as a Process</w:t>
      </w:r>
    </w:p>
    <w:p w:rsidR="003D3B20" w:rsidRDefault="007B6C3C">
      <w:pPr>
        <w:pStyle w:val="normal0"/>
        <w:spacing w:after="0" w:line="240" w:lineRule="auto"/>
      </w:pPr>
      <w:r>
        <w:t>Information Has Value</w:t>
      </w:r>
    </w:p>
    <w:p w:rsidR="003D3B20" w:rsidRDefault="007B6C3C">
      <w:pPr>
        <w:pStyle w:val="normal0"/>
        <w:spacing w:after="0" w:line="240" w:lineRule="auto"/>
      </w:pPr>
      <w:r>
        <w:t>Research as Inquiry</w:t>
      </w:r>
    </w:p>
    <w:p w:rsidR="003D3B20" w:rsidRDefault="007B6C3C">
      <w:pPr>
        <w:pStyle w:val="normal0"/>
        <w:spacing w:after="0" w:line="240" w:lineRule="auto"/>
      </w:pPr>
      <w:r>
        <w:t>Scholarship as Conversation</w:t>
      </w:r>
    </w:p>
    <w:p w:rsidR="003D3B20" w:rsidRDefault="007B6C3C">
      <w:pPr>
        <w:pStyle w:val="normal0"/>
        <w:spacing w:after="0" w:line="240" w:lineRule="auto"/>
      </w:pPr>
      <w:r>
        <w:t>Searching as Strategic Exploration</w:t>
      </w:r>
    </w:p>
    <w:p w:rsidR="003D3B20" w:rsidRDefault="003D3B20">
      <w:pPr>
        <w:pStyle w:val="normal0"/>
        <w:spacing w:after="0" w:line="240" w:lineRule="auto"/>
      </w:pPr>
    </w:p>
    <w:p w:rsidR="003D3B20" w:rsidRDefault="007B6C3C">
      <w:pPr>
        <w:pStyle w:val="normal0"/>
      </w:pPr>
      <w:r>
        <w:t>In December 2014, ACRL approved the final iteration of the Framework. Information Literacy Revision Task Forc</w:t>
      </w:r>
      <w:r>
        <w:t>e member, Merinda Hensley, gave librarians an update on the status of the Frames for IL at the ACRL 2015 Conference, explaining, “full implementation of the Frames has been ‘tabled’ for now to allow the old Standards from 2000 to ‘sunset’.”</w:t>
      </w:r>
      <w:r>
        <w:rPr>
          <w:vertAlign w:val="superscript"/>
        </w:rPr>
        <w:footnoteReference w:id="4"/>
      </w:r>
      <w:r>
        <w:t xml:space="preserve"> There are seve</w:t>
      </w:r>
      <w:r>
        <w:t>ral compelling  reasons for tabling the Frames instead  of replacing  the Standards wholesale. Information literacy stakeholders have expended much effort to get the Standards incorporated into curricula; assessments of habits of thought and dispositions a</w:t>
      </w:r>
      <w:r>
        <w:t>re muddy waters; and many national and regional accrediting bodies have formally recognized and adopted the Standards for use as review criteria, to describe just a few challenges. However, for every sunset, a sunrise follows, and so the tabling of thresho</w:t>
      </w:r>
      <w:r>
        <w:t>ld concepts for now might be used by librarians as a grace period during which novel approaches to use and test the Frames can be developed.</w:t>
      </w:r>
    </w:p>
    <w:p w:rsidR="003D3B20" w:rsidRDefault="007B6C3C">
      <w:pPr>
        <w:pStyle w:val="normal0"/>
      </w:pPr>
      <w:r>
        <w:rPr>
          <w:b/>
        </w:rPr>
        <w:t>The need for change at Salisbury University</w:t>
      </w:r>
    </w:p>
    <w:p w:rsidR="003D3B20" w:rsidRDefault="007B6C3C">
      <w:pPr>
        <w:pStyle w:val="normal0"/>
      </w:pPr>
      <w:r>
        <w:rPr>
          <w:b/>
        </w:rPr>
        <w:tab/>
      </w:r>
      <w:r>
        <w:t>When the ACRL Standards came out in the year 2000, the librarians at S</w:t>
      </w:r>
      <w:r>
        <w:t>alisbury University read them over, read them over again, and then took a half-step back, somewhat overwhelmed by their complexity, heavy use of library-specific jargon, and exhaustive list of learning characteristics. In the years that followed, we incorp</w:t>
      </w:r>
      <w:r>
        <w:t>orated the Standards into our library instruction as best as we could.   Looking back, despite our best intentions, we were mostly training students about the idiosyncratic product features of databases and other tools, and we know from personal dissatisfa</w:t>
      </w:r>
      <w:r>
        <w:t xml:space="preserve">ction and anecdotal evidence that the students were not feeling that our sessions clicked with them in the ways we would have wished.  </w:t>
      </w:r>
    </w:p>
    <w:p w:rsidR="003D3B20" w:rsidRDefault="007B6C3C">
      <w:pPr>
        <w:pStyle w:val="normal0"/>
        <w:ind w:firstLine="720"/>
      </w:pPr>
      <w:bookmarkStart w:id="0" w:name="h.u6kug92yu8of" w:colFirst="0" w:colLast="0"/>
      <w:bookmarkEnd w:id="0"/>
      <w:r>
        <w:t xml:space="preserve">In spring of 2009, Salisbury University hosted a retreat during which faculty mapped General Education Student Learning </w:t>
      </w:r>
      <w:r>
        <w:t>Goals to their own teaching areas. Information Literacy was one of the goals that was mapped in this retreat, and after the mapping step was completed, faculty worked together to write outcomes and objectives for each appropriate goal.  In the following ye</w:t>
      </w:r>
      <w:r>
        <w:t>ar, SU undertook a long-term summative assessment of the Goals and their respective student learning objectives. This work involved rating authentic student work with the use of rubrics. All of the Goals, including Information Literacy, were assessed in th</w:t>
      </w:r>
      <w:r>
        <w:t>is way starting in 2009 with plans to conclude assessments during the 2015-2016 year. While the full report for the Information Literacy assessment is not yet complete, the summary information was a bit disheartening.  Students uniformly showed that they w</w:t>
      </w:r>
      <w:r>
        <w:t>ere not meeting our basic established measure of success (70%) in any of the criteria and outcomes that faculty had previously outlined. Students were found to be below expectations in fairly basic Information Literacy skills, particularly in the areas of:</w:t>
      </w:r>
      <w:r>
        <w:t xml:space="preserve"> Evaluating Assumptions; Citation;and Identifying Key Concepts and Sources (Figure 1). At a glance, we realized that many of the shortfalls identified in the information literacy report concern difficulties with concepts and context rather than with  infor</w:t>
      </w:r>
      <w:r>
        <w:t>mation mechanics. Although we realize that student development of information literacy abilities is a shared, university-wide responsibility, the librarians decided to develop a fuller teaching approach that could address research concepts as well as mecha</w:t>
      </w:r>
      <w:r>
        <w:t>nics in a way of strengthening IL where we could, how we could.</w:t>
      </w:r>
    </w:p>
    <w:p w:rsidR="003D3B20" w:rsidRDefault="007B6C3C">
      <w:pPr>
        <w:pStyle w:val="normal0"/>
        <w:ind w:firstLine="720"/>
        <w:jc w:val="center"/>
      </w:pPr>
      <w:bookmarkStart w:id="1" w:name="h.lyweeuvx8j6d" w:colFirst="0" w:colLast="0"/>
      <w:bookmarkEnd w:id="1"/>
      <w:r>
        <w:t>Figure 1</w:t>
      </w: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2"/>
        <w:gridCol w:w="1872"/>
        <w:gridCol w:w="1872"/>
        <w:gridCol w:w="1872"/>
        <w:gridCol w:w="1872"/>
      </w:tblGrid>
      <w:tr w:rsidR="003D3B20">
        <w:trPr>
          <w:trHeight w:val="420"/>
        </w:trPr>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rPr>
                <w:b/>
              </w:rPr>
              <w:t>General Education Area</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rPr>
                <w:b/>
              </w:rPr>
              <w:t>Criteria</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rPr>
                <w:b/>
              </w:rPr>
              <w:t>Outcome</w:t>
            </w:r>
          </w:p>
        </w:tc>
        <w:tc>
          <w:tcPr>
            <w:tcW w:w="3744" w:type="dxa"/>
            <w:gridSpan w:val="2"/>
            <w:tcMar>
              <w:top w:w="100" w:type="dxa"/>
              <w:left w:w="100" w:type="dxa"/>
              <w:bottom w:w="100" w:type="dxa"/>
              <w:right w:w="100" w:type="dxa"/>
            </w:tcMar>
          </w:tcPr>
          <w:p w:rsidR="003D3B20" w:rsidRDefault="007B6C3C">
            <w:pPr>
              <w:pStyle w:val="normal0"/>
              <w:widowControl w:val="0"/>
              <w:spacing w:after="0" w:line="240" w:lineRule="auto"/>
              <w:jc w:val="center"/>
            </w:pPr>
            <w:r>
              <w:rPr>
                <w:b/>
              </w:rPr>
              <w:t>% Met or Exceeded Expectations</w:t>
            </w:r>
          </w:p>
          <w:p w:rsidR="003D3B20" w:rsidRDefault="007B6C3C">
            <w:pPr>
              <w:pStyle w:val="normal0"/>
              <w:widowControl w:val="0"/>
              <w:spacing w:after="0" w:line="240" w:lineRule="auto"/>
            </w:pPr>
            <w:r>
              <w:rPr>
                <w:b/>
              </w:rPr>
              <w:t xml:space="preserve">           Fall                             Spring</w:t>
            </w:r>
          </w:p>
        </w:tc>
      </w:tr>
      <w:tr w:rsidR="003D3B20">
        <w:trPr>
          <w:trHeight w:val="420"/>
        </w:trPr>
        <w:tc>
          <w:tcPr>
            <w:tcW w:w="1872" w:type="dxa"/>
            <w:vMerge w:val="restart"/>
            <w:tcMar>
              <w:top w:w="100" w:type="dxa"/>
              <w:left w:w="100" w:type="dxa"/>
              <w:bottom w:w="100" w:type="dxa"/>
              <w:right w:w="100" w:type="dxa"/>
            </w:tcMar>
          </w:tcPr>
          <w:p w:rsidR="003D3B20" w:rsidRDefault="003D3B20">
            <w:pPr>
              <w:pStyle w:val="normal0"/>
              <w:widowControl w:val="0"/>
              <w:spacing w:after="0" w:line="240" w:lineRule="auto"/>
              <w:jc w:val="center"/>
            </w:pPr>
          </w:p>
          <w:p w:rsidR="003D3B20" w:rsidRDefault="003D3B20">
            <w:pPr>
              <w:pStyle w:val="normal0"/>
              <w:widowControl w:val="0"/>
              <w:spacing w:after="0" w:line="240" w:lineRule="auto"/>
              <w:jc w:val="center"/>
            </w:pPr>
          </w:p>
          <w:p w:rsidR="003D3B20" w:rsidRDefault="003D3B20">
            <w:pPr>
              <w:pStyle w:val="normal0"/>
              <w:widowControl w:val="0"/>
              <w:spacing w:after="0" w:line="240" w:lineRule="auto"/>
              <w:jc w:val="center"/>
            </w:pPr>
          </w:p>
          <w:p w:rsidR="003D3B20" w:rsidRDefault="003D3B20">
            <w:pPr>
              <w:pStyle w:val="normal0"/>
              <w:widowControl w:val="0"/>
              <w:spacing w:after="0" w:line="240" w:lineRule="auto"/>
              <w:jc w:val="center"/>
            </w:pPr>
          </w:p>
          <w:p w:rsidR="003D3B20" w:rsidRDefault="003D3B20">
            <w:pPr>
              <w:pStyle w:val="normal0"/>
              <w:widowControl w:val="0"/>
              <w:spacing w:after="0" w:line="240" w:lineRule="auto"/>
              <w:jc w:val="center"/>
            </w:pPr>
          </w:p>
          <w:p w:rsidR="003D3B20" w:rsidRDefault="003D3B20">
            <w:pPr>
              <w:pStyle w:val="normal0"/>
              <w:widowControl w:val="0"/>
              <w:spacing w:after="0" w:line="240" w:lineRule="auto"/>
              <w:jc w:val="center"/>
            </w:pPr>
          </w:p>
          <w:p w:rsidR="003D3B20" w:rsidRDefault="003D3B20">
            <w:pPr>
              <w:pStyle w:val="normal0"/>
              <w:widowControl w:val="0"/>
              <w:spacing w:after="0" w:line="240" w:lineRule="auto"/>
              <w:jc w:val="center"/>
            </w:pPr>
          </w:p>
          <w:p w:rsidR="003D3B20" w:rsidRDefault="003D3B20">
            <w:pPr>
              <w:pStyle w:val="normal0"/>
              <w:widowControl w:val="0"/>
              <w:spacing w:after="0" w:line="240" w:lineRule="auto"/>
              <w:jc w:val="center"/>
            </w:pPr>
          </w:p>
          <w:p w:rsidR="003D3B20" w:rsidRDefault="003D3B20">
            <w:pPr>
              <w:pStyle w:val="normal0"/>
              <w:widowControl w:val="0"/>
              <w:spacing w:after="0" w:line="240" w:lineRule="auto"/>
              <w:jc w:val="center"/>
            </w:pPr>
          </w:p>
          <w:p w:rsidR="003D3B20" w:rsidRDefault="003D3B20">
            <w:pPr>
              <w:pStyle w:val="normal0"/>
              <w:widowControl w:val="0"/>
              <w:spacing w:after="0" w:line="240" w:lineRule="auto"/>
              <w:jc w:val="center"/>
            </w:pPr>
          </w:p>
          <w:p w:rsidR="003D3B20" w:rsidRDefault="003D3B20">
            <w:pPr>
              <w:pStyle w:val="normal0"/>
              <w:widowControl w:val="0"/>
              <w:spacing w:after="0" w:line="240" w:lineRule="auto"/>
              <w:jc w:val="center"/>
            </w:pPr>
          </w:p>
          <w:p w:rsidR="003D3B20" w:rsidRDefault="003D3B20">
            <w:pPr>
              <w:pStyle w:val="normal0"/>
              <w:widowControl w:val="0"/>
              <w:spacing w:after="0" w:line="240" w:lineRule="auto"/>
              <w:jc w:val="center"/>
            </w:pPr>
          </w:p>
          <w:p w:rsidR="003D3B20" w:rsidRDefault="003D3B20">
            <w:pPr>
              <w:pStyle w:val="normal0"/>
              <w:widowControl w:val="0"/>
              <w:spacing w:after="0" w:line="240" w:lineRule="auto"/>
              <w:jc w:val="center"/>
            </w:pPr>
          </w:p>
          <w:p w:rsidR="003D3B20" w:rsidRDefault="007B6C3C">
            <w:pPr>
              <w:pStyle w:val="normal0"/>
              <w:widowControl w:val="0"/>
              <w:spacing w:after="0" w:line="240" w:lineRule="auto"/>
              <w:jc w:val="center"/>
            </w:pPr>
            <w:r>
              <w:rPr>
                <w:b/>
              </w:rPr>
              <w:t>Information Literacy</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Citation</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1a - Analyze, synthesize, and/or evaluate ideas, concepts and/or evidence.</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43%</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47%</w:t>
            </w:r>
          </w:p>
        </w:tc>
      </w:tr>
      <w:tr w:rsidR="003D3B20">
        <w:trPr>
          <w:trHeight w:val="420"/>
        </w:trPr>
        <w:tc>
          <w:tcPr>
            <w:tcW w:w="1872" w:type="dxa"/>
            <w:vMerge/>
            <w:tcMar>
              <w:top w:w="100" w:type="dxa"/>
              <w:left w:w="100" w:type="dxa"/>
              <w:bottom w:w="100" w:type="dxa"/>
              <w:right w:w="100" w:type="dxa"/>
            </w:tcMar>
          </w:tcPr>
          <w:p w:rsidR="003D3B20" w:rsidRDefault="003D3B20">
            <w:pPr>
              <w:pStyle w:val="normal0"/>
              <w:widowControl w:val="0"/>
              <w:spacing w:after="0" w:line="240" w:lineRule="auto"/>
            </w:pP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Evaluating Assumptions</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1a - Analyze, synthesize, and/or evaluate ideas, concepts, and/or evidence.</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42%</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34%</w:t>
            </w:r>
          </w:p>
        </w:tc>
      </w:tr>
      <w:tr w:rsidR="003D3B20">
        <w:trPr>
          <w:trHeight w:val="420"/>
        </w:trPr>
        <w:tc>
          <w:tcPr>
            <w:tcW w:w="1872" w:type="dxa"/>
            <w:vMerge/>
            <w:tcMar>
              <w:top w:w="100" w:type="dxa"/>
              <w:left w:w="100" w:type="dxa"/>
              <w:bottom w:w="100" w:type="dxa"/>
              <w:right w:w="100" w:type="dxa"/>
            </w:tcMar>
          </w:tcPr>
          <w:p w:rsidR="003D3B20" w:rsidRDefault="003D3B20">
            <w:pPr>
              <w:pStyle w:val="normal0"/>
              <w:widowControl w:val="0"/>
              <w:spacing w:after="0" w:line="240" w:lineRule="auto"/>
            </w:pP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Identifying Key Concepts and Sources</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1b - Describe diverse aspects of a discipline using discipline-specific concepts.</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47%</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44%</w:t>
            </w:r>
          </w:p>
        </w:tc>
      </w:tr>
      <w:tr w:rsidR="003D3B20">
        <w:trPr>
          <w:trHeight w:val="420"/>
        </w:trPr>
        <w:tc>
          <w:tcPr>
            <w:tcW w:w="1872" w:type="dxa"/>
            <w:vMerge/>
            <w:tcMar>
              <w:top w:w="100" w:type="dxa"/>
              <w:left w:w="100" w:type="dxa"/>
              <w:bottom w:w="100" w:type="dxa"/>
              <w:right w:w="100" w:type="dxa"/>
            </w:tcMar>
          </w:tcPr>
          <w:p w:rsidR="003D3B20" w:rsidRDefault="003D3B20">
            <w:pPr>
              <w:pStyle w:val="normal0"/>
              <w:widowControl w:val="0"/>
              <w:spacing w:after="0" w:line="240" w:lineRule="auto"/>
            </w:pP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Selecting Appropriate Sources</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1b - Describe diverse aspects of a discipline using discipline-specific concepts.</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65%</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54%</w:t>
            </w:r>
          </w:p>
        </w:tc>
      </w:tr>
      <w:tr w:rsidR="003D3B20">
        <w:trPr>
          <w:trHeight w:val="420"/>
        </w:trPr>
        <w:tc>
          <w:tcPr>
            <w:tcW w:w="1872" w:type="dxa"/>
            <w:vMerge/>
            <w:tcMar>
              <w:top w:w="100" w:type="dxa"/>
              <w:left w:w="100" w:type="dxa"/>
              <w:bottom w:w="100" w:type="dxa"/>
              <w:right w:w="100" w:type="dxa"/>
            </w:tcMar>
          </w:tcPr>
          <w:p w:rsidR="003D3B20" w:rsidRDefault="003D3B20">
            <w:pPr>
              <w:pStyle w:val="normal0"/>
              <w:widowControl w:val="0"/>
              <w:spacing w:after="0" w:line="240" w:lineRule="auto"/>
            </w:pP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Types of Source Materials</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1c - Apply appropriate problem-solving strategies to discipline-specific issues.</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53%</w:t>
            </w:r>
          </w:p>
        </w:tc>
        <w:tc>
          <w:tcPr>
            <w:tcW w:w="1872" w:type="dxa"/>
            <w:tcMar>
              <w:top w:w="100" w:type="dxa"/>
              <w:left w:w="100" w:type="dxa"/>
              <w:bottom w:w="100" w:type="dxa"/>
              <w:right w:w="100" w:type="dxa"/>
            </w:tcMar>
          </w:tcPr>
          <w:p w:rsidR="003D3B20" w:rsidRDefault="007B6C3C">
            <w:pPr>
              <w:pStyle w:val="normal0"/>
              <w:widowControl w:val="0"/>
              <w:spacing w:after="0" w:line="240" w:lineRule="auto"/>
              <w:jc w:val="center"/>
            </w:pPr>
            <w:r>
              <w:t>63%</w:t>
            </w:r>
          </w:p>
        </w:tc>
      </w:tr>
    </w:tbl>
    <w:p w:rsidR="003D3B20" w:rsidRDefault="003D3B20">
      <w:pPr>
        <w:pStyle w:val="normal0"/>
      </w:pPr>
      <w:bookmarkStart w:id="2" w:name="h.gjdgxs" w:colFirst="0" w:colLast="0"/>
      <w:bookmarkEnd w:id="2"/>
    </w:p>
    <w:p w:rsidR="003D3B20" w:rsidRDefault="007B6C3C">
      <w:pPr>
        <w:pStyle w:val="normal0"/>
        <w:ind w:firstLine="720"/>
      </w:pPr>
      <w:r>
        <w:t>As the University works to conclude its self-study, Salisbury University</w:t>
      </w:r>
      <w:r>
        <w:t xml:space="preserve"> librarians resolved to enact changes that would enhance library instruction right away. Although the library literature is rife with ideas about how to enhance library instruction, we were not able to find much discussion about library instruction strateg</w:t>
      </w:r>
      <w:r>
        <w:t>ies that privilege research processes over research products. It wasn’t until we extended our search beyond the library discourse that we found Jan Meyer and Ray Land’s 2003 article entitled, “Threshold Concepts and Troublesome Knowledge: Linkages to Think</w:t>
      </w:r>
      <w:r>
        <w:t>ing and Practicing within the Disciplines,”</w:t>
      </w:r>
      <w:r>
        <w:rPr>
          <w:vertAlign w:val="superscript"/>
        </w:rPr>
        <w:footnoteReference w:id="5"/>
      </w:r>
      <w:r>
        <w:t xml:space="preserve"> which describes ways of thinking about ideas that students learn as they make their way through an academic discipline curriculum as “gateways” (2003). From this article, we learned that threshold concepts could</w:t>
      </w:r>
      <w:r>
        <w:t xml:space="preserve"> be used at the macro level, to identify gateway courses within curricula. They could also be used at the course level to pinpoint gateway concepts that students should learn in one course before moving on to the next.  The librarians at SU identified Engl</w:t>
      </w:r>
      <w:r>
        <w:t xml:space="preserve">ish 103 (ENGL 103) as one such gateway course, which seeks to introduce students to gateway research concepts.  </w:t>
      </w:r>
    </w:p>
    <w:p w:rsidR="003D3B20" w:rsidRDefault="007B6C3C">
      <w:pPr>
        <w:pStyle w:val="normal0"/>
      </w:pPr>
      <w:r>
        <w:rPr>
          <w:b/>
        </w:rPr>
        <w:t>Re-Designing ENGL 103 Library Instruction using “Information Creation as a Process”</w:t>
      </w:r>
    </w:p>
    <w:p w:rsidR="003D3B20" w:rsidRDefault="007B6C3C">
      <w:pPr>
        <w:pStyle w:val="normal0"/>
        <w:ind w:firstLine="720"/>
      </w:pPr>
      <w:r>
        <w:t>ENGL 103: Composition and Research is a General Education r</w:t>
      </w:r>
      <w:r>
        <w:t>equirement that most freshmen take during their first year at Salisbury University. The course introduces students to college research writing through the use of sequenced assignments. Course Goals and Objectives include:</w:t>
      </w:r>
    </w:p>
    <w:p w:rsidR="003D3B20" w:rsidRDefault="007B6C3C">
      <w:pPr>
        <w:pStyle w:val="normal0"/>
        <w:numPr>
          <w:ilvl w:val="0"/>
          <w:numId w:val="4"/>
        </w:numPr>
        <w:spacing w:after="0"/>
        <w:ind w:hanging="360"/>
        <w:contextualSpacing/>
      </w:pPr>
      <w:r>
        <w:t>Thinking logically and critically</w:t>
      </w:r>
    </w:p>
    <w:p w:rsidR="003D3B20" w:rsidRDefault="007B6C3C">
      <w:pPr>
        <w:pStyle w:val="normal0"/>
        <w:numPr>
          <w:ilvl w:val="0"/>
          <w:numId w:val="4"/>
        </w:numPr>
        <w:spacing w:after="0"/>
        <w:ind w:hanging="360"/>
        <w:contextualSpacing/>
      </w:pPr>
      <w:r>
        <w:t>Draw on the library and its resources for research and writing</w:t>
      </w:r>
    </w:p>
    <w:p w:rsidR="003D3B20" w:rsidRDefault="007B6C3C">
      <w:pPr>
        <w:pStyle w:val="normal0"/>
        <w:numPr>
          <w:ilvl w:val="0"/>
          <w:numId w:val="4"/>
        </w:numPr>
        <w:spacing w:after="0"/>
        <w:ind w:hanging="360"/>
        <w:contextualSpacing/>
      </w:pPr>
      <w:r>
        <w:t>Summarize, paraphrase, and evaluate and incorporate textual evidence –including evidence that presents opposing views –into writing.</w:t>
      </w:r>
    </w:p>
    <w:p w:rsidR="003D3B20" w:rsidRDefault="007B6C3C">
      <w:pPr>
        <w:pStyle w:val="normal0"/>
        <w:numPr>
          <w:ilvl w:val="0"/>
          <w:numId w:val="4"/>
        </w:numPr>
        <w:spacing w:after="0"/>
        <w:ind w:hanging="360"/>
        <w:contextualSpacing/>
      </w:pPr>
      <w:r>
        <w:t>Find, evaluate, and use sources from the library and online.</w:t>
      </w:r>
    </w:p>
    <w:p w:rsidR="003D3B20" w:rsidRDefault="007B6C3C">
      <w:pPr>
        <w:pStyle w:val="normal0"/>
        <w:numPr>
          <w:ilvl w:val="0"/>
          <w:numId w:val="4"/>
        </w:numPr>
        <w:ind w:hanging="360"/>
        <w:contextualSpacing/>
      </w:pPr>
      <w:r>
        <w:t xml:space="preserve">Write analytical and critical papers that defend a thesis with specific evidence including evidence from library and online sources. </w:t>
      </w:r>
      <w:r>
        <w:rPr>
          <w:vertAlign w:val="superscript"/>
        </w:rPr>
        <w:footnoteReference w:id="6"/>
      </w:r>
    </w:p>
    <w:p w:rsidR="003D3B20" w:rsidRDefault="007B6C3C">
      <w:pPr>
        <w:pStyle w:val="normal0"/>
      </w:pPr>
      <w:r>
        <w:t>With our gateway course selected, the librarians started to identify research ideas and tasks that are troublesome for E</w:t>
      </w:r>
      <w:r>
        <w:t>NGL 103 students. Our attention to identifying troublesome ideas coincided with a timely publication -- Hofer, Townsend, and Brunetti’s “Troublesome Concepts and Information Literacy: Investigating Threshold Concepts for IL Instruction,” which explains “By</w:t>
      </w:r>
      <w:r>
        <w:t xml:space="preserve"> looking closely at the places where students struggle the most, librarians can use their classroom observations and disciplinary expertise to theorize about where students get stuck and why.”</w:t>
      </w:r>
      <w:r>
        <w:rPr>
          <w:vertAlign w:val="superscript"/>
        </w:rPr>
        <w:footnoteReference w:id="7"/>
      </w:r>
      <w:r>
        <w:t xml:space="preserve"> Using our classroom observations from earlier years supporting</w:t>
      </w:r>
      <w:r>
        <w:t xml:space="preserve"> our choosing this course as a gateway candidate, we immediately identified several places where ENGL 103 students get stuck. We then used our disciplinary expertise to strategize about how these sticky areas could likely be addressed during library instru</w:t>
      </w:r>
      <w:r>
        <w:t>ction.</w:t>
      </w:r>
    </w:p>
    <w:p w:rsidR="003D3B20" w:rsidRDefault="007B6C3C">
      <w:pPr>
        <w:pStyle w:val="normal0"/>
      </w:pPr>
      <w:r>
        <w:tab/>
        <w:t>ENGL 103 library instruction sessions are timed so that each student has already chosen a general research topic, and an Annotated Bibliography assignment has been distributed and discussed in class. By the time a class receives library instruction</w:t>
      </w:r>
      <w:r>
        <w:t>, students should understand the assignment and have some topic possibilities in mind. However, librarians have frequently encountered students who are overwhelmed before, during, and after library instruction is provided. Over the years, students have tol</w:t>
      </w:r>
      <w:r>
        <w:t>d us outright in the classroom, in research consultations by appointment, by phone and email, and at the reference desk:</w:t>
      </w:r>
    </w:p>
    <w:p w:rsidR="003D3B20" w:rsidRDefault="007B6C3C">
      <w:pPr>
        <w:pStyle w:val="normal0"/>
      </w:pPr>
      <w:r>
        <w:t>“Just knowing where to start” has been the biggest challenge at the beginning of the semester, along with “how to find sources” and “wh</w:t>
      </w:r>
      <w:r>
        <w:t>ere to find sources.”</w:t>
      </w:r>
    </w:p>
    <w:p w:rsidR="003D3B20" w:rsidRDefault="007B6C3C">
      <w:pPr>
        <w:pStyle w:val="normal0"/>
      </w:pPr>
      <w:r>
        <w:t>“Whether or not I’m on track, and where I should end up” toward the middle of the semester.</w:t>
      </w:r>
    </w:p>
    <w:p w:rsidR="003D3B20" w:rsidRDefault="007B6C3C">
      <w:pPr>
        <w:pStyle w:val="normal0"/>
      </w:pPr>
      <w:r>
        <w:t>“How to find sources” and “where  to find sources” are two interrelated challenges. After selecting research topics, ENGL 103 students find it</w:t>
      </w:r>
      <w:r>
        <w:t xml:space="preserve"> difficult to know what are appropriate research sources and where to best look for them. They must meet the information quality requirements of the assignment while also finding sources that will eventually be used as evidence to support arguments related</w:t>
      </w:r>
      <w:r>
        <w:t xml:space="preserve"> to their topics. It is troublesome that when they receive their assignment, many students expect that a research paper will simply contain quotations or paraphrases from sources, with the author’s voice serving merely as a transition between blocks of tex</w:t>
      </w:r>
      <w:r>
        <w:t>t from source to source. Students pass through a threshold when they understand that their job as a researcher involves thinking critically about a topic of interest, arguing one side or the other using their authorial voice; that an “expert” external  sou</w:t>
      </w:r>
      <w:r>
        <w:t xml:space="preserve">rce is a kind of bullhorn that makes their voice louder, or more convincing. Once students understand the concept of source-use, they become more interested in finding good evidence.  </w:t>
      </w:r>
    </w:p>
    <w:p w:rsidR="003D3B20" w:rsidRDefault="007B6C3C">
      <w:pPr>
        <w:pStyle w:val="normal0"/>
        <w:ind w:firstLine="720"/>
      </w:pPr>
      <w:r>
        <w:t xml:space="preserve">SU librarians recognized that they can help students not only find the </w:t>
      </w:r>
      <w:r>
        <w:t>sources that are required in an assignment, but also teach them about the sources and how to use those sources. Using Hofer, Townsend, &amp; Brunetti’s proposed concept “Format as a Process” (which ACRL adapted and renamed  “Information Creation as a Process”)</w:t>
      </w:r>
      <w:r>
        <w:t xml:space="preserve"> we designed a library instruction outline that considers research and writing as one inseparable activity that takes place during a recursive process. In order to give students a foothold to begin the assignment, we identified key stages of the research p</w:t>
      </w:r>
      <w:r>
        <w:t>rocess to help them initiate the first assignment, which is often an annotated bibliography. We introduce these stages to students as A Basic Research Approach. Each stage of the Approach is accentuated by an information source type. Librarians use the App</w:t>
      </w:r>
      <w:r>
        <w:t>roach to teach the “aboutness” and possible uses of each information source type using Bizup’s B.E.A.M</w:t>
      </w:r>
      <w:r>
        <w:rPr>
          <w:vertAlign w:val="superscript"/>
        </w:rPr>
        <w:footnoteReference w:id="8"/>
      </w:r>
      <w:r>
        <w:t xml:space="preserve"> schema. BEAM, which stands for Background sources, Exhibits or Evidence derived from exhibits, Argument sources, Method or Theory sources (references, c</w:t>
      </w:r>
      <w:r>
        <w:t xml:space="preserve">itations), was developed in 2008 to help composition instructors teach students how to understand and use different types of information for different research-oriented purposes. </w:t>
      </w:r>
    </w:p>
    <w:p w:rsidR="003D3B20" w:rsidRDefault="007B6C3C">
      <w:pPr>
        <w:pStyle w:val="normal0"/>
      </w:pPr>
      <w:r>
        <w:t>A Basic Research Approach for students of ENGL 103 includes:</w:t>
      </w:r>
    </w:p>
    <w:p w:rsidR="003D3B20" w:rsidRDefault="007B6C3C">
      <w:pPr>
        <w:pStyle w:val="normal0"/>
        <w:numPr>
          <w:ilvl w:val="0"/>
          <w:numId w:val="3"/>
        </w:numPr>
        <w:spacing w:after="0"/>
        <w:ind w:hanging="360"/>
        <w:contextualSpacing/>
      </w:pPr>
      <w:r>
        <w:t>Explore topic b</w:t>
      </w:r>
      <w:r>
        <w:t>asics &amp; primary sources (the open web)</w:t>
      </w:r>
    </w:p>
    <w:p w:rsidR="003D3B20" w:rsidRDefault="007B6C3C">
      <w:pPr>
        <w:pStyle w:val="normal0"/>
        <w:numPr>
          <w:ilvl w:val="0"/>
          <w:numId w:val="3"/>
        </w:numPr>
        <w:spacing w:after="0"/>
        <w:ind w:hanging="360"/>
        <w:contextualSpacing/>
      </w:pPr>
      <w:r>
        <w:t>Background (academic library catalog: books)</w:t>
      </w:r>
    </w:p>
    <w:p w:rsidR="003D3B20" w:rsidRDefault="007B6C3C">
      <w:pPr>
        <w:pStyle w:val="normal0"/>
        <w:numPr>
          <w:ilvl w:val="0"/>
          <w:numId w:val="3"/>
        </w:numPr>
        <w:spacing w:after="0"/>
        <w:ind w:hanging="360"/>
        <w:contextualSpacing/>
      </w:pPr>
      <w:r>
        <w:t>Scholarly conversations (academic library databases: journal articles)</w:t>
      </w:r>
    </w:p>
    <w:p w:rsidR="003D3B20" w:rsidRDefault="007B6C3C">
      <w:pPr>
        <w:pStyle w:val="normal0"/>
        <w:numPr>
          <w:ilvl w:val="0"/>
          <w:numId w:val="3"/>
        </w:numPr>
        <w:spacing w:after="0"/>
        <w:ind w:hanging="360"/>
        <w:contextualSpacing/>
      </w:pPr>
      <w:r>
        <w:t>Support your argument (source citation)</w:t>
      </w:r>
    </w:p>
    <w:p w:rsidR="003D3B20" w:rsidRDefault="007B6C3C">
      <w:pPr>
        <w:pStyle w:val="normal0"/>
        <w:numPr>
          <w:ilvl w:val="0"/>
          <w:numId w:val="3"/>
        </w:numPr>
        <w:ind w:hanging="360"/>
        <w:contextualSpacing/>
      </w:pPr>
      <w:r>
        <w:t>Drafts &amp; revisions (research librarians, writing center)</w:t>
      </w:r>
    </w:p>
    <w:p w:rsidR="003D3B20" w:rsidRDefault="007B6C3C">
      <w:pPr>
        <w:pStyle w:val="normal0"/>
      </w:pPr>
      <w:r>
        <w:t>Stud</w:t>
      </w:r>
      <w:r>
        <w:t>ents appreciate the Basic Research Approach described above since it directly addresses their first troublesome area of “just getting started” and gives them clear steps with which to move forward. Students also indicated that “staying on track” was troubl</w:t>
      </w:r>
      <w:r>
        <w:t xml:space="preserve">esome as they continue work on their research projects post-library instruction. While SU librarians have used online guides to deliver instruction in the past, these guides  were heavily influenced by the old tools-centered training approach without much </w:t>
      </w:r>
      <w:r>
        <w:t>consideration beyond connecting students to lists of tools and the contents within. In her article, “LibGuides: Pedagogy to Oppress,” Alison Hicks argues that by teaching from the same online spaces that are essentially tool repositories, library instructo</w:t>
      </w:r>
      <w:r>
        <w:t>rs send a message to students that research is “static and linear.”</w:t>
      </w:r>
      <w:r>
        <w:rPr>
          <w:vertAlign w:val="superscript"/>
        </w:rPr>
        <w:footnoteReference w:id="9"/>
      </w:r>
      <w:r>
        <w:t xml:space="preserve"> Using online guides as a research instruction platform can be effective, Hicks explains, if they are designed to reflect how research is conducted as a series of processes. Toward the goa</w:t>
      </w:r>
      <w:r>
        <w:t xml:space="preserve">l of offering continuous assistance beyond the one shot session, we designed an online research guide for ENGL 103 that serves several purposes. The guide is the librarians’ teaching outline, it is a learning object that emphasizes the idea of small steps </w:t>
      </w:r>
      <w:r>
        <w:t xml:space="preserve">within a larger process, and it contains embedded search tools to conduct real work, and it is a road map that students can refer to throughout each draft and revision of their research assignment. </w:t>
      </w:r>
    </w:p>
    <w:p w:rsidR="003D3B20" w:rsidRDefault="007B6C3C">
      <w:pPr>
        <w:pStyle w:val="normal0"/>
        <w:ind w:firstLine="720"/>
      </w:pPr>
      <w:r>
        <w:t xml:space="preserve">The use of an online guide as an instructional tool is a </w:t>
      </w:r>
      <w:r>
        <w:t>common librarian practice, but using threshold concepts to influence the design of a course research guide is innovative. The ENGL 103 Research Guide was designed so that navigation to content aligns with our five Basic Research Approach stages. Consequent</w:t>
      </w:r>
      <w:r>
        <w:t>ly, each page of the guide has been influenced by the Information Creation as a Process, focusing information source types and the context and concepts surrounding them, including tips about how the sources may be used effectively at each stage of the rese</w:t>
      </w:r>
      <w:r>
        <w:t>arch process (Figure 2). During the ENGL 103 library instruction session, students are introduced to the Basic Research Approach as it relates to class assignments – most immediately the annotated bibliography, and later, a larger evidence-based argumentat</w:t>
      </w:r>
      <w:r>
        <w:t>ive essay. Librarians start each instruction session by reviewing the rules of the annotated bibliography assignment with the class; students are asked to pay particular attention to information source requirements that include expectations of source quali</w:t>
      </w:r>
      <w:r>
        <w:t>ty, and the need to attribute credit to sources using MLA style. We relate these requirements to the 5 Basic Research Approach stages. Students are then asked to log into a bibliographic management system before the librarian leads the class from tab to ta</w:t>
      </w:r>
      <w:r>
        <w:t>b through the Approach stages. Each tab within the online course guide reflects contains teachable moments for both the conceptual, contextual (Information Creation as a Process and Bizup’s BEAM), and the mechanical (tools).</w:t>
      </w:r>
    </w:p>
    <w:p w:rsidR="003D3B20" w:rsidRDefault="007B6C3C">
      <w:pPr>
        <w:pStyle w:val="normal0"/>
        <w:spacing w:after="0" w:line="240" w:lineRule="auto"/>
      </w:pPr>
      <w:r>
        <w:rPr>
          <w:b/>
        </w:rPr>
        <w:t>Explore topic basics &amp;</w:t>
      </w:r>
      <w:r>
        <w:rPr>
          <w:b/>
        </w:rPr>
        <w:t xml:space="preserve"> primary sources (the open web)</w:t>
      </w:r>
    </w:p>
    <w:p w:rsidR="003D3B20" w:rsidRDefault="003D3B20">
      <w:pPr>
        <w:pStyle w:val="normal0"/>
        <w:spacing w:after="0" w:line="240" w:lineRule="auto"/>
      </w:pPr>
    </w:p>
    <w:p w:rsidR="003D3B20" w:rsidRDefault="007B6C3C">
      <w:pPr>
        <w:pStyle w:val="normal0"/>
        <w:spacing w:after="0" w:line="240" w:lineRule="auto"/>
      </w:pPr>
      <w:r>
        <w:rPr>
          <w:i/>
        </w:rPr>
        <w:t>Concepts/context:</w:t>
      </w:r>
      <w:r>
        <w:t xml:space="preserve"> This Basic Research Approach step is an acknowledgement that students have chosen topics about which they are not experts. Searching the open web, we assert, is a natural first response when people want to</w:t>
      </w:r>
      <w:r>
        <w:t xml:space="preserve"> learn more about something new to them. At this point in the semester, many ENGL 103 students have identified  topics and keywords that they can use to start searching. Librarians use a specific video game that is notorious for containing gratuitous viole</w:t>
      </w:r>
      <w:r>
        <w:t>nce as our own example of a research topic. The librarian points out that we have selected a topic of interest - found in a popular news article -  and we are simply gathering more information about it. No argument is yet being made on our part, but rather</w:t>
      </w:r>
      <w:r>
        <w:t xml:space="preserve">, we are simply discovering that arguments about this video game exist. This preliminary step of searching and thinking about a topic on the open web moves from “casual” to “academic” when the researcher begins to more intentionally seek out authoritative </w:t>
      </w:r>
      <w:r>
        <w:t>and scholarly sources in books and journal articles.  By working with the students in this Basic Research Approach method, we can easily show the students how this casual exploration first step leads naturally to the next more scholarly one of searching fo</w:t>
      </w:r>
      <w:r>
        <w:t xml:space="preserve">r sources in book and journal articles.  </w:t>
      </w:r>
    </w:p>
    <w:p w:rsidR="003D3B20" w:rsidRDefault="003D3B20">
      <w:pPr>
        <w:pStyle w:val="normal0"/>
        <w:spacing w:after="0" w:line="240" w:lineRule="auto"/>
      </w:pPr>
    </w:p>
    <w:p w:rsidR="003D3B20" w:rsidRDefault="007B6C3C">
      <w:pPr>
        <w:pStyle w:val="normal0"/>
      </w:pPr>
      <w:r>
        <w:rPr>
          <w:i/>
        </w:rPr>
        <w:t>Tools</w:t>
      </w:r>
      <w:r>
        <w:t>: Students are asked to distill topic statements into keywords with a short anecdote about how electronic search tools use metadata to identify information sources that are relevant. Librarians work  to get s</w:t>
      </w:r>
      <w:r>
        <w:t xml:space="preserve">tudents to think about their topic in broader and narrower terms. </w:t>
      </w:r>
    </w:p>
    <w:p w:rsidR="003D3B20" w:rsidRDefault="007B6C3C">
      <w:pPr>
        <w:pStyle w:val="normal0"/>
        <w:spacing w:after="0" w:line="240" w:lineRule="auto"/>
      </w:pPr>
      <w:r>
        <w:rPr>
          <w:b/>
        </w:rPr>
        <w:t>Background (academic library catalog: books)</w:t>
      </w:r>
    </w:p>
    <w:p w:rsidR="003D3B20" w:rsidRDefault="003D3B20">
      <w:pPr>
        <w:pStyle w:val="normal0"/>
        <w:spacing w:after="0" w:line="240" w:lineRule="auto"/>
      </w:pPr>
    </w:p>
    <w:p w:rsidR="003D3B20" w:rsidRDefault="007B6C3C">
      <w:pPr>
        <w:pStyle w:val="normal0"/>
        <w:spacing w:after="0" w:line="240" w:lineRule="auto"/>
      </w:pPr>
      <w:r>
        <w:rPr>
          <w:i/>
        </w:rPr>
        <w:t>Concepts/context:</w:t>
      </w:r>
      <w:r>
        <w:t xml:space="preserve"> The next step that students can take, we explain, is to find book sources that (a.) can be used early in the research process</w:t>
      </w:r>
      <w:r>
        <w:t xml:space="preserve"> to fill in knowledge gaps about the topic, and/or (b.) are often used as sources that contain well-established facts and information that can be used to help frame or lend context to an argument. Librarians can teach students with the context they need in</w:t>
      </w:r>
      <w:r>
        <w:t xml:space="preserve"> order to decide when and how, or, whether or not to use this source type. We explain that one rarely reads a 400 page monograph to learn about a  topic. Instead, it is practical to “mine” books for the most relevant pieces of information that can be used,</w:t>
      </w:r>
      <w:r>
        <w:t xml:space="preserve"> emphasizing that books, with their broad swaths of information are not always an effective tool when digested whole. To use them  efficiently, students can refer to  the table of contents and index as tools to locate specific bits and pieces of informatio</w:t>
      </w:r>
      <w:r>
        <w:t>n within the book. As a precursor to the next research step on our list, the  librarian points out to the class that using books to learn a bit more about the history of a topic may be helpful preparation for finding “conversations” that occur within perio</w:t>
      </w:r>
      <w:r>
        <w:t xml:space="preserve">dical articles. </w:t>
      </w:r>
    </w:p>
    <w:p w:rsidR="003D3B20" w:rsidRDefault="003D3B20">
      <w:pPr>
        <w:pStyle w:val="normal0"/>
        <w:spacing w:after="0" w:line="240" w:lineRule="auto"/>
      </w:pPr>
    </w:p>
    <w:p w:rsidR="003D3B20" w:rsidRDefault="007B6C3C">
      <w:pPr>
        <w:pStyle w:val="normal0"/>
        <w:spacing w:after="0" w:line="240" w:lineRule="auto"/>
      </w:pPr>
      <w:r>
        <w:rPr>
          <w:i/>
        </w:rPr>
        <w:t>Tools:</w:t>
      </w:r>
      <w:r>
        <w:t xml:space="preserve"> Librarians ask students to use keywords to find a book in the library catalog. Librarians provide tools-training on library catalog features, and we briefly demonstrate the use of a book’s table of contents and index. Students are </w:t>
      </w:r>
      <w:r>
        <w:t xml:space="preserve">given time to find a book that seems potentially useful based on title, scope notes, table of contents, and practice exporting their identified book’s MLA citation to their bibliographic management account. Librarians make the point that this is the first </w:t>
      </w:r>
      <w:r>
        <w:t xml:space="preserve">draft of the annotated bib, and it is likely that the book they’ve exported to their accounts may be exchanged for better ones in future drafts, but that keeping careful notes and records on all the resources found is nonetheless an invaluable part of the </w:t>
      </w:r>
      <w:r>
        <w:t xml:space="preserve">overall research process. </w:t>
      </w:r>
    </w:p>
    <w:p w:rsidR="003D3B20" w:rsidRDefault="003D3B20">
      <w:pPr>
        <w:pStyle w:val="normal0"/>
        <w:spacing w:after="0" w:line="240" w:lineRule="auto"/>
      </w:pPr>
    </w:p>
    <w:p w:rsidR="003D3B20" w:rsidRDefault="007B6C3C">
      <w:pPr>
        <w:pStyle w:val="normal0"/>
        <w:spacing w:after="0" w:line="240" w:lineRule="auto"/>
      </w:pPr>
      <w:r>
        <w:rPr>
          <w:b/>
        </w:rPr>
        <w:t>Scholarly conversations (academic library databases: journal articles)</w:t>
      </w:r>
    </w:p>
    <w:p w:rsidR="003D3B20" w:rsidRDefault="003D3B20">
      <w:pPr>
        <w:pStyle w:val="normal0"/>
        <w:spacing w:after="0" w:line="240" w:lineRule="auto"/>
      </w:pPr>
    </w:p>
    <w:p w:rsidR="003D3B20" w:rsidRDefault="007B6C3C">
      <w:pPr>
        <w:pStyle w:val="normal0"/>
        <w:spacing w:after="0" w:line="240" w:lineRule="auto"/>
      </w:pPr>
      <w:r>
        <w:rPr>
          <w:i/>
        </w:rPr>
        <w:t>Concepts/context:</w:t>
      </w:r>
      <w:r>
        <w:t xml:space="preserve"> Once students have done some “due diligence” to learn their topic’s background, they are likely to begin to develop an opinion about it, a</w:t>
      </w:r>
      <w:r>
        <w:t>nd they can also begin to see other points of view from all sides of their chosen topic.. Librarians explain that there are “conversations” taking place on ideas and concepts and theories  published within periodicals, and these journal-based conversations</w:t>
      </w:r>
      <w:r>
        <w:t xml:space="preserve"> very often tend to be fast paced and up to date. Depending on the venue and topic, periodical articles can contain very specific information; diving into scholarly discussions without knowing more about the general topic is akin to walking into the middle</w:t>
      </w:r>
      <w:r>
        <w:t xml:space="preserve"> of a conversation between two experts you know little or nothing about, which can be confusing to interpret and even more confusing to know how to use effectively in an evidence-based argument. Considering Bizup’s distinction between Exhibit/Evidence and </w:t>
      </w:r>
      <w:r>
        <w:t>Argument sources, we chose to focus our library instruction mainly on argument-oriented articles, while making important distinctions between the types of periodical articles.</w:t>
      </w:r>
    </w:p>
    <w:p w:rsidR="003D3B20" w:rsidRDefault="003D3B20">
      <w:pPr>
        <w:pStyle w:val="normal0"/>
        <w:spacing w:after="0" w:line="240" w:lineRule="auto"/>
      </w:pPr>
    </w:p>
    <w:p w:rsidR="003D3B20" w:rsidRDefault="007B6C3C">
      <w:pPr>
        <w:pStyle w:val="normal0"/>
        <w:spacing w:line="240" w:lineRule="auto"/>
      </w:pPr>
      <w:r>
        <w:rPr>
          <w:i/>
        </w:rPr>
        <w:t>Tools:</w:t>
      </w:r>
      <w:r>
        <w:t xml:space="preserve"> Students are given time to use their keywords in a multi-disciplinary da</w:t>
      </w:r>
      <w:r>
        <w:t xml:space="preserve">tabase to find one relevant article and export it to their bib management account. At this point in the lesson, it is convenient to show differences between book and article citations in MLA style as a broader teaching moment.  As students explore journal </w:t>
      </w:r>
      <w:r>
        <w:t>articles, they often discover that given the specificity and exactness of periodical “conversations”, they must accordingly adapt their search terms to be broader or narrower. Librarians also take this time to provide tools-training on database features.</w:t>
      </w:r>
    </w:p>
    <w:p w:rsidR="003D3B20" w:rsidRDefault="007B6C3C">
      <w:pPr>
        <w:pStyle w:val="normal0"/>
        <w:spacing w:after="0" w:line="240" w:lineRule="auto"/>
      </w:pPr>
      <w:r>
        <w:rPr>
          <w:b/>
        </w:rPr>
        <w:t>Support your argument (source citation)</w:t>
      </w:r>
    </w:p>
    <w:p w:rsidR="003D3B20" w:rsidRDefault="003D3B20">
      <w:pPr>
        <w:pStyle w:val="normal0"/>
        <w:spacing w:after="0" w:line="240" w:lineRule="auto"/>
      </w:pPr>
    </w:p>
    <w:p w:rsidR="003D3B20" w:rsidRDefault="007B6C3C">
      <w:pPr>
        <w:pStyle w:val="normal0"/>
        <w:spacing w:after="0" w:line="240" w:lineRule="auto"/>
      </w:pPr>
      <w:r>
        <w:rPr>
          <w:i/>
        </w:rPr>
        <w:t>Concepts/context:</w:t>
      </w:r>
      <w:r>
        <w:t xml:space="preserve"> This stage of the process is useful in two ways. It is a prompt that librarians use to teach students about the annotated bibliography; what it is; how it is used by researchers; what should their </w:t>
      </w:r>
      <w:r>
        <w:t>annotations be about and why. During each stage of the library instruction session, students are given time to explore and gather sources and to document those sources using a campus-licensed citation management system that is integrated into the library c</w:t>
      </w:r>
      <w:r>
        <w:t xml:space="preserve">atalog and electronic resources. The citation management system can also be used to create in-text parenthetical citations during the drafting process, and this can be a springboard into a discussion about plagiarism. </w:t>
      </w:r>
    </w:p>
    <w:p w:rsidR="003D3B20" w:rsidRDefault="003D3B20">
      <w:pPr>
        <w:pStyle w:val="normal0"/>
        <w:spacing w:after="0" w:line="240" w:lineRule="auto"/>
      </w:pPr>
    </w:p>
    <w:p w:rsidR="003D3B20" w:rsidRDefault="007B6C3C">
      <w:pPr>
        <w:pStyle w:val="normal0"/>
      </w:pPr>
      <w:r>
        <w:rPr>
          <w:i/>
        </w:rPr>
        <w:t>Tools:</w:t>
      </w:r>
      <w:r>
        <w:t xml:space="preserve"> This is also a reminder to st</w:t>
      </w:r>
      <w:r>
        <w:t>udents of the importance of accurate source attribution and that no technology is perfect, and as such, they need to double-check the citations using the course textbook’s style guide. These papers go to  their professor for a grade, but they should preten</w:t>
      </w:r>
      <w:r>
        <w:t>d that they  are presenting their  research at a professional conference full of experts.   While their completed statement papers ultimately end up in the hands of their professors for a grade, we remind the students that they should always research and w</w:t>
      </w:r>
      <w:r>
        <w:t xml:space="preserve">rite as if they are going to be presenting their research out loud to actual interested listeners, who are already familiar with their topic.  Keeping this invisible audience in mind tends to improve both the drafting and final writing of any piece.  </w:t>
      </w:r>
    </w:p>
    <w:p w:rsidR="003D3B20" w:rsidRDefault="007B6C3C">
      <w:pPr>
        <w:pStyle w:val="normal0"/>
      </w:pPr>
      <w:r>
        <w:rPr>
          <w:b/>
        </w:rPr>
        <w:t>Draf</w:t>
      </w:r>
      <w:r>
        <w:rPr>
          <w:b/>
        </w:rPr>
        <w:t>ts &amp; revisions (research librarians, writing center)</w:t>
      </w:r>
    </w:p>
    <w:p w:rsidR="003D3B20" w:rsidRDefault="007B6C3C">
      <w:pPr>
        <w:pStyle w:val="normal0"/>
        <w:spacing w:after="0"/>
      </w:pPr>
      <w:r>
        <w:rPr>
          <w:i/>
        </w:rPr>
        <w:t>Concepts/context:</w:t>
      </w:r>
      <w:r>
        <w:t xml:space="preserve"> Librarians make the point that this final stage is not final. For clarity’s sake, we point out that we have listed the Basic Research Approach numerically, but that in actuality, resear</w:t>
      </w:r>
      <w:r>
        <w:t xml:space="preserve">ch is not linear.  Since the instruction session is designed to emphasize the research process, this last prompt reminds students that with each draft and revision, topics and theses evolve, and evolve again. As one learns more about a topic in each draft </w:t>
      </w:r>
      <w:r>
        <w:t>and revision, students will need to</w:t>
      </w:r>
      <w:r>
        <w:rPr>
          <w:i/>
        </w:rPr>
        <w:t xml:space="preserve"> re-envision</w:t>
      </w:r>
      <w:r>
        <w:t xml:space="preserve">  and re-investigate information sources just as they re-envision ideas and writing with each iteration. Here, we point out that the Basic Research Approach is a list of simplified steps that are meant to help</w:t>
      </w:r>
      <w:r>
        <w:t xml:space="preserve"> students initiate early thinking and work on assignments; it is not the only approach one can take. </w:t>
      </w:r>
    </w:p>
    <w:p w:rsidR="003D3B20" w:rsidRDefault="003D3B20">
      <w:pPr>
        <w:pStyle w:val="normal0"/>
        <w:spacing w:after="0" w:line="240" w:lineRule="auto"/>
      </w:pPr>
    </w:p>
    <w:p w:rsidR="003D3B20" w:rsidRDefault="007B6C3C">
      <w:pPr>
        <w:pStyle w:val="normal0"/>
      </w:pPr>
      <w:r>
        <w:rPr>
          <w:i/>
        </w:rPr>
        <w:t>Tools:</w:t>
      </w:r>
      <w:r>
        <w:t xml:space="preserve"> This is one last time for librarians to bring attention to the recursive draft and revision process,  emphasizing the circular nature of the cycle</w:t>
      </w:r>
      <w:r>
        <w:t>, during which students have access to services and people who can help them at any stage.</w:t>
      </w:r>
    </w:p>
    <w:p w:rsidR="003D3B20" w:rsidRDefault="007B6C3C">
      <w:pPr>
        <w:pStyle w:val="normal0"/>
        <w:jc w:val="center"/>
      </w:pPr>
      <w:r>
        <w:rPr>
          <w:i/>
        </w:rPr>
        <w:t>Figure 2</w:t>
      </w:r>
      <w:r>
        <w:rPr>
          <w:noProof/>
        </w:rPr>
        <w:drawing>
          <wp:anchor distT="0" distB="0" distL="114300" distR="114300" simplePos="0" relativeHeight="251658240" behindDoc="0" locked="0" layoutInCell="0" hidden="0" allowOverlap="0">
            <wp:simplePos x="0" y="0"/>
            <wp:positionH relativeFrom="margin">
              <wp:posOffset>-209549</wp:posOffset>
            </wp:positionH>
            <wp:positionV relativeFrom="paragraph">
              <wp:posOffset>238125</wp:posOffset>
            </wp:positionV>
            <wp:extent cx="6460721" cy="3862388"/>
            <wp:effectExtent l="0" t="0" r="0" b="0"/>
            <wp:wrapSquare wrapText="bothSides" distT="0" distB="0" distL="114300" distR="11430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8"/>
                    <a:srcRect/>
                    <a:stretch>
                      <a:fillRect/>
                    </a:stretch>
                  </pic:blipFill>
                  <pic:spPr>
                    <a:xfrm>
                      <a:off x="0" y="0"/>
                      <a:ext cx="6460721" cy="3862388"/>
                    </a:xfrm>
                    <a:prstGeom prst="rect">
                      <a:avLst/>
                    </a:prstGeom>
                    <a:ln/>
                  </pic:spPr>
                </pic:pic>
              </a:graphicData>
            </a:graphic>
          </wp:anchor>
        </w:drawing>
      </w:r>
    </w:p>
    <w:p w:rsidR="003D3B20" w:rsidRDefault="007B6C3C">
      <w:pPr>
        <w:pStyle w:val="normal0"/>
      </w:pPr>
      <w:r>
        <w:rPr>
          <w:b/>
        </w:rPr>
        <w:t>Assessment</w:t>
      </w:r>
    </w:p>
    <w:p w:rsidR="003D3B20" w:rsidRDefault="007B6C3C">
      <w:pPr>
        <w:pStyle w:val="normal0"/>
        <w:ind w:firstLine="720"/>
      </w:pPr>
      <w:r>
        <w:t>Since much of our design to incorporate Information Creation as a Process within library instruction occurred in tandem with the development of the Frames themselves, we were uncertain how to assess the degree to which student learning was enhanced. We cho</w:t>
      </w:r>
      <w:r>
        <w:t>se to use a variation of the 3-2-1 formative assessment method, influenced by Hofer, Townsend, and Brunetti’s earlier use of a similar qualitative survey. Our survey was administered to each ENGL 103 section at the end of the  library instruction session u</w:t>
      </w:r>
      <w:r>
        <w:t xml:space="preserve">sing a Google Form embedded in the LibGuide. </w:t>
      </w:r>
    </w:p>
    <w:p w:rsidR="003D3B20" w:rsidRDefault="007B6C3C">
      <w:pPr>
        <w:pStyle w:val="normal0"/>
        <w:spacing w:after="0"/>
      </w:pPr>
      <w:r>
        <w:t xml:space="preserve">The survey asked students to rate the effectiveness of the library instruction session that they just received on a 1-3 scale, 1 being Very Effective, 2 Effective and 3 Not Effective. Students were provided an </w:t>
      </w:r>
      <w:r>
        <w:t>open text box in which to answer the questions “What did you find most helpful from this library instruction session?”, “What keywords did you use today to search on your own topic?”, and “In this library session, I would have liked to have learned more ab</w:t>
      </w:r>
      <w:r>
        <w:t>out…”</w:t>
      </w:r>
    </w:p>
    <w:p w:rsidR="003D3B20" w:rsidRDefault="007B6C3C">
      <w:pPr>
        <w:pStyle w:val="normal0"/>
        <w:spacing w:after="0"/>
      </w:pPr>
      <w:r>
        <w:t xml:space="preserve">At the end of the survey, students were encouraged to submit their email address should they have additional questions, of which a few took advantage. In total, we received 423 responses out of 568 students; a 75% response rate. </w:t>
      </w:r>
    </w:p>
    <w:p w:rsidR="003D3B20" w:rsidRDefault="003D3B20">
      <w:pPr>
        <w:pStyle w:val="normal0"/>
        <w:spacing w:after="0"/>
      </w:pPr>
    </w:p>
    <w:p w:rsidR="003D3B20" w:rsidRDefault="007B6C3C">
      <w:pPr>
        <w:pStyle w:val="normal0"/>
        <w:spacing w:after="0"/>
      </w:pPr>
      <w:r>
        <w:t xml:space="preserve">99% of students by </w:t>
      </w:r>
      <w:r>
        <w:t xml:space="preserve">and large felt the library instruction session was Effective for them. </w:t>
      </w:r>
    </w:p>
    <w:p w:rsidR="003D3B20" w:rsidRDefault="007B6C3C">
      <w:pPr>
        <w:pStyle w:val="normal0"/>
        <w:spacing w:after="0"/>
      </w:pPr>
      <w:r>
        <w:t xml:space="preserve"> </w:t>
      </w:r>
    </w:p>
    <w:p w:rsidR="003D3B20" w:rsidRDefault="007B6C3C">
      <w:pPr>
        <w:pStyle w:val="normal0"/>
        <w:spacing w:after="0"/>
      </w:pPr>
      <w:r>
        <w:t xml:space="preserve">When asked the open-ended question: What did you find most helpful from this library instruction session? students indicated: </w:t>
      </w:r>
    </w:p>
    <w:p w:rsidR="003D3B20" w:rsidRDefault="003D3B20">
      <w:pPr>
        <w:pStyle w:val="normal0"/>
        <w:spacing w:after="0"/>
      </w:pPr>
    </w:p>
    <w:p w:rsidR="003D3B20" w:rsidRDefault="007B6C3C">
      <w:pPr>
        <w:pStyle w:val="normal0"/>
        <w:spacing w:after="0"/>
      </w:pPr>
      <w:r>
        <w:t>1.</w:t>
      </w:r>
      <w:r>
        <w:rPr>
          <w:sz w:val="14"/>
          <w:szCs w:val="14"/>
        </w:rPr>
        <w:t xml:space="preserve">       </w:t>
      </w:r>
      <w:r>
        <w:rPr>
          <w:i/>
        </w:rPr>
        <w:t xml:space="preserve">Keywords, keyword searching </w:t>
      </w:r>
      <w:r>
        <w:t>– We were hearten</w:t>
      </w:r>
      <w:r>
        <w:t>ed by this finding as it suggests that students understood the necessity of distilling terms from a topic statement or question to find the most appropriate information regardless of the search tool that was used. With this student response, there is an im</w:t>
      </w:r>
      <w:r>
        <w:t>plicit understanding that they are aware of a need to be intentional in formulating good searches to find appropriate information.</w:t>
      </w:r>
    </w:p>
    <w:p w:rsidR="003D3B20" w:rsidRDefault="007B6C3C">
      <w:pPr>
        <w:pStyle w:val="normal0"/>
        <w:spacing w:after="0"/>
      </w:pPr>
      <w:r>
        <w:t xml:space="preserve"> </w:t>
      </w:r>
    </w:p>
    <w:p w:rsidR="003D3B20" w:rsidRDefault="007B6C3C">
      <w:pPr>
        <w:pStyle w:val="normal0"/>
        <w:spacing w:after="0"/>
      </w:pPr>
      <w:r>
        <w:t>2.</w:t>
      </w:r>
      <w:r>
        <w:rPr>
          <w:sz w:val="14"/>
          <w:szCs w:val="14"/>
        </w:rPr>
        <w:t xml:space="preserve">       </w:t>
      </w:r>
      <w:r>
        <w:rPr>
          <w:i/>
        </w:rPr>
        <w:t xml:space="preserve">Articles/Databases </w:t>
      </w:r>
      <w:r>
        <w:t xml:space="preserve">– We expected this to be #1 since the Annotated Bibliography, their first assignment, requires </w:t>
      </w:r>
      <w:r>
        <w:t>three “scholarly sources,” and article databases quite directly help them satisfy this requirement. Consequently, it is not surprising that the databases rank highly, but we think the high importance also indicates the gratification that students get in be</w:t>
      </w:r>
      <w:r>
        <w:t>coming aware of what these cryptic terms “scholarly” or “peer-review” mean.</w:t>
      </w:r>
    </w:p>
    <w:p w:rsidR="003D3B20" w:rsidRDefault="007B6C3C">
      <w:pPr>
        <w:pStyle w:val="normal0"/>
        <w:spacing w:after="0"/>
      </w:pPr>
      <w:r>
        <w:t xml:space="preserve"> </w:t>
      </w:r>
    </w:p>
    <w:p w:rsidR="003D3B20" w:rsidRDefault="007B6C3C">
      <w:pPr>
        <w:pStyle w:val="normal0"/>
        <w:spacing w:after="0"/>
      </w:pPr>
      <w:r>
        <w:t>3.</w:t>
      </w:r>
      <w:r>
        <w:rPr>
          <w:sz w:val="14"/>
          <w:szCs w:val="14"/>
        </w:rPr>
        <w:t xml:space="preserve">       </w:t>
      </w:r>
      <w:r>
        <w:t>Citing/Easybib – This ranks highly for many reasons. It is new technology that is practical and saves students time. Librarians use Easybib as a springboard to teach abo</w:t>
      </w:r>
      <w:r>
        <w:t xml:space="preserve">ut the “big ideas” related to the Annotated Bibliography and how scholars communicate knowledge, ideas, and sources. We feel that this instruction takes some fear out of source citation, a relatively alien concept for new students. </w:t>
      </w:r>
    </w:p>
    <w:p w:rsidR="003D3B20" w:rsidRDefault="007B6C3C">
      <w:pPr>
        <w:pStyle w:val="normal0"/>
        <w:spacing w:after="0"/>
      </w:pPr>
      <w:r>
        <w:t xml:space="preserve"> </w:t>
      </w:r>
    </w:p>
    <w:p w:rsidR="003D3B20" w:rsidRDefault="007B6C3C">
      <w:pPr>
        <w:pStyle w:val="normal0"/>
        <w:spacing w:after="0"/>
      </w:pPr>
      <w:r>
        <w:t>4.</w:t>
      </w:r>
      <w:r>
        <w:rPr>
          <w:sz w:val="14"/>
          <w:szCs w:val="14"/>
        </w:rPr>
        <w:t xml:space="preserve">       </w:t>
      </w:r>
      <w:r>
        <w:t>Quality of I</w:t>
      </w:r>
      <w:r>
        <w:t>nformation – Newer students tend to have a reputation for using the top results of a Google list at face value without considering quality. Additionally, ENGL 103 instructors had indicated to librarians that the quality of sources that students were findin</w:t>
      </w:r>
      <w:r>
        <w:t>g in previous years reflected indiscriminate searching on the open web.  Aside from their requirement to find 3 scholarly sources, there is nothing barring students from using sources from the open web, yet approximately 25% of students responded that sour</w:t>
      </w:r>
      <w:r>
        <w:t>ce quality was the most important idea learned. One may deduce that after learning about the context and concepts surrounding the use a variety of sources, students felt more confident in their ability to critically evaluate and then use the best source at</w:t>
      </w:r>
      <w:r>
        <w:t xml:space="preserve"> the right time during the process.</w:t>
      </w:r>
    </w:p>
    <w:p w:rsidR="003D3B20" w:rsidRDefault="007B6C3C">
      <w:pPr>
        <w:pStyle w:val="normal0"/>
        <w:spacing w:after="0"/>
      </w:pPr>
      <w:r>
        <w:t xml:space="preserve"> </w:t>
      </w:r>
    </w:p>
    <w:p w:rsidR="003D3B20" w:rsidRDefault="007B6C3C">
      <w:pPr>
        <w:pStyle w:val="normal0"/>
        <w:spacing w:after="0"/>
      </w:pPr>
      <w:r>
        <w:t>5.</w:t>
      </w:r>
      <w:r>
        <w:rPr>
          <w:sz w:val="14"/>
          <w:szCs w:val="14"/>
        </w:rPr>
        <w:t xml:space="preserve">       </w:t>
      </w:r>
      <w:r>
        <w:t>Research Process – Even though much of the library instruction focuses on introducing stages of research as components of a larger process, new college students have a reputation of being highly product driven</w:t>
      </w:r>
      <w:r>
        <w:t xml:space="preserve">. We suspected that despite this intention, students would determine that the most important things they learned were tools that will allow them to solve the problem of completing the assignment. Although we did partially design our instruction to balance </w:t>
      </w:r>
      <w:r>
        <w:t>teaching concepts and practical training, students who chose “research process” as the most important thing learned gained a new and larger perspective, the “big idea” behind the work they were doing; these students felt that understanding how something ca</w:t>
      </w:r>
      <w:r>
        <w:t>n be put together was more important than completing the individual components of the task.</w:t>
      </w:r>
    </w:p>
    <w:p w:rsidR="003D3B20" w:rsidRDefault="007B6C3C">
      <w:pPr>
        <w:pStyle w:val="normal0"/>
        <w:spacing w:after="0"/>
      </w:pPr>
      <w:r>
        <w:t xml:space="preserve"> </w:t>
      </w:r>
    </w:p>
    <w:p w:rsidR="003D3B20" w:rsidRDefault="007B6C3C">
      <w:pPr>
        <w:pStyle w:val="normal0"/>
        <w:spacing w:after="0"/>
      </w:pPr>
      <w:r>
        <w:t>6.</w:t>
      </w:r>
      <w:r>
        <w:rPr>
          <w:sz w:val="14"/>
          <w:szCs w:val="14"/>
        </w:rPr>
        <w:t xml:space="preserve">       </w:t>
      </w:r>
      <w:r>
        <w:rPr>
          <w:i/>
        </w:rPr>
        <w:t xml:space="preserve">Books – </w:t>
      </w:r>
      <w:r>
        <w:t xml:space="preserve">We discuss books at the very beginning of the library instruction session, explaining how they can be used early in the research process to fill </w:t>
      </w:r>
      <w:r>
        <w:t xml:space="preserve">in knowledge gaps about the topic, and can also be used as sources that contain well-established facts and information that can help frame or lend context to an argument. We really like the fact that books are not an information source requirement of ENGL </w:t>
      </w:r>
      <w:r>
        <w:t xml:space="preserve">103 assignments, yet these students found that learning about finding and using books for research was the most important thing that they learned from our sessions.  </w:t>
      </w:r>
    </w:p>
    <w:p w:rsidR="003D3B20" w:rsidRDefault="003D3B20">
      <w:pPr>
        <w:pStyle w:val="normal0"/>
        <w:spacing w:after="0"/>
      </w:pPr>
    </w:p>
    <w:p w:rsidR="003D3B20" w:rsidRDefault="007B6C3C">
      <w:pPr>
        <w:pStyle w:val="normal0"/>
        <w:spacing w:after="0"/>
      </w:pPr>
      <w:r>
        <w:t xml:space="preserve">In addition to the student survey , English 103 instructors were also asked to complete </w:t>
      </w:r>
      <w:r>
        <w:t xml:space="preserve">a survey. The course is taught by a combination of professors and Teaching Assistants. Some had taught the course in previous years, and for some the fall 2014 semester was their first time teaching English 103. The instructors were asked 5 questions. The </w:t>
      </w:r>
      <w:r>
        <w:t>quotations below are but a small sampling of the survey responses received.</w:t>
      </w:r>
    </w:p>
    <w:p w:rsidR="003D3B20" w:rsidRDefault="003D3B20">
      <w:pPr>
        <w:pStyle w:val="normal0"/>
        <w:spacing w:after="0"/>
      </w:pPr>
    </w:p>
    <w:p w:rsidR="003D3B20" w:rsidRDefault="007B6C3C">
      <w:pPr>
        <w:pStyle w:val="normal0"/>
        <w:numPr>
          <w:ilvl w:val="0"/>
          <w:numId w:val="5"/>
        </w:numPr>
        <w:spacing w:after="0"/>
        <w:ind w:hanging="360"/>
        <w:contextualSpacing/>
        <w:rPr>
          <w:b/>
        </w:rPr>
      </w:pPr>
      <w:r>
        <w:rPr>
          <w:b/>
        </w:rPr>
        <w:t>Do you think library instruction helped your students? Please explain how it was helpful or why it was not.</w:t>
      </w:r>
    </w:p>
    <w:p w:rsidR="003D3B20" w:rsidRDefault="007B6C3C">
      <w:pPr>
        <w:pStyle w:val="normal0"/>
        <w:spacing w:after="0"/>
        <w:ind w:left="720"/>
      </w:pPr>
      <w:r>
        <w:t>All answers overwhelmingly indicated that library instruction was helpf</w:t>
      </w:r>
      <w:r>
        <w:t>ul in one or many ways.  Many instructors seemed to expect the session to be more tool-focused, rather than conceptual in nature. The hands-on time for students to conduct their own searches in class was applauded. While many instructors still focused on t</w:t>
      </w:r>
      <w:r>
        <w:t>he usefulness of teaching the students to search in a database, some did highlight the research process discussed by librarians in the instruction sessions.</w:t>
      </w:r>
    </w:p>
    <w:p w:rsidR="003D3B20" w:rsidRDefault="007B6C3C">
      <w:pPr>
        <w:pStyle w:val="normal0"/>
        <w:spacing w:after="0"/>
        <w:ind w:left="720"/>
      </w:pPr>
      <w:r>
        <w:t xml:space="preserve"> “Yes, it was very helpful. A detailed overview of the databases coupled with hands-on practice in </w:t>
      </w:r>
      <w:r>
        <w:t>a class setting made them more comfortable about the research process”</w:t>
      </w:r>
    </w:p>
    <w:p w:rsidR="003D3B20" w:rsidRDefault="003D3B20">
      <w:pPr>
        <w:pStyle w:val="normal0"/>
        <w:spacing w:after="0"/>
      </w:pPr>
    </w:p>
    <w:p w:rsidR="003D3B20" w:rsidRDefault="007B6C3C">
      <w:pPr>
        <w:pStyle w:val="normal0"/>
        <w:spacing w:after="0"/>
        <w:ind w:left="720"/>
      </w:pPr>
      <w:r>
        <w:t>“In their reflection papers, many of my students said that the library instruction was one of the most helpful elements of the course. After the session, students became comfortable with performing scholarly research on the databases and also were more cap</w:t>
      </w:r>
      <w:r>
        <w:t>able of identifying primary vs. scholarly sources.”</w:t>
      </w:r>
    </w:p>
    <w:p w:rsidR="003D3B20" w:rsidRDefault="003D3B20">
      <w:pPr>
        <w:pStyle w:val="normal0"/>
        <w:spacing w:after="0"/>
        <w:ind w:left="720"/>
      </w:pPr>
    </w:p>
    <w:p w:rsidR="003D3B20" w:rsidRDefault="007B6C3C">
      <w:pPr>
        <w:pStyle w:val="normal0"/>
        <w:numPr>
          <w:ilvl w:val="0"/>
          <w:numId w:val="5"/>
        </w:numPr>
        <w:spacing w:after="0"/>
        <w:ind w:hanging="360"/>
        <w:contextualSpacing/>
        <w:rPr>
          <w:b/>
        </w:rPr>
      </w:pPr>
      <w:r>
        <w:rPr>
          <w:b/>
        </w:rPr>
        <w:t>The librarians hoped to emphasize finding and using a variety of information source types and formats in library instruction sessions. However, we would like to know what kinds of sources your students e</w:t>
      </w:r>
      <w:r>
        <w:rPr>
          <w:b/>
        </w:rPr>
        <w:t>nded up actually using in their final products? Was the quality of information sources better or worse than you’d hoped?</w:t>
      </w:r>
    </w:p>
    <w:p w:rsidR="003D3B20" w:rsidRDefault="007B6C3C">
      <w:pPr>
        <w:pStyle w:val="normal0"/>
        <w:spacing w:after="0"/>
        <w:ind w:left="720"/>
      </w:pPr>
      <w:r>
        <w:t xml:space="preserve"> Most instructors felt that the quality of the sources were better than they had been expecting; for those who thought </w:t>
      </w:r>
      <w:r>
        <w:t>quality was roughly the same as in previous years, they at least felt that the resources were of a greater variety, with the possible inclusion this time of  books, newspaper articles, etc.  “With library instruction I believe the quality is definitely bet</w:t>
      </w:r>
      <w:r>
        <w:t>ter than what they may have found on their own on Google, despite my prodding toward and overview of the databases. Having a librarian go through it with them step by step, then allowing them their own time in class to begin research on their topic engaged</w:t>
      </w:r>
      <w:r>
        <w:t xml:space="preserve"> them and applied the research strategies directly to their process.”</w:t>
      </w:r>
    </w:p>
    <w:p w:rsidR="003D3B20" w:rsidRDefault="003D3B20">
      <w:pPr>
        <w:pStyle w:val="normal0"/>
        <w:spacing w:after="0"/>
        <w:ind w:left="720"/>
      </w:pPr>
    </w:p>
    <w:p w:rsidR="003D3B20" w:rsidRDefault="007B6C3C">
      <w:pPr>
        <w:pStyle w:val="normal0"/>
        <w:spacing w:after="0"/>
        <w:ind w:left="720"/>
      </w:pPr>
      <w:r>
        <w:t>“They were better. Students shared that they were able to find sources that they had been unable to find before on their topics.”</w:t>
      </w:r>
    </w:p>
    <w:p w:rsidR="003D3B20" w:rsidRDefault="003D3B20">
      <w:pPr>
        <w:pStyle w:val="normal0"/>
        <w:spacing w:after="0"/>
        <w:ind w:left="720"/>
      </w:pPr>
    </w:p>
    <w:p w:rsidR="003D3B20" w:rsidRDefault="003D3B20">
      <w:pPr>
        <w:pStyle w:val="normal0"/>
        <w:spacing w:after="0"/>
        <w:ind w:left="720"/>
      </w:pPr>
    </w:p>
    <w:p w:rsidR="003D3B20" w:rsidRDefault="007B6C3C">
      <w:pPr>
        <w:pStyle w:val="normal0"/>
        <w:numPr>
          <w:ilvl w:val="0"/>
          <w:numId w:val="5"/>
        </w:numPr>
        <w:spacing w:after="0"/>
        <w:ind w:hanging="360"/>
        <w:contextualSpacing/>
        <w:rPr>
          <w:b/>
        </w:rPr>
      </w:pPr>
      <w:r>
        <w:rPr>
          <w:b/>
        </w:rPr>
        <w:t>What was difficult for your students about research-o</w:t>
      </w:r>
      <w:r>
        <w:rPr>
          <w:b/>
        </w:rPr>
        <w:t>riented course work? Did students have any consistent challenges (patterns of obstacles they encountered)?</w:t>
      </w:r>
    </w:p>
    <w:p w:rsidR="003D3B20" w:rsidRDefault="007B6C3C">
      <w:pPr>
        <w:pStyle w:val="normal0"/>
        <w:spacing w:after="0"/>
        <w:ind w:left="720"/>
      </w:pPr>
      <w:r>
        <w:t>There was less consensus here among the instructor responses. Some mentioned students’ difficulties with effectively using the resources they found a</w:t>
      </w:r>
      <w:r>
        <w:t xml:space="preserve">nd appropriately citing said resources. Perhaps the most common place where students got stuck during and after library instruction, however, was in recognizing the need to adapt their search strategy when a search on a specific, narrow topic failed. Many </w:t>
      </w:r>
      <w:r>
        <w:t>students searched for a brand name and would find few or no sources, and it would rarely occur to them to broaden keywords to find diffusely related sources (retail footwear)  in place of ones that directly relate to the brand (Toms shoes). The student sur</w:t>
      </w:r>
      <w:r>
        <w:t xml:space="preserve">vey indicated that keyword searching is an important learned concept, but this finding implies a need for students to also better understand how to employ  the use of synonyms and broad terms when a narrower search fails. </w:t>
      </w:r>
    </w:p>
    <w:p w:rsidR="003D3B20" w:rsidRDefault="003D3B20">
      <w:pPr>
        <w:pStyle w:val="normal0"/>
        <w:spacing w:after="0"/>
        <w:ind w:left="720"/>
      </w:pPr>
    </w:p>
    <w:p w:rsidR="003D3B20" w:rsidRDefault="007B6C3C">
      <w:pPr>
        <w:pStyle w:val="normal0"/>
        <w:spacing w:after="0"/>
        <w:ind w:left="720"/>
      </w:pPr>
      <w:r>
        <w:t xml:space="preserve">“Many claimed to not be able to </w:t>
      </w:r>
      <w:r>
        <w:t>find anything after they found no sources from their first specific brand search.”</w:t>
      </w:r>
      <w:r>
        <w:br/>
      </w:r>
    </w:p>
    <w:p w:rsidR="003D3B20" w:rsidRDefault="007B6C3C">
      <w:pPr>
        <w:pStyle w:val="normal0"/>
        <w:spacing w:after="0"/>
        <w:ind w:left="720"/>
      </w:pPr>
      <w:r>
        <w:t>“They still had difficulty understanding that although they may be researching one brand (Nike, for example), their research didn't have to be specifically about Nike. It t</w:t>
      </w:r>
      <w:r>
        <w:t>ook many explanations for them to understand that they needed to come up with several key words (sic) to search, rather than continually searching only their brand's name.”</w:t>
      </w:r>
    </w:p>
    <w:p w:rsidR="003D3B20" w:rsidRDefault="003D3B20">
      <w:pPr>
        <w:pStyle w:val="normal0"/>
        <w:spacing w:after="0"/>
      </w:pPr>
    </w:p>
    <w:p w:rsidR="003D3B20" w:rsidRDefault="007B6C3C">
      <w:pPr>
        <w:pStyle w:val="normal0"/>
        <w:numPr>
          <w:ilvl w:val="0"/>
          <w:numId w:val="5"/>
        </w:numPr>
        <w:spacing w:after="0"/>
        <w:ind w:hanging="360"/>
        <w:contextualSpacing/>
        <w:rPr>
          <w:b/>
        </w:rPr>
      </w:pPr>
      <w:r>
        <w:rPr>
          <w:b/>
        </w:rPr>
        <w:t>Did you notice any important differences in terms of student engagement during the</w:t>
      </w:r>
      <w:r>
        <w:rPr>
          <w:b/>
        </w:rPr>
        <w:t xml:space="preserve"> library session and research performance afterward?</w:t>
      </w:r>
    </w:p>
    <w:p w:rsidR="003D3B20" w:rsidRDefault="007B6C3C">
      <w:pPr>
        <w:pStyle w:val="normal0"/>
        <w:spacing w:after="0"/>
        <w:ind w:left="720"/>
      </w:pPr>
      <w:r>
        <w:t xml:space="preserve">All felt that their students were engaged in the library session, though there was not agreement on whether not that the level of engagement had changed in response to the session itself. </w:t>
      </w:r>
    </w:p>
    <w:p w:rsidR="003D3B20" w:rsidRDefault="003D3B20">
      <w:pPr>
        <w:pStyle w:val="normal0"/>
        <w:spacing w:after="0"/>
        <w:ind w:left="720"/>
      </w:pPr>
    </w:p>
    <w:p w:rsidR="003D3B20" w:rsidRDefault="007B6C3C">
      <w:pPr>
        <w:pStyle w:val="normal0"/>
        <w:spacing w:after="0"/>
        <w:ind w:left="720"/>
      </w:pPr>
      <w:r>
        <w:t>“last year it</w:t>
      </w:r>
      <w:r>
        <w:t xml:space="preserve"> was all about the library and where to find certain items. </w:t>
      </w:r>
      <w:r>
        <w:rPr>
          <w:i/>
        </w:rPr>
        <w:t xml:space="preserve">the focus has shifted from the library to research </w:t>
      </w:r>
      <w:r>
        <w:t>(emphasis added). it is more focused on the students’ needs now.”</w:t>
      </w:r>
    </w:p>
    <w:p w:rsidR="003D3B20" w:rsidRDefault="003D3B20">
      <w:pPr>
        <w:pStyle w:val="normal0"/>
        <w:spacing w:after="0"/>
        <w:ind w:left="720"/>
      </w:pPr>
    </w:p>
    <w:p w:rsidR="003D3B20" w:rsidRDefault="007B6C3C">
      <w:pPr>
        <w:pStyle w:val="normal0"/>
        <w:spacing w:after="0"/>
        <w:ind w:left="720"/>
      </w:pPr>
      <w:r>
        <w:t>“Research performance afterward was better. They seemed more engaged this time</w:t>
      </w:r>
      <w:r>
        <w:t>, especially when they were given time to actually begin researching their brand. The librarian's presence seemed to help”</w:t>
      </w:r>
    </w:p>
    <w:p w:rsidR="003D3B20" w:rsidRDefault="003D3B20">
      <w:pPr>
        <w:pStyle w:val="normal0"/>
        <w:spacing w:after="0"/>
        <w:ind w:left="720"/>
      </w:pPr>
    </w:p>
    <w:p w:rsidR="003D3B20" w:rsidRDefault="007B6C3C">
      <w:pPr>
        <w:pStyle w:val="normal0"/>
        <w:numPr>
          <w:ilvl w:val="0"/>
          <w:numId w:val="5"/>
        </w:numPr>
        <w:spacing w:after="0"/>
        <w:ind w:hanging="360"/>
        <w:contextualSpacing/>
        <w:rPr>
          <w:b/>
        </w:rPr>
      </w:pPr>
      <w:r>
        <w:rPr>
          <w:b/>
        </w:rPr>
        <w:t>From the librarians’ point of view, student research performance is optimized when collaboration and planning occurs between instruc</w:t>
      </w:r>
      <w:r>
        <w:rPr>
          <w:b/>
        </w:rPr>
        <w:t>tors and librarians.  Are there ways for librarians and ENGL 103 instructors to collaborate further or more deeply?</w:t>
      </w:r>
    </w:p>
    <w:p w:rsidR="003D3B20" w:rsidRDefault="007B6C3C">
      <w:pPr>
        <w:pStyle w:val="normal0"/>
        <w:spacing w:after="0"/>
        <w:ind w:left="720"/>
      </w:pPr>
      <w:r>
        <w:t>Most instructors were pleased with the basic level of collaboration, while the librarians still perceive a critical need for increased oppor</w:t>
      </w:r>
      <w:r>
        <w:t xml:space="preserve">tunities to work together more closely and in ways that allow a greater understand of what occurs in the classroom both before and after the library instruction session.  </w:t>
      </w:r>
    </w:p>
    <w:p w:rsidR="003D3B20" w:rsidRDefault="003D3B20">
      <w:pPr>
        <w:pStyle w:val="normal0"/>
        <w:spacing w:after="0"/>
        <w:ind w:left="720"/>
      </w:pPr>
    </w:p>
    <w:p w:rsidR="003D3B20" w:rsidRDefault="007B6C3C">
      <w:pPr>
        <w:pStyle w:val="normal0"/>
        <w:spacing w:after="0"/>
        <w:ind w:left="720"/>
      </w:pPr>
      <w:r>
        <w:t>“I think there is a healthy amount of collaboration between the library and English</w:t>
      </w:r>
      <w:r>
        <w:t xml:space="preserve"> 103. I am very happy with the collaboration. As mentioned, many of my students said how helpful library instruction was to developing their skills as a researcher. Though I focus a lot on research in my class, it is great to have someone who specializes i</w:t>
      </w:r>
      <w:r>
        <w:t>n library instruction to help students. The library instruction was also scheduled at a crucial time when students are just beginning research on their topics and can use specialized instruction.”</w:t>
      </w:r>
    </w:p>
    <w:p w:rsidR="003D3B20" w:rsidRDefault="003D3B20">
      <w:pPr>
        <w:pStyle w:val="normal0"/>
        <w:spacing w:after="0"/>
        <w:ind w:left="720"/>
      </w:pPr>
    </w:p>
    <w:p w:rsidR="003D3B20" w:rsidRDefault="007B6C3C">
      <w:pPr>
        <w:pStyle w:val="normal0"/>
        <w:spacing w:after="0"/>
        <w:ind w:left="720"/>
      </w:pPr>
      <w:r>
        <w:t>“Perhaps the instructors and librarians could meet as a group at the beginning of the semester to discuss the research that students will encounter that semester.”</w:t>
      </w:r>
    </w:p>
    <w:p w:rsidR="003D3B20" w:rsidRDefault="003D3B20">
      <w:pPr>
        <w:pStyle w:val="normal0"/>
        <w:spacing w:after="0"/>
      </w:pPr>
    </w:p>
    <w:p w:rsidR="003D3B20" w:rsidRDefault="007B6C3C">
      <w:pPr>
        <w:pStyle w:val="normal0"/>
      </w:pPr>
      <w:r>
        <w:t xml:space="preserve">Additional lessons learned from this pilot: </w:t>
      </w:r>
    </w:p>
    <w:p w:rsidR="003D3B20" w:rsidRDefault="007B6C3C">
      <w:pPr>
        <w:pStyle w:val="normal0"/>
      </w:pPr>
      <w:r>
        <w:t>Incorporating a threshold concept to enhance o</w:t>
      </w:r>
      <w:r>
        <w:t>ur library instruction sessions benefitted students in many ways. Our instruction was able to strike a happy balance between teaching students not only tools and practical skills, but also important theoretical concepts that surround using information with</w:t>
      </w:r>
      <w:r>
        <w:t>in an academic context.  Basing our lesson plan around a Frame (or Frames) has led us to find a workable balance between the practical and the theoretical, both in terms of what the students are learning, but also in terms of lecture preparation and supple</w:t>
      </w:r>
      <w:r>
        <w:t xml:space="preserve">mental LibGuide creation.  </w:t>
      </w:r>
    </w:p>
    <w:p w:rsidR="003D3B20" w:rsidRDefault="007B6C3C">
      <w:pPr>
        <w:pStyle w:val="normal0"/>
      </w:pPr>
      <w:r>
        <w:t>We focused on using the threshold concept that we best understood at the time but have since identified other Frames we can use to further enhance ENGL 103 library instruction. For example, if we teach students about different i</w:t>
      </w:r>
      <w:r>
        <w:t xml:space="preserve">nformation formats, we can apply the Frame ‘Authority is Constructed and Contextual’ to emphasize the need of critically evaluation of sources before they are selected for use.  While we can not incorporate all six Frames into our single, one-shot library </w:t>
      </w:r>
      <w:r>
        <w:t>instruction session,  the dual functionality and flexibility of the Frames is allowing us to begin a dialogue with our partners in the English department and amongst ourselves about creating a variety of online, supplemental learning objects that the stude</w:t>
      </w:r>
      <w:r>
        <w:t xml:space="preserve">nts could utilize outside of standard classroom time to increase their knowledge of and familiarity with these Framework concepts.  </w:t>
      </w:r>
    </w:p>
    <w:p w:rsidR="003D3B20" w:rsidRDefault="007B6C3C">
      <w:pPr>
        <w:pStyle w:val="normal0"/>
      </w:pPr>
      <w:r>
        <w:t>From our pilot experience, we also realized that the ENGL 103 instructors, based on their survey responses, expected librar</w:t>
      </w:r>
      <w:r>
        <w:t xml:space="preserve">ians to provide instruction that focused almost exclusively on tools training.  When we were able to move beyond the once-standard tools training into the theoretical, we found ourselves reinforcing and building upon the information literacy concepts that </w:t>
      </w:r>
      <w:r>
        <w:t>the instructors had already been working to impart in the classroom.  This dual partnership of give-and-take was felt by both instructors and librarians to be a much more efficient and effective synergy in terms of student learning, student satisfaction, a</w:t>
      </w:r>
      <w:r>
        <w:t xml:space="preserve">nd instructor/librarian satisfaction.  </w:t>
      </w:r>
    </w:p>
    <w:p w:rsidR="003D3B20" w:rsidRDefault="007B6C3C">
      <w:pPr>
        <w:pStyle w:val="normal0"/>
      </w:pPr>
      <w:r>
        <w:t xml:space="preserve">  </w:t>
      </w:r>
    </w:p>
    <w:p w:rsidR="003D3B20" w:rsidRDefault="003D3B20">
      <w:pPr>
        <w:pStyle w:val="normal0"/>
      </w:pPr>
    </w:p>
    <w:p w:rsidR="003D3B20" w:rsidRDefault="003D3B20">
      <w:pPr>
        <w:pStyle w:val="normal0"/>
      </w:pPr>
    </w:p>
    <w:p w:rsidR="003D3B20" w:rsidRDefault="007B6C3C">
      <w:pPr>
        <w:pStyle w:val="normal0"/>
      </w:pPr>
      <w:r>
        <w:rPr>
          <w:b/>
        </w:rPr>
        <w:t>Additional thoughts about Assessing IL Frames</w:t>
      </w:r>
    </w:p>
    <w:p w:rsidR="003D3B20" w:rsidRDefault="007B6C3C">
      <w:pPr>
        <w:pStyle w:val="normal0"/>
        <w:ind w:firstLine="720"/>
      </w:pPr>
      <w:r>
        <w:t>If we set out to teach students about research writing as a process, are there better ways to assess the impact of teaching big, transformative, and troublesome idea</w:t>
      </w:r>
      <w:r>
        <w:t>s? As our pilot progressed into the fall 2014 semester, Megan Oakleaf published “</w:t>
      </w:r>
      <w:r>
        <w:rPr>
          <w:color w:val="303030"/>
          <w:highlight w:val="white"/>
        </w:rPr>
        <w:t>A Roadmap for Assessing Student Learning Using the New Framework for Information Literacy for Higher Education,”</w:t>
      </w:r>
      <w:r>
        <w:rPr>
          <w:color w:val="303030"/>
          <w:highlight w:val="white"/>
          <w:vertAlign w:val="superscript"/>
        </w:rPr>
        <w:footnoteReference w:id="10"/>
      </w:r>
      <w:r>
        <w:rPr>
          <w:color w:val="303030"/>
          <w:highlight w:val="white"/>
        </w:rPr>
        <w:t xml:space="preserve"> which</w:t>
      </w:r>
      <w:r>
        <w:t xml:space="preserve"> provides some much-needed guidance for pursuing Frames </w:t>
      </w:r>
      <w:r>
        <w:t>assessment in the future. Oakleaf acknowledges difficulties that librarians may have when considering Frames assessment, and she offers 10 Steps for moving forward. SU librarians plan to use Oakleaf’s Roadmap to revise for a second draft f ENGL 103 Library</w:t>
      </w:r>
      <w:r>
        <w:t xml:space="preserve"> Instruction using some of the 10 steps as questions to ask ourselves during the revision process: </w:t>
      </w:r>
    </w:p>
    <w:p w:rsidR="003D3B20" w:rsidRDefault="007B6C3C">
      <w:pPr>
        <w:pStyle w:val="normal0"/>
        <w:numPr>
          <w:ilvl w:val="0"/>
          <w:numId w:val="2"/>
        </w:numPr>
        <w:ind w:hanging="360"/>
        <w:contextualSpacing/>
      </w:pPr>
      <w:r>
        <w:t>Do we need to expand beyond a strict threshold concept definition and add additional “big ideas? (Step 1 -- Get Inspired)</w:t>
      </w:r>
    </w:p>
    <w:p w:rsidR="003D3B20" w:rsidRDefault="007B6C3C">
      <w:pPr>
        <w:pStyle w:val="normal0"/>
        <w:numPr>
          <w:ilvl w:val="0"/>
          <w:numId w:val="2"/>
        </w:numPr>
        <w:ind w:hanging="360"/>
        <w:contextualSpacing/>
      </w:pPr>
      <w:r>
        <w:t>What are the learning outcomes for</w:t>
      </w:r>
      <w:r>
        <w:t xml:space="preserve"> the “big ideas” that we have identified in ENGL 103? (Step 2 --Bite the Bullet).</w:t>
      </w:r>
    </w:p>
    <w:p w:rsidR="003D3B20" w:rsidRDefault="007B6C3C">
      <w:pPr>
        <w:pStyle w:val="normal0"/>
        <w:numPr>
          <w:ilvl w:val="0"/>
          <w:numId w:val="2"/>
        </w:numPr>
        <w:ind w:hanging="360"/>
        <w:contextualSpacing/>
      </w:pPr>
      <w:r>
        <w:t xml:space="preserve"> Do we need to share the learning outcomes with program coordinators, and if so, how? (Step 3 -- Agree or Agree to Disagree)</w:t>
      </w:r>
    </w:p>
    <w:p w:rsidR="003D3B20" w:rsidRDefault="007B6C3C">
      <w:pPr>
        <w:pStyle w:val="normal0"/>
        <w:numPr>
          <w:ilvl w:val="0"/>
          <w:numId w:val="2"/>
        </w:numPr>
        <w:ind w:hanging="360"/>
        <w:contextualSpacing/>
      </w:pPr>
      <w:r>
        <w:t>What if we considered ENGL 103 library instructio</w:t>
      </w:r>
      <w:r>
        <w:t>n using backward design? What are things students can do to demonstrate achieving the outcomes? (Step 4 --Teach Backwards)</w:t>
      </w:r>
    </w:p>
    <w:p w:rsidR="003D3B20" w:rsidRDefault="007B6C3C">
      <w:pPr>
        <w:pStyle w:val="normal0"/>
        <w:numPr>
          <w:ilvl w:val="0"/>
          <w:numId w:val="2"/>
        </w:numPr>
        <w:ind w:hanging="360"/>
        <w:contextualSpacing/>
      </w:pPr>
      <w:r>
        <w:t>Are there other methods of assessment that will help to inform our work within ENGL 103 library instruction? Could we use a variety o</w:t>
      </w:r>
      <w:r>
        <w:t>f methods to triangulate data? How will reports be shared? (Step 7 - Hunt and Gather and Step 9 -- Roll it up &amp; Report it Out)</w:t>
      </w:r>
    </w:p>
    <w:p w:rsidR="003D3B20" w:rsidRDefault="007B6C3C">
      <w:pPr>
        <w:pStyle w:val="normal0"/>
        <w:numPr>
          <w:ilvl w:val="0"/>
          <w:numId w:val="2"/>
        </w:numPr>
        <w:ind w:hanging="360"/>
        <w:contextualSpacing/>
      </w:pPr>
      <w:r>
        <w:t>How can we use assessment results to continuously improve ENGL 103 library instruction? (Step 10 -- Close the Loop).</w:t>
      </w:r>
    </w:p>
    <w:p w:rsidR="003D3B20" w:rsidRDefault="007B6C3C">
      <w:pPr>
        <w:pStyle w:val="normal0"/>
      </w:pPr>
      <w:r>
        <w:t>After having</w:t>
      </w:r>
      <w:r>
        <w:t xml:space="preserve"> completed a full year of incorporating the threshold concept Information Creation as Process, we believe that starting out with applying only one threshold concept at a time has led to identifying other concepts that can now be addressed. More specificall</w:t>
      </w:r>
      <w:r>
        <w:t>y, re-envisioning library instruction through the lens of Information Creation as a Process was a portal that has led us to comfortably  apply additional threshold concepts. With the 6 Frames now fleshed-out and approved, and Oakleaf’s Roadmap, we are well</w:t>
      </w:r>
      <w:r>
        <w:t xml:space="preserve">-equipped to expand our use of the Frames. Several of the librarians at Salisbury University have already begun to use the ENGL 103 threshold concept design as a template that they have applied to the design of other courses in other disciplines. </w:t>
      </w:r>
    </w:p>
    <w:p w:rsidR="003D3B20" w:rsidRDefault="007B6C3C">
      <w:pPr>
        <w:pStyle w:val="normal0"/>
      </w:pPr>
      <w:r>
        <w:rPr>
          <w:b/>
        </w:rPr>
        <w:t>Geograph</w:t>
      </w:r>
      <w:r>
        <w:rPr>
          <w:b/>
        </w:rPr>
        <w:t>y 203: Economic Geography</w:t>
      </w:r>
    </w:p>
    <w:p w:rsidR="003D3B20" w:rsidRDefault="007B6C3C">
      <w:pPr>
        <w:pStyle w:val="normal0"/>
      </w:pPr>
      <w:r>
        <w:t xml:space="preserve">In Spring of 2015, our science librarian was contacted by a member of the Geography department who wished  to gain some assistance with a tricky assignment.  This  200-level geography class covered such topics and concepts as the </w:t>
      </w:r>
      <w:r>
        <w:t>way that economic activity is distributed, reasons how and why this activity is distributed, and the never-ending variety of changes that push and pull how human activity is organized across the world.  Both a theoretical and applied-focus class, the entry</w:t>
      </w:r>
      <w:r>
        <w:t xml:space="preserve"> level course assignment asked the students to write a 5-7 page paper that documented the “economic geography of a publicly-traded Fortune 1,000 firm.”   In order to complete the assignment,  students were required to find a variety of information on their</w:t>
      </w:r>
      <w:r>
        <w:t xml:space="preserve"> chosen Fortune 1,000 company, including such information as the company’s:  product(s); market(s); suppliers; industry; and importance to locality. </w:t>
      </w:r>
      <w:r>
        <w:rPr>
          <w:vertAlign w:val="superscript"/>
        </w:rPr>
        <w:footnoteReference w:id="11"/>
      </w:r>
    </w:p>
    <w:p w:rsidR="003D3B20" w:rsidRDefault="007B6C3C">
      <w:pPr>
        <w:pStyle w:val="normal0"/>
      </w:pPr>
      <w:r>
        <w:t>A first look at the assignment sheet from a library instruction lesson-plan point of view would yield a v</w:t>
      </w:r>
      <w:r>
        <w:t xml:space="preserve">ery familiar and dismal one-shot instruction setup for most librarians when approaching it from the ACRL Standards approved back in the year 2000.  Teach students how to find journal articles, emphasize that journal articles come from a database, not from </w:t>
      </w:r>
      <w:r>
        <w:t>our OPAC; teach students how to find books, emphasize that books are found through our OPAC, not through our databases; discuss the minute differences between title searches, keyword searches, author searches.  Pause to scan the classroom quickly for quest</w:t>
      </w:r>
      <w:r>
        <w:t xml:space="preserve">ions, then remind students repeatedly that if they are going to choose the “full text” or “peer-reviewed” check-boxes within certain databases that they need to use the “Submit” box at the bottom of the search screen, not the Submit button towards the top </w:t>
      </w:r>
      <w:r>
        <w:t xml:space="preserve">- be sure to let them know that these specific “Submit” boxes are in some databases, not all.  Take a deep breath, get ready to continue in the same vein, then wonder with a familiar sinking feeling why an entire classroom of students are  glassy-eyed and </w:t>
      </w:r>
      <w:r>
        <w:t xml:space="preserve">thoroughly overwhelmed by library jargon, minutia, and totally disconnected from the bigger “so what?” picture.  </w:t>
      </w:r>
    </w:p>
    <w:p w:rsidR="003D3B20" w:rsidRDefault="003D3B20">
      <w:pPr>
        <w:pStyle w:val="normal0"/>
      </w:pPr>
    </w:p>
    <w:p w:rsidR="003D3B20" w:rsidRDefault="007B6C3C">
      <w:pPr>
        <w:pStyle w:val="normal0"/>
      </w:pPr>
      <w:r>
        <w:t>A second look at this same Geography assignment sheet from a Framework point of view resulted in a library instruction lesson plan that was n</w:t>
      </w:r>
      <w:r>
        <w:t>ew and exciting, with real potential for student engagement and deeper understanding of the theories that were being conveyed.  This new updated lesson plan also provided a multitude of questions for each Basic Research Approach that could be asked by eith</w:t>
      </w:r>
      <w:r>
        <w:t xml:space="preserve">er the librarian or the teaching faculty member as either follow-up questions for additional research opportunities, ways to dig deeper into the assignment objectives, or else could be used as comprehension assessment queries.  </w:t>
      </w:r>
    </w:p>
    <w:p w:rsidR="003D3B20" w:rsidRDefault="003D3B20">
      <w:pPr>
        <w:pStyle w:val="normal0"/>
      </w:pPr>
    </w:p>
    <w:p w:rsidR="003D3B20" w:rsidRDefault="007B6C3C">
      <w:pPr>
        <w:pStyle w:val="normal0"/>
        <w:numPr>
          <w:ilvl w:val="0"/>
          <w:numId w:val="1"/>
        </w:numPr>
        <w:ind w:hanging="360"/>
        <w:contextualSpacing/>
      </w:pPr>
      <w:r>
        <w:t>Explore topic basics &amp;</w:t>
      </w:r>
      <w:r>
        <w:t xml:space="preserve"> primary sources (the open web):  In this case, primary sources for GEOG 203 would include resources like the Fortune 1,000 company’s actual website - always a plethora of valuable information.  Company websites are also an obvious source of active promoti</w:t>
      </w:r>
      <w:r>
        <w:t xml:space="preserve">on on the part of the company, and as such a full lineup of product information can always be found within.  Do students understand about what information they can find on a company website?  Do they understand the inherent bias present in such resources? </w:t>
      </w:r>
      <w:r>
        <w:t xml:space="preserve"> Do they understand that going directly to the source is the best way to find out such information?  </w:t>
      </w:r>
    </w:p>
    <w:p w:rsidR="003D3B20" w:rsidRDefault="007B6C3C">
      <w:pPr>
        <w:pStyle w:val="normal0"/>
        <w:numPr>
          <w:ilvl w:val="0"/>
          <w:numId w:val="1"/>
        </w:numPr>
        <w:ind w:hanging="360"/>
        <w:contextualSpacing/>
      </w:pPr>
      <w:r>
        <w:t>Background (academic library catalog: books):  In this particular example, students needed to find information about their chosen company’s importance wit</w:t>
      </w:r>
      <w:r>
        <w:t>h both a local and global focus.  They also needed to get information on their company’s industry and history - for example, did they chose a computer company?  What is the history of computers in the United States?  What is the environmental, economic, an</w:t>
      </w:r>
      <w:r>
        <w:t>d social impact that computers and the entire computer industry has had in the United States?  In the world?  If books give students background information, do students understand why this is?  Do they understand how books are written, how they are researc</w:t>
      </w:r>
      <w:r>
        <w:t>hed, the time-frame under which they are created?  Do they understand that books are written to help people understand the larger picture on things - that books are critical in answering the “so what?” question that is so vital to truly understanding the n</w:t>
      </w:r>
      <w:r>
        <w:t xml:space="preserve">uances of any research project?  </w:t>
      </w:r>
    </w:p>
    <w:p w:rsidR="003D3B20" w:rsidRDefault="007B6C3C">
      <w:pPr>
        <w:pStyle w:val="normal0"/>
        <w:numPr>
          <w:ilvl w:val="0"/>
          <w:numId w:val="1"/>
        </w:numPr>
        <w:ind w:hanging="360"/>
        <w:contextualSpacing/>
      </w:pPr>
      <w:r>
        <w:t>Scholarly conversations (academic library databases: journal articles):  The economic profile assignment asks for very specific information about each student’s chosen company.  Looking through the larger scholarly convers</w:t>
      </w:r>
      <w:r>
        <w:t xml:space="preserve">ation as a whole, students can use a database such as Research Insights to pull up a full company profile and more.  From both Business Insights and other academic databases, students can research questions such as: What are the market trends for my given </w:t>
      </w:r>
      <w:r>
        <w:t xml:space="preserve">company?; What industry does my company fall into, and how does my company compare against others in that same industry?; Who are the suppliers for my company, and what are they saying about my company?;  What are economic analysts saying about my company </w:t>
      </w:r>
      <w:r>
        <w:t>as a whole; What direction is the CEO taking my company and why?; What environmental impact (if any) does my company have, or what impact does my company have (if any) on the area in which it is located in terms of jobs, influx of cash, overall way of life</w:t>
      </w:r>
      <w:r>
        <w:t>, etc.?    From these specific GEOG 203 assignment needs, librarians can in turn shape the corresponding lesson plan by asking preparatory questions like “Do students understand that an industry report is an amalgam of multiple sources of data?”  “Do stude</w:t>
      </w:r>
      <w:r>
        <w:t xml:space="preserve">nts understand that editorials or newspaper articles written about a company’s CEO or research direction might be biased or slanted in some way?”  </w:t>
      </w:r>
    </w:p>
    <w:p w:rsidR="003D3B20" w:rsidRDefault="007B6C3C">
      <w:pPr>
        <w:pStyle w:val="normal0"/>
        <w:numPr>
          <w:ilvl w:val="0"/>
          <w:numId w:val="1"/>
        </w:numPr>
        <w:ind w:hanging="360"/>
        <w:contextualSpacing/>
      </w:pPr>
      <w:r>
        <w:t>Support your argument (source citation):  It is here that students can learn the value of leaving a clear tr</w:t>
      </w:r>
      <w:r>
        <w:t>ail of ‘breadcrumbs’ to not only show their professor where they found the information they are using, and why it is valid and was the best resource for the point they were trying to make, but to also show other students and scholars who might be intereste</w:t>
      </w:r>
      <w:r>
        <w:t>d in their company where this information was found.  By this point in time working on the assignment, they have referenced a multitude of sources for a variety of needs, and have surely realized that those sources with clear and accurate Works Cited are o</w:t>
      </w:r>
      <w:r>
        <w:t xml:space="preserve">f much more use to them as a researcher/scholar than those that have inaccurate bibliographies or do not cite their sources at all.  </w:t>
      </w:r>
    </w:p>
    <w:p w:rsidR="003D3B20" w:rsidRDefault="007B6C3C">
      <w:pPr>
        <w:pStyle w:val="normal0"/>
        <w:numPr>
          <w:ilvl w:val="0"/>
          <w:numId w:val="1"/>
        </w:numPr>
        <w:ind w:hanging="360"/>
        <w:contextualSpacing/>
      </w:pPr>
      <w:r>
        <w:t>Drafts &amp; revisions (research librarians, writing center):  It is at this point in the lesson plan that we point out to the</w:t>
      </w:r>
      <w:r>
        <w:t xml:space="preserve"> students that research is nothing more than a continuous loop of thinking, looking, and thinking some more.  At some point in time, most stop researching and simply turn in a draft or final paper, but as the world of research stretches on and on infinitel</w:t>
      </w:r>
      <w:r>
        <w:t xml:space="preserve">y, and is constantly growing, everyone could almost continue looking up more and more information about their topic, surrounding their topic, supporting their topic, contradicting their topic, etc. forever.  We emphasize to students that it is crucial for </w:t>
      </w:r>
      <w:r>
        <w:t>them to approach their chosen company/topic and the entire process of research with a truly open mind, and be mindful of the direction that their research results seem to be taking them in, as that chosen research route can and should lead to a more meanin</w:t>
      </w:r>
      <w:r>
        <w:t>gful and engaging end-product.  This is something that we librarians know after our myriad years of teaching, but it is frequently a struggle for students.  Letting go of that all too common “I already have decided the question and answer of my entire rese</w:t>
      </w:r>
      <w:r>
        <w:t>arch paper” mindset is a difficult research/scholarly step to take, so many librarians have found that a few words about this concept during the draft &amp; revision portion of the library instruction session  does warrant a formal note within our lesson plan,</w:t>
      </w:r>
      <w:r>
        <w:t xml:space="preserve"> and it likewise bears repeated mentioning within the instruction session itself.  </w:t>
      </w:r>
    </w:p>
    <w:p w:rsidR="003D3B20" w:rsidRDefault="007B6C3C">
      <w:pPr>
        <w:pStyle w:val="normal0"/>
      </w:pPr>
      <w:r>
        <w:t xml:space="preserve">Examined through the lens of Threshold Concepts, and with an eye towards the Frames, the once-basic (and potentially boring) library instruction lesson plan suddenly takes on new life.  Focusing in on Information Creation as a Process, the main Frame that </w:t>
      </w:r>
      <w:r>
        <w:t>was initially identified within the assignment, there are suddenly new issues and angles to bring to the students’ attention - significantly different ways of approaching their information needs that will resonate in a very different and more meaningful wa</w:t>
      </w:r>
      <w:r>
        <w:t>y.  Using the ENGL 103 LibGuide as a template, only minor changes were needed to adapt the LibGuide to one focused on economic geography instead of composition and research, while still keeping the library instruction focus front and center on the Informat</w:t>
      </w:r>
      <w:r>
        <w:t xml:space="preserve">ion Creation as a Process framework.    </w:t>
      </w:r>
    </w:p>
    <w:p w:rsidR="003D3B20" w:rsidRDefault="007B6C3C">
      <w:pPr>
        <w:pStyle w:val="normal0"/>
      </w:pPr>
      <w:r>
        <w:t>A sort of informal assessment from the Geography faculty member showed that there was a two-fold improvement in relation to this particular assignment after the library instruction session happened.  The faculty mem</w:t>
      </w:r>
      <w:r>
        <w:t>ber said first off, that there was a palpable ‘lightening’ in the class in regards to their approach and opinion regarding the assignment.  In-class discussions relating to assignment components were suddenly upbeat, with students saying things like “Oh, I</w:t>
      </w:r>
      <w:r>
        <w:t xml:space="preserve"> know where I can look for that sort of thing in the library” when they would talk about what assignment components were found where.  The other informal assessment feedback that we were given from the teaching faculty member was that this time, the comple</w:t>
      </w:r>
      <w:r>
        <w:t>ted assignments not only contained more valid source types in them this year, instead of just company homepages and Wikipedia sources, but they also had a variety of sources in there.  Formal company reports, newspaper pieces on business CEOs, financial an</w:t>
      </w:r>
      <w:r>
        <w:t>alyses, book chapters, etc.  The faculty member said that while he had not done a formal comparison between the previous class’ completed assignments and this group’s, he strongly felt that they had a better grasp of the research avenues available to them,</w:t>
      </w:r>
      <w:r>
        <w:t xml:space="preserve"> that they used the sources in more appropriate ways, and as such were able to make more convincing arguments with the resources they had found.  </w:t>
      </w:r>
    </w:p>
    <w:p w:rsidR="003D3B20" w:rsidRDefault="007B6C3C">
      <w:pPr>
        <w:pStyle w:val="normal0"/>
      </w:pPr>
      <w:r>
        <w:t>Additional, post-instruction analysis of the course actually revealed that there is not just one Frame presen</w:t>
      </w:r>
      <w:r>
        <w:t>t in this class assignment, but rather three.  When the students are asked to look at company market information in terms of competitors and customers, they are being asked to understand and assess who creates information, who has the authority to do so, a</w:t>
      </w:r>
      <w:r>
        <w:t>nd in what type of context they do so.  This information need clearly relates to the Authority is Constructed and Contextual framework, and future iterations of the library instruction portion of the class will address that concept.  Similarly, when studen</w:t>
      </w:r>
      <w:r>
        <w:t>ts are asked to find company-specific information such as: number of employees; revenue situation; sunrise/sunset status; product life-cycle location; generalized versus specific employee skill sets; and agglomeration economy, they are being asked to place</w:t>
      </w:r>
      <w:r>
        <w:t xml:space="preserve"> a value on the information and information sources that they find.  This Frame, Information Has Value is of particular importance in an Economic Geography class, and as such will be properly emphasized the next time that the course is taught.  </w:t>
      </w:r>
    </w:p>
    <w:p w:rsidR="003D3B20" w:rsidRDefault="007B6C3C">
      <w:pPr>
        <w:pStyle w:val="normal0"/>
        <w:spacing w:after="240"/>
      </w:pPr>
      <w:r>
        <w:rPr>
          <w:b/>
        </w:rPr>
        <w:t>MKTG 330</w:t>
      </w:r>
    </w:p>
    <w:p w:rsidR="003D3B20" w:rsidRDefault="007B6C3C">
      <w:pPr>
        <w:pStyle w:val="normal0"/>
      </w:pPr>
      <w:r>
        <w:t>M</w:t>
      </w:r>
      <w:r>
        <w:t>KTG 330 Marketing Principles was one of several business-specific library instruction courses revamped to apply the Information Creation as a Process threshold concept using the Basic Research Approach outline format. The MKTG 330 professor that the busine</w:t>
      </w:r>
      <w:r>
        <w:t>ss librarian worked with for library instruction had students complete a Marketing Plan Project &amp; Presentation assignment, which was a semester-long project with progressive due dates for: topic submission, two progress reports, and then finally a  written</w:t>
      </w:r>
      <w:r>
        <w:t xml:space="preserve"> report and presentation. The class was strategically scheduled for library instruction on the day their marketing plan topics were due. The assignment called for students to identify an existing parent firm and then develop a new product or service and cr</w:t>
      </w:r>
      <w:r>
        <w:t>eate a plan for introducing this new idea to the US market. Students needed to research the parent firm, market, and competition in order to make an informed decision on what their product or service should be and how it would be developed and introduced t</w:t>
      </w:r>
      <w:r>
        <w:t>o the market.</w:t>
      </w:r>
    </w:p>
    <w:p w:rsidR="003D3B20" w:rsidRDefault="007B6C3C">
      <w:pPr>
        <w:pStyle w:val="normal0"/>
      </w:pPr>
      <w:r>
        <w:t>While the MKTG 330 marketing plan assignment is very different than the ENGL 103 annotated bibliography assignment in that it requires more discipline-specific types of sources to locate the appropriate types of resources needed, a similar pe</w:t>
      </w:r>
      <w:r>
        <w:t>dagogical strategy can still be used. When creating the library instruction lesson plan and online LibGuide, the Basic Research Approach outline format from ENGL 103 was followed, with modifications made to create topically relevant examples, and then expa</w:t>
      </w:r>
      <w:r>
        <w:t>nded to cover additional relevant concepts.</w:t>
      </w:r>
    </w:p>
    <w:p w:rsidR="003D3B20" w:rsidRDefault="007B6C3C">
      <w:pPr>
        <w:pStyle w:val="normal0"/>
      </w:pPr>
      <w:r>
        <w:t>1.</w:t>
      </w:r>
      <w:r>
        <w:rPr>
          <w:sz w:val="14"/>
          <w:szCs w:val="14"/>
        </w:rPr>
        <w:t xml:space="preserve">       </w:t>
      </w:r>
      <w:r>
        <w:t xml:space="preserve">Explore topic basics (the open web): The business librarian emphasized that the open web is an excellent tool to explore and brainstorm ideas, and different types of information sources were highlighted </w:t>
      </w:r>
      <w:r>
        <w:t xml:space="preserve">to show their various uses. For example, the </w:t>
      </w:r>
      <w:r>
        <w:rPr>
          <w:i/>
        </w:rPr>
        <w:t>Fortune 500</w:t>
      </w:r>
      <w:r>
        <w:t xml:space="preserve"> list of annual rankings can be found online and can be a source to select or look at other top US companies; official company websites could offer the company’s mission, core strategies, products and</w:t>
      </w:r>
      <w:r>
        <w:t xml:space="preserve"> services, and more; </w:t>
      </w:r>
      <w:r>
        <w:rPr>
          <w:i/>
        </w:rPr>
        <w:t>Yahoo! Finance</w:t>
      </w:r>
      <w:r>
        <w:t xml:space="preserve"> could be used to look up the company’s ticker symbol, which is useful to know when searching, particularly when searching in library-owned databases. In addition, general Google searches can yield popular results that he</w:t>
      </w:r>
      <w:r>
        <w:t xml:space="preserve">lp to get ideas flowing.  These  different sources like </w:t>
      </w:r>
      <w:r>
        <w:rPr>
          <w:i/>
        </w:rPr>
        <w:t>Fortune</w:t>
      </w:r>
      <w:r>
        <w:t xml:space="preserve">, </w:t>
      </w:r>
      <w:r>
        <w:rPr>
          <w:i/>
        </w:rPr>
        <w:t>Entrepreneur</w:t>
      </w:r>
      <w:r>
        <w:t xml:space="preserve">, or </w:t>
      </w:r>
      <w:r>
        <w:rPr>
          <w:i/>
        </w:rPr>
        <w:t>Inc.</w:t>
      </w:r>
      <w:r>
        <w:t xml:space="preserve"> all have hard copy magazine versions and are also available in full-text format through online databases. This explanation of different sources and formats helped to sta</w:t>
      </w:r>
      <w:r>
        <w:t>rt the discussion centered on Information Creation as a Process.</w:t>
      </w:r>
    </w:p>
    <w:p w:rsidR="003D3B20" w:rsidRDefault="007B6C3C">
      <w:pPr>
        <w:pStyle w:val="normal0"/>
      </w:pPr>
      <w:r>
        <w:t>2.</w:t>
      </w:r>
      <w:r>
        <w:rPr>
          <w:sz w:val="14"/>
          <w:szCs w:val="14"/>
        </w:rPr>
        <w:t xml:space="preserve">       </w:t>
      </w:r>
      <w:r>
        <w:t xml:space="preserve">Background (academic library catalog: books): The business librarian emphasized that books can come in multiple formats (hard copy, EBSCO e-book collection, Google Books, etc.), but </w:t>
      </w:r>
      <w:r>
        <w:t xml:space="preserve">no matter the format they are still books and are useful background sources or can provide in-depth information on a topic. For example, the </w:t>
      </w:r>
      <w:r>
        <w:rPr>
          <w:u w:val="single"/>
        </w:rPr>
        <w:t>Encyclopedia of Major Marketing Campaigns</w:t>
      </w:r>
      <w:r>
        <w:t xml:space="preserve"> is a hard copy reference book containing 500 marketing campaigns selected</w:t>
      </w:r>
      <w:r>
        <w:t xml:space="preserve"> for their unique value or innovation. A student could use this book to get background information on a company, or perhaps get a specific example for their Progress Report #1, which includes assignment requirements such as “successes and failures of the p</w:t>
      </w:r>
      <w:r>
        <w:t xml:space="preserve">arent firm.” Or, perhaps there is a book that could offer in-depth specific information. One example showed in class happened to be an e-book, </w:t>
      </w:r>
      <w:r>
        <w:rPr>
          <w:u w:val="single"/>
        </w:rPr>
        <w:t>Design like Apple: Seven Principles for creating Insanely Great Products, Services, and Experiences</w:t>
      </w:r>
      <w:r>
        <w:t>. If the stude</w:t>
      </w:r>
      <w:r>
        <w:t xml:space="preserve">nt’s selected parent firm was Apple this book would certainly be helpful in providing information on product design and marketing strategies used by the company in the past. </w:t>
      </w:r>
    </w:p>
    <w:p w:rsidR="003D3B20" w:rsidRDefault="007B6C3C">
      <w:pPr>
        <w:pStyle w:val="normal0"/>
      </w:pPr>
      <w:r>
        <w:t>3.</w:t>
      </w:r>
      <w:r>
        <w:rPr>
          <w:sz w:val="14"/>
          <w:szCs w:val="14"/>
        </w:rPr>
        <w:t xml:space="preserve">       </w:t>
      </w:r>
      <w:r>
        <w:t>Scholarly conversations (academic library databases: journal articles an</w:t>
      </w:r>
      <w:r>
        <w:t xml:space="preserve">d more): The business librarian emphasized that many, many different types of sources are available through the library subscription databases that can be extremely useful to satisfy the research needed to complete the student’s marketing plan assignment. </w:t>
      </w:r>
      <w:r>
        <w:t>In the instruction sessions, different types of sources were also defined with specific examples provided to aid student understanding of each type. With regard to this specific  class and assignment and to marketing research in general:</w:t>
      </w:r>
    </w:p>
    <w:p w:rsidR="003D3B20" w:rsidRDefault="007B6C3C">
      <w:pPr>
        <w:pStyle w:val="normal0"/>
        <w:ind w:left="720"/>
      </w:pPr>
      <w:r>
        <w:t>a.</w:t>
      </w:r>
      <w:r>
        <w:rPr>
          <w:sz w:val="14"/>
          <w:szCs w:val="14"/>
        </w:rPr>
        <w:t xml:space="preserve">       </w:t>
      </w:r>
      <w:r>
        <w:t>Trade jou</w:t>
      </w:r>
      <w:r>
        <w:t xml:space="preserve">rnals offer a view inside the industry by providing articles that discuss industry-specific news and trends. For example, </w:t>
      </w:r>
      <w:r>
        <w:rPr>
          <w:i/>
        </w:rPr>
        <w:t xml:space="preserve">Advertising Age </w:t>
      </w:r>
      <w:r>
        <w:t xml:space="preserve">provides marketing and advertising ideas while </w:t>
      </w:r>
      <w:r>
        <w:rPr>
          <w:i/>
        </w:rPr>
        <w:t xml:space="preserve">National Restaurant News </w:t>
      </w:r>
      <w:r>
        <w:t>provides information for  trends related to re</w:t>
      </w:r>
      <w:r>
        <w:t>staurants, etc.</w:t>
      </w:r>
    </w:p>
    <w:p w:rsidR="003D3B20" w:rsidRDefault="007B6C3C">
      <w:pPr>
        <w:pStyle w:val="normal0"/>
        <w:ind w:left="720"/>
      </w:pPr>
      <w:r>
        <w:t>b.</w:t>
      </w:r>
      <w:r>
        <w:rPr>
          <w:sz w:val="14"/>
          <w:szCs w:val="14"/>
        </w:rPr>
        <w:t xml:space="preserve">      </w:t>
      </w:r>
      <w:r>
        <w:t>Magazines offer articles on what’s trendy, new or upcoming. Some business magazines are very well respected in the field because they offer rankings or timely news, which is very important in the time-is-money business field. Two ma</w:t>
      </w:r>
      <w:r>
        <w:t xml:space="preserve">gazines of note for this particular class were </w:t>
      </w:r>
      <w:r>
        <w:rPr>
          <w:i/>
        </w:rPr>
        <w:t>Fortune,</w:t>
      </w:r>
      <w:r>
        <w:t xml:space="preserve"> for the </w:t>
      </w:r>
      <w:r>
        <w:rPr>
          <w:i/>
        </w:rPr>
        <w:t>Fortune 500</w:t>
      </w:r>
      <w:r>
        <w:t xml:space="preserve"> annual list of rankings, and </w:t>
      </w:r>
      <w:r>
        <w:rPr>
          <w:i/>
        </w:rPr>
        <w:t>Entrepreneur</w:t>
      </w:r>
      <w:r>
        <w:t xml:space="preserve"> for trendy ideas.</w:t>
      </w:r>
    </w:p>
    <w:p w:rsidR="003D3B20" w:rsidRDefault="007B6C3C">
      <w:pPr>
        <w:pStyle w:val="normal0"/>
        <w:ind w:left="720"/>
      </w:pPr>
      <w:r>
        <w:t>c.</w:t>
      </w:r>
      <w:r>
        <w:rPr>
          <w:sz w:val="14"/>
          <w:szCs w:val="14"/>
        </w:rPr>
        <w:t xml:space="preserve">       </w:t>
      </w:r>
      <w:r>
        <w:t xml:space="preserve">Scholarly/peer-reviewed  journals provide research articles or studies. Students can consult the  </w:t>
      </w:r>
      <w:r>
        <w:rPr>
          <w:i/>
        </w:rPr>
        <w:t>Journal of Ad</w:t>
      </w:r>
      <w:r>
        <w:rPr>
          <w:i/>
        </w:rPr>
        <w:t xml:space="preserve">vertising Research </w:t>
      </w:r>
      <w:r>
        <w:t>and cite a study or piece of research that backs an effective marketing strategy that they have chosen for their marketing plan.</w:t>
      </w:r>
    </w:p>
    <w:p w:rsidR="003D3B20" w:rsidRDefault="007B6C3C">
      <w:pPr>
        <w:pStyle w:val="normal0"/>
        <w:ind w:left="720"/>
      </w:pPr>
      <w:r>
        <w:t>d.</w:t>
      </w:r>
      <w:r>
        <w:rPr>
          <w:sz w:val="14"/>
          <w:szCs w:val="14"/>
        </w:rPr>
        <w:t xml:space="preserve">      </w:t>
      </w:r>
      <w:r>
        <w:t>The “and more” part refers to all of the additional resources that are available through business-sp</w:t>
      </w:r>
      <w:r>
        <w:t xml:space="preserve">ecific databases that are created for a particular reason and thus can be useful to researchers for particular reasons. Some of these documents include: company profile reports, SWOT reports, industry reports, market research reports, or tables containing </w:t>
      </w:r>
      <w:r>
        <w:t>financial information. An explanation of these resources, such as why the source was created, or an example of using the source in a specific way can provide a foundation of source types for the students so that eventually they can make the informed decisi</w:t>
      </w:r>
      <w:r>
        <w:t>on to match a useful information product with their information needs.</w:t>
      </w:r>
    </w:p>
    <w:p w:rsidR="003D3B20" w:rsidRDefault="007B6C3C">
      <w:pPr>
        <w:pStyle w:val="normal0"/>
      </w:pPr>
      <w:r>
        <w:t>An additional frame, Information Has Value, became relevant in the MKTG 330 library instruction session, especially after discussing the different types of sources with the students. Fo</w:t>
      </w:r>
      <w:r>
        <w:t xml:space="preserve">r example, a student might question when to use Google, versus a library-subscription databases, versus a hard copy version. All three formats certainly exist for a source like the magazine </w:t>
      </w:r>
      <w:r>
        <w:rPr>
          <w:i/>
        </w:rPr>
        <w:t>Entrepreneur</w:t>
      </w:r>
      <w:r>
        <w:t xml:space="preserve"> and those are probably not the only formats out there</w:t>
      </w:r>
      <w:r>
        <w:t xml:space="preserve"> -- the magazine company could maintain a Twitter account or a blog, just to name a few additional possibilities. One version might not offer the complete article or issue or users might run into a paywall. Another version might take a couple steps to acce</w:t>
      </w:r>
      <w:r>
        <w:t>ss but could save a lot of time in the long-run because of the amazing full-text searching capabilities. Another version might be overrun by ads but present the information in an easily digestible format. Some versions exist for users who leisurely want to</w:t>
      </w:r>
      <w:r>
        <w:t xml:space="preserve"> browse or just consume the news that is easily and freely available to them. Other versions exist for serious researchers or someone who is more invested in consuming the information. Some versions are free and some versions are subscription-based. </w:t>
      </w:r>
    </w:p>
    <w:p w:rsidR="003D3B20" w:rsidRDefault="007B6C3C">
      <w:pPr>
        <w:pStyle w:val="normal0"/>
      </w:pPr>
      <w:r>
        <w:t>In th</w:t>
      </w:r>
      <w:r>
        <w:t>is particular case, for this particular class and assignment, teaching with the frame Information Have Value alongside with teaching with the frame Information Creation as a Process made sense for the business librarian. Additional examples such as the one</w:t>
      </w:r>
      <w:r>
        <w:t xml:space="preserve"> mentioned above continued to be relevant to the marketing students who wanted the timely and trendy information, but who also needed the complete story to make a completely informed decision to successfully complete their assignments. Teaching with these </w:t>
      </w:r>
      <w:r>
        <w:t>two threshold concepts provided students the chance to not only understand that different types of sources exist for different reasons and that information has value in more ways than one, but also provided them with a foundation to become better researche</w:t>
      </w:r>
      <w:r>
        <w:t>rs and select sources more appropriately based on their own information needs.</w:t>
      </w:r>
    </w:p>
    <w:p w:rsidR="003D3B20" w:rsidRDefault="007B6C3C">
      <w:pPr>
        <w:pStyle w:val="normal0"/>
      </w:pPr>
      <w:r>
        <w:rPr>
          <w:b/>
        </w:rPr>
        <w:t>Dance 202</w:t>
      </w:r>
    </w:p>
    <w:p w:rsidR="003D3B20" w:rsidRDefault="007B6C3C">
      <w:pPr>
        <w:pStyle w:val="normal0"/>
        <w:spacing w:after="0"/>
      </w:pPr>
      <w:r>
        <w:t xml:space="preserve"> Although many of the dance classes at Salisbury University are more physically-oriented and technique -driven in nature,  Dance 202  routinely comes to the library fo</w:t>
      </w:r>
      <w:r>
        <w:t>r help with a more traditional research assignment. In much the same way that the science librarian was surprised to discover that approaching the geography assignment with an eye to the Frameworks would be beneficial to students, during the fall 2014 seme</w:t>
      </w:r>
      <w:r>
        <w:t xml:space="preserve">ster the same template was perhaps surprisingly applied during library information literacy instruction for Dance 202. </w:t>
      </w:r>
    </w:p>
    <w:p w:rsidR="003D3B20" w:rsidRDefault="003D3B20">
      <w:pPr>
        <w:pStyle w:val="normal0"/>
        <w:spacing w:after="0"/>
      </w:pPr>
    </w:p>
    <w:p w:rsidR="003D3B20" w:rsidRDefault="007B6C3C">
      <w:pPr>
        <w:pStyle w:val="normal0"/>
        <w:spacing w:after="0"/>
      </w:pPr>
      <w:r>
        <w:t>The course’s assignment requires students to, “Select one European or non-European folk dance that serves as an emblem of your cultural</w:t>
      </w:r>
      <w:r>
        <w:t xml:space="preserve"> or ethnic identity and heritage. Folk Dance defines as a regional dance with historic importance in a specific culture. Folk dances are bound by traditions of the “common folk” (as opposed to “high society” dances) and most originated before the 20th cent</w:t>
      </w:r>
      <w:r>
        <w:t>ury.”</w:t>
      </w:r>
      <w:r>
        <w:rPr>
          <w:vertAlign w:val="superscript"/>
        </w:rPr>
        <w:footnoteReference w:id="12"/>
      </w:r>
      <w:r>
        <w:t>. Students cannot choose  a “classic” artistic dance like ballet, which certainly has a wealth of resources available, but instead topics are more characteristic of a dance like the Jingle Dress dance of the Ojibwe tribe. As such, student  research t</w:t>
      </w:r>
      <w:r>
        <w:t>opics are very specific, and can sometimes be a challenge to find in traditional library resources. Using the “Information Creation as a Process” framework-based template to help students understand what type of information to look for in a book (to search</w:t>
      </w:r>
      <w:r>
        <w:t xml:space="preserve"> for broader cultural discussions that may include a chapter or a section on dance, rather than an entire book on the Jingle Dress dance itself, for example) made their searches not only more successful, but simultaneously seemed to reduce the risk of info</w:t>
      </w:r>
      <w:r>
        <w:t xml:space="preserve">rmation overload and library anxiety. </w:t>
      </w:r>
    </w:p>
    <w:p w:rsidR="003D3B20" w:rsidRDefault="003D3B20">
      <w:pPr>
        <w:pStyle w:val="normal0"/>
        <w:spacing w:after="0"/>
      </w:pPr>
    </w:p>
    <w:p w:rsidR="003D3B20" w:rsidRDefault="007B6C3C">
      <w:pPr>
        <w:pStyle w:val="normal0"/>
        <w:spacing w:after="0"/>
      </w:pPr>
      <w:r>
        <w:t>While the information literacy instruction session was primarily developed to focus on “Information Creation as a Process”, both “Authority is Contextual” and “Searching as a Strategic Exploration” frameworks were us</w:t>
      </w:r>
      <w:r>
        <w:t>ed in the library instruction session for Dance 202. As the research assignment required students to locate a video of their specific dance, many students needed to turn to the website YouTube in order to find something that would adequately show their dan</w:t>
      </w:r>
      <w:r>
        <w:t xml:space="preserve">ce in enough detail. Due to the nature of the folk dances, it is unlikely that these dances would be performed by established repertory dance companies and correspondingly released in a professional published film. It was far more likely to be individuals </w:t>
      </w:r>
      <w:r>
        <w:t>who claimed said dance as a part of their identity and were filmed, in homemade videoes, dancing as a part of a cultural event. Those homemade videoes still hold the authority, however, despite being hosted on a website that might be cause for concern in a</w:t>
      </w:r>
      <w:r>
        <w:t>nother setting.</w:t>
      </w:r>
    </w:p>
    <w:p w:rsidR="003D3B20" w:rsidRDefault="003D3B20">
      <w:pPr>
        <w:pStyle w:val="normal0"/>
        <w:spacing w:after="0"/>
      </w:pPr>
    </w:p>
    <w:p w:rsidR="003D3B20" w:rsidRDefault="007B6C3C">
      <w:pPr>
        <w:pStyle w:val="normal0"/>
        <w:spacing w:after="0"/>
      </w:pPr>
      <w:r>
        <w:t>The iterative process of research, evident in the “Searching as a Strategic Exploration” frame, is especially tangible within this assignment. Students needed to look in multiple places, often for the same thing</w:t>
      </w:r>
      <w:r>
        <w:t>, which would result in different findings. Keywords and spellings needed to be considered again and again and innumerable variations were often called for.  As well, a multitude of very specific questions needed to be posed to the students in order for th</w:t>
      </w:r>
      <w:r>
        <w:t>em to begin to best grasp their research strategies:   What culture does this dance belong to?; In what way is it used?; How broad should my  keywords be?   Students experienced very quickly that a single search would not bring them all the results they ne</w:t>
      </w:r>
      <w:r>
        <w:t xml:space="preserve">eded and that they needed to be flexible, creative, and nimble in their explorations.  </w:t>
      </w:r>
    </w:p>
    <w:p w:rsidR="003D3B20" w:rsidRDefault="003D3B20">
      <w:pPr>
        <w:pStyle w:val="normal0"/>
        <w:spacing w:after="0"/>
      </w:pPr>
    </w:p>
    <w:p w:rsidR="003D3B20" w:rsidRDefault="007B6C3C">
      <w:pPr>
        <w:pStyle w:val="normal0"/>
        <w:spacing w:after="0"/>
      </w:pPr>
      <w:r>
        <w:t>After identifying the presence of these other two frameworks in the assignment, the next time it is taught the librarian will endeavor to be more deliberate in includi</w:t>
      </w:r>
      <w:r>
        <w:t xml:space="preserve">ng said frameworks into the discussion, by highlighting the nature the videos that students are required to use and the necessary iterative process. </w:t>
      </w:r>
    </w:p>
    <w:p w:rsidR="003D3B20" w:rsidRDefault="003D3B20">
      <w:pPr>
        <w:pStyle w:val="normal0"/>
        <w:spacing w:after="0"/>
      </w:pPr>
    </w:p>
    <w:p w:rsidR="003D3B20" w:rsidRDefault="003D3B20">
      <w:pPr>
        <w:pStyle w:val="normal0"/>
        <w:spacing w:after="0"/>
      </w:pPr>
    </w:p>
    <w:p w:rsidR="003D3B20" w:rsidRDefault="007B6C3C">
      <w:pPr>
        <w:pStyle w:val="normal0"/>
        <w:spacing w:after="0"/>
      </w:pPr>
      <w:r>
        <w:rPr>
          <w:rFonts w:ascii="Arial" w:eastAsia="Arial" w:hAnsi="Arial" w:cs="Arial"/>
          <w:b/>
        </w:rPr>
        <w:t>Conclusion</w:t>
      </w:r>
    </w:p>
    <w:p w:rsidR="003D3B20" w:rsidRDefault="003D3B20">
      <w:pPr>
        <w:pStyle w:val="normal0"/>
        <w:spacing w:after="0"/>
      </w:pPr>
    </w:p>
    <w:p w:rsidR="003D3B20" w:rsidRDefault="007B6C3C">
      <w:pPr>
        <w:pStyle w:val="normal0"/>
        <w:spacing w:after="0"/>
      </w:pPr>
      <w:r>
        <w:t>In the near future</w:t>
      </w:r>
      <w:r>
        <w:t xml:space="preserve"> librarians will be challenged to make the paradigmatic transition from an orderly list  of information literacy Standards that are replete with indicators of learning, to several Frames which are not ordered and describe Knowledge characteristics and Disp</w:t>
      </w:r>
      <w:r>
        <w:t>ositions rather than student learning outcomes. The librarians at SU started with just an inkling of an idea that was entirely based on theory, which we put into practice even as the Frames themselves evolved and took shape. Based on the benefits that we o</w:t>
      </w:r>
      <w:r>
        <w:t>bserved from this early work, we wholeheartedly encourage other librarians to similarly experiment with the Frames in order to divine the full potential of threshold concepts as a new way to think about, teach, and advocate for more meaningful, and ultimat</w:t>
      </w:r>
      <w:r>
        <w:t>ely more impactful, information literacy education.</w:t>
      </w:r>
    </w:p>
    <w:sectPr w:rsidR="003D3B20">
      <w:headerReference w:type="default" r:id="rId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6C3C" w:rsidRDefault="007B6C3C">
      <w:pPr>
        <w:spacing w:after="0" w:line="240" w:lineRule="auto"/>
      </w:pPr>
      <w:r>
        <w:separator/>
      </w:r>
    </w:p>
  </w:endnote>
  <w:endnote w:type="continuationSeparator" w:id="0">
    <w:p w:rsidR="007B6C3C" w:rsidRDefault="007B6C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Georgia">
    <w:panose1 w:val="02040502050405020303"/>
    <w:charset w:val="00"/>
    <w:family w:val="auto"/>
    <w:pitch w:val="default"/>
  </w:font>
  <w:font w:name="ＭＳ ゴシック">
    <w:panose1 w:val="00000000000000000000"/>
    <w:charset w:val="80"/>
    <w:family w:val="modern"/>
    <w:notTrueType/>
    <w:pitch w:val="fixed"/>
    <w:sig w:usb0="00000001" w:usb1="08070000" w:usb2="00000010" w:usb3="00000000" w:csb0="00020000"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6C3C" w:rsidRDefault="007B6C3C">
      <w:pPr>
        <w:spacing w:after="0" w:line="240" w:lineRule="auto"/>
      </w:pPr>
      <w:r>
        <w:separator/>
      </w:r>
    </w:p>
  </w:footnote>
  <w:footnote w:type="continuationSeparator" w:id="0">
    <w:p w:rsidR="007B6C3C" w:rsidRDefault="007B6C3C">
      <w:pPr>
        <w:spacing w:after="0" w:line="240" w:lineRule="auto"/>
      </w:pPr>
      <w:r>
        <w:continuationSeparator/>
      </w:r>
    </w:p>
  </w:footnote>
  <w:footnote w:id="1">
    <w:p w:rsidR="003D3B20" w:rsidRDefault="007B6C3C">
      <w:pPr>
        <w:pStyle w:val="normal0"/>
        <w:spacing w:after="0" w:line="240" w:lineRule="auto"/>
      </w:pPr>
      <w:r>
        <w:rPr>
          <w:vertAlign w:val="superscript"/>
        </w:rPr>
        <w:footnoteRef/>
      </w:r>
      <w:r>
        <w:rPr>
          <w:sz w:val="20"/>
          <w:szCs w:val="20"/>
        </w:rPr>
        <w:t xml:space="preserve"> Head, A. J. (2013). </w:t>
      </w:r>
      <w:r>
        <w:rPr>
          <w:i/>
          <w:sz w:val="20"/>
          <w:szCs w:val="20"/>
        </w:rPr>
        <w:t>Learning the Ropes: How Freshmen Conduct Course Research Once They Enter College</w:t>
      </w:r>
      <w:r>
        <w:rPr>
          <w:sz w:val="20"/>
          <w:szCs w:val="20"/>
        </w:rPr>
        <w:t xml:space="preserve"> (Rep.). Project Information Literacy.</w:t>
      </w:r>
    </w:p>
  </w:footnote>
  <w:footnote w:id="2">
    <w:p w:rsidR="003D3B20" w:rsidRDefault="007B6C3C">
      <w:pPr>
        <w:pStyle w:val="normal0"/>
        <w:spacing w:after="0" w:line="240" w:lineRule="auto"/>
      </w:pPr>
      <w:r>
        <w:rPr>
          <w:vertAlign w:val="superscript"/>
        </w:rPr>
        <w:footnoteRef/>
      </w:r>
      <w:r>
        <w:rPr>
          <w:sz w:val="20"/>
          <w:szCs w:val="20"/>
        </w:rPr>
        <w:t xml:space="preserve"> Association of College and Research Libraries. (2015, February 2). Framework for Information Literacy for Higher Education. </w:t>
      </w:r>
      <w:r>
        <w:rPr>
          <w:sz w:val="20"/>
          <w:szCs w:val="20"/>
        </w:rPr>
        <w:t>Retrieved May 5, 2015, from http://www.ala.org/acrl/standards/ilframework</w:t>
      </w:r>
    </w:p>
  </w:footnote>
  <w:footnote w:id="3">
    <w:p w:rsidR="003D3B20" w:rsidRDefault="007B6C3C">
      <w:pPr>
        <w:pStyle w:val="normal0"/>
        <w:spacing w:after="0" w:line="240" w:lineRule="auto"/>
      </w:pPr>
      <w:r>
        <w:rPr>
          <w:vertAlign w:val="superscript"/>
        </w:rPr>
        <w:footnoteRef/>
      </w:r>
      <w:r>
        <w:rPr>
          <w:sz w:val="20"/>
          <w:szCs w:val="20"/>
        </w:rPr>
        <w:t xml:space="preserve"> Meyer, Jan, and Ray Land. </w:t>
      </w:r>
      <w:r>
        <w:rPr>
          <w:i/>
          <w:sz w:val="20"/>
          <w:szCs w:val="20"/>
        </w:rPr>
        <w:t>Threshold Concepts and Troublesome Knowledge: Linkages to Ways of Thinking and Practicing within the Disciplines. </w:t>
      </w:r>
      <w:r>
        <w:rPr>
          <w:sz w:val="20"/>
          <w:szCs w:val="20"/>
        </w:rPr>
        <w:t xml:space="preserve">Edinburgh, UK: University of Edinburgh, </w:t>
      </w:r>
      <w:r>
        <w:rPr>
          <w:sz w:val="20"/>
          <w:szCs w:val="20"/>
        </w:rPr>
        <w:t>2003.</w:t>
      </w:r>
    </w:p>
  </w:footnote>
  <w:footnote w:id="4">
    <w:p w:rsidR="003D3B20" w:rsidRDefault="007B6C3C">
      <w:pPr>
        <w:pStyle w:val="normal0"/>
        <w:spacing w:after="0" w:line="240" w:lineRule="auto"/>
      </w:pPr>
      <w:r>
        <w:rPr>
          <w:vertAlign w:val="superscript"/>
        </w:rPr>
        <w:footnoteRef/>
      </w:r>
      <w:r>
        <w:rPr>
          <w:sz w:val="20"/>
          <w:szCs w:val="20"/>
        </w:rPr>
        <w:t xml:space="preserve"> Hensley, Merinda Kaye. “The Framework for Information Literacy and its Impact on Student Learning” (presentation, Associa</w:t>
      </w:r>
      <w:r>
        <w:rPr>
          <w:sz w:val="20"/>
          <w:szCs w:val="20"/>
        </w:rPr>
        <w:t>tion of College and Research Libraries, Portland, OR, March 25-28, 2015).</w:t>
      </w:r>
    </w:p>
  </w:footnote>
  <w:footnote w:id="5">
    <w:p w:rsidR="003D3B20" w:rsidRDefault="007B6C3C">
      <w:pPr>
        <w:pStyle w:val="normal0"/>
      </w:pPr>
      <w:r>
        <w:rPr>
          <w:vertAlign w:val="superscript"/>
        </w:rPr>
        <w:footnoteRef/>
      </w:r>
      <w:r>
        <w:t xml:space="preserve"> </w:t>
      </w:r>
      <w:r>
        <w:rPr>
          <w:rFonts w:ascii="Arial" w:eastAsia="Arial" w:hAnsi="Arial" w:cs="Arial"/>
          <w:color w:val="303030"/>
          <w:sz w:val="20"/>
          <w:szCs w:val="20"/>
          <w:highlight w:val="white"/>
        </w:rPr>
        <w:t>Meyer, Jan, and Ray Land. </w:t>
      </w:r>
      <w:r>
        <w:rPr>
          <w:rFonts w:ascii="Arial" w:eastAsia="Arial" w:hAnsi="Arial" w:cs="Arial"/>
          <w:i/>
          <w:color w:val="303030"/>
          <w:sz w:val="20"/>
          <w:szCs w:val="20"/>
          <w:highlight w:val="white"/>
        </w:rPr>
        <w:t>Threshold Concepts and Troublesome Knowledge: Linkages to Ways of Thinking and Practicing within the Disciplines. </w:t>
      </w:r>
      <w:r>
        <w:rPr>
          <w:rFonts w:ascii="Arial" w:eastAsia="Arial" w:hAnsi="Arial" w:cs="Arial"/>
          <w:color w:val="303030"/>
          <w:sz w:val="20"/>
          <w:szCs w:val="20"/>
          <w:highlight w:val="white"/>
        </w:rPr>
        <w:t>Edinburgh, UK: University of Edinburgh, 2003.</w:t>
      </w:r>
    </w:p>
  </w:footnote>
  <w:footnote w:id="6">
    <w:p w:rsidR="003D3B20" w:rsidRDefault="007B6C3C">
      <w:pPr>
        <w:pStyle w:val="normal0"/>
        <w:spacing w:after="0" w:line="240" w:lineRule="auto"/>
      </w:pPr>
      <w:r>
        <w:rPr>
          <w:vertAlign w:val="superscript"/>
        </w:rPr>
        <w:footnoteRef/>
      </w:r>
      <w:r>
        <w:rPr>
          <w:sz w:val="20"/>
          <w:szCs w:val="20"/>
        </w:rPr>
        <w:t xml:space="preserve"> Salisbury University. (2009). </w:t>
      </w:r>
      <w:r>
        <w:rPr>
          <w:i/>
          <w:sz w:val="20"/>
          <w:szCs w:val="20"/>
        </w:rPr>
        <w:t>The manual for English 103</w:t>
      </w:r>
      <w:r>
        <w:rPr>
          <w:sz w:val="20"/>
          <w:szCs w:val="20"/>
        </w:rPr>
        <w:t>. Salisbury, MD: Salisbury University.</w:t>
      </w:r>
    </w:p>
  </w:footnote>
  <w:footnote w:id="7">
    <w:p w:rsidR="003D3B20" w:rsidRDefault="007B6C3C">
      <w:pPr>
        <w:pStyle w:val="normal0"/>
      </w:pPr>
      <w:r>
        <w:rPr>
          <w:vertAlign w:val="superscript"/>
        </w:rPr>
        <w:footnoteRef/>
      </w:r>
      <w:r>
        <w:t xml:space="preserve"> </w:t>
      </w:r>
      <w:r>
        <w:rPr>
          <w:color w:val="303030"/>
          <w:sz w:val="20"/>
          <w:szCs w:val="20"/>
          <w:highlight w:val="white"/>
        </w:rPr>
        <w:t>Hofer, Amy R., Lori Townsend, and Korey Brunetti. “Troubleso</w:t>
      </w:r>
      <w:r>
        <w:rPr>
          <w:color w:val="303030"/>
          <w:sz w:val="20"/>
          <w:szCs w:val="20"/>
          <w:highlight w:val="white"/>
        </w:rPr>
        <w:t>me Concepts and Information Literacy: Investigating Threshold Concepts for IL Instruction.” </w:t>
      </w:r>
      <w:r>
        <w:rPr>
          <w:i/>
          <w:color w:val="303030"/>
          <w:sz w:val="20"/>
          <w:szCs w:val="20"/>
          <w:highlight w:val="white"/>
        </w:rPr>
        <w:t>portal: Libraries and the Academy </w:t>
      </w:r>
      <w:r>
        <w:rPr>
          <w:color w:val="303030"/>
          <w:sz w:val="20"/>
          <w:szCs w:val="20"/>
          <w:highlight w:val="white"/>
        </w:rPr>
        <w:t>12, no. 4 (2012): 387–405.</w:t>
      </w:r>
    </w:p>
    <w:p w:rsidR="003D3B20" w:rsidRDefault="003D3B20">
      <w:pPr>
        <w:pStyle w:val="normal0"/>
        <w:spacing w:after="0" w:line="240" w:lineRule="auto"/>
      </w:pPr>
    </w:p>
  </w:footnote>
  <w:footnote w:id="8">
    <w:p w:rsidR="003D3B20" w:rsidRDefault="007B6C3C">
      <w:pPr>
        <w:pStyle w:val="normal0"/>
        <w:spacing w:after="0" w:line="240" w:lineRule="auto"/>
      </w:pPr>
      <w:r>
        <w:rPr>
          <w:vertAlign w:val="superscript"/>
        </w:rPr>
        <w:footnoteRef/>
      </w:r>
      <w:r>
        <w:rPr>
          <w:sz w:val="20"/>
          <w:szCs w:val="20"/>
        </w:rPr>
        <w:t xml:space="preserve"> Bizup, Joseph. “BEAM: A Rhetorical Vocabulary for Teaching Research-Based Writing.” </w:t>
      </w:r>
      <w:r>
        <w:rPr>
          <w:i/>
          <w:sz w:val="20"/>
          <w:szCs w:val="20"/>
        </w:rPr>
        <w:t>Rhetoric Review</w:t>
      </w:r>
      <w:r>
        <w:rPr>
          <w:sz w:val="20"/>
          <w:szCs w:val="20"/>
        </w:rPr>
        <w:t> </w:t>
      </w:r>
      <w:r>
        <w:rPr>
          <w:sz w:val="20"/>
          <w:szCs w:val="20"/>
        </w:rPr>
        <w:t>27.1 (2008): 72-86. </w:t>
      </w:r>
      <w:r>
        <w:rPr>
          <w:i/>
          <w:sz w:val="20"/>
          <w:szCs w:val="20"/>
        </w:rPr>
        <w:t>Communication &amp; Mass Media Complete</w:t>
      </w:r>
      <w:r>
        <w:rPr>
          <w:sz w:val="20"/>
          <w:szCs w:val="20"/>
        </w:rPr>
        <w:t>. Web. 4 February 2014.</w:t>
      </w:r>
    </w:p>
  </w:footnote>
  <w:footnote w:id="9">
    <w:p w:rsidR="003D3B20" w:rsidRDefault="007B6C3C">
      <w:pPr>
        <w:pStyle w:val="normal0"/>
        <w:spacing w:after="0" w:line="240" w:lineRule="auto"/>
      </w:pPr>
      <w:r>
        <w:rPr>
          <w:vertAlign w:val="superscript"/>
        </w:rPr>
        <w:footnoteRef/>
      </w:r>
      <w:r>
        <w:rPr>
          <w:sz w:val="20"/>
          <w:szCs w:val="20"/>
        </w:rPr>
        <w:t xml:space="preserve"> Hicks, A. (2015, April 15). LibGuides: Pedagogy to Oppress? - Hybrid Pedagogy. Retrieved April 20, 2015, from http://www.hybridpedagogy.com/journal/libguides-pedagogy-to-oppre</w:t>
      </w:r>
      <w:r>
        <w:rPr>
          <w:sz w:val="20"/>
          <w:szCs w:val="20"/>
        </w:rPr>
        <w:t>ss/</w:t>
      </w:r>
    </w:p>
  </w:footnote>
  <w:footnote w:id="10">
    <w:p w:rsidR="003D3B20" w:rsidRDefault="007B6C3C">
      <w:pPr>
        <w:pStyle w:val="normal0"/>
        <w:spacing w:after="0" w:line="240" w:lineRule="auto"/>
      </w:pPr>
      <w:r>
        <w:rPr>
          <w:vertAlign w:val="superscript"/>
        </w:rPr>
        <w:footnoteRef/>
      </w:r>
      <w:r>
        <w:rPr>
          <w:sz w:val="20"/>
          <w:szCs w:val="20"/>
        </w:rPr>
        <w:t xml:space="preserve"> </w:t>
      </w:r>
      <w:r>
        <w:rPr>
          <w:color w:val="303030"/>
          <w:highlight w:val="white"/>
        </w:rPr>
        <w:t>Oakleaf, Megan. “A Roadmap for Assessing Student Learning Using th</w:t>
      </w:r>
      <w:r>
        <w:rPr>
          <w:color w:val="303030"/>
          <w:highlight w:val="white"/>
        </w:rPr>
        <w:t xml:space="preserve">e New Framework for Information Literacy for Higher Education.” </w:t>
      </w:r>
      <w:r>
        <w:rPr>
          <w:i/>
          <w:color w:val="303030"/>
          <w:highlight w:val="white"/>
        </w:rPr>
        <w:t xml:space="preserve">Journal of Academic Librarianship </w:t>
      </w:r>
      <w:r>
        <w:rPr>
          <w:color w:val="303030"/>
          <w:highlight w:val="white"/>
        </w:rPr>
        <w:t>40, no. 5 (September 2014): 510–4.</w:t>
      </w:r>
    </w:p>
  </w:footnote>
  <w:footnote w:id="11">
    <w:p w:rsidR="003D3B20" w:rsidRDefault="007B6C3C">
      <w:pPr>
        <w:pStyle w:val="normal0"/>
        <w:spacing w:after="0" w:line="240" w:lineRule="auto"/>
      </w:pPr>
      <w:r>
        <w:rPr>
          <w:vertAlign w:val="superscript"/>
        </w:rPr>
        <w:footnoteRef/>
      </w:r>
      <w:r>
        <w:rPr>
          <w:sz w:val="20"/>
          <w:szCs w:val="20"/>
        </w:rPr>
        <w:t xml:space="preserve"> DeSocio, Mark.  </w:t>
      </w:r>
      <w:r>
        <w:rPr>
          <w:i/>
          <w:sz w:val="20"/>
          <w:szCs w:val="20"/>
        </w:rPr>
        <w:t>Project: Economic Geography Profile of Fortune-ranked Corporation.</w:t>
      </w:r>
      <w:r>
        <w:rPr>
          <w:sz w:val="20"/>
          <w:szCs w:val="20"/>
        </w:rPr>
        <w:t xml:space="preserve"> Spring, 2015. Economic Geography 203 Assignment. Geography &amp; Geosciences Department, Henson School of Science, Salisbury University, Salisbury, Maryland.</w:t>
      </w:r>
    </w:p>
  </w:footnote>
  <w:footnote w:id="12">
    <w:p w:rsidR="003D3B20" w:rsidRDefault="007B6C3C">
      <w:pPr>
        <w:pStyle w:val="normal0"/>
        <w:spacing w:after="0" w:line="240" w:lineRule="auto"/>
      </w:pPr>
      <w:r>
        <w:rPr>
          <w:vertAlign w:val="superscript"/>
        </w:rPr>
        <w:footnoteRef/>
      </w:r>
      <w:r>
        <w:rPr>
          <w:sz w:val="20"/>
          <w:szCs w:val="20"/>
        </w:rPr>
        <w:t xml:space="preserve"> Hu</w:t>
      </w:r>
      <w:r>
        <w:rPr>
          <w:sz w:val="20"/>
          <w:szCs w:val="20"/>
        </w:rPr>
        <w:t xml:space="preserve">tchinson, Victoria. </w:t>
      </w:r>
      <w:r>
        <w:rPr>
          <w:i/>
          <w:sz w:val="20"/>
          <w:szCs w:val="20"/>
        </w:rPr>
        <w:t>“Topic” Assignment.</w:t>
      </w:r>
      <w:r>
        <w:rPr>
          <w:sz w:val="20"/>
          <w:szCs w:val="20"/>
        </w:rPr>
        <w:t>Fall 2014. Dance Appreciation 202 Assignment. Theatre &amp; Dance Department, Fulton School of Liberal Arts, Salisbury University, Salisbury, Maryland.</w:t>
      </w:r>
    </w:p>
    <w:p w:rsidR="003D3B20" w:rsidRDefault="003D3B20">
      <w:pPr>
        <w:pStyle w:val="normal0"/>
        <w:spacing w:after="0" w:line="240" w:lineRule="auto"/>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B20" w:rsidRDefault="007B6C3C">
    <w:pPr>
      <w:pStyle w:val="normal0"/>
      <w:jc w:val="right"/>
    </w:pPr>
    <w:r>
      <w:fldChar w:fldCharType="begin"/>
    </w:r>
    <w:r>
      <w:instrText>PAGE</w:instrText>
    </w:r>
    <w:r>
      <w:fldChar w:fldCharType="separate"/>
    </w:r>
    <w:r w:rsidR="00D106B9">
      <w:rPr>
        <w:noProof/>
      </w:rPr>
      <w:t>1</w:t>
    </w:r>
    <w:r>
      <w:fldChar w:fldCharType="end"/>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C5F8B"/>
    <w:multiLevelType w:val="multilevel"/>
    <w:tmpl w:val="4DF880EE"/>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
    <w:nsid w:val="33BB5054"/>
    <w:multiLevelType w:val="multilevel"/>
    <w:tmpl w:val="C8CA93F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nsid w:val="4B6E09F5"/>
    <w:multiLevelType w:val="multilevel"/>
    <w:tmpl w:val="366C17A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
    <w:nsid w:val="5017472D"/>
    <w:multiLevelType w:val="multilevel"/>
    <w:tmpl w:val="8506ABC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
    <w:nsid w:val="6C8A41C9"/>
    <w:multiLevelType w:val="multilevel"/>
    <w:tmpl w:val="F7A07A9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3D3B20"/>
    <w:rsid w:val="003D3B20"/>
    <w:rsid w:val="007B6C3C"/>
    <w:rsid w:val="00D106B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80" w:after="120"/>
      <w:contextualSpacing/>
      <w:outlineLvl w:val="0"/>
    </w:pPr>
    <w:rPr>
      <w:b/>
      <w:sz w:val="48"/>
      <w:szCs w:val="48"/>
    </w:rPr>
  </w:style>
  <w:style w:type="paragraph" w:styleId="Heading2">
    <w:name w:val="heading 2"/>
    <w:basedOn w:val="normal0"/>
    <w:next w:val="normal0"/>
    <w:pPr>
      <w:keepNext/>
      <w:keepLines/>
      <w:spacing w:before="360" w:after="80"/>
      <w:contextualSpacing/>
      <w:outlineLvl w:val="1"/>
    </w:pPr>
    <w:rPr>
      <w:b/>
      <w:sz w:val="36"/>
      <w:szCs w:val="36"/>
    </w:rPr>
  </w:style>
  <w:style w:type="paragraph" w:styleId="Heading3">
    <w:name w:val="heading 3"/>
    <w:basedOn w:val="normal0"/>
    <w:next w:val="normal0"/>
    <w:pPr>
      <w:keepNext/>
      <w:keepLines/>
      <w:spacing w:before="280" w:after="80"/>
      <w:contextualSpacing/>
      <w:outlineLvl w:val="2"/>
    </w:pPr>
    <w:rPr>
      <w:b/>
      <w:sz w:val="28"/>
      <w:szCs w:val="28"/>
    </w:rPr>
  </w:style>
  <w:style w:type="paragraph" w:styleId="Heading4">
    <w:name w:val="heading 4"/>
    <w:basedOn w:val="normal0"/>
    <w:next w:val="normal0"/>
    <w:pPr>
      <w:keepNext/>
      <w:keepLines/>
      <w:spacing w:before="240" w:after="40"/>
      <w:contextualSpacing/>
      <w:outlineLvl w:val="3"/>
    </w:pPr>
    <w:rPr>
      <w:b/>
      <w:sz w:val="24"/>
      <w:szCs w:val="24"/>
    </w:rPr>
  </w:style>
  <w:style w:type="paragraph" w:styleId="Heading5">
    <w:name w:val="heading 5"/>
    <w:basedOn w:val="normal0"/>
    <w:next w:val="normal0"/>
    <w:pPr>
      <w:keepNext/>
      <w:keepLines/>
      <w:spacing w:before="220" w:after="40"/>
      <w:contextualSpacing/>
      <w:outlineLvl w:val="4"/>
    </w:pPr>
    <w:rPr>
      <w:b/>
    </w:rPr>
  </w:style>
  <w:style w:type="paragraph" w:styleId="Heading6">
    <w:name w:val="heading 6"/>
    <w:basedOn w:val="normal0"/>
    <w:next w:val="normal0"/>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before="480" w:after="120"/>
      <w:contextualSpacing/>
    </w:pPr>
    <w:rPr>
      <w:b/>
      <w:sz w:val="72"/>
      <w:szCs w:val="72"/>
    </w:rPr>
  </w:style>
  <w:style w:type="paragraph" w:styleId="Subtitle">
    <w:name w:val="Subtitle"/>
    <w:basedOn w:val="normal0"/>
    <w:next w:val="normal0"/>
    <w:pPr>
      <w:keepNext/>
      <w:keepLines/>
      <w:spacing w:before="360" w:after="80"/>
      <w:contextualSpacing/>
    </w:pPr>
    <w:rPr>
      <w:rFonts w:ascii="Georgia" w:eastAsia="Georgia" w:hAnsi="Georgia" w:cs="Georgia"/>
      <w:i/>
      <w:color w:val="666666"/>
      <w:sz w:val="48"/>
      <w:szCs w:val="48"/>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80" w:after="120"/>
      <w:contextualSpacing/>
      <w:outlineLvl w:val="0"/>
    </w:pPr>
    <w:rPr>
      <w:b/>
      <w:sz w:val="48"/>
      <w:szCs w:val="48"/>
    </w:rPr>
  </w:style>
  <w:style w:type="paragraph" w:styleId="Heading2">
    <w:name w:val="heading 2"/>
    <w:basedOn w:val="normal0"/>
    <w:next w:val="normal0"/>
    <w:pPr>
      <w:keepNext/>
      <w:keepLines/>
      <w:spacing w:before="360" w:after="80"/>
      <w:contextualSpacing/>
      <w:outlineLvl w:val="1"/>
    </w:pPr>
    <w:rPr>
      <w:b/>
      <w:sz w:val="36"/>
      <w:szCs w:val="36"/>
    </w:rPr>
  </w:style>
  <w:style w:type="paragraph" w:styleId="Heading3">
    <w:name w:val="heading 3"/>
    <w:basedOn w:val="normal0"/>
    <w:next w:val="normal0"/>
    <w:pPr>
      <w:keepNext/>
      <w:keepLines/>
      <w:spacing w:before="280" w:after="80"/>
      <w:contextualSpacing/>
      <w:outlineLvl w:val="2"/>
    </w:pPr>
    <w:rPr>
      <w:b/>
      <w:sz w:val="28"/>
      <w:szCs w:val="28"/>
    </w:rPr>
  </w:style>
  <w:style w:type="paragraph" w:styleId="Heading4">
    <w:name w:val="heading 4"/>
    <w:basedOn w:val="normal0"/>
    <w:next w:val="normal0"/>
    <w:pPr>
      <w:keepNext/>
      <w:keepLines/>
      <w:spacing w:before="240" w:after="40"/>
      <w:contextualSpacing/>
      <w:outlineLvl w:val="3"/>
    </w:pPr>
    <w:rPr>
      <w:b/>
      <w:sz w:val="24"/>
      <w:szCs w:val="24"/>
    </w:rPr>
  </w:style>
  <w:style w:type="paragraph" w:styleId="Heading5">
    <w:name w:val="heading 5"/>
    <w:basedOn w:val="normal0"/>
    <w:next w:val="normal0"/>
    <w:pPr>
      <w:keepNext/>
      <w:keepLines/>
      <w:spacing w:before="220" w:after="40"/>
      <w:contextualSpacing/>
      <w:outlineLvl w:val="4"/>
    </w:pPr>
    <w:rPr>
      <w:b/>
    </w:rPr>
  </w:style>
  <w:style w:type="paragraph" w:styleId="Heading6">
    <w:name w:val="heading 6"/>
    <w:basedOn w:val="normal0"/>
    <w:next w:val="normal0"/>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before="480" w:after="120"/>
      <w:contextualSpacing/>
    </w:pPr>
    <w:rPr>
      <w:b/>
      <w:sz w:val="72"/>
      <w:szCs w:val="72"/>
    </w:rPr>
  </w:style>
  <w:style w:type="paragraph" w:styleId="Subtitle">
    <w:name w:val="Subtitle"/>
    <w:basedOn w:val="normal0"/>
    <w:next w:val="normal0"/>
    <w:pPr>
      <w:keepNext/>
      <w:keepLines/>
      <w:spacing w:before="360" w:after="80"/>
      <w:contextualSpacing/>
    </w:pPr>
    <w:rPr>
      <w:rFonts w:ascii="Georgia" w:eastAsia="Georgia" w:hAnsi="Georgia" w:cs="Georgia"/>
      <w:i/>
      <w:color w:val="666666"/>
      <w:sz w:val="48"/>
      <w:szCs w:val="48"/>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9525</Words>
  <Characters>54293</Characters>
  <Application>Microsoft Macintosh Word</Application>
  <DocSecurity>0</DocSecurity>
  <Lines>452</Lines>
  <Paragraphs>127</Paragraphs>
  <ScaleCrop>false</ScaleCrop>
  <Company/>
  <LinksUpToDate>false</LinksUpToDate>
  <CharactersWithSpaces>63691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2017-10-24T13:18:00Z</dcterms:created>
</cp:coreProperties>
</file>