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413E06B" w14:textId="77777777" w:rsidR="00AB1527" w:rsidRPr="000B0D5E" w:rsidRDefault="00AB1527" w:rsidP="00731D54"/>
    <w:p w14:paraId="59952603" w14:textId="071A97B4" w:rsidR="00AB1527" w:rsidRPr="000B0D5E" w:rsidRDefault="00AB1527" w:rsidP="000B0D5E">
      <w:pPr>
        <w:spacing w:line="480" w:lineRule="auto"/>
        <w:jc w:val="center"/>
        <w:rPr>
          <w:rFonts w:ascii="Times New Roman" w:hAnsi="Times New Roman" w:cs="Times New Roman"/>
          <w:sz w:val="24"/>
          <w:szCs w:val="24"/>
        </w:rPr>
      </w:pPr>
      <w:r w:rsidRPr="000B0D5E">
        <w:rPr>
          <w:rFonts w:ascii="Times New Roman" w:hAnsi="Times New Roman" w:cs="Times New Roman"/>
          <w:sz w:val="24"/>
          <w:szCs w:val="24"/>
        </w:rPr>
        <w:t>NONLINEARITY</w:t>
      </w:r>
      <w:r w:rsidR="003247FB">
        <w:rPr>
          <w:rFonts w:ascii="Times New Roman" w:hAnsi="Times New Roman" w:cs="Times New Roman"/>
          <w:sz w:val="24"/>
          <w:szCs w:val="24"/>
        </w:rPr>
        <w:t xml:space="preserve"> BETWEEN FINANCIAL </w:t>
      </w:r>
      <w:r w:rsidR="00E108C9">
        <w:rPr>
          <w:rFonts w:ascii="Times New Roman" w:hAnsi="Times New Roman" w:cs="Times New Roman"/>
          <w:sz w:val="24"/>
          <w:szCs w:val="24"/>
        </w:rPr>
        <w:t xml:space="preserve">DEVEVELOPMENT </w:t>
      </w:r>
      <w:r w:rsidR="00E108C9" w:rsidRPr="000B0D5E">
        <w:rPr>
          <w:rFonts w:ascii="Times New Roman" w:hAnsi="Times New Roman" w:cs="Times New Roman"/>
          <w:sz w:val="24"/>
          <w:szCs w:val="24"/>
        </w:rPr>
        <w:t>AND</w:t>
      </w:r>
      <w:r w:rsidR="00E108C9">
        <w:rPr>
          <w:rFonts w:ascii="Times New Roman" w:hAnsi="Times New Roman" w:cs="Times New Roman"/>
          <w:sz w:val="24"/>
          <w:szCs w:val="24"/>
        </w:rPr>
        <w:t xml:space="preserve"> </w:t>
      </w:r>
      <w:r w:rsidRPr="000B0D5E">
        <w:rPr>
          <w:rFonts w:ascii="Times New Roman" w:hAnsi="Times New Roman" w:cs="Times New Roman"/>
          <w:sz w:val="24"/>
          <w:szCs w:val="24"/>
        </w:rPr>
        <w:t>PRODUCTIVITY GROWTH IN EM</w:t>
      </w:r>
      <w:r w:rsidR="004C0FF5">
        <w:rPr>
          <w:rFonts w:ascii="Times New Roman" w:hAnsi="Times New Roman" w:cs="Times New Roman"/>
          <w:sz w:val="24"/>
          <w:szCs w:val="24"/>
        </w:rPr>
        <w:t>E</w:t>
      </w:r>
      <w:r w:rsidRPr="000B0D5E">
        <w:rPr>
          <w:rFonts w:ascii="Times New Roman" w:hAnsi="Times New Roman" w:cs="Times New Roman"/>
          <w:sz w:val="24"/>
          <w:szCs w:val="24"/>
        </w:rPr>
        <w:t xml:space="preserve">RGING MARKETS </w:t>
      </w:r>
    </w:p>
    <w:p w14:paraId="49E02352" w14:textId="77777777" w:rsidR="00AB1527" w:rsidRPr="000B0D5E" w:rsidRDefault="00AB1527" w:rsidP="000B0D5E">
      <w:pPr>
        <w:spacing w:line="480" w:lineRule="auto"/>
        <w:jc w:val="center"/>
        <w:rPr>
          <w:rFonts w:ascii="Times New Roman" w:hAnsi="Times New Roman" w:cs="Times New Roman"/>
          <w:sz w:val="24"/>
          <w:szCs w:val="24"/>
        </w:rPr>
      </w:pPr>
    </w:p>
    <w:p w14:paraId="36B7DFA6" w14:textId="77777777" w:rsidR="00AB1527" w:rsidRPr="000B0D5E" w:rsidRDefault="00AB1527" w:rsidP="000B0D5E">
      <w:pPr>
        <w:spacing w:line="480" w:lineRule="auto"/>
        <w:jc w:val="center"/>
        <w:rPr>
          <w:rFonts w:ascii="Times New Roman" w:hAnsi="Times New Roman" w:cs="Times New Roman"/>
          <w:sz w:val="24"/>
          <w:szCs w:val="24"/>
        </w:rPr>
      </w:pPr>
    </w:p>
    <w:p w14:paraId="470BBB7F" w14:textId="77777777" w:rsidR="00AB1527" w:rsidRPr="000B0D5E" w:rsidRDefault="00AB1527" w:rsidP="000B0D5E">
      <w:pPr>
        <w:spacing w:line="480" w:lineRule="auto"/>
        <w:jc w:val="center"/>
        <w:rPr>
          <w:rFonts w:ascii="Times New Roman" w:hAnsi="Times New Roman" w:cs="Times New Roman"/>
          <w:sz w:val="24"/>
          <w:szCs w:val="24"/>
        </w:rPr>
      </w:pPr>
      <w:r w:rsidRPr="000B0D5E">
        <w:rPr>
          <w:rFonts w:ascii="Times New Roman" w:hAnsi="Times New Roman" w:cs="Times New Roman"/>
          <w:sz w:val="24"/>
          <w:szCs w:val="24"/>
        </w:rPr>
        <w:t>BY</w:t>
      </w:r>
    </w:p>
    <w:p w14:paraId="263E4655" w14:textId="77777777" w:rsidR="00AB1527" w:rsidRPr="000B0D5E" w:rsidRDefault="00AB1527" w:rsidP="00562990">
      <w:pPr>
        <w:spacing w:line="480" w:lineRule="auto"/>
        <w:rPr>
          <w:rFonts w:ascii="Times New Roman" w:hAnsi="Times New Roman" w:cs="Times New Roman"/>
          <w:sz w:val="24"/>
          <w:szCs w:val="24"/>
        </w:rPr>
      </w:pPr>
    </w:p>
    <w:p w14:paraId="3E1CF0DD" w14:textId="433B56D3" w:rsidR="00AB1527" w:rsidRDefault="00AB1527" w:rsidP="000B0D5E">
      <w:pPr>
        <w:spacing w:line="480" w:lineRule="auto"/>
        <w:jc w:val="center"/>
        <w:rPr>
          <w:rFonts w:ascii="Times New Roman" w:hAnsi="Times New Roman" w:cs="Times New Roman"/>
          <w:sz w:val="24"/>
          <w:szCs w:val="24"/>
        </w:rPr>
      </w:pPr>
      <w:r w:rsidRPr="000B0D5E">
        <w:rPr>
          <w:rFonts w:ascii="Times New Roman" w:hAnsi="Times New Roman" w:cs="Times New Roman"/>
          <w:sz w:val="24"/>
          <w:szCs w:val="24"/>
        </w:rPr>
        <w:t>LAMIN SANKOH</w:t>
      </w:r>
    </w:p>
    <w:p w14:paraId="567EB7D7" w14:textId="1BE2AC69" w:rsidR="00B14762" w:rsidRDefault="00B14762" w:rsidP="000B0D5E">
      <w:pPr>
        <w:spacing w:line="480" w:lineRule="auto"/>
        <w:jc w:val="center"/>
        <w:rPr>
          <w:rFonts w:ascii="Times New Roman" w:hAnsi="Times New Roman" w:cs="Times New Roman"/>
          <w:sz w:val="24"/>
          <w:szCs w:val="24"/>
        </w:rPr>
      </w:pPr>
      <w:r>
        <w:rPr>
          <w:rFonts w:ascii="Times New Roman" w:hAnsi="Times New Roman" w:cs="Times New Roman"/>
          <w:sz w:val="24"/>
          <w:szCs w:val="24"/>
        </w:rPr>
        <w:t>DECEMBER 2017</w:t>
      </w:r>
    </w:p>
    <w:p w14:paraId="232A9DAE" w14:textId="1730958F" w:rsidR="00B14762" w:rsidRDefault="00B14762" w:rsidP="00562990">
      <w:pPr>
        <w:spacing w:line="480" w:lineRule="auto"/>
        <w:rPr>
          <w:rFonts w:ascii="Times New Roman" w:hAnsi="Times New Roman" w:cs="Times New Roman"/>
          <w:sz w:val="24"/>
          <w:szCs w:val="24"/>
        </w:rPr>
      </w:pPr>
    </w:p>
    <w:p w14:paraId="3DE642E0" w14:textId="66F379BE" w:rsidR="00B14762" w:rsidRDefault="00B14762" w:rsidP="000B0D5E">
      <w:pPr>
        <w:spacing w:line="480" w:lineRule="auto"/>
        <w:jc w:val="center"/>
        <w:rPr>
          <w:rFonts w:ascii="Times New Roman" w:hAnsi="Times New Roman" w:cs="Times New Roman"/>
          <w:sz w:val="24"/>
          <w:szCs w:val="24"/>
        </w:rPr>
      </w:pPr>
      <w:r>
        <w:rPr>
          <w:rFonts w:ascii="Times New Roman" w:hAnsi="Times New Roman" w:cs="Times New Roman"/>
          <w:sz w:val="24"/>
          <w:szCs w:val="24"/>
        </w:rPr>
        <w:t>Presented to the</w:t>
      </w:r>
    </w:p>
    <w:p w14:paraId="259249BD" w14:textId="161ED5EC" w:rsidR="00B14762" w:rsidRDefault="00B14762" w:rsidP="000B0D5E">
      <w:pPr>
        <w:spacing w:line="480" w:lineRule="auto"/>
        <w:jc w:val="center"/>
        <w:rPr>
          <w:rFonts w:ascii="Times New Roman" w:hAnsi="Times New Roman" w:cs="Times New Roman"/>
          <w:sz w:val="24"/>
          <w:szCs w:val="24"/>
        </w:rPr>
      </w:pPr>
      <w:r>
        <w:rPr>
          <w:rFonts w:ascii="Times New Roman" w:hAnsi="Times New Roman" w:cs="Times New Roman"/>
          <w:sz w:val="24"/>
          <w:szCs w:val="24"/>
        </w:rPr>
        <w:t>Merrick School of Business</w:t>
      </w:r>
    </w:p>
    <w:p w14:paraId="33FEB99D" w14:textId="4C025ED6" w:rsidR="00CB36B7" w:rsidRPr="00562990" w:rsidRDefault="00B229D3" w:rsidP="00562990">
      <w:pPr>
        <w:spacing w:line="480" w:lineRule="auto"/>
        <w:jc w:val="center"/>
        <w:rPr>
          <w:rFonts w:ascii="Times New Roman" w:hAnsi="Times New Roman" w:cs="Times New Roman"/>
          <w:sz w:val="24"/>
          <w:szCs w:val="24"/>
        </w:rPr>
      </w:pPr>
      <w:r>
        <w:rPr>
          <w:rFonts w:ascii="Times New Roman" w:hAnsi="Times New Roman" w:cs="Times New Roman"/>
          <w:sz w:val="24"/>
          <w:szCs w:val="24"/>
        </w:rPr>
        <w:t>University of Baltimore</w:t>
      </w:r>
    </w:p>
    <w:p w14:paraId="63FDF005" w14:textId="77777777" w:rsidR="00CB36B7" w:rsidRPr="000B0D5E" w:rsidRDefault="00CB36B7" w:rsidP="00562990">
      <w:pPr>
        <w:spacing w:line="480" w:lineRule="auto"/>
        <w:rPr>
          <w:rFonts w:ascii="Times New Roman" w:hAnsi="Times New Roman" w:cs="Times New Roman"/>
          <w:b/>
          <w:sz w:val="24"/>
          <w:szCs w:val="24"/>
        </w:rPr>
      </w:pPr>
    </w:p>
    <w:p w14:paraId="315B4B06" w14:textId="33913776" w:rsidR="00B14762" w:rsidRPr="002B40E2" w:rsidRDefault="00B14762" w:rsidP="000B0D5E">
      <w:pPr>
        <w:spacing w:line="480" w:lineRule="auto"/>
        <w:jc w:val="center"/>
        <w:rPr>
          <w:rFonts w:ascii="Times New Roman" w:hAnsi="Times New Roman" w:cs="Times New Roman"/>
          <w:sz w:val="24"/>
          <w:szCs w:val="24"/>
        </w:rPr>
      </w:pPr>
      <w:r w:rsidRPr="002B40E2">
        <w:rPr>
          <w:rFonts w:ascii="Times New Roman" w:hAnsi="Times New Roman" w:cs="Times New Roman"/>
          <w:sz w:val="24"/>
          <w:szCs w:val="24"/>
        </w:rPr>
        <w:t>In Partial Fulfillment</w:t>
      </w:r>
    </w:p>
    <w:p w14:paraId="65096B47" w14:textId="4399DA6D" w:rsidR="00B14762" w:rsidRPr="002B40E2" w:rsidRDefault="00B14762" w:rsidP="000B0D5E">
      <w:pPr>
        <w:spacing w:line="480" w:lineRule="auto"/>
        <w:jc w:val="center"/>
        <w:rPr>
          <w:rFonts w:ascii="Times New Roman" w:hAnsi="Times New Roman" w:cs="Times New Roman"/>
          <w:sz w:val="24"/>
          <w:szCs w:val="24"/>
        </w:rPr>
      </w:pPr>
      <w:r w:rsidRPr="002B40E2">
        <w:rPr>
          <w:rFonts w:ascii="Times New Roman" w:hAnsi="Times New Roman" w:cs="Times New Roman"/>
          <w:sz w:val="24"/>
          <w:szCs w:val="24"/>
        </w:rPr>
        <w:t>of the Requirements for the Degree of</w:t>
      </w:r>
    </w:p>
    <w:p w14:paraId="005D688F" w14:textId="249167F1" w:rsidR="00B14762" w:rsidRPr="002B40E2" w:rsidRDefault="00B14762" w:rsidP="000B0D5E">
      <w:pPr>
        <w:spacing w:line="480" w:lineRule="auto"/>
        <w:jc w:val="center"/>
        <w:rPr>
          <w:rFonts w:ascii="Times New Roman" w:hAnsi="Times New Roman" w:cs="Times New Roman"/>
          <w:sz w:val="24"/>
          <w:szCs w:val="24"/>
        </w:rPr>
      </w:pPr>
      <w:r w:rsidRPr="002B40E2">
        <w:rPr>
          <w:rFonts w:ascii="Times New Roman" w:hAnsi="Times New Roman" w:cs="Times New Roman"/>
          <w:sz w:val="24"/>
          <w:szCs w:val="24"/>
        </w:rPr>
        <w:t>Master of Business in Finance</w:t>
      </w:r>
    </w:p>
    <w:p w14:paraId="794D556D" w14:textId="05101588" w:rsidR="00B14762" w:rsidRDefault="00B14762" w:rsidP="000B0D5E">
      <w:pPr>
        <w:spacing w:line="480" w:lineRule="auto"/>
        <w:jc w:val="center"/>
        <w:rPr>
          <w:rFonts w:ascii="Times New Roman" w:hAnsi="Times New Roman" w:cs="Times New Roman"/>
          <w:b/>
          <w:sz w:val="24"/>
          <w:szCs w:val="24"/>
        </w:rPr>
      </w:pPr>
    </w:p>
    <w:p w14:paraId="5516BF79" w14:textId="1B5FFC05" w:rsidR="00B14762" w:rsidRDefault="00B14762" w:rsidP="000B0D5E">
      <w:pPr>
        <w:spacing w:line="480" w:lineRule="auto"/>
        <w:jc w:val="center"/>
        <w:rPr>
          <w:rFonts w:ascii="Times New Roman" w:hAnsi="Times New Roman" w:cs="Times New Roman"/>
          <w:b/>
          <w:sz w:val="24"/>
          <w:szCs w:val="24"/>
        </w:rPr>
      </w:pPr>
      <w:r>
        <w:rPr>
          <w:rFonts w:ascii="Times New Roman" w:hAnsi="Times New Roman" w:cs="Times New Roman"/>
          <w:b/>
          <w:sz w:val="24"/>
          <w:szCs w:val="24"/>
        </w:rPr>
        <w:t>Approved by: ________________________________</w:t>
      </w:r>
    </w:p>
    <w:p w14:paraId="384087AD" w14:textId="77D1E130" w:rsidR="00AB1527" w:rsidRPr="00562990" w:rsidRDefault="00B14762" w:rsidP="00562990">
      <w:pPr>
        <w:spacing w:line="480" w:lineRule="auto"/>
        <w:jc w:val="center"/>
        <w:rPr>
          <w:rFonts w:ascii="Times New Roman" w:hAnsi="Times New Roman" w:cs="Times New Roman"/>
          <w:b/>
          <w:sz w:val="24"/>
          <w:szCs w:val="24"/>
        </w:rPr>
      </w:pPr>
      <w:r>
        <w:rPr>
          <w:rFonts w:ascii="Times New Roman" w:hAnsi="Times New Roman" w:cs="Times New Roman"/>
          <w:b/>
          <w:sz w:val="24"/>
          <w:szCs w:val="24"/>
        </w:rPr>
        <w:t>Dr. Jerry Yu</w:t>
      </w:r>
      <w:r w:rsidR="002B4F66">
        <w:rPr>
          <w:rFonts w:ascii="Times New Roman" w:hAnsi="Times New Roman" w:cs="Times New Roman"/>
          <w:b/>
          <w:sz w:val="24"/>
          <w:szCs w:val="24"/>
        </w:rPr>
        <w:t xml:space="preserve"> (Director of Finance)</w:t>
      </w:r>
      <w:r>
        <w:rPr>
          <w:rFonts w:ascii="Times New Roman" w:hAnsi="Times New Roman" w:cs="Times New Roman"/>
          <w:b/>
          <w:sz w:val="24"/>
          <w:szCs w:val="24"/>
        </w:rPr>
        <w:t>, Thesis Advisor</w:t>
      </w:r>
      <w:r w:rsidR="002B4F66">
        <w:rPr>
          <w:rFonts w:ascii="Times New Roman" w:hAnsi="Times New Roman" w:cs="Times New Roman"/>
          <w:b/>
          <w:sz w:val="24"/>
          <w:szCs w:val="24"/>
        </w:rPr>
        <w:t xml:space="preserve"> </w:t>
      </w:r>
    </w:p>
    <w:p w14:paraId="5BE386C0" w14:textId="0E08D1B9" w:rsidR="007D5606" w:rsidRPr="005273CC" w:rsidRDefault="00AB1527" w:rsidP="005273CC">
      <w:pPr>
        <w:pStyle w:val="Heading1"/>
        <w:rPr>
          <w:rFonts w:cs="Times New Roman"/>
          <w:szCs w:val="24"/>
        </w:rPr>
      </w:pPr>
      <w:bookmarkStart w:id="0" w:name="_Toc501031447"/>
      <w:r w:rsidRPr="007D5606">
        <w:rPr>
          <w:rFonts w:cs="Times New Roman"/>
          <w:szCs w:val="24"/>
        </w:rPr>
        <w:lastRenderedPageBreak/>
        <w:t>ABSTRACT</w:t>
      </w:r>
      <w:bookmarkEnd w:id="0"/>
    </w:p>
    <w:p w14:paraId="086941B2" w14:textId="47CFC069" w:rsidR="00AB1527" w:rsidRPr="0000629A" w:rsidRDefault="00AB1527" w:rsidP="008E4E1C">
      <w:pPr>
        <w:spacing w:line="360" w:lineRule="auto"/>
        <w:jc w:val="both"/>
        <w:rPr>
          <w:rFonts w:ascii="Times New Roman" w:hAnsi="Times New Roman" w:cs="Times New Roman"/>
          <w:sz w:val="24"/>
          <w:szCs w:val="24"/>
        </w:rPr>
      </w:pPr>
      <w:r>
        <w:rPr>
          <w:rFonts w:ascii="Times New Roman" w:hAnsi="Times New Roman" w:cs="Times New Roman"/>
          <w:sz w:val="24"/>
          <w:szCs w:val="24"/>
        </w:rPr>
        <w:t>Although the finance-growth nexus has been extensively investigated in empirical literature, there is scare empirical evidence on the question of how financial development influences productivity growth in emerging market economies. Understanding this relationship is important, especially in the face of the sluggish actual and potential growth of emerging market economies in the recent years, followed by substantial financial deepening over the past few decades. The experience of the recent global financial crisis has called into question the need for further assessment of the relationship between financial deepening and productivity growth</w:t>
      </w:r>
      <w:r w:rsidR="00C61065">
        <w:rPr>
          <w:rFonts w:ascii="Times New Roman" w:hAnsi="Times New Roman" w:cs="Times New Roman"/>
          <w:sz w:val="24"/>
          <w:szCs w:val="24"/>
        </w:rPr>
        <w:t>; t</w:t>
      </w:r>
      <w:r>
        <w:rPr>
          <w:rFonts w:ascii="Times New Roman" w:hAnsi="Times New Roman" w:cs="Times New Roman"/>
          <w:sz w:val="24"/>
          <w:szCs w:val="24"/>
        </w:rPr>
        <w:t xml:space="preserve">o determine whether a threshold level of financial deepening exists, beyond which increasing </w:t>
      </w:r>
      <w:r w:rsidRPr="004919FC">
        <w:rPr>
          <w:rFonts w:ascii="Times New Roman" w:hAnsi="Times New Roman" w:cs="Times New Roman"/>
          <w:sz w:val="24"/>
          <w:szCs w:val="24"/>
        </w:rPr>
        <w:t xml:space="preserve">financial </w:t>
      </w:r>
      <w:r>
        <w:rPr>
          <w:rFonts w:ascii="Times New Roman" w:hAnsi="Times New Roman" w:cs="Times New Roman"/>
          <w:sz w:val="24"/>
          <w:szCs w:val="24"/>
        </w:rPr>
        <w:t xml:space="preserve">deepening shall dampen the </w:t>
      </w:r>
      <w:r w:rsidRPr="004919FC">
        <w:rPr>
          <w:rFonts w:ascii="Times New Roman" w:hAnsi="Times New Roman" w:cs="Times New Roman"/>
          <w:sz w:val="24"/>
          <w:szCs w:val="24"/>
        </w:rPr>
        <w:t xml:space="preserve">productivity growth </w:t>
      </w:r>
      <w:r>
        <w:rPr>
          <w:rFonts w:ascii="Times New Roman" w:hAnsi="Times New Roman" w:cs="Times New Roman"/>
          <w:sz w:val="24"/>
          <w:szCs w:val="24"/>
        </w:rPr>
        <w:t>in these economies.</w:t>
      </w:r>
    </w:p>
    <w:p w14:paraId="490A1185" w14:textId="3C79044C" w:rsidR="00AB1527" w:rsidRDefault="00AB1527" w:rsidP="008E4E1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study investigates the relationship using a Panel Smooth Transition Regression (PSTR) approach, employing data on a panel of 22 emerging markets economies spanning 1996-2014. </w:t>
      </w:r>
      <w:r w:rsidRPr="004919FC">
        <w:rPr>
          <w:rFonts w:ascii="Times New Roman" w:hAnsi="Times New Roman" w:cs="Times New Roman"/>
          <w:sz w:val="24"/>
          <w:szCs w:val="24"/>
        </w:rPr>
        <w:t>The PSTR model allows time varying and heterogeneity in the parameter estimates</w:t>
      </w:r>
      <w:r>
        <w:rPr>
          <w:rFonts w:ascii="Times New Roman" w:hAnsi="Times New Roman" w:cs="Times New Roman"/>
          <w:sz w:val="24"/>
          <w:szCs w:val="24"/>
        </w:rPr>
        <w:t>. In doing so, this approach allows us to explore the nonlinearity between financial deepening and productivity growth, thereby determining the threshold level of financial deepening in the productivity growth of these economies.</w:t>
      </w:r>
    </w:p>
    <w:p w14:paraId="3EB72321" w14:textId="12CB72F2" w:rsidR="0012700F" w:rsidRDefault="00AB1527" w:rsidP="0012700F">
      <w:pPr>
        <w:spacing w:after="240"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t>The results reveal a clear nonlinear relationship between financial deepening and productivity growth in emerging market economies. The results show an inverted U-shaped relationship between financial deepening and productivity growth in these economies. The evidence suggests that financial deepening accelerates productivity growth in emerging market economies up to a certain point. Increased financial deepening beyond the threshold dampens the productivity growth in such economies. The study finds the threshold of the ratio of private sector credit to the GDP at 68 percent, beyond which increasing the credit given to the private sector weakens productivity growth. This finding underlines the need for policy efforts to be directed towards improving the other components of financial development, such as increasing access to financial services and improving efficiency in the delivery of financial services for a more sustainable growth of these economies.</w:t>
      </w:r>
      <w:r w:rsidR="0012700F" w:rsidRPr="0012700F">
        <w:rPr>
          <w:rFonts w:ascii="Times New Roman" w:eastAsia="Times New Roman" w:hAnsi="Times New Roman" w:cs="Times New Roman"/>
          <w:sz w:val="24"/>
          <w:szCs w:val="24"/>
        </w:rPr>
        <w:t xml:space="preserve"> </w:t>
      </w:r>
      <w:r w:rsidR="0012700F" w:rsidRPr="003A0FC9">
        <w:rPr>
          <w:rFonts w:ascii="Times New Roman" w:eastAsia="Times New Roman" w:hAnsi="Times New Roman" w:cs="Times New Roman"/>
          <w:sz w:val="24"/>
          <w:szCs w:val="24"/>
        </w:rPr>
        <w:t xml:space="preserve">Our study is motivated by the endogenous growth literature which suggests that financial development can influence economic growth by raising </w:t>
      </w:r>
      <w:r w:rsidR="0012700F">
        <w:rPr>
          <w:rFonts w:ascii="Times New Roman" w:eastAsia="Times New Roman" w:hAnsi="Times New Roman" w:cs="Times New Roman"/>
          <w:sz w:val="24"/>
          <w:szCs w:val="24"/>
        </w:rPr>
        <w:t xml:space="preserve">the </w:t>
      </w:r>
      <w:r w:rsidR="0012700F" w:rsidRPr="003A0FC9">
        <w:rPr>
          <w:rFonts w:ascii="Times New Roman" w:eastAsia="Times New Roman" w:hAnsi="Times New Roman" w:cs="Times New Roman"/>
          <w:sz w:val="24"/>
          <w:szCs w:val="24"/>
        </w:rPr>
        <w:t xml:space="preserve">total factor productivity growth. Secondly, this study allows the heterogeneous effect of financial development on productivity </w:t>
      </w:r>
      <w:r w:rsidR="0012700F" w:rsidRPr="003A0FC9">
        <w:rPr>
          <w:rFonts w:ascii="Times New Roman" w:eastAsia="Times New Roman" w:hAnsi="Times New Roman" w:cs="Times New Roman"/>
          <w:sz w:val="24"/>
          <w:szCs w:val="24"/>
        </w:rPr>
        <w:lastRenderedPageBreak/>
        <w:t>growth using the PSTR approach. To the best of my knowledge, this issue has not been addressed in the empirical literature assessing the nonlinearity between financial development and productivity growth.</w:t>
      </w:r>
    </w:p>
    <w:p w14:paraId="224EFC93" w14:textId="09A6A10B" w:rsidR="00AB1527" w:rsidRDefault="00AB1527" w:rsidP="008E4E1C">
      <w:pPr>
        <w:spacing w:line="360" w:lineRule="auto"/>
        <w:jc w:val="both"/>
        <w:rPr>
          <w:rFonts w:ascii="Times New Roman" w:hAnsi="Times New Roman" w:cs="Times New Roman"/>
          <w:sz w:val="24"/>
          <w:szCs w:val="24"/>
        </w:rPr>
      </w:pPr>
    </w:p>
    <w:p w14:paraId="4B3C6466" w14:textId="77777777" w:rsidR="00AB1527" w:rsidRPr="00B60CFE" w:rsidRDefault="00AB1527" w:rsidP="008E4E1C">
      <w:pPr>
        <w:spacing w:after="200" w:line="360" w:lineRule="auto"/>
        <w:jc w:val="both"/>
        <w:rPr>
          <w:rFonts w:ascii="Times New Roman" w:hAnsi="Times New Roman" w:cs="Times New Roman"/>
          <w:sz w:val="24"/>
          <w:szCs w:val="24"/>
        </w:rPr>
      </w:pPr>
      <w:r>
        <w:rPr>
          <w:rFonts w:ascii="Times New Roman" w:hAnsi="Times New Roman" w:cs="Times New Roman"/>
          <w:sz w:val="24"/>
          <w:szCs w:val="24"/>
        </w:rPr>
        <w:br w:type="page"/>
      </w:r>
    </w:p>
    <w:p w14:paraId="66E48474" w14:textId="77777777" w:rsidR="00AB1527" w:rsidRPr="000B0D5E" w:rsidRDefault="00AB1527" w:rsidP="00EC79BA">
      <w:pPr>
        <w:pStyle w:val="Heading2"/>
        <w:jc w:val="center"/>
      </w:pPr>
      <w:bookmarkStart w:id="1" w:name="_Toc501031448"/>
      <w:r w:rsidRPr="000B0D5E">
        <w:lastRenderedPageBreak/>
        <w:t>ACKNOWLEDGEMENTS</w:t>
      </w:r>
      <w:bookmarkEnd w:id="1"/>
    </w:p>
    <w:p w14:paraId="67BA4974" w14:textId="587CE23C" w:rsidR="00AB1527" w:rsidRPr="000B0D5E" w:rsidRDefault="00AB1527" w:rsidP="008E4E1C">
      <w:pPr>
        <w:spacing w:line="360" w:lineRule="auto"/>
        <w:jc w:val="both"/>
        <w:rPr>
          <w:rFonts w:ascii="Times New Roman" w:hAnsi="Times New Roman" w:cs="Times New Roman"/>
          <w:sz w:val="24"/>
          <w:szCs w:val="24"/>
        </w:rPr>
      </w:pPr>
      <w:r w:rsidRPr="000B0D5E">
        <w:rPr>
          <w:rFonts w:ascii="Times New Roman" w:hAnsi="Times New Roman" w:cs="Times New Roman"/>
          <w:sz w:val="24"/>
          <w:szCs w:val="24"/>
        </w:rPr>
        <w:t xml:space="preserve">I </w:t>
      </w:r>
      <w:r>
        <w:rPr>
          <w:rFonts w:ascii="Times New Roman" w:hAnsi="Times New Roman" w:cs="Times New Roman"/>
          <w:sz w:val="24"/>
          <w:szCs w:val="24"/>
        </w:rPr>
        <w:t>would</w:t>
      </w:r>
      <w:r w:rsidRPr="000B0D5E">
        <w:rPr>
          <w:rFonts w:ascii="Times New Roman" w:hAnsi="Times New Roman" w:cs="Times New Roman"/>
          <w:sz w:val="24"/>
          <w:szCs w:val="24"/>
        </w:rPr>
        <w:t xml:space="preserve"> like to express my sincere </w:t>
      </w:r>
      <w:r>
        <w:rPr>
          <w:rFonts w:ascii="Times New Roman" w:hAnsi="Times New Roman" w:cs="Times New Roman"/>
          <w:sz w:val="24"/>
          <w:szCs w:val="24"/>
        </w:rPr>
        <w:t>gratitude</w:t>
      </w:r>
      <w:r w:rsidRPr="000B0D5E">
        <w:rPr>
          <w:rFonts w:ascii="Times New Roman" w:hAnsi="Times New Roman" w:cs="Times New Roman"/>
          <w:sz w:val="24"/>
          <w:szCs w:val="24"/>
        </w:rPr>
        <w:t xml:space="preserve"> and appreciation to my principal</w:t>
      </w:r>
      <w:r w:rsidR="005D562B">
        <w:rPr>
          <w:rFonts w:ascii="Times New Roman" w:hAnsi="Times New Roman" w:cs="Times New Roman"/>
          <w:sz w:val="24"/>
          <w:szCs w:val="24"/>
        </w:rPr>
        <w:t xml:space="preserve"> supervisor, Dr. Jerry Yu</w:t>
      </w:r>
      <w:r>
        <w:rPr>
          <w:rFonts w:ascii="Times New Roman" w:hAnsi="Times New Roman" w:cs="Times New Roman"/>
          <w:sz w:val="24"/>
          <w:szCs w:val="24"/>
        </w:rPr>
        <w:t>,</w:t>
      </w:r>
      <w:r w:rsidRPr="000B0D5E">
        <w:rPr>
          <w:rFonts w:ascii="Times New Roman" w:hAnsi="Times New Roman" w:cs="Times New Roman"/>
          <w:sz w:val="24"/>
          <w:szCs w:val="24"/>
        </w:rPr>
        <w:t xml:space="preserve"> whose invaluable suggestions, advice, and guidance have made this thesis a success. </w:t>
      </w:r>
      <w:r w:rsidR="00E3141D">
        <w:rPr>
          <w:rFonts w:ascii="Times New Roman" w:hAnsi="Times New Roman" w:cs="Times New Roman"/>
          <w:sz w:val="24"/>
          <w:szCs w:val="24"/>
        </w:rPr>
        <w:t>Dr. Jerry Yu is instrumental to this thesis and he is presently helping me to continue my course to the PHD program</w:t>
      </w:r>
      <w:r w:rsidR="00D4781D">
        <w:rPr>
          <w:rFonts w:ascii="Times New Roman" w:hAnsi="Times New Roman" w:cs="Times New Roman"/>
          <w:sz w:val="24"/>
          <w:szCs w:val="24"/>
        </w:rPr>
        <w:t>. I</w:t>
      </w:r>
      <w:r w:rsidR="00E3141D">
        <w:rPr>
          <w:rFonts w:ascii="Times New Roman" w:hAnsi="Times New Roman" w:cs="Times New Roman"/>
          <w:sz w:val="24"/>
          <w:szCs w:val="24"/>
        </w:rPr>
        <w:t xml:space="preserve"> will always </w:t>
      </w:r>
      <w:r w:rsidR="002B40E2">
        <w:rPr>
          <w:rFonts w:ascii="Times New Roman" w:hAnsi="Times New Roman" w:cs="Times New Roman"/>
          <w:sz w:val="24"/>
          <w:szCs w:val="24"/>
        </w:rPr>
        <w:t>be</w:t>
      </w:r>
      <w:r w:rsidR="00E3141D">
        <w:rPr>
          <w:rFonts w:ascii="Times New Roman" w:hAnsi="Times New Roman" w:cs="Times New Roman"/>
          <w:sz w:val="24"/>
          <w:szCs w:val="24"/>
        </w:rPr>
        <w:t xml:space="preserve"> grateful to him for pushing me throughout my academic life. </w:t>
      </w:r>
      <w:r w:rsidRPr="000B0D5E">
        <w:rPr>
          <w:rFonts w:ascii="Times New Roman" w:hAnsi="Times New Roman" w:cs="Times New Roman"/>
          <w:sz w:val="24"/>
          <w:szCs w:val="24"/>
        </w:rPr>
        <w:t>Another round of thanks</w:t>
      </w:r>
      <w:r w:rsidR="005D562B">
        <w:rPr>
          <w:rFonts w:ascii="Times New Roman" w:hAnsi="Times New Roman" w:cs="Times New Roman"/>
          <w:sz w:val="24"/>
          <w:szCs w:val="24"/>
        </w:rPr>
        <w:t xml:space="preserve"> goes to the academic adviser Mrs. Rachel Breton</w:t>
      </w:r>
      <w:r w:rsidRPr="000B0D5E">
        <w:rPr>
          <w:rFonts w:ascii="Times New Roman" w:hAnsi="Times New Roman" w:cs="Times New Roman"/>
          <w:sz w:val="24"/>
          <w:szCs w:val="24"/>
        </w:rPr>
        <w:t>, who was instrumental in seeing me through</w:t>
      </w:r>
      <w:r>
        <w:rPr>
          <w:rFonts w:ascii="Times New Roman" w:hAnsi="Times New Roman" w:cs="Times New Roman"/>
          <w:sz w:val="24"/>
          <w:szCs w:val="24"/>
        </w:rPr>
        <w:t xml:space="preserve"> </w:t>
      </w:r>
      <w:r w:rsidR="00B65992">
        <w:rPr>
          <w:rFonts w:ascii="Times New Roman" w:hAnsi="Times New Roman" w:cs="Times New Roman"/>
          <w:sz w:val="24"/>
          <w:szCs w:val="24"/>
        </w:rPr>
        <w:t>the academic process. I am</w:t>
      </w:r>
      <w:r w:rsidRPr="000B0D5E">
        <w:rPr>
          <w:rFonts w:ascii="Times New Roman" w:hAnsi="Times New Roman" w:cs="Times New Roman"/>
          <w:sz w:val="24"/>
          <w:szCs w:val="24"/>
        </w:rPr>
        <w:t xml:space="preserve"> thankful to all </w:t>
      </w:r>
      <w:r>
        <w:rPr>
          <w:rFonts w:ascii="Times New Roman" w:hAnsi="Times New Roman" w:cs="Times New Roman"/>
          <w:sz w:val="24"/>
          <w:szCs w:val="24"/>
        </w:rPr>
        <w:t xml:space="preserve">the </w:t>
      </w:r>
      <w:r w:rsidRPr="000B0D5E">
        <w:rPr>
          <w:rFonts w:ascii="Times New Roman" w:hAnsi="Times New Roman" w:cs="Times New Roman"/>
          <w:sz w:val="24"/>
          <w:szCs w:val="24"/>
        </w:rPr>
        <w:t>members of the Department o</w:t>
      </w:r>
      <w:r w:rsidR="005D562B">
        <w:rPr>
          <w:rFonts w:ascii="Times New Roman" w:hAnsi="Times New Roman" w:cs="Times New Roman"/>
          <w:sz w:val="24"/>
          <w:szCs w:val="24"/>
        </w:rPr>
        <w:t xml:space="preserve">f Finance, especially </w:t>
      </w:r>
      <w:r w:rsidR="00B65992">
        <w:rPr>
          <w:rFonts w:ascii="Times New Roman" w:hAnsi="Times New Roman" w:cs="Times New Roman"/>
          <w:sz w:val="24"/>
          <w:szCs w:val="24"/>
        </w:rPr>
        <w:t>Steve Isberg, for teaching me how</w:t>
      </w:r>
      <w:r w:rsidR="005D562B">
        <w:rPr>
          <w:rFonts w:ascii="Times New Roman" w:hAnsi="Times New Roman" w:cs="Times New Roman"/>
          <w:sz w:val="24"/>
          <w:szCs w:val="24"/>
        </w:rPr>
        <w:t xml:space="preserve"> to </w:t>
      </w:r>
      <w:r w:rsidR="00B65992">
        <w:rPr>
          <w:rFonts w:ascii="Times New Roman" w:hAnsi="Times New Roman" w:cs="Times New Roman"/>
          <w:sz w:val="24"/>
          <w:szCs w:val="24"/>
        </w:rPr>
        <w:t xml:space="preserve">interpret </w:t>
      </w:r>
      <w:r w:rsidR="00E3141D">
        <w:rPr>
          <w:rFonts w:ascii="Times New Roman" w:hAnsi="Times New Roman" w:cs="Times New Roman"/>
          <w:sz w:val="24"/>
          <w:szCs w:val="24"/>
        </w:rPr>
        <w:t xml:space="preserve">and </w:t>
      </w:r>
      <w:r w:rsidR="00B65992">
        <w:rPr>
          <w:rFonts w:ascii="Times New Roman" w:hAnsi="Times New Roman" w:cs="Times New Roman"/>
          <w:sz w:val="24"/>
          <w:szCs w:val="24"/>
        </w:rPr>
        <w:t>analyze data</w:t>
      </w:r>
      <w:r w:rsidR="00E3141D">
        <w:rPr>
          <w:rFonts w:ascii="Times New Roman" w:hAnsi="Times New Roman" w:cs="Times New Roman"/>
          <w:sz w:val="24"/>
          <w:szCs w:val="24"/>
        </w:rPr>
        <w:t xml:space="preserve"> during</w:t>
      </w:r>
      <w:r w:rsidR="005D562B">
        <w:rPr>
          <w:rFonts w:ascii="Times New Roman" w:hAnsi="Times New Roman" w:cs="Times New Roman"/>
          <w:sz w:val="24"/>
          <w:szCs w:val="24"/>
        </w:rPr>
        <w:t xml:space="preserve"> the advance financial analysis class</w:t>
      </w:r>
      <w:r w:rsidR="00B65992">
        <w:rPr>
          <w:rFonts w:ascii="Times New Roman" w:hAnsi="Times New Roman" w:cs="Times New Roman"/>
          <w:sz w:val="24"/>
          <w:szCs w:val="24"/>
        </w:rPr>
        <w:t>. Also thanks to Natalie Burclaff from the Langsdale Library</w:t>
      </w:r>
      <w:r w:rsidRPr="000B0D5E">
        <w:rPr>
          <w:rFonts w:ascii="Times New Roman" w:hAnsi="Times New Roman" w:cs="Times New Roman"/>
          <w:sz w:val="24"/>
          <w:szCs w:val="24"/>
        </w:rPr>
        <w:t xml:space="preserve"> for attending to my needs on time and advising me to hurry up with my Thesis</w:t>
      </w:r>
      <w:r>
        <w:rPr>
          <w:rFonts w:ascii="Times New Roman" w:hAnsi="Times New Roman" w:cs="Times New Roman"/>
          <w:sz w:val="24"/>
          <w:szCs w:val="24"/>
        </w:rPr>
        <w:t>.</w:t>
      </w:r>
      <w:r w:rsidRPr="000B0D5E">
        <w:rPr>
          <w:rFonts w:ascii="Times New Roman" w:hAnsi="Times New Roman" w:cs="Times New Roman"/>
          <w:sz w:val="24"/>
          <w:szCs w:val="24"/>
        </w:rPr>
        <w:t xml:space="preserve"> </w:t>
      </w:r>
      <w:r>
        <w:rPr>
          <w:rFonts w:ascii="Times New Roman" w:hAnsi="Times New Roman" w:cs="Times New Roman"/>
          <w:sz w:val="24"/>
          <w:szCs w:val="24"/>
        </w:rPr>
        <w:t xml:space="preserve">I am also grateful to </w:t>
      </w:r>
      <w:r w:rsidR="00E3141D">
        <w:rPr>
          <w:rFonts w:ascii="Times New Roman" w:hAnsi="Times New Roman" w:cs="Times New Roman"/>
          <w:sz w:val="24"/>
          <w:szCs w:val="24"/>
        </w:rPr>
        <w:t xml:space="preserve">Dr. Santigie Kargbo </w:t>
      </w:r>
      <w:r w:rsidRPr="000B0D5E">
        <w:rPr>
          <w:rFonts w:ascii="Times New Roman" w:hAnsi="Times New Roman" w:cs="Times New Roman"/>
          <w:sz w:val="24"/>
          <w:szCs w:val="24"/>
        </w:rPr>
        <w:t xml:space="preserve">for </w:t>
      </w:r>
      <w:r>
        <w:rPr>
          <w:rFonts w:ascii="Times New Roman" w:hAnsi="Times New Roman" w:cs="Times New Roman"/>
          <w:sz w:val="24"/>
          <w:szCs w:val="24"/>
        </w:rPr>
        <w:t>the initial supervision of</w:t>
      </w:r>
      <w:r w:rsidRPr="000B0D5E">
        <w:rPr>
          <w:rFonts w:ascii="Times New Roman" w:hAnsi="Times New Roman" w:cs="Times New Roman"/>
          <w:sz w:val="24"/>
          <w:szCs w:val="24"/>
        </w:rPr>
        <w:t xml:space="preserve"> my proposal </w:t>
      </w:r>
      <w:r w:rsidR="002B40E2">
        <w:rPr>
          <w:rFonts w:ascii="Times New Roman" w:hAnsi="Times New Roman" w:cs="Times New Roman"/>
          <w:sz w:val="24"/>
          <w:szCs w:val="24"/>
        </w:rPr>
        <w:t xml:space="preserve">and thesis </w:t>
      </w:r>
      <w:r w:rsidRPr="000B0D5E">
        <w:rPr>
          <w:rFonts w:ascii="Times New Roman" w:hAnsi="Times New Roman" w:cs="Times New Roman"/>
          <w:sz w:val="24"/>
          <w:szCs w:val="24"/>
        </w:rPr>
        <w:t xml:space="preserve">before I was assigned to </w:t>
      </w:r>
      <w:r>
        <w:rPr>
          <w:rFonts w:ascii="Times New Roman" w:hAnsi="Times New Roman" w:cs="Times New Roman"/>
          <w:sz w:val="24"/>
          <w:szCs w:val="24"/>
        </w:rPr>
        <w:t xml:space="preserve">the </w:t>
      </w:r>
      <w:r w:rsidRPr="000B0D5E">
        <w:rPr>
          <w:rFonts w:ascii="Times New Roman" w:hAnsi="Times New Roman" w:cs="Times New Roman"/>
          <w:sz w:val="24"/>
          <w:szCs w:val="24"/>
        </w:rPr>
        <w:t>supervisors</w:t>
      </w:r>
      <w:r w:rsidR="00E3141D">
        <w:rPr>
          <w:rFonts w:ascii="Times New Roman" w:hAnsi="Times New Roman" w:cs="Times New Roman"/>
          <w:sz w:val="24"/>
          <w:szCs w:val="24"/>
        </w:rPr>
        <w:t>; and</w:t>
      </w:r>
      <w:r w:rsidRPr="000B0D5E">
        <w:rPr>
          <w:rFonts w:ascii="Times New Roman" w:hAnsi="Times New Roman" w:cs="Times New Roman"/>
          <w:sz w:val="24"/>
          <w:szCs w:val="24"/>
        </w:rPr>
        <w:t xml:space="preserve"> for encouraging me to work on </w:t>
      </w:r>
      <w:r w:rsidR="002B40E2">
        <w:rPr>
          <w:rFonts w:ascii="Times New Roman" w:hAnsi="Times New Roman" w:cs="Times New Roman"/>
          <w:sz w:val="24"/>
          <w:szCs w:val="24"/>
        </w:rPr>
        <w:t>this</w:t>
      </w:r>
      <w:r w:rsidRPr="000B0D5E">
        <w:rPr>
          <w:rFonts w:ascii="Times New Roman" w:hAnsi="Times New Roman" w:cs="Times New Roman"/>
          <w:sz w:val="24"/>
          <w:szCs w:val="24"/>
        </w:rPr>
        <w:t xml:space="preserve"> thesis topic.</w:t>
      </w:r>
    </w:p>
    <w:p w14:paraId="70A0D5E2" w14:textId="49FFFD53" w:rsidR="00AB1527" w:rsidRPr="000B0D5E" w:rsidRDefault="00AB1527" w:rsidP="008E4E1C">
      <w:pPr>
        <w:spacing w:line="360" w:lineRule="auto"/>
        <w:jc w:val="both"/>
        <w:rPr>
          <w:rFonts w:ascii="Times New Roman" w:hAnsi="Times New Roman" w:cs="Times New Roman"/>
          <w:sz w:val="24"/>
          <w:szCs w:val="24"/>
        </w:rPr>
      </w:pPr>
      <w:r w:rsidRPr="000B0D5E">
        <w:rPr>
          <w:rFonts w:ascii="Times New Roman" w:hAnsi="Times New Roman" w:cs="Times New Roman"/>
          <w:sz w:val="24"/>
          <w:szCs w:val="24"/>
        </w:rPr>
        <w:t>I will do myself injustice if I do not ackno</w:t>
      </w:r>
      <w:r w:rsidR="00E3141D">
        <w:rPr>
          <w:rFonts w:ascii="Times New Roman" w:hAnsi="Times New Roman" w:cs="Times New Roman"/>
          <w:sz w:val="24"/>
          <w:szCs w:val="24"/>
        </w:rPr>
        <w:t>wledge the generosity of the World Bank &amp; IMF for using their journals and database.</w:t>
      </w:r>
      <w:r w:rsidRPr="000B0D5E">
        <w:rPr>
          <w:rFonts w:ascii="Times New Roman" w:hAnsi="Times New Roman" w:cs="Times New Roman"/>
          <w:sz w:val="24"/>
          <w:szCs w:val="24"/>
        </w:rPr>
        <w:t xml:space="preserve"> Without their financial support, this work of research </w:t>
      </w:r>
      <w:r>
        <w:rPr>
          <w:rFonts w:ascii="Times New Roman" w:hAnsi="Times New Roman" w:cs="Times New Roman"/>
          <w:sz w:val="24"/>
          <w:szCs w:val="24"/>
        </w:rPr>
        <w:t>could</w:t>
      </w:r>
      <w:r w:rsidRPr="000B0D5E">
        <w:rPr>
          <w:rFonts w:ascii="Times New Roman" w:hAnsi="Times New Roman" w:cs="Times New Roman"/>
          <w:sz w:val="24"/>
          <w:szCs w:val="24"/>
        </w:rPr>
        <w:t xml:space="preserve"> not have been undertaken. I am</w:t>
      </w:r>
      <w:r>
        <w:rPr>
          <w:rFonts w:ascii="Times New Roman" w:hAnsi="Times New Roman" w:cs="Times New Roman"/>
          <w:sz w:val="24"/>
          <w:szCs w:val="24"/>
        </w:rPr>
        <w:t>,</w:t>
      </w:r>
      <w:r w:rsidRPr="000B0D5E">
        <w:rPr>
          <w:rFonts w:ascii="Times New Roman" w:hAnsi="Times New Roman" w:cs="Times New Roman"/>
          <w:sz w:val="24"/>
          <w:szCs w:val="24"/>
        </w:rPr>
        <w:t xml:space="preserve"> therefore</w:t>
      </w:r>
      <w:r>
        <w:rPr>
          <w:rFonts w:ascii="Times New Roman" w:hAnsi="Times New Roman" w:cs="Times New Roman"/>
          <w:sz w:val="24"/>
          <w:szCs w:val="24"/>
        </w:rPr>
        <w:t>,</w:t>
      </w:r>
      <w:r w:rsidRPr="000B0D5E">
        <w:rPr>
          <w:rFonts w:ascii="Times New Roman" w:hAnsi="Times New Roman" w:cs="Times New Roman"/>
          <w:sz w:val="24"/>
          <w:szCs w:val="24"/>
        </w:rPr>
        <w:t xml:space="preserve"> very grateful </w:t>
      </w:r>
      <w:r>
        <w:rPr>
          <w:rFonts w:ascii="Times New Roman" w:hAnsi="Times New Roman" w:cs="Times New Roman"/>
          <w:sz w:val="24"/>
          <w:szCs w:val="24"/>
        </w:rPr>
        <w:t>for</w:t>
      </w:r>
      <w:r w:rsidRPr="000B0D5E">
        <w:rPr>
          <w:rFonts w:ascii="Times New Roman" w:hAnsi="Times New Roman" w:cs="Times New Roman"/>
          <w:sz w:val="24"/>
          <w:szCs w:val="24"/>
        </w:rPr>
        <w:t xml:space="preserve"> the sponsorship.</w:t>
      </w:r>
    </w:p>
    <w:p w14:paraId="653A2AC6" w14:textId="2559C00E" w:rsidR="00AB1527" w:rsidRPr="000B0D5E" w:rsidRDefault="00AB1527" w:rsidP="008E4E1C">
      <w:pPr>
        <w:spacing w:line="360" w:lineRule="auto"/>
        <w:jc w:val="both"/>
        <w:rPr>
          <w:rFonts w:ascii="Times New Roman" w:hAnsi="Times New Roman" w:cs="Times New Roman"/>
          <w:sz w:val="24"/>
          <w:szCs w:val="24"/>
        </w:rPr>
      </w:pPr>
      <w:r w:rsidRPr="000B0D5E">
        <w:rPr>
          <w:rFonts w:ascii="Times New Roman" w:hAnsi="Times New Roman" w:cs="Times New Roman"/>
          <w:sz w:val="24"/>
          <w:szCs w:val="24"/>
        </w:rPr>
        <w:t xml:space="preserve">Finally, I </w:t>
      </w:r>
      <w:r>
        <w:rPr>
          <w:rFonts w:ascii="Times New Roman" w:hAnsi="Times New Roman" w:cs="Times New Roman"/>
          <w:sz w:val="24"/>
          <w:szCs w:val="24"/>
        </w:rPr>
        <w:t>would</w:t>
      </w:r>
      <w:r w:rsidRPr="000B0D5E">
        <w:rPr>
          <w:rFonts w:ascii="Times New Roman" w:hAnsi="Times New Roman" w:cs="Times New Roman"/>
          <w:sz w:val="24"/>
          <w:szCs w:val="24"/>
        </w:rPr>
        <w:t xml:space="preserve"> like to acknowledge </w:t>
      </w:r>
      <w:r>
        <w:rPr>
          <w:rFonts w:ascii="Times New Roman" w:hAnsi="Times New Roman" w:cs="Times New Roman"/>
          <w:sz w:val="24"/>
          <w:szCs w:val="24"/>
        </w:rPr>
        <w:t xml:space="preserve">my </w:t>
      </w:r>
      <w:r w:rsidRPr="000B0D5E">
        <w:rPr>
          <w:rFonts w:ascii="Times New Roman" w:hAnsi="Times New Roman" w:cs="Times New Roman"/>
          <w:sz w:val="24"/>
          <w:szCs w:val="24"/>
        </w:rPr>
        <w:t>true family friend</w:t>
      </w:r>
      <w:r>
        <w:rPr>
          <w:rFonts w:ascii="Times New Roman" w:hAnsi="Times New Roman" w:cs="Times New Roman"/>
          <w:sz w:val="24"/>
          <w:szCs w:val="24"/>
        </w:rPr>
        <w:t>s</w:t>
      </w:r>
      <w:r w:rsidRPr="000B0D5E">
        <w:rPr>
          <w:rFonts w:ascii="Times New Roman" w:hAnsi="Times New Roman" w:cs="Times New Roman"/>
          <w:sz w:val="24"/>
          <w:szCs w:val="24"/>
        </w:rPr>
        <w:t xml:space="preserve"> and colleagues, Adikalie A. Turay, Mohamed Kuyateh, </w:t>
      </w:r>
      <w:r w:rsidR="00A4745A">
        <w:rPr>
          <w:rFonts w:ascii="Times New Roman" w:hAnsi="Times New Roman" w:cs="Times New Roman"/>
          <w:sz w:val="24"/>
          <w:szCs w:val="24"/>
        </w:rPr>
        <w:t>Philip Kanu,</w:t>
      </w:r>
      <w:r>
        <w:rPr>
          <w:rFonts w:ascii="Times New Roman" w:hAnsi="Times New Roman" w:cs="Times New Roman"/>
          <w:sz w:val="24"/>
          <w:szCs w:val="24"/>
        </w:rPr>
        <w:t xml:space="preserve"> </w:t>
      </w:r>
      <w:r w:rsidR="00F22E99">
        <w:rPr>
          <w:rFonts w:ascii="Times New Roman" w:hAnsi="Times New Roman" w:cs="Times New Roman"/>
          <w:sz w:val="24"/>
          <w:szCs w:val="24"/>
        </w:rPr>
        <w:t xml:space="preserve">Edmond Kanu, Albert O. Bangura and </w:t>
      </w:r>
      <w:r w:rsidRPr="000B0D5E">
        <w:rPr>
          <w:rFonts w:ascii="Times New Roman" w:hAnsi="Times New Roman" w:cs="Times New Roman"/>
          <w:sz w:val="24"/>
          <w:szCs w:val="24"/>
        </w:rPr>
        <w:t xml:space="preserve">Sheku Deen Tarawallie </w:t>
      </w:r>
      <w:r w:rsidR="00A4745A">
        <w:rPr>
          <w:rFonts w:ascii="Times New Roman" w:hAnsi="Times New Roman" w:cs="Times New Roman"/>
          <w:sz w:val="24"/>
          <w:szCs w:val="24"/>
        </w:rPr>
        <w:t xml:space="preserve">et tal </w:t>
      </w:r>
      <w:r w:rsidRPr="000B0D5E">
        <w:rPr>
          <w:rFonts w:ascii="Times New Roman" w:hAnsi="Times New Roman" w:cs="Times New Roman"/>
          <w:sz w:val="24"/>
          <w:szCs w:val="24"/>
        </w:rPr>
        <w:t>for their support. Lastly, I thank all those who</w:t>
      </w:r>
      <w:r>
        <w:rPr>
          <w:rFonts w:ascii="Times New Roman" w:hAnsi="Times New Roman" w:cs="Times New Roman"/>
          <w:sz w:val="24"/>
          <w:szCs w:val="24"/>
        </w:rPr>
        <w:t>,</w:t>
      </w:r>
      <w:r w:rsidRPr="000B0D5E">
        <w:rPr>
          <w:rFonts w:ascii="Times New Roman" w:hAnsi="Times New Roman" w:cs="Times New Roman"/>
          <w:sz w:val="24"/>
          <w:szCs w:val="24"/>
        </w:rPr>
        <w:t xml:space="preserve"> in one way or the other</w:t>
      </w:r>
      <w:r>
        <w:rPr>
          <w:rFonts w:ascii="Times New Roman" w:hAnsi="Times New Roman" w:cs="Times New Roman"/>
          <w:sz w:val="24"/>
          <w:szCs w:val="24"/>
        </w:rPr>
        <w:t>,</w:t>
      </w:r>
      <w:r w:rsidRPr="000B0D5E">
        <w:rPr>
          <w:rFonts w:ascii="Times New Roman" w:hAnsi="Times New Roman" w:cs="Times New Roman"/>
          <w:sz w:val="24"/>
          <w:szCs w:val="24"/>
        </w:rPr>
        <w:t xml:space="preserve"> have made this work a success but </w:t>
      </w:r>
      <w:r>
        <w:rPr>
          <w:rFonts w:ascii="Times New Roman" w:hAnsi="Times New Roman" w:cs="Times New Roman"/>
          <w:sz w:val="24"/>
          <w:szCs w:val="24"/>
        </w:rPr>
        <w:t>have</w:t>
      </w:r>
      <w:r w:rsidRPr="000B0D5E">
        <w:rPr>
          <w:rFonts w:ascii="Times New Roman" w:hAnsi="Times New Roman" w:cs="Times New Roman"/>
          <w:sz w:val="24"/>
          <w:szCs w:val="24"/>
        </w:rPr>
        <w:t xml:space="preserve"> not </w:t>
      </w:r>
      <w:r>
        <w:rPr>
          <w:rFonts w:ascii="Times New Roman" w:hAnsi="Times New Roman" w:cs="Times New Roman"/>
          <w:sz w:val="24"/>
          <w:szCs w:val="24"/>
        </w:rPr>
        <w:t xml:space="preserve">been </w:t>
      </w:r>
      <w:r w:rsidRPr="000B0D5E">
        <w:rPr>
          <w:rFonts w:ascii="Times New Roman" w:hAnsi="Times New Roman" w:cs="Times New Roman"/>
          <w:sz w:val="24"/>
          <w:szCs w:val="24"/>
        </w:rPr>
        <w:t>mentioned.</w:t>
      </w:r>
    </w:p>
    <w:p w14:paraId="0387C886" w14:textId="77777777" w:rsidR="00AB1527" w:rsidRPr="000B0D5E" w:rsidRDefault="00AB1527" w:rsidP="008E4E1C">
      <w:pPr>
        <w:spacing w:line="360" w:lineRule="auto"/>
        <w:jc w:val="both"/>
        <w:rPr>
          <w:rFonts w:ascii="Times New Roman" w:hAnsi="Times New Roman" w:cs="Times New Roman"/>
          <w:b/>
          <w:sz w:val="24"/>
          <w:szCs w:val="24"/>
        </w:rPr>
      </w:pPr>
    </w:p>
    <w:p w14:paraId="00402C7B" w14:textId="653968AC" w:rsidR="00AB1527" w:rsidRDefault="00AB1527" w:rsidP="008E4E1C">
      <w:pPr>
        <w:spacing w:line="360" w:lineRule="auto"/>
        <w:jc w:val="both"/>
        <w:rPr>
          <w:rFonts w:ascii="Times New Roman" w:hAnsi="Times New Roman" w:cs="Times New Roman"/>
          <w:b/>
          <w:sz w:val="24"/>
          <w:szCs w:val="24"/>
        </w:rPr>
      </w:pPr>
    </w:p>
    <w:p w14:paraId="66717B34" w14:textId="72536922" w:rsidR="008E4E1C" w:rsidRDefault="008E4E1C" w:rsidP="008E4E1C">
      <w:pPr>
        <w:spacing w:line="360" w:lineRule="auto"/>
        <w:jc w:val="both"/>
        <w:rPr>
          <w:rFonts w:ascii="Times New Roman" w:hAnsi="Times New Roman" w:cs="Times New Roman"/>
          <w:b/>
          <w:sz w:val="24"/>
          <w:szCs w:val="24"/>
        </w:rPr>
      </w:pPr>
    </w:p>
    <w:p w14:paraId="04F524C2" w14:textId="187BD10F" w:rsidR="008E4E1C" w:rsidRDefault="008E4E1C" w:rsidP="008E4E1C">
      <w:pPr>
        <w:spacing w:line="360" w:lineRule="auto"/>
        <w:jc w:val="both"/>
        <w:rPr>
          <w:rFonts w:ascii="Times New Roman" w:hAnsi="Times New Roman" w:cs="Times New Roman"/>
          <w:b/>
          <w:sz w:val="24"/>
          <w:szCs w:val="24"/>
        </w:rPr>
      </w:pPr>
    </w:p>
    <w:p w14:paraId="610FE11F" w14:textId="2BFE36BD" w:rsidR="008E4E1C" w:rsidRDefault="008E4E1C" w:rsidP="008E4E1C">
      <w:pPr>
        <w:spacing w:line="360" w:lineRule="auto"/>
        <w:jc w:val="both"/>
        <w:rPr>
          <w:rFonts w:ascii="Times New Roman" w:hAnsi="Times New Roman" w:cs="Times New Roman"/>
          <w:b/>
          <w:sz w:val="24"/>
          <w:szCs w:val="24"/>
        </w:rPr>
      </w:pPr>
    </w:p>
    <w:p w14:paraId="5286B2AC" w14:textId="38C580E1" w:rsidR="008E4E1C" w:rsidRDefault="008E4E1C" w:rsidP="008E4E1C">
      <w:pPr>
        <w:spacing w:line="360" w:lineRule="auto"/>
        <w:jc w:val="both"/>
        <w:rPr>
          <w:rFonts w:ascii="Times New Roman" w:hAnsi="Times New Roman" w:cs="Times New Roman"/>
          <w:b/>
          <w:sz w:val="24"/>
          <w:szCs w:val="24"/>
        </w:rPr>
      </w:pPr>
    </w:p>
    <w:p w14:paraId="0BEE169A" w14:textId="77777777" w:rsidR="008E4E1C" w:rsidRPr="000B0D5E" w:rsidRDefault="008E4E1C" w:rsidP="008E4E1C">
      <w:pPr>
        <w:spacing w:line="360" w:lineRule="auto"/>
        <w:jc w:val="both"/>
        <w:rPr>
          <w:rFonts w:ascii="Times New Roman" w:hAnsi="Times New Roman" w:cs="Times New Roman"/>
          <w:b/>
          <w:sz w:val="24"/>
          <w:szCs w:val="24"/>
        </w:rPr>
      </w:pPr>
    </w:p>
    <w:p w14:paraId="38F71338" w14:textId="77777777" w:rsidR="00AB1527" w:rsidRPr="000B0D5E" w:rsidRDefault="00AB1527" w:rsidP="00EC79BA">
      <w:pPr>
        <w:pStyle w:val="Heading2"/>
        <w:jc w:val="center"/>
      </w:pPr>
      <w:bookmarkStart w:id="2" w:name="_Toc501031449"/>
      <w:r w:rsidRPr="000B0D5E">
        <w:lastRenderedPageBreak/>
        <w:t>DEDICATION</w:t>
      </w:r>
      <w:bookmarkEnd w:id="2"/>
    </w:p>
    <w:p w14:paraId="79A92F72" w14:textId="7CA637B5" w:rsidR="00AB1527" w:rsidRPr="000B0D5E" w:rsidRDefault="00AB1527" w:rsidP="008E4E1C">
      <w:pPr>
        <w:spacing w:line="360" w:lineRule="auto"/>
        <w:jc w:val="both"/>
        <w:rPr>
          <w:rFonts w:ascii="Times New Roman" w:hAnsi="Times New Roman" w:cs="Times New Roman"/>
          <w:sz w:val="24"/>
          <w:szCs w:val="24"/>
        </w:rPr>
      </w:pPr>
      <w:r w:rsidRPr="000B0D5E">
        <w:rPr>
          <w:rFonts w:ascii="Times New Roman" w:hAnsi="Times New Roman" w:cs="Times New Roman"/>
          <w:sz w:val="24"/>
          <w:szCs w:val="24"/>
        </w:rPr>
        <w:t xml:space="preserve">To my dad and mum </w:t>
      </w:r>
      <w:r>
        <w:rPr>
          <w:rFonts w:ascii="Times New Roman" w:hAnsi="Times New Roman" w:cs="Times New Roman"/>
          <w:sz w:val="24"/>
          <w:szCs w:val="24"/>
        </w:rPr>
        <w:t>as well as</w:t>
      </w:r>
      <w:r w:rsidRPr="000B0D5E">
        <w:rPr>
          <w:rFonts w:ascii="Times New Roman" w:hAnsi="Times New Roman" w:cs="Times New Roman"/>
          <w:sz w:val="24"/>
          <w:szCs w:val="24"/>
        </w:rPr>
        <w:t xml:space="preserve"> the entire family</w:t>
      </w:r>
      <w:r>
        <w:rPr>
          <w:rFonts w:ascii="Times New Roman" w:hAnsi="Times New Roman" w:cs="Times New Roman"/>
          <w:sz w:val="24"/>
          <w:szCs w:val="24"/>
        </w:rPr>
        <w:t>,</w:t>
      </w:r>
      <w:r w:rsidRPr="000B0D5E">
        <w:rPr>
          <w:rFonts w:ascii="Times New Roman" w:hAnsi="Times New Roman" w:cs="Times New Roman"/>
          <w:sz w:val="24"/>
          <w:szCs w:val="24"/>
        </w:rPr>
        <w:t xml:space="preserve"> who inspired and supported me throughout </w:t>
      </w:r>
      <w:r>
        <w:rPr>
          <w:rFonts w:ascii="Times New Roman" w:hAnsi="Times New Roman" w:cs="Times New Roman"/>
          <w:sz w:val="24"/>
          <w:szCs w:val="24"/>
        </w:rPr>
        <w:t>this</w:t>
      </w:r>
      <w:r w:rsidRPr="000B0D5E">
        <w:rPr>
          <w:rFonts w:ascii="Times New Roman" w:hAnsi="Times New Roman" w:cs="Times New Roman"/>
          <w:sz w:val="24"/>
          <w:szCs w:val="24"/>
        </w:rPr>
        <w:t xml:space="preserve"> difficult period.</w:t>
      </w:r>
    </w:p>
    <w:p w14:paraId="6A8E2A6A" w14:textId="77777777" w:rsidR="00AB1527" w:rsidRPr="000B0D5E" w:rsidRDefault="00AB1527" w:rsidP="008E4E1C">
      <w:pPr>
        <w:spacing w:line="360" w:lineRule="auto"/>
        <w:jc w:val="both"/>
        <w:rPr>
          <w:rFonts w:ascii="Times New Roman" w:hAnsi="Times New Roman" w:cs="Times New Roman"/>
          <w:sz w:val="24"/>
          <w:szCs w:val="24"/>
        </w:rPr>
      </w:pPr>
    </w:p>
    <w:p w14:paraId="6AFE040A" w14:textId="77777777" w:rsidR="00AB1527" w:rsidRPr="000B0D5E" w:rsidRDefault="00AB1527" w:rsidP="008E4E1C">
      <w:pPr>
        <w:spacing w:line="360" w:lineRule="auto"/>
        <w:jc w:val="both"/>
        <w:rPr>
          <w:rFonts w:ascii="Times New Roman" w:hAnsi="Times New Roman" w:cs="Times New Roman"/>
          <w:sz w:val="24"/>
          <w:szCs w:val="24"/>
        </w:rPr>
      </w:pPr>
    </w:p>
    <w:p w14:paraId="2DEDE42D" w14:textId="5D6DDB22" w:rsidR="00AB1527" w:rsidRDefault="00AB1527" w:rsidP="008E4E1C">
      <w:pPr>
        <w:spacing w:line="360" w:lineRule="auto"/>
        <w:jc w:val="both"/>
        <w:rPr>
          <w:rFonts w:ascii="Times New Roman" w:hAnsi="Times New Roman" w:cs="Times New Roman"/>
          <w:sz w:val="24"/>
          <w:szCs w:val="24"/>
        </w:rPr>
      </w:pPr>
    </w:p>
    <w:p w14:paraId="5A7C92B9" w14:textId="03017968" w:rsidR="008E4E1C" w:rsidRDefault="008E4E1C" w:rsidP="008E4E1C">
      <w:pPr>
        <w:spacing w:line="360" w:lineRule="auto"/>
        <w:jc w:val="both"/>
        <w:rPr>
          <w:rFonts w:ascii="Times New Roman" w:hAnsi="Times New Roman" w:cs="Times New Roman"/>
          <w:sz w:val="24"/>
          <w:szCs w:val="24"/>
        </w:rPr>
      </w:pPr>
    </w:p>
    <w:p w14:paraId="6A9B3411" w14:textId="62258BDB" w:rsidR="008E4E1C" w:rsidRDefault="008E4E1C" w:rsidP="008E4E1C">
      <w:pPr>
        <w:spacing w:line="360" w:lineRule="auto"/>
        <w:jc w:val="both"/>
        <w:rPr>
          <w:rFonts w:ascii="Times New Roman" w:hAnsi="Times New Roman" w:cs="Times New Roman"/>
          <w:sz w:val="24"/>
          <w:szCs w:val="24"/>
        </w:rPr>
      </w:pPr>
    </w:p>
    <w:p w14:paraId="55734D50" w14:textId="4441F0E5" w:rsidR="008E4E1C" w:rsidRDefault="008E4E1C" w:rsidP="008E4E1C">
      <w:pPr>
        <w:spacing w:line="360" w:lineRule="auto"/>
        <w:jc w:val="both"/>
        <w:rPr>
          <w:rFonts w:ascii="Times New Roman" w:hAnsi="Times New Roman" w:cs="Times New Roman"/>
          <w:sz w:val="24"/>
          <w:szCs w:val="24"/>
        </w:rPr>
      </w:pPr>
    </w:p>
    <w:p w14:paraId="30C34F6B" w14:textId="7E92D04B" w:rsidR="008E4E1C" w:rsidRDefault="008E4E1C" w:rsidP="008E4E1C">
      <w:pPr>
        <w:spacing w:line="360" w:lineRule="auto"/>
        <w:jc w:val="both"/>
        <w:rPr>
          <w:rFonts w:ascii="Times New Roman" w:hAnsi="Times New Roman" w:cs="Times New Roman"/>
          <w:sz w:val="24"/>
          <w:szCs w:val="24"/>
        </w:rPr>
      </w:pPr>
    </w:p>
    <w:p w14:paraId="614DBB3D" w14:textId="1263B7CC" w:rsidR="008E4E1C" w:rsidRDefault="008E4E1C" w:rsidP="008E4E1C">
      <w:pPr>
        <w:spacing w:line="360" w:lineRule="auto"/>
        <w:jc w:val="both"/>
        <w:rPr>
          <w:rFonts w:ascii="Times New Roman" w:hAnsi="Times New Roman" w:cs="Times New Roman"/>
          <w:sz w:val="24"/>
          <w:szCs w:val="24"/>
        </w:rPr>
      </w:pPr>
    </w:p>
    <w:p w14:paraId="168EC36F" w14:textId="76541ED6" w:rsidR="008E4E1C" w:rsidRDefault="008E4E1C" w:rsidP="008E4E1C">
      <w:pPr>
        <w:spacing w:line="360" w:lineRule="auto"/>
        <w:jc w:val="both"/>
        <w:rPr>
          <w:rFonts w:ascii="Times New Roman" w:hAnsi="Times New Roman" w:cs="Times New Roman"/>
          <w:sz w:val="24"/>
          <w:szCs w:val="24"/>
        </w:rPr>
      </w:pPr>
    </w:p>
    <w:p w14:paraId="142FF10E" w14:textId="0E460E94" w:rsidR="008E4E1C" w:rsidRDefault="008E4E1C" w:rsidP="008E4E1C">
      <w:pPr>
        <w:spacing w:line="360" w:lineRule="auto"/>
        <w:jc w:val="both"/>
        <w:rPr>
          <w:rFonts w:ascii="Times New Roman" w:hAnsi="Times New Roman" w:cs="Times New Roman"/>
          <w:sz w:val="24"/>
          <w:szCs w:val="24"/>
        </w:rPr>
      </w:pPr>
    </w:p>
    <w:p w14:paraId="30A9F837" w14:textId="2D864F08" w:rsidR="008E4E1C" w:rsidRDefault="008E4E1C" w:rsidP="008E4E1C">
      <w:pPr>
        <w:spacing w:line="360" w:lineRule="auto"/>
        <w:jc w:val="both"/>
        <w:rPr>
          <w:rFonts w:ascii="Times New Roman" w:hAnsi="Times New Roman" w:cs="Times New Roman"/>
          <w:sz w:val="24"/>
          <w:szCs w:val="24"/>
        </w:rPr>
      </w:pPr>
    </w:p>
    <w:p w14:paraId="1492C212" w14:textId="5020BC8D" w:rsidR="008E4E1C" w:rsidRDefault="008E4E1C" w:rsidP="008E4E1C">
      <w:pPr>
        <w:spacing w:line="360" w:lineRule="auto"/>
        <w:jc w:val="both"/>
        <w:rPr>
          <w:rFonts w:ascii="Times New Roman" w:hAnsi="Times New Roman" w:cs="Times New Roman"/>
          <w:sz w:val="24"/>
          <w:szCs w:val="24"/>
        </w:rPr>
      </w:pPr>
    </w:p>
    <w:p w14:paraId="12EE4351" w14:textId="3EC73A6C" w:rsidR="008E4E1C" w:rsidRDefault="008E4E1C" w:rsidP="008E4E1C">
      <w:pPr>
        <w:spacing w:line="360" w:lineRule="auto"/>
        <w:jc w:val="both"/>
        <w:rPr>
          <w:rFonts w:ascii="Times New Roman" w:hAnsi="Times New Roman" w:cs="Times New Roman"/>
          <w:sz w:val="24"/>
          <w:szCs w:val="24"/>
        </w:rPr>
      </w:pPr>
    </w:p>
    <w:p w14:paraId="7C1926C2" w14:textId="7E06460D" w:rsidR="008E4E1C" w:rsidRDefault="008E4E1C" w:rsidP="008E4E1C">
      <w:pPr>
        <w:spacing w:line="360" w:lineRule="auto"/>
        <w:jc w:val="both"/>
        <w:rPr>
          <w:rFonts w:ascii="Times New Roman" w:hAnsi="Times New Roman" w:cs="Times New Roman"/>
          <w:sz w:val="24"/>
          <w:szCs w:val="24"/>
        </w:rPr>
      </w:pPr>
    </w:p>
    <w:p w14:paraId="51BA633F" w14:textId="5E5EB9D8" w:rsidR="008E4E1C" w:rsidRDefault="008E4E1C" w:rsidP="008E4E1C">
      <w:pPr>
        <w:spacing w:line="360" w:lineRule="auto"/>
        <w:jc w:val="both"/>
        <w:rPr>
          <w:rFonts w:ascii="Times New Roman" w:hAnsi="Times New Roman" w:cs="Times New Roman"/>
          <w:sz w:val="24"/>
          <w:szCs w:val="24"/>
        </w:rPr>
      </w:pPr>
    </w:p>
    <w:p w14:paraId="730C7566" w14:textId="1900EDD0" w:rsidR="008E4E1C" w:rsidRDefault="008E4E1C" w:rsidP="008E4E1C">
      <w:pPr>
        <w:spacing w:line="360" w:lineRule="auto"/>
        <w:jc w:val="both"/>
        <w:rPr>
          <w:rFonts w:ascii="Times New Roman" w:hAnsi="Times New Roman" w:cs="Times New Roman"/>
          <w:sz w:val="24"/>
          <w:szCs w:val="24"/>
        </w:rPr>
      </w:pPr>
    </w:p>
    <w:p w14:paraId="53AFFFE8" w14:textId="6D317EB5" w:rsidR="008E4E1C" w:rsidRDefault="008E4E1C" w:rsidP="008E4E1C">
      <w:pPr>
        <w:spacing w:line="360" w:lineRule="auto"/>
        <w:jc w:val="both"/>
        <w:rPr>
          <w:rFonts w:ascii="Times New Roman" w:hAnsi="Times New Roman" w:cs="Times New Roman"/>
          <w:sz w:val="24"/>
          <w:szCs w:val="24"/>
        </w:rPr>
      </w:pPr>
    </w:p>
    <w:p w14:paraId="1ED6CB0F" w14:textId="67826959" w:rsidR="008E4E1C" w:rsidRDefault="008E4E1C" w:rsidP="008E4E1C">
      <w:pPr>
        <w:spacing w:line="360" w:lineRule="auto"/>
        <w:jc w:val="both"/>
        <w:rPr>
          <w:rFonts w:ascii="Times New Roman" w:hAnsi="Times New Roman" w:cs="Times New Roman"/>
          <w:sz w:val="24"/>
          <w:szCs w:val="24"/>
        </w:rPr>
      </w:pPr>
    </w:p>
    <w:p w14:paraId="11106C2D" w14:textId="769BA3A6" w:rsidR="008E4E1C" w:rsidRDefault="008E4E1C" w:rsidP="008E4E1C">
      <w:pPr>
        <w:spacing w:line="360" w:lineRule="auto"/>
        <w:jc w:val="both"/>
        <w:rPr>
          <w:rFonts w:ascii="Times New Roman" w:hAnsi="Times New Roman" w:cs="Times New Roman"/>
          <w:sz w:val="24"/>
          <w:szCs w:val="24"/>
        </w:rPr>
      </w:pPr>
    </w:p>
    <w:p w14:paraId="797FDAEE" w14:textId="1A54D664" w:rsidR="00E108C9" w:rsidRDefault="00E108C9" w:rsidP="00F22E99">
      <w:pPr>
        <w:spacing w:line="360" w:lineRule="auto"/>
        <w:rPr>
          <w:rFonts w:ascii="Times New Roman" w:hAnsi="Times New Roman" w:cs="Times New Roman"/>
          <w:sz w:val="24"/>
          <w:szCs w:val="24"/>
        </w:rPr>
      </w:pPr>
    </w:p>
    <w:p w14:paraId="43B187A7" w14:textId="77777777" w:rsidR="00F22E99" w:rsidRDefault="00F22E99" w:rsidP="00F22E99">
      <w:pPr>
        <w:spacing w:line="360" w:lineRule="auto"/>
        <w:rPr>
          <w:rFonts w:ascii="Times New Roman" w:hAnsi="Times New Roman" w:cs="Times New Roman"/>
          <w:b/>
          <w:sz w:val="24"/>
          <w:szCs w:val="24"/>
        </w:rPr>
      </w:pPr>
    </w:p>
    <w:p w14:paraId="304A38CD" w14:textId="77777777" w:rsidR="00E108C9" w:rsidRDefault="00E108C9" w:rsidP="008E4E1C">
      <w:pPr>
        <w:spacing w:line="360" w:lineRule="auto"/>
        <w:jc w:val="center"/>
        <w:rPr>
          <w:rFonts w:ascii="Times New Roman" w:hAnsi="Times New Roman" w:cs="Times New Roman"/>
          <w:b/>
          <w:sz w:val="24"/>
          <w:szCs w:val="24"/>
        </w:rPr>
      </w:pPr>
    </w:p>
    <w:p w14:paraId="70F3F23F" w14:textId="7AF2117A" w:rsidR="00AB1527" w:rsidRDefault="00AB1527" w:rsidP="008E4E1C">
      <w:pPr>
        <w:spacing w:line="360" w:lineRule="auto"/>
        <w:jc w:val="center"/>
        <w:rPr>
          <w:rFonts w:ascii="Times New Roman" w:hAnsi="Times New Roman" w:cs="Times New Roman"/>
          <w:b/>
          <w:sz w:val="24"/>
          <w:szCs w:val="24"/>
        </w:rPr>
      </w:pPr>
      <w:r w:rsidRPr="000B0D5E">
        <w:rPr>
          <w:rFonts w:ascii="Times New Roman" w:hAnsi="Times New Roman" w:cs="Times New Roman"/>
          <w:b/>
          <w:sz w:val="24"/>
          <w:szCs w:val="24"/>
        </w:rPr>
        <w:lastRenderedPageBreak/>
        <w:t>TABLE OF CONTENTS</w:t>
      </w:r>
    </w:p>
    <w:sdt>
      <w:sdtPr>
        <w:rPr>
          <w:rFonts w:asciiTheme="minorHAnsi" w:eastAsiaTheme="minorHAnsi" w:hAnsiTheme="minorHAnsi" w:cstheme="minorBidi"/>
          <w:sz w:val="22"/>
          <w:szCs w:val="22"/>
        </w:rPr>
        <w:id w:val="-1788728764"/>
        <w:docPartObj>
          <w:docPartGallery w:val="Table of Contents"/>
          <w:docPartUnique/>
        </w:docPartObj>
      </w:sdtPr>
      <w:sdtEndPr>
        <w:rPr>
          <w:b/>
          <w:bCs/>
          <w:noProof/>
        </w:rPr>
      </w:sdtEndPr>
      <w:sdtContent>
        <w:p w14:paraId="35349A09" w14:textId="47B3758D" w:rsidR="00EC79BA" w:rsidRDefault="00EC79BA">
          <w:pPr>
            <w:pStyle w:val="TOCHeading"/>
          </w:pPr>
          <w:r>
            <w:t>Contents</w:t>
          </w:r>
        </w:p>
        <w:p w14:paraId="41D279F5" w14:textId="229849D2" w:rsidR="00EC79BA" w:rsidRDefault="00EC79BA">
          <w:pPr>
            <w:pStyle w:val="TOC1"/>
            <w:tabs>
              <w:tab w:val="right" w:leader="dot" w:pos="8296"/>
            </w:tabs>
            <w:rPr>
              <w:rFonts w:eastAsiaTheme="minorEastAsia"/>
              <w:noProof/>
            </w:rPr>
          </w:pPr>
          <w:r>
            <w:fldChar w:fldCharType="begin"/>
          </w:r>
          <w:r>
            <w:instrText xml:space="preserve"> TOC \o "1-3" \h \z \u </w:instrText>
          </w:r>
          <w:r>
            <w:fldChar w:fldCharType="separate"/>
          </w:r>
          <w:hyperlink w:anchor="_Toc501031447" w:history="1">
            <w:r w:rsidRPr="00B10227">
              <w:rPr>
                <w:rStyle w:val="Hyperlink"/>
                <w:rFonts w:cs="Times New Roman"/>
                <w:noProof/>
              </w:rPr>
              <w:t>ABSTRACT</w:t>
            </w:r>
            <w:r>
              <w:rPr>
                <w:noProof/>
                <w:webHidden/>
              </w:rPr>
              <w:tab/>
            </w:r>
            <w:r>
              <w:rPr>
                <w:noProof/>
                <w:webHidden/>
              </w:rPr>
              <w:fldChar w:fldCharType="begin"/>
            </w:r>
            <w:r>
              <w:rPr>
                <w:noProof/>
                <w:webHidden/>
              </w:rPr>
              <w:instrText xml:space="preserve"> PAGEREF _Toc501031447 \h </w:instrText>
            </w:r>
            <w:r>
              <w:rPr>
                <w:noProof/>
                <w:webHidden/>
              </w:rPr>
            </w:r>
            <w:r>
              <w:rPr>
                <w:noProof/>
                <w:webHidden/>
              </w:rPr>
              <w:fldChar w:fldCharType="separate"/>
            </w:r>
            <w:r>
              <w:rPr>
                <w:noProof/>
                <w:webHidden/>
              </w:rPr>
              <w:t>ii</w:t>
            </w:r>
            <w:r>
              <w:rPr>
                <w:noProof/>
                <w:webHidden/>
              </w:rPr>
              <w:fldChar w:fldCharType="end"/>
            </w:r>
          </w:hyperlink>
        </w:p>
        <w:p w14:paraId="429D8B8A" w14:textId="36C9B507" w:rsidR="00EC79BA" w:rsidRDefault="007835DC">
          <w:pPr>
            <w:pStyle w:val="TOC2"/>
            <w:tabs>
              <w:tab w:val="right" w:leader="dot" w:pos="8296"/>
            </w:tabs>
            <w:rPr>
              <w:rFonts w:eastAsiaTheme="minorEastAsia"/>
              <w:noProof/>
            </w:rPr>
          </w:pPr>
          <w:hyperlink w:anchor="_Toc501031448" w:history="1">
            <w:r w:rsidR="00EC79BA" w:rsidRPr="00B10227">
              <w:rPr>
                <w:rStyle w:val="Hyperlink"/>
                <w:noProof/>
              </w:rPr>
              <w:t>ACKNOWLEDGEMENTS</w:t>
            </w:r>
            <w:r w:rsidR="00EC79BA">
              <w:rPr>
                <w:noProof/>
                <w:webHidden/>
              </w:rPr>
              <w:tab/>
            </w:r>
            <w:r w:rsidR="00EC79BA">
              <w:rPr>
                <w:noProof/>
                <w:webHidden/>
              </w:rPr>
              <w:fldChar w:fldCharType="begin"/>
            </w:r>
            <w:r w:rsidR="00EC79BA">
              <w:rPr>
                <w:noProof/>
                <w:webHidden/>
              </w:rPr>
              <w:instrText xml:space="preserve"> PAGEREF _Toc501031448 \h </w:instrText>
            </w:r>
            <w:r w:rsidR="00EC79BA">
              <w:rPr>
                <w:noProof/>
                <w:webHidden/>
              </w:rPr>
            </w:r>
            <w:r w:rsidR="00EC79BA">
              <w:rPr>
                <w:noProof/>
                <w:webHidden/>
              </w:rPr>
              <w:fldChar w:fldCharType="separate"/>
            </w:r>
            <w:r w:rsidR="00EC79BA">
              <w:rPr>
                <w:noProof/>
                <w:webHidden/>
              </w:rPr>
              <w:t>iii</w:t>
            </w:r>
            <w:r w:rsidR="00EC79BA">
              <w:rPr>
                <w:noProof/>
                <w:webHidden/>
              </w:rPr>
              <w:fldChar w:fldCharType="end"/>
            </w:r>
          </w:hyperlink>
        </w:p>
        <w:p w14:paraId="30FEF750" w14:textId="7A904C72" w:rsidR="00EC79BA" w:rsidRDefault="007835DC">
          <w:pPr>
            <w:pStyle w:val="TOC2"/>
            <w:tabs>
              <w:tab w:val="right" w:leader="dot" w:pos="8296"/>
            </w:tabs>
            <w:rPr>
              <w:rFonts w:eastAsiaTheme="minorEastAsia"/>
              <w:noProof/>
            </w:rPr>
          </w:pPr>
          <w:hyperlink w:anchor="_Toc501031449" w:history="1">
            <w:r w:rsidR="00EC79BA" w:rsidRPr="00B10227">
              <w:rPr>
                <w:rStyle w:val="Hyperlink"/>
                <w:noProof/>
              </w:rPr>
              <w:t>DEDICATION</w:t>
            </w:r>
            <w:r w:rsidR="00EC79BA">
              <w:rPr>
                <w:noProof/>
                <w:webHidden/>
              </w:rPr>
              <w:tab/>
            </w:r>
            <w:r w:rsidR="00EC79BA">
              <w:rPr>
                <w:noProof/>
                <w:webHidden/>
              </w:rPr>
              <w:fldChar w:fldCharType="begin"/>
            </w:r>
            <w:r w:rsidR="00EC79BA">
              <w:rPr>
                <w:noProof/>
                <w:webHidden/>
              </w:rPr>
              <w:instrText xml:space="preserve"> PAGEREF _Toc501031449 \h </w:instrText>
            </w:r>
            <w:r w:rsidR="00EC79BA">
              <w:rPr>
                <w:noProof/>
                <w:webHidden/>
              </w:rPr>
            </w:r>
            <w:r w:rsidR="00EC79BA">
              <w:rPr>
                <w:noProof/>
                <w:webHidden/>
              </w:rPr>
              <w:fldChar w:fldCharType="separate"/>
            </w:r>
            <w:r w:rsidR="00EC79BA">
              <w:rPr>
                <w:noProof/>
                <w:webHidden/>
              </w:rPr>
              <w:t>iv</w:t>
            </w:r>
            <w:r w:rsidR="00EC79BA">
              <w:rPr>
                <w:noProof/>
                <w:webHidden/>
              </w:rPr>
              <w:fldChar w:fldCharType="end"/>
            </w:r>
          </w:hyperlink>
        </w:p>
        <w:p w14:paraId="40628B29" w14:textId="28D4FA0F" w:rsidR="00EC79BA" w:rsidRDefault="007835DC">
          <w:pPr>
            <w:pStyle w:val="TOC1"/>
            <w:tabs>
              <w:tab w:val="right" w:leader="dot" w:pos="8296"/>
            </w:tabs>
            <w:rPr>
              <w:rFonts w:eastAsiaTheme="minorEastAsia"/>
              <w:noProof/>
            </w:rPr>
          </w:pPr>
          <w:hyperlink w:anchor="_Toc501031450" w:history="1">
            <w:r w:rsidR="00EC79BA" w:rsidRPr="00B10227">
              <w:rPr>
                <w:rStyle w:val="Hyperlink"/>
                <w:noProof/>
              </w:rPr>
              <w:t>CHAPTER ONE</w:t>
            </w:r>
            <w:r w:rsidR="00EC79BA">
              <w:rPr>
                <w:noProof/>
                <w:webHidden/>
              </w:rPr>
              <w:tab/>
            </w:r>
            <w:r w:rsidR="00EC79BA">
              <w:rPr>
                <w:noProof/>
                <w:webHidden/>
              </w:rPr>
              <w:fldChar w:fldCharType="begin"/>
            </w:r>
            <w:r w:rsidR="00EC79BA">
              <w:rPr>
                <w:noProof/>
                <w:webHidden/>
              </w:rPr>
              <w:instrText xml:space="preserve"> PAGEREF _Toc501031450 \h </w:instrText>
            </w:r>
            <w:r w:rsidR="00EC79BA">
              <w:rPr>
                <w:noProof/>
                <w:webHidden/>
              </w:rPr>
            </w:r>
            <w:r w:rsidR="00EC79BA">
              <w:rPr>
                <w:noProof/>
                <w:webHidden/>
              </w:rPr>
              <w:fldChar w:fldCharType="separate"/>
            </w:r>
            <w:r w:rsidR="00EC79BA">
              <w:rPr>
                <w:noProof/>
                <w:webHidden/>
              </w:rPr>
              <w:t>1</w:t>
            </w:r>
            <w:r w:rsidR="00EC79BA">
              <w:rPr>
                <w:noProof/>
                <w:webHidden/>
              </w:rPr>
              <w:fldChar w:fldCharType="end"/>
            </w:r>
          </w:hyperlink>
        </w:p>
        <w:p w14:paraId="1F81683B" w14:textId="06A6D327" w:rsidR="00EC79BA" w:rsidRDefault="007835DC">
          <w:pPr>
            <w:pStyle w:val="TOC1"/>
            <w:tabs>
              <w:tab w:val="right" w:leader="dot" w:pos="8296"/>
            </w:tabs>
            <w:rPr>
              <w:rFonts w:eastAsiaTheme="minorEastAsia"/>
              <w:noProof/>
            </w:rPr>
          </w:pPr>
          <w:hyperlink w:anchor="_Toc501031451" w:history="1">
            <w:r w:rsidR="00EC79BA" w:rsidRPr="00B10227">
              <w:rPr>
                <w:rStyle w:val="Hyperlink"/>
                <w:noProof/>
              </w:rPr>
              <w:t>INTRODUCTION</w:t>
            </w:r>
            <w:r w:rsidR="00EC79BA">
              <w:rPr>
                <w:noProof/>
                <w:webHidden/>
              </w:rPr>
              <w:tab/>
            </w:r>
            <w:r w:rsidR="00EC79BA">
              <w:rPr>
                <w:noProof/>
                <w:webHidden/>
              </w:rPr>
              <w:fldChar w:fldCharType="begin"/>
            </w:r>
            <w:r w:rsidR="00EC79BA">
              <w:rPr>
                <w:noProof/>
                <w:webHidden/>
              </w:rPr>
              <w:instrText xml:space="preserve"> PAGEREF _Toc501031451 \h </w:instrText>
            </w:r>
            <w:r w:rsidR="00EC79BA">
              <w:rPr>
                <w:noProof/>
                <w:webHidden/>
              </w:rPr>
            </w:r>
            <w:r w:rsidR="00EC79BA">
              <w:rPr>
                <w:noProof/>
                <w:webHidden/>
              </w:rPr>
              <w:fldChar w:fldCharType="separate"/>
            </w:r>
            <w:r w:rsidR="00EC79BA">
              <w:rPr>
                <w:noProof/>
                <w:webHidden/>
              </w:rPr>
              <w:t>1</w:t>
            </w:r>
            <w:r w:rsidR="00EC79BA">
              <w:rPr>
                <w:noProof/>
                <w:webHidden/>
              </w:rPr>
              <w:fldChar w:fldCharType="end"/>
            </w:r>
          </w:hyperlink>
        </w:p>
        <w:p w14:paraId="42886C16" w14:textId="3A33D0DB" w:rsidR="00EC79BA" w:rsidRDefault="007835DC">
          <w:pPr>
            <w:pStyle w:val="TOC2"/>
            <w:tabs>
              <w:tab w:val="right" w:leader="dot" w:pos="8296"/>
            </w:tabs>
            <w:rPr>
              <w:rFonts w:eastAsiaTheme="minorEastAsia"/>
              <w:noProof/>
            </w:rPr>
          </w:pPr>
          <w:hyperlink w:anchor="_Toc501031452" w:history="1">
            <w:r w:rsidR="00EC79BA" w:rsidRPr="00B10227">
              <w:rPr>
                <w:rStyle w:val="Hyperlink"/>
                <w:rFonts w:eastAsia="Times New Roman"/>
                <w:noProof/>
              </w:rPr>
              <w:t>1.1 Background</w:t>
            </w:r>
            <w:r w:rsidR="00EC79BA">
              <w:rPr>
                <w:noProof/>
                <w:webHidden/>
              </w:rPr>
              <w:tab/>
            </w:r>
            <w:r w:rsidR="00EC79BA">
              <w:rPr>
                <w:noProof/>
                <w:webHidden/>
              </w:rPr>
              <w:fldChar w:fldCharType="begin"/>
            </w:r>
            <w:r w:rsidR="00EC79BA">
              <w:rPr>
                <w:noProof/>
                <w:webHidden/>
              </w:rPr>
              <w:instrText xml:space="preserve"> PAGEREF _Toc501031452 \h </w:instrText>
            </w:r>
            <w:r w:rsidR="00EC79BA">
              <w:rPr>
                <w:noProof/>
                <w:webHidden/>
              </w:rPr>
            </w:r>
            <w:r w:rsidR="00EC79BA">
              <w:rPr>
                <w:noProof/>
                <w:webHidden/>
              </w:rPr>
              <w:fldChar w:fldCharType="separate"/>
            </w:r>
            <w:r w:rsidR="00EC79BA">
              <w:rPr>
                <w:noProof/>
                <w:webHidden/>
              </w:rPr>
              <w:t>1</w:t>
            </w:r>
            <w:r w:rsidR="00EC79BA">
              <w:rPr>
                <w:noProof/>
                <w:webHidden/>
              </w:rPr>
              <w:fldChar w:fldCharType="end"/>
            </w:r>
          </w:hyperlink>
        </w:p>
        <w:p w14:paraId="06A75ADE" w14:textId="33CD825F" w:rsidR="00EC79BA" w:rsidRDefault="007835DC">
          <w:pPr>
            <w:pStyle w:val="TOC2"/>
            <w:tabs>
              <w:tab w:val="right" w:leader="dot" w:pos="8296"/>
            </w:tabs>
            <w:rPr>
              <w:rFonts w:eastAsiaTheme="minorEastAsia"/>
              <w:noProof/>
            </w:rPr>
          </w:pPr>
          <w:hyperlink w:anchor="_Toc501031453" w:history="1">
            <w:r w:rsidR="00EC79BA" w:rsidRPr="00B10227">
              <w:rPr>
                <w:rStyle w:val="Hyperlink"/>
                <w:rFonts w:eastAsia="Times New Roman"/>
                <w:noProof/>
              </w:rPr>
              <w:t>1.2 Statement of the problem</w:t>
            </w:r>
            <w:r w:rsidR="00EC79BA">
              <w:rPr>
                <w:noProof/>
                <w:webHidden/>
              </w:rPr>
              <w:tab/>
            </w:r>
            <w:r w:rsidR="00EC79BA">
              <w:rPr>
                <w:noProof/>
                <w:webHidden/>
              </w:rPr>
              <w:fldChar w:fldCharType="begin"/>
            </w:r>
            <w:r w:rsidR="00EC79BA">
              <w:rPr>
                <w:noProof/>
                <w:webHidden/>
              </w:rPr>
              <w:instrText xml:space="preserve"> PAGEREF _Toc501031453 \h </w:instrText>
            </w:r>
            <w:r w:rsidR="00EC79BA">
              <w:rPr>
                <w:noProof/>
                <w:webHidden/>
              </w:rPr>
            </w:r>
            <w:r w:rsidR="00EC79BA">
              <w:rPr>
                <w:noProof/>
                <w:webHidden/>
              </w:rPr>
              <w:fldChar w:fldCharType="separate"/>
            </w:r>
            <w:r w:rsidR="00EC79BA">
              <w:rPr>
                <w:noProof/>
                <w:webHidden/>
              </w:rPr>
              <w:t>3</w:t>
            </w:r>
            <w:r w:rsidR="00EC79BA">
              <w:rPr>
                <w:noProof/>
                <w:webHidden/>
              </w:rPr>
              <w:fldChar w:fldCharType="end"/>
            </w:r>
          </w:hyperlink>
        </w:p>
        <w:p w14:paraId="5D55A614" w14:textId="3A1AC7A5" w:rsidR="00EC79BA" w:rsidRDefault="007835DC">
          <w:pPr>
            <w:pStyle w:val="TOC2"/>
            <w:tabs>
              <w:tab w:val="right" w:leader="dot" w:pos="8296"/>
            </w:tabs>
            <w:rPr>
              <w:rFonts w:eastAsiaTheme="minorEastAsia"/>
              <w:noProof/>
            </w:rPr>
          </w:pPr>
          <w:hyperlink w:anchor="_Toc501031454" w:history="1">
            <w:r w:rsidR="00EC79BA" w:rsidRPr="00B10227">
              <w:rPr>
                <w:rStyle w:val="Hyperlink"/>
                <w:rFonts w:eastAsia="Times New Roman"/>
                <w:noProof/>
              </w:rPr>
              <w:t>1.3 Objectives</w:t>
            </w:r>
            <w:r w:rsidR="00EC79BA">
              <w:rPr>
                <w:noProof/>
                <w:webHidden/>
              </w:rPr>
              <w:tab/>
            </w:r>
            <w:r w:rsidR="00EC79BA">
              <w:rPr>
                <w:noProof/>
                <w:webHidden/>
              </w:rPr>
              <w:fldChar w:fldCharType="begin"/>
            </w:r>
            <w:r w:rsidR="00EC79BA">
              <w:rPr>
                <w:noProof/>
                <w:webHidden/>
              </w:rPr>
              <w:instrText xml:space="preserve"> PAGEREF _Toc501031454 \h </w:instrText>
            </w:r>
            <w:r w:rsidR="00EC79BA">
              <w:rPr>
                <w:noProof/>
                <w:webHidden/>
              </w:rPr>
            </w:r>
            <w:r w:rsidR="00EC79BA">
              <w:rPr>
                <w:noProof/>
                <w:webHidden/>
              </w:rPr>
              <w:fldChar w:fldCharType="separate"/>
            </w:r>
            <w:r w:rsidR="00EC79BA">
              <w:rPr>
                <w:noProof/>
                <w:webHidden/>
              </w:rPr>
              <w:t>4</w:t>
            </w:r>
            <w:r w:rsidR="00EC79BA">
              <w:rPr>
                <w:noProof/>
                <w:webHidden/>
              </w:rPr>
              <w:fldChar w:fldCharType="end"/>
            </w:r>
          </w:hyperlink>
        </w:p>
        <w:p w14:paraId="39D12648" w14:textId="27A18B12" w:rsidR="00EC79BA" w:rsidRDefault="007835DC">
          <w:pPr>
            <w:pStyle w:val="TOC2"/>
            <w:tabs>
              <w:tab w:val="right" w:leader="dot" w:pos="8296"/>
            </w:tabs>
            <w:rPr>
              <w:rFonts w:eastAsiaTheme="minorEastAsia"/>
              <w:noProof/>
            </w:rPr>
          </w:pPr>
          <w:hyperlink w:anchor="_Toc501031455" w:history="1">
            <w:r w:rsidR="00EC79BA" w:rsidRPr="00B10227">
              <w:rPr>
                <w:rStyle w:val="Hyperlink"/>
                <w:rFonts w:eastAsia="Times New Roman"/>
                <w:noProof/>
              </w:rPr>
              <w:t>1.4 Research Hypothesis</w:t>
            </w:r>
            <w:r w:rsidR="00EC79BA">
              <w:rPr>
                <w:noProof/>
                <w:webHidden/>
              </w:rPr>
              <w:tab/>
            </w:r>
            <w:r w:rsidR="00EC79BA">
              <w:rPr>
                <w:noProof/>
                <w:webHidden/>
              </w:rPr>
              <w:fldChar w:fldCharType="begin"/>
            </w:r>
            <w:r w:rsidR="00EC79BA">
              <w:rPr>
                <w:noProof/>
                <w:webHidden/>
              </w:rPr>
              <w:instrText xml:space="preserve"> PAGEREF _Toc501031455 \h </w:instrText>
            </w:r>
            <w:r w:rsidR="00EC79BA">
              <w:rPr>
                <w:noProof/>
                <w:webHidden/>
              </w:rPr>
            </w:r>
            <w:r w:rsidR="00EC79BA">
              <w:rPr>
                <w:noProof/>
                <w:webHidden/>
              </w:rPr>
              <w:fldChar w:fldCharType="separate"/>
            </w:r>
            <w:r w:rsidR="00EC79BA">
              <w:rPr>
                <w:noProof/>
                <w:webHidden/>
              </w:rPr>
              <w:t>4</w:t>
            </w:r>
            <w:r w:rsidR="00EC79BA">
              <w:rPr>
                <w:noProof/>
                <w:webHidden/>
              </w:rPr>
              <w:fldChar w:fldCharType="end"/>
            </w:r>
          </w:hyperlink>
        </w:p>
        <w:p w14:paraId="27B669E8" w14:textId="100FA38B" w:rsidR="00EC79BA" w:rsidRDefault="007835DC">
          <w:pPr>
            <w:pStyle w:val="TOC2"/>
            <w:tabs>
              <w:tab w:val="right" w:leader="dot" w:pos="8296"/>
            </w:tabs>
            <w:rPr>
              <w:rFonts w:eastAsiaTheme="minorEastAsia"/>
              <w:noProof/>
            </w:rPr>
          </w:pPr>
          <w:hyperlink w:anchor="_Toc501031456" w:history="1">
            <w:r w:rsidR="00EC79BA" w:rsidRPr="00B10227">
              <w:rPr>
                <w:rStyle w:val="Hyperlink"/>
                <w:rFonts w:eastAsia="Times New Roman"/>
                <w:noProof/>
              </w:rPr>
              <w:t>1.5 Significance of the study</w:t>
            </w:r>
            <w:r w:rsidR="00EC79BA">
              <w:rPr>
                <w:noProof/>
                <w:webHidden/>
              </w:rPr>
              <w:tab/>
            </w:r>
            <w:r w:rsidR="00EC79BA">
              <w:rPr>
                <w:noProof/>
                <w:webHidden/>
              </w:rPr>
              <w:fldChar w:fldCharType="begin"/>
            </w:r>
            <w:r w:rsidR="00EC79BA">
              <w:rPr>
                <w:noProof/>
                <w:webHidden/>
              </w:rPr>
              <w:instrText xml:space="preserve"> PAGEREF _Toc501031456 \h </w:instrText>
            </w:r>
            <w:r w:rsidR="00EC79BA">
              <w:rPr>
                <w:noProof/>
                <w:webHidden/>
              </w:rPr>
            </w:r>
            <w:r w:rsidR="00EC79BA">
              <w:rPr>
                <w:noProof/>
                <w:webHidden/>
              </w:rPr>
              <w:fldChar w:fldCharType="separate"/>
            </w:r>
            <w:r w:rsidR="00EC79BA">
              <w:rPr>
                <w:noProof/>
                <w:webHidden/>
              </w:rPr>
              <w:t>4</w:t>
            </w:r>
            <w:r w:rsidR="00EC79BA">
              <w:rPr>
                <w:noProof/>
                <w:webHidden/>
              </w:rPr>
              <w:fldChar w:fldCharType="end"/>
            </w:r>
          </w:hyperlink>
        </w:p>
        <w:p w14:paraId="1C09A347" w14:textId="508AB87E" w:rsidR="00EC79BA" w:rsidRDefault="007835DC">
          <w:pPr>
            <w:pStyle w:val="TOC2"/>
            <w:tabs>
              <w:tab w:val="right" w:leader="dot" w:pos="8296"/>
            </w:tabs>
            <w:rPr>
              <w:rFonts w:eastAsiaTheme="minorEastAsia"/>
              <w:noProof/>
            </w:rPr>
          </w:pPr>
          <w:hyperlink w:anchor="_Toc501031457" w:history="1">
            <w:r w:rsidR="00EC79BA" w:rsidRPr="00B10227">
              <w:rPr>
                <w:rStyle w:val="Hyperlink"/>
                <w:rFonts w:eastAsia="Times New Roman"/>
                <w:noProof/>
              </w:rPr>
              <w:t>1.6 Scope of the study</w:t>
            </w:r>
            <w:r w:rsidR="00EC79BA">
              <w:rPr>
                <w:noProof/>
                <w:webHidden/>
              </w:rPr>
              <w:tab/>
            </w:r>
            <w:r w:rsidR="00EC79BA">
              <w:rPr>
                <w:noProof/>
                <w:webHidden/>
              </w:rPr>
              <w:fldChar w:fldCharType="begin"/>
            </w:r>
            <w:r w:rsidR="00EC79BA">
              <w:rPr>
                <w:noProof/>
                <w:webHidden/>
              </w:rPr>
              <w:instrText xml:space="preserve"> PAGEREF _Toc501031457 \h </w:instrText>
            </w:r>
            <w:r w:rsidR="00EC79BA">
              <w:rPr>
                <w:noProof/>
                <w:webHidden/>
              </w:rPr>
            </w:r>
            <w:r w:rsidR="00EC79BA">
              <w:rPr>
                <w:noProof/>
                <w:webHidden/>
              </w:rPr>
              <w:fldChar w:fldCharType="separate"/>
            </w:r>
            <w:r w:rsidR="00EC79BA">
              <w:rPr>
                <w:noProof/>
                <w:webHidden/>
              </w:rPr>
              <w:t>5</w:t>
            </w:r>
            <w:r w:rsidR="00EC79BA">
              <w:rPr>
                <w:noProof/>
                <w:webHidden/>
              </w:rPr>
              <w:fldChar w:fldCharType="end"/>
            </w:r>
          </w:hyperlink>
        </w:p>
        <w:p w14:paraId="38C9A4E6" w14:textId="37BBF90A" w:rsidR="00EC79BA" w:rsidRDefault="007835DC">
          <w:pPr>
            <w:pStyle w:val="TOC2"/>
            <w:tabs>
              <w:tab w:val="right" w:leader="dot" w:pos="8296"/>
            </w:tabs>
            <w:rPr>
              <w:rFonts w:eastAsiaTheme="minorEastAsia"/>
              <w:noProof/>
            </w:rPr>
          </w:pPr>
          <w:hyperlink w:anchor="_Toc501031458" w:history="1">
            <w:r w:rsidR="00EC79BA" w:rsidRPr="00B10227">
              <w:rPr>
                <w:rStyle w:val="Hyperlink"/>
                <w:rFonts w:eastAsia="Times New Roman"/>
                <w:noProof/>
              </w:rPr>
              <w:t>1.7 Organization of the study</w:t>
            </w:r>
            <w:r w:rsidR="00EC79BA">
              <w:rPr>
                <w:noProof/>
                <w:webHidden/>
              </w:rPr>
              <w:tab/>
            </w:r>
            <w:r w:rsidR="00EC79BA">
              <w:rPr>
                <w:noProof/>
                <w:webHidden/>
              </w:rPr>
              <w:fldChar w:fldCharType="begin"/>
            </w:r>
            <w:r w:rsidR="00EC79BA">
              <w:rPr>
                <w:noProof/>
                <w:webHidden/>
              </w:rPr>
              <w:instrText xml:space="preserve"> PAGEREF _Toc501031458 \h </w:instrText>
            </w:r>
            <w:r w:rsidR="00EC79BA">
              <w:rPr>
                <w:noProof/>
                <w:webHidden/>
              </w:rPr>
            </w:r>
            <w:r w:rsidR="00EC79BA">
              <w:rPr>
                <w:noProof/>
                <w:webHidden/>
              </w:rPr>
              <w:fldChar w:fldCharType="separate"/>
            </w:r>
            <w:r w:rsidR="00EC79BA">
              <w:rPr>
                <w:noProof/>
                <w:webHidden/>
              </w:rPr>
              <w:t>6</w:t>
            </w:r>
            <w:r w:rsidR="00EC79BA">
              <w:rPr>
                <w:noProof/>
                <w:webHidden/>
              </w:rPr>
              <w:fldChar w:fldCharType="end"/>
            </w:r>
          </w:hyperlink>
        </w:p>
        <w:p w14:paraId="2AC7D7AF" w14:textId="133ADBC2" w:rsidR="00EC79BA" w:rsidRDefault="007835DC">
          <w:pPr>
            <w:pStyle w:val="TOC1"/>
            <w:tabs>
              <w:tab w:val="right" w:leader="dot" w:pos="8296"/>
            </w:tabs>
            <w:rPr>
              <w:rFonts w:eastAsiaTheme="minorEastAsia"/>
              <w:noProof/>
            </w:rPr>
          </w:pPr>
          <w:hyperlink w:anchor="_Toc501031459" w:history="1">
            <w:r w:rsidR="00EC79BA" w:rsidRPr="00B10227">
              <w:rPr>
                <w:rStyle w:val="Hyperlink"/>
                <w:rFonts w:eastAsia="Times New Roman"/>
                <w:noProof/>
              </w:rPr>
              <w:t>CHAPTER TWO</w:t>
            </w:r>
            <w:r w:rsidR="00EC79BA">
              <w:rPr>
                <w:noProof/>
                <w:webHidden/>
              </w:rPr>
              <w:tab/>
            </w:r>
            <w:r w:rsidR="00EC79BA">
              <w:rPr>
                <w:noProof/>
                <w:webHidden/>
              </w:rPr>
              <w:fldChar w:fldCharType="begin"/>
            </w:r>
            <w:r w:rsidR="00EC79BA">
              <w:rPr>
                <w:noProof/>
                <w:webHidden/>
              </w:rPr>
              <w:instrText xml:space="preserve"> PAGEREF _Toc501031459 \h </w:instrText>
            </w:r>
            <w:r w:rsidR="00EC79BA">
              <w:rPr>
                <w:noProof/>
                <w:webHidden/>
              </w:rPr>
            </w:r>
            <w:r w:rsidR="00EC79BA">
              <w:rPr>
                <w:noProof/>
                <w:webHidden/>
              </w:rPr>
              <w:fldChar w:fldCharType="separate"/>
            </w:r>
            <w:r w:rsidR="00EC79BA">
              <w:rPr>
                <w:noProof/>
                <w:webHidden/>
              </w:rPr>
              <w:t>7</w:t>
            </w:r>
            <w:r w:rsidR="00EC79BA">
              <w:rPr>
                <w:noProof/>
                <w:webHidden/>
              </w:rPr>
              <w:fldChar w:fldCharType="end"/>
            </w:r>
          </w:hyperlink>
        </w:p>
        <w:p w14:paraId="4FAA1D07" w14:textId="503F91D7" w:rsidR="00EC79BA" w:rsidRDefault="007835DC">
          <w:pPr>
            <w:pStyle w:val="TOC1"/>
            <w:tabs>
              <w:tab w:val="right" w:leader="dot" w:pos="8296"/>
            </w:tabs>
            <w:rPr>
              <w:rFonts w:eastAsiaTheme="minorEastAsia"/>
              <w:noProof/>
            </w:rPr>
          </w:pPr>
          <w:hyperlink w:anchor="_Toc501031460" w:history="1">
            <w:r w:rsidR="00EC79BA" w:rsidRPr="00B10227">
              <w:rPr>
                <w:rStyle w:val="Hyperlink"/>
                <w:rFonts w:eastAsia="Times New Roman"/>
                <w:noProof/>
              </w:rPr>
              <w:t>LITERATURE REVIEW</w:t>
            </w:r>
            <w:r w:rsidR="00EC79BA">
              <w:rPr>
                <w:noProof/>
                <w:webHidden/>
              </w:rPr>
              <w:tab/>
            </w:r>
            <w:r w:rsidR="00EC79BA">
              <w:rPr>
                <w:noProof/>
                <w:webHidden/>
              </w:rPr>
              <w:fldChar w:fldCharType="begin"/>
            </w:r>
            <w:r w:rsidR="00EC79BA">
              <w:rPr>
                <w:noProof/>
                <w:webHidden/>
              </w:rPr>
              <w:instrText xml:space="preserve"> PAGEREF _Toc501031460 \h </w:instrText>
            </w:r>
            <w:r w:rsidR="00EC79BA">
              <w:rPr>
                <w:noProof/>
                <w:webHidden/>
              </w:rPr>
            </w:r>
            <w:r w:rsidR="00EC79BA">
              <w:rPr>
                <w:noProof/>
                <w:webHidden/>
              </w:rPr>
              <w:fldChar w:fldCharType="separate"/>
            </w:r>
            <w:r w:rsidR="00EC79BA">
              <w:rPr>
                <w:noProof/>
                <w:webHidden/>
              </w:rPr>
              <w:t>7</w:t>
            </w:r>
            <w:r w:rsidR="00EC79BA">
              <w:rPr>
                <w:noProof/>
                <w:webHidden/>
              </w:rPr>
              <w:fldChar w:fldCharType="end"/>
            </w:r>
          </w:hyperlink>
        </w:p>
        <w:p w14:paraId="4C28882F" w14:textId="3FC95B6C" w:rsidR="00EC79BA" w:rsidRDefault="007835DC">
          <w:pPr>
            <w:pStyle w:val="TOC1"/>
            <w:tabs>
              <w:tab w:val="right" w:leader="dot" w:pos="8296"/>
            </w:tabs>
            <w:rPr>
              <w:rFonts w:eastAsiaTheme="minorEastAsia"/>
              <w:noProof/>
            </w:rPr>
          </w:pPr>
          <w:hyperlink w:anchor="_Toc501031461" w:history="1">
            <w:r w:rsidR="00EC79BA" w:rsidRPr="00B10227">
              <w:rPr>
                <w:rStyle w:val="Hyperlink"/>
                <w:noProof/>
              </w:rPr>
              <w:t>CHAPTER THREE</w:t>
            </w:r>
            <w:r w:rsidR="00EC79BA">
              <w:rPr>
                <w:noProof/>
                <w:webHidden/>
              </w:rPr>
              <w:tab/>
            </w:r>
            <w:r w:rsidR="00EC79BA">
              <w:rPr>
                <w:noProof/>
                <w:webHidden/>
              </w:rPr>
              <w:fldChar w:fldCharType="begin"/>
            </w:r>
            <w:r w:rsidR="00EC79BA">
              <w:rPr>
                <w:noProof/>
                <w:webHidden/>
              </w:rPr>
              <w:instrText xml:space="preserve"> PAGEREF _Toc501031461 \h </w:instrText>
            </w:r>
            <w:r w:rsidR="00EC79BA">
              <w:rPr>
                <w:noProof/>
                <w:webHidden/>
              </w:rPr>
            </w:r>
            <w:r w:rsidR="00EC79BA">
              <w:rPr>
                <w:noProof/>
                <w:webHidden/>
              </w:rPr>
              <w:fldChar w:fldCharType="separate"/>
            </w:r>
            <w:r w:rsidR="00EC79BA">
              <w:rPr>
                <w:noProof/>
                <w:webHidden/>
              </w:rPr>
              <w:t>17</w:t>
            </w:r>
            <w:r w:rsidR="00EC79BA">
              <w:rPr>
                <w:noProof/>
                <w:webHidden/>
              </w:rPr>
              <w:fldChar w:fldCharType="end"/>
            </w:r>
          </w:hyperlink>
        </w:p>
        <w:p w14:paraId="49FD4977" w14:textId="78184276" w:rsidR="00EC79BA" w:rsidRDefault="007835DC">
          <w:pPr>
            <w:pStyle w:val="TOC1"/>
            <w:tabs>
              <w:tab w:val="right" w:leader="dot" w:pos="8296"/>
            </w:tabs>
            <w:rPr>
              <w:rFonts w:eastAsiaTheme="minorEastAsia"/>
              <w:noProof/>
            </w:rPr>
          </w:pPr>
          <w:hyperlink w:anchor="_Toc501031462" w:history="1">
            <w:r w:rsidR="00EC79BA" w:rsidRPr="00B10227">
              <w:rPr>
                <w:rStyle w:val="Hyperlink"/>
                <w:noProof/>
              </w:rPr>
              <w:t>METHODOLOGY</w:t>
            </w:r>
            <w:r w:rsidR="00EC79BA">
              <w:rPr>
                <w:noProof/>
                <w:webHidden/>
              </w:rPr>
              <w:tab/>
            </w:r>
            <w:r w:rsidR="00EC79BA">
              <w:rPr>
                <w:noProof/>
                <w:webHidden/>
              </w:rPr>
              <w:fldChar w:fldCharType="begin"/>
            </w:r>
            <w:r w:rsidR="00EC79BA">
              <w:rPr>
                <w:noProof/>
                <w:webHidden/>
              </w:rPr>
              <w:instrText xml:space="preserve"> PAGEREF _Toc501031462 \h </w:instrText>
            </w:r>
            <w:r w:rsidR="00EC79BA">
              <w:rPr>
                <w:noProof/>
                <w:webHidden/>
              </w:rPr>
            </w:r>
            <w:r w:rsidR="00EC79BA">
              <w:rPr>
                <w:noProof/>
                <w:webHidden/>
              </w:rPr>
              <w:fldChar w:fldCharType="separate"/>
            </w:r>
            <w:r w:rsidR="00EC79BA">
              <w:rPr>
                <w:noProof/>
                <w:webHidden/>
              </w:rPr>
              <w:t>17</w:t>
            </w:r>
            <w:r w:rsidR="00EC79BA">
              <w:rPr>
                <w:noProof/>
                <w:webHidden/>
              </w:rPr>
              <w:fldChar w:fldCharType="end"/>
            </w:r>
          </w:hyperlink>
        </w:p>
        <w:p w14:paraId="14F844A2" w14:textId="2943B4B0" w:rsidR="00EC79BA" w:rsidRDefault="007835DC">
          <w:pPr>
            <w:pStyle w:val="TOC2"/>
            <w:tabs>
              <w:tab w:val="right" w:leader="dot" w:pos="8296"/>
            </w:tabs>
            <w:rPr>
              <w:rFonts w:eastAsiaTheme="minorEastAsia"/>
              <w:noProof/>
            </w:rPr>
          </w:pPr>
          <w:hyperlink w:anchor="_Toc501031463" w:history="1">
            <w:r w:rsidR="00EC79BA" w:rsidRPr="00B10227">
              <w:rPr>
                <w:rStyle w:val="Hyperlink"/>
                <w:noProof/>
              </w:rPr>
              <w:t>3.0 Introduction</w:t>
            </w:r>
            <w:r w:rsidR="00EC79BA">
              <w:rPr>
                <w:noProof/>
                <w:webHidden/>
              </w:rPr>
              <w:tab/>
            </w:r>
            <w:r w:rsidR="00EC79BA">
              <w:rPr>
                <w:noProof/>
                <w:webHidden/>
              </w:rPr>
              <w:fldChar w:fldCharType="begin"/>
            </w:r>
            <w:r w:rsidR="00EC79BA">
              <w:rPr>
                <w:noProof/>
                <w:webHidden/>
              </w:rPr>
              <w:instrText xml:space="preserve"> PAGEREF _Toc501031463 \h </w:instrText>
            </w:r>
            <w:r w:rsidR="00EC79BA">
              <w:rPr>
                <w:noProof/>
                <w:webHidden/>
              </w:rPr>
            </w:r>
            <w:r w:rsidR="00EC79BA">
              <w:rPr>
                <w:noProof/>
                <w:webHidden/>
              </w:rPr>
              <w:fldChar w:fldCharType="separate"/>
            </w:r>
            <w:r w:rsidR="00EC79BA">
              <w:rPr>
                <w:noProof/>
                <w:webHidden/>
              </w:rPr>
              <w:t>17</w:t>
            </w:r>
            <w:r w:rsidR="00EC79BA">
              <w:rPr>
                <w:noProof/>
                <w:webHidden/>
              </w:rPr>
              <w:fldChar w:fldCharType="end"/>
            </w:r>
          </w:hyperlink>
        </w:p>
        <w:p w14:paraId="136DABA2" w14:textId="4A3D12BF" w:rsidR="00EC79BA" w:rsidRDefault="007835DC">
          <w:pPr>
            <w:pStyle w:val="TOC2"/>
            <w:tabs>
              <w:tab w:val="right" w:leader="dot" w:pos="8296"/>
            </w:tabs>
            <w:rPr>
              <w:rFonts w:eastAsiaTheme="minorEastAsia"/>
              <w:noProof/>
            </w:rPr>
          </w:pPr>
          <w:hyperlink w:anchor="_Toc501031464" w:history="1">
            <w:r w:rsidR="00EC79BA" w:rsidRPr="00B10227">
              <w:rPr>
                <w:rStyle w:val="Hyperlink"/>
                <w:noProof/>
              </w:rPr>
              <w:t>3.1 Model Specification</w:t>
            </w:r>
            <w:r w:rsidR="00EC79BA">
              <w:rPr>
                <w:noProof/>
                <w:webHidden/>
              </w:rPr>
              <w:tab/>
            </w:r>
            <w:r w:rsidR="00EC79BA">
              <w:rPr>
                <w:noProof/>
                <w:webHidden/>
              </w:rPr>
              <w:fldChar w:fldCharType="begin"/>
            </w:r>
            <w:r w:rsidR="00EC79BA">
              <w:rPr>
                <w:noProof/>
                <w:webHidden/>
              </w:rPr>
              <w:instrText xml:space="preserve"> PAGEREF _Toc501031464 \h </w:instrText>
            </w:r>
            <w:r w:rsidR="00EC79BA">
              <w:rPr>
                <w:noProof/>
                <w:webHidden/>
              </w:rPr>
            </w:r>
            <w:r w:rsidR="00EC79BA">
              <w:rPr>
                <w:noProof/>
                <w:webHidden/>
              </w:rPr>
              <w:fldChar w:fldCharType="separate"/>
            </w:r>
            <w:r w:rsidR="00EC79BA">
              <w:rPr>
                <w:noProof/>
                <w:webHidden/>
              </w:rPr>
              <w:t>17</w:t>
            </w:r>
            <w:r w:rsidR="00EC79BA">
              <w:rPr>
                <w:noProof/>
                <w:webHidden/>
              </w:rPr>
              <w:fldChar w:fldCharType="end"/>
            </w:r>
          </w:hyperlink>
        </w:p>
        <w:p w14:paraId="715E22D7" w14:textId="7348ACC8" w:rsidR="00EC79BA" w:rsidRDefault="007835DC">
          <w:pPr>
            <w:pStyle w:val="TOC2"/>
            <w:tabs>
              <w:tab w:val="right" w:leader="dot" w:pos="8296"/>
            </w:tabs>
            <w:rPr>
              <w:rFonts w:eastAsiaTheme="minorEastAsia"/>
              <w:noProof/>
            </w:rPr>
          </w:pPr>
          <w:hyperlink w:anchor="_Toc501031465" w:history="1">
            <w:r w:rsidR="00EC79BA" w:rsidRPr="00B10227">
              <w:rPr>
                <w:rStyle w:val="Hyperlink"/>
                <w:noProof/>
              </w:rPr>
              <w:t>3.3 Data Description</w:t>
            </w:r>
            <w:r w:rsidR="00EC79BA">
              <w:rPr>
                <w:noProof/>
                <w:webHidden/>
              </w:rPr>
              <w:tab/>
            </w:r>
            <w:r w:rsidR="00EC79BA">
              <w:rPr>
                <w:noProof/>
                <w:webHidden/>
              </w:rPr>
              <w:fldChar w:fldCharType="begin"/>
            </w:r>
            <w:r w:rsidR="00EC79BA">
              <w:rPr>
                <w:noProof/>
                <w:webHidden/>
              </w:rPr>
              <w:instrText xml:space="preserve"> PAGEREF _Toc501031465 \h </w:instrText>
            </w:r>
            <w:r w:rsidR="00EC79BA">
              <w:rPr>
                <w:noProof/>
                <w:webHidden/>
              </w:rPr>
            </w:r>
            <w:r w:rsidR="00EC79BA">
              <w:rPr>
                <w:noProof/>
                <w:webHidden/>
              </w:rPr>
              <w:fldChar w:fldCharType="separate"/>
            </w:r>
            <w:r w:rsidR="00EC79BA">
              <w:rPr>
                <w:noProof/>
                <w:webHidden/>
              </w:rPr>
              <w:t>22</w:t>
            </w:r>
            <w:r w:rsidR="00EC79BA">
              <w:rPr>
                <w:noProof/>
                <w:webHidden/>
              </w:rPr>
              <w:fldChar w:fldCharType="end"/>
            </w:r>
          </w:hyperlink>
        </w:p>
        <w:p w14:paraId="436B8CC3" w14:textId="44851263" w:rsidR="00EC79BA" w:rsidRDefault="007835DC">
          <w:pPr>
            <w:pStyle w:val="TOC1"/>
            <w:tabs>
              <w:tab w:val="right" w:leader="dot" w:pos="8296"/>
            </w:tabs>
            <w:rPr>
              <w:rFonts w:eastAsiaTheme="minorEastAsia"/>
              <w:noProof/>
            </w:rPr>
          </w:pPr>
          <w:hyperlink w:anchor="_Toc501031466" w:history="1">
            <w:r w:rsidR="00EC79BA" w:rsidRPr="00B10227">
              <w:rPr>
                <w:rStyle w:val="Hyperlink"/>
                <w:noProof/>
              </w:rPr>
              <w:t>CHAPTER FOUR</w:t>
            </w:r>
            <w:r w:rsidR="00EC79BA">
              <w:rPr>
                <w:noProof/>
                <w:webHidden/>
              </w:rPr>
              <w:tab/>
            </w:r>
            <w:r w:rsidR="00EC79BA">
              <w:rPr>
                <w:noProof/>
                <w:webHidden/>
              </w:rPr>
              <w:fldChar w:fldCharType="begin"/>
            </w:r>
            <w:r w:rsidR="00EC79BA">
              <w:rPr>
                <w:noProof/>
                <w:webHidden/>
              </w:rPr>
              <w:instrText xml:space="preserve"> PAGEREF _Toc501031466 \h </w:instrText>
            </w:r>
            <w:r w:rsidR="00EC79BA">
              <w:rPr>
                <w:noProof/>
                <w:webHidden/>
              </w:rPr>
            </w:r>
            <w:r w:rsidR="00EC79BA">
              <w:rPr>
                <w:noProof/>
                <w:webHidden/>
              </w:rPr>
              <w:fldChar w:fldCharType="separate"/>
            </w:r>
            <w:r w:rsidR="00EC79BA">
              <w:rPr>
                <w:noProof/>
                <w:webHidden/>
              </w:rPr>
              <w:t>24</w:t>
            </w:r>
            <w:r w:rsidR="00EC79BA">
              <w:rPr>
                <w:noProof/>
                <w:webHidden/>
              </w:rPr>
              <w:fldChar w:fldCharType="end"/>
            </w:r>
          </w:hyperlink>
        </w:p>
        <w:p w14:paraId="1003FC05" w14:textId="10094A31" w:rsidR="00EC79BA" w:rsidRDefault="007835DC">
          <w:pPr>
            <w:pStyle w:val="TOC1"/>
            <w:tabs>
              <w:tab w:val="right" w:leader="dot" w:pos="8296"/>
            </w:tabs>
            <w:rPr>
              <w:rFonts w:eastAsiaTheme="minorEastAsia"/>
              <w:noProof/>
            </w:rPr>
          </w:pPr>
          <w:hyperlink w:anchor="_Toc501031467" w:history="1">
            <w:r w:rsidR="00EC79BA" w:rsidRPr="00B10227">
              <w:rPr>
                <w:rStyle w:val="Hyperlink"/>
                <w:noProof/>
              </w:rPr>
              <w:t>TREND ANALYSIS</w:t>
            </w:r>
            <w:r w:rsidR="00EC79BA">
              <w:rPr>
                <w:noProof/>
                <w:webHidden/>
              </w:rPr>
              <w:tab/>
            </w:r>
            <w:r w:rsidR="00EC79BA">
              <w:rPr>
                <w:noProof/>
                <w:webHidden/>
              </w:rPr>
              <w:fldChar w:fldCharType="begin"/>
            </w:r>
            <w:r w:rsidR="00EC79BA">
              <w:rPr>
                <w:noProof/>
                <w:webHidden/>
              </w:rPr>
              <w:instrText xml:space="preserve"> PAGEREF _Toc501031467 \h </w:instrText>
            </w:r>
            <w:r w:rsidR="00EC79BA">
              <w:rPr>
                <w:noProof/>
                <w:webHidden/>
              </w:rPr>
            </w:r>
            <w:r w:rsidR="00EC79BA">
              <w:rPr>
                <w:noProof/>
                <w:webHidden/>
              </w:rPr>
              <w:fldChar w:fldCharType="separate"/>
            </w:r>
            <w:r w:rsidR="00EC79BA">
              <w:rPr>
                <w:noProof/>
                <w:webHidden/>
              </w:rPr>
              <w:t>24</w:t>
            </w:r>
            <w:r w:rsidR="00EC79BA">
              <w:rPr>
                <w:noProof/>
                <w:webHidden/>
              </w:rPr>
              <w:fldChar w:fldCharType="end"/>
            </w:r>
          </w:hyperlink>
        </w:p>
        <w:p w14:paraId="03E803DE" w14:textId="07023E6A" w:rsidR="00EC79BA" w:rsidRDefault="007835DC">
          <w:pPr>
            <w:pStyle w:val="TOC2"/>
            <w:tabs>
              <w:tab w:val="right" w:leader="dot" w:pos="8296"/>
            </w:tabs>
            <w:rPr>
              <w:rFonts w:eastAsiaTheme="minorEastAsia"/>
              <w:noProof/>
            </w:rPr>
          </w:pPr>
          <w:hyperlink w:anchor="_Toc501031468" w:history="1">
            <w:r w:rsidR="00EC79BA" w:rsidRPr="00B10227">
              <w:rPr>
                <w:rStyle w:val="Hyperlink"/>
                <w:noProof/>
              </w:rPr>
              <w:t>4.1 INTRODUCTION</w:t>
            </w:r>
            <w:r w:rsidR="00EC79BA">
              <w:rPr>
                <w:noProof/>
                <w:webHidden/>
              </w:rPr>
              <w:tab/>
            </w:r>
            <w:r w:rsidR="00EC79BA">
              <w:rPr>
                <w:noProof/>
                <w:webHidden/>
              </w:rPr>
              <w:fldChar w:fldCharType="begin"/>
            </w:r>
            <w:r w:rsidR="00EC79BA">
              <w:rPr>
                <w:noProof/>
                <w:webHidden/>
              </w:rPr>
              <w:instrText xml:space="preserve"> PAGEREF _Toc501031468 \h </w:instrText>
            </w:r>
            <w:r w:rsidR="00EC79BA">
              <w:rPr>
                <w:noProof/>
                <w:webHidden/>
              </w:rPr>
            </w:r>
            <w:r w:rsidR="00EC79BA">
              <w:rPr>
                <w:noProof/>
                <w:webHidden/>
              </w:rPr>
              <w:fldChar w:fldCharType="separate"/>
            </w:r>
            <w:r w:rsidR="00EC79BA">
              <w:rPr>
                <w:noProof/>
                <w:webHidden/>
              </w:rPr>
              <w:t>24</w:t>
            </w:r>
            <w:r w:rsidR="00EC79BA">
              <w:rPr>
                <w:noProof/>
                <w:webHidden/>
              </w:rPr>
              <w:fldChar w:fldCharType="end"/>
            </w:r>
          </w:hyperlink>
        </w:p>
        <w:p w14:paraId="76E90A07" w14:textId="2CD73E77" w:rsidR="00EC79BA" w:rsidRDefault="007835DC">
          <w:pPr>
            <w:pStyle w:val="TOC2"/>
            <w:tabs>
              <w:tab w:val="right" w:leader="dot" w:pos="8296"/>
            </w:tabs>
            <w:rPr>
              <w:rFonts w:eastAsiaTheme="minorEastAsia"/>
              <w:noProof/>
            </w:rPr>
          </w:pPr>
          <w:hyperlink w:anchor="_Toc501031469" w:history="1">
            <w:r w:rsidR="00EC79BA" w:rsidRPr="00B10227">
              <w:rPr>
                <w:rStyle w:val="Hyperlink"/>
                <w:noProof/>
              </w:rPr>
              <w:t>4.2 Financial Deepening in Emerging Markets</w:t>
            </w:r>
            <w:r w:rsidR="00EC79BA">
              <w:rPr>
                <w:noProof/>
                <w:webHidden/>
              </w:rPr>
              <w:tab/>
            </w:r>
            <w:r w:rsidR="00EC79BA">
              <w:rPr>
                <w:noProof/>
                <w:webHidden/>
              </w:rPr>
              <w:fldChar w:fldCharType="begin"/>
            </w:r>
            <w:r w:rsidR="00EC79BA">
              <w:rPr>
                <w:noProof/>
                <w:webHidden/>
              </w:rPr>
              <w:instrText xml:space="preserve"> PAGEREF _Toc501031469 \h </w:instrText>
            </w:r>
            <w:r w:rsidR="00EC79BA">
              <w:rPr>
                <w:noProof/>
                <w:webHidden/>
              </w:rPr>
            </w:r>
            <w:r w:rsidR="00EC79BA">
              <w:rPr>
                <w:noProof/>
                <w:webHidden/>
              </w:rPr>
              <w:fldChar w:fldCharType="separate"/>
            </w:r>
            <w:r w:rsidR="00EC79BA">
              <w:rPr>
                <w:noProof/>
                <w:webHidden/>
              </w:rPr>
              <w:t>25</w:t>
            </w:r>
            <w:r w:rsidR="00EC79BA">
              <w:rPr>
                <w:noProof/>
                <w:webHidden/>
              </w:rPr>
              <w:fldChar w:fldCharType="end"/>
            </w:r>
          </w:hyperlink>
        </w:p>
        <w:p w14:paraId="65329917" w14:textId="64CA9ED7" w:rsidR="00EC79BA" w:rsidRDefault="007835DC">
          <w:pPr>
            <w:pStyle w:val="TOC2"/>
            <w:tabs>
              <w:tab w:val="right" w:leader="dot" w:pos="8296"/>
            </w:tabs>
            <w:rPr>
              <w:rFonts w:eastAsiaTheme="minorEastAsia"/>
              <w:noProof/>
            </w:rPr>
          </w:pPr>
          <w:hyperlink w:anchor="_Toc501031470" w:history="1">
            <w:r w:rsidR="00EC79BA" w:rsidRPr="00B10227">
              <w:rPr>
                <w:rStyle w:val="Hyperlink"/>
                <w:rFonts w:eastAsia="Times New Roman"/>
                <w:noProof/>
              </w:rPr>
              <w:t>4.3 A Comparative Analysis of Productivity Growth in Emerging Markets</w:t>
            </w:r>
            <w:r w:rsidR="00EC79BA">
              <w:rPr>
                <w:noProof/>
                <w:webHidden/>
              </w:rPr>
              <w:tab/>
            </w:r>
            <w:r w:rsidR="00EC79BA">
              <w:rPr>
                <w:noProof/>
                <w:webHidden/>
              </w:rPr>
              <w:fldChar w:fldCharType="begin"/>
            </w:r>
            <w:r w:rsidR="00EC79BA">
              <w:rPr>
                <w:noProof/>
                <w:webHidden/>
              </w:rPr>
              <w:instrText xml:space="preserve"> PAGEREF _Toc501031470 \h </w:instrText>
            </w:r>
            <w:r w:rsidR="00EC79BA">
              <w:rPr>
                <w:noProof/>
                <w:webHidden/>
              </w:rPr>
            </w:r>
            <w:r w:rsidR="00EC79BA">
              <w:rPr>
                <w:noProof/>
                <w:webHidden/>
              </w:rPr>
              <w:fldChar w:fldCharType="separate"/>
            </w:r>
            <w:r w:rsidR="00EC79BA">
              <w:rPr>
                <w:noProof/>
                <w:webHidden/>
              </w:rPr>
              <w:t>26</w:t>
            </w:r>
            <w:r w:rsidR="00EC79BA">
              <w:rPr>
                <w:noProof/>
                <w:webHidden/>
              </w:rPr>
              <w:fldChar w:fldCharType="end"/>
            </w:r>
          </w:hyperlink>
        </w:p>
        <w:p w14:paraId="6127EC95" w14:textId="4CD48155" w:rsidR="00EC79BA" w:rsidRDefault="007835DC">
          <w:pPr>
            <w:pStyle w:val="TOC2"/>
            <w:tabs>
              <w:tab w:val="right" w:leader="dot" w:pos="8296"/>
            </w:tabs>
            <w:rPr>
              <w:rFonts w:eastAsiaTheme="minorEastAsia"/>
              <w:noProof/>
            </w:rPr>
          </w:pPr>
          <w:hyperlink w:anchor="_Toc501031471" w:history="1">
            <w:r w:rsidR="00EC79BA" w:rsidRPr="00B10227">
              <w:rPr>
                <w:rStyle w:val="Hyperlink"/>
                <w:noProof/>
              </w:rPr>
              <w:t>Graph 4:2. A trend of sampled emerging countries contribution to service sector</w:t>
            </w:r>
            <w:r w:rsidR="00EC79BA">
              <w:rPr>
                <w:noProof/>
                <w:webHidden/>
              </w:rPr>
              <w:tab/>
            </w:r>
            <w:r w:rsidR="00EC79BA">
              <w:rPr>
                <w:noProof/>
                <w:webHidden/>
              </w:rPr>
              <w:fldChar w:fldCharType="begin"/>
            </w:r>
            <w:r w:rsidR="00EC79BA">
              <w:rPr>
                <w:noProof/>
                <w:webHidden/>
              </w:rPr>
              <w:instrText xml:space="preserve"> PAGEREF _Toc501031471 \h </w:instrText>
            </w:r>
            <w:r w:rsidR="00EC79BA">
              <w:rPr>
                <w:noProof/>
                <w:webHidden/>
              </w:rPr>
            </w:r>
            <w:r w:rsidR="00EC79BA">
              <w:rPr>
                <w:noProof/>
                <w:webHidden/>
              </w:rPr>
              <w:fldChar w:fldCharType="separate"/>
            </w:r>
            <w:r w:rsidR="00EC79BA">
              <w:rPr>
                <w:noProof/>
                <w:webHidden/>
              </w:rPr>
              <w:t>29</w:t>
            </w:r>
            <w:r w:rsidR="00EC79BA">
              <w:rPr>
                <w:noProof/>
                <w:webHidden/>
              </w:rPr>
              <w:fldChar w:fldCharType="end"/>
            </w:r>
          </w:hyperlink>
        </w:p>
        <w:p w14:paraId="53ABF92D" w14:textId="45A3A41D" w:rsidR="00EC79BA" w:rsidRDefault="007835DC">
          <w:pPr>
            <w:pStyle w:val="TOC2"/>
            <w:tabs>
              <w:tab w:val="right" w:leader="dot" w:pos="8296"/>
            </w:tabs>
            <w:rPr>
              <w:rFonts w:eastAsiaTheme="minorEastAsia"/>
              <w:noProof/>
            </w:rPr>
          </w:pPr>
          <w:hyperlink w:anchor="_Toc501031472" w:history="1">
            <w:r w:rsidR="00EC79BA" w:rsidRPr="00B10227">
              <w:rPr>
                <w:rStyle w:val="Hyperlink"/>
                <w:rFonts w:eastAsia="Times New Roman"/>
                <w:noProof/>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Graph 4:3. A trend of sample emerging countries’ contribution to the manufacturing sector</w:t>
            </w:r>
            <w:r w:rsidR="00EC79BA">
              <w:rPr>
                <w:noProof/>
                <w:webHidden/>
              </w:rPr>
              <w:tab/>
            </w:r>
            <w:r w:rsidR="00EC79BA">
              <w:rPr>
                <w:noProof/>
                <w:webHidden/>
              </w:rPr>
              <w:fldChar w:fldCharType="begin"/>
            </w:r>
            <w:r w:rsidR="00EC79BA">
              <w:rPr>
                <w:noProof/>
                <w:webHidden/>
              </w:rPr>
              <w:instrText xml:space="preserve"> PAGEREF _Toc501031472 \h </w:instrText>
            </w:r>
            <w:r w:rsidR="00EC79BA">
              <w:rPr>
                <w:noProof/>
                <w:webHidden/>
              </w:rPr>
            </w:r>
            <w:r w:rsidR="00EC79BA">
              <w:rPr>
                <w:noProof/>
                <w:webHidden/>
              </w:rPr>
              <w:fldChar w:fldCharType="separate"/>
            </w:r>
            <w:r w:rsidR="00EC79BA">
              <w:rPr>
                <w:noProof/>
                <w:webHidden/>
              </w:rPr>
              <w:t>31</w:t>
            </w:r>
            <w:r w:rsidR="00EC79BA">
              <w:rPr>
                <w:noProof/>
                <w:webHidden/>
              </w:rPr>
              <w:fldChar w:fldCharType="end"/>
            </w:r>
          </w:hyperlink>
        </w:p>
        <w:p w14:paraId="07832684" w14:textId="777647C9" w:rsidR="00EC79BA" w:rsidRDefault="007835DC">
          <w:pPr>
            <w:pStyle w:val="TOC2"/>
            <w:tabs>
              <w:tab w:val="right" w:leader="dot" w:pos="8296"/>
            </w:tabs>
            <w:rPr>
              <w:rFonts w:eastAsiaTheme="minorEastAsia"/>
              <w:noProof/>
            </w:rPr>
          </w:pPr>
          <w:hyperlink w:anchor="_Toc501031473" w:history="1">
            <w:r w:rsidR="00EC79BA" w:rsidRPr="00B10227">
              <w:rPr>
                <w:rStyle w:val="Hyperlink"/>
                <w:rFonts w:eastAsia="Times New Roman"/>
                <w:noProof/>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Graph 4:4: Contribution of the Manufacturing Sector on the GDP of Emerging Countries (1984–2013)</w:t>
            </w:r>
            <w:r w:rsidR="00EC79BA">
              <w:rPr>
                <w:noProof/>
                <w:webHidden/>
              </w:rPr>
              <w:tab/>
            </w:r>
            <w:r w:rsidR="00EC79BA">
              <w:rPr>
                <w:noProof/>
                <w:webHidden/>
              </w:rPr>
              <w:fldChar w:fldCharType="begin"/>
            </w:r>
            <w:r w:rsidR="00EC79BA">
              <w:rPr>
                <w:noProof/>
                <w:webHidden/>
              </w:rPr>
              <w:instrText xml:space="preserve"> PAGEREF _Toc501031473 \h </w:instrText>
            </w:r>
            <w:r w:rsidR="00EC79BA">
              <w:rPr>
                <w:noProof/>
                <w:webHidden/>
              </w:rPr>
            </w:r>
            <w:r w:rsidR="00EC79BA">
              <w:rPr>
                <w:noProof/>
                <w:webHidden/>
              </w:rPr>
              <w:fldChar w:fldCharType="separate"/>
            </w:r>
            <w:r w:rsidR="00EC79BA">
              <w:rPr>
                <w:noProof/>
                <w:webHidden/>
              </w:rPr>
              <w:t>31</w:t>
            </w:r>
            <w:r w:rsidR="00EC79BA">
              <w:rPr>
                <w:noProof/>
                <w:webHidden/>
              </w:rPr>
              <w:fldChar w:fldCharType="end"/>
            </w:r>
          </w:hyperlink>
        </w:p>
        <w:p w14:paraId="4D695066" w14:textId="7932238D" w:rsidR="00EC79BA" w:rsidRDefault="007835DC">
          <w:pPr>
            <w:pStyle w:val="TOC2"/>
            <w:tabs>
              <w:tab w:val="right" w:leader="dot" w:pos="8296"/>
            </w:tabs>
            <w:rPr>
              <w:rFonts w:eastAsiaTheme="minorEastAsia"/>
              <w:noProof/>
            </w:rPr>
          </w:pPr>
          <w:hyperlink w:anchor="_Toc501031474" w:history="1">
            <w:r w:rsidR="00EC79BA" w:rsidRPr="00B10227">
              <w:rPr>
                <w:rStyle w:val="Hyperlink"/>
                <w:rFonts w:eastAsia="Times New Roman"/>
                <w:noProof/>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Graph 4:4. A trend of sample emerging countries’ contribution to the agricultural sector</w:t>
            </w:r>
            <w:r w:rsidR="00EC79BA">
              <w:rPr>
                <w:noProof/>
                <w:webHidden/>
              </w:rPr>
              <w:tab/>
            </w:r>
            <w:r w:rsidR="00EC79BA">
              <w:rPr>
                <w:noProof/>
                <w:webHidden/>
              </w:rPr>
              <w:fldChar w:fldCharType="begin"/>
            </w:r>
            <w:r w:rsidR="00EC79BA">
              <w:rPr>
                <w:noProof/>
                <w:webHidden/>
              </w:rPr>
              <w:instrText xml:space="preserve"> PAGEREF _Toc501031474 \h </w:instrText>
            </w:r>
            <w:r w:rsidR="00EC79BA">
              <w:rPr>
                <w:noProof/>
                <w:webHidden/>
              </w:rPr>
            </w:r>
            <w:r w:rsidR="00EC79BA">
              <w:rPr>
                <w:noProof/>
                <w:webHidden/>
              </w:rPr>
              <w:fldChar w:fldCharType="separate"/>
            </w:r>
            <w:r w:rsidR="00EC79BA">
              <w:rPr>
                <w:noProof/>
                <w:webHidden/>
              </w:rPr>
              <w:t>32</w:t>
            </w:r>
            <w:r w:rsidR="00EC79BA">
              <w:rPr>
                <w:noProof/>
                <w:webHidden/>
              </w:rPr>
              <w:fldChar w:fldCharType="end"/>
            </w:r>
          </w:hyperlink>
        </w:p>
        <w:p w14:paraId="5C3E269B" w14:textId="44C3354E" w:rsidR="00EC79BA" w:rsidRDefault="007835DC">
          <w:pPr>
            <w:pStyle w:val="TOC2"/>
            <w:tabs>
              <w:tab w:val="right" w:leader="dot" w:pos="8296"/>
            </w:tabs>
            <w:rPr>
              <w:rFonts w:eastAsiaTheme="minorEastAsia"/>
              <w:noProof/>
            </w:rPr>
          </w:pPr>
          <w:hyperlink w:anchor="_Toc501031475" w:history="1">
            <w:r w:rsidR="00EC79BA" w:rsidRPr="00B10227">
              <w:rPr>
                <w:rStyle w:val="Hyperlink"/>
                <w:rFonts w:eastAsia="Times New Roman"/>
                <w:noProof/>
              </w:rPr>
              <w:t>4.4 A Trend Analysis of the Relationship between Financial Deepening and Productivity Growth</w:t>
            </w:r>
            <w:r w:rsidR="00EC79BA">
              <w:rPr>
                <w:noProof/>
                <w:webHidden/>
              </w:rPr>
              <w:tab/>
            </w:r>
            <w:r w:rsidR="00EC79BA">
              <w:rPr>
                <w:noProof/>
                <w:webHidden/>
              </w:rPr>
              <w:fldChar w:fldCharType="begin"/>
            </w:r>
            <w:r w:rsidR="00EC79BA">
              <w:rPr>
                <w:noProof/>
                <w:webHidden/>
              </w:rPr>
              <w:instrText xml:space="preserve"> PAGEREF _Toc501031475 \h </w:instrText>
            </w:r>
            <w:r w:rsidR="00EC79BA">
              <w:rPr>
                <w:noProof/>
                <w:webHidden/>
              </w:rPr>
            </w:r>
            <w:r w:rsidR="00EC79BA">
              <w:rPr>
                <w:noProof/>
                <w:webHidden/>
              </w:rPr>
              <w:fldChar w:fldCharType="separate"/>
            </w:r>
            <w:r w:rsidR="00EC79BA">
              <w:rPr>
                <w:noProof/>
                <w:webHidden/>
              </w:rPr>
              <w:t>33</w:t>
            </w:r>
            <w:r w:rsidR="00EC79BA">
              <w:rPr>
                <w:noProof/>
                <w:webHidden/>
              </w:rPr>
              <w:fldChar w:fldCharType="end"/>
            </w:r>
          </w:hyperlink>
        </w:p>
        <w:p w14:paraId="575BE212" w14:textId="632BF371" w:rsidR="00EC79BA" w:rsidRDefault="007835DC">
          <w:pPr>
            <w:pStyle w:val="TOC2"/>
            <w:tabs>
              <w:tab w:val="right" w:leader="dot" w:pos="8296"/>
            </w:tabs>
            <w:rPr>
              <w:rFonts w:eastAsiaTheme="minorEastAsia"/>
              <w:noProof/>
            </w:rPr>
          </w:pPr>
          <w:hyperlink w:anchor="_Toc501031476" w:history="1">
            <w:r w:rsidR="00EC79BA" w:rsidRPr="00B10227">
              <w:rPr>
                <w:rStyle w:val="Hyperlink"/>
                <w:noProof/>
              </w:rPr>
              <w:t>GRAPH 4:5 – 7 SAMPLED EMERGING COUNTRIES</w:t>
            </w:r>
            <w:r w:rsidR="00EC79BA">
              <w:rPr>
                <w:noProof/>
                <w:webHidden/>
              </w:rPr>
              <w:tab/>
            </w:r>
            <w:r w:rsidR="00EC79BA">
              <w:rPr>
                <w:noProof/>
                <w:webHidden/>
              </w:rPr>
              <w:fldChar w:fldCharType="begin"/>
            </w:r>
            <w:r w:rsidR="00EC79BA">
              <w:rPr>
                <w:noProof/>
                <w:webHidden/>
              </w:rPr>
              <w:instrText xml:space="preserve"> PAGEREF _Toc501031476 \h </w:instrText>
            </w:r>
            <w:r w:rsidR="00EC79BA">
              <w:rPr>
                <w:noProof/>
                <w:webHidden/>
              </w:rPr>
            </w:r>
            <w:r w:rsidR="00EC79BA">
              <w:rPr>
                <w:noProof/>
                <w:webHidden/>
              </w:rPr>
              <w:fldChar w:fldCharType="separate"/>
            </w:r>
            <w:r w:rsidR="00EC79BA">
              <w:rPr>
                <w:noProof/>
                <w:webHidden/>
              </w:rPr>
              <w:t>34</w:t>
            </w:r>
            <w:r w:rsidR="00EC79BA">
              <w:rPr>
                <w:noProof/>
                <w:webHidden/>
              </w:rPr>
              <w:fldChar w:fldCharType="end"/>
            </w:r>
          </w:hyperlink>
        </w:p>
        <w:p w14:paraId="7AFCBD9A" w14:textId="00F528C9" w:rsidR="00EC79BA" w:rsidRDefault="007835DC">
          <w:pPr>
            <w:pStyle w:val="TOC2"/>
            <w:tabs>
              <w:tab w:val="right" w:leader="dot" w:pos="8296"/>
            </w:tabs>
            <w:rPr>
              <w:rFonts w:eastAsiaTheme="minorEastAsia"/>
              <w:noProof/>
            </w:rPr>
          </w:pPr>
          <w:hyperlink w:anchor="_Toc501031477" w:history="1">
            <w:r w:rsidR="00EC79BA" w:rsidRPr="00B10227">
              <w:rPr>
                <w:rStyle w:val="Hyperlink"/>
                <w:noProof/>
              </w:rPr>
              <w:t>GRAPH 4:6- 4 SAMPLED EMERGING COUNTRIES</w:t>
            </w:r>
            <w:r w:rsidR="00EC79BA">
              <w:rPr>
                <w:noProof/>
                <w:webHidden/>
              </w:rPr>
              <w:tab/>
            </w:r>
            <w:r w:rsidR="00EC79BA">
              <w:rPr>
                <w:noProof/>
                <w:webHidden/>
              </w:rPr>
              <w:fldChar w:fldCharType="begin"/>
            </w:r>
            <w:r w:rsidR="00EC79BA">
              <w:rPr>
                <w:noProof/>
                <w:webHidden/>
              </w:rPr>
              <w:instrText xml:space="preserve"> PAGEREF _Toc501031477 \h </w:instrText>
            </w:r>
            <w:r w:rsidR="00EC79BA">
              <w:rPr>
                <w:noProof/>
                <w:webHidden/>
              </w:rPr>
            </w:r>
            <w:r w:rsidR="00EC79BA">
              <w:rPr>
                <w:noProof/>
                <w:webHidden/>
              </w:rPr>
              <w:fldChar w:fldCharType="separate"/>
            </w:r>
            <w:r w:rsidR="00EC79BA">
              <w:rPr>
                <w:noProof/>
                <w:webHidden/>
              </w:rPr>
              <w:t>34</w:t>
            </w:r>
            <w:r w:rsidR="00EC79BA">
              <w:rPr>
                <w:noProof/>
                <w:webHidden/>
              </w:rPr>
              <w:fldChar w:fldCharType="end"/>
            </w:r>
          </w:hyperlink>
        </w:p>
        <w:p w14:paraId="4D02C0D2" w14:textId="2FF0E4EF" w:rsidR="00EC79BA" w:rsidRDefault="007835DC">
          <w:pPr>
            <w:pStyle w:val="TOC2"/>
            <w:tabs>
              <w:tab w:val="right" w:leader="dot" w:pos="8296"/>
            </w:tabs>
            <w:rPr>
              <w:rFonts w:eastAsiaTheme="minorEastAsia"/>
              <w:noProof/>
            </w:rPr>
          </w:pPr>
          <w:hyperlink w:anchor="_Toc501031478" w:history="1">
            <w:r w:rsidR="00EC79BA" w:rsidRPr="00B10227">
              <w:rPr>
                <w:rStyle w:val="Hyperlink"/>
                <w:noProof/>
              </w:rPr>
              <w:t>GRAPH 4:7-4 SAMPLED EMERGING COUNTRIES</w:t>
            </w:r>
            <w:r w:rsidR="00EC79BA">
              <w:rPr>
                <w:noProof/>
                <w:webHidden/>
              </w:rPr>
              <w:tab/>
            </w:r>
            <w:r w:rsidR="00EC79BA">
              <w:rPr>
                <w:noProof/>
                <w:webHidden/>
              </w:rPr>
              <w:fldChar w:fldCharType="begin"/>
            </w:r>
            <w:r w:rsidR="00EC79BA">
              <w:rPr>
                <w:noProof/>
                <w:webHidden/>
              </w:rPr>
              <w:instrText xml:space="preserve"> PAGEREF _Toc501031478 \h </w:instrText>
            </w:r>
            <w:r w:rsidR="00EC79BA">
              <w:rPr>
                <w:noProof/>
                <w:webHidden/>
              </w:rPr>
            </w:r>
            <w:r w:rsidR="00EC79BA">
              <w:rPr>
                <w:noProof/>
                <w:webHidden/>
              </w:rPr>
              <w:fldChar w:fldCharType="separate"/>
            </w:r>
            <w:r w:rsidR="00EC79BA">
              <w:rPr>
                <w:noProof/>
                <w:webHidden/>
              </w:rPr>
              <w:t>35</w:t>
            </w:r>
            <w:r w:rsidR="00EC79BA">
              <w:rPr>
                <w:noProof/>
                <w:webHidden/>
              </w:rPr>
              <w:fldChar w:fldCharType="end"/>
            </w:r>
          </w:hyperlink>
        </w:p>
        <w:p w14:paraId="7DAC0623" w14:textId="4EEB9E9E" w:rsidR="00EC79BA" w:rsidRDefault="007835DC">
          <w:pPr>
            <w:pStyle w:val="TOC2"/>
            <w:tabs>
              <w:tab w:val="right" w:leader="dot" w:pos="8296"/>
            </w:tabs>
            <w:rPr>
              <w:rFonts w:eastAsiaTheme="minorEastAsia"/>
              <w:noProof/>
            </w:rPr>
          </w:pPr>
          <w:hyperlink w:anchor="_Toc501031479" w:history="1">
            <w:r w:rsidR="00EC79BA" w:rsidRPr="00B10227">
              <w:rPr>
                <w:rStyle w:val="Hyperlink"/>
                <w:noProof/>
              </w:rPr>
              <w:t>GRAPH 4:8- 5 SAMPLED EMERGING COUNTRIES</w:t>
            </w:r>
            <w:r w:rsidR="00EC79BA">
              <w:rPr>
                <w:noProof/>
                <w:webHidden/>
              </w:rPr>
              <w:tab/>
            </w:r>
            <w:r w:rsidR="00EC79BA">
              <w:rPr>
                <w:noProof/>
                <w:webHidden/>
              </w:rPr>
              <w:fldChar w:fldCharType="begin"/>
            </w:r>
            <w:r w:rsidR="00EC79BA">
              <w:rPr>
                <w:noProof/>
                <w:webHidden/>
              </w:rPr>
              <w:instrText xml:space="preserve"> PAGEREF _Toc501031479 \h </w:instrText>
            </w:r>
            <w:r w:rsidR="00EC79BA">
              <w:rPr>
                <w:noProof/>
                <w:webHidden/>
              </w:rPr>
            </w:r>
            <w:r w:rsidR="00EC79BA">
              <w:rPr>
                <w:noProof/>
                <w:webHidden/>
              </w:rPr>
              <w:fldChar w:fldCharType="separate"/>
            </w:r>
            <w:r w:rsidR="00EC79BA">
              <w:rPr>
                <w:noProof/>
                <w:webHidden/>
              </w:rPr>
              <w:t>35</w:t>
            </w:r>
            <w:r w:rsidR="00EC79BA">
              <w:rPr>
                <w:noProof/>
                <w:webHidden/>
              </w:rPr>
              <w:fldChar w:fldCharType="end"/>
            </w:r>
          </w:hyperlink>
        </w:p>
        <w:p w14:paraId="4B74625A" w14:textId="03C46858" w:rsidR="00EC79BA" w:rsidRDefault="007835DC">
          <w:pPr>
            <w:pStyle w:val="TOC1"/>
            <w:tabs>
              <w:tab w:val="right" w:leader="dot" w:pos="8296"/>
            </w:tabs>
            <w:rPr>
              <w:rFonts w:eastAsiaTheme="minorEastAsia"/>
              <w:noProof/>
            </w:rPr>
          </w:pPr>
          <w:hyperlink w:anchor="_Toc501031480" w:history="1">
            <w:r w:rsidR="00EC79BA" w:rsidRPr="00B10227">
              <w:rPr>
                <w:rStyle w:val="Hyperlink"/>
                <w:noProof/>
              </w:rPr>
              <w:t>CHAPTER FIVE</w:t>
            </w:r>
            <w:r w:rsidR="00EC79BA">
              <w:rPr>
                <w:noProof/>
                <w:webHidden/>
              </w:rPr>
              <w:tab/>
            </w:r>
            <w:r w:rsidR="00EC79BA">
              <w:rPr>
                <w:noProof/>
                <w:webHidden/>
              </w:rPr>
              <w:fldChar w:fldCharType="begin"/>
            </w:r>
            <w:r w:rsidR="00EC79BA">
              <w:rPr>
                <w:noProof/>
                <w:webHidden/>
              </w:rPr>
              <w:instrText xml:space="preserve"> PAGEREF _Toc501031480 \h </w:instrText>
            </w:r>
            <w:r w:rsidR="00EC79BA">
              <w:rPr>
                <w:noProof/>
                <w:webHidden/>
              </w:rPr>
            </w:r>
            <w:r w:rsidR="00EC79BA">
              <w:rPr>
                <w:noProof/>
                <w:webHidden/>
              </w:rPr>
              <w:fldChar w:fldCharType="separate"/>
            </w:r>
            <w:r w:rsidR="00EC79BA">
              <w:rPr>
                <w:noProof/>
                <w:webHidden/>
              </w:rPr>
              <w:t>39</w:t>
            </w:r>
            <w:r w:rsidR="00EC79BA">
              <w:rPr>
                <w:noProof/>
                <w:webHidden/>
              </w:rPr>
              <w:fldChar w:fldCharType="end"/>
            </w:r>
          </w:hyperlink>
        </w:p>
        <w:p w14:paraId="4AEDF76D" w14:textId="3EA779C6" w:rsidR="00EC79BA" w:rsidRDefault="007835DC">
          <w:pPr>
            <w:pStyle w:val="TOC1"/>
            <w:tabs>
              <w:tab w:val="right" w:leader="dot" w:pos="8296"/>
            </w:tabs>
            <w:rPr>
              <w:rFonts w:eastAsiaTheme="minorEastAsia"/>
              <w:noProof/>
            </w:rPr>
          </w:pPr>
          <w:hyperlink w:anchor="_Toc501031481" w:history="1">
            <w:r w:rsidR="00EC79BA" w:rsidRPr="00B10227">
              <w:rPr>
                <w:rStyle w:val="Hyperlink"/>
                <w:noProof/>
              </w:rPr>
              <w:t>ANALYSIS OF RESULTS</w:t>
            </w:r>
            <w:r w:rsidR="00EC79BA">
              <w:rPr>
                <w:noProof/>
                <w:webHidden/>
              </w:rPr>
              <w:tab/>
            </w:r>
            <w:r w:rsidR="00EC79BA">
              <w:rPr>
                <w:noProof/>
                <w:webHidden/>
              </w:rPr>
              <w:fldChar w:fldCharType="begin"/>
            </w:r>
            <w:r w:rsidR="00EC79BA">
              <w:rPr>
                <w:noProof/>
                <w:webHidden/>
              </w:rPr>
              <w:instrText xml:space="preserve"> PAGEREF _Toc501031481 \h </w:instrText>
            </w:r>
            <w:r w:rsidR="00EC79BA">
              <w:rPr>
                <w:noProof/>
                <w:webHidden/>
              </w:rPr>
            </w:r>
            <w:r w:rsidR="00EC79BA">
              <w:rPr>
                <w:noProof/>
                <w:webHidden/>
              </w:rPr>
              <w:fldChar w:fldCharType="separate"/>
            </w:r>
            <w:r w:rsidR="00EC79BA">
              <w:rPr>
                <w:noProof/>
                <w:webHidden/>
              </w:rPr>
              <w:t>39</w:t>
            </w:r>
            <w:r w:rsidR="00EC79BA">
              <w:rPr>
                <w:noProof/>
                <w:webHidden/>
              </w:rPr>
              <w:fldChar w:fldCharType="end"/>
            </w:r>
          </w:hyperlink>
        </w:p>
        <w:p w14:paraId="2639FD8C" w14:textId="7C5BA367" w:rsidR="00EC79BA" w:rsidRDefault="007835DC">
          <w:pPr>
            <w:pStyle w:val="TOC2"/>
            <w:tabs>
              <w:tab w:val="right" w:leader="dot" w:pos="8296"/>
            </w:tabs>
            <w:rPr>
              <w:rFonts w:eastAsiaTheme="minorEastAsia"/>
              <w:noProof/>
            </w:rPr>
          </w:pPr>
          <w:hyperlink w:anchor="_Toc501031482" w:history="1">
            <w:r w:rsidR="00EC79BA" w:rsidRPr="00B10227">
              <w:rPr>
                <w:rStyle w:val="Hyperlink"/>
                <w:noProof/>
              </w:rPr>
              <w:t>5.0 Introduction</w:t>
            </w:r>
            <w:r w:rsidR="00EC79BA">
              <w:rPr>
                <w:noProof/>
                <w:webHidden/>
              </w:rPr>
              <w:tab/>
            </w:r>
            <w:r w:rsidR="00EC79BA">
              <w:rPr>
                <w:noProof/>
                <w:webHidden/>
              </w:rPr>
              <w:fldChar w:fldCharType="begin"/>
            </w:r>
            <w:r w:rsidR="00EC79BA">
              <w:rPr>
                <w:noProof/>
                <w:webHidden/>
              </w:rPr>
              <w:instrText xml:space="preserve"> PAGEREF _Toc501031482 \h </w:instrText>
            </w:r>
            <w:r w:rsidR="00EC79BA">
              <w:rPr>
                <w:noProof/>
                <w:webHidden/>
              </w:rPr>
            </w:r>
            <w:r w:rsidR="00EC79BA">
              <w:rPr>
                <w:noProof/>
                <w:webHidden/>
              </w:rPr>
              <w:fldChar w:fldCharType="separate"/>
            </w:r>
            <w:r w:rsidR="00EC79BA">
              <w:rPr>
                <w:noProof/>
                <w:webHidden/>
              </w:rPr>
              <w:t>39</w:t>
            </w:r>
            <w:r w:rsidR="00EC79BA">
              <w:rPr>
                <w:noProof/>
                <w:webHidden/>
              </w:rPr>
              <w:fldChar w:fldCharType="end"/>
            </w:r>
          </w:hyperlink>
        </w:p>
        <w:p w14:paraId="19C09B62" w14:textId="250AB7A5" w:rsidR="00EC79BA" w:rsidRDefault="007835DC">
          <w:pPr>
            <w:pStyle w:val="TOC2"/>
            <w:tabs>
              <w:tab w:val="right" w:leader="dot" w:pos="8296"/>
            </w:tabs>
            <w:rPr>
              <w:rFonts w:eastAsiaTheme="minorEastAsia"/>
              <w:noProof/>
            </w:rPr>
          </w:pPr>
          <w:hyperlink w:anchor="_Toc501031483" w:history="1">
            <w:r w:rsidR="00EC79BA" w:rsidRPr="00B10227">
              <w:rPr>
                <w:rStyle w:val="Hyperlink"/>
                <w:noProof/>
              </w:rPr>
              <w:t>5.1 Descriptive analysis</w:t>
            </w:r>
            <w:r w:rsidR="00EC79BA">
              <w:rPr>
                <w:noProof/>
                <w:webHidden/>
              </w:rPr>
              <w:tab/>
            </w:r>
            <w:r w:rsidR="00EC79BA">
              <w:rPr>
                <w:noProof/>
                <w:webHidden/>
              </w:rPr>
              <w:fldChar w:fldCharType="begin"/>
            </w:r>
            <w:r w:rsidR="00EC79BA">
              <w:rPr>
                <w:noProof/>
                <w:webHidden/>
              </w:rPr>
              <w:instrText xml:space="preserve"> PAGEREF _Toc501031483 \h </w:instrText>
            </w:r>
            <w:r w:rsidR="00EC79BA">
              <w:rPr>
                <w:noProof/>
                <w:webHidden/>
              </w:rPr>
            </w:r>
            <w:r w:rsidR="00EC79BA">
              <w:rPr>
                <w:noProof/>
                <w:webHidden/>
              </w:rPr>
              <w:fldChar w:fldCharType="separate"/>
            </w:r>
            <w:r w:rsidR="00EC79BA">
              <w:rPr>
                <w:noProof/>
                <w:webHidden/>
              </w:rPr>
              <w:t>39</w:t>
            </w:r>
            <w:r w:rsidR="00EC79BA">
              <w:rPr>
                <w:noProof/>
                <w:webHidden/>
              </w:rPr>
              <w:fldChar w:fldCharType="end"/>
            </w:r>
          </w:hyperlink>
        </w:p>
        <w:p w14:paraId="0D15C8EF" w14:textId="1D26EFEA" w:rsidR="00EC79BA" w:rsidRDefault="007835DC">
          <w:pPr>
            <w:pStyle w:val="TOC2"/>
            <w:tabs>
              <w:tab w:val="right" w:leader="dot" w:pos="8296"/>
            </w:tabs>
            <w:rPr>
              <w:rFonts w:eastAsiaTheme="minorEastAsia"/>
              <w:noProof/>
            </w:rPr>
          </w:pPr>
          <w:hyperlink w:anchor="_Toc501031484" w:history="1">
            <w:r w:rsidR="00EC79BA" w:rsidRPr="00B10227">
              <w:rPr>
                <w:rStyle w:val="Hyperlink"/>
                <w:noProof/>
              </w:rPr>
              <w:t>Table 5.1: Summary descriptive statistics</w:t>
            </w:r>
            <w:r w:rsidR="00EC79BA">
              <w:rPr>
                <w:noProof/>
                <w:webHidden/>
              </w:rPr>
              <w:tab/>
            </w:r>
            <w:r w:rsidR="00EC79BA">
              <w:rPr>
                <w:noProof/>
                <w:webHidden/>
              </w:rPr>
              <w:fldChar w:fldCharType="begin"/>
            </w:r>
            <w:r w:rsidR="00EC79BA">
              <w:rPr>
                <w:noProof/>
                <w:webHidden/>
              </w:rPr>
              <w:instrText xml:space="preserve"> PAGEREF _Toc501031484 \h </w:instrText>
            </w:r>
            <w:r w:rsidR="00EC79BA">
              <w:rPr>
                <w:noProof/>
                <w:webHidden/>
              </w:rPr>
            </w:r>
            <w:r w:rsidR="00EC79BA">
              <w:rPr>
                <w:noProof/>
                <w:webHidden/>
              </w:rPr>
              <w:fldChar w:fldCharType="separate"/>
            </w:r>
            <w:r w:rsidR="00EC79BA">
              <w:rPr>
                <w:noProof/>
                <w:webHidden/>
              </w:rPr>
              <w:t>40</w:t>
            </w:r>
            <w:r w:rsidR="00EC79BA">
              <w:rPr>
                <w:noProof/>
                <w:webHidden/>
              </w:rPr>
              <w:fldChar w:fldCharType="end"/>
            </w:r>
          </w:hyperlink>
        </w:p>
        <w:p w14:paraId="17CA337F" w14:textId="724DA806" w:rsidR="00EC79BA" w:rsidRDefault="007835DC">
          <w:pPr>
            <w:pStyle w:val="TOC2"/>
            <w:tabs>
              <w:tab w:val="right" w:leader="dot" w:pos="8296"/>
            </w:tabs>
            <w:rPr>
              <w:rFonts w:eastAsiaTheme="minorEastAsia"/>
              <w:noProof/>
            </w:rPr>
          </w:pPr>
          <w:hyperlink w:anchor="_Toc501031485" w:history="1">
            <w:r w:rsidR="00EC79BA" w:rsidRPr="00B10227">
              <w:rPr>
                <w:rStyle w:val="Hyperlink"/>
                <w:noProof/>
              </w:rPr>
              <w:t>Figure 5.1: Average TFP growth and ratio of private credit to GDP</w:t>
            </w:r>
            <w:r w:rsidR="00EC79BA">
              <w:rPr>
                <w:noProof/>
                <w:webHidden/>
              </w:rPr>
              <w:tab/>
            </w:r>
            <w:r w:rsidR="00EC79BA">
              <w:rPr>
                <w:noProof/>
                <w:webHidden/>
              </w:rPr>
              <w:fldChar w:fldCharType="begin"/>
            </w:r>
            <w:r w:rsidR="00EC79BA">
              <w:rPr>
                <w:noProof/>
                <w:webHidden/>
              </w:rPr>
              <w:instrText xml:space="preserve"> PAGEREF _Toc501031485 \h </w:instrText>
            </w:r>
            <w:r w:rsidR="00EC79BA">
              <w:rPr>
                <w:noProof/>
                <w:webHidden/>
              </w:rPr>
            </w:r>
            <w:r w:rsidR="00EC79BA">
              <w:rPr>
                <w:noProof/>
                <w:webHidden/>
              </w:rPr>
              <w:fldChar w:fldCharType="separate"/>
            </w:r>
            <w:r w:rsidR="00EC79BA">
              <w:rPr>
                <w:noProof/>
                <w:webHidden/>
              </w:rPr>
              <w:t>41</w:t>
            </w:r>
            <w:r w:rsidR="00EC79BA">
              <w:rPr>
                <w:noProof/>
                <w:webHidden/>
              </w:rPr>
              <w:fldChar w:fldCharType="end"/>
            </w:r>
          </w:hyperlink>
        </w:p>
        <w:p w14:paraId="43264B3B" w14:textId="2D6608C8" w:rsidR="00EC79BA" w:rsidRDefault="007835DC">
          <w:pPr>
            <w:pStyle w:val="TOC2"/>
            <w:tabs>
              <w:tab w:val="right" w:leader="dot" w:pos="8296"/>
            </w:tabs>
            <w:rPr>
              <w:rFonts w:eastAsiaTheme="minorEastAsia"/>
              <w:noProof/>
            </w:rPr>
          </w:pPr>
          <w:hyperlink w:anchor="_Toc501031486" w:history="1">
            <w:r w:rsidR="00EC79BA" w:rsidRPr="00B10227">
              <w:rPr>
                <w:rStyle w:val="Hyperlink"/>
                <w:noProof/>
              </w:rPr>
              <w:t>Figure 5.2: Average TFP growth and ratio of stock market capitalization to GDP</w:t>
            </w:r>
            <w:r w:rsidR="00EC79BA">
              <w:rPr>
                <w:noProof/>
                <w:webHidden/>
              </w:rPr>
              <w:tab/>
            </w:r>
            <w:r w:rsidR="00EC79BA">
              <w:rPr>
                <w:noProof/>
                <w:webHidden/>
              </w:rPr>
              <w:fldChar w:fldCharType="begin"/>
            </w:r>
            <w:r w:rsidR="00EC79BA">
              <w:rPr>
                <w:noProof/>
                <w:webHidden/>
              </w:rPr>
              <w:instrText xml:space="preserve"> PAGEREF _Toc501031486 \h </w:instrText>
            </w:r>
            <w:r w:rsidR="00EC79BA">
              <w:rPr>
                <w:noProof/>
                <w:webHidden/>
              </w:rPr>
            </w:r>
            <w:r w:rsidR="00EC79BA">
              <w:rPr>
                <w:noProof/>
                <w:webHidden/>
              </w:rPr>
              <w:fldChar w:fldCharType="separate"/>
            </w:r>
            <w:r w:rsidR="00EC79BA">
              <w:rPr>
                <w:noProof/>
                <w:webHidden/>
              </w:rPr>
              <w:t>41</w:t>
            </w:r>
            <w:r w:rsidR="00EC79BA">
              <w:rPr>
                <w:noProof/>
                <w:webHidden/>
              </w:rPr>
              <w:fldChar w:fldCharType="end"/>
            </w:r>
          </w:hyperlink>
        </w:p>
        <w:p w14:paraId="2F20E3D6" w14:textId="1591D089" w:rsidR="00EC79BA" w:rsidRDefault="007835DC">
          <w:pPr>
            <w:pStyle w:val="TOC2"/>
            <w:tabs>
              <w:tab w:val="right" w:leader="dot" w:pos="8296"/>
            </w:tabs>
            <w:rPr>
              <w:rFonts w:eastAsiaTheme="minorEastAsia"/>
              <w:noProof/>
            </w:rPr>
          </w:pPr>
          <w:hyperlink w:anchor="_Toc501031487" w:history="1">
            <w:r w:rsidR="00EC79BA" w:rsidRPr="00B10227">
              <w:rPr>
                <w:rStyle w:val="Hyperlink"/>
                <w:noProof/>
              </w:rPr>
              <w:t>Table 5.2: Correlation matrix</w:t>
            </w:r>
            <w:r w:rsidR="00EC79BA">
              <w:rPr>
                <w:noProof/>
                <w:webHidden/>
              </w:rPr>
              <w:tab/>
            </w:r>
            <w:r w:rsidR="00EC79BA">
              <w:rPr>
                <w:noProof/>
                <w:webHidden/>
              </w:rPr>
              <w:fldChar w:fldCharType="begin"/>
            </w:r>
            <w:r w:rsidR="00EC79BA">
              <w:rPr>
                <w:noProof/>
                <w:webHidden/>
              </w:rPr>
              <w:instrText xml:space="preserve"> PAGEREF _Toc501031487 \h </w:instrText>
            </w:r>
            <w:r w:rsidR="00EC79BA">
              <w:rPr>
                <w:noProof/>
                <w:webHidden/>
              </w:rPr>
            </w:r>
            <w:r w:rsidR="00EC79BA">
              <w:rPr>
                <w:noProof/>
                <w:webHidden/>
              </w:rPr>
              <w:fldChar w:fldCharType="separate"/>
            </w:r>
            <w:r w:rsidR="00EC79BA">
              <w:rPr>
                <w:noProof/>
                <w:webHidden/>
              </w:rPr>
              <w:t>42</w:t>
            </w:r>
            <w:r w:rsidR="00EC79BA">
              <w:rPr>
                <w:noProof/>
                <w:webHidden/>
              </w:rPr>
              <w:fldChar w:fldCharType="end"/>
            </w:r>
          </w:hyperlink>
        </w:p>
        <w:p w14:paraId="1BD15492" w14:textId="6D032BA1" w:rsidR="00EC79BA" w:rsidRDefault="007835DC">
          <w:pPr>
            <w:pStyle w:val="TOC2"/>
            <w:tabs>
              <w:tab w:val="right" w:leader="dot" w:pos="8296"/>
            </w:tabs>
            <w:rPr>
              <w:rFonts w:eastAsiaTheme="minorEastAsia"/>
              <w:noProof/>
            </w:rPr>
          </w:pPr>
          <w:hyperlink w:anchor="_Toc501031488" w:history="1">
            <w:r w:rsidR="00EC79BA" w:rsidRPr="00B10227">
              <w:rPr>
                <w:rStyle w:val="Hyperlink"/>
                <w:noProof/>
              </w:rPr>
              <w:t>5.2 Empirical Analysis</w:t>
            </w:r>
            <w:r w:rsidR="00EC79BA">
              <w:rPr>
                <w:noProof/>
                <w:webHidden/>
              </w:rPr>
              <w:tab/>
            </w:r>
            <w:r w:rsidR="00EC79BA">
              <w:rPr>
                <w:noProof/>
                <w:webHidden/>
              </w:rPr>
              <w:fldChar w:fldCharType="begin"/>
            </w:r>
            <w:r w:rsidR="00EC79BA">
              <w:rPr>
                <w:noProof/>
                <w:webHidden/>
              </w:rPr>
              <w:instrText xml:space="preserve"> PAGEREF _Toc501031488 \h </w:instrText>
            </w:r>
            <w:r w:rsidR="00EC79BA">
              <w:rPr>
                <w:noProof/>
                <w:webHidden/>
              </w:rPr>
            </w:r>
            <w:r w:rsidR="00EC79BA">
              <w:rPr>
                <w:noProof/>
                <w:webHidden/>
              </w:rPr>
              <w:fldChar w:fldCharType="separate"/>
            </w:r>
            <w:r w:rsidR="00EC79BA">
              <w:rPr>
                <w:noProof/>
                <w:webHidden/>
              </w:rPr>
              <w:t>42</w:t>
            </w:r>
            <w:r w:rsidR="00EC79BA">
              <w:rPr>
                <w:noProof/>
                <w:webHidden/>
              </w:rPr>
              <w:fldChar w:fldCharType="end"/>
            </w:r>
          </w:hyperlink>
        </w:p>
        <w:p w14:paraId="48A637FC" w14:textId="1C0E015A" w:rsidR="00EC79BA" w:rsidRDefault="007835DC">
          <w:pPr>
            <w:pStyle w:val="TOC2"/>
            <w:tabs>
              <w:tab w:val="right" w:leader="dot" w:pos="8296"/>
            </w:tabs>
            <w:rPr>
              <w:rFonts w:eastAsiaTheme="minorEastAsia"/>
              <w:noProof/>
            </w:rPr>
          </w:pPr>
          <w:hyperlink w:anchor="_Toc501031489" w:history="1">
            <w:r w:rsidR="00EC79BA" w:rsidRPr="00B10227">
              <w:rPr>
                <w:rStyle w:val="Hyperlink"/>
                <w:noProof/>
              </w:rPr>
              <w:t>Table 5.3: Pooled OLS estimation (5-year averages over 1996–2014)</w:t>
            </w:r>
            <w:r w:rsidR="00EC79BA">
              <w:rPr>
                <w:noProof/>
                <w:webHidden/>
              </w:rPr>
              <w:tab/>
            </w:r>
            <w:r w:rsidR="00EC79BA">
              <w:rPr>
                <w:noProof/>
                <w:webHidden/>
              </w:rPr>
              <w:fldChar w:fldCharType="begin"/>
            </w:r>
            <w:r w:rsidR="00EC79BA">
              <w:rPr>
                <w:noProof/>
                <w:webHidden/>
              </w:rPr>
              <w:instrText xml:space="preserve"> PAGEREF _Toc501031489 \h </w:instrText>
            </w:r>
            <w:r w:rsidR="00EC79BA">
              <w:rPr>
                <w:noProof/>
                <w:webHidden/>
              </w:rPr>
            </w:r>
            <w:r w:rsidR="00EC79BA">
              <w:rPr>
                <w:noProof/>
                <w:webHidden/>
              </w:rPr>
              <w:fldChar w:fldCharType="separate"/>
            </w:r>
            <w:r w:rsidR="00EC79BA">
              <w:rPr>
                <w:noProof/>
                <w:webHidden/>
              </w:rPr>
              <w:t>43</w:t>
            </w:r>
            <w:r w:rsidR="00EC79BA">
              <w:rPr>
                <w:noProof/>
                <w:webHidden/>
              </w:rPr>
              <w:fldChar w:fldCharType="end"/>
            </w:r>
          </w:hyperlink>
        </w:p>
        <w:p w14:paraId="2BBE9B4F" w14:textId="092CC9BB" w:rsidR="00EC79BA" w:rsidRDefault="007835DC">
          <w:pPr>
            <w:pStyle w:val="TOC2"/>
            <w:tabs>
              <w:tab w:val="right" w:leader="dot" w:pos="8296"/>
            </w:tabs>
            <w:rPr>
              <w:rFonts w:eastAsiaTheme="minorEastAsia"/>
              <w:noProof/>
            </w:rPr>
          </w:pPr>
          <w:hyperlink w:anchor="_Toc501031490" w:history="1">
            <w:r w:rsidR="00EC79BA" w:rsidRPr="00B10227">
              <w:rPr>
                <w:rStyle w:val="Hyperlink"/>
                <w:noProof/>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Table 5.4: Linearity tests</w:t>
            </w:r>
            <w:r w:rsidR="00EC79BA">
              <w:rPr>
                <w:noProof/>
                <w:webHidden/>
              </w:rPr>
              <w:tab/>
            </w:r>
            <w:r w:rsidR="00EC79BA">
              <w:rPr>
                <w:noProof/>
                <w:webHidden/>
              </w:rPr>
              <w:fldChar w:fldCharType="begin"/>
            </w:r>
            <w:r w:rsidR="00EC79BA">
              <w:rPr>
                <w:noProof/>
                <w:webHidden/>
              </w:rPr>
              <w:instrText xml:space="preserve"> PAGEREF _Toc501031490 \h </w:instrText>
            </w:r>
            <w:r w:rsidR="00EC79BA">
              <w:rPr>
                <w:noProof/>
                <w:webHidden/>
              </w:rPr>
            </w:r>
            <w:r w:rsidR="00EC79BA">
              <w:rPr>
                <w:noProof/>
                <w:webHidden/>
              </w:rPr>
              <w:fldChar w:fldCharType="separate"/>
            </w:r>
            <w:r w:rsidR="00EC79BA">
              <w:rPr>
                <w:noProof/>
                <w:webHidden/>
              </w:rPr>
              <w:t>44</w:t>
            </w:r>
            <w:r w:rsidR="00EC79BA">
              <w:rPr>
                <w:noProof/>
                <w:webHidden/>
              </w:rPr>
              <w:fldChar w:fldCharType="end"/>
            </w:r>
          </w:hyperlink>
        </w:p>
        <w:p w14:paraId="4A58FA98" w14:textId="45AAC8BC" w:rsidR="00EC79BA" w:rsidRDefault="007835DC">
          <w:pPr>
            <w:pStyle w:val="TOC2"/>
            <w:tabs>
              <w:tab w:val="right" w:leader="dot" w:pos="8296"/>
            </w:tabs>
            <w:rPr>
              <w:rFonts w:eastAsiaTheme="minorEastAsia"/>
              <w:noProof/>
            </w:rPr>
          </w:pPr>
          <w:hyperlink w:anchor="_Toc501031491" w:history="1">
            <w:r w:rsidR="00EC79BA" w:rsidRPr="00B10227">
              <w:rPr>
                <w:rStyle w:val="Hyperlink"/>
                <w:noProof/>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Table 5.5: Test for remaining nonlinearity</w:t>
            </w:r>
            <w:r w:rsidR="00EC79BA">
              <w:rPr>
                <w:noProof/>
                <w:webHidden/>
              </w:rPr>
              <w:tab/>
            </w:r>
            <w:r w:rsidR="00EC79BA">
              <w:rPr>
                <w:noProof/>
                <w:webHidden/>
              </w:rPr>
              <w:fldChar w:fldCharType="begin"/>
            </w:r>
            <w:r w:rsidR="00EC79BA">
              <w:rPr>
                <w:noProof/>
                <w:webHidden/>
              </w:rPr>
              <w:instrText xml:space="preserve"> PAGEREF _Toc501031491 \h </w:instrText>
            </w:r>
            <w:r w:rsidR="00EC79BA">
              <w:rPr>
                <w:noProof/>
                <w:webHidden/>
              </w:rPr>
            </w:r>
            <w:r w:rsidR="00EC79BA">
              <w:rPr>
                <w:noProof/>
                <w:webHidden/>
              </w:rPr>
              <w:fldChar w:fldCharType="separate"/>
            </w:r>
            <w:r w:rsidR="00EC79BA">
              <w:rPr>
                <w:noProof/>
                <w:webHidden/>
              </w:rPr>
              <w:t>45</w:t>
            </w:r>
            <w:r w:rsidR="00EC79BA">
              <w:rPr>
                <w:noProof/>
                <w:webHidden/>
              </w:rPr>
              <w:fldChar w:fldCharType="end"/>
            </w:r>
          </w:hyperlink>
        </w:p>
        <w:p w14:paraId="52926B57" w14:textId="2B555A6A" w:rsidR="00EC79BA" w:rsidRDefault="007835DC">
          <w:pPr>
            <w:pStyle w:val="TOC2"/>
            <w:tabs>
              <w:tab w:val="right" w:leader="dot" w:pos="8296"/>
            </w:tabs>
            <w:rPr>
              <w:rFonts w:eastAsiaTheme="minorEastAsia"/>
              <w:noProof/>
            </w:rPr>
          </w:pPr>
          <w:hyperlink w:anchor="_Toc501031492" w:history="1">
            <w:r w:rsidR="00EC79BA" w:rsidRPr="00B10227">
              <w:rPr>
                <w:rStyle w:val="Hyperlink"/>
                <w:noProof/>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Table 5.6: PSTR model estimation</w:t>
            </w:r>
            <w:r w:rsidR="00EC79BA">
              <w:rPr>
                <w:noProof/>
                <w:webHidden/>
              </w:rPr>
              <w:tab/>
            </w:r>
            <w:r w:rsidR="00EC79BA">
              <w:rPr>
                <w:noProof/>
                <w:webHidden/>
              </w:rPr>
              <w:fldChar w:fldCharType="begin"/>
            </w:r>
            <w:r w:rsidR="00EC79BA">
              <w:rPr>
                <w:noProof/>
                <w:webHidden/>
              </w:rPr>
              <w:instrText xml:space="preserve"> PAGEREF _Toc501031492 \h </w:instrText>
            </w:r>
            <w:r w:rsidR="00EC79BA">
              <w:rPr>
                <w:noProof/>
                <w:webHidden/>
              </w:rPr>
            </w:r>
            <w:r w:rsidR="00EC79BA">
              <w:rPr>
                <w:noProof/>
                <w:webHidden/>
              </w:rPr>
              <w:fldChar w:fldCharType="separate"/>
            </w:r>
            <w:r w:rsidR="00EC79BA">
              <w:rPr>
                <w:noProof/>
                <w:webHidden/>
              </w:rPr>
              <w:t>45</w:t>
            </w:r>
            <w:r w:rsidR="00EC79BA">
              <w:rPr>
                <w:noProof/>
                <w:webHidden/>
              </w:rPr>
              <w:fldChar w:fldCharType="end"/>
            </w:r>
          </w:hyperlink>
        </w:p>
        <w:p w14:paraId="562CC571" w14:textId="7D826D30" w:rsidR="00EC79BA" w:rsidRDefault="007835DC">
          <w:pPr>
            <w:pStyle w:val="TOC2"/>
            <w:tabs>
              <w:tab w:val="right" w:leader="dot" w:pos="8296"/>
            </w:tabs>
            <w:rPr>
              <w:rFonts w:eastAsiaTheme="minorEastAsia"/>
              <w:noProof/>
            </w:rPr>
          </w:pPr>
          <w:hyperlink w:anchor="_Toc501031493" w:history="1">
            <w:r w:rsidR="00EC79BA" w:rsidRPr="00B10227">
              <w:rPr>
                <w:rStyle w:val="Hyperlink"/>
                <w:noProof/>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Figure 5.3: Elasticity of TFP growth with respect to private sector credit</w:t>
            </w:r>
            <w:r w:rsidR="00EC79BA">
              <w:rPr>
                <w:noProof/>
                <w:webHidden/>
              </w:rPr>
              <w:tab/>
            </w:r>
            <w:r w:rsidR="00EC79BA">
              <w:rPr>
                <w:noProof/>
                <w:webHidden/>
              </w:rPr>
              <w:fldChar w:fldCharType="begin"/>
            </w:r>
            <w:r w:rsidR="00EC79BA">
              <w:rPr>
                <w:noProof/>
                <w:webHidden/>
              </w:rPr>
              <w:instrText xml:space="preserve"> PAGEREF _Toc501031493 \h </w:instrText>
            </w:r>
            <w:r w:rsidR="00EC79BA">
              <w:rPr>
                <w:noProof/>
                <w:webHidden/>
              </w:rPr>
            </w:r>
            <w:r w:rsidR="00EC79BA">
              <w:rPr>
                <w:noProof/>
                <w:webHidden/>
              </w:rPr>
              <w:fldChar w:fldCharType="separate"/>
            </w:r>
            <w:r w:rsidR="00EC79BA">
              <w:rPr>
                <w:noProof/>
                <w:webHidden/>
              </w:rPr>
              <w:t>47</w:t>
            </w:r>
            <w:r w:rsidR="00EC79BA">
              <w:rPr>
                <w:noProof/>
                <w:webHidden/>
              </w:rPr>
              <w:fldChar w:fldCharType="end"/>
            </w:r>
          </w:hyperlink>
        </w:p>
        <w:p w14:paraId="0E9F5BEB" w14:textId="6AF8DF7A" w:rsidR="00EC79BA" w:rsidRDefault="007835DC">
          <w:pPr>
            <w:pStyle w:val="TOC2"/>
            <w:tabs>
              <w:tab w:val="right" w:leader="dot" w:pos="8296"/>
            </w:tabs>
            <w:rPr>
              <w:rFonts w:eastAsiaTheme="minorEastAsia"/>
              <w:noProof/>
            </w:rPr>
          </w:pPr>
          <w:hyperlink w:anchor="_Toc501031494" w:history="1">
            <w:r w:rsidR="00EC79BA" w:rsidRPr="00B10227">
              <w:rPr>
                <w:rStyle w:val="Hyperlink"/>
                <w:noProof/>
              </w:rPr>
              <w:t>5.2.1 Robustness</w:t>
            </w:r>
            <w:r w:rsidR="00EC79BA">
              <w:rPr>
                <w:noProof/>
                <w:webHidden/>
              </w:rPr>
              <w:tab/>
            </w:r>
            <w:r w:rsidR="00EC79BA">
              <w:rPr>
                <w:noProof/>
                <w:webHidden/>
              </w:rPr>
              <w:fldChar w:fldCharType="begin"/>
            </w:r>
            <w:r w:rsidR="00EC79BA">
              <w:rPr>
                <w:noProof/>
                <w:webHidden/>
              </w:rPr>
              <w:instrText xml:space="preserve"> PAGEREF _Toc501031494 \h </w:instrText>
            </w:r>
            <w:r w:rsidR="00EC79BA">
              <w:rPr>
                <w:noProof/>
                <w:webHidden/>
              </w:rPr>
            </w:r>
            <w:r w:rsidR="00EC79BA">
              <w:rPr>
                <w:noProof/>
                <w:webHidden/>
              </w:rPr>
              <w:fldChar w:fldCharType="separate"/>
            </w:r>
            <w:r w:rsidR="00EC79BA">
              <w:rPr>
                <w:noProof/>
                <w:webHidden/>
              </w:rPr>
              <w:t>47</w:t>
            </w:r>
            <w:r w:rsidR="00EC79BA">
              <w:rPr>
                <w:noProof/>
                <w:webHidden/>
              </w:rPr>
              <w:fldChar w:fldCharType="end"/>
            </w:r>
          </w:hyperlink>
        </w:p>
        <w:p w14:paraId="1295EE03" w14:textId="214DA978" w:rsidR="00EC79BA" w:rsidRDefault="007835DC">
          <w:pPr>
            <w:pStyle w:val="TOC2"/>
            <w:tabs>
              <w:tab w:val="right" w:leader="dot" w:pos="8296"/>
            </w:tabs>
            <w:rPr>
              <w:rFonts w:eastAsiaTheme="minorEastAsia"/>
              <w:noProof/>
            </w:rPr>
          </w:pPr>
          <w:hyperlink w:anchor="_Toc501031495" w:history="1">
            <w:r w:rsidR="00EC79BA" w:rsidRPr="00B10227">
              <w:rPr>
                <w:rStyle w:val="Hyperlink"/>
                <w:noProof/>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Table 5.7: Linearity tests</w:t>
            </w:r>
            <w:r w:rsidR="00EC79BA">
              <w:rPr>
                <w:noProof/>
                <w:webHidden/>
              </w:rPr>
              <w:tab/>
            </w:r>
            <w:r w:rsidR="00EC79BA">
              <w:rPr>
                <w:noProof/>
                <w:webHidden/>
              </w:rPr>
              <w:fldChar w:fldCharType="begin"/>
            </w:r>
            <w:r w:rsidR="00EC79BA">
              <w:rPr>
                <w:noProof/>
                <w:webHidden/>
              </w:rPr>
              <w:instrText xml:space="preserve"> PAGEREF _Toc501031495 \h </w:instrText>
            </w:r>
            <w:r w:rsidR="00EC79BA">
              <w:rPr>
                <w:noProof/>
                <w:webHidden/>
              </w:rPr>
            </w:r>
            <w:r w:rsidR="00EC79BA">
              <w:rPr>
                <w:noProof/>
                <w:webHidden/>
              </w:rPr>
              <w:fldChar w:fldCharType="separate"/>
            </w:r>
            <w:r w:rsidR="00EC79BA">
              <w:rPr>
                <w:noProof/>
                <w:webHidden/>
              </w:rPr>
              <w:t>48</w:t>
            </w:r>
            <w:r w:rsidR="00EC79BA">
              <w:rPr>
                <w:noProof/>
                <w:webHidden/>
              </w:rPr>
              <w:fldChar w:fldCharType="end"/>
            </w:r>
          </w:hyperlink>
        </w:p>
        <w:p w14:paraId="1CD89FF1" w14:textId="429D07D2" w:rsidR="00EC79BA" w:rsidRDefault="007835DC">
          <w:pPr>
            <w:pStyle w:val="TOC2"/>
            <w:tabs>
              <w:tab w:val="right" w:leader="dot" w:pos="8296"/>
            </w:tabs>
            <w:rPr>
              <w:rFonts w:eastAsiaTheme="minorEastAsia"/>
              <w:noProof/>
            </w:rPr>
          </w:pPr>
          <w:hyperlink w:anchor="_Toc501031496" w:history="1">
            <w:r w:rsidR="00EC79BA" w:rsidRPr="00B10227">
              <w:rPr>
                <w:rStyle w:val="Hyperlink"/>
                <w:noProof/>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Table 5.8 Linearity Tests</w:t>
            </w:r>
            <w:r w:rsidR="00EC79BA">
              <w:rPr>
                <w:noProof/>
                <w:webHidden/>
              </w:rPr>
              <w:tab/>
            </w:r>
            <w:r w:rsidR="00EC79BA">
              <w:rPr>
                <w:noProof/>
                <w:webHidden/>
              </w:rPr>
              <w:fldChar w:fldCharType="begin"/>
            </w:r>
            <w:r w:rsidR="00EC79BA">
              <w:rPr>
                <w:noProof/>
                <w:webHidden/>
              </w:rPr>
              <w:instrText xml:space="preserve"> PAGEREF _Toc501031496 \h </w:instrText>
            </w:r>
            <w:r w:rsidR="00EC79BA">
              <w:rPr>
                <w:noProof/>
                <w:webHidden/>
              </w:rPr>
            </w:r>
            <w:r w:rsidR="00EC79BA">
              <w:rPr>
                <w:noProof/>
                <w:webHidden/>
              </w:rPr>
              <w:fldChar w:fldCharType="separate"/>
            </w:r>
            <w:r w:rsidR="00EC79BA">
              <w:rPr>
                <w:noProof/>
                <w:webHidden/>
              </w:rPr>
              <w:t>48</w:t>
            </w:r>
            <w:r w:rsidR="00EC79BA">
              <w:rPr>
                <w:noProof/>
                <w:webHidden/>
              </w:rPr>
              <w:fldChar w:fldCharType="end"/>
            </w:r>
          </w:hyperlink>
        </w:p>
        <w:p w14:paraId="3D7C9287" w14:textId="5FE5672B" w:rsidR="00EC79BA" w:rsidRDefault="007835DC">
          <w:pPr>
            <w:pStyle w:val="TOC2"/>
            <w:tabs>
              <w:tab w:val="right" w:leader="dot" w:pos="8296"/>
            </w:tabs>
            <w:rPr>
              <w:rFonts w:eastAsiaTheme="minorEastAsia"/>
              <w:noProof/>
            </w:rPr>
          </w:pPr>
          <w:hyperlink w:anchor="_Toc501031497" w:history="1">
            <w:r w:rsidR="00EC79BA" w:rsidRPr="00B10227">
              <w:rPr>
                <w:rStyle w:val="Hyperlink"/>
                <w:noProof/>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Table 5.9 Test for remaining nonlinearity</w:t>
            </w:r>
            <w:r w:rsidR="00EC79BA">
              <w:rPr>
                <w:noProof/>
                <w:webHidden/>
              </w:rPr>
              <w:tab/>
            </w:r>
            <w:r w:rsidR="00EC79BA">
              <w:rPr>
                <w:noProof/>
                <w:webHidden/>
              </w:rPr>
              <w:fldChar w:fldCharType="begin"/>
            </w:r>
            <w:r w:rsidR="00EC79BA">
              <w:rPr>
                <w:noProof/>
                <w:webHidden/>
              </w:rPr>
              <w:instrText xml:space="preserve"> PAGEREF _Toc501031497 \h </w:instrText>
            </w:r>
            <w:r w:rsidR="00EC79BA">
              <w:rPr>
                <w:noProof/>
                <w:webHidden/>
              </w:rPr>
            </w:r>
            <w:r w:rsidR="00EC79BA">
              <w:rPr>
                <w:noProof/>
                <w:webHidden/>
              </w:rPr>
              <w:fldChar w:fldCharType="separate"/>
            </w:r>
            <w:r w:rsidR="00EC79BA">
              <w:rPr>
                <w:noProof/>
                <w:webHidden/>
              </w:rPr>
              <w:t>49</w:t>
            </w:r>
            <w:r w:rsidR="00EC79BA">
              <w:rPr>
                <w:noProof/>
                <w:webHidden/>
              </w:rPr>
              <w:fldChar w:fldCharType="end"/>
            </w:r>
          </w:hyperlink>
        </w:p>
        <w:p w14:paraId="6F0E24CC" w14:textId="0C8C7B61" w:rsidR="00EC79BA" w:rsidRDefault="007835DC">
          <w:pPr>
            <w:pStyle w:val="TOC2"/>
            <w:tabs>
              <w:tab w:val="right" w:leader="dot" w:pos="8296"/>
            </w:tabs>
            <w:rPr>
              <w:rFonts w:eastAsiaTheme="minorEastAsia"/>
              <w:noProof/>
            </w:rPr>
          </w:pPr>
          <w:hyperlink w:anchor="_Toc501031498" w:history="1">
            <w:r w:rsidR="00EC79BA" w:rsidRPr="00B10227">
              <w:rPr>
                <w:rStyle w:val="Hyperlink"/>
                <w:noProof/>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Table 5.10 PSTR Model Estimation</w:t>
            </w:r>
            <w:r w:rsidR="00EC79BA">
              <w:rPr>
                <w:noProof/>
                <w:webHidden/>
              </w:rPr>
              <w:tab/>
            </w:r>
            <w:r w:rsidR="00EC79BA">
              <w:rPr>
                <w:noProof/>
                <w:webHidden/>
              </w:rPr>
              <w:fldChar w:fldCharType="begin"/>
            </w:r>
            <w:r w:rsidR="00EC79BA">
              <w:rPr>
                <w:noProof/>
                <w:webHidden/>
              </w:rPr>
              <w:instrText xml:space="preserve"> PAGEREF _Toc501031498 \h </w:instrText>
            </w:r>
            <w:r w:rsidR="00EC79BA">
              <w:rPr>
                <w:noProof/>
                <w:webHidden/>
              </w:rPr>
            </w:r>
            <w:r w:rsidR="00EC79BA">
              <w:rPr>
                <w:noProof/>
                <w:webHidden/>
              </w:rPr>
              <w:fldChar w:fldCharType="separate"/>
            </w:r>
            <w:r w:rsidR="00EC79BA">
              <w:rPr>
                <w:noProof/>
                <w:webHidden/>
              </w:rPr>
              <w:t>50</w:t>
            </w:r>
            <w:r w:rsidR="00EC79BA">
              <w:rPr>
                <w:noProof/>
                <w:webHidden/>
              </w:rPr>
              <w:fldChar w:fldCharType="end"/>
            </w:r>
          </w:hyperlink>
        </w:p>
        <w:p w14:paraId="0CA6AB8F" w14:textId="69F5883C" w:rsidR="00EC79BA" w:rsidRDefault="007835DC">
          <w:pPr>
            <w:pStyle w:val="TOC1"/>
            <w:tabs>
              <w:tab w:val="right" w:leader="dot" w:pos="8296"/>
            </w:tabs>
            <w:rPr>
              <w:rFonts w:eastAsiaTheme="minorEastAsia"/>
              <w:noProof/>
            </w:rPr>
          </w:pPr>
          <w:hyperlink w:anchor="_Toc501031499" w:history="1">
            <w:r w:rsidR="00EC79BA" w:rsidRPr="00B10227">
              <w:rPr>
                <w:rStyle w:val="Hyperlink"/>
                <w:noProof/>
              </w:rPr>
              <w:t>CHAPTER SIX</w:t>
            </w:r>
            <w:r w:rsidR="00EC79BA">
              <w:rPr>
                <w:noProof/>
                <w:webHidden/>
              </w:rPr>
              <w:tab/>
            </w:r>
            <w:r w:rsidR="00EC79BA">
              <w:rPr>
                <w:noProof/>
                <w:webHidden/>
              </w:rPr>
              <w:fldChar w:fldCharType="begin"/>
            </w:r>
            <w:r w:rsidR="00EC79BA">
              <w:rPr>
                <w:noProof/>
                <w:webHidden/>
              </w:rPr>
              <w:instrText xml:space="preserve"> PAGEREF _Toc501031499 \h </w:instrText>
            </w:r>
            <w:r w:rsidR="00EC79BA">
              <w:rPr>
                <w:noProof/>
                <w:webHidden/>
              </w:rPr>
            </w:r>
            <w:r w:rsidR="00EC79BA">
              <w:rPr>
                <w:noProof/>
                <w:webHidden/>
              </w:rPr>
              <w:fldChar w:fldCharType="separate"/>
            </w:r>
            <w:r w:rsidR="00EC79BA">
              <w:rPr>
                <w:noProof/>
                <w:webHidden/>
              </w:rPr>
              <w:t>51</w:t>
            </w:r>
            <w:r w:rsidR="00EC79BA">
              <w:rPr>
                <w:noProof/>
                <w:webHidden/>
              </w:rPr>
              <w:fldChar w:fldCharType="end"/>
            </w:r>
          </w:hyperlink>
        </w:p>
        <w:p w14:paraId="711053C1" w14:textId="36E9A4A8" w:rsidR="00EC79BA" w:rsidRDefault="007835DC">
          <w:pPr>
            <w:pStyle w:val="TOC1"/>
            <w:tabs>
              <w:tab w:val="right" w:leader="dot" w:pos="8296"/>
            </w:tabs>
            <w:rPr>
              <w:rFonts w:eastAsiaTheme="minorEastAsia"/>
              <w:noProof/>
            </w:rPr>
          </w:pPr>
          <w:hyperlink w:anchor="_Toc501031500" w:history="1">
            <w:r w:rsidR="00EC79BA" w:rsidRPr="00B10227">
              <w:rPr>
                <w:rStyle w:val="Hyperlink"/>
                <w:noProof/>
              </w:rPr>
              <w:t>CONCLUSION</w:t>
            </w:r>
            <w:r w:rsidR="00EC79BA">
              <w:rPr>
                <w:noProof/>
                <w:webHidden/>
              </w:rPr>
              <w:tab/>
            </w:r>
            <w:r w:rsidR="00EC79BA">
              <w:rPr>
                <w:noProof/>
                <w:webHidden/>
              </w:rPr>
              <w:fldChar w:fldCharType="begin"/>
            </w:r>
            <w:r w:rsidR="00EC79BA">
              <w:rPr>
                <w:noProof/>
                <w:webHidden/>
              </w:rPr>
              <w:instrText xml:space="preserve"> PAGEREF _Toc501031500 \h </w:instrText>
            </w:r>
            <w:r w:rsidR="00EC79BA">
              <w:rPr>
                <w:noProof/>
                <w:webHidden/>
              </w:rPr>
            </w:r>
            <w:r w:rsidR="00EC79BA">
              <w:rPr>
                <w:noProof/>
                <w:webHidden/>
              </w:rPr>
              <w:fldChar w:fldCharType="separate"/>
            </w:r>
            <w:r w:rsidR="00EC79BA">
              <w:rPr>
                <w:noProof/>
                <w:webHidden/>
              </w:rPr>
              <w:t>51</w:t>
            </w:r>
            <w:r w:rsidR="00EC79BA">
              <w:rPr>
                <w:noProof/>
                <w:webHidden/>
              </w:rPr>
              <w:fldChar w:fldCharType="end"/>
            </w:r>
          </w:hyperlink>
        </w:p>
        <w:p w14:paraId="1A6A05E8" w14:textId="01376E8C" w:rsidR="00EC79BA" w:rsidRDefault="007835DC">
          <w:pPr>
            <w:pStyle w:val="TOC2"/>
            <w:tabs>
              <w:tab w:val="right" w:leader="dot" w:pos="8296"/>
            </w:tabs>
            <w:rPr>
              <w:rFonts w:eastAsiaTheme="minorEastAsia"/>
              <w:noProof/>
            </w:rPr>
          </w:pPr>
          <w:hyperlink w:anchor="_Toc501031501" w:history="1">
            <w:r w:rsidR="00EC79BA" w:rsidRPr="00B10227">
              <w:rPr>
                <w:rStyle w:val="Hyperlink"/>
                <w:noProof/>
              </w:rPr>
              <w:t>6.1 Summary of Findings</w:t>
            </w:r>
            <w:r w:rsidR="00EC79BA">
              <w:rPr>
                <w:noProof/>
                <w:webHidden/>
              </w:rPr>
              <w:tab/>
            </w:r>
            <w:r w:rsidR="00EC79BA">
              <w:rPr>
                <w:noProof/>
                <w:webHidden/>
              </w:rPr>
              <w:fldChar w:fldCharType="begin"/>
            </w:r>
            <w:r w:rsidR="00EC79BA">
              <w:rPr>
                <w:noProof/>
                <w:webHidden/>
              </w:rPr>
              <w:instrText xml:space="preserve"> PAGEREF _Toc501031501 \h </w:instrText>
            </w:r>
            <w:r w:rsidR="00EC79BA">
              <w:rPr>
                <w:noProof/>
                <w:webHidden/>
              </w:rPr>
            </w:r>
            <w:r w:rsidR="00EC79BA">
              <w:rPr>
                <w:noProof/>
                <w:webHidden/>
              </w:rPr>
              <w:fldChar w:fldCharType="separate"/>
            </w:r>
            <w:r w:rsidR="00EC79BA">
              <w:rPr>
                <w:noProof/>
                <w:webHidden/>
              </w:rPr>
              <w:t>51</w:t>
            </w:r>
            <w:r w:rsidR="00EC79BA">
              <w:rPr>
                <w:noProof/>
                <w:webHidden/>
              </w:rPr>
              <w:fldChar w:fldCharType="end"/>
            </w:r>
          </w:hyperlink>
        </w:p>
        <w:p w14:paraId="7071533F" w14:textId="72A1D39F" w:rsidR="00EC79BA" w:rsidRDefault="007835DC">
          <w:pPr>
            <w:pStyle w:val="TOC2"/>
            <w:tabs>
              <w:tab w:val="right" w:leader="dot" w:pos="8296"/>
            </w:tabs>
            <w:rPr>
              <w:rFonts w:eastAsiaTheme="minorEastAsia"/>
              <w:noProof/>
            </w:rPr>
          </w:pPr>
          <w:hyperlink w:anchor="_Toc501031502" w:history="1">
            <w:r w:rsidR="00EC79BA" w:rsidRPr="00B10227">
              <w:rPr>
                <w:rStyle w:val="Hyperlink"/>
                <w:noProof/>
              </w:rPr>
              <w:t>6.2 Policy Recommendations</w:t>
            </w:r>
            <w:r w:rsidR="00EC79BA">
              <w:rPr>
                <w:noProof/>
                <w:webHidden/>
              </w:rPr>
              <w:tab/>
            </w:r>
            <w:r w:rsidR="00EC79BA">
              <w:rPr>
                <w:noProof/>
                <w:webHidden/>
              </w:rPr>
              <w:fldChar w:fldCharType="begin"/>
            </w:r>
            <w:r w:rsidR="00EC79BA">
              <w:rPr>
                <w:noProof/>
                <w:webHidden/>
              </w:rPr>
              <w:instrText xml:space="preserve"> PAGEREF _Toc501031502 \h </w:instrText>
            </w:r>
            <w:r w:rsidR="00EC79BA">
              <w:rPr>
                <w:noProof/>
                <w:webHidden/>
              </w:rPr>
            </w:r>
            <w:r w:rsidR="00EC79BA">
              <w:rPr>
                <w:noProof/>
                <w:webHidden/>
              </w:rPr>
              <w:fldChar w:fldCharType="separate"/>
            </w:r>
            <w:r w:rsidR="00EC79BA">
              <w:rPr>
                <w:noProof/>
                <w:webHidden/>
              </w:rPr>
              <w:t>52</w:t>
            </w:r>
            <w:r w:rsidR="00EC79BA">
              <w:rPr>
                <w:noProof/>
                <w:webHidden/>
              </w:rPr>
              <w:fldChar w:fldCharType="end"/>
            </w:r>
          </w:hyperlink>
        </w:p>
        <w:p w14:paraId="46937A0B" w14:textId="55B4531A" w:rsidR="00EC79BA" w:rsidRDefault="007835DC">
          <w:pPr>
            <w:pStyle w:val="TOC1"/>
            <w:tabs>
              <w:tab w:val="right" w:leader="dot" w:pos="8296"/>
            </w:tabs>
            <w:rPr>
              <w:rFonts w:eastAsiaTheme="minorEastAsia"/>
              <w:noProof/>
            </w:rPr>
          </w:pPr>
          <w:hyperlink w:anchor="_Toc501031503" w:history="1">
            <w:r w:rsidR="00EC79BA" w:rsidRPr="00B10227">
              <w:rPr>
                <w:rStyle w:val="Hyperlink"/>
                <w:rFonts w:cs="Times New Roman"/>
                <w:noProof/>
              </w:rPr>
              <w:t>References</w:t>
            </w:r>
            <w:r w:rsidR="00EC79BA">
              <w:rPr>
                <w:noProof/>
                <w:webHidden/>
              </w:rPr>
              <w:tab/>
            </w:r>
            <w:r w:rsidR="00EC79BA">
              <w:rPr>
                <w:noProof/>
                <w:webHidden/>
              </w:rPr>
              <w:fldChar w:fldCharType="begin"/>
            </w:r>
            <w:r w:rsidR="00EC79BA">
              <w:rPr>
                <w:noProof/>
                <w:webHidden/>
              </w:rPr>
              <w:instrText xml:space="preserve"> PAGEREF _Toc501031503 \h </w:instrText>
            </w:r>
            <w:r w:rsidR="00EC79BA">
              <w:rPr>
                <w:noProof/>
                <w:webHidden/>
              </w:rPr>
            </w:r>
            <w:r w:rsidR="00EC79BA">
              <w:rPr>
                <w:noProof/>
                <w:webHidden/>
              </w:rPr>
              <w:fldChar w:fldCharType="separate"/>
            </w:r>
            <w:r w:rsidR="00EC79BA">
              <w:rPr>
                <w:noProof/>
                <w:webHidden/>
              </w:rPr>
              <w:t>53</w:t>
            </w:r>
            <w:r w:rsidR="00EC79BA">
              <w:rPr>
                <w:noProof/>
                <w:webHidden/>
              </w:rPr>
              <w:fldChar w:fldCharType="end"/>
            </w:r>
          </w:hyperlink>
        </w:p>
        <w:p w14:paraId="3E060DF5" w14:textId="01E4F5B9" w:rsidR="00EC79BA" w:rsidRDefault="00EC79BA">
          <w:r>
            <w:rPr>
              <w:b/>
              <w:bCs/>
              <w:noProof/>
            </w:rPr>
            <w:fldChar w:fldCharType="end"/>
          </w:r>
        </w:p>
      </w:sdtContent>
    </w:sdt>
    <w:p w14:paraId="33957885" w14:textId="77777777" w:rsidR="007D5606" w:rsidRDefault="007D5606" w:rsidP="008E4E1C">
      <w:pPr>
        <w:spacing w:line="360" w:lineRule="auto"/>
        <w:jc w:val="center"/>
        <w:rPr>
          <w:rFonts w:ascii="Times New Roman" w:hAnsi="Times New Roman" w:cs="Times New Roman"/>
          <w:b/>
          <w:sz w:val="24"/>
          <w:szCs w:val="24"/>
        </w:rPr>
      </w:pPr>
    </w:p>
    <w:p w14:paraId="0023A4B8" w14:textId="476E4024" w:rsidR="003247FB" w:rsidRDefault="003247FB" w:rsidP="008E4E1C">
      <w:pPr>
        <w:spacing w:after="200" w:line="360" w:lineRule="auto"/>
        <w:jc w:val="center"/>
        <w:rPr>
          <w:rFonts w:ascii="Times New Roman" w:hAnsi="Times New Roman" w:cs="Times New Roman"/>
          <w:sz w:val="24"/>
          <w:szCs w:val="24"/>
        </w:rPr>
        <w:sectPr w:rsidR="003247FB" w:rsidSect="00E108C9">
          <w:headerReference w:type="even" r:id="rId8"/>
          <w:headerReference w:type="default" r:id="rId9"/>
          <w:footerReference w:type="even" r:id="rId10"/>
          <w:footerReference w:type="default" r:id="rId11"/>
          <w:headerReference w:type="first" r:id="rId12"/>
          <w:footerReference w:type="first" r:id="rId13"/>
          <w:pgSz w:w="11906" w:h="16838"/>
          <w:pgMar w:top="1440" w:right="1440" w:bottom="1440" w:left="2160" w:header="708" w:footer="708" w:gutter="0"/>
          <w:pgNumType w:fmt="lowerRoman" w:start="1" w:chapStyle="1"/>
          <w:cols w:space="708"/>
          <w:titlePg/>
          <w:docGrid w:linePitch="360"/>
        </w:sectPr>
      </w:pPr>
    </w:p>
    <w:p w14:paraId="4D45B7B9" w14:textId="77777777" w:rsidR="006C1DD4" w:rsidRDefault="00AB1527" w:rsidP="006C1DD4">
      <w:pPr>
        <w:pStyle w:val="Heading1"/>
      </w:pPr>
      <w:bookmarkStart w:id="4" w:name="_Toc501031450"/>
      <w:r w:rsidRPr="006C1DD4">
        <w:lastRenderedPageBreak/>
        <w:t>CHAPTER ONE</w:t>
      </w:r>
      <w:bookmarkEnd w:id="4"/>
      <w:r w:rsidR="006C1DD4" w:rsidRPr="006C1DD4">
        <w:t xml:space="preserve"> </w:t>
      </w:r>
    </w:p>
    <w:p w14:paraId="39C8E923" w14:textId="5DFCFB68" w:rsidR="00AB1527" w:rsidRPr="006C1DD4" w:rsidRDefault="00AB1527" w:rsidP="006C1DD4">
      <w:pPr>
        <w:pStyle w:val="Heading1"/>
      </w:pPr>
      <w:bookmarkStart w:id="5" w:name="_Toc501031451"/>
      <w:r w:rsidRPr="006C1DD4">
        <w:t>INTRODUCTION</w:t>
      </w:r>
      <w:bookmarkEnd w:id="5"/>
    </w:p>
    <w:p w14:paraId="6BA4B935" w14:textId="16F006B8" w:rsidR="00AB1527" w:rsidRPr="002B40E2" w:rsidRDefault="002B40E2" w:rsidP="006C1DD4">
      <w:pPr>
        <w:pStyle w:val="Heading2"/>
        <w:rPr>
          <w:rFonts w:eastAsia="Times New Roman"/>
        </w:rPr>
      </w:pPr>
      <w:bookmarkStart w:id="6" w:name="_Toc501031452"/>
      <w:r>
        <w:rPr>
          <w:rFonts w:eastAsia="Times New Roman"/>
        </w:rPr>
        <w:t>1.1</w:t>
      </w:r>
      <w:r w:rsidR="00CB36B7" w:rsidRPr="002B40E2">
        <w:rPr>
          <w:rFonts w:eastAsia="Times New Roman"/>
        </w:rPr>
        <w:t xml:space="preserve"> </w:t>
      </w:r>
      <w:r w:rsidR="00AB1527" w:rsidRPr="002B40E2">
        <w:rPr>
          <w:rFonts w:eastAsia="Times New Roman"/>
        </w:rPr>
        <w:t>Background</w:t>
      </w:r>
      <w:bookmarkEnd w:id="6"/>
    </w:p>
    <w:p w14:paraId="296209C3" w14:textId="77632E3A" w:rsidR="00AB1527" w:rsidRDefault="00AB1527" w:rsidP="008E4E1C">
      <w:pPr>
        <w:spacing w:after="240" w:line="360" w:lineRule="auto"/>
        <w:jc w:val="both"/>
        <w:rPr>
          <w:rFonts w:ascii="Times New Roman" w:eastAsia="Times New Roman" w:hAnsi="Times New Roman" w:cs="Times New Roman"/>
          <w:sz w:val="24"/>
          <w:szCs w:val="24"/>
        </w:rPr>
      </w:pPr>
      <w:r w:rsidRPr="003A0FC9">
        <w:rPr>
          <w:rFonts w:ascii="Times New Roman" w:eastAsia="Times New Roman" w:hAnsi="Times New Roman" w:cs="Times New Roman"/>
          <w:sz w:val="24"/>
          <w:szCs w:val="24"/>
        </w:rPr>
        <w:t xml:space="preserve">The relationship between financial development and productivity growth is gaining increasing attention in both academic and policy debates, especially in </w:t>
      </w:r>
      <w:r>
        <w:rPr>
          <w:rFonts w:ascii="Times New Roman" w:eastAsia="Times New Roman" w:hAnsi="Times New Roman" w:cs="Times New Roman"/>
          <w:sz w:val="24"/>
          <w:szCs w:val="24"/>
        </w:rPr>
        <w:t xml:space="preserve">the </w:t>
      </w:r>
      <w:r w:rsidRPr="003A0FC9">
        <w:rPr>
          <w:rFonts w:ascii="Times New Roman" w:eastAsia="Times New Roman" w:hAnsi="Times New Roman" w:cs="Times New Roman"/>
          <w:sz w:val="24"/>
          <w:szCs w:val="24"/>
        </w:rPr>
        <w:t xml:space="preserve">recent years following the global financial crisis. In the aftermath of </w:t>
      </w:r>
      <w:r>
        <w:rPr>
          <w:rFonts w:ascii="Times New Roman" w:eastAsia="Times New Roman" w:hAnsi="Times New Roman" w:cs="Times New Roman"/>
          <w:sz w:val="24"/>
          <w:szCs w:val="24"/>
        </w:rPr>
        <w:t>this</w:t>
      </w:r>
      <w:r w:rsidRPr="003A0FC9">
        <w:rPr>
          <w:rFonts w:ascii="Times New Roman" w:eastAsia="Times New Roman" w:hAnsi="Times New Roman" w:cs="Times New Roman"/>
          <w:sz w:val="24"/>
          <w:szCs w:val="24"/>
        </w:rPr>
        <w:t xml:space="preserve"> crisis, many academics and policymakers have begun to question the widely supported view that there is a positive association between financial development and </w:t>
      </w:r>
      <w:r>
        <w:rPr>
          <w:rFonts w:ascii="Times New Roman" w:eastAsia="Times New Roman" w:hAnsi="Times New Roman" w:cs="Times New Roman"/>
          <w:sz w:val="24"/>
          <w:szCs w:val="24"/>
        </w:rPr>
        <w:t xml:space="preserve">productivity </w:t>
      </w:r>
      <w:r w:rsidRPr="003A0FC9">
        <w:rPr>
          <w:rFonts w:ascii="Times New Roman" w:eastAsia="Times New Roman" w:hAnsi="Times New Roman" w:cs="Times New Roman"/>
          <w:sz w:val="24"/>
          <w:szCs w:val="24"/>
        </w:rPr>
        <w:t>growth. This experience has called into question the need for a reassessment of the linkage between financial development and real growth (Cecchetti and Kharroubi, 2012).</w:t>
      </w:r>
    </w:p>
    <w:p w14:paraId="311D39B5" w14:textId="32F170F1" w:rsidR="00AB1527" w:rsidRPr="003A0FC9" w:rsidRDefault="00AB1527" w:rsidP="008E4E1C">
      <w:pPr>
        <w:spacing w:after="240" w:line="360" w:lineRule="auto"/>
        <w:jc w:val="both"/>
        <w:rPr>
          <w:rFonts w:ascii="Times New Roman" w:eastAsia="Times New Roman" w:hAnsi="Times New Roman" w:cs="Times New Roman"/>
          <w:sz w:val="24"/>
          <w:szCs w:val="24"/>
        </w:rPr>
      </w:pPr>
      <w:r w:rsidRPr="003A0FC9">
        <w:rPr>
          <w:rFonts w:ascii="Times New Roman" w:eastAsia="Times New Roman" w:hAnsi="Times New Roman" w:cs="Times New Roman"/>
          <w:sz w:val="24"/>
          <w:szCs w:val="24"/>
        </w:rPr>
        <w:t>Proponents of financial development have argued that well-functioning financial markets lower the cost of conducting transactions and facilitate efficient allocation of resources to productive activities that yield the highest rates of return, thereby promoting technological innovation and stimulating growth (e.g. Alfaro et al., 2009; Levine, 2005). Cihak et al. (2015) argues that financial development is caused by changes in financial markets and institutions</w:t>
      </w:r>
      <w:r>
        <w:rPr>
          <w:rFonts w:ascii="Times New Roman" w:eastAsia="Times New Roman" w:hAnsi="Times New Roman" w:cs="Times New Roman"/>
          <w:sz w:val="24"/>
          <w:szCs w:val="24"/>
        </w:rPr>
        <w:t>,</w:t>
      </w:r>
      <w:r w:rsidRPr="003A0FC9">
        <w:rPr>
          <w:rFonts w:ascii="Times New Roman" w:eastAsia="Times New Roman" w:hAnsi="Times New Roman" w:cs="Times New Roman"/>
          <w:sz w:val="24"/>
          <w:szCs w:val="24"/>
        </w:rPr>
        <w:t xml:space="preserve"> and </w:t>
      </w:r>
      <w:r>
        <w:rPr>
          <w:rFonts w:ascii="Times New Roman" w:eastAsia="Times New Roman" w:hAnsi="Times New Roman" w:cs="Times New Roman"/>
          <w:sz w:val="24"/>
          <w:szCs w:val="24"/>
        </w:rPr>
        <w:t xml:space="preserve">thus financial development </w:t>
      </w:r>
      <w:r w:rsidRPr="003A0FC9">
        <w:rPr>
          <w:rFonts w:ascii="Times New Roman" w:eastAsia="Times New Roman" w:hAnsi="Times New Roman" w:cs="Times New Roman"/>
          <w:sz w:val="24"/>
          <w:szCs w:val="24"/>
        </w:rPr>
        <w:t>depend</w:t>
      </w:r>
      <w:r>
        <w:rPr>
          <w:rFonts w:ascii="Times New Roman" w:eastAsia="Times New Roman" w:hAnsi="Times New Roman" w:cs="Times New Roman"/>
          <w:sz w:val="24"/>
          <w:szCs w:val="24"/>
        </w:rPr>
        <w:t>s</w:t>
      </w:r>
      <w:r w:rsidRPr="003A0FC9">
        <w:rPr>
          <w:rFonts w:ascii="Times New Roman" w:eastAsia="Times New Roman" w:hAnsi="Times New Roman" w:cs="Times New Roman"/>
          <w:sz w:val="24"/>
          <w:szCs w:val="24"/>
        </w:rPr>
        <w:t xml:space="preserve"> on their depth, access</w:t>
      </w:r>
      <w:r>
        <w:rPr>
          <w:rFonts w:ascii="Times New Roman" w:eastAsia="Times New Roman" w:hAnsi="Times New Roman" w:cs="Times New Roman"/>
          <w:sz w:val="24"/>
          <w:szCs w:val="24"/>
        </w:rPr>
        <w:t>,</w:t>
      </w:r>
      <w:r w:rsidRPr="003A0FC9">
        <w:rPr>
          <w:rFonts w:ascii="Times New Roman" w:eastAsia="Times New Roman" w:hAnsi="Times New Roman" w:cs="Times New Roman"/>
          <w:sz w:val="24"/>
          <w:szCs w:val="24"/>
        </w:rPr>
        <w:t xml:space="preserve"> and efficiency. </w:t>
      </w:r>
      <w:r>
        <w:rPr>
          <w:rFonts w:ascii="Times New Roman" w:eastAsia="Times New Roman" w:hAnsi="Times New Roman" w:cs="Times New Roman"/>
          <w:sz w:val="24"/>
          <w:szCs w:val="24"/>
        </w:rPr>
        <w:t>A w</w:t>
      </w:r>
      <w:r w:rsidRPr="003A0FC9">
        <w:rPr>
          <w:rFonts w:ascii="Times New Roman" w:eastAsia="Times New Roman" w:hAnsi="Times New Roman" w:cs="Times New Roman"/>
          <w:sz w:val="24"/>
          <w:szCs w:val="24"/>
        </w:rPr>
        <w:t xml:space="preserve">ell-functioning financial system will enhance the capacity of </w:t>
      </w:r>
      <w:r>
        <w:rPr>
          <w:rFonts w:ascii="Times New Roman" w:eastAsia="Times New Roman" w:hAnsi="Times New Roman" w:cs="Times New Roman"/>
          <w:sz w:val="24"/>
          <w:szCs w:val="24"/>
        </w:rPr>
        <w:t xml:space="preserve">the </w:t>
      </w:r>
      <w:r w:rsidRPr="003A0FC9">
        <w:rPr>
          <w:rFonts w:ascii="Times New Roman" w:eastAsia="Times New Roman" w:hAnsi="Times New Roman" w:cs="Times New Roman"/>
          <w:sz w:val="24"/>
          <w:szCs w:val="24"/>
        </w:rPr>
        <w:t xml:space="preserve">countries to absorb foreign technology (Dabla-Norris et al., 2016). Studies have </w:t>
      </w:r>
      <w:r>
        <w:rPr>
          <w:rFonts w:ascii="Times New Roman" w:eastAsia="Times New Roman" w:hAnsi="Times New Roman" w:cs="Times New Roman"/>
          <w:sz w:val="24"/>
          <w:szCs w:val="24"/>
        </w:rPr>
        <w:t xml:space="preserve">also </w:t>
      </w:r>
      <w:r w:rsidRPr="003A0FC9">
        <w:rPr>
          <w:rFonts w:ascii="Times New Roman" w:eastAsia="Times New Roman" w:hAnsi="Times New Roman" w:cs="Times New Roman"/>
          <w:sz w:val="24"/>
          <w:szCs w:val="24"/>
        </w:rPr>
        <w:t xml:space="preserve">recognized the role that well-developed financial markets play in enhancing the contribution of foreign direct investment to growth. A growing body of empirical literature has demonstrated that well-functioning financial markets increase the capacity of countries to absorb foreign technology </w:t>
      </w:r>
      <w:r>
        <w:rPr>
          <w:rFonts w:ascii="Times New Roman" w:eastAsia="Times New Roman" w:hAnsi="Times New Roman" w:cs="Times New Roman"/>
          <w:sz w:val="24"/>
          <w:szCs w:val="24"/>
        </w:rPr>
        <w:t>through</w:t>
      </w:r>
      <w:r w:rsidRPr="003A0FC9">
        <w:rPr>
          <w:rFonts w:ascii="Times New Roman" w:eastAsia="Times New Roman" w:hAnsi="Times New Roman" w:cs="Times New Roman"/>
          <w:sz w:val="24"/>
          <w:szCs w:val="24"/>
        </w:rPr>
        <w:t xml:space="preserve"> foreign direct investment, which raises </w:t>
      </w:r>
      <w:r>
        <w:rPr>
          <w:rFonts w:ascii="Times New Roman" w:eastAsia="Times New Roman" w:hAnsi="Times New Roman" w:cs="Times New Roman"/>
          <w:sz w:val="24"/>
          <w:szCs w:val="24"/>
        </w:rPr>
        <w:t xml:space="preserve">the </w:t>
      </w:r>
      <w:r w:rsidRPr="003A0FC9">
        <w:rPr>
          <w:rFonts w:ascii="Times New Roman" w:eastAsia="Times New Roman" w:hAnsi="Times New Roman" w:cs="Times New Roman"/>
          <w:sz w:val="24"/>
          <w:szCs w:val="24"/>
        </w:rPr>
        <w:t xml:space="preserve">productivity growth in </w:t>
      </w:r>
      <w:r>
        <w:rPr>
          <w:rFonts w:ascii="Times New Roman" w:eastAsia="Times New Roman" w:hAnsi="Times New Roman" w:cs="Times New Roman"/>
          <w:sz w:val="24"/>
          <w:szCs w:val="24"/>
        </w:rPr>
        <w:t xml:space="preserve">the </w:t>
      </w:r>
      <w:r w:rsidRPr="003A0FC9">
        <w:rPr>
          <w:rFonts w:ascii="Times New Roman" w:eastAsia="Times New Roman" w:hAnsi="Times New Roman" w:cs="Times New Roman"/>
          <w:sz w:val="24"/>
          <w:szCs w:val="24"/>
        </w:rPr>
        <w:t>host countries (e.g. Alfaro et al, 2009).</w:t>
      </w:r>
    </w:p>
    <w:p w14:paraId="493BB39D" w14:textId="793EB12E" w:rsidR="00AB1527" w:rsidRPr="003A0FC9" w:rsidRDefault="00AB1527" w:rsidP="008E4E1C">
      <w:pPr>
        <w:spacing w:after="240" w:line="360" w:lineRule="auto"/>
        <w:jc w:val="both"/>
        <w:rPr>
          <w:rFonts w:ascii="Times New Roman" w:eastAsia="Times New Roman" w:hAnsi="Times New Roman" w:cs="Times New Roman"/>
          <w:sz w:val="24"/>
          <w:szCs w:val="24"/>
        </w:rPr>
      </w:pPr>
      <w:r w:rsidRPr="003A0FC9">
        <w:rPr>
          <w:rFonts w:ascii="Times New Roman" w:eastAsia="Times New Roman" w:hAnsi="Times New Roman" w:cs="Times New Roman"/>
          <w:sz w:val="24"/>
          <w:szCs w:val="24"/>
        </w:rPr>
        <w:t xml:space="preserve">Financial market development is supported through </w:t>
      </w:r>
      <w:r>
        <w:rPr>
          <w:rFonts w:ascii="Times New Roman" w:eastAsia="Times New Roman" w:hAnsi="Times New Roman" w:cs="Times New Roman"/>
          <w:sz w:val="24"/>
          <w:szCs w:val="24"/>
        </w:rPr>
        <w:t xml:space="preserve">the </w:t>
      </w:r>
      <w:r w:rsidRPr="003A0FC9">
        <w:rPr>
          <w:rFonts w:ascii="Times New Roman" w:eastAsia="Times New Roman" w:hAnsi="Times New Roman" w:cs="Times New Roman"/>
          <w:sz w:val="24"/>
          <w:szCs w:val="24"/>
        </w:rPr>
        <w:t xml:space="preserve">financial sector reforms undertaken by most countries, which include institutional and legislative reforms and removing restrictions on interest rates </w:t>
      </w:r>
      <w:r>
        <w:rPr>
          <w:rFonts w:ascii="Times New Roman" w:eastAsia="Times New Roman" w:hAnsi="Times New Roman" w:cs="Times New Roman"/>
          <w:sz w:val="24"/>
          <w:szCs w:val="24"/>
        </w:rPr>
        <w:t>as well as</w:t>
      </w:r>
      <w:r w:rsidRPr="003A0FC9">
        <w:rPr>
          <w:rFonts w:ascii="Times New Roman" w:eastAsia="Times New Roman" w:hAnsi="Times New Roman" w:cs="Times New Roman"/>
          <w:sz w:val="24"/>
          <w:szCs w:val="24"/>
        </w:rPr>
        <w:t xml:space="preserve"> credit allocation</w:t>
      </w:r>
      <w:r>
        <w:rPr>
          <w:rFonts w:ascii="Times New Roman" w:eastAsia="Times New Roman" w:hAnsi="Times New Roman" w:cs="Times New Roman"/>
          <w:sz w:val="24"/>
          <w:szCs w:val="24"/>
        </w:rPr>
        <w:t>s</w:t>
      </w:r>
      <w:r w:rsidRPr="003A0FC9">
        <w:rPr>
          <w:rFonts w:ascii="Times New Roman" w:eastAsia="Times New Roman" w:hAnsi="Times New Roman" w:cs="Times New Roman"/>
          <w:sz w:val="24"/>
          <w:szCs w:val="24"/>
        </w:rPr>
        <w:t xml:space="preserve"> to the various sectors of the economy. Since the early 1990</w:t>
      </w:r>
      <w:r>
        <w:rPr>
          <w:rFonts w:ascii="Times New Roman" w:eastAsia="Times New Roman" w:hAnsi="Times New Roman" w:cs="Times New Roman"/>
          <w:sz w:val="24"/>
          <w:szCs w:val="24"/>
        </w:rPr>
        <w:t>’</w:t>
      </w:r>
      <w:r w:rsidRPr="003A0FC9">
        <w:rPr>
          <w:rFonts w:ascii="Times New Roman" w:eastAsia="Times New Roman" w:hAnsi="Times New Roman" w:cs="Times New Roman"/>
          <w:sz w:val="24"/>
          <w:szCs w:val="24"/>
        </w:rPr>
        <w:t>s, most emerging and developing countries have pursued wide</w:t>
      </w:r>
      <w:r>
        <w:rPr>
          <w:rFonts w:ascii="Times New Roman" w:eastAsia="Times New Roman" w:hAnsi="Times New Roman" w:cs="Times New Roman"/>
          <w:sz w:val="24"/>
          <w:szCs w:val="24"/>
        </w:rPr>
        <w:t>-</w:t>
      </w:r>
      <w:r w:rsidRPr="003A0FC9">
        <w:rPr>
          <w:rFonts w:ascii="Times New Roman" w:eastAsia="Times New Roman" w:hAnsi="Times New Roman" w:cs="Times New Roman"/>
          <w:sz w:val="24"/>
          <w:szCs w:val="24"/>
        </w:rPr>
        <w:t xml:space="preserve">ranging structural reforms to increase </w:t>
      </w:r>
      <w:r>
        <w:rPr>
          <w:rFonts w:ascii="Times New Roman" w:eastAsia="Times New Roman" w:hAnsi="Times New Roman" w:cs="Times New Roman"/>
          <w:sz w:val="24"/>
          <w:szCs w:val="24"/>
        </w:rPr>
        <w:t xml:space="preserve">their </w:t>
      </w:r>
      <w:r w:rsidRPr="003A0FC9">
        <w:rPr>
          <w:rFonts w:ascii="Times New Roman" w:eastAsia="Times New Roman" w:hAnsi="Times New Roman" w:cs="Times New Roman"/>
          <w:sz w:val="24"/>
          <w:szCs w:val="24"/>
        </w:rPr>
        <w:t xml:space="preserve">productivity growth and improve </w:t>
      </w:r>
      <w:r>
        <w:rPr>
          <w:rFonts w:ascii="Times New Roman" w:eastAsia="Times New Roman" w:hAnsi="Times New Roman" w:cs="Times New Roman"/>
          <w:sz w:val="24"/>
          <w:szCs w:val="24"/>
        </w:rPr>
        <w:t xml:space="preserve">their </w:t>
      </w:r>
      <w:r w:rsidRPr="003A0FC9">
        <w:rPr>
          <w:rFonts w:ascii="Times New Roman" w:eastAsia="Times New Roman" w:hAnsi="Times New Roman" w:cs="Times New Roman"/>
          <w:sz w:val="24"/>
          <w:szCs w:val="24"/>
        </w:rPr>
        <w:t>living standards (see Dabla-Norris et al, 2016). In particular</w:t>
      </w:r>
      <w:r w:rsidR="00CB2AD5">
        <w:rPr>
          <w:rFonts w:ascii="Times New Roman" w:eastAsia="Times New Roman" w:hAnsi="Times New Roman" w:cs="Times New Roman"/>
          <w:sz w:val="24"/>
          <w:szCs w:val="24"/>
        </w:rPr>
        <w:t xml:space="preserve">, </w:t>
      </w:r>
      <w:r w:rsidRPr="003A0FC9">
        <w:rPr>
          <w:rFonts w:ascii="Times New Roman" w:eastAsia="Times New Roman" w:hAnsi="Times New Roman" w:cs="Times New Roman"/>
          <w:sz w:val="24"/>
          <w:szCs w:val="24"/>
        </w:rPr>
        <w:t xml:space="preserve">financial reforms were pursued to address the impediments that constrained </w:t>
      </w:r>
      <w:r>
        <w:rPr>
          <w:rFonts w:ascii="Times New Roman" w:eastAsia="Times New Roman" w:hAnsi="Times New Roman" w:cs="Times New Roman"/>
          <w:sz w:val="24"/>
          <w:szCs w:val="24"/>
        </w:rPr>
        <w:t xml:space="preserve">the </w:t>
      </w:r>
      <w:r w:rsidRPr="003A0FC9">
        <w:rPr>
          <w:rFonts w:ascii="Times New Roman" w:eastAsia="Times New Roman" w:hAnsi="Times New Roman" w:cs="Times New Roman"/>
          <w:sz w:val="24"/>
          <w:szCs w:val="24"/>
        </w:rPr>
        <w:t xml:space="preserve">development of </w:t>
      </w:r>
      <w:r w:rsidRPr="003A0FC9">
        <w:rPr>
          <w:rFonts w:ascii="Times New Roman" w:eastAsia="Times New Roman" w:hAnsi="Times New Roman" w:cs="Times New Roman"/>
          <w:sz w:val="24"/>
          <w:szCs w:val="24"/>
        </w:rPr>
        <w:lastRenderedPageBreak/>
        <w:t>the financial sector in these economies. This was in response to the financial liberalization policies advocated by McKinnon (1973) and Shaw (197</w:t>
      </w:r>
      <w:r>
        <w:rPr>
          <w:rFonts w:ascii="Times New Roman" w:eastAsia="Times New Roman" w:hAnsi="Times New Roman" w:cs="Times New Roman"/>
          <w:sz w:val="24"/>
          <w:szCs w:val="24"/>
        </w:rPr>
        <w:t>3</w:t>
      </w:r>
      <w:r w:rsidRPr="003A0FC9">
        <w:rPr>
          <w:rFonts w:ascii="Times New Roman" w:eastAsia="Times New Roman" w:hAnsi="Times New Roman" w:cs="Times New Roman"/>
          <w:sz w:val="24"/>
          <w:szCs w:val="24"/>
        </w:rPr>
        <w:t xml:space="preserve">) to tackle </w:t>
      </w:r>
      <w:r>
        <w:rPr>
          <w:rFonts w:ascii="Times New Roman" w:eastAsia="Times New Roman" w:hAnsi="Times New Roman" w:cs="Times New Roman"/>
          <w:sz w:val="24"/>
          <w:szCs w:val="24"/>
        </w:rPr>
        <w:t xml:space="preserve">the </w:t>
      </w:r>
      <w:r w:rsidRPr="003A0FC9">
        <w:rPr>
          <w:rFonts w:ascii="Times New Roman" w:eastAsia="Times New Roman" w:hAnsi="Times New Roman" w:cs="Times New Roman"/>
          <w:sz w:val="24"/>
          <w:szCs w:val="24"/>
        </w:rPr>
        <w:t>financial repression that characterized most of these economies in the 1980</w:t>
      </w:r>
      <w:r>
        <w:rPr>
          <w:rFonts w:ascii="Times New Roman" w:eastAsia="Times New Roman" w:hAnsi="Times New Roman" w:cs="Times New Roman"/>
          <w:sz w:val="24"/>
          <w:szCs w:val="24"/>
        </w:rPr>
        <w:t>’</w:t>
      </w:r>
      <w:r w:rsidRPr="003A0FC9">
        <w:rPr>
          <w:rFonts w:ascii="Times New Roman" w:eastAsia="Times New Roman" w:hAnsi="Times New Roman" w:cs="Times New Roman"/>
          <w:sz w:val="24"/>
          <w:szCs w:val="24"/>
        </w:rPr>
        <w:t>s</w:t>
      </w:r>
      <w:r>
        <w:rPr>
          <w:rFonts w:ascii="Times New Roman" w:eastAsia="Times New Roman" w:hAnsi="Times New Roman" w:cs="Times New Roman"/>
          <w:sz w:val="24"/>
          <w:szCs w:val="24"/>
        </w:rPr>
        <w:t>,</w:t>
      </w:r>
      <w:r w:rsidRPr="003A0FC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which</w:t>
      </w:r>
      <w:r w:rsidRPr="003A0FC9">
        <w:rPr>
          <w:rFonts w:ascii="Times New Roman" w:eastAsia="Times New Roman" w:hAnsi="Times New Roman" w:cs="Times New Roman"/>
          <w:sz w:val="24"/>
          <w:szCs w:val="24"/>
        </w:rPr>
        <w:t xml:space="preserve"> impeded the efficient mobilization of resources to support growth. In most countries, the reforms have successfully transformed financial systems from </w:t>
      </w:r>
      <w:r>
        <w:rPr>
          <w:rFonts w:ascii="Times New Roman" w:eastAsia="Times New Roman" w:hAnsi="Times New Roman" w:cs="Times New Roman"/>
          <w:sz w:val="24"/>
          <w:szCs w:val="24"/>
        </w:rPr>
        <w:t>being</w:t>
      </w:r>
      <w:r w:rsidRPr="003A0FC9">
        <w:rPr>
          <w:rFonts w:ascii="Times New Roman" w:eastAsia="Times New Roman" w:hAnsi="Times New Roman" w:cs="Times New Roman"/>
          <w:sz w:val="24"/>
          <w:szCs w:val="24"/>
        </w:rPr>
        <w:t xml:space="preserve"> heavily influenced by government</w:t>
      </w:r>
      <w:r>
        <w:rPr>
          <w:rFonts w:ascii="Times New Roman" w:eastAsia="Times New Roman" w:hAnsi="Times New Roman" w:cs="Times New Roman"/>
          <w:sz w:val="24"/>
          <w:szCs w:val="24"/>
        </w:rPr>
        <w:t>s</w:t>
      </w:r>
      <w:r w:rsidRPr="003A0FC9">
        <w:rPr>
          <w:rFonts w:ascii="Times New Roman" w:eastAsia="Times New Roman" w:hAnsi="Times New Roman" w:cs="Times New Roman"/>
          <w:sz w:val="24"/>
          <w:szCs w:val="24"/>
        </w:rPr>
        <w:t xml:space="preserve"> to more market-oriented systems that now allow the allocation of financial resources to the most productive activities </w:t>
      </w:r>
      <w:r>
        <w:rPr>
          <w:rFonts w:ascii="Times New Roman" w:eastAsia="Times New Roman" w:hAnsi="Times New Roman" w:cs="Times New Roman"/>
          <w:sz w:val="24"/>
          <w:szCs w:val="24"/>
        </w:rPr>
        <w:t>for</w:t>
      </w:r>
      <w:r w:rsidRPr="003A0FC9">
        <w:rPr>
          <w:rFonts w:ascii="Times New Roman" w:eastAsia="Times New Roman" w:hAnsi="Times New Roman" w:cs="Times New Roman"/>
          <w:sz w:val="24"/>
          <w:szCs w:val="24"/>
        </w:rPr>
        <w:t xml:space="preserve"> improv</w:t>
      </w:r>
      <w:r>
        <w:rPr>
          <w:rFonts w:ascii="Times New Roman" w:eastAsia="Times New Roman" w:hAnsi="Times New Roman" w:cs="Times New Roman"/>
          <w:sz w:val="24"/>
          <w:szCs w:val="24"/>
        </w:rPr>
        <w:t>ing</w:t>
      </w:r>
      <w:r w:rsidRPr="003A0FC9">
        <w:rPr>
          <w:rFonts w:ascii="Times New Roman" w:eastAsia="Times New Roman" w:hAnsi="Times New Roman" w:cs="Times New Roman"/>
          <w:sz w:val="24"/>
          <w:szCs w:val="24"/>
        </w:rPr>
        <w:t xml:space="preserve"> productivity growth.</w:t>
      </w:r>
    </w:p>
    <w:p w14:paraId="1266663B" w14:textId="0B52ACBC" w:rsidR="00AB1527" w:rsidRPr="003A0FC9" w:rsidRDefault="00AB1527" w:rsidP="008E4E1C">
      <w:pPr>
        <w:spacing w:after="240" w:line="360" w:lineRule="auto"/>
        <w:jc w:val="both"/>
        <w:rPr>
          <w:rFonts w:ascii="Times New Roman" w:eastAsia="Times New Roman" w:hAnsi="Times New Roman" w:cs="Times New Roman"/>
          <w:sz w:val="24"/>
          <w:szCs w:val="24"/>
        </w:rPr>
      </w:pPr>
      <w:r w:rsidRPr="003A0FC9">
        <w:rPr>
          <w:rFonts w:ascii="Times New Roman" w:eastAsia="Times New Roman" w:hAnsi="Times New Roman" w:cs="Times New Roman"/>
          <w:sz w:val="24"/>
          <w:szCs w:val="24"/>
        </w:rPr>
        <w:t>Following these reforms, emerging market economies have witnessed substantial financial deepening over the past few decades (see Sahay et al., 2015). However, in recent years, some emerging markets and developing economies have been confronted with the problem of slow actual and potential growth (Dabla-Norris et al, 2016).</w:t>
      </w:r>
      <w:r>
        <w:rPr>
          <w:rFonts w:ascii="Times New Roman" w:eastAsia="Times New Roman" w:hAnsi="Times New Roman" w:cs="Times New Roman"/>
          <w:sz w:val="24"/>
          <w:szCs w:val="24"/>
        </w:rPr>
        <w:t xml:space="preserve"> </w:t>
      </w:r>
      <w:r w:rsidRPr="003A0FC9">
        <w:rPr>
          <w:rFonts w:ascii="Times New Roman" w:eastAsia="Times New Roman" w:hAnsi="Times New Roman" w:cs="Times New Roman"/>
          <w:sz w:val="24"/>
          <w:szCs w:val="24"/>
        </w:rPr>
        <w:t xml:space="preserve">This experience has raised important questions regarding the role of financial structure and the country’s level of development in the financial development-productivity growth nexus. While there is evidence confirming that differences in </w:t>
      </w:r>
      <w:r>
        <w:rPr>
          <w:rFonts w:ascii="Times New Roman" w:eastAsia="Times New Roman" w:hAnsi="Times New Roman" w:cs="Times New Roman"/>
          <w:sz w:val="24"/>
          <w:szCs w:val="24"/>
        </w:rPr>
        <w:t xml:space="preserve">the </w:t>
      </w:r>
      <w:r w:rsidRPr="003A0FC9">
        <w:rPr>
          <w:rFonts w:ascii="Times New Roman" w:eastAsia="Times New Roman" w:hAnsi="Times New Roman" w:cs="Times New Roman"/>
          <w:sz w:val="24"/>
          <w:szCs w:val="24"/>
        </w:rPr>
        <w:t xml:space="preserve">income levels of countries (Rioja and Valev, 2004; Huang and Lin, 2009) and </w:t>
      </w:r>
      <w:r>
        <w:rPr>
          <w:rFonts w:ascii="Times New Roman" w:eastAsia="Times New Roman" w:hAnsi="Times New Roman" w:cs="Times New Roman"/>
          <w:sz w:val="24"/>
          <w:szCs w:val="24"/>
        </w:rPr>
        <w:t xml:space="preserve">their </w:t>
      </w:r>
      <w:r w:rsidRPr="003A0FC9">
        <w:rPr>
          <w:rFonts w:ascii="Times New Roman" w:eastAsia="Times New Roman" w:hAnsi="Times New Roman" w:cs="Times New Roman"/>
          <w:sz w:val="24"/>
          <w:szCs w:val="24"/>
        </w:rPr>
        <w:t xml:space="preserve">level of financial development (Arcand et al., 2012) </w:t>
      </w:r>
      <w:r>
        <w:rPr>
          <w:rFonts w:ascii="Times New Roman" w:eastAsia="Times New Roman" w:hAnsi="Times New Roman" w:cs="Times New Roman"/>
          <w:sz w:val="24"/>
          <w:szCs w:val="24"/>
        </w:rPr>
        <w:t>are important</w:t>
      </w:r>
      <w:r w:rsidRPr="003A0FC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to</w:t>
      </w:r>
      <w:r w:rsidRPr="003A0FC9">
        <w:rPr>
          <w:rFonts w:ascii="Times New Roman" w:eastAsia="Times New Roman" w:hAnsi="Times New Roman" w:cs="Times New Roman"/>
          <w:sz w:val="24"/>
          <w:szCs w:val="24"/>
        </w:rPr>
        <w:t xml:space="preserve"> establish linkages between financial development and growth, a recent strand of theoretical and empirical evidence point</w:t>
      </w:r>
      <w:r>
        <w:rPr>
          <w:rFonts w:ascii="Times New Roman" w:eastAsia="Times New Roman" w:hAnsi="Times New Roman" w:cs="Times New Roman"/>
          <w:sz w:val="24"/>
          <w:szCs w:val="24"/>
        </w:rPr>
        <w:t>s</w:t>
      </w:r>
      <w:r w:rsidRPr="003A0FC9">
        <w:rPr>
          <w:rFonts w:ascii="Times New Roman" w:eastAsia="Times New Roman" w:hAnsi="Times New Roman" w:cs="Times New Roman"/>
          <w:sz w:val="24"/>
          <w:szCs w:val="24"/>
        </w:rPr>
        <w:t xml:space="preserve"> to the possibility that there exists a nonlinear relationship between financial development and growth. In what has now come to be known as the ‘too much finance’ hypothesis, there is a growing body of </w:t>
      </w:r>
      <w:r>
        <w:rPr>
          <w:rFonts w:ascii="Times New Roman" w:eastAsia="Times New Roman" w:hAnsi="Times New Roman" w:cs="Times New Roman"/>
          <w:sz w:val="24"/>
          <w:szCs w:val="24"/>
        </w:rPr>
        <w:t>evidence</w:t>
      </w:r>
      <w:r w:rsidRPr="003A0FC9">
        <w:rPr>
          <w:rFonts w:ascii="Times New Roman" w:eastAsia="Times New Roman" w:hAnsi="Times New Roman" w:cs="Times New Roman"/>
          <w:sz w:val="24"/>
          <w:szCs w:val="24"/>
        </w:rPr>
        <w:t xml:space="preserve"> suggesting that financial development enhances productivity and economic growth </w:t>
      </w:r>
      <w:r>
        <w:rPr>
          <w:rFonts w:ascii="Times New Roman" w:eastAsia="Times New Roman" w:hAnsi="Times New Roman" w:cs="Times New Roman"/>
          <w:sz w:val="24"/>
          <w:szCs w:val="24"/>
        </w:rPr>
        <w:t xml:space="preserve">only </w:t>
      </w:r>
      <w:r w:rsidRPr="003A0FC9">
        <w:rPr>
          <w:rFonts w:ascii="Times New Roman" w:eastAsia="Times New Roman" w:hAnsi="Times New Roman" w:cs="Times New Roman"/>
          <w:sz w:val="24"/>
          <w:szCs w:val="24"/>
        </w:rPr>
        <w:t xml:space="preserve">up to a point, beyond which financial development exerts a dampening effect on </w:t>
      </w:r>
      <w:r>
        <w:rPr>
          <w:rFonts w:ascii="Times New Roman" w:eastAsia="Times New Roman" w:hAnsi="Times New Roman" w:cs="Times New Roman"/>
          <w:sz w:val="24"/>
          <w:szCs w:val="24"/>
        </w:rPr>
        <w:t xml:space="preserve">the country’s </w:t>
      </w:r>
      <w:r w:rsidRPr="003A0FC9">
        <w:rPr>
          <w:rFonts w:ascii="Times New Roman" w:eastAsia="Times New Roman" w:hAnsi="Times New Roman" w:cs="Times New Roman"/>
          <w:sz w:val="24"/>
          <w:szCs w:val="24"/>
        </w:rPr>
        <w:t>growth</w:t>
      </w:r>
      <w:r w:rsidRPr="003A0FC9">
        <w:rPr>
          <w:rFonts w:ascii="Times New Roman" w:hAnsi="Times New Roman" w:cs="Times New Roman"/>
          <w:sz w:val="24"/>
          <w:szCs w:val="24"/>
        </w:rPr>
        <w:t xml:space="preserve"> </w:t>
      </w:r>
      <w:r w:rsidRPr="003A0FC9">
        <w:rPr>
          <w:rFonts w:ascii="Times New Roman" w:eastAsia="Times New Roman" w:hAnsi="Times New Roman" w:cs="Times New Roman"/>
          <w:sz w:val="24"/>
          <w:szCs w:val="24"/>
        </w:rPr>
        <w:t>(Arcand et al, 2012; Cecchetti and Kharroubi, 2012; Law and Singh, 2014; Sahay et al, 2015).</w:t>
      </w:r>
    </w:p>
    <w:p w14:paraId="7D6C90E3" w14:textId="7DB95A45" w:rsidR="00AB1527" w:rsidRPr="009E6750" w:rsidRDefault="00AB1527" w:rsidP="008E4E1C">
      <w:pPr>
        <w:spacing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w:t>
      </w:r>
      <w:r w:rsidRPr="003A0FC9">
        <w:rPr>
          <w:rFonts w:ascii="Times New Roman" w:eastAsia="Times New Roman" w:hAnsi="Times New Roman" w:cs="Times New Roman"/>
          <w:sz w:val="24"/>
          <w:szCs w:val="24"/>
        </w:rPr>
        <w:t xml:space="preserve"> endogenous growth literature</w:t>
      </w:r>
      <w:r>
        <w:rPr>
          <w:rFonts w:ascii="Times New Roman" w:eastAsia="Times New Roman" w:hAnsi="Times New Roman" w:cs="Times New Roman"/>
          <w:sz w:val="24"/>
          <w:szCs w:val="24"/>
        </w:rPr>
        <w:t xml:space="preserve"> proposes that</w:t>
      </w:r>
      <w:r w:rsidRPr="003A0FC9">
        <w:rPr>
          <w:rFonts w:ascii="Times New Roman" w:eastAsia="Times New Roman" w:hAnsi="Times New Roman" w:cs="Times New Roman"/>
          <w:sz w:val="24"/>
          <w:szCs w:val="24"/>
        </w:rPr>
        <w:t xml:space="preserve"> financial development can enhance economic growth through improvements in productivity growth (see Guglielmo et al, 2003). Yet, recent evidence suggests that the positive linkage between financial development and growth weakens when one considers</w:t>
      </w:r>
      <w:r>
        <w:rPr>
          <w:rFonts w:ascii="Times New Roman" w:eastAsia="Times New Roman" w:hAnsi="Times New Roman" w:cs="Times New Roman"/>
          <w:sz w:val="24"/>
          <w:szCs w:val="24"/>
        </w:rPr>
        <w:t xml:space="preserve"> the</w:t>
      </w:r>
      <w:r w:rsidRPr="003A0FC9">
        <w:rPr>
          <w:rFonts w:ascii="Times New Roman" w:eastAsia="Times New Roman" w:hAnsi="Times New Roman" w:cs="Times New Roman"/>
          <w:sz w:val="24"/>
          <w:szCs w:val="24"/>
        </w:rPr>
        <w:t xml:space="preserve"> data in the post-1990 era (Sahay et al., 2015). In the face of the growing controversies in the literature, one would argue that the financial development - productivity growth nexus remains an empirical question. This study</w:t>
      </w:r>
      <w:r>
        <w:rPr>
          <w:rFonts w:ascii="Times New Roman" w:eastAsia="Times New Roman" w:hAnsi="Times New Roman" w:cs="Times New Roman"/>
          <w:sz w:val="24"/>
          <w:szCs w:val="24"/>
        </w:rPr>
        <w:t>,</w:t>
      </w:r>
      <w:r w:rsidRPr="003A0FC9">
        <w:rPr>
          <w:rFonts w:ascii="Times New Roman" w:eastAsia="Times New Roman" w:hAnsi="Times New Roman" w:cs="Times New Roman"/>
          <w:sz w:val="24"/>
          <w:szCs w:val="24"/>
        </w:rPr>
        <w:t xml:space="preserve"> therefore</w:t>
      </w:r>
      <w:r>
        <w:rPr>
          <w:rFonts w:ascii="Times New Roman" w:eastAsia="Times New Roman" w:hAnsi="Times New Roman" w:cs="Times New Roman"/>
          <w:sz w:val="24"/>
          <w:szCs w:val="24"/>
        </w:rPr>
        <w:t>,</w:t>
      </w:r>
      <w:r w:rsidRPr="003A0FC9">
        <w:rPr>
          <w:rFonts w:ascii="Times New Roman" w:eastAsia="Times New Roman" w:hAnsi="Times New Roman" w:cs="Times New Roman"/>
          <w:sz w:val="24"/>
          <w:szCs w:val="24"/>
        </w:rPr>
        <w:t xml:space="preserve"> seeks to reassess the relationship between financial development and productivity growth in emerging market economies.</w:t>
      </w:r>
    </w:p>
    <w:p w14:paraId="48FF6227" w14:textId="77777777" w:rsidR="00AB1527" w:rsidRPr="003A0FC9" w:rsidRDefault="00AB1527" w:rsidP="006C1DD4">
      <w:pPr>
        <w:pStyle w:val="Heading2"/>
        <w:rPr>
          <w:rFonts w:eastAsia="Times New Roman"/>
        </w:rPr>
      </w:pPr>
      <w:bookmarkStart w:id="7" w:name="_Toc501031453"/>
      <w:r w:rsidRPr="003A0FC9">
        <w:rPr>
          <w:rFonts w:eastAsia="Times New Roman"/>
        </w:rPr>
        <w:lastRenderedPageBreak/>
        <w:t>1.2 Statement of the problem</w:t>
      </w:r>
      <w:bookmarkEnd w:id="7"/>
    </w:p>
    <w:p w14:paraId="08655E98" w14:textId="4157556A" w:rsidR="00AB1527" w:rsidRPr="003A0FC9" w:rsidRDefault="00AB1527" w:rsidP="008E4E1C">
      <w:pPr>
        <w:spacing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the empirical literature,</w:t>
      </w:r>
      <w:r w:rsidRPr="003A0FC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it is widely accepted </w:t>
      </w:r>
      <w:r w:rsidRPr="003A0FC9">
        <w:rPr>
          <w:rFonts w:ascii="Times New Roman" w:eastAsia="Times New Roman" w:hAnsi="Times New Roman" w:cs="Times New Roman"/>
          <w:sz w:val="24"/>
          <w:szCs w:val="24"/>
        </w:rPr>
        <w:t xml:space="preserve">that development of financial markets across the globe has a positive impact on economic growth. The recent financial crisis calls for a pause and re-evaluation of </w:t>
      </w:r>
      <w:r>
        <w:rPr>
          <w:rFonts w:ascii="Times New Roman" w:eastAsia="Times New Roman" w:hAnsi="Times New Roman" w:cs="Times New Roman"/>
          <w:sz w:val="24"/>
          <w:szCs w:val="24"/>
        </w:rPr>
        <w:t>this</w:t>
      </w:r>
      <w:r w:rsidRPr="003A0FC9">
        <w:rPr>
          <w:rFonts w:ascii="Times New Roman" w:eastAsia="Times New Roman" w:hAnsi="Times New Roman" w:cs="Times New Roman"/>
          <w:sz w:val="24"/>
          <w:szCs w:val="24"/>
        </w:rPr>
        <w:t xml:space="preserve"> relationship and </w:t>
      </w:r>
      <w:r>
        <w:rPr>
          <w:rFonts w:ascii="Times New Roman" w:eastAsia="Times New Roman" w:hAnsi="Times New Roman" w:cs="Times New Roman"/>
          <w:sz w:val="24"/>
          <w:szCs w:val="24"/>
        </w:rPr>
        <w:t xml:space="preserve">the </w:t>
      </w:r>
      <w:r w:rsidRPr="003A0FC9">
        <w:rPr>
          <w:rFonts w:ascii="Times New Roman" w:eastAsia="Times New Roman" w:hAnsi="Times New Roman" w:cs="Times New Roman"/>
          <w:sz w:val="24"/>
          <w:szCs w:val="24"/>
        </w:rPr>
        <w:t>potential impact of financial development on productivity growth. With emerging economies jumping the bandwagon</w:t>
      </w:r>
      <w:r>
        <w:rPr>
          <w:rFonts w:ascii="Times New Roman" w:eastAsia="Times New Roman" w:hAnsi="Times New Roman" w:cs="Times New Roman"/>
          <w:sz w:val="24"/>
          <w:szCs w:val="24"/>
        </w:rPr>
        <w:t>,</w:t>
      </w:r>
      <w:r w:rsidRPr="003A0FC9">
        <w:rPr>
          <w:rFonts w:ascii="Times New Roman" w:eastAsia="Times New Roman" w:hAnsi="Times New Roman" w:cs="Times New Roman"/>
          <w:sz w:val="24"/>
          <w:szCs w:val="24"/>
        </w:rPr>
        <w:t xml:space="preserve"> in a bid to develop </w:t>
      </w:r>
      <w:r>
        <w:rPr>
          <w:rFonts w:ascii="Times New Roman" w:eastAsia="Times New Roman" w:hAnsi="Times New Roman" w:cs="Times New Roman"/>
          <w:sz w:val="24"/>
          <w:szCs w:val="24"/>
        </w:rPr>
        <w:t xml:space="preserve">their </w:t>
      </w:r>
      <w:r w:rsidRPr="003A0FC9">
        <w:rPr>
          <w:rFonts w:ascii="Times New Roman" w:eastAsia="Times New Roman" w:hAnsi="Times New Roman" w:cs="Times New Roman"/>
          <w:sz w:val="24"/>
          <w:szCs w:val="24"/>
        </w:rPr>
        <w:t>financial markets to enhance long-term growth, an important issue that has emerged is the question of the ideal level of financial development needed to increase productivity growth in these countries.</w:t>
      </w:r>
    </w:p>
    <w:p w14:paraId="33EA9A54" w14:textId="6866AC4A" w:rsidR="00AB1527" w:rsidRPr="00A1783C" w:rsidRDefault="00AB1527" w:rsidP="008E4E1C">
      <w:pPr>
        <w:spacing w:after="240" w:line="360" w:lineRule="auto"/>
        <w:jc w:val="both"/>
        <w:rPr>
          <w:rFonts w:ascii="Times New Roman" w:eastAsia="Times New Roman" w:hAnsi="Times New Roman" w:cs="Times New Roman"/>
          <w:sz w:val="24"/>
          <w:szCs w:val="24"/>
        </w:rPr>
      </w:pPr>
      <w:r w:rsidRPr="003A0FC9">
        <w:rPr>
          <w:rFonts w:ascii="Times New Roman" w:eastAsia="Times New Roman" w:hAnsi="Times New Roman" w:cs="Times New Roman"/>
          <w:sz w:val="24"/>
          <w:szCs w:val="24"/>
        </w:rPr>
        <w:t xml:space="preserve">While the relationship between financial development and economic growth has been extensively examined, little is known about </w:t>
      </w:r>
      <w:r>
        <w:rPr>
          <w:rFonts w:ascii="Times New Roman" w:eastAsia="Times New Roman" w:hAnsi="Times New Roman" w:cs="Times New Roman"/>
          <w:sz w:val="24"/>
          <w:szCs w:val="24"/>
        </w:rPr>
        <w:t>the influence of</w:t>
      </w:r>
      <w:r w:rsidRPr="003A0FC9">
        <w:rPr>
          <w:rFonts w:ascii="Times New Roman" w:eastAsia="Times New Roman" w:hAnsi="Times New Roman" w:cs="Times New Roman"/>
          <w:sz w:val="24"/>
          <w:szCs w:val="24"/>
        </w:rPr>
        <w:t xml:space="preserve"> financial development </w:t>
      </w:r>
      <w:r>
        <w:rPr>
          <w:rFonts w:ascii="Times New Roman" w:eastAsia="Times New Roman" w:hAnsi="Times New Roman" w:cs="Times New Roman"/>
          <w:sz w:val="24"/>
          <w:szCs w:val="24"/>
        </w:rPr>
        <w:t>on</w:t>
      </w:r>
      <w:r w:rsidRPr="003A0FC9">
        <w:rPr>
          <w:rFonts w:ascii="Times New Roman" w:eastAsia="Times New Roman" w:hAnsi="Times New Roman" w:cs="Times New Roman"/>
          <w:sz w:val="24"/>
          <w:szCs w:val="24"/>
        </w:rPr>
        <w:t xml:space="preserve"> productivity growth</w:t>
      </w:r>
      <w:r>
        <w:rPr>
          <w:rFonts w:ascii="Times New Roman" w:eastAsia="Times New Roman" w:hAnsi="Times New Roman" w:cs="Times New Roman"/>
          <w:sz w:val="24"/>
          <w:szCs w:val="24"/>
        </w:rPr>
        <w:t>,</w:t>
      </w:r>
      <w:r w:rsidRPr="003A0FC9">
        <w:rPr>
          <w:rFonts w:ascii="Times New Roman" w:eastAsia="Times New Roman" w:hAnsi="Times New Roman" w:cs="Times New Roman"/>
          <w:sz w:val="24"/>
          <w:szCs w:val="24"/>
        </w:rPr>
        <w:t xml:space="preserve"> especially in </w:t>
      </w:r>
      <w:r>
        <w:rPr>
          <w:rFonts w:ascii="Times New Roman" w:eastAsia="Times New Roman" w:hAnsi="Times New Roman" w:cs="Times New Roman"/>
          <w:sz w:val="24"/>
          <w:szCs w:val="24"/>
        </w:rPr>
        <w:t xml:space="preserve">the </w:t>
      </w:r>
      <w:r w:rsidRPr="003A0FC9">
        <w:rPr>
          <w:rFonts w:ascii="Times New Roman" w:eastAsia="Times New Roman" w:hAnsi="Times New Roman" w:cs="Times New Roman"/>
          <w:sz w:val="24"/>
          <w:szCs w:val="24"/>
        </w:rPr>
        <w:t>emerging markets economies. A recent strand of literature has argued that the positive impact of financial development on economic growth weakens after a threshold level of financial development</w:t>
      </w:r>
      <w:r>
        <w:rPr>
          <w:rFonts w:ascii="Times New Roman" w:eastAsia="Times New Roman" w:hAnsi="Times New Roman" w:cs="Times New Roman"/>
          <w:sz w:val="24"/>
          <w:szCs w:val="24"/>
        </w:rPr>
        <w:t xml:space="preserve"> is reached</w:t>
      </w:r>
      <w:r w:rsidRPr="003A0FC9">
        <w:rPr>
          <w:rFonts w:ascii="Times New Roman" w:eastAsia="Times New Roman" w:hAnsi="Times New Roman" w:cs="Times New Roman"/>
          <w:sz w:val="24"/>
          <w:szCs w:val="24"/>
        </w:rPr>
        <w:t>. Such a dampening effect at higher levels of financial develo</w:t>
      </w:r>
      <w:r>
        <w:rPr>
          <w:rFonts w:ascii="Times New Roman" w:eastAsia="Times New Roman" w:hAnsi="Times New Roman" w:cs="Times New Roman"/>
          <w:sz w:val="24"/>
          <w:szCs w:val="24"/>
        </w:rPr>
        <w:t xml:space="preserve">pment stems from the effect of </w:t>
      </w:r>
      <w:r w:rsidRPr="003A0FC9">
        <w:rPr>
          <w:rFonts w:ascii="Times New Roman" w:eastAsia="Times New Roman" w:hAnsi="Times New Roman" w:cs="Times New Roman"/>
          <w:sz w:val="24"/>
          <w:szCs w:val="24"/>
        </w:rPr>
        <w:t xml:space="preserve">financial </w:t>
      </w:r>
      <w:r>
        <w:rPr>
          <w:rFonts w:ascii="Times New Roman" w:eastAsia="Times New Roman" w:hAnsi="Times New Roman" w:cs="Times New Roman"/>
          <w:sz w:val="24"/>
          <w:szCs w:val="24"/>
        </w:rPr>
        <w:t>deepening</w:t>
      </w:r>
      <w:r w:rsidRPr="003A0FC9">
        <w:rPr>
          <w:rFonts w:ascii="Times New Roman" w:eastAsia="Times New Roman" w:hAnsi="Times New Roman" w:cs="Times New Roman"/>
          <w:sz w:val="24"/>
          <w:szCs w:val="24"/>
        </w:rPr>
        <w:t xml:space="preserve"> on </w:t>
      </w:r>
      <w:r>
        <w:rPr>
          <w:rFonts w:ascii="Times New Roman" w:eastAsia="Times New Roman" w:hAnsi="Times New Roman" w:cs="Times New Roman"/>
          <w:sz w:val="24"/>
          <w:szCs w:val="24"/>
        </w:rPr>
        <w:t xml:space="preserve">the </w:t>
      </w:r>
      <w:r w:rsidRPr="003A0FC9">
        <w:rPr>
          <w:rFonts w:ascii="Times New Roman" w:eastAsia="Times New Roman" w:hAnsi="Times New Roman" w:cs="Times New Roman"/>
          <w:sz w:val="24"/>
          <w:szCs w:val="24"/>
        </w:rPr>
        <w:t xml:space="preserve">total factor productivity (TFP) growth, rather than through </w:t>
      </w:r>
      <w:r>
        <w:rPr>
          <w:rFonts w:ascii="Times New Roman" w:eastAsia="Times New Roman" w:hAnsi="Times New Roman" w:cs="Times New Roman"/>
          <w:sz w:val="24"/>
          <w:szCs w:val="24"/>
        </w:rPr>
        <w:t xml:space="preserve">the </w:t>
      </w:r>
      <w:r w:rsidRPr="003A0FC9">
        <w:rPr>
          <w:rFonts w:ascii="Times New Roman" w:eastAsia="Times New Roman" w:hAnsi="Times New Roman" w:cs="Times New Roman"/>
          <w:sz w:val="24"/>
          <w:szCs w:val="24"/>
        </w:rPr>
        <w:t>other measures of financial development, such as increased access or greater efficiency (see Ikhide, 2015; Sahay et al, 2015).</w:t>
      </w:r>
      <w:r>
        <w:rPr>
          <w:rFonts w:ascii="Times New Roman" w:eastAsia="Times New Roman" w:hAnsi="Times New Roman" w:cs="Times New Roman"/>
          <w:sz w:val="24"/>
          <w:szCs w:val="24"/>
        </w:rPr>
        <w:t xml:space="preserve"> </w:t>
      </w:r>
      <w:r w:rsidRPr="00A1783C">
        <w:rPr>
          <w:rFonts w:ascii="Times New Roman" w:eastAsia="Times New Roman" w:hAnsi="Times New Roman" w:cs="Times New Roman"/>
          <w:sz w:val="24"/>
          <w:szCs w:val="24"/>
        </w:rPr>
        <w:t xml:space="preserve">These issues have raised important policy questions: Is the relationship between financial deepening and productivity growth nonlinear in emerging market economies? Does financial deepening exert a weakening effect on productivity growth in </w:t>
      </w:r>
      <w:r>
        <w:rPr>
          <w:rFonts w:ascii="Times New Roman" w:eastAsia="Times New Roman" w:hAnsi="Times New Roman" w:cs="Times New Roman"/>
          <w:sz w:val="24"/>
          <w:szCs w:val="24"/>
        </w:rPr>
        <w:t xml:space="preserve">the </w:t>
      </w:r>
      <w:r w:rsidRPr="00A1783C">
        <w:rPr>
          <w:rFonts w:ascii="Times New Roman" w:eastAsia="Times New Roman" w:hAnsi="Times New Roman" w:cs="Times New Roman"/>
          <w:sz w:val="24"/>
          <w:szCs w:val="24"/>
        </w:rPr>
        <w:t>emerging economies?</w:t>
      </w:r>
    </w:p>
    <w:p w14:paraId="4A2F4954" w14:textId="4AC90F30" w:rsidR="00AB1527" w:rsidRPr="003A0FC9" w:rsidRDefault="00AB1527" w:rsidP="008E4E1C">
      <w:pPr>
        <w:spacing w:after="240" w:line="360" w:lineRule="auto"/>
        <w:jc w:val="both"/>
        <w:rPr>
          <w:rFonts w:ascii="Times New Roman" w:eastAsia="Times New Roman" w:hAnsi="Times New Roman" w:cs="Times New Roman"/>
          <w:sz w:val="24"/>
          <w:szCs w:val="24"/>
        </w:rPr>
      </w:pPr>
      <w:r w:rsidRPr="003A0FC9">
        <w:rPr>
          <w:rFonts w:ascii="Times New Roman" w:eastAsia="Times New Roman" w:hAnsi="Times New Roman" w:cs="Times New Roman"/>
          <w:sz w:val="24"/>
          <w:szCs w:val="24"/>
        </w:rPr>
        <w:t xml:space="preserve">To ascertain the nonlinear relationship between financial development and economic growth, some studies have </w:t>
      </w:r>
      <w:r>
        <w:rPr>
          <w:rFonts w:ascii="Times New Roman" w:eastAsia="Times New Roman" w:hAnsi="Times New Roman" w:cs="Times New Roman"/>
          <w:sz w:val="24"/>
          <w:szCs w:val="24"/>
        </w:rPr>
        <w:t>used</w:t>
      </w:r>
      <w:r w:rsidRPr="003A0FC9">
        <w:rPr>
          <w:rFonts w:ascii="Times New Roman" w:eastAsia="Times New Roman" w:hAnsi="Times New Roman" w:cs="Times New Roman"/>
          <w:sz w:val="24"/>
          <w:szCs w:val="24"/>
        </w:rPr>
        <w:t xml:space="preserve"> the quadratic term of the indicator</w:t>
      </w:r>
      <w:r>
        <w:rPr>
          <w:rFonts w:ascii="Times New Roman" w:eastAsia="Times New Roman" w:hAnsi="Times New Roman" w:cs="Times New Roman"/>
          <w:sz w:val="24"/>
          <w:szCs w:val="24"/>
        </w:rPr>
        <w:t xml:space="preserve">s of financial development in </w:t>
      </w:r>
      <w:r w:rsidRPr="003A0FC9">
        <w:rPr>
          <w:rFonts w:ascii="Times New Roman" w:eastAsia="Times New Roman" w:hAnsi="Times New Roman" w:cs="Times New Roman"/>
          <w:sz w:val="24"/>
          <w:szCs w:val="24"/>
        </w:rPr>
        <w:t>economic growth regressions using different techniques (e.g. Cecchetti and Kharroubi, 2012; Sahay et al, 2015), while others use the threshold regression approach (Huang and Lin, 2009; Law and Singh, 2014) and semi-parametric estimations (Arcand et al, 2012). Using a panel smooth transition regression (PSTR) approach, Jude (2010) explored the variation</w:t>
      </w:r>
      <w:r>
        <w:rPr>
          <w:rFonts w:ascii="Times New Roman" w:eastAsia="Times New Roman" w:hAnsi="Times New Roman" w:cs="Times New Roman"/>
          <w:sz w:val="24"/>
          <w:szCs w:val="24"/>
        </w:rPr>
        <w:t>s</w:t>
      </w:r>
      <w:r w:rsidRPr="003A0FC9">
        <w:rPr>
          <w:rFonts w:ascii="Times New Roman" w:eastAsia="Times New Roman" w:hAnsi="Times New Roman" w:cs="Times New Roman"/>
          <w:sz w:val="24"/>
          <w:szCs w:val="24"/>
        </w:rPr>
        <w:t xml:space="preserve"> in financial development</w:t>
      </w:r>
      <w:r>
        <w:rPr>
          <w:rFonts w:ascii="Times New Roman" w:eastAsia="Times New Roman" w:hAnsi="Times New Roman" w:cs="Times New Roman"/>
          <w:sz w:val="24"/>
          <w:szCs w:val="24"/>
        </w:rPr>
        <w:t>s</w:t>
      </w:r>
      <w:r w:rsidRPr="003A0FC9">
        <w:rPr>
          <w:rFonts w:ascii="Times New Roman" w:eastAsia="Times New Roman" w:hAnsi="Times New Roman" w:cs="Times New Roman"/>
          <w:sz w:val="24"/>
          <w:szCs w:val="24"/>
        </w:rPr>
        <w:t xml:space="preserve"> across countries over time to establish the linkage between financial development and economic growth.</w:t>
      </w:r>
    </w:p>
    <w:p w14:paraId="131CF9EE" w14:textId="55A405EF" w:rsidR="00AB1527" w:rsidRDefault="00AB1527" w:rsidP="008E4E1C">
      <w:pPr>
        <w:spacing w:after="240" w:line="360" w:lineRule="auto"/>
        <w:jc w:val="both"/>
        <w:rPr>
          <w:rFonts w:ascii="Times New Roman" w:eastAsia="Times New Roman" w:hAnsi="Times New Roman" w:cs="Times New Roman"/>
          <w:sz w:val="24"/>
          <w:szCs w:val="24"/>
        </w:rPr>
      </w:pPr>
      <w:r w:rsidRPr="003A0FC9">
        <w:rPr>
          <w:rFonts w:ascii="Times New Roman" w:eastAsia="Times New Roman" w:hAnsi="Times New Roman" w:cs="Times New Roman"/>
          <w:sz w:val="24"/>
          <w:szCs w:val="24"/>
        </w:rPr>
        <w:t xml:space="preserve">This thesis contributes to the empirical literature on the finance-growth nexus in two ways. It clearly explores the nonlinearity between financial development and </w:t>
      </w:r>
      <w:r w:rsidRPr="003A0FC9">
        <w:rPr>
          <w:rFonts w:ascii="Times New Roman" w:eastAsia="Times New Roman" w:hAnsi="Times New Roman" w:cs="Times New Roman"/>
          <w:sz w:val="24"/>
          <w:szCs w:val="24"/>
        </w:rPr>
        <w:lastRenderedPageBreak/>
        <w:t xml:space="preserve">productivity growth, unlike most studies that have explored the nonlinear effect of financial development on economic growth. Our study is motivated by the endogenous growth literature which suggests that financial development can influence economic growth by raising </w:t>
      </w:r>
      <w:r>
        <w:rPr>
          <w:rFonts w:ascii="Times New Roman" w:eastAsia="Times New Roman" w:hAnsi="Times New Roman" w:cs="Times New Roman"/>
          <w:sz w:val="24"/>
          <w:szCs w:val="24"/>
        </w:rPr>
        <w:t xml:space="preserve">the </w:t>
      </w:r>
      <w:r w:rsidRPr="003A0FC9">
        <w:rPr>
          <w:rFonts w:ascii="Times New Roman" w:eastAsia="Times New Roman" w:hAnsi="Times New Roman" w:cs="Times New Roman"/>
          <w:sz w:val="24"/>
          <w:szCs w:val="24"/>
        </w:rPr>
        <w:t>total factor productivity growth. Secondly, this study allows the heterogeneous effect of financial development on productivity growth using the PSTR approach. To the best of my knowledge, this issue has not been addressed in the empirical literature assessing the nonlinearity between financial development and productivity growth.</w:t>
      </w:r>
    </w:p>
    <w:p w14:paraId="59ACCDD7" w14:textId="77777777" w:rsidR="00AB1527" w:rsidRPr="003A0FC9" w:rsidRDefault="00AB1527" w:rsidP="006C1DD4">
      <w:pPr>
        <w:pStyle w:val="Heading2"/>
        <w:rPr>
          <w:rFonts w:eastAsia="Times New Roman"/>
        </w:rPr>
      </w:pPr>
      <w:bookmarkStart w:id="8" w:name="_Toc501031454"/>
      <w:r w:rsidRPr="003A0FC9">
        <w:rPr>
          <w:rFonts w:eastAsia="Times New Roman"/>
        </w:rPr>
        <w:t>1.3 Objectives</w:t>
      </w:r>
      <w:bookmarkEnd w:id="8"/>
    </w:p>
    <w:p w14:paraId="55619BA7" w14:textId="77777777" w:rsidR="00AB1527" w:rsidRPr="003A0FC9" w:rsidRDefault="00AB1527" w:rsidP="008E4E1C">
      <w:pPr>
        <w:spacing w:after="240" w:line="360" w:lineRule="auto"/>
        <w:jc w:val="both"/>
        <w:rPr>
          <w:rFonts w:ascii="Times New Roman" w:eastAsia="Times New Roman" w:hAnsi="Times New Roman" w:cs="Times New Roman"/>
          <w:sz w:val="24"/>
          <w:szCs w:val="24"/>
        </w:rPr>
      </w:pPr>
      <w:r w:rsidRPr="003A0FC9">
        <w:rPr>
          <w:rFonts w:ascii="Times New Roman" w:eastAsia="Times New Roman" w:hAnsi="Times New Roman" w:cs="Times New Roman"/>
          <w:sz w:val="24"/>
          <w:szCs w:val="24"/>
        </w:rPr>
        <w:t>The study explores the relationship between financial development and productivity growth in emerging economies. Specifically, this study seeks to:</w:t>
      </w:r>
    </w:p>
    <w:p w14:paraId="1C9D3AC0" w14:textId="77777777" w:rsidR="00AB1527" w:rsidRPr="003A0FC9" w:rsidRDefault="00AB1527" w:rsidP="008E4E1C">
      <w:pPr>
        <w:spacing w:after="240" w:line="360" w:lineRule="auto"/>
        <w:jc w:val="both"/>
        <w:rPr>
          <w:rFonts w:ascii="Times New Roman" w:eastAsia="Times New Roman" w:hAnsi="Times New Roman" w:cs="Times New Roman"/>
          <w:sz w:val="24"/>
          <w:szCs w:val="24"/>
        </w:rPr>
      </w:pPr>
      <w:r w:rsidRPr="003A0FC9">
        <w:rPr>
          <w:rFonts w:ascii="Times New Roman" w:eastAsia="Times New Roman" w:hAnsi="Times New Roman" w:cs="Times New Roman"/>
          <w:sz w:val="24"/>
          <w:szCs w:val="24"/>
        </w:rPr>
        <w:t>(i) Investigate the possible existence of a nonlinear relationship between financial development and productivity growth in emerging markets.</w:t>
      </w:r>
    </w:p>
    <w:p w14:paraId="56E38C80" w14:textId="77777777" w:rsidR="00AB1527" w:rsidRDefault="00AB1527" w:rsidP="008E4E1C">
      <w:pPr>
        <w:spacing w:after="240" w:line="360" w:lineRule="auto"/>
        <w:jc w:val="both"/>
        <w:rPr>
          <w:rFonts w:ascii="Times New Roman" w:eastAsia="Times New Roman" w:hAnsi="Times New Roman" w:cs="Times New Roman"/>
          <w:sz w:val="24"/>
          <w:szCs w:val="24"/>
        </w:rPr>
      </w:pPr>
      <w:r w:rsidRPr="003A0FC9">
        <w:rPr>
          <w:rFonts w:ascii="Times New Roman" w:eastAsia="Times New Roman" w:hAnsi="Times New Roman" w:cs="Times New Roman"/>
          <w:sz w:val="24"/>
          <w:szCs w:val="24"/>
        </w:rPr>
        <w:t>(ii) Determine whether a threshold level of financial development exists</w:t>
      </w:r>
      <w:r>
        <w:rPr>
          <w:rFonts w:ascii="Times New Roman" w:eastAsia="Times New Roman" w:hAnsi="Times New Roman" w:cs="Times New Roman"/>
          <w:sz w:val="24"/>
          <w:szCs w:val="24"/>
        </w:rPr>
        <w:t>,</w:t>
      </w:r>
      <w:r w:rsidRPr="003A0FC9">
        <w:rPr>
          <w:rFonts w:ascii="Times New Roman" w:eastAsia="Times New Roman" w:hAnsi="Times New Roman" w:cs="Times New Roman"/>
          <w:sz w:val="24"/>
          <w:szCs w:val="24"/>
        </w:rPr>
        <w:t xml:space="preserve"> beyond which financial development dampens produc</w:t>
      </w:r>
      <w:r>
        <w:rPr>
          <w:rFonts w:ascii="Times New Roman" w:eastAsia="Times New Roman" w:hAnsi="Times New Roman" w:cs="Times New Roman"/>
          <w:sz w:val="24"/>
          <w:szCs w:val="24"/>
        </w:rPr>
        <w:t>tivity growth.</w:t>
      </w:r>
    </w:p>
    <w:p w14:paraId="7291DF8A" w14:textId="1E5883AC" w:rsidR="00AB1527" w:rsidRPr="003A0FC9" w:rsidRDefault="00AB1527" w:rsidP="008E4E1C">
      <w:pPr>
        <w:spacing w:after="240" w:line="360" w:lineRule="auto"/>
        <w:jc w:val="both"/>
        <w:rPr>
          <w:rFonts w:ascii="Times New Roman" w:eastAsia="Times New Roman" w:hAnsi="Times New Roman" w:cs="Times New Roman"/>
          <w:sz w:val="24"/>
          <w:szCs w:val="24"/>
        </w:rPr>
      </w:pPr>
      <w:r w:rsidRPr="003A0FC9">
        <w:rPr>
          <w:rFonts w:ascii="Times New Roman" w:eastAsia="Times New Roman" w:hAnsi="Times New Roman" w:cs="Times New Roman"/>
          <w:sz w:val="24"/>
          <w:szCs w:val="24"/>
        </w:rPr>
        <w:t>(iii)Analyze the trends in financial development and aggregate productivity growth in emerging markets.</w:t>
      </w:r>
    </w:p>
    <w:p w14:paraId="6139B78D" w14:textId="77777777" w:rsidR="00AB1527" w:rsidRPr="003A0FC9" w:rsidRDefault="00AB1527" w:rsidP="006C1DD4">
      <w:pPr>
        <w:pStyle w:val="Heading2"/>
        <w:rPr>
          <w:rFonts w:eastAsia="Times New Roman"/>
        </w:rPr>
      </w:pPr>
      <w:bookmarkStart w:id="9" w:name="_Toc501031455"/>
      <w:r w:rsidRPr="003A0FC9">
        <w:rPr>
          <w:rFonts w:eastAsia="Times New Roman"/>
        </w:rPr>
        <w:t>1.4 Research Hypothesis</w:t>
      </w:r>
      <w:bookmarkEnd w:id="9"/>
    </w:p>
    <w:p w14:paraId="7E439754" w14:textId="77777777" w:rsidR="00AB1527" w:rsidRPr="003A0FC9" w:rsidRDefault="00AB1527" w:rsidP="008E4E1C">
      <w:pPr>
        <w:spacing w:after="240" w:line="360" w:lineRule="auto"/>
        <w:jc w:val="both"/>
        <w:rPr>
          <w:rFonts w:ascii="Times New Roman" w:eastAsia="Times New Roman" w:hAnsi="Times New Roman" w:cs="Times New Roman"/>
          <w:sz w:val="24"/>
          <w:szCs w:val="24"/>
        </w:rPr>
      </w:pPr>
      <w:r w:rsidRPr="003A0FC9">
        <w:rPr>
          <w:rFonts w:ascii="Times New Roman" w:eastAsia="Times New Roman" w:hAnsi="Times New Roman" w:cs="Times New Roman"/>
          <w:sz w:val="24"/>
          <w:szCs w:val="24"/>
        </w:rPr>
        <w:t>The study tests the following hypotheses:</w:t>
      </w:r>
    </w:p>
    <w:p w14:paraId="02115C11" w14:textId="77777777" w:rsidR="00AB1527" w:rsidRPr="003A0FC9" w:rsidRDefault="00AB1527" w:rsidP="008E4E1C">
      <w:pPr>
        <w:spacing w:after="240" w:line="360" w:lineRule="auto"/>
        <w:jc w:val="both"/>
        <w:rPr>
          <w:rFonts w:ascii="Times New Roman" w:eastAsia="Times New Roman" w:hAnsi="Times New Roman" w:cs="Times New Roman"/>
          <w:sz w:val="24"/>
          <w:szCs w:val="24"/>
        </w:rPr>
      </w:pPr>
      <w:r w:rsidRPr="003A0FC9">
        <w:rPr>
          <w:rFonts w:ascii="Times New Roman" w:eastAsia="Times New Roman" w:hAnsi="Times New Roman" w:cs="Times New Roman"/>
          <w:sz w:val="24"/>
          <w:szCs w:val="24"/>
        </w:rPr>
        <w:t xml:space="preserve">(i)The relationship between financial development and </w:t>
      </w:r>
      <w:r>
        <w:rPr>
          <w:rFonts w:ascii="Times New Roman" w:eastAsia="Times New Roman" w:hAnsi="Times New Roman" w:cs="Times New Roman"/>
          <w:sz w:val="24"/>
          <w:szCs w:val="24"/>
        </w:rPr>
        <w:t xml:space="preserve">the </w:t>
      </w:r>
      <w:r w:rsidRPr="003A0FC9">
        <w:rPr>
          <w:rFonts w:ascii="Times New Roman" w:eastAsia="Times New Roman" w:hAnsi="Times New Roman" w:cs="Times New Roman"/>
          <w:sz w:val="24"/>
          <w:szCs w:val="24"/>
        </w:rPr>
        <w:t>total factor productivity growth is nonlinear in emerging markets.</w:t>
      </w:r>
    </w:p>
    <w:p w14:paraId="320BFB5F" w14:textId="4D9F0883" w:rsidR="00731D54" w:rsidRPr="003A0FC9" w:rsidRDefault="00AB1527" w:rsidP="008E4E1C">
      <w:pPr>
        <w:spacing w:after="240" w:line="360" w:lineRule="auto"/>
        <w:jc w:val="both"/>
        <w:rPr>
          <w:rFonts w:ascii="Times New Roman" w:eastAsia="Times New Roman" w:hAnsi="Times New Roman" w:cs="Times New Roman"/>
          <w:sz w:val="24"/>
          <w:szCs w:val="24"/>
        </w:rPr>
      </w:pPr>
      <w:r w:rsidRPr="003A0FC9">
        <w:rPr>
          <w:rFonts w:ascii="Times New Roman" w:eastAsia="Times New Roman" w:hAnsi="Times New Roman" w:cs="Times New Roman"/>
          <w:sz w:val="24"/>
          <w:szCs w:val="24"/>
        </w:rPr>
        <w:t xml:space="preserve">(ii) Financial development exerts a weakening effect on </w:t>
      </w:r>
      <w:r>
        <w:rPr>
          <w:rFonts w:ascii="Times New Roman" w:eastAsia="Times New Roman" w:hAnsi="Times New Roman" w:cs="Times New Roman"/>
          <w:sz w:val="24"/>
          <w:szCs w:val="24"/>
        </w:rPr>
        <w:t xml:space="preserve">the </w:t>
      </w:r>
      <w:r w:rsidRPr="003A0FC9">
        <w:rPr>
          <w:rFonts w:ascii="Times New Roman" w:eastAsia="Times New Roman" w:hAnsi="Times New Roman" w:cs="Times New Roman"/>
          <w:sz w:val="24"/>
          <w:szCs w:val="24"/>
        </w:rPr>
        <w:t>total factor productivity growth in emerging markets when it exceeds a certain threshold.</w:t>
      </w:r>
    </w:p>
    <w:p w14:paraId="494BE3AF" w14:textId="77777777" w:rsidR="00AB1527" w:rsidRPr="003A0FC9" w:rsidRDefault="00AB1527" w:rsidP="006C1DD4">
      <w:pPr>
        <w:pStyle w:val="Heading2"/>
        <w:rPr>
          <w:rFonts w:eastAsia="Times New Roman"/>
        </w:rPr>
      </w:pPr>
      <w:bookmarkStart w:id="10" w:name="_Toc501031456"/>
      <w:r w:rsidRPr="003A0FC9">
        <w:rPr>
          <w:rFonts w:eastAsia="Times New Roman"/>
        </w:rPr>
        <w:t>1.5 Significance of the study</w:t>
      </w:r>
      <w:bookmarkEnd w:id="10"/>
    </w:p>
    <w:p w14:paraId="7F6A9473" w14:textId="1C50E5C0" w:rsidR="00AB1527" w:rsidRPr="003A0FC9" w:rsidRDefault="00AB1527" w:rsidP="008E4E1C">
      <w:pPr>
        <w:spacing w:after="240" w:line="360" w:lineRule="auto"/>
        <w:jc w:val="both"/>
        <w:rPr>
          <w:rFonts w:ascii="Times New Roman" w:eastAsia="Times New Roman" w:hAnsi="Times New Roman" w:cs="Times New Roman"/>
          <w:sz w:val="24"/>
          <w:szCs w:val="24"/>
        </w:rPr>
      </w:pPr>
      <w:r w:rsidRPr="003A0FC9">
        <w:rPr>
          <w:rFonts w:ascii="Times New Roman" w:eastAsia="Times New Roman" w:hAnsi="Times New Roman" w:cs="Times New Roman"/>
          <w:sz w:val="24"/>
          <w:szCs w:val="24"/>
        </w:rPr>
        <w:t xml:space="preserve">While it is true that the financial development-growth linkage has been extensively investigated, reassessing the relationship is quite relevant for emerging market economies in the face of the recent global financial crisis. Surprisingly, while emerging markets have made significant progress in enhancing </w:t>
      </w:r>
      <w:r>
        <w:rPr>
          <w:rFonts w:ascii="Times New Roman" w:eastAsia="Times New Roman" w:hAnsi="Times New Roman" w:cs="Times New Roman"/>
          <w:sz w:val="24"/>
          <w:szCs w:val="24"/>
        </w:rPr>
        <w:t xml:space="preserve">their </w:t>
      </w:r>
      <w:r w:rsidRPr="003A0FC9">
        <w:rPr>
          <w:rFonts w:ascii="Times New Roman" w:eastAsia="Times New Roman" w:hAnsi="Times New Roman" w:cs="Times New Roman"/>
          <w:sz w:val="24"/>
          <w:szCs w:val="24"/>
        </w:rPr>
        <w:t xml:space="preserve">financial deepening, they </w:t>
      </w:r>
      <w:r w:rsidRPr="003A0FC9">
        <w:rPr>
          <w:rFonts w:ascii="Times New Roman" w:eastAsia="Times New Roman" w:hAnsi="Times New Roman" w:cs="Times New Roman"/>
          <w:sz w:val="24"/>
          <w:szCs w:val="24"/>
        </w:rPr>
        <w:lastRenderedPageBreak/>
        <w:t xml:space="preserve">have also been faced with the problem of sluggish actual and potential growth in </w:t>
      </w:r>
      <w:r>
        <w:rPr>
          <w:rFonts w:ascii="Times New Roman" w:eastAsia="Times New Roman" w:hAnsi="Times New Roman" w:cs="Times New Roman"/>
          <w:sz w:val="24"/>
          <w:szCs w:val="24"/>
        </w:rPr>
        <w:t xml:space="preserve">the </w:t>
      </w:r>
      <w:r w:rsidRPr="003A0FC9">
        <w:rPr>
          <w:rFonts w:ascii="Times New Roman" w:eastAsia="Times New Roman" w:hAnsi="Times New Roman" w:cs="Times New Roman"/>
          <w:sz w:val="24"/>
          <w:szCs w:val="24"/>
        </w:rPr>
        <w:t>recent years. It is</w:t>
      </w:r>
      <w:r>
        <w:rPr>
          <w:rFonts w:ascii="Times New Roman" w:eastAsia="Times New Roman" w:hAnsi="Times New Roman" w:cs="Times New Roman"/>
          <w:sz w:val="24"/>
          <w:szCs w:val="24"/>
        </w:rPr>
        <w:t>,</w:t>
      </w:r>
      <w:r w:rsidRPr="003A0FC9">
        <w:rPr>
          <w:rFonts w:ascii="Times New Roman" w:eastAsia="Times New Roman" w:hAnsi="Times New Roman" w:cs="Times New Roman"/>
          <w:sz w:val="24"/>
          <w:szCs w:val="24"/>
        </w:rPr>
        <w:t xml:space="preserve"> therefore</w:t>
      </w:r>
      <w:r>
        <w:rPr>
          <w:rFonts w:ascii="Times New Roman" w:eastAsia="Times New Roman" w:hAnsi="Times New Roman" w:cs="Times New Roman"/>
          <w:sz w:val="24"/>
          <w:szCs w:val="24"/>
        </w:rPr>
        <w:t>,</w:t>
      </w:r>
      <w:r w:rsidRPr="003A0FC9">
        <w:rPr>
          <w:rFonts w:ascii="Times New Roman" w:eastAsia="Times New Roman" w:hAnsi="Times New Roman" w:cs="Times New Roman"/>
          <w:sz w:val="24"/>
          <w:szCs w:val="24"/>
        </w:rPr>
        <w:t xml:space="preserve"> not clear whether financial development has contributed to </w:t>
      </w:r>
      <w:r>
        <w:rPr>
          <w:rFonts w:ascii="Times New Roman" w:eastAsia="Times New Roman" w:hAnsi="Times New Roman" w:cs="Times New Roman"/>
          <w:sz w:val="24"/>
          <w:szCs w:val="24"/>
        </w:rPr>
        <w:t>the stimulation of</w:t>
      </w:r>
      <w:r w:rsidRPr="003A0FC9">
        <w:rPr>
          <w:rFonts w:ascii="Times New Roman" w:eastAsia="Times New Roman" w:hAnsi="Times New Roman" w:cs="Times New Roman"/>
          <w:sz w:val="24"/>
          <w:szCs w:val="24"/>
        </w:rPr>
        <w:t xml:space="preserve"> economic growth </w:t>
      </w:r>
      <w:r>
        <w:rPr>
          <w:rFonts w:ascii="Times New Roman" w:eastAsia="Times New Roman" w:hAnsi="Times New Roman" w:cs="Times New Roman"/>
          <w:sz w:val="24"/>
          <w:szCs w:val="24"/>
        </w:rPr>
        <w:t>by</w:t>
      </w:r>
      <w:r w:rsidRPr="003A0FC9">
        <w:rPr>
          <w:rFonts w:ascii="Times New Roman" w:eastAsia="Times New Roman" w:hAnsi="Times New Roman" w:cs="Times New Roman"/>
          <w:sz w:val="24"/>
          <w:szCs w:val="24"/>
        </w:rPr>
        <w:t xml:space="preserve"> increasing </w:t>
      </w:r>
      <w:r>
        <w:rPr>
          <w:rFonts w:ascii="Times New Roman" w:eastAsia="Times New Roman" w:hAnsi="Times New Roman" w:cs="Times New Roman"/>
          <w:sz w:val="24"/>
          <w:szCs w:val="24"/>
        </w:rPr>
        <w:t xml:space="preserve">the growth in </w:t>
      </w:r>
      <w:r w:rsidRPr="003A0FC9">
        <w:rPr>
          <w:rFonts w:ascii="Times New Roman" w:eastAsia="Times New Roman" w:hAnsi="Times New Roman" w:cs="Times New Roman"/>
          <w:sz w:val="24"/>
          <w:szCs w:val="24"/>
        </w:rPr>
        <w:t>total factor productivity.</w:t>
      </w:r>
    </w:p>
    <w:p w14:paraId="36CE04DA" w14:textId="668AB996" w:rsidR="00AB1527" w:rsidRPr="003A0FC9" w:rsidRDefault="00AB1527" w:rsidP="008E4E1C">
      <w:pPr>
        <w:spacing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w:t>
      </w:r>
      <w:r w:rsidRPr="003A0FC9">
        <w:rPr>
          <w:rFonts w:ascii="Times New Roman" w:eastAsia="Times New Roman" w:hAnsi="Times New Roman" w:cs="Times New Roman"/>
          <w:sz w:val="24"/>
          <w:szCs w:val="24"/>
        </w:rPr>
        <w:t xml:space="preserve"> main thrust in this thesis</w:t>
      </w:r>
      <w:r>
        <w:rPr>
          <w:rFonts w:ascii="Times New Roman" w:eastAsia="Times New Roman" w:hAnsi="Times New Roman" w:cs="Times New Roman"/>
          <w:sz w:val="24"/>
          <w:szCs w:val="24"/>
        </w:rPr>
        <w:t>,</w:t>
      </w:r>
      <w:r w:rsidRPr="003A0FC9">
        <w:rPr>
          <w:rFonts w:ascii="Times New Roman" w:eastAsia="Times New Roman" w:hAnsi="Times New Roman" w:cs="Times New Roman"/>
          <w:sz w:val="24"/>
          <w:szCs w:val="24"/>
        </w:rPr>
        <w:t xml:space="preserve"> to determine whether there is</w:t>
      </w:r>
      <w:r>
        <w:rPr>
          <w:rFonts w:ascii="Times New Roman" w:eastAsia="Times New Roman" w:hAnsi="Times New Roman" w:cs="Times New Roman"/>
          <w:sz w:val="24"/>
          <w:szCs w:val="24"/>
        </w:rPr>
        <w:t xml:space="preserve"> a</w:t>
      </w:r>
      <w:r w:rsidRPr="003A0FC9">
        <w:rPr>
          <w:rFonts w:ascii="Times New Roman" w:eastAsia="Times New Roman" w:hAnsi="Times New Roman" w:cs="Times New Roman"/>
          <w:sz w:val="24"/>
          <w:szCs w:val="24"/>
        </w:rPr>
        <w:t xml:space="preserve"> nonlinearity between financial development and productivity growth and whether financial development dampens productivity growth beyond a certain threshold, is important </w:t>
      </w:r>
      <w:r>
        <w:rPr>
          <w:rFonts w:ascii="Times New Roman" w:eastAsia="Times New Roman" w:hAnsi="Times New Roman" w:cs="Times New Roman"/>
          <w:sz w:val="24"/>
          <w:szCs w:val="24"/>
        </w:rPr>
        <w:t xml:space="preserve">to be investigated </w:t>
      </w:r>
      <w:r w:rsidRPr="003A0FC9">
        <w:rPr>
          <w:rFonts w:ascii="Times New Roman" w:eastAsia="Times New Roman" w:hAnsi="Times New Roman" w:cs="Times New Roman"/>
          <w:sz w:val="24"/>
          <w:szCs w:val="24"/>
        </w:rPr>
        <w:t xml:space="preserve">for two reasons. </w:t>
      </w:r>
      <w:r w:rsidR="00562990">
        <w:rPr>
          <w:rFonts w:ascii="Times New Roman" w:eastAsia="Times New Roman" w:hAnsi="Times New Roman" w:cs="Times New Roman"/>
          <w:sz w:val="24"/>
          <w:szCs w:val="24"/>
        </w:rPr>
        <w:t>K</w:t>
      </w:r>
      <w:r w:rsidRPr="003A0FC9">
        <w:rPr>
          <w:rFonts w:ascii="Times New Roman" w:eastAsia="Times New Roman" w:hAnsi="Times New Roman" w:cs="Times New Roman"/>
          <w:sz w:val="24"/>
          <w:szCs w:val="24"/>
        </w:rPr>
        <w:t xml:space="preserve">nowledge on the threshold level of financial development </w:t>
      </w:r>
      <w:r w:rsidR="00562990">
        <w:rPr>
          <w:rFonts w:ascii="Times New Roman" w:eastAsia="Times New Roman" w:hAnsi="Times New Roman" w:cs="Times New Roman"/>
          <w:sz w:val="24"/>
          <w:szCs w:val="24"/>
        </w:rPr>
        <w:t>w</w:t>
      </w:r>
      <w:r w:rsidRPr="003A0FC9">
        <w:rPr>
          <w:rFonts w:ascii="Times New Roman" w:eastAsia="Times New Roman" w:hAnsi="Times New Roman" w:cs="Times New Roman"/>
          <w:sz w:val="24"/>
          <w:szCs w:val="24"/>
        </w:rPr>
        <w:t xml:space="preserve">ill allow policy makers to direct </w:t>
      </w:r>
      <w:r>
        <w:rPr>
          <w:rFonts w:ascii="Times New Roman" w:eastAsia="Times New Roman" w:hAnsi="Times New Roman" w:cs="Times New Roman"/>
          <w:sz w:val="24"/>
          <w:szCs w:val="24"/>
        </w:rPr>
        <w:t xml:space="preserve">their </w:t>
      </w:r>
      <w:r w:rsidRPr="003A0FC9">
        <w:rPr>
          <w:rFonts w:ascii="Times New Roman" w:eastAsia="Times New Roman" w:hAnsi="Times New Roman" w:cs="Times New Roman"/>
          <w:sz w:val="24"/>
          <w:szCs w:val="24"/>
        </w:rPr>
        <w:t>efforts towards the adoption of measures that will determine the appropriate type and quality of finance, instead of focusing on</w:t>
      </w:r>
      <w:r>
        <w:rPr>
          <w:rFonts w:ascii="Times New Roman" w:eastAsia="Times New Roman" w:hAnsi="Times New Roman" w:cs="Times New Roman"/>
          <w:sz w:val="24"/>
          <w:szCs w:val="24"/>
        </w:rPr>
        <w:t xml:space="preserve"> the</w:t>
      </w:r>
      <w:r w:rsidRPr="003A0FC9">
        <w:rPr>
          <w:rFonts w:ascii="Times New Roman" w:eastAsia="Times New Roman" w:hAnsi="Times New Roman" w:cs="Times New Roman"/>
          <w:sz w:val="24"/>
          <w:szCs w:val="24"/>
        </w:rPr>
        <w:t xml:space="preserve"> measures that will further expand the financial system to support economic development (Law and Singh, 2014). Such policy responses are needed to increase </w:t>
      </w:r>
      <w:r>
        <w:rPr>
          <w:rFonts w:ascii="Times New Roman" w:eastAsia="Times New Roman" w:hAnsi="Times New Roman" w:cs="Times New Roman"/>
          <w:sz w:val="24"/>
          <w:szCs w:val="24"/>
        </w:rPr>
        <w:t xml:space="preserve">the </w:t>
      </w:r>
      <w:r w:rsidRPr="003A0FC9">
        <w:rPr>
          <w:rFonts w:ascii="Times New Roman" w:eastAsia="Times New Roman" w:hAnsi="Times New Roman" w:cs="Times New Roman"/>
          <w:sz w:val="24"/>
          <w:szCs w:val="24"/>
        </w:rPr>
        <w:t>access to financial services and improve efficiency in delivery to ensure inclusive growth and alleviate poverty in these economies.</w:t>
      </w:r>
    </w:p>
    <w:p w14:paraId="189CE974" w14:textId="37F8EF3B" w:rsidR="00AB1527" w:rsidRPr="003A0FC9" w:rsidRDefault="00AB1527" w:rsidP="008E4E1C">
      <w:pPr>
        <w:spacing w:after="240" w:line="360" w:lineRule="auto"/>
        <w:jc w:val="both"/>
        <w:rPr>
          <w:rFonts w:ascii="Times New Roman" w:eastAsia="Times New Roman" w:hAnsi="Times New Roman" w:cs="Times New Roman"/>
          <w:sz w:val="24"/>
          <w:szCs w:val="24"/>
        </w:rPr>
      </w:pPr>
      <w:r w:rsidRPr="003A0FC9">
        <w:rPr>
          <w:rFonts w:ascii="Times New Roman" w:eastAsia="Times New Roman" w:hAnsi="Times New Roman" w:cs="Times New Roman"/>
          <w:sz w:val="24"/>
          <w:szCs w:val="24"/>
        </w:rPr>
        <w:t xml:space="preserve">In a similar vein, determining the threshold level of financial development will allow </w:t>
      </w:r>
      <w:r>
        <w:rPr>
          <w:rFonts w:ascii="Times New Roman" w:eastAsia="Times New Roman" w:hAnsi="Times New Roman" w:cs="Times New Roman"/>
          <w:sz w:val="24"/>
          <w:szCs w:val="24"/>
        </w:rPr>
        <w:t xml:space="preserve">the </w:t>
      </w:r>
      <w:r w:rsidRPr="003A0FC9">
        <w:rPr>
          <w:rFonts w:ascii="Times New Roman" w:eastAsia="Times New Roman" w:hAnsi="Times New Roman" w:cs="Times New Roman"/>
          <w:sz w:val="24"/>
          <w:szCs w:val="24"/>
        </w:rPr>
        <w:t>policy makers to consider alternative strategies that could possibly enhance productivity growth</w:t>
      </w:r>
      <w:r>
        <w:rPr>
          <w:rFonts w:ascii="Times New Roman" w:eastAsia="Times New Roman" w:hAnsi="Times New Roman" w:cs="Times New Roman"/>
          <w:sz w:val="24"/>
          <w:szCs w:val="24"/>
        </w:rPr>
        <w:t>,</w:t>
      </w:r>
      <w:r w:rsidRPr="003A0FC9">
        <w:rPr>
          <w:rFonts w:ascii="Times New Roman" w:eastAsia="Times New Roman" w:hAnsi="Times New Roman" w:cs="Times New Roman"/>
          <w:sz w:val="24"/>
          <w:szCs w:val="24"/>
        </w:rPr>
        <w:t xml:space="preserve"> once such a threshold is attained. Overall, the study will contribute to the development of policies and strategies that seek to promote productivity growth in emerging economies. This study will provide evidence that will allow us to assess the extent to which financial development has contributed to raising </w:t>
      </w:r>
      <w:r>
        <w:rPr>
          <w:rFonts w:ascii="Times New Roman" w:eastAsia="Times New Roman" w:hAnsi="Times New Roman" w:cs="Times New Roman"/>
          <w:sz w:val="24"/>
          <w:szCs w:val="24"/>
        </w:rPr>
        <w:t xml:space="preserve">the </w:t>
      </w:r>
      <w:r w:rsidRPr="003A0FC9">
        <w:rPr>
          <w:rFonts w:ascii="Times New Roman" w:eastAsia="Times New Roman" w:hAnsi="Times New Roman" w:cs="Times New Roman"/>
          <w:sz w:val="24"/>
          <w:szCs w:val="24"/>
        </w:rPr>
        <w:t xml:space="preserve">productivity growth </w:t>
      </w:r>
      <w:r>
        <w:rPr>
          <w:rFonts w:ascii="Times New Roman" w:eastAsia="Times New Roman" w:hAnsi="Times New Roman" w:cs="Times New Roman"/>
          <w:sz w:val="24"/>
          <w:szCs w:val="24"/>
        </w:rPr>
        <w:t>and</w:t>
      </w:r>
      <w:r w:rsidRPr="003A0FC9">
        <w:rPr>
          <w:rFonts w:ascii="Times New Roman" w:eastAsia="Times New Roman" w:hAnsi="Times New Roman" w:cs="Times New Roman"/>
          <w:sz w:val="24"/>
          <w:szCs w:val="24"/>
        </w:rPr>
        <w:t xml:space="preserve"> improve </w:t>
      </w:r>
      <w:r>
        <w:rPr>
          <w:rFonts w:ascii="Times New Roman" w:eastAsia="Times New Roman" w:hAnsi="Times New Roman" w:cs="Times New Roman"/>
          <w:sz w:val="24"/>
          <w:szCs w:val="24"/>
        </w:rPr>
        <w:t xml:space="preserve">the </w:t>
      </w:r>
      <w:r w:rsidRPr="003A0FC9">
        <w:rPr>
          <w:rFonts w:ascii="Times New Roman" w:eastAsia="Times New Roman" w:hAnsi="Times New Roman" w:cs="Times New Roman"/>
          <w:sz w:val="24"/>
          <w:szCs w:val="24"/>
        </w:rPr>
        <w:t>living standards in emerging market economies.</w:t>
      </w:r>
    </w:p>
    <w:p w14:paraId="56B4BAD7" w14:textId="77777777" w:rsidR="00AB1527" w:rsidRPr="003A0FC9" w:rsidRDefault="00AB1527" w:rsidP="006C1DD4">
      <w:pPr>
        <w:pStyle w:val="Heading2"/>
        <w:rPr>
          <w:rFonts w:eastAsia="Times New Roman"/>
        </w:rPr>
      </w:pPr>
      <w:bookmarkStart w:id="11" w:name="_Toc501031457"/>
      <w:r w:rsidRPr="003A0FC9">
        <w:rPr>
          <w:rFonts w:eastAsia="Times New Roman"/>
        </w:rPr>
        <w:t>1.6 Scope of the study</w:t>
      </w:r>
      <w:bookmarkEnd w:id="11"/>
    </w:p>
    <w:p w14:paraId="6E70B0AE" w14:textId="72FE8A3A" w:rsidR="00AB1527" w:rsidRPr="003A0FC9" w:rsidRDefault="00AB1527" w:rsidP="008E4E1C">
      <w:pPr>
        <w:spacing w:after="240" w:line="360" w:lineRule="auto"/>
        <w:jc w:val="both"/>
        <w:rPr>
          <w:rFonts w:ascii="Times New Roman" w:eastAsia="Times New Roman" w:hAnsi="Times New Roman" w:cs="Times New Roman"/>
          <w:sz w:val="24"/>
          <w:szCs w:val="24"/>
        </w:rPr>
      </w:pPr>
      <w:r w:rsidRPr="003A0FC9">
        <w:rPr>
          <w:rFonts w:ascii="Times New Roman" w:eastAsia="Times New Roman" w:hAnsi="Times New Roman" w:cs="Times New Roman"/>
          <w:sz w:val="24"/>
          <w:szCs w:val="24"/>
        </w:rPr>
        <w:t xml:space="preserve">This thesis assesses the financial development-productivity growth linkage in emerging markets using </w:t>
      </w:r>
      <w:r>
        <w:rPr>
          <w:rFonts w:ascii="Times New Roman" w:eastAsia="Times New Roman" w:hAnsi="Times New Roman" w:cs="Times New Roman"/>
          <w:sz w:val="24"/>
          <w:szCs w:val="24"/>
        </w:rPr>
        <w:t xml:space="preserve">the </w:t>
      </w:r>
      <w:r w:rsidRPr="003A0FC9">
        <w:rPr>
          <w:rFonts w:ascii="Times New Roman" w:eastAsia="Times New Roman" w:hAnsi="Times New Roman" w:cs="Times New Roman"/>
          <w:sz w:val="24"/>
          <w:szCs w:val="24"/>
        </w:rPr>
        <w:t xml:space="preserve">aggregate productivity growth data covering the period </w:t>
      </w:r>
      <w:r>
        <w:rPr>
          <w:rFonts w:ascii="Times New Roman" w:eastAsia="Times New Roman" w:hAnsi="Times New Roman" w:cs="Times New Roman"/>
          <w:sz w:val="24"/>
          <w:szCs w:val="24"/>
        </w:rPr>
        <w:t xml:space="preserve">between </w:t>
      </w:r>
      <w:r w:rsidRPr="003A0FC9">
        <w:rPr>
          <w:rFonts w:ascii="Times New Roman" w:eastAsia="Times New Roman" w:hAnsi="Times New Roman" w:cs="Times New Roman"/>
          <w:sz w:val="24"/>
          <w:szCs w:val="24"/>
        </w:rPr>
        <w:t>1996 -2014. While the relationship between financial development and growth has been investigated for a broad sample of countries, it is more useful to consider</w:t>
      </w:r>
      <w:r>
        <w:rPr>
          <w:rFonts w:ascii="Times New Roman" w:eastAsia="Times New Roman" w:hAnsi="Times New Roman" w:cs="Times New Roman"/>
          <w:sz w:val="24"/>
          <w:szCs w:val="24"/>
        </w:rPr>
        <w:t xml:space="preserve"> the</w:t>
      </w:r>
      <w:r w:rsidRPr="003A0FC9">
        <w:rPr>
          <w:rFonts w:ascii="Times New Roman" w:eastAsia="Times New Roman" w:hAnsi="Times New Roman" w:cs="Times New Roman"/>
          <w:sz w:val="24"/>
          <w:szCs w:val="24"/>
        </w:rPr>
        <w:t xml:space="preserve"> sub-groups in order to mitigate </w:t>
      </w:r>
      <w:r>
        <w:rPr>
          <w:rFonts w:ascii="Times New Roman" w:eastAsia="Times New Roman" w:hAnsi="Times New Roman" w:cs="Times New Roman"/>
          <w:sz w:val="24"/>
          <w:szCs w:val="24"/>
        </w:rPr>
        <w:t xml:space="preserve">the </w:t>
      </w:r>
      <w:r w:rsidRPr="003A0FC9">
        <w:rPr>
          <w:rFonts w:ascii="Times New Roman" w:eastAsia="Times New Roman" w:hAnsi="Times New Roman" w:cs="Times New Roman"/>
          <w:sz w:val="24"/>
          <w:szCs w:val="24"/>
        </w:rPr>
        <w:t>potential heterogeneity bias.</w:t>
      </w:r>
    </w:p>
    <w:p w14:paraId="7436F699" w14:textId="2A09D200" w:rsidR="00AB1527" w:rsidRPr="003A0FC9" w:rsidRDefault="00AB1527" w:rsidP="008E4E1C">
      <w:pPr>
        <w:spacing w:after="240" w:line="360" w:lineRule="auto"/>
        <w:jc w:val="both"/>
        <w:rPr>
          <w:rFonts w:ascii="Times New Roman" w:eastAsia="Times New Roman" w:hAnsi="Times New Roman" w:cs="Times New Roman"/>
          <w:sz w:val="24"/>
          <w:szCs w:val="24"/>
        </w:rPr>
      </w:pPr>
      <w:r w:rsidRPr="003A0FC9">
        <w:rPr>
          <w:rFonts w:ascii="Times New Roman" w:eastAsia="Times New Roman" w:hAnsi="Times New Roman" w:cs="Times New Roman"/>
          <w:sz w:val="24"/>
          <w:szCs w:val="24"/>
        </w:rPr>
        <w:t xml:space="preserve">The choice of the study period </w:t>
      </w:r>
      <w:r>
        <w:rPr>
          <w:rFonts w:ascii="Times New Roman" w:eastAsia="Times New Roman" w:hAnsi="Times New Roman" w:cs="Times New Roman"/>
          <w:sz w:val="24"/>
          <w:szCs w:val="24"/>
        </w:rPr>
        <w:t>was</w:t>
      </w:r>
      <w:r w:rsidRPr="003A0FC9">
        <w:rPr>
          <w:rFonts w:ascii="Times New Roman" w:eastAsia="Times New Roman" w:hAnsi="Times New Roman" w:cs="Times New Roman"/>
          <w:sz w:val="24"/>
          <w:szCs w:val="24"/>
        </w:rPr>
        <w:t xml:space="preserve"> driven by two factors. First, recent evidence</w:t>
      </w:r>
      <w:r>
        <w:rPr>
          <w:rFonts w:ascii="Times New Roman" w:eastAsia="Times New Roman" w:hAnsi="Times New Roman" w:cs="Times New Roman"/>
          <w:sz w:val="24"/>
          <w:szCs w:val="24"/>
        </w:rPr>
        <w:t>s</w:t>
      </w:r>
      <w:r w:rsidRPr="003A0FC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have shown</w:t>
      </w:r>
      <w:r w:rsidRPr="003A0FC9">
        <w:rPr>
          <w:rFonts w:ascii="Times New Roman" w:eastAsia="Times New Roman" w:hAnsi="Times New Roman" w:cs="Times New Roman"/>
          <w:sz w:val="24"/>
          <w:szCs w:val="24"/>
        </w:rPr>
        <w:t xml:space="preserve"> a dampening effect of financial development on growth when </w:t>
      </w:r>
      <w:r>
        <w:rPr>
          <w:rFonts w:ascii="Times New Roman" w:eastAsia="Times New Roman" w:hAnsi="Times New Roman" w:cs="Times New Roman"/>
          <w:sz w:val="24"/>
          <w:szCs w:val="24"/>
        </w:rPr>
        <w:t xml:space="preserve">considering the </w:t>
      </w:r>
      <w:r w:rsidRPr="003A0FC9">
        <w:rPr>
          <w:rFonts w:ascii="Times New Roman" w:eastAsia="Times New Roman" w:hAnsi="Times New Roman" w:cs="Times New Roman"/>
          <w:sz w:val="24"/>
          <w:szCs w:val="24"/>
        </w:rPr>
        <w:t xml:space="preserve">post-1990 data in the analysis (see Sahay et al., 2015). </w:t>
      </w:r>
      <w:r>
        <w:rPr>
          <w:rFonts w:ascii="Times New Roman" w:eastAsia="Times New Roman" w:hAnsi="Times New Roman" w:cs="Times New Roman"/>
          <w:sz w:val="24"/>
          <w:szCs w:val="24"/>
        </w:rPr>
        <w:t>This</w:t>
      </w:r>
      <w:r w:rsidRPr="003A0FC9">
        <w:rPr>
          <w:rFonts w:ascii="Times New Roman" w:eastAsia="Times New Roman" w:hAnsi="Times New Roman" w:cs="Times New Roman"/>
          <w:sz w:val="24"/>
          <w:szCs w:val="24"/>
        </w:rPr>
        <w:t xml:space="preserve"> evidence suggest</w:t>
      </w:r>
      <w:r>
        <w:rPr>
          <w:rFonts w:ascii="Times New Roman" w:eastAsia="Times New Roman" w:hAnsi="Times New Roman" w:cs="Times New Roman"/>
          <w:sz w:val="24"/>
          <w:szCs w:val="24"/>
        </w:rPr>
        <w:t>ed</w:t>
      </w:r>
      <w:r w:rsidRPr="003A0FC9">
        <w:rPr>
          <w:rFonts w:ascii="Times New Roman" w:eastAsia="Times New Roman" w:hAnsi="Times New Roman" w:cs="Times New Roman"/>
          <w:sz w:val="24"/>
          <w:szCs w:val="24"/>
        </w:rPr>
        <w:t xml:space="preserve"> that the </w:t>
      </w:r>
      <w:r w:rsidRPr="003A0FC9">
        <w:rPr>
          <w:rFonts w:ascii="Times New Roman" w:eastAsia="Times New Roman" w:hAnsi="Times New Roman" w:cs="Times New Roman"/>
          <w:sz w:val="24"/>
          <w:szCs w:val="24"/>
        </w:rPr>
        <w:lastRenderedPageBreak/>
        <w:t xml:space="preserve">positive linkage between financial development and growth disappears when </w:t>
      </w:r>
      <w:r>
        <w:rPr>
          <w:rFonts w:ascii="Times New Roman" w:eastAsia="Times New Roman" w:hAnsi="Times New Roman" w:cs="Times New Roman"/>
          <w:sz w:val="24"/>
          <w:szCs w:val="24"/>
        </w:rPr>
        <w:t xml:space="preserve">the </w:t>
      </w:r>
      <w:r w:rsidRPr="003A0FC9">
        <w:rPr>
          <w:rFonts w:ascii="Times New Roman" w:eastAsia="Times New Roman" w:hAnsi="Times New Roman" w:cs="Times New Roman"/>
          <w:sz w:val="24"/>
          <w:szCs w:val="24"/>
        </w:rPr>
        <w:t>post-1990 data is used.</w:t>
      </w:r>
    </w:p>
    <w:p w14:paraId="7B9F414B" w14:textId="55CA1873" w:rsidR="00AB1527" w:rsidRDefault="00AB1527" w:rsidP="008E4E1C">
      <w:pPr>
        <w:spacing w:after="240" w:line="360" w:lineRule="auto"/>
        <w:jc w:val="both"/>
        <w:rPr>
          <w:rFonts w:ascii="Times New Roman" w:eastAsia="MS Mincho" w:hAnsi="Times New Roman" w:cs="Times New Roman"/>
          <w:sz w:val="24"/>
          <w:szCs w:val="24"/>
        </w:rPr>
      </w:pPr>
      <w:r w:rsidRPr="003A0FC9">
        <w:rPr>
          <w:rFonts w:ascii="Times New Roman" w:eastAsia="MS Mincho" w:hAnsi="Times New Roman" w:cs="Times New Roman"/>
          <w:sz w:val="24"/>
          <w:szCs w:val="24"/>
        </w:rPr>
        <w:t>A second factor relates to the availability of data on the widely</w:t>
      </w:r>
      <w:r>
        <w:rPr>
          <w:rFonts w:ascii="Times New Roman" w:eastAsia="MS Mincho" w:hAnsi="Times New Roman" w:cs="Times New Roman"/>
          <w:sz w:val="24"/>
          <w:szCs w:val="24"/>
        </w:rPr>
        <w:t>-</w:t>
      </w:r>
      <w:r w:rsidRPr="003A0FC9">
        <w:rPr>
          <w:rFonts w:ascii="Times New Roman" w:eastAsia="MS Mincho" w:hAnsi="Times New Roman" w:cs="Times New Roman"/>
          <w:sz w:val="24"/>
          <w:szCs w:val="24"/>
        </w:rPr>
        <w:t xml:space="preserve">used measures of institutional quality i.e. Kauffman’s indicators of the World Bank. The quality of </w:t>
      </w:r>
      <w:r>
        <w:rPr>
          <w:rFonts w:ascii="Times New Roman" w:eastAsia="MS Mincho" w:hAnsi="Times New Roman" w:cs="Times New Roman"/>
          <w:sz w:val="24"/>
          <w:szCs w:val="24"/>
        </w:rPr>
        <w:t xml:space="preserve">the </w:t>
      </w:r>
      <w:r w:rsidRPr="003A0FC9">
        <w:rPr>
          <w:rFonts w:ascii="Times New Roman" w:eastAsia="MS Mincho" w:hAnsi="Times New Roman" w:cs="Times New Roman"/>
          <w:sz w:val="24"/>
          <w:szCs w:val="24"/>
        </w:rPr>
        <w:t>institutions is an important control variable used in assessing the relationship between financial development and productivity growth.</w:t>
      </w:r>
    </w:p>
    <w:p w14:paraId="2798C1E0" w14:textId="77777777" w:rsidR="00AB1527" w:rsidRPr="003A0FC9" w:rsidRDefault="00AB1527" w:rsidP="006C1DD4">
      <w:pPr>
        <w:pStyle w:val="Heading2"/>
        <w:rPr>
          <w:rFonts w:eastAsia="Times New Roman"/>
        </w:rPr>
      </w:pPr>
      <w:bookmarkStart w:id="12" w:name="_Toc501031458"/>
      <w:r w:rsidRPr="003A0FC9">
        <w:rPr>
          <w:rFonts w:eastAsia="Times New Roman"/>
        </w:rPr>
        <w:t>1.7 Organization of the study</w:t>
      </w:r>
      <w:bookmarkEnd w:id="12"/>
    </w:p>
    <w:p w14:paraId="2A5269F2" w14:textId="39C6F96A" w:rsidR="00AB1527" w:rsidRDefault="00AB1527" w:rsidP="008E4E1C">
      <w:pPr>
        <w:spacing w:after="240" w:line="360" w:lineRule="auto"/>
        <w:jc w:val="both"/>
        <w:rPr>
          <w:rFonts w:ascii="Times New Roman" w:eastAsia="Times New Roman" w:hAnsi="Times New Roman" w:cs="Times New Roman"/>
          <w:sz w:val="24"/>
          <w:szCs w:val="24"/>
        </w:rPr>
      </w:pPr>
      <w:r w:rsidRPr="003A0FC9">
        <w:rPr>
          <w:rFonts w:ascii="Times New Roman" w:eastAsia="Times New Roman" w:hAnsi="Times New Roman" w:cs="Times New Roman"/>
          <w:sz w:val="24"/>
          <w:szCs w:val="24"/>
        </w:rPr>
        <w:t xml:space="preserve">Following the introduction in </w:t>
      </w:r>
      <w:r>
        <w:rPr>
          <w:rFonts w:ascii="Times New Roman" w:eastAsia="Times New Roman" w:hAnsi="Times New Roman" w:cs="Times New Roman"/>
          <w:sz w:val="24"/>
          <w:szCs w:val="24"/>
        </w:rPr>
        <w:t>C</w:t>
      </w:r>
      <w:r w:rsidRPr="003A0FC9">
        <w:rPr>
          <w:rFonts w:ascii="Times New Roman" w:eastAsia="Times New Roman" w:hAnsi="Times New Roman" w:cs="Times New Roman"/>
          <w:sz w:val="24"/>
          <w:szCs w:val="24"/>
        </w:rPr>
        <w:t xml:space="preserve">hapter </w:t>
      </w:r>
      <w:r>
        <w:rPr>
          <w:rFonts w:ascii="Times New Roman" w:eastAsia="Times New Roman" w:hAnsi="Times New Roman" w:cs="Times New Roman"/>
          <w:sz w:val="24"/>
          <w:szCs w:val="24"/>
        </w:rPr>
        <w:t>O</w:t>
      </w:r>
      <w:r w:rsidRPr="003A0FC9">
        <w:rPr>
          <w:rFonts w:ascii="Times New Roman" w:eastAsia="Times New Roman" w:hAnsi="Times New Roman" w:cs="Times New Roman"/>
          <w:sz w:val="24"/>
          <w:szCs w:val="24"/>
        </w:rPr>
        <w:t xml:space="preserve">ne, </w:t>
      </w:r>
      <w:r>
        <w:rPr>
          <w:rFonts w:ascii="Times New Roman" w:eastAsia="Times New Roman" w:hAnsi="Times New Roman" w:cs="Times New Roman"/>
          <w:sz w:val="24"/>
          <w:szCs w:val="24"/>
        </w:rPr>
        <w:t>C</w:t>
      </w:r>
      <w:r w:rsidRPr="003A0FC9">
        <w:rPr>
          <w:rFonts w:ascii="Times New Roman" w:eastAsia="Times New Roman" w:hAnsi="Times New Roman" w:cs="Times New Roman"/>
          <w:sz w:val="24"/>
          <w:szCs w:val="24"/>
        </w:rPr>
        <w:t xml:space="preserve">hapter </w:t>
      </w:r>
      <w:r>
        <w:rPr>
          <w:rFonts w:ascii="Times New Roman" w:eastAsia="Times New Roman" w:hAnsi="Times New Roman" w:cs="Times New Roman"/>
          <w:sz w:val="24"/>
          <w:szCs w:val="24"/>
        </w:rPr>
        <w:t>T</w:t>
      </w:r>
      <w:r w:rsidRPr="003A0FC9">
        <w:rPr>
          <w:rFonts w:ascii="Times New Roman" w:eastAsia="Times New Roman" w:hAnsi="Times New Roman" w:cs="Times New Roman"/>
          <w:sz w:val="24"/>
          <w:szCs w:val="24"/>
        </w:rPr>
        <w:t xml:space="preserve">wo reviews the literature on the financial development-growth linkage. The methods are discussed in </w:t>
      </w:r>
      <w:r>
        <w:rPr>
          <w:rFonts w:ascii="Times New Roman" w:eastAsia="Times New Roman" w:hAnsi="Times New Roman" w:cs="Times New Roman"/>
          <w:sz w:val="24"/>
          <w:szCs w:val="24"/>
        </w:rPr>
        <w:t>C</w:t>
      </w:r>
      <w:r w:rsidRPr="003A0FC9">
        <w:rPr>
          <w:rFonts w:ascii="Times New Roman" w:eastAsia="Times New Roman" w:hAnsi="Times New Roman" w:cs="Times New Roman"/>
          <w:sz w:val="24"/>
          <w:szCs w:val="24"/>
        </w:rPr>
        <w:t xml:space="preserve">hapter </w:t>
      </w:r>
      <w:r>
        <w:rPr>
          <w:rFonts w:ascii="Times New Roman" w:eastAsia="Times New Roman" w:hAnsi="Times New Roman" w:cs="Times New Roman"/>
          <w:sz w:val="24"/>
          <w:szCs w:val="24"/>
        </w:rPr>
        <w:t>T</w:t>
      </w:r>
      <w:r w:rsidRPr="003A0FC9">
        <w:rPr>
          <w:rFonts w:ascii="Times New Roman" w:eastAsia="Times New Roman" w:hAnsi="Times New Roman" w:cs="Times New Roman"/>
          <w:sz w:val="24"/>
          <w:szCs w:val="24"/>
        </w:rPr>
        <w:t xml:space="preserve">hree. Chapter </w:t>
      </w:r>
      <w:r>
        <w:rPr>
          <w:rFonts w:ascii="Times New Roman" w:eastAsia="Times New Roman" w:hAnsi="Times New Roman" w:cs="Times New Roman"/>
          <w:sz w:val="24"/>
          <w:szCs w:val="24"/>
        </w:rPr>
        <w:t>F</w:t>
      </w:r>
      <w:r w:rsidRPr="003A0FC9">
        <w:rPr>
          <w:rFonts w:ascii="Times New Roman" w:eastAsia="Times New Roman" w:hAnsi="Times New Roman" w:cs="Times New Roman"/>
          <w:sz w:val="24"/>
          <w:szCs w:val="24"/>
        </w:rPr>
        <w:t xml:space="preserve">our provides </w:t>
      </w:r>
      <w:r>
        <w:rPr>
          <w:rFonts w:ascii="Times New Roman" w:eastAsia="Times New Roman" w:hAnsi="Times New Roman" w:cs="Times New Roman"/>
          <w:sz w:val="24"/>
          <w:szCs w:val="24"/>
        </w:rPr>
        <w:t>an</w:t>
      </w:r>
      <w:r w:rsidRPr="003A0FC9">
        <w:rPr>
          <w:rFonts w:ascii="Times New Roman" w:eastAsia="Times New Roman" w:hAnsi="Times New Roman" w:cs="Times New Roman"/>
          <w:sz w:val="24"/>
          <w:szCs w:val="24"/>
        </w:rPr>
        <w:t xml:space="preserve"> analysis of the summary statistics and a trend analysis of </w:t>
      </w:r>
      <w:r>
        <w:rPr>
          <w:rFonts w:ascii="Times New Roman" w:eastAsia="Times New Roman" w:hAnsi="Times New Roman" w:cs="Times New Roman"/>
          <w:sz w:val="24"/>
          <w:szCs w:val="24"/>
        </w:rPr>
        <w:t xml:space="preserve">the </w:t>
      </w:r>
      <w:r w:rsidRPr="003A0FC9">
        <w:rPr>
          <w:rFonts w:ascii="Times New Roman" w:eastAsia="Times New Roman" w:hAnsi="Times New Roman" w:cs="Times New Roman"/>
          <w:sz w:val="24"/>
          <w:szCs w:val="24"/>
        </w:rPr>
        <w:t>financial development and aggregate total factor producti</w:t>
      </w:r>
      <w:r>
        <w:rPr>
          <w:rFonts w:ascii="Times New Roman" w:eastAsia="Times New Roman" w:hAnsi="Times New Roman" w:cs="Times New Roman"/>
          <w:sz w:val="24"/>
          <w:szCs w:val="24"/>
        </w:rPr>
        <w:t>vity growth in emerging markets</w:t>
      </w:r>
      <w:r w:rsidRPr="003A0FC9">
        <w:rPr>
          <w:rFonts w:ascii="Times New Roman" w:eastAsia="Times New Roman" w:hAnsi="Times New Roman" w:cs="Times New Roman"/>
          <w:sz w:val="24"/>
          <w:szCs w:val="24"/>
        </w:rPr>
        <w:t xml:space="preserve">. The empirical results are then presented and analyzed in </w:t>
      </w:r>
      <w:r>
        <w:rPr>
          <w:rFonts w:ascii="Times New Roman" w:eastAsia="Times New Roman" w:hAnsi="Times New Roman" w:cs="Times New Roman"/>
          <w:sz w:val="24"/>
          <w:szCs w:val="24"/>
        </w:rPr>
        <w:t>C</w:t>
      </w:r>
      <w:r w:rsidRPr="003A0FC9">
        <w:rPr>
          <w:rFonts w:ascii="Times New Roman" w:eastAsia="Times New Roman" w:hAnsi="Times New Roman" w:cs="Times New Roman"/>
          <w:sz w:val="24"/>
          <w:szCs w:val="24"/>
        </w:rPr>
        <w:t xml:space="preserve">hapter </w:t>
      </w:r>
      <w:r>
        <w:rPr>
          <w:rFonts w:ascii="Times New Roman" w:eastAsia="Times New Roman" w:hAnsi="Times New Roman" w:cs="Times New Roman"/>
          <w:sz w:val="24"/>
          <w:szCs w:val="24"/>
        </w:rPr>
        <w:t>F</w:t>
      </w:r>
      <w:r w:rsidRPr="003A0FC9">
        <w:rPr>
          <w:rFonts w:ascii="Times New Roman" w:eastAsia="Times New Roman" w:hAnsi="Times New Roman" w:cs="Times New Roman"/>
          <w:sz w:val="24"/>
          <w:szCs w:val="24"/>
        </w:rPr>
        <w:t xml:space="preserve">ive and </w:t>
      </w:r>
      <w:r>
        <w:rPr>
          <w:rFonts w:ascii="Times New Roman" w:eastAsia="Times New Roman" w:hAnsi="Times New Roman" w:cs="Times New Roman"/>
          <w:sz w:val="24"/>
          <w:szCs w:val="24"/>
        </w:rPr>
        <w:t>C</w:t>
      </w:r>
      <w:r w:rsidRPr="003A0FC9">
        <w:rPr>
          <w:rFonts w:ascii="Times New Roman" w:eastAsia="Times New Roman" w:hAnsi="Times New Roman" w:cs="Times New Roman"/>
          <w:sz w:val="24"/>
          <w:szCs w:val="24"/>
        </w:rPr>
        <w:t xml:space="preserve">hapter </w:t>
      </w:r>
      <w:r>
        <w:rPr>
          <w:rFonts w:ascii="Times New Roman" w:eastAsia="Times New Roman" w:hAnsi="Times New Roman" w:cs="Times New Roman"/>
          <w:sz w:val="24"/>
          <w:szCs w:val="24"/>
        </w:rPr>
        <w:t>S</w:t>
      </w:r>
      <w:r w:rsidRPr="003A0FC9">
        <w:rPr>
          <w:rFonts w:ascii="Times New Roman" w:eastAsia="Times New Roman" w:hAnsi="Times New Roman" w:cs="Times New Roman"/>
          <w:sz w:val="24"/>
          <w:szCs w:val="24"/>
        </w:rPr>
        <w:t>ix concludes the study with some policy prescriptions.</w:t>
      </w:r>
    </w:p>
    <w:p w14:paraId="36B72BE7" w14:textId="77777777" w:rsidR="00AB1527" w:rsidRDefault="00AB1527" w:rsidP="008E4E1C">
      <w:pPr>
        <w:spacing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3EE1C4E9" w14:textId="77777777" w:rsidR="00AB1527" w:rsidRPr="003A0FC9" w:rsidRDefault="00AB1527" w:rsidP="006C1DD4">
      <w:pPr>
        <w:pStyle w:val="Heading1"/>
        <w:rPr>
          <w:rFonts w:eastAsia="Times New Roman"/>
        </w:rPr>
      </w:pPr>
      <w:bookmarkStart w:id="13" w:name="_Toc501031459"/>
      <w:r w:rsidRPr="003A0FC9">
        <w:rPr>
          <w:rFonts w:eastAsia="Times New Roman"/>
        </w:rPr>
        <w:lastRenderedPageBreak/>
        <w:t>CHAPTER TWO</w:t>
      </w:r>
      <w:bookmarkEnd w:id="13"/>
    </w:p>
    <w:p w14:paraId="764BFA6E" w14:textId="77777777" w:rsidR="00AB1527" w:rsidRDefault="00AB1527" w:rsidP="006C1DD4">
      <w:pPr>
        <w:pStyle w:val="Heading1"/>
        <w:rPr>
          <w:rFonts w:eastAsia="Times New Roman"/>
        </w:rPr>
      </w:pPr>
      <w:bookmarkStart w:id="14" w:name="_Toc501031460"/>
      <w:r w:rsidRPr="003A0FC9">
        <w:rPr>
          <w:rFonts w:eastAsia="Times New Roman"/>
        </w:rPr>
        <w:t>LITERATURE REVIEW</w:t>
      </w:r>
      <w:bookmarkEnd w:id="14"/>
    </w:p>
    <w:p w14:paraId="5BD33B5B" w14:textId="4518D46F" w:rsidR="00AB1527" w:rsidRPr="0080460F" w:rsidRDefault="00AB1527" w:rsidP="008E4E1C">
      <w:pPr>
        <w:spacing w:after="240" w:line="360" w:lineRule="auto"/>
        <w:jc w:val="both"/>
        <w:rPr>
          <w:rFonts w:ascii="Times New Roman" w:eastAsia="MS Mincho" w:hAnsi="Times New Roman" w:cs="Times New Roman"/>
          <w:sz w:val="24"/>
          <w:szCs w:val="24"/>
        </w:rPr>
      </w:pPr>
      <w:r w:rsidRPr="0080460F">
        <w:rPr>
          <w:rFonts w:ascii="Times New Roman" w:eastAsia="MS Mincho" w:hAnsi="Times New Roman" w:cs="Times New Roman"/>
          <w:sz w:val="24"/>
          <w:szCs w:val="24"/>
        </w:rPr>
        <w:t>The relationship between financial development and economic growth has been extensively investigated from both the theoretical and empirical perspectives. Several studies have emerged</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 xml:space="preserve"> since the seminal work </w:t>
      </w:r>
      <w:r>
        <w:rPr>
          <w:rFonts w:ascii="Times New Roman" w:eastAsia="MS Mincho" w:hAnsi="Times New Roman" w:cs="Times New Roman"/>
          <w:sz w:val="24"/>
          <w:szCs w:val="24"/>
        </w:rPr>
        <w:t>by</w:t>
      </w:r>
      <w:r w:rsidRPr="0080460F">
        <w:rPr>
          <w:rFonts w:ascii="Times New Roman" w:eastAsia="MS Mincho" w:hAnsi="Times New Roman" w:cs="Times New Roman"/>
          <w:sz w:val="24"/>
          <w:szCs w:val="24"/>
        </w:rPr>
        <w:t xml:space="preserve"> Schumpeter (1911)</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 xml:space="preserve"> in support of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potentially stimulat</w:t>
      </w:r>
      <w:r>
        <w:rPr>
          <w:rFonts w:ascii="Times New Roman" w:eastAsia="MS Mincho" w:hAnsi="Times New Roman" w:cs="Times New Roman"/>
          <w:sz w:val="24"/>
          <w:szCs w:val="24"/>
        </w:rPr>
        <w:t>ing effect</w:t>
      </w:r>
      <w:r w:rsidRPr="0080460F">
        <w:rPr>
          <w:rFonts w:ascii="Times New Roman" w:eastAsia="MS Mincho" w:hAnsi="Times New Roman" w:cs="Times New Roman"/>
          <w:sz w:val="24"/>
          <w:szCs w:val="24"/>
        </w:rPr>
        <w:t xml:space="preserve"> </w:t>
      </w:r>
      <w:r>
        <w:rPr>
          <w:rFonts w:ascii="Times New Roman" w:eastAsia="MS Mincho" w:hAnsi="Times New Roman" w:cs="Times New Roman"/>
          <w:sz w:val="24"/>
          <w:szCs w:val="24"/>
        </w:rPr>
        <w:t>of</w:t>
      </w:r>
      <w:r w:rsidRPr="0080460F">
        <w:rPr>
          <w:rFonts w:ascii="Times New Roman" w:eastAsia="MS Mincho" w:hAnsi="Times New Roman" w:cs="Times New Roman"/>
          <w:sz w:val="24"/>
          <w:szCs w:val="24"/>
        </w:rPr>
        <w:t xml:space="preserve"> economic growth </w:t>
      </w:r>
      <w:r>
        <w:rPr>
          <w:rFonts w:ascii="Times New Roman" w:eastAsia="MS Mincho" w:hAnsi="Times New Roman" w:cs="Times New Roman"/>
          <w:sz w:val="24"/>
          <w:szCs w:val="24"/>
        </w:rPr>
        <w:t xml:space="preserve">on the </w:t>
      </w:r>
      <w:r w:rsidRPr="0080460F">
        <w:rPr>
          <w:rFonts w:ascii="Times New Roman" w:eastAsia="MS Mincho" w:hAnsi="Times New Roman" w:cs="Times New Roman"/>
          <w:sz w:val="24"/>
          <w:szCs w:val="24"/>
        </w:rPr>
        <w:t xml:space="preserve">development </w:t>
      </w:r>
      <w:r>
        <w:rPr>
          <w:rFonts w:ascii="Times New Roman" w:eastAsia="MS Mincho" w:hAnsi="Times New Roman" w:cs="Times New Roman"/>
          <w:sz w:val="24"/>
          <w:szCs w:val="24"/>
        </w:rPr>
        <w:t>of</w:t>
      </w:r>
      <w:r w:rsidRPr="0080460F">
        <w:rPr>
          <w:rFonts w:ascii="Times New Roman" w:eastAsia="MS Mincho" w:hAnsi="Times New Roman" w:cs="Times New Roman"/>
          <w:sz w:val="24"/>
          <w:szCs w:val="24"/>
        </w:rPr>
        <w:t xml:space="preserve"> the financial sector. Arguing in support of the finance-led growth phenomenon, Schumpeter views the development of a well-functioning financial system as a major catalyst </w:t>
      </w:r>
      <w:r>
        <w:rPr>
          <w:rFonts w:ascii="Times New Roman" w:eastAsia="MS Mincho" w:hAnsi="Times New Roman" w:cs="Times New Roman"/>
          <w:sz w:val="24"/>
          <w:szCs w:val="24"/>
        </w:rPr>
        <w:t>to promote</w:t>
      </w:r>
      <w:r w:rsidRPr="0080460F">
        <w:rPr>
          <w:rFonts w:ascii="Times New Roman" w:eastAsia="MS Mincho" w:hAnsi="Times New Roman" w:cs="Times New Roman"/>
          <w:sz w:val="24"/>
          <w:szCs w:val="24"/>
        </w:rPr>
        <w:t xml:space="preserve"> technological innovation and economic development by facilitating the efficient allocation of resources </w:t>
      </w:r>
      <w:r>
        <w:rPr>
          <w:rFonts w:ascii="Times New Roman" w:eastAsia="MS Mincho" w:hAnsi="Times New Roman" w:cs="Times New Roman"/>
          <w:sz w:val="24"/>
          <w:szCs w:val="24"/>
        </w:rPr>
        <w:t>to</w:t>
      </w:r>
      <w:r w:rsidRPr="0080460F">
        <w:rPr>
          <w:rFonts w:ascii="Times New Roman" w:eastAsia="MS Mincho" w:hAnsi="Times New Roman" w:cs="Times New Roman"/>
          <w:sz w:val="24"/>
          <w:szCs w:val="24"/>
        </w:rPr>
        <w:t xml:space="preserve"> the most productive activities. This view emphasizes </w:t>
      </w:r>
      <w:r>
        <w:rPr>
          <w:rFonts w:ascii="Times New Roman" w:eastAsia="MS Mincho" w:hAnsi="Times New Roman" w:cs="Times New Roman"/>
          <w:sz w:val="24"/>
          <w:szCs w:val="24"/>
        </w:rPr>
        <w:t xml:space="preserve">on </w:t>
      </w:r>
      <w:r w:rsidRPr="0080460F">
        <w:rPr>
          <w:rFonts w:ascii="Times New Roman" w:eastAsia="MS Mincho" w:hAnsi="Times New Roman" w:cs="Times New Roman"/>
          <w:sz w:val="24"/>
          <w:szCs w:val="24"/>
        </w:rPr>
        <w:t>the role that intermediaries play in providing important financial services such as mobilizing savings, evaluating projects, managing risk, monitoring managers</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 xml:space="preserve"> and facilitating transaction</w:t>
      </w:r>
      <w:r>
        <w:rPr>
          <w:rFonts w:ascii="Times New Roman" w:eastAsia="MS Mincho" w:hAnsi="Times New Roman" w:cs="Times New Roman"/>
          <w:sz w:val="24"/>
          <w:szCs w:val="24"/>
        </w:rPr>
        <w:t>s</w:t>
      </w:r>
      <w:r w:rsidRPr="0080460F">
        <w:rPr>
          <w:rFonts w:ascii="Times New Roman" w:eastAsia="MS Mincho" w:hAnsi="Times New Roman" w:cs="Times New Roman"/>
          <w:sz w:val="24"/>
          <w:szCs w:val="24"/>
        </w:rPr>
        <w:t xml:space="preserve"> which are critical to fostering technological innovation and economic development.</w:t>
      </w:r>
    </w:p>
    <w:p w14:paraId="5198F364" w14:textId="6A30DEF1" w:rsidR="00AB1527" w:rsidRPr="0080460F" w:rsidRDefault="00AB1527" w:rsidP="008E4E1C">
      <w:pPr>
        <w:spacing w:after="240" w:line="360" w:lineRule="auto"/>
        <w:jc w:val="both"/>
        <w:rPr>
          <w:rFonts w:ascii="Times New Roman" w:eastAsia="MS Mincho" w:hAnsi="Times New Roman" w:cs="Times New Roman"/>
          <w:sz w:val="24"/>
          <w:szCs w:val="24"/>
        </w:rPr>
      </w:pPr>
      <w:r w:rsidRPr="0080460F">
        <w:rPr>
          <w:rFonts w:ascii="Times New Roman" w:eastAsia="MS Mincho" w:hAnsi="Times New Roman" w:cs="Times New Roman"/>
          <w:sz w:val="24"/>
          <w:szCs w:val="24"/>
        </w:rPr>
        <w:t>One strand of literature</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 xml:space="preserve"> along the lines of Schumpeter (1911)</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 xml:space="preserve"> is the Supply-Leading Hypothesis of Patrick (1966). This view emphasizes </w:t>
      </w:r>
      <w:r>
        <w:rPr>
          <w:rFonts w:ascii="Times New Roman" w:eastAsia="MS Mincho" w:hAnsi="Times New Roman" w:cs="Times New Roman"/>
          <w:sz w:val="24"/>
          <w:szCs w:val="24"/>
        </w:rPr>
        <w:t xml:space="preserve">on </w:t>
      </w:r>
      <w:r w:rsidRPr="0080460F">
        <w:rPr>
          <w:rFonts w:ascii="Times New Roman" w:eastAsia="MS Mincho" w:hAnsi="Times New Roman" w:cs="Times New Roman"/>
          <w:sz w:val="24"/>
          <w:szCs w:val="24"/>
        </w:rPr>
        <w:t xml:space="preserve">the role of the financial sector in supporting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 xml:space="preserve">growth of the real sector. It is argued that the development of financial markets and </w:t>
      </w:r>
      <w:r>
        <w:rPr>
          <w:rFonts w:ascii="Times New Roman" w:eastAsia="MS Mincho" w:hAnsi="Times New Roman" w:cs="Times New Roman"/>
          <w:sz w:val="24"/>
          <w:szCs w:val="24"/>
        </w:rPr>
        <w:t xml:space="preserve">its </w:t>
      </w:r>
      <w:r w:rsidRPr="0080460F">
        <w:rPr>
          <w:rFonts w:ascii="Times New Roman" w:eastAsia="MS Mincho" w:hAnsi="Times New Roman" w:cs="Times New Roman"/>
          <w:sz w:val="24"/>
          <w:szCs w:val="24"/>
        </w:rPr>
        <w:t xml:space="preserve">associated services will promote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 xml:space="preserve">growth of the real sector by channeling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 xml:space="preserve">resources from surplus spending units to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deficit spending units</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 xml:space="preserve"> with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 xml:space="preserve">potential to generate the highest rate of return on investment. As financial intermediaries ensure the efficient allocation of resources to investment projects with the greatest marginal product of capital, these institutions play an important role in promoting higher growth by increasing the overall productivity of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capital (Ikhide, 2015).</w:t>
      </w:r>
    </w:p>
    <w:p w14:paraId="73BE1B4B" w14:textId="649A8C4D" w:rsidR="00AB1527" w:rsidRPr="0080460F" w:rsidRDefault="00AB1527" w:rsidP="008E4E1C">
      <w:pPr>
        <w:spacing w:after="240" w:line="360" w:lineRule="auto"/>
        <w:jc w:val="both"/>
        <w:rPr>
          <w:rFonts w:ascii="Times New Roman" w:eastAsia="MS Mincho" w:hAnsi="Times New Roman" w:cs="Times New Roman"/>
          <w:sz w:val="24"/>
          <w:szCs w:val="24"/>
        </w:rPr>
      </w:pPr>
      <w:r w:rsidRPr="0080460F">
        <w:rPr>
          <w:rFonts w:ascii="Times New Roman" w:eastAsia="MS Mincho" w:hAnsi="Times New Roman" w:cs="Times New Roman"/>
          <w:sz w:val="24"/>
          <w:szCs w:val="24"/>
        </w:rPr>
        <w:t>In the early 1970</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s to 1980</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s, several governments</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 xml:space="preserve"> especially in the developing world</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 xml:space="preserve"> adopted a range of financial repression policies to promote growth and enhance revenue mobilization by keeping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interest rates artificially low and adopt</w:t>
      </w:r>
      <w:r>
        <w:rPr>
          <w:rFonts w:ascii="Times New Roman" w:eastAsia="MS Mincho" w:hAnsi="Times New Roman" w:cs="Times New Roman"/>
          <w:sz w:val="24"/>
          <w:szCs w:val="24"/>
        </w:rPr>
        <w:t>ing</w:t>
      </w:r>
      <w:r w:rsidRPr="0080460F">
        <w:rPr>
          <w:rFonts w:ascii="Times New Roman" w:eastAsia="MS Mincho" w:hAnsi="Times New Roman" w:cs="Times New Roman"/>
          <w:sz w:val="24"/>
          <w:szCs w:val="24"/>
        </w:rPr>
        <w:t xml:space="preserve"> inflationary monetary policies</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 xml:space="preserve"> in line with the Keynesian view of government intervention in the economy (Eschenback, 2004). Specifically, the financial repression policies implemented during this period include the imposition of interest rate ceilings</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 xml:space="preserve"> higher reserve requirements, and directed credit allocation to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 xml:space="preserve">priority sectors (Kargbo and </w:t>
      </w:r>
      <w:r w:rsidRPr="0080460F">
        <w:rPr>
          <w:rFonts w:ascii="Times New Roman" w:eastAsia="MS Mincho" w:hAnsi="Times New Roman" w:cs="Times New Roman"/>
          <w:sz w:val="24"/>
          <w:szCs w:val="24"/>
        </w:rPr>
        <w:lastRenderedPageBreak/>
        <w:t xml:space="preserve">Adamu, 2009). Financial liberalization policies, including the removal of ceilings on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 xml:space="preserve">interest rate and ending seigniorage through inflationary monetary policies, were therefore advocated by Mckinnon (1973) and Shaw (1973) to stimulate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 xml:space="preserve">development of the financial sector and support growth. This theory suggests that the liberalization of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 xml:space="preserve">interest rate will generate positive real rates of interest, which </w:t>
      </w:r>
      <w:r>
        <w:rPr>
          <w:rFonts w:ascii="Times New Roman" w:eastAsia="MS Mincho" w:hAnsi="Times New Roman" w:cs="Times New Roman"/>
          <w:sz w:val="24"/>
          <w:szCs w:val="24"/>
        </w:rPr>
        <w:t xml:space="preserve">will </w:t>
      </w:r>
      <w:r w:rsidRPr="0080460F">
        <w:rPr>
          <w:rFonts w:ascii="Times New Roman" w:eastAsia="MS Mincho" w:hAnsi="Times New Roman" w:cs="Times New Roman"/>
          <w:sz w:val="24"/>
          <w:szCs w:val="24"/>
        </w:rPr>
        <w:t>encourage the mobilization of financial savings and raise investment rates</w:t>
      </w:r>
      <w:r>
        <w:rPr>
          <w:rFonts w:ascii="Times New Roman" w:eastAsia="MS Mincho" w:hAnsi="Times New Roman" w:cs="Times New Roman"/>
          <w:sz w:val="24"/>
          <w:szCs w:val="24"/>
        </w:rPr>
        <w:t>, in turn</w:t>
      </w:r>
      <w:r w:rsidRPr="0080460F">
        <w:rPr>
          <w:rFonts w:ascii="Times New Roman" w:eastAsia="MS Mincho" w:hAnsi="Times New Roman" w:cs="Times New Roman"/>
          <w:sz w:val="24"/>
          <w:szCs w:val="24"/>
        </w:rPr>
        <w:t>.</w:t>
      </w:r>
    </w:p>
    <w:p w14:paraId="5F29EF86" w14:textId="180547FB" w:rsidR="00AB1527" w:rsidRPr="0080460F" w:rsidRDefault="00AB1527" w:rsidP="008E4E1C">
      <w:pPr>
        <w:spacing w:after="240" w:line="360" w:lineRule="auto"/>
        <w:jc w:val="both"/>
        <w:rPr>
          <w:rFonts w:ascii="Times New Roman" w:eastAsia="MS Mincho" w:hAnsi="Times New Roman" w:cs="Times New Roman"/>
          <w:sz w:val="24"/>
          <w:szCs w:val="24"/>
        </w:rPr>
      </w:pPr>
      <w:r w:rsidRPr="0080460F">
        <w:rPr>
          <w:rFonts w:ascii="Times New Roman" w:eastAsia="MS Mincho" w:hAnsi="Times New Roman" w:cs="Times New Roman"/>
          <w:sz w:val="24"/>
          <w:szCs w:val="24"/>
        </w:rPr>
        <w:t xml:space="preserve">A second strand of literature on the demand-following hypothesis, however, establishes a causal relationship that runs from economic growth to financial development (Robinson, 1952; Patrick, 1966). This theory holds that growth </w:t>
      </w:r>
      <w:r>
        <w:rPr>
          <w:rFonts w:ascii="Times New Roman" w:eastAsia="MS Mincho" w:hAnsi="Times New Roman" w:cs="Times New Roman"/>
          <w:sz w:val="24"/>
          <w:szCs w:val="24"/>
        </w:rPr>
        <w:t>in</w:t>
      </w:r>
      <w:r w:rsidRPr="0080460F">
        <w:rPr>
          <w:rFonts w:ascii="Times New Roman" w:eastAsia="MS Mincho" w:hAnsi="Times New Roman" w:cs="Times New Roman"/>
          <w:sz w:val="24"/>
          <w:szCs w:val="24"/>
        </w:rPr>
        <w:t xml:space="preserve"> the real sector will increase the demand for services provided by the financial sector. One would</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 xml:space="preserve"> therefore</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 xml:space="preserve"> argue from </w:t>
      </w:r>
      <w:r>
        <w:rPr>
          <w:rFonts w:ascii="Times New Roman" w:eastAsia="MS Mincho" w:hAnsi="Times New Roman" w:cs="Times New Roman"/>
          <w:sz w:val="24"/>
          <w:szCs w:val="24"/>
        </w:rPr>
        <w:t>the</w:t>
      </w:r>
      <w:r w:rsidRPr="0080460F">
        <w:rPr>
          <w:rFonts w:ascii="Times New Roman" w:eastAsia="MS Mincho" w:hAnsi="Times New Roman" w:cs="Times New Roman"/>
          <w:sz w:val="24"/>
          <w:szCs w:val="24"/>
        </w:rPr>
        <w:t xml:space="preserve"> perceptive that a sustainable growth </w:t>
      </w:r>
      <w:r>
        <w:rPr>
          <w:rFonts w:ascii="Times New Roman" w:eastAsia="MS Mincho" w:hAnsi="Times New Roman" w:cs="Times New Roman"/>
          <w:sz w:val="24"/>
          <w:szCs w:val="24"/>
        </w:rPr>
        <w:t>in</w:t>
      </w:r>
      <w:r w:rsidRPr="0080460F">
        <w:rPr>
          <w:rFonts w:ascii="Times New Roman" w:eastAsia="MS Mincho" w:hAnsi="Times New Roman" w:cs="Times New Roman"/>
          <w:sz w:val="24"/>
          <w:szCs w:val="24"/>
        </w:rPr>
        <w:t xml:space="preserve"> the economy will reinforce financial sector development. Since the early 1990</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s, following the adoption of financial liberalization policies in most developing countries, theoretical models that explicitly establish linkages between financial development and economic growth have largely drawn from the endogenous growth theory and the diverse functions that the financial system can potentially perform (see Sahay et al, 2015).</w:t>
      </w:r>
    </w:p>
    <w:p w14:paraId="66D6DB71" w14:textId="1DA73224" w:rsidR="00AB1527" w:rsidRPr="0080460F" w:rsidRDefault="00AB1527" w:rsidP="008E4E1C">
      <w:pPr>
        <w:spacing w:after="240" w:line="360" w:lineRule="auto"/>
        <w:jc w:val="both"/>
        <w:rPr>
          <w:rFonts w:ascii="Times New Roman" w:eastAsia="MS Mincho" w:hAnsi="Times New Roman" w:cs="Times New Roman"/>
          <w:sz w:val="24"/>
          <w:szCs w:val="24"/>
        </w:rPr>
      </w:pPr>
      <w:r w:rsidRPr="0080460F">
        <w:rPr>
          <w:rFonts w:ascii="Times New Roman" w:eastAsia="MS Mincho" w:hAnsi="Times New Roman" w:cs="Times New Roman"/>
          <w:sz w:val="24"/>
          <w:szCs w:val="24"/>
        </w:rPr>
        <w:t>From the perspective of the endogenous growth theory, financial development stimulates economic growth through its influence on the level of investment and its productivity (see Guglielmo et al, 2003). This strand of literature has identified various channels through which financial markets can potentially contribute to enhanc</w:t>
      </w:r>
      <w:r>
        <w:rPr>
          <w:rFonts w:ascii="Times New Roman" w:eastAsia="MS Mincho" w:hAnsi="Times New Roman" w:cs="Times New Roman"/>
          <w:sz w:val="24"/>
          <w:szCs w:val="24"/>
        </w:rPr>
        <w:t>ing the</w:t>
      </w:r>
      <w:r w:rsidRPr="0080460F">
        <w:rPr>
          <w:rFonts w:ascii="Times New Roman" w:eastAsia="MS Mincho" w:hAnsi="Times New Roman" w:cs="Times New Roman"/>
          <w:sz w:val="24"/>
          <w:szCs w:val="24"/>
        </w:rPr>
        <w:t xml:space="preserve"> economic growth. These channels include the role of financial markets in diversifying liquidity and investment risk</w:t>
      </w:r>
      <w:r>
        <w:rPr>
          <w:rFonts w:ascii="Times New Roman" w:eastAsia="MS Mincho" w:hAnsi="Times New Roman" w:cs="Times New Roman"/>
          <w:sz w:val="24"/>
          <w:szCs w:val="24"/>
        </w:rPr>
        <w:t>s</w:t>
      </w:r>
      <w:r w:rsidRPr="0080460F">
        <w:rPr>
          <w:rFonts w:ascii="Times New Roman" w:eastAsia="MS Mincho" w:hAnsi="Times New Roman" w:cs="Times New Roman"/>
          <w:sz w:val="24"/>
          <w:szCs w:val="24"/>
        </w:rPr>
        <w:t xml:space="preserve"> of economic agents, and ensuring that the mobilized savings are channeled into the most productive investments (see Levine, 1991). Other important contributions of financial development </w:t>
      </w:r>
      <w:r>
        <w:rPr>
          <w:rFonts w:ascii="Times New Roman" w:eastAsia="MS Mincho" w:hAnsi="Times New Roman" w:cs="Times New Roman"/>
          <w:sz w:val="24"/>
          <w:szCs w:val="24"/>
        </w:rPr>
        <w:t>in</w:t>
      </w:r>
      <w:r w:rsidRPr="0080460F">
        <w:rPr>
          <w:rFonts w:ascii="Times New Roman" w:eastAsia="MS Mincho" w:hAnsi="Times New Roman" w:cs="Times New Roman"/>
          <w:sz w:val="24"/>
          <w:szCs w:val="24"/>
        </w:rPr>
        <w:t xml:space="preserve"> raising economic growth in this theory include</w:t>
      </w:r>
      <w:r>
        <w:rPr>
          <w:rFonts w:ascii="Times New Roman" w:eastAsia="MS Mincho" w:hAnsi="Times New Roman" w:cs="Times New Roman"/>
          <w:sz w:val="24"/>
          <w:szCs w:val="24"/>
        </w:rPr>
        <w:t>s</w:t>
      </w:r>
      <w:r w:rsidRPr="0080460F">
        <w:rPr>
          <w:rFonts w:ascii="Times New Roman" w:eastAsia="MS Mincho" w:hAnsi="Times New Roman" w:cs="Times New Roman"/>
          <w:sz w:val="24"/>
          <w:szCs w:val="24"/>
        </w:rPr>
        <w:t xml:space="preserve"> the efficient allocation of resources in support of innovative activities which in turn raises the growth rate of productivity and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information channel, especially through stock market development</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 xml:space="preserve"> given that the information </w:t>
      </w:r>
      <w:r>
        <w:rPr>
          <w:rFonts w:ascii="Times New Roman" w:eastAsia="MS Mincho" w:hAnsi="Times New Roman" w:cs="Times New Roman"/>
          <w:sz w:val="24"/>
          <w:szCs w:val="24"/>
        </w:rPr>
        <w:t>e</w:t>
      </w:r>
      <w:r w:rsidRPr="0080460F">
        <w:rPr>
          <w:rFonts w:ascii="Times New Roman" w:eastAsia="MS Mincho" w:hAnsi="Times New Roman" w:cs="Times New Roman"/>
          <w:sz w:val="24"/>
          <w:szCs w:val="24"/>
        </w:rPr>
        <w:t xml:space="preserve">mbedded in the share price of a firm provides strong managerial incentives to build up a firm’s productivity and </w:t>
      </w:r>
      <w:r>
        <w:rPr>
          <w:rFonts w:ascii="Times New Roman" w:eastAsia="MS Mincho" w:hAnsi="Times New Roman" w:cs="Times New Roman"/>
          <w:sz w:val="24"/>
          <w:szCs w:val="24"/>
        </w:rPr>
        <w:t>thus,</w:t>
      </w:r>
      <w:r w:rsidRPr="0080460F">
        <w:rPr>
          <w:rFonts w:ascii="Times New Roman" w:eastAsia="MS Mincho" w:hAnsi="Times New Roman" w:cs="Times New Roman"/>
          <w:sz w:val="24"/>
          <w:szCs w:val="24"/>
        </w:rPr>
        <w:t xml:space="preserve"> raise</w:t>
      </w:r>
      <w:r>
        <w:rPr>
          <w:rFonts w:ascii="Times New Roman" w:eastAsia="MS Mincho" w:hAnsi="Times New Roman" w:cs="Times New Roman"/>
          <w:sz w:val="24"/>
          <w:szCs w:val="24"/>
        </w:rPr>
        <w:t xml:space="preserve"> the</w:t>
      </w:r>
      <w:r w:rsidRPr="0080460F">
        <w:rPr>
          <w:rFonts w:ascii="Times New Roman" w:eastAsia="MS Mincho" w:hAnsi="Times New Roman" w:cs="Times New Roman"/>
          <w:sz w:val="24"/>
          <w:szCs w:val="24"/>
        </w:rPr>
        <w:t xml:space="preserve"> aggregate economic growth (Guglielmo et al, 2003).</w:t>
      </w:r>
    </w:p>
    <w:p w14:paraId="5BAD703D" w14:textId="323B4D45" w:rsidR="00AB1527" w:rsidRPr="0080460F" w:rsidRDefault="00AB1527" w:rsidP="008E4E1C">
      <w:pPr>
        <w:spacing w:after="240" w:line="360" w:lineRule="auto"/>
        <w:jc w:val="both"/>
        <w:rPr>
          <w:rFonts w:ascii="Times New Roman" w:eastAsia="MS Mincho" w:hAnsi="Times New Roman" w:cs="Times New Roman"/>
          <w:sz w:val="24"/>
          <w:szCs w:val="24"/>
        </w:rPr>
      </w:pPr>
      <w:r w:rsidRPr="0080460F">
        <w:rPr>
          <w:rFonts w:ascii="Times New Roman" w:eastAsia="MS Mincho" w:hAnsi="Times New Roman" w:cs="Times New Roman"/>
          <w:sz w:val="24"/>
          <w:szCs w:val="24"/>
        </w:rPr>
        <w:t xml:space="preserve">Generally, both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 xml:space="preserve">banks and the stock market provide relevant information that guide the allocation of resources. Levine (2005) provides a comprehensive discussion </w:t>
      </w:r>
      <w:r>
        <w:rPr>
          <w:rFonts w:ascii="Times New Roman" w:eastAsia="MS Mincho" w:hAnsi="Times New Roman" w:cs="Times New Roman"/>
          <w:sz w:val="24"/>
          <w:szCs w:val="24"/>
        </w:rPr>
        <w:t>on</w:t>
      </w:r>
      <w:r w:rsidRPr="0080460F">
        <w:rPr>
          <w:rFonts w:ascii="Times New Roman" w:eastAsia="MS Mincho" w:hAnsi="Times New Roman" w:cs="Times New Roman"/>
          <w:sz w:val="24"/>
          <w:szCs w:val="24"/>
        </w:rPr>
        <w:t xml:space="preserve"> the main channels through which finance plays a crucial role in influencing economic </w:t>
      </w:r>
      <w:r w:rsidRPr="0080460F">
        <w:rPr>
          <w:rFonts w:ascii="Times New Roman" w:eastAsia="MS Mincho" w:hAnsi="Times New Roman" w:cs="Times New Roman"/>
          <w:sz w:val="24"/>
          <w:szCs w:val="24"/>
        </w:rPr>
        <w:lastRenderedPageBreak/>
        <w:t>growth: producing information and allocating capital</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 xml:space="preserve"> monitoring firms and exerting corporate governance</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 xml:space="preserve"> facilitating trading, diversification and management of risk, mobilizing and pooling </w:t>
      </w:r>
      <w:r>
        <w:rPr>
          <w:rFonts w:ascii="Times New Roman" w:eastAsia="MS Mincho" w:hAnsi="Times New Roman" w:cs="Times New Roman"/>
          <w:sz w:val="24"/>
          <w:szCs w:val="24"/>
        </w:rPr>
        <w:t xml:space="preserve">of </w:t>
      </w:r>
      <w:r w:rsidRPr="0080460F">
        <w:rPr>
          <w:rFonts w:ascii="Times New Roman" w:eastAsia="MS Mincho" w:hAnsi="Times New Roman" w:cs="Times New Roman"/>
          <w:sz w:val="24"/>
          <w:szCs w:val="24"/>
        </w:rPr>
        <w:t>savings</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 xml:space="preserve"> and easing the exchange of goods and services. Overall, the endogenous growth literature emphasizes that financial development is most likely to influence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 xml:space="preserve">long-run economic growth through its influence on productivity growth (Guglielmo et al, 2003). The contribution of financial development to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growth of productivity stems either from its important role in increasing the marginal productivity of capital or improving efficiency in the allocation of capital (Das, 2008).</w:t>
      </w:r>
    </w:p>
    <w:p w14:paraId="27B7CD79" w14:textId="281020C4" w:rsidR="00AB1527" w:rsidRPr="0080460F" w:rsidRDefault="00AB1527" w:rsidP="008E4E1C">
      <w:pPr>
        <w:spacing w:after="240" w:line="360" w:lineRule="auto"/>
        <w:jc w:val="both"/>
        <w:rPr>
          <w:rFonts w:ascii="Times New Roman" w:eastAsia="MS Mincho" w:hAnsi="Times New Roman" w:cs="Times New Roman"/>
          <w:sz w:val="24"/>
          <w:szCs w:val="24"/>
        </w:rPr>
      </w:pPr>
      <w:r w:rsidRPr="0080460F">
        <w:rPr>
          <w:rFonts w:ascii="Times New Roman" w:eastAsia="MS Mincho" w:hAnsi="Times New Roman" w:cs="Times New Roman"/>
          <w:sz w:val="24"/>
          <w:szCs w:val="24"/>
        </w:rPr>
        <w:t>One would argue</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 xml:space="preserve"> from the discussions above</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 xml:space="preserve"> that the endogenous growth literature provides useful insights into the channels through which the development of financial markets can positively contribute to</w:t>
      </w:r>
      <w:r>
        <w:rPr>
          <w:rFonts w:ascii="Times New Roman" w:eastAsia="MS Mincho" w:hAnsi="Times New Roman" w:cs="Times New Roman"/>
          <w:sz w:val="24"/>
          <w:szCs w:val="24"/>
        </w:rPr>
        <w:t xml:space="preserve"> its</w:t>
      </w:r>
      <w:r w:rsidRPr="0080460F">
        <w:rPr>
          <w:rFonts w:ascii="Times New Roman" w:eastAsia="MS Mincho" w:hAnsi="Times New Roman" w:cs="Times New Roman"/>
          <w:sz w:val="24"/>
          <w:szCs w:val="24"/>
        </w:rPr>
        <w:t xml:space="preserve"> long-term growth. Further developments in this literature </w:t>
      </w:r>
      <w:r>
        <w:rPr>
          <w:rFonts w:ascii="Times New Roman" w:eastAsia="MS Mincho" w:hAnsi="Times New Roman" w:cs="Times New Roman"/>
          <w:sz w:val="24"/>
          <w:szCs w:val="24"/>
        </w:rPr>
        <w:t>that</w:t>
      </w:r>
      <w:r w:rsidRPr="0080460F">
        <w:rPr>
          <w:rFonts w:ascii="Times New Roman" w:eastAsia="MS Mincho" w:hAnsi="Times New Roman" w:cs="Times New Roman"/>
          <w:sz w:val="24"/>
          <w:szCs w:val="24"/>
        </w:rPr>
        <w:t xml:space="preserve"> debate</w:t>
      </w:r>
      <w:r>
        <w:rPr>
          <w:rFonts w:ascii="Times New Roman" w:eastAsia="MS Mincho" w:hAnsi="Times New Roman" w:cs="Times New Roman"/>
          <w:sz w:val="24"/>
          <w:szCs w:val="24"/>
        </w:rPr>
        <w:t>s</w:t>
      </w:r>
      <w:r w:rsidRPr="0080460F">
        <w:rPr>
          <w:rFonts w:ascii="Times New Roman" w:eastAsia="MS Mincho" w:hAnsi="Times New Roman" w:cs="Times New Roman"/>
          <w:sz w:val="24"/>
          <w:szCs w:val="24"/>
        </w:rPr>
        <w:t xml:space="preserve"> the finance-growth nexus have given rise to the theory </w:t>
      </w:r>
      <w:r>
        <w:rPr>
          <w:rFonts w:ascii="Times New Roman" w:eastAsia="MS Mincho" w:hAnsi="Times New Roman" w:cs="Times New Roman"/>
          <w:sz w:val="24"/>
          <w:szCs w:val="24"/>
        </w:rPr>
        <w:t>of</w:t>
      </w:r>
      <w:r w:rsidRPr="0080460F">
        <w:rPr>
          <w:rFonts w:ascii="Times New Roman" w:eastAsia="MS Mincho" w:hAnsi="Times New Roman" w:cs="Times New Roman"/>
          <w:sz w:val="24"/>
          <w:szCs w:val="24"/>
        </w:rPr>
        <w:t xml:space="preserve"> bi-directional causality hypothesis or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 xml:space="preserve">potential feedback mechanism, which has incorporated the views of both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supply-leading and demand-following hypotheses. Some of the influential works in support of the positive bi-directional causality relationship between financial development and economic growth include Greenwood and Jovanovic (1990), Luintel and Khan (1999) and Dermiguc-Kunt and Levine (2001). The theory suggests that financial development and economic growth are mutually reinforc</w:t>
      </w:r>
      <w:r>
        <w:rPr>
          <w:rFonts w:ascii="Times New Roman" w:eastAsia="MS Mincho" w:hAnsi="Times New Roman" w:cs="Times New Roman"/>
          <w:sz w:val="24"/>
          <w:szCs w:val="24"/>
        </w:rPr>
        <w:t>e each other</w:t>
      </w:r>
      <w:r w:rsidRPr="0080460F">
        <w:rPr>
          <w:rFonts w:ascii="Times New Roman" w:eastAsia="MS Mincho" w:hAnsi="Times New Roman" w:cs="Times New Roman"/>
          <w:sz w:val="24"/>
          <w:szCs w:val="24"/>
        </w:rPr>
        <w:t>, with financial development</w:t>
      </w:r>
      <w:r>
        <w:rPr>
          <w:rFonts w:ascii="Times New Roman" w:eastAsia="MS Mincho" w:hAnsi="Times New Roman" w:cs="Times New Roman"/>
          <w:sz w:val="24"/>
          <w:szCs w:val="24"/>
        </w:rPr>
        <w:t>s</w:t>
      </w:r>
      <w:r w:rsidRPr="0080460F">
        <w:rPr>
          <w:rFonts w:ascii="Times New Roman" w:eastAsia="MS Mincho" w:hAnsi="Times New Roman" w:cs="Times New Roman"/>
          <w:sz w:val="24"/>
          <w:szCs w:val="24"/>
        </w:rPr>
        <w:t xml:space="preserve"> facilitating the efficient allocation of resources to the most productive activities, thereby increasing the efficiency of investment and promoting growth. On the other hand, economic growth provides the wherewithal to implement </w:t>
      </w:r>
      <w:r>
        <w:rPr>
          <w:rFonts w:ascii="Times New Roman" w:eastAsia="MS Mincho" w:hAnsi="Times New Roman" w:cs="Times New Roman"/>
          <w:sz w:val="24"/>
          <w:szCs w:val="24"/>
        </w:rPr>
        <w:t xml:space="preserve">a </w:t>
      </w:r>
      <w:r w:rsidRPr="0080460F">
        <w:rPr>
          <w:rFonts w:ascii="Times New Roman" w:eastAsia="MS Mincho" w:hAnsi="Times New Roman" w:cs="Times New Roman"/>
          <w:sz w:val="24"/>
          <w:szCs w:val="24"/>
        </w:rPr>
        <w:t>costly financial structure (Greenwood and Jovanovic, 1990; Eschenbach, 2004). Along these lines, Eschenbach (2004) argues that there are potential reciprocal externalities between finance and growth, pointing to the possibility of the existence of multiple equilibria and poverty traps. A fourth strand of literature, however, considers the independent hypothesis which posits that financial deepening and economic growth are not causally dependent (see Ikhide, 2015).</w:t>
      </w:r>
    </w:p>
    <w:p w14:paraId="5152515B" w14:textId="77FF455E" w:rsidR="00AB1527" w:rsidRPr="0080460F" w:rsidRDefault="00AB1527" w:rsidP="008E4E1C">
      <w:pPr>
        <w:spacing w:after="240" w:line="360" w:lineRule="auto"/>
        <w:jc w:val="both"/>
        <w:rPr>
          <w:rFonts w:ascii="Times New Roman" w:eastAsia="MS Mincho" w:hAnsi="Times New Roman" w:cs="Times New Roman"/>
          <w:sz w:val="24"/>
          <w:szCs w:val="24"/>
        </w:rPr>
      </w:pPr>
      <w:r w:rsidRPr="0080460F">
        <w:rPr>
          <w:rFonts w:ascii="Times New Roman" w:eastAsia="MS Mincho" w:hAnsi="Times New Roman" w:cs="Times New Roman"/>
          <w:sz w:val="24"/>
          <w:szCs w:val="24"/>
        </w:rPr>
        <w:t xml:space="preserve">Consistent with the four strands of literature reviewed above, the finance-growth nexus is intensely debated in empirical literature, with studies providing mixed evidence on the impact and direction of causality between financial depth and economic growth. There is evidence in support of the finance-led growth (see e.g. King and Levine, 1993; </w:t>
      </w:r>
      <w:r w:rsidRPr="0080460F">
        <w:rPr>
          <w:rFonts w:ascii="Times New Roman" w:eastAsia="MS Mincho" w:hAnsi="Times New Roman" w:cs="Times New Roman"/>
          <w:sz w:val="24"/>
          <w:szCs w:val="24"/>
        </w:rPr>
        <w:lastRenderedPageBreak/>
        <w:t xml:space="preserve">Beck et al., 2000; Levine et al, 2000), while others have shown </w:t>
      </w:r>
      <w:r>
        <w:rPr>
          <w:rFonts w:ascii="Times New Roman" w:eastAsia="MS Mincho" w:hAnsi="Times New Roman" w:cs="Times New Roman"/>
          <w:sz w:val="24"/>
          <w:szCs w:val="24"/>
        </w:rPr>
        <w:t xml:space="preserve">that </w:t>
      </w:r>
      <w:r w:rsidRPr="0080460F">
        <w:rPr>
          <w:rFonts w:ascii="Times New Roman" w:eastAsia="MS Mincho" w:hAnsi="Times New Roman" w:cs="Times New Roman"/>
          <w:sz w:val="24"/>
          <w:szCs w:val="24"/>
        </w:rPr>
        <w:t xml:space="preserve">there is a positive two-way causality between financial development and economic growth for a sample of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 xml:space="preserve">countries investigated (e.g. Demetriades and Hussein, 1996). If one considers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studies on African countries, the evidence is similarly mixed, with some country-specific studies providing strong support for the supply-leading hypothesis</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 xml:space="preserve"> as in the case of Sierra Leone (e.g. Kargbo and Adamu, 2009). Other studies have supported the demand-following hypothesis</w:t>
      </w:r>
      <w:r>
        <w:rPr>
          <w:rFonts w:ascii="Times New Roman" w:eastAsia="MS Mincho" w:hAnsi="Times New Roman" w:cs="Times New Roman"/>
          <w:sz w:val="24"/>
          <w:szCs w:val="24"/>
        </w:rPr>
        <w:t>, as the one</w:t>
      </w:r>
      <w:r w:rsidRPr="0080460F">
        <w:rPr>
          <w:rFonts w:ascii="Times New Roman" w:eastAsia="MS Mincho" w:hAnsi="Times New Roman" w:cs="Times New Roman"/>
          <w:sz w:val="24"/>
          <w:szCs w:val="24"/>
        </w:rPr>
        <w:t xml:space="preserve"> in Ghana (Quartey and Prah, 2008). A similar conclusion is reached on the demand-following path in related studies for Tanzania (Odhiambo, 2005) and Kenya (Odhiambo, 2008). This finding is consistent with the strong support for the demand-following outcome established in Kenya and South Africa (Odhiambo, 2007). However, a few studies have shown that financial development can either promote economic growth or exert a dampening effect</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 xml:space="preserve"> depending on the indicator of financial development used (Adu et al, 2013).</w:t>
      </w:r>
    </w:p>
    <w:p w14:paraId="5E07E4F3" w14:textId="73EEF8EA" w:rsidR="00AB1527" w:rsidRPr="0080460F" w:rsidRDefault="00AB1527" w:rsidP="008E4E1C">
      <w:pPr>
        <w:spacing w:after="240" w:line="360" w:lineRule="auto"/>
        <w:jc w:val="both"/>
        <w:rPr>
          <w:rFonts w:ascii="Times New Roman" w:eastAsia="MS Mincho" w:hAnsi="Times New Roman" w:cs="Times New Roman"/>
          <w:sz w:val="24"/>
          <w:szCs w:val="24"/>
        </w:rPr>
      </w:pPr>
      <w:r>
        <w:rPr>
          <w:rFonts w:ascii="Times New Roman" w:eastAsia="MS Mincho" w:hAnsi="Times New Roman" w:cs="Times New Roman"/>
          <w:sz w:val="24"/>
          <w:szCs w:val="24"/>
        </w:rPr>
        <w:t>A t</w:t>
      </w:r>
      <w:r w:rsidRPr="0080460F">
        <w:rPr>
          <w:rFonts w:ascii="Times New Roman" w:eastAsia="MS Mincho" w:hAnsi="Times New Roman" w:cs="Times New Roman"/>
          <w:sz w:val="24"/>
          <w:szCs w:val="24"/>
        </w:rPr>
        <w:t xml:space="preserve">ime series regression was used by Odedokum (1996) for </w:t>
      </w:r>
      <w:r>
        <w:rPr>
          <w:rFonts w:ascii="Times New Roman" w:eastAsia="MS Mincho" w:hAnsi="Times New Roman" w:cs="Times New Roman"/>
          <w:sz w:val="24"/>
          <w:szCs w:val="24"/>
        </w:rPr>
        <w:t xml:space="preserve">observing </w:t>
      </w:r>
      <w:r w:rsidRPr="0080460F">
        <w:rPr>
          <w:rFonts w:ascii="Times New Roman" w:eastAsia="MS Mincho" w:hAnsi="Times New Roman" w:cs="Times New Roman"/>
          <w:sz w:val="24"/>
          <w:szCs w:val="24"/>
        </w:rPr>
        <w:t xml:space="preserve">71 emerging market countries between 1960 and 1980 </w:t>
      </w:r>
      <w:r>
        <w:rPr>
          <w:rFonts w:ascii="Times New Roman" w:eastAsia="MS Mincho" w:hAnsi="Times New Roman" w:cs="Times New Roman"/>
          <w:sz w:val="24"/>
          <w:szCs w:val="24"/>
        </w:rPr>
        <w:t>which</w:t>
      </w:r>
      <w:r w:rsidRPr="0080460F">
        <w:rPr>
          <w:rFonts w:ascii="Times New Roman" w:eastAsia="MS Mincho" w:hAnsi="Times New Roman" w:cs="Times New Roman"/>
          <w:sz w:val="24"/>
          <w:szCs w:val="24"/>
        </w:rPr>
        <w:t xml:space="preserve"> discovered that in about 85% of the countries, economic productivity was promoted by financial intermediation. Furthermore, 13 Organizational for Economic Corporation and Development (OECCD) countries were examined using time series regression by Neusser and Kugler (1998) between the periods of 1970-1991. A positive correlation between productivity and financial development was revealed by </w:t>
      </w:r>
      <w:r>
        <w:rPr>
          <w:rFonts w:ascii="Times New Roman" w:eastAsia="MS Mincho" w:hAnsi="Times New Roman" w:cs="Times New Roman"/>
          <w:sz w:val="24"/>
          <w:szCs w:val="24"/>
        </w:rPr>
        <w:t>this</w:t>
      </w:r>
      <w:r w:rsidRPr="0080460F">
        <w:rPr>
          <w:rFonts w:ascii="Times New Roman" w:eastAsia="MS Mincho" w:hAnsi="Times New Roman" w:cs="Times New Roman"/>
          <w:sz w:val="24"/>
          <w:szCs w:val="24"/>
        </w:rPr>
        <w:t xml:space="preserve"> study.</w:t>
      </w:r>
    </w:p>
    <w:p w14:paraId="6FE736C2" w14:textId="638D8A4C" w:rsidR="00AB1527" w:rsidRPr="0080460F" w:rsidRDefault="00AB1527" w:rsidP="008E4E1C">
      <w:pPr>
        <w:spacing w:after="240" w:line="360" w:lineRule="auto"/>
        <w:jc w:val="both"/>
        <w:rPr>
          <w:rFonts w:ascii="Times New Roman" w:eastAsia="MS Mincho" w:hAnsi="Times New Roman" w:cs="Times New Roman"/>
          <w:sz w:val="24"/>
          <w:szCs w:val="24"/>
        </w:rPr>
      </w:pPr>
      <w:r w:rsidRPr="0080460F">
        <w:rPr>
          <w:rFonts w:ascii="Times New Roman" w:eastAsia="MS Mincho" w:hAnsi="Times New Roman" w:cs="Times New Roman"/>
          <w:sz w:val="24"/>
          <w:szCs w:val="24"/>
        </w:rPr>
        <w:t xml:space="preserve">Although a positive relationship between economic productivity and financial development </w:t>
      </w:r>
      <w:r>
        <w:rPr>
          <w:rFonts w:ascii="Times New Roman" w:eastAsia="MS Mincho" w:hAnsi="Times New Roman" w:cs="Times New Roman"/>
          <w:sz w:val="24"/>
          <w:szCs w:val="24"/>
        </w:rPr>
        <w:t>has</w:t>
      </w:r>
      <w:r w:rsidRPr="0080460F">
        <w:rPr>
          <w:rFonts w:ascii="Times New Roman" w:eastAsia="MS Mincho" w:hAnsi="Times New Roman" w:cs="Times New Roman"/>
          <w:sz w:val="24"/>
          <w:szCs w:val="24"/>
        </w:rPr>
        <w:t xml:space="preserve"> been found by the empirical literature, an appropriate indicator of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 xml:space="preserve">financial development consensus </w:t>
      </w:r>
      <w:r>
        <w:rPr>
          <w:rFonts w:ascii="Times New Roman" w:eastAsia="MS Mincho" w:hAnsi="Times New Roman" w:cs="Times New Roman"/>
          <w:sz w:val="24"/>
          <w:szCs w:val="24"/>
        </w:rPr>
        <w:t>has</w:t>
      </w:r>
      <w:r w:rsidRPr="0080460F">
        <w:rPr>
          <w:rFonts w:ascii="Times New Roman" w:eastAsia="MS Mincho" w:hAnsi="Times New Roman" w:cs="Times New Roman"/>
          <w:sz w:val="24"/>
          <w:szCs w:val="24"/>
        </w:rPr>
        <w:t xml:space="preserve"> not been established</w:t>
      </w:r>
      <w:r>
        <w:rPr>
          <w:rFonts w:ascii="Times New Roman" w:eastAsia="MS Mincho" w:hAnsi="Times New Roman" w:cs="Times New Roman"/>
          <w:sz w:val="24"/>
          <w:szCs w:val="24"/>
        </w:rPr>
        <w:t xml:space="preserve"> yet</w:t>
      </w:r>
      <w:r w:rsidRPr="0080460F">
        <w:rPr>
          <w:rFonts w:ascii="Times New Roman" w:eastAsia="MS Mincho" w:hAnsi="Times New Roman" w:cs="Times New Roman"/>
          <w:sz w:val="24"/>
          <w:szCs w:val="24"/>
        </w:rPr>
        <w:t>. The use of different indicators of financial development in emerging markets</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 xml:space="preserve"> as in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previous literatures</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 xml:space="preserve"> may not be the best approach to capture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 xml:space="preserve">efforts of the government to improve the sector. As such, </w:t>
      </w:r>
      <w:r>
        <w:rPr>
          <w:rFonts w:ascii="Times New Roman" w:eastAsia="MS Mincho" w:hAnsi="Times New Roman" w:cs="Times New Roman"/>
          <w:sz w:val="24"/>
          <w:szCs w:val="24"/>
        </w:rPr>
        <w:t>examining</w:t>
      </w:r>
      <w:r w:rsidRPr="0080460F">
        <w:rPr>
          <w:rFonts w:ascii="Times New Roman" w:eastAsia="MS Mincho" w:hAnsi="Times New Roman" w:cs="Times New Roman"/>
          <w:sz w:val="24"/>
          <w:szCs w:val="24"/>
        </w:rPr>
        <w:t xml:space="preserve"> which view is applicable for </w:t>
      </w:r>
      <w:r>
        <w:rPr>
          <w:rFonts w:ascii="Times New Roman" w:eastAsia="MS Mincho" w:hAnsi="Times New Roman" w:cs="Times New Roman"/>
          <w:sz w:val="24"/>
          <w:szCs w:val="24"/>
        </w:rPr>
        <w:t xml:space="preserve">a </w:t>
      </w:r>
      <w:r w:rsidRPr="0080460F">
        <w:rPr>
          <w:rFonts w:ascii="Times New Roman" w:eastAsia="MS Mincho" w:hAnsi="Times New Roman" w:cs="Times New Roman"/>
          <w:sz w:val="24"/>
          <w:szCs w:val="24"/>
        </w:rPr>
        <w:t>finance-productivity relationship in emerging market countries</w:t>
      </w:r>
      <w:r>
        <w:rPr>
          <w:rFonts w:ascii="Times New Roman" w:eastAsia="MS Mincho" w:hAnsi="Times New Roman" w:cs="Times New Roman"/>
          <w:sz w:val="24"/>
          <w:szCs w:val="24"/>
        </w:rPr>
        <w:t xml:space="preserve"> is necessary</w:t>
      </w:r>
      <w:r w:rsidRPr="0080460F">
        <w:rPr>
          <w:rFonts w:ascii="Times New Roman" w:eastAsia="MS Mincho" w:hAnsi="Times New Roman" w:cs="Times New Roman"/>
          <w:sz w:val="24"/>
          <w:szCs w:val="24"/>
        </w:rPr>
        <w:t xml:space="preserve"> as it will give a better guide to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 xml:space="preserve">policy makers </w:t>
      </w:r>
      <w:r>
        <w:rPr>
          <w:rFonts w:ascii="Times New Roman" w:eastAsia="MS Mincho" w:hAnsi="Times New Roman" w:cs="Times New Roman"/>
          <w:sz w:val="24"/>
          <w:szCs w:val="24"/>
        </w:rPr>
        <w:t>in</w:t>
      </w:r>
      <w:r w:rsidRPr="0080460F">
        <w:rPr>
          <w:rFonts w:ascii="Times New Roman" w:eastAsia="MS Mincho" w:hAnsi="Times New Roman" w:cs="Times New Roman"/>
          <w:sz w:val="24"/>
          <w:szCs w:val="24"/>
        </w:rPr>
        <w:t xml:space="preserve">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formulation</w:t>
      </w:r>
      <w:r w:rsidRPr="0085506C">
        <w:rPr>
          <w:rFonts w:ascii="Times New Roman" w:eastAsia="MS Mincho" w:hAnsi="Times New Roman" w:cs="Times New Roman"/>
          <w:sz w:val="24"/>
          <w:szCs w:val="24"/>
        </w:rPr>
        <w:t xml:space="preserve"> </w:t>
      </w:r>
      <w:r>
        <w:rPr>
          <w:rFonts w:ascii="Times New Roman" w:eastAsia="MS Mincho" w:hAnsi="Times New Roman" w:cs="Times New Roman"/>
          <w:sz w:val="24"/>
          <w:szCs w:val="24"/>
        </w:rPr>
        <w:t xml:space="preserve">of </w:t>
      </w:r>
      <w:r w:rsidRPr="0080460F">
        <w:rPr>
          <w:rFonts w:ascii="Times New Roman" w:eastAsia="MS Mincho" w:hAnsi="Times New Roman" w:cs="Times New Roman"/>
          <w:sz w:val="24"/>
          <w:szCs w:val="24"/>
        </w:rPr>
        <w:t>policies.</w:t>
      </w:r>
    </w:p>
    <w:p w14:paraId="142CB3AE" w14:textId="23C84504" w:rsidR="00AB1527" w:rsidRPr="0080460F" w:rsidRDefault="00AB1527" w:rsidP="008E4E1C">
      <w:pPr>
        <w:spacing w:after="240" w:line="360" w:lineRule="auto"/>
        <w:jc w:val="both"/>
        <w:rPr>
          <w:rFonts w:ascii="Times New Roman" w:eastAsia="MS Mincho" w:hAnsi="Times New Roman" w:cs="Times New Roman"/>
          <w:sz w:val="24"/>
          <w:szCs w:val="24"/>
        </w:rPr>
      </w:pPr>
      <w:r w:rsidRPr="0080460F">
        <w:rPr>
          <w:rFonts w:ascii="Times New Roman" w:eastAsia="MS Mincho" w:hAnsi="Times New Roman" w:cs="Times New Roman"/>
          <w:sz w:val="24"/>
          <w:szCs w:val="24"/>
        </w:rPr>
        <w:t>Korea</w:t>
      </w:r>
      <w:r>
        <w:rPr>
          <w:rFonts w:ascii="Times New Roman" w:eastAsia="MS Mincho" w:hAnsi="Times New Roman" w:cs="Times New Roman"/>
          <w:sz w:val="24"/>
          <w:szCs w:val="24"/>
        </w:rPr>
        <w:t xml:space="preserve"> is</w:t>
      </w:r>
      <w:r w:rsidRPr="0080460F">
        <w:rPr>
          <w:rFonts w:ascii="Times New Roman" w:eastAsia="MS Mincho" w:hAnsi="Times New Roman" w:cs="Times New Roman"/>
          <w:sz w:val="24"/>
          <w:szCs w:val="24"/>
        </w:rPr>
        <w:t xml:space="preserve"> one of the countries </w:t>
      </w:r>
      <w:r>
        <w:rPr>
          <w:rFonts w:ascii="Times New Roman" w:eastAsia="MS Mincho" w:hAnsi="Times New Roman" w:cs="Times New Roman"/>
          <w:sz w:val="24"/>
          <w:szCs w:val="24"/>
        </w:rPr>
        <w:t>among</w:t>
      </w:r>
      <w:r w:rsidRPr="0080460F">
        <w:rPr>
          <w:rFonts w:ascii="Times New Roman" w:eastAsia="MS Mincho" w:hAnsi="Times New Roman" w:cs="Times New Roman"/>
          <w:sz w:val="24"/>
          <w:szCs w:val="24"/>
        </w:rPr>
        <w:t xml:space="preserve"> the emerging market</w:t>
      </w:r>
      <w:r>
        <w:rPr>
          <w:rFonts w:ascii="Times New Roman" w:eastAsia="MS Mincho" w:hAnsi="Times New Roman" w:cs="Times New Roman"/>
          <w:sz w:val="24"/>
          <w:szCs w:val="24"/>
        </w:rPr>
        <w:t>s</w:t>
      </w:r>
      <w:r w:rsidRPr="0080460F">
        <w:rPr>
          <w:rFonts w:ascii="Times New Roman" w:eastAsia="MS Mincho" w:hAnsi="Times New Roman" w:cs="Times New Roman"/>
          <w:sz w:val="24"/>
          <w:szCs w:val="24"/>
        </w:rPr>
        <w:t xml:space="preserve"> </w:t>
      </w:r>
      <w:r>
        <w:rPr>
          <w:rFonts w:ascii="Times New Roman" w:eastAsia="MS Mincho" w:hAnsi="Times New Roman" w:cs="Times New Roman"/>
          <w:sz w:val="24"/>
          <w:szCs w:val="24"/>
        </w:rPr>
        <w:t>which</w:t>
      </w:r>
      <w:r w:rsidRPr="0080460F">
        <w:rPr>
          <w:rFonts w:ascii="Times New Roman" w:eastAsia="MS Mincho" w:hAnsi="Times New Roman" w:cs="Times New Roman"/>
          <w:sz w:val="24"/>
          <w:szCs w:val="24"/>
        </w:rPr>
        <w:t xml:space="preserve"> has experienced high investment rate</w:t>
      </w:r>
      <w:r>
        <w:rPr>
          <w:rFonts w:ascii="Times New Roman" w:eastAsia="MS Mincho" w:hAnsi="Times New Roman" w:cs="Times New Roman"/>
          <w:sz w:val="24"/>
          <w:szCs w:val="24"/>
        </w:rPr>
        <w:t>s</w:t>
      </w:r>
      <w:r w:rsidRPr="0080460F">
        <w:rPr>
          <w:rFonts w:ascii="Times New Roman" w:eastAsia="MS Mincho" w:hAnsi="Times New Roman" w:cs="Times New Roman"/>
          <w:sz w:val="24"/>
          <w:szCs w:val="24"/>
        </w:rPr>
        <w:t xml:space="preserve">, emphasis on general education reforms, stability in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macroeconomic environment</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 xml:space="preserve"> and booming exports between 1960 and 1980 that led to high productivity. This growth was attributed </w:t>
      </w:r>
      <w:r>
        <w:rPr>
          <w:rFonts w:ascii="Times New Roman" w:eastAsia="MS Mincho" w:hAnsi="Times New Roman" w:cs="Times New Roman"/>
          <w:sz w:val="24"/>
          <w:szCs w:val="24"/>
        </w:rPr>
        <w:t>to the</w:t>
      </w:r>
      <w:r w:rsidRPr="0080460F">
        <w:rPr>
          <w:rFonts w:ascii="Times New Roman" w:eastAsia="MS Mincho" w:hAnsi="Times New Roman" w:cs="Times New Roman"/>
          <w:sz w:val="24"/>
          <w:szCs w:val="24"/>
        </w:rPr>
        <w:t xml:space="preserve"> reforms made by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 xml:space="preserve">government </w:t>
      </w:r>
      <w:r w:rsidRPr="0080460F">
        <w:rPr>
          <w:rFonts w:ascii="Times New Roman" w:eastAsia="MS Mincho" w:hAnsi="Times New Roman" w:cs="Times New Roman"/>
          <w:sz w:val="24"/>
          <w:szCs w:val="24"/>
        </w:rPr>
        <w:lastRenderedPageBreak/>
        <w:t xml:space="preserve">that </w:t>
      </w:r>
      <w:r>
        <w:rPr>
          <w:rFonts w:ascii="Times New Roman" w:eastAsia="MS Mincho" w:hAnsi="Times New Roman" w:cs="Times New Roman"/>
          <w:sz w:val="24"/>
          <w:szCs w:val="24"/>
        </w:rPr>
        <w:t xml:space="preserve">enabled </w:t>
      </w:r>
      <w:r w:rsidRPr="0080460F">
        <w:rPr>
          <w:rFonts w:ascii="Times New Roman" w:eastAsia="MS Mincho" w:hAnsi="Times New Roman" w:cs="Times New Roman"/>
          <w:sz w:val="24"/>
          <w:szCs w:val="24"/>
        </w:rPr>
        <w:t>market function revitalization through privatization</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 xml:space="preserve"> economic liberalization</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 xml:space="preserve"> abolition</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 xml:space="preserve"> and exit market restriction</w:t>
      </w:r>
      <w:r>
        <w:rPr>
          <w:rFonts w:ascii="Times New Roman" w:eastAsia="MS Mincho" w:hAnsi="Times New Roman" w:cs="Times New Roman"/>
          <w:sz w:val="24"/>
          <w:szCs w:val="24"/>
        </w:rPr>
        <w:t>s</w:t>
      </w:r>
      <w:r w:rsidRPr="0080460F">
        <w:rPr>
          <w:rFonts w:ascii="Times New Roman" w:eastAsia="MS Mincho" w:hAnsi="Times New Roman" w:cs="Times New Roman"/>
          <w:sz w:val="24"/>
          <w:szCs w:val="24"/>
        </w:rPr>
        <w:t xml:space="preserve">. Variety of incentives were issued to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 xml:space="preserve">exporters, in-plant and vocational training was offered to upgrade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 xml:space="preserve">key sectors so that the country </w:t>
      </w:r>
      <w:r>
        <w:rPr>
          <w:rFonts w:ascii="Times New Roman" w:eastAsia="MS Mincho" w:hAnsi="Times New Roman" w:cs="Times New Roman"/>
          <w:sz w:val="24"/>
          <w:szCs w:val="24"/>
        </w:rPr>
        <w:t>could</w:t>
      </w:r>
      <w:r w:rsidRPr="0080460F">
        <w:rPr>
          <w:rFonts w:ascii="Times New Roman" w:eastAsia="MS Mincho" w:hAnsi="Times New Roman" w:cs="Times New Roman"/>
          <w:sz w:val="24"/>
          <w:szCs w:val="24"/>
        </w:rPr>
        <w:t xml:space="preserve"> sustain investment productivity and maintain external competitiveness.</w:t>
      </w:r>
    </w:p>
    <w:p w14:paraId="11F5CFCA" w14:textId="109BDC29" w:rsidR="00AB1527" w:rsidRPr="0080460F" w:rsidRDefault="00AB1527" w:rsidP="008E4E1C">
      <w:pPr>
        <w:spacing w:after="240" w:line="360" w:lineRule="auto"/>
        <w:jc w:val="both"/>
        <w:rPr>
          <w:rFonts w:ascii="Times New Roman" w:eastAsia="MS Mincho" w:hAnsi="Times New Roman" w:cs="Times New Roman"/>
          <w:sz w:val="24"/>
          <w:szCs w:val="24"/>
        </w:rPr>
      </w:pPr>
      <w:r w:rsidRPr="0080460F">
        <w:rPr>
          <w:rFonts w:ascii="Times New Roman" w:eastAsia="MS Mincho" w:hAnsi="Times New Roman" w:cs="Times New Roman"/>
          <w:sz w:val="24"/>
          <w:szCs w:val="24"/>
        </w:rPr>
        <w:t>In 2013</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 xml:space="preserve"> productivity was increased by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real and financial sector reforms through distortions and reducing the government</w:t>
      </w:r>
      <w:r>
        <w:rPr>
          <w:rFonts w:ascii="Times New Roman" w:eastAsia="MS Mincho" w:hAnsi="Times New Roman" w:cs="Times New Roman"/>
          <w:sz w:val="24"/>
          <w:szCs w:val="24"/>
        </w:rPr>
        <w:t>’s</w:t>
      </w:r>
      <w:r w:rsidRPr="0080460F">
        <w:rPr>
          <w:rFonts w:ascii="Times New Roman" w:eastAsia="MS Mincho" w:hAnsi="Times New Roman" w:cs="Times New Roman"/>
          <w:sz w:val="24"/>
          <w:szCs w:val="24"/>
        </w:rPr>
        <w:t xml:space="preserve"> role in the economy while boosting allocation efficien</w:t>
      </w:r>
      <w:r>
        <w:rPr>
          <w:rFonts w:ascii="Times New Roman" w:eastAsia="MS Mincho" w:hAnsi="Times New Roman" w:cs="Times New Roman"/>
          <w:sz w:val="24"/>
          <w:szCs w:val="24"/>
        </w:rPr>
        <w:t>cy</w:t>
      </w:r>
      <w:r w:rsidRPr="0080460F">
        <w:rPr>
          <w:rFonts w:ascii="Times New Roman" w:eastAsia="MS Mincho" w:hAnsi="Times New Roman" w:cs="Times New Roman"/>
          <w:sz w:val="24"/>
          <w:szCs w:val="24"/>
        </w:rPr>
        <w:t xml:space="preserve"> and changing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incentive</w:t>
      </w:r>
      <w:r>
        <w:rPr>
          <w:rFonts w:ascii="Times New Roman" w:eastAsia="MS Mincho" w:hAnsi="Times New Roman" w:cs="Times New Roman"/>
          <w:sz w:val="24"/>
          <w:szCs w:val="24"/>
        </w:rPr>
        <w:t>s</w:t>
      </w:r>
      <w:r w:rsidRPr="0080460F">
        <w:rPr>
          <w:rFonts w:ascii="Times New Roman" w:eastAsia="MS Mincho" w:hAnsi="Times New Roman" w:cs="Times New Roman"/>
          <w:sz w:val="24"/>
          <w:szCs w:val="24"/>
        </w:rPr>
        <w:t xml:space="preserve">. </w:t>
      </w:r>
      <w:r>
        <w:rPr>
          <w:rFonts w:ascii="Times New Roman" w:eastAsia="MS Mincho" w:hAnsi="Times New Roman" w:cs="Times New Roman"/>
          <w:sz w:val="24"/>
          <w:szCs w:val="24"/>
        </w:rPr>
        <w:t>The e</w:t>
      </w:r>
      <w:r w:rsidRPr="0080460F">
        <w:rPr>
          <w:rFonts w:ascii="Times New Roman" w:eastAsia="MS Mincho" w:hAnsi="Times New Roman" w:cs="Times New Roman"/>
          <w:sz w:val="24"/>
          <w:szCs w:val="24"/>
        </w:rPr>
        <w:t>xisting credit market imperfections</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 xml:space="preserve"> which resulted </w:t>
      </w:r>
      <w:r>
        <w:rPr>
          <w:rFonts w:ascii="Times New Roman" w:eastAsia="MS Mincho" w:hAnsi="Times New Roman" w:cs="Times New Roman"/>
          <w:sz w:val="24"/>
          <w:szCs w:val="24"/>
        </w:rPr>
        <w:t>in</w:t>
      </w:r>
      <w:r w:rsidRPr="0080460F">
        <w:rPr>
          <w:rFonts w:ascii="Times New Roman" w:eastAsia="MS Mincho" w:hAnsi="Times New Roman" w:cs="Times New Roman"/>
          <w:sz w:val="24"/>
          <w:szCs w:val="24"/>
        </w:rPr>
        <w:t xml:space="preserve"> capital misallocation</w:t>
      </w:r>
      <w:r>
        <w:rPr>
          <w:rFonts w:ascii="Times New Roman" w:eastAsia="MS Mincho" w:hAnsi="Times New Roman" w:cs="Times New Roman"/>
          <w:sz w:val="24"/>
          <w:szCs w:val="24"/>
        </w:rPr>
        <w:t>s,</w:t>
      </w:r>
      <w:r w:rsidRPr="0080460F">
        <w:rPr>
          <w:rFonts w:ascii="Times New Roman" w:eastAsia="MS Mincho" w:hAnsi="Times New Roman" w:cs="Times New Roman"/>
          <w:sz w:val="24"/>
          <w:szCs w:val="24"/>
        </w:rPr>
        <w:t xml:space="preserve"> were eliminated by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financial reforms. A case study of Korea</w:t>
      </w:r>
      <w:r>
        <w:rPr>
          <w:rFonts w:ascii="Times New Roman" w:eastAsia="MS Mincho" w:hAnsi="Times New Roman" w:cs="Times New Roman"/>
          <w:sz w:val="24"/>
          <w:szCs w:val="24"/>
        </w:rPr>
        <w:t>’s</w:t>
      </w:r>
      <w:r w:rsidRPr="0080460F">
        <w:rPr>
          <w:rFonts w:ascii="Times New Roman" w:eastAsia="MS Mincho" w:hAnsi="Times New Roman" w:cs="Times New Roman"/>
          <w:sz w:val="24"/>
          <w:szCs w:val="24"/>
        </w:rPr>
        <w:t xml:space="preserve"> experience </w:t>
      </w:r>
      <w:r>
        <w:rPr>
          <w:rFonts w:ascii="Times New Roman" w:eastAsia="MS Mincho" w:hAnsi="Times New Roman" w:cs="Times New Roman"/>
          <w:sz w:val="24"/>
          <w:szCs w:val="24"/>
        </w:rPr>
        <w:t xml:space="preserve">with </w:t>
      </w:r>
      <w:r w:rsidRPr="0080460F">
        <w:rPr>
          <w:rFonts w:ascii="Times New Roman" w:eastAsia="MS Mincho" w:hAnsi="Times New Roman" w:cs="Times New Roman"/>
          <w:sz w:val="24"/>
          <w:szCs w:val="24"/>
        </w:rPr>
        <w:t xml:space="preserve">dismantling </w:t>
      </w:r>
      <w:r>
        <w:rPr>
          <w:rFonts w:ascii="Times New Roman" w:eastAsia="MS Mincho" w:hAnsi="Times New Roman" w:cs="Times New Roman"/>
          <w:sz w:val="24"/>
          <w:szCs w:val="24"/>
        </w:rPr>
        <w:t>the</w:t>
      </w:r>
      <w:r w:rsidRPr="0080460F">
        <w:rPr>
          <w:rFonts w:ascii="Times New Roman" w:eastAsia="MS Mincho" w:hAnsi="Times New Roman" w:cs="Times New Roman"/>
          <w:sz w:val="24"/>
          <w:szCs w:val="24"/>
        </w:rPr>
        <w:t xml:space="preserve"> barriers of trade </w:t>
      </w:r>
      <w:r>
        <w:rPr>
          <w:rFonts w:ascii="Times New Roman" w:eastAsia="MS Mincho" w:hAnsi="Times New Roman" w:cs="Times New Roman"/>
          <w:sz w:val="24"/>
          <w:szCs w:val="24"/>
        </w:rPr>
        <w:t>showed</w:t>
      </w:r>
      <w:r w:rsidRPr="0080460F">
        <w:rPr>
          <w:rFonts w:ascii="Times New Roman" w:eastAsia="MS Mincho" w:hAnsi="Times New Roman" w:cs="Times New Roman"/>
          <w:sz w:val="24"/>
          <w:szCs w:val="24"/>
        </w:rPr>
        <w:t xml:space="preserve"> technological transfer facilitation, efficiency improvements, induction</w:t>
      </w:r>
      <w:r>
        <w:rPr>
          <w:rFonts w:ascii="Times New Roman" w:eastAsia="MS Mincho" w:hAnsi="Times New Roman" w:cs="Times New Roman"/>
          <w:sz w:val="24"/>
          <w:szCs w:val="24"/>
        </w:rPr>
        <w:t>s,</w:t>
      </w:r>
      <w:r w:rsidRPr="0080460F">
        <w:rPr>
          <w:rFonts w:ascii="Times New Roman" w:eastAsia="MS Mincho" w:hAnsi="Times New Roman" w:cs="Times New Roman"/>
          <w:sz w:val="24"/>
          <w:szCs w:val="24"/>
        </w:rPr>
        <w:t xml:space="preserve"> and increased product market competition</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 xml:space="preserve"> both within and across sectors. Similarly, labor mobility to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 xml:space="preserve">higher productivity sectors have been facilitated by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 xml:space="preserve">liberalization of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agricultural sector in China and Vietnam (Islam, Shahbaz, Ahmed &amp; Alam, 2013).</w:t>
      </w:r>
    </w:p>
    <w:p w14:paraId="1E3126FE" w14:textId="02D6F5F4" w:rsidR="00AB1527" w:rsidRPr="0080460F" w:rsidRDefault="00AB1527" w:rsidP="008E4E1C">
      <w:pPr>
        <w:spacing w:after="240" w:line="360" w:lineRule="auto"/>
        <w:jc w:val="both"/>
        <w:rPr>
          <w:rFonts w:ascii="Times New Roman" w:eastAsia="MS Mincho" w:hAnsi="Times New Roman" w:cs="Times New Roman"/>
          <w:sz w:val="24"/>
          <w:szCs w:val="24"/>
        </w:rPr>
      </w:pPr>
      <w:r w:rsidRPr="0080460F">
        <w:rPr>
          <w:rFonts w:ascii="Times New Roman" w:eastAsia="MS Mincho" w:hAnsi="Times New Roman" w:cs="Times New Roman"/>
          <w:sz w:val="24"/>
          <w:szCs w:val="24"/>
        </w:rPr>
        <w:t xml:space="preserve">The profession of economics </w:t>
      </w:r>
      <w:r>
        <w:rPr>
          <w:rFonts w:ascii="Times New Roman" w:eastAsia="MS Mincho" w:hAnsi="Times New Roman" w:cs="Times New Roman"/>
          <w:sz w:val="24"/>
          <w:szCs w:val="24"/>
        </w:rPr>
        <w:t>and</w:t>
      </w:r>
      <w:r w:rsidRPr="0080460F">
        <w:rPr>
          <w:rFonts w:ascii="Times New Roman" w:eastAsia="MS Mincho" w:hAnsi="Times New Roman" w:cs="Times New Roman"/>
          <w:sz w:val="24"/>
          <w:szCs w:val="24"/>
        </w:rPr>
        <w:t xml:space="preserve"> its views of the basic driving factors </w:t>
      </w:r>
      <w:r>
        <w:rPr>
          <w:rFonts w:ascii="Times New Roman" w:eastAsia="MS Mincho" w:hAnsi="Times New Roman" w:cs="Times New Roman"/>
          <w:sz w:val="24"/>
          <w:szCs w:val="24"/>
        </w:rPr>
        <w:t>behind</w:t>
      </w:r>
      <w:r w:rsidRPr="0080460F">
        <w:rPr>
          <w:rFonts w:ascii="Times New Roman" w:eastAsia="MS Mincho" w:hAnsi="Times New Roman" w:cs="Times New Roman"/>
          <w:sz w:val="24"/>
          <w:szCs w:val="24"/>
        </w:rPr>
        <w:t xml:space="preserve"> economic productivity has also evolved. Traditionally,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theories of economic productivity focus on capital accumulation and labor usage as</w:t>
      </w:r>
      <w:r w:rsidRPr="00351B3D">
        <w:rPr>
          <w:rFonts w:ascii="Times New Roman" w:eastAsia="MS Mincho" w:hAnsi="Times New Roman" w:cs="Times New Roman"/>
          <w:sz w:val="24"/>
          <w:szCs w:val="24"/>
        </w:rPr>
        <w:t xml:space="preserve">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 xml:space="preserve">main engines </w:t>
      </w:r>
      <w:r>
        <w:rPr>
          <w:rFonts w:ascii="Times New Roman" w:eastAsia="MS Mincho" w:hAnsi="Times New Roman" w:cs="Times New Roman"/>
          <w:sz w:val="24"/>
          <w:szCs w:val="24"/>
        </w:rPr>
        <w:t xml:space="preserve">for </w:t>
      </w:r>
      <w:r w:rsidRPr="0080460F">
        <w:rPr>
          <w:rFonts w:ascii="Times New Roman" w:eastAsia="MS Mincho" w:hAnsi="Times New Roman" w:cs="Times New Roman"/>
          <w:sz w:val="24"/>
          <w:szCs w:val="24"/>
        </w:rPr>
        <w:t>long-run productivity. However, the approach has failed because diminishing returns for a given labor force limits the impact of capital accumulation. As such,</w:t>
      </w:r>
      <w:r>
        <w:rPr>
          <w:rFonts w:ascii="Times New Roman" w:eastAsia="MS Mincho" w:hAnsi="Times New Roman" w:cs="Times New Roman"/>
          <w:sz w:val="24"/>
          <w:szCs w:val="24"/>
        </w:rPr>
        <w:t xml:space="preserve"> the</w:t>
      </w:r>
      <w:r w:rsidRPr="0080460F">
        <w:rPr>
          <w:rFonts w:ascii="Times New Roman" w:eastAsia="MS Mincho" w:hAnsi="Times New Roman" w:cs="Times New Roman"/>
          <w:sz w:val="24"/>
          <w:szCs w:val="24"/>
        </w:rPr>
        <w:t xml:space="preserve"> addition of each capital unit will have a smaller marginal improvement </w:t>
      </w:r>
      <w:r>
        <w:rPr>
          <w:rFonts w:ascii="Times New Roman" w:eastAsia="MS Mincho" w:hAnsi="Times New Roman" w:cs="Times New Roman"/>
          <w:sz w:val="24"/>
          <w:szCs w:val="24"/>
        </w:rPr>
        <w:t>in</w:t>
      </w:r>
      <w:r w:rsidRPr="0080460F">
        <w:rPr>
          <w:rFonts w:ascii="Times New Roman" w:eastAsia="MS Mincho" w:hAnsi="Times New Roman" w:cs="Times New Roman"/>
          <w:sz w:val="24"/>
          <w:szCs w:val="24"/>
        </w:rPr>
        <w:t xml:space="preserve">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 xml:space="preserve">output </w:t>
      </w:r>
      <w:r>
        <w:rPr>
          <w:rFonts w:ascii="Times New Roman" w:eastAsia="MS Mincho" w:hAnsi="Times New Roman" w:cs="Times New Roman"/>
          <w:sz w:val="24"/>
          <w:szCs w:val="24"/>
        </w:rPr>
        <w:t>of</w:t>
      </w:r>
      <w:r w:rsidRPr="0080460F">
        <w:rPr>
          <w:rFonts w:ascii="Times New Roman" w:eastAsia="MS Mincho" w:hAnsi="Times New Roman" w:cs="Times New Roman"/>
          <w:sz w:val="24"/>
          <w:szCs w:val="24"/>
        </w:rPr>
        <w:t xml:space="preserve"> the economy (Gozgor, 2014).</w:t>
      </w:r>
    </w:p>
    <w:p w14:paraId="5EB19100" w14:textId="17151466" w:rsidR="00AB1527" w:rsidRPr="0080460F" w:rsidRDefault="00AB1527" w:rsidP="008E4E1C">
      <w:pPr>
        <w:spacing w:after="240" w:line="360" w:lineRule="auto"/>
        <w:jc w:val="both"/>
        <w:rPr>
          <w:rFonts w:ascii="Times New Roman" w:eastAsia="MS Mincho" w:hAnsi="Times New Roman" w:cs="Times New Roman"/>
          <w:sz w:val="24"/>
          <w:szCs w:val="24"/>
        </w:rPr>
      </w:pPr>
      <w:r w:rsidRPr="0080460F">
        <w:rPr>
          <w:rFonts w:ascii="Times New Roman" w:eastAsia="MS Mincho" w:hAnsi="Times New Roman" w:cs="Times New Roman"/>
          <w:sz w:val="24"/>
          <w:szCs w:val="24"/>
        </w:rPr>
        <w:t xml:space="preserve">In order to isolate the impact of financial development on productivity within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 xml:space="preserve">countries </w:t>
      </w:r>
      <w:r>
        <w:rPr>
          <w:rFonts w:ascii="Times New Roman" w:eastAsia="MS Mincho" w:hAnsi="Times New Roman" w:cs="Times New Roman"/>
          <w:sz w:val="24"/>
          <w:szCs w:val="24"/>
        </w:rPr>
        <w:t>having</w:t>
      </w:r>
      <w:r w:rsidRPr="0080460F">
        <w:rPr>
          <w:rFonts w:ascii="Times New Roman" w:eastAsia="MS Mincho" w:hAnsi="Times New Roman" w:cs="Times New Roman"/>
          <w:sz w:val="24"/>
          <w:szCs w:val="24"/>
        </w:rPr>
        <w:t xml:space="preserve"> </w:t>
      </w:r>
      <w:r>
        <w:rPr>
          <w:rFonts w:ascii="Times New Roman" w:eastAsia="MS Mincho" w:hAnsi="Times New Roman" w:cs="Times New Roman"/>
          <w:sz w:val="24"/>
          <w:szCs w:val="24"/>
        </w:rPr>
        <w:t>an</w:t>
      </w:r>
      <w:r w:rsidRPr="0080460F">
        <w:rPr>
          <w:rFonts w:ascii="Times New Roman" w:eastAsia="MS Mincho" w:hAnsi="Times New Roman" w:cs="Times New Roman"/>
          <w:sz w:val="24"/>
          <w:szCs w:val="24"/>
        </w:rPr>
        <w:t xml:space="preserve"> emerging market, some economists such as Gozgor (2014) have based their arguments on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events that have caused many changes in the size and development of the financial sector</w:t>
      </w:r>
      <w:r>
        <w:rPr>
          <w:rFonts w:ascii="Times New Roman" w:eastAsia="MS Mincho" w:hAnsi="Times New Roman" w:cs="Times New Roman"/>
          <w:sz w:val="24"/>
          <w:szCs w:val="24"/>
        </w:rPr>
        <w:t xml:space="preserve"> </w:t>
      </w:r>
      <w:r w:rsidRPr="0080460F">
        <w:rPr>
          <w:rFonts w:ascii="Times New Roman" w:eastAsia="MS Mincho" w:hAnsi="Times New Roman" w:cs="Times New Roman"/>
          <w:sz w:val="24"/>
          <w:szCs w:val="24"/>
        </w:rPr>
        <w:t>within a very short time. Gozgor (2014)</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 xml:space="preserve"> </w:t>
      </w:r>
      <w:r>
        <w:rPr>
          <w:rFonts w:ascii="Times New Roman" w:eastAsia="MS Mincho" w:hAnsi="Times New Roman" w:cs="Times New Roman"/>
          <w:sz w:val="24"/>
          <w:szCs w:val="24"/>
        </w:rPr>
        <w:t>in</w:t>
      </w:r>
      <w:r w:rsidRPr="0080460F">
        <w:rPr>
          <w:rFonts w:ascii="Times New Roman" w:eastAsia="MS Mincho" w:hAnsi="Times New Roman" w:cs="Times New Roman"/>
          <w:sz w:val="24"/>
          <w:szCs w:val="24"/>
        </w:rPr>
        <w:t xml:space="preserve"> his analysis on the effect of financial development on productivity</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 xml:space="preserve"> used 12 countries </w:t>
      </w:r>
      <w:r>
        <w:rPr>
          <w:rFonts w:ascii="Times New Roman" w:eastAsia="MS Mincho" w:hAnsi="Times New Roman" w:cs="Times New Roman"/>
          <w:sz w:val="24"/>
          <w:szCs w:val="24"/>
        </w:rPr>
        <w:t>with</w:t>
      </w:r>
      <w:r w:rsidRPr="0080460F">
        <w:rPr>
          <w:rFonts w:ascii="Times New Roman" w:eastAsia="MS Mincho" w:hAnsi="Times New Roman" w:cs="Times New Roman"/>
          <w:sz w:val="24"/>
          <w:szCs w:val="24"/>
        </w:rPr>
        <w:t xml:space="preserve"> emerging markets to evaluate if financial liberalizations are accompanied by capital allocation </w:t>
      </w:r>
      <w:r>
        <w:rPr>
          <w:rFonts w:ascii="Times New Roman" w:eastAsia="MS Mincho" w:hAnsi="Times New Roman" w:cs="Times New Roman"/>
          <w:sz w:val="24"/>
          <w:szCs w:val="24"/>
        </w:rPr>
        <w:t>for</w:t>
      </w:r>
      <w:r w:rsidRPr="0080460F">
        <w:rPr>
          <w:rFonts w:ascii="Times New Roman" w:eastAsia="MS Mincho" w:hAnsi="Times New Roman" w:cs="Times New Roman"/>
          <w:sz w:val="24"/>
          <w:szCs w:val="24"/>
        </w:rPr>
        <w:t xml:space="preserve"> a firm</w:t>
      </w:r>
      <w:r>
        <w:rPr>
          <w:rFonts w:ascii="Times New Roman" w:eastAsia="MS Mincho" w:hAnsi="Times New Roman" w:cs="Times New Roman"/>
          <w:sz w:val="24"/>
          <w:szCs w:val="24"/>
        </w:rPr>
        <w:t>’s</w:t>
      </w:r>
      <w:r w:rsidRPr="0080460F">
        <w:rPr>
          <w:rFonts w:ascii="Times New Roman" w:eastAsia="MS Mincho" w:hAnsi="Times New Roman" w:cs="Times New Roman"/>
          <w:sz w:val="24"/>
          <w:szCs w:val="24"/>
        </w:rPr>
        <w:t xml:space="preserve"> improvement. The result showed that</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 xml:space="preserve"> for financial liberalization to effectively increase productivity</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 xml:space="preserve"> it cannot work in isolation. Therefore, the legal and economic environment </w:t>
      </w:r>
      <w:r>
        <w:rPr>
          <w:rFonts w:ascii="Times New Roman" w:eastAsia="MS Mincho" w:hAnsi="Times New Roman" w:cs="Times New Roman"/>
          <w:sz w:val="24"/>
          <w:szCs w:val="24"/>
        </w:rPr>
        <w:t>which</w:t>
      </w:r>
      <w:r w:rsidRPr="0080460F">
        <w:rPr>
          <w:rFonts w:ascii="Times New Roman" w:eastAsia="MS Mincho" w:hAnsi="Times New Roman" w:cs="Times New Roman"/>
          <w:sz w:val="24"/>
          <w:szCs w:val="24"/>
        </w:rPr>
        <w:t xml:space="preserve"> </w:t>
      </w:r>
      <w:r>
        <w:rPr>
          <w:rFonts w:ascii="Times New Roman" w:eastAsia="MS Mincho" w:hAnsi="Times New Roman" w:cs="Times New Roman"/>
          <w:sz w:val="24"/>
          <w:szCs w:val="24"/>
        </w:rPr>
        <w:t>affects</w:t>
      </w:r>
      <w:r w:rsidRPr="0080460F">
        <w:rPr>
          <w:rFonts w:ascii="Times New Roman" w:eastAsia="MS Mincho" w:hAnsi="Times New Roman" w:cs="Times New Roman"/>
          <w:sz w:val="24"/>
          <w:szCs w:val="24"/>
        </w:rPr>
        <w:t xml:space="preserve"> productivity needs to be controlled. The author found that reforms in the financial sector have a direct relationship with productivity. </w:t>
      </w:r>
      <w:r w:rsidRPr="0080460F">
        <w:rPr>
          <w:rFonts w:ascii="Times New Roman" w:eastAsia="MS Mincho" w:hAnsi="Times New Roman" w:cs="Times New Roman"/>
          <w:sz w:val="24"/>
          <w:szCs w:val="24"/>
        </w:rPr>
        <w:lastRenderedPageBreak/>
        <w:t>Most countries in the study had similar results</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 xml:space="preserve"> even after holding other possible sources of improvement</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 xml:space="preserve"> such as microeconomic structural reforms</w:t>
      </w:r>
      <w:r>
        <w:rPr>
          <w:rFonts w:ascii="Times New Roman" w:eastAsia="MS Mincho" w:hAnsi="Times New Roman" w:cs="Times New Roman"/>
          <w:sz w:val="24"/>
          <w:szCs w:val="24"/>
        </w:rPr>
        <w:t>, into consideration</w:t>
      </w:r>
      <w:r w:rsidRPr="0080460F">
        <w:rPr>
          <w:rFonts w:ascii="Times New Roman" w:eastAsia="MS Mincho" w:hAnsi="Times New Roman" w:cs="Times New Roman"/>
          <w:sz w:val="24"/>
          <w:szCs w:val="24"/>
        </w:rPr>
        <w:t>.</w:t>
      </w:r>
    </w:p>
    <w:p w14:paraId="5D1485B7" w14:textId="77EC9AB8" w:rsidR="00AB1527" w:rsidRPr="0080460F" w:rsidRDefault="00AB1527" w:rsidP="008E4E1C">
      <w:pPr>
        <w:spacing w:after="240" w:line="360" w:lineRule="auto"/>
        <w:jc w:val="both"/>
        <w:rPr>
          <w:rFonts w:ascii="Times New Roman" w:eastAsia="MS Mincho" w:hAnsi="Times New Roman" w:cs="Times New Roman"/>
          <w:sz w:val="24"/>
          <w:szCs w:val="24"/>
        </w:rPr>
      </w:pPr>
      <w:r w:rsidRPr="0080460F">
        <w:rPr>
          <w:rFonts w:ascii="Times New Roman" w:eastAsia="MS Mincho" w:hAnsi="Times New Roman" w:cs="Times New Roman"/>
          <w:sz w:val="24"/>
          <w:szCs w:val="24"/>
        </w:rPr>
        <w:t>Fare, Grosskopf, Norris</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 xml:space="preserve"> </w:t>
      </w:r>
      <w:r>
        <w:rPr>
          <w:rFonts w:ascii="Times New Roman" w:eastAsia="MS Mincho" w:hAnsi="Times New Roman" w:cs="Times New Roman"/>
          <w:sz w:val="24"/>
          <w:szCs w:val="24"/>
        </w:rPr>
        <w:t>and</w:t>
      </w:r>
      <w:r w:rsidRPr="0080460F">
        <w:rPr>
          <w:rFonts w:ascii="Times New Roman" w:eastAsia="MS Mincho" w:hAnsi="Times New Roman" w:cs="Times New Roman"/>
          <w:sz w:val="24"/>
          <w:szCs w:val="24"/>
        </w:rPr>
        <w:t xml:space="preserve"> Zhang (1994)</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 xml:space="preserve"> in their theoretical model</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 xml:space="preserve"> considered a simple banking environment where </w:t>
      </w:r>
      <w:r>
        <w:rPr>
          <w:rFonts w:ascii="Times New Roman" w:eastAsia="MS Mincho" w:hAnsi="Times New Roman" w:cs="Times New Roman"/>
          <w:sz w:val="24"/>
          <w:szCs w:val="24"/>
        </w:rPr>
        <w:t>the agents</w:t>
      </w:r>
      <w:r w:rsidRPr="0080460F">
        <w:rPr>
          <w:rFonts w:ascii="Times New Roman" w:eastAsia="MS Mincho" w:hAnsi="Times New Roman" w:cs="Times New Roman"/>
          <w:sz w:val="24"/>
          <w:szCs w:val="24"/>
        </w:rPr>
        <w:t xml:space="preserve"> could deposit their savings in a bank</w:t>
      </w:r>
      <w:r w:rsidRPr="00C54E47">
        <w:rPr>
          <w:rFonts w:ascii="Times New Roman" w:eastAsia="MS Mincho" w:hAnsi="Times New Roman" w:cs="Times New Roman"/>
          <w:sz w:val="24"/>
          <w:szCs w:val="24"/>
        </w:rPr>
        <w:t xml:space="preserve"> </w:t>
      </w:r>
      <w:r w:rsidRPr="0080460F">
        <w:rPr>
          <w:rFonts w:ascii="Times New Roman" w:eastAsia="MS Mincho" w:hAnsi="Times New Roman" w:cs="Times New Roman"/>
          <w:sz w:val="24"/>
          <w:szCs w:val="24"/>
        </w:rPr>
        <w:t xml:space="preserve">instead of holding liquid asset </w:t>
      </w:r>
      <w:r>
        <w:rPr>
          <w:rFonts w:ascii="Times New Roman" w:eastAsia="MS Mincho" w:hAnsi="Times New Roman" w:cs="Times New Roman"/>
          <w:sz w:val="24"/>
          <w:szCs w:val="24"/>
        </w:rPr>
        <w:t>which</w:t>
      </w:r>
      <w:r w:rsidRPr="0080460F">
        <w:rPr>
          <w:rFonts w:ascii="Times New Roman" w:eastAsia="MS Mincho" w:hAnsi="Times New Roman" w:cs="Times New Roman"/>
          <w:sz w:val="24"/>
          <w:szCs w:val="24"/>
        </w:rPr>
        <w:t xml:space="preserve"> </w:t>
      </w:r>
      <w:r>
        <w:rPr>
          <w:rFonts w:ascii="Times New Roman" w:eastAsia="MS Mincho" w:hAnsi="Times New Roman" w:cs="Times New Roman"/>
          <w:sz w:val="24"/>
          <w:szCs w:val="24"/>
        </w:rPr>
        <w:t>are</w:t>
      </w:r>
      <w:r w:rsidRPr="0080460F">
        <w:rPr>
          <w:rFonts w:ascii="Times New Roman" w:eastAsia="MS Mincho" w:hAnsi="Times New Roman" w:cs="Times New Roman"/>
          <w:sz w:val="24"/>
          <w:szCs w:val="24"/>
        </w:rPr>
        <w:t xml:space="preserve"> no</w:t>
      </w:r>
      <w:r>
        <w:rPr>
          <w:rFonts w:ascii="Times New Roman" w:eastAsia="MS Mincho" w:hAnsi="Times New Roman" w:cs="Times New Roman"/>
          <w:sz w:val="24"/>
          <w:szCs w:val="24"/>
        </w:rPr>
        <w:t>n</w:t>
      </w:r>
      <w:r w:rsidRPr="0080460F">
        <w:rPr>
          <w:rFonts w:ascii="Times New Roman" w:eastAsia="MS Mincho" w:hAnsi="Times New Roman" w:cs="Times New Roman"/>
          <w:sz w:val="24"/>
          <w:szCs w:val="24"/>
        </w:rPr>
        <w:t xml:space="preserve">-productive. The banks hold a small amount of capital to cover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withdrawal of deposit</w:t>
      </w:r>
      <w:r>
        <w:rPr>
          <w:rFonts w:ascii="Times New Roman" w:eastAsia="MS Mincho" w:hAnsi="Times New Roman" w:cs="Times New Roman"/>
          <w:sz w:val="24"/>
          <w:szCs w:val="24"/>
        </w:rPr>
        <w:t>s,</w:t>
      </w:r>
      <w:r w:rsidRPr="0080460F">
        <w:rPr>
          <w:rFonts w:ascii="Times New Roman" w:eastAsia="MS Mincho" w:hAnsi="Times New Roman" w:cs="Times New Roman"/>
          <w:sz w:val="24"/>
          <w:szCs w:val="24"/>
        </w:rPr>
        <w:t xml:space="preserve"> as they make productive capital from illiquid investments to avoid costly investments liquidations. Thus</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 xml:space="preserve"> </w:t>
      </w:r>
      <w:r>
        <w:rPr>
          <w:rFonts w:ascii="Times New Roman" w:eastAsia="MS Mincho" w:hAnsi="Times New Roman" w:cs="Times New Roman"/>
          <w:sz w:val="24"/>
          <w:szCs w:val="24"/>
        </w:rPr>
        <w:t xml:space="preserve">the association of a developing financial sector with </w:t>
      </w:r>
      <w:r w:rsidRPr="0080460F">
        <w:rPr>
          <w:rFonts w:ascii="Times New Roman" w:eastAsia="MS Mincho" w:hAnsi="Times New Roman" w:cs="Times New Roman"/>
          <w:sz w:val="24"/>
          <w:szCs w:val="24"/>
        </w:rPr>
        <w:t>the avoidance of costly liquidations and producti</w:t>
      </w:r>
      <w:r>
        <w:rPr>
          <w:rFonts w:ascii="Times New Roman" w:eastAsia="MS Mincho" w:hAnsi="Times New Roman" w:cs="Times New Roman"/>
          <w:sz w:val="24"/>
          <w:szCs w:val="24"/>
        </w:rPr>
        <w:t>on of</w:t>
      </w:r>
      <w:r w:rsidRPr="0080460F">
        <w:rPr>
          <w:rFonts w:ascii="Times New Roman" w:eastAsia="MS Mincho" w:hAnsi="Times New Roman" w:cs="Times New Roman"/>
          <w:sz w:val="24"/>
          <w:szCs w:val="24"/>
        </w:rPr>
        <w:t xml:space="preserve"> savings us</w:t>
      </w:r>
      <w:r>
        <w:rPr>
          <w:rFonts w:ascii="Times New Roman" w:eastAsia="MS Mincho" w:hAnsi="Times New Roman" w:cs="Times New Roman"/>
          <w:sz w:val="24"/>
          <w:szCs w:val="24"/>
        </w:rPr>
        <w:t>age</w:t>
      </w:r>
      <w:r w:rsidRPr="0080460F">
        <w:rPr>
          <w:rFonts w:ascii="Times New Roman" w:eastAsia="MS Mincho" w:hAnsi="Times New Roman" w:cs="Times New Roman"/>
          <w:sz w:val="24"/>
          <w:szCs w:val="24"/>
        </w:rPr>
        <w:t xml:space="preserve"> leads to higher equilibrium </w:t>
      </w:r>
      <w:r>
        <w:rPr>
          <w:rFonts w:ascii="Times New Roman" w:eastAsia="MS Mincho" w:hAnsi="Times New Roman" w:cs="Times New Roman"/>
          <w:sz w:val="24"/>
          <w:szCs w:val="24"/>
        </w:rPr>
        <w:t xml:space="preserve">in the </w:t>
      </w:r>
      <w:r w:rsidRPr="0080460F">
        <w:rPr>
          <w:rFonts w:ascii="Times New Roman" w:eastAsia="MS Mincho" w:hAnsi="Times New Roman" w:cs="Times New Roman"/>
          <w:sz w:val="24"/>
          <w:szCs w:val="24"/>
        </w:rPr>
        <w:t>productivity rates.</w:t>
      </w:r>
    </w:p>
    <w:p w14:paraId="775A99B7" w14:textId="0499B709" w:rsidR="00AB1527" w:rsidRPr="0080460F" w:rsidRDefault="00AB1527" w:rsidP="008E4E1C">
      <w:pPr>
        <w:spacing w:after="240" w:line="360" w:lineRule="auto"/>
        <w:jc w:val="both"/>
        <w:rPr>
          <w:rFonts w:ascii="Times New Roman" w:eastAsia="MS Mincho" w:hAnsi="Times New Roman" w:cs="Times New Roman"/>
          <w:sz w:val="24"/>
          <w:szCs w:val="24"/>
        </w:rPr>
      </w:pPr>
      <w:r w:rsidRPr="0080460F">
        <w:rPr>
          <w:rFonts w:ascii="Times New Roman" w:eastAsia="MS Mincho" w:hAnsi="Times New Roman" w:cs="Times New Roman"/>
          <w:sz w:val="24"/>
          <w:szCs w:val="24"/>
        </w:rPr>
        <w:t>Additional</w:t>
      </w:r>
      <w:r>
        <w:rPr>
          <w:rFonts w:ascii="Times New Roman" w:eastAsia="MS Mincho" w:hAnsi="Times New Roman" w:cs="Times New Roman"/>
          <w:sz w:val="24"/>
          <w:szCs w:val="24"/>
        </w:rPr>
        <w:t>ly</w:t>
      </w:r>
      <w:r w:rsidRPr="0080460F">
        <w:rPr>
          <w:rFonts w:ascii="Times New Roman" w:eastAsia="MS Mincho" w:hAnsi="Times New Roman" w:cs="Times New Roman"/>
          <w:sz w:val="24"/>
          <w:szCs w:val="24"/>
        </w:rPr>
        <w:t xml:space="preserve">,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 xml:space="preserve">theoretical model </w:t>
      </w:r>
      <w:r>
        <w:rPr>
          <w:rFonts w:ascii="Times New Roman" w:eastAsia="MS Mincho" w:hAnsi="Times New Roman" w:cs="Times New Roman"/>
          <w:sz w:val="24"/>
          <w:szCs w:val="24"/>
        </w:rPr>
        <w:t xml:space="preserve">by </w:t>
      </w:r>
      <w:r w:rsidRPr="0080460F">
        <w:rPr>
          <w:rFonts w:ascii="Times New Roman" w:eastAsia="MS Mincho" w:hAnsi="Times New Roman" w:cs="Times New Roman"/>
          <w:sz w:val="24"/>
          <w:szCs w:val="24"/>
        </w:rPr>
        <w:t>Fare, Grosskopf, Norris</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 xml:space="preserve"> </w:t>
      </w:r>
      <w:r>
        <w:rPr>
          <w:rFonts w:ascii="Times New Roman" w:eastAsia="MS Mincho" w:hAnsi="Times New Roman" w:cs="Times New Roman"/>
          <w:sz w:val="24"/>
          <w:szCs w:val="24"/>
        </w:rPr>
        <w:t>and</w:t>
      </w:r>
      <w:r w:rsidRPr="0080460F">
        <w:rPr>
          <w:rFonts w:ascii="Times New Roman" w:eastAsia="MS Mincho" w:hAnsi="Times New Roman" w:cs="Times New Roman"/>
          <w:sz w:val="24"/>
          <w:szCs w:val="24"/>
        </w:rPr>
        <w:t xml:space="preserve"> Zhang (1994) suggests that as demographic tailwinds fend and convergence gaps close,</w:t>
      </w:r>
      <w:r>
        <w:rPr>
          <w:rFonts w:ascii="Times New Roman" w:eastAsia="MS Mincho" w:hAnsi="Times New Roman" w:cs="Times New Roman"/>
          <w:sz w:val="24"/>
          <w:szCs w:val="24"/>
        </w:rPr>
        <w:t xml:space="preserve"> </w:t>
      </w:r>
      <w:r w:rsidRPr="0080460F">
        <w:rPr>
          <w:rFonts w:ascii="Times New Roman" w:eastAsia="MS Mincho" w:hAnsi="Times New Roman" w:cs="Times New Roman"/>
          <w:sz w:val="24"/>
          <w:szCs w:val="24"/>
        </w:rPr>
        <w:t xml:space="preserve">some deceleration in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 xml:space="preserve">economic growth </w:t>
      </w:r>
      <w:r>
        <w:rPr>
          <w:rFonts w:ascii="Times New Roman" w:eastAsia="MS Mincho" w:hAnsi="Times New Roman" w:cs="Times New Roman"/>
          <w:sz w:val="24"/>
          <w:szCs w:val="24"/>
        </w:rPr>
        <w:t>of</w:t>
      </w:r>
      <w:r w:rsidRPr="0080460F">
        <w:rPr>
          <w:rFonts w:ascii="Times New Roman" w:eastAsia="MS Mincho" w:hAnsi="Times New Roman" w:cs="Times New Roman"/>
          <w:sz w:val="24"/>
          <w:szCs w:val="24"/>
        </w:rPr>
        <w:t xml:space="preserve"> emerging market countries is inevitable.</w:t>
      </w:r>
      <w:r>
        <w:rPr>
          <w:rFonts w:ascii="Times New Roman" w:eastAsia="MS Mincho" w:hAnsi="Times New Roman" w:cs="Times New Roman"/>
          <w:sz w:val="24"/>
          <w:szCs w:val="24"/>
        </w:rPr>
        <w:t xml:space="preserve"> </w:t>
      </w:r>
      <w:r w:rsidRPr="0080460F">
        <w:rPr>
          <w:rFonts w:ascii="Times New Roman" w:eastAsia="MS Mincho" w:hAnsi="Times New Roman" w:cs="Times New Roman"/>
          <w:sz w:val="24"/>
          <w:szCs w:val="24"/>
        </w:rPr>
        <w:t>Indeed,</w:t>
      </w:r>
      <w:r>
        <w:rPr>
          <w:rFonts w:ascii="Times New Roman" w:eastAsia="MS Mincho" w:hAnsi="Times New Roman" w:cs="Times New Roman"/>
          <w:sz w:val="24"/>
          <w:szCs w:val="24"/>
        </w:rPr>
        <w:t xml:space="preserve"> </w:t>
      </w:r>
      <w:r w:rsidRPr="0080460F">
        <w:rPr>
          <w:rFonts w:ascii="Times New Roman" w:eastAsia="MS Mincho" w:hAnsi="Times New Roman" w:cs="Times New Roman"/>
          <w:sz w:val="24"/>
          <w:szCs w:val="24"/>
        </w:rPr>
        <w:t>countries like Israel,</w:t>
      </w:r>
      <w:r>
        <w:rPr>
          <w:rFonts w:ascii="Times New Roman" w:eastAsia="MS Mincho" w:hAnsi="Times New Roman" w:cs="Times New Roman"/>
          <w:sz w:val="24"/>
          <w:szCs w:val="24"/>
        </w:rPr>
        <w:t xml:space="preserve"> </w:t>
      </w:r>
      <w:r w:rsidRPr="0080460F">
        <w:rPr>
          <w:rFonts w:ascii="Times New Roman" w:eastAsia="MS Mincho" w:hAnsi="Times New Roman" w:cs="Times New Roman"/>
          <w:sz w:val="24"/>
          <w:szCs w:val="24"/>
        </w:rPr>
        <w:t>Singapore</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 xml:space="preserve"> and others in </w:t>
      </w:r>
      <w:r>
        <w:rPr>
          <w:rFonts w:ascii="Times New Roman" w:eastAsia="MS Mincho" w:hAnsi="Times New Roman" w:cs="Times New Roman"/>
          <w:sz w:val="24"/>
          <w:szCs w:val="24"/>
        </w:rPr>
        <w:t>the E</w:t>
      </w:r>
      <w:r w:rsidRPr="0080460F">
        <w:rPr>
          <w:rFonts w:ascii="Times New Roman" w:eastAsia="MS Mincho" w:hAnsi="Times New Roman" w:cs="Times New Roman"/>
          <w:sz w:val="24"/>
          <w:szCs w:val="24"/>
        </w:rPr>
        <w:t>uro</w:t>
      </w:r>
      <w:r>
        <w:rPr>
          <w:rFonts w:ascii="Times New Roman" w:eastAsia="MS Mincho" w:hAnsi="Times New Roman" w:cs="Times New Roman"/>
          <w:sz w:val="24"/>
          <w:szCs w:val="24"/>
        </w:rPr>
        <w:t>pean</w:t>
      </w:r>
      <w:r w:rsidRPr="0080460F">
        <w:rPr>
          <w:rFonts w:ascii="Times New Roman" w:eastAsia="MS Mincho" w:hAnsi="Times New Roman" w:cs="Times New Roman"/>
          <w:sz w:val="24"/>
          <w:szCs w:val="24"/>
        </w:rPr>
        <w:t xml:space="preserve"> periphery</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 xml:space="preserve"> </w:t>
      </w:r>
      <w:r>
        <w:rPr>
          <w:rFonts w:ascii="Times New Roman" w:eastAsia="MS Mincho" w:hAnsi="Times New Roman" w:cs="Times New Roman"/>
          <w:sz w:val="24"/>
          <w:szCs w:val="24"/>
        </w:rPr>
        <w:t>which</w:t>
      </w:r>
      <w:r w:rsidRPr="0080460F">
        <w:rPr>
          <w:rFonts w:ascii="Times New Roman" w:eastAsia="MS Mincho" w:hAnsi="Times New Roman" w:cs="Times New Roman"/>
          <w:sz w:val="24"/>
          <w:szCs w:val="24"/>
        </w:rPr>
        <w:t xml:space="preserve"> exhibited converges in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1970</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s</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 xml:space="preserve"> grew slowly in terms of </w:t>
      </w:r>
      <w:r>
        <w:rPr>
          <w:rFonts w:ascii="Times New Roman" w:eastAsia="MS Mincho" w:hAnsi="Times New Roman" w:cs="Times New Roman"/>
          <w:sz w:val="24"/>
          <w:szCs w:val="24"/>
        </w:rPr>
        <w:t xml:space="preserve">their </w:t>
      </w:r>
      <w:r w:rsidRPr="0080460F">
        <w:rPr>
          <w:rFonts w:ascii="Times New Roman" w:eastAsia="MS Mincho" w:hAnsi="Times New Roman" w:cs="Times New Roman"/>
          <w:sz w:val="24"/>
          <w:szCs w:val="24"/>
        </w:rPr>
        <w:t xml:space="preserve">productivity levels during the transition to </w:t>
      </w:r>
      <w:r>
        <w:rPr>
          <w:rFonts w:ascii="Times New Roman" w:eastAsia="MS Mincho" w:hAnsi="Times New Roman" w:cs="Times New Roman"/>
          <w:sz w:val="24"/>
          <w:szCs w:val="24"/>
        </w:rPr>
        <w:t xml:space="preserve">a </w:t>
      </w:r>
      <w:r w:rsidRPr="0080460F">
        <w:rPr>
          <w:rFonts w:ascii="Times New Roman" w:eastAsia="MS Mincho" w:hAnsi="Times New Roman" w:cs="Times New Roman"/>
          <w:sz w:val="24"/>
          <w:szCs w:val="24"/>
        </w:rPr>
        <w:t>higher income level.</w:t>
      </w:r>
      <w:r>
        <w:rPr>
          <w:rFonts w:ascii="Times New Roman" w:eastAsia="MS Mincho" w:hAnsi="Times New Roman" w:cs="Times New Roman"/>
          <w:sz w:val="24"/>
          <w:szCs w:val="24"/>
        </w:rPr>
        <w:t xml:space="preserve"> </w:t>
      </w:r>
      <w:r w:rsidRPr="0080460F">
        <w:rPr>
          <w:rFonts w:ascii="Times New Roman" w:eastAsia="MS Mincho" w:hAnsi="Times New Roman" w:cs="Times New Roman"/>
          <w:sz w:val="24"/>
          <w:szCs w:val="24"/>
        </w:rPr>
        <w:t>Furthermore,</w:t>
      </w:r>
      <w:r>
        <w:rPr>
          <w:rFonts w:ascii="Times New Roman" w:eastAsia="MS Mincho" w:hAnsi="Times New Roman" w:cs="Times New Roman"/>
          <w:sz w:val="24"/>
          <w:szCs w:val="24"/>
        </w:rPr>
        <w:t xml:space="preserve"> </w:t>
      </w:r>
      <w:r w:rsidRPr="0080460F">
        <w:rPr>
          <w:rFonts w:ascii="Times New Roman" w:eastAsia="MS Mincho" w:hAnsi="Times New Roman" w:cs="Times New Roman"/>
          <w:sz w:val="24"/>
          <w:szCs w:val="24"/>
        </w:rPr>
        <w:t xml:space="preserve">maintaining competitiveness and spurring productivity growth was affected by institutional and market rigidity. At the same time, the dependence ratios were projected to rise </w:t>
      </w:r>
      <w:r>
        <w:rPr>
          <w:rFonts w:ascii="Times New Roman" w:eastAsia="MS Mincho" w:hAnsi="Times New Roman" w:cs="Times New Roman"/>
          <w:sz w:val="24"/>
          <w:szCs w:val="24"/>
        </w:rPr>
        <w:t>while</w:t>
      </w:r>
      <w:r w:rsidRPr="0080460F">
        <w:rPr>
          <w:rFonts w:ascii="Times New Roman" w:eastAsia="MS Mincho" w:hAnsi="Times New Roman" w:cs="Times New Roman"/>
          <w:sz w:val="24"/>
          <w:szCs w:val="24"/>
        </w:rPr>
        <w:t xml:space="preserve"> the growth </w:t>
      </w:r>
      <w:r>
        <w:rPr>
          <w:rFonts w:ascii="Times New Roman" w:eastAsia="MS Mincho" w:hAnsi="Times New Roman" w:cs="Times New Roman"/>
          <w:sz w:val="24"/>
          <w:szCs w:val="24"/>
        </w:rPr>
        <w:t>in</w:t>
      </w:r>
      <w:r w:rsidRPr="0080460F">
        <w:rPr>
          <w:rFonts w:ascii="Times New Roman" w:eastAsia="MS Mincho" w:hAnsi="Times New Roman" w:cs="Times New Roman"/>
          <w:sz w:val="24"/>
          <w:szCs w:val="24"/>
        </w:rPr>
        <w:t xml:space="preserve">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work-age population was slowing down in many emerging market economies (Fare, Grosskopf, Norris &amp; Zhang, 1994).</w:t>
      </w:r>
    </w:p>
    <w:p w14:paraId="69C7F252" w14:textId="1672EF50" w:rsidR="00AB1527" w:rsidRPr="0080460F" w:rsidRDefault="00AB1527" w:rsidP="008E4E1C">
      <w:pPr>
        <w:spacing w:after="240" w:line="360" w:lineRule="auto"/>
        <w:jc w:val="both"/>
        <w:rPr>
          <w:rFonts w:ascii="Times New Roman" w:eastAsia="MS Mincho" w:hAnsi="Times New Roman" w:cs="Times New Roman"/>
          <w:sz w:val="24"/>
          <w:szCs w:val="24"/>
        </w:rPr>
      </w:pPr>
      <w:r w:rsidRPr="0080460F">
        <w:rPr>
          <w:rFonts w:ascii="Times New Roman" w:eastAsia="MS Mincho" w:hAnsi="Times New Roman" w:cs="Times New Roman"/>
          <w:sz w:val="24"/>
          <w:szCs w:val="24"/>
        </w:rPr>
        <w:t>Solow (1999) developed a neo</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 xml:space="preserve">classical growth model which explains how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high quality level</w:t>
      </w:r>
      <w:r>
        <w:rPr>
          <w:rFonts w:ascii="Times New Roman" w:eastAsia="MS Mincho" w:hAnsi="Times New Roman" w:cs="Times New Roman"/>
          <w:sz w:val="24"/>
          <w:szCs w:val="24"/>
        </w:rPr>
        <w:t>s</w:t>
      </w:r>
      <w:r w:rsidRPr="0080460F">
        <w:rPr>
          <w:rFonts w:ascii="Times New Roman" w:eastAsia="MS Mincho" w:hAnsi="Times New Roman" w:cs="Times New Roman"/>
          <w:sz w:val="24"/>
          <w:szCs w:val="24"/>
        </w:rPr>
        <w:t xml:space="preserve"> of financial and legal institution</w:t>
      </w:r>
      <w:r>
        <w:rPr>
          <w:rFonts w:ascii="Times New Roman" w:eastAsia="MS Mincho" w:hAnsi="Times New Roman" w:cs="Times New Roman"/>
          <w:sz w:val="24"/>
          <w:szCs w:val="24"/>
        </w:rPr>
        <w:t>s</w:t>
      </w:r>
      <w:r w:rsidRPr="0080460F">
        <w:rPr>
          <w:rFonts w:ascii="Times New Roman" w:eastAsia="MS Mincho" w:hAnsi="Times New Roman" w:cs="Times New Roman"/>
          <w:sz w:val="24"/>
          <w:szCs w:val="24"/>
        </w:rPr>
        <w:t xml:space="preserve"> cause a lower demand </w:t>
      </w:r>
      <w:r>
        <w:rPr>
          <w:rFonts w:ascii="Times New Roman" w:eastAsia="MS Mincho" w:hAnsi="Times New Roman" w:cs="Times New Roman"/>
          <w:sz w:val="24"/>
          <w:szCs w:val="24"/>
        </w:rPr>
        <w:t>of</w:t>
      </w:r>
      <w:r w:rsidRPr="0080460F">
        <w:rPr>
          <w:rFonts w:ascii="Times New Roman" w:eastAsia="MS Mincho" w:hAnsi="Times New Roman" w:cs="Times New Roman"/>
          <w:sz w:val="24"/>
          <w:szCs w:val="24"/>
        </w:rPr>
        <w:t xml:space="preserve">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 xml:space="preserve">risk premium by foreign investors. The author argued </w:t>
      </w:r>
      <w:r>
        <w:rPr>
          <w:rFonts w:ascii="Times New Roman" w:eastAsia="MS Mincho" w:hAnsi="Times New Roman" w:cs="Times New Roman"/>
          <w:sz w:val="24"/>
          <w:szCs w:val="24"/>
        </w:rPr>
        <w:t>that a</w:t>
      </w:r>
      <w:r w:rsidRPr="0080460F">
        <w:rPr>
          <w:rFonts w:ascii="Times New Roman" w:eastAsia="MS Mincho" w:hAnsi="Times New Roman" w:cs="Times New Roman"/>
          <w:sz w:val="24"/>
          <w:szCs w:val="24"/>
        </w:rPr>
        <w:t xml:space="preserve"> lower demand </w:t>
      </w:r>
      <w:r>
        <w:rPr>
          <w:rFonts w:ascii="Times New Roman" w:eastAsia="MS Mincho" w:hAnsi="Times New Roman" w:cs="Times New Roman"/>
          <w:sz w:val="24"/>
          <w:szCs w:val="24"/>
        </w:rPr>
        <w:t>is</w:t>
      </w:r>
      <w:r w:rsidRPr="0080460F">
        <w:rPr>
          <w:rFonts w:ascii="Times New Roman" w:eastAsia="MS Mincho" w:hAnsi="Times New Roman" w:cs="Times New Roman"/>
          <w:sz w:val="24"/>
          <w:szCs w:val="24"/>
        </w:rPr>
        <w:t xml:space="preserve"> caused by lower rate</w:t>
      </w:r>
      <w:r>
        <w:rPr>
          <w:rFonts w:ascii="Times New Roman" w:eastAsia="MS Mincho" w:hAnsi="Times New Roman" w:cs="Times New Roman"/>
          <w:sz w:val="24"/>
          <w:szCs w:val="24"/>
        </w:rPr>
        <w:t>s</w:t>
      </w:r>
      <w:r w:rsidRPr="0080460F">
        <w:rPr>
          <w:rFonts w:ascii="Times New Roman" w:eastAsia="MS Mincho" w:hAnsi="Times New Roman" w:cs="Times New Roman"/>
          <w:sz w:val="24"/>
          <w:szCs w:val="24"/>
        </w:rPr>
        <w:t xml:space="preserve"> of capital exploration. Furthermore, a higher savings proportion was found in the model</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 xml:space="preserve"> to be used </w:t>
      </w:r>
      <w:r>
        <w:rPr>
          <w:rFonts w:ascii="Times New Roman" w:eastAsia="MS Mincho" w:hAnsi="Times New Roman" w:cs="Times New Roman"/>
          <w:sz w:val="24"/>
          <w:szCs w:val="24"/>
        </w:rPr>
        <w:t>for</w:t>
      </w:r>
      <w:r w:rsidRPr="0080460F">
        <w:rPr>
          <w:rFonts w:ascii="Times New Roman" w:eastAsia="MS Mincho" w:hAnsi="Times New Roman" w:cs="Times New Roman"/>
          <w:sz w:val="24"/>
          <w:szCs w:val="24"/>
        </w:rPr>
        <w:t xml:space="preserve"> productive investment in a small </w:t>
      </w:r>
      <w:r>
        <w:rPr>
          <w:rFonts w:ascii="Times New Roman" w:eastAsia="MS Mincho" w:hAnsi="Times New Roman" w:cs="Times New Roman"/>
          <w:sz w:val="24"/>
          <w:szCs w:val="24"/>
        </w:rPr>
        <w:t xml:space="preserve">and </w:t>
      </w:r>
      <w:r w:rsidRPr="0080460F">
        <w:rPr>
          <w:rFonts w:ascii="Times New Roman" w:eastAsia="MS Mincho" w:hAnsi="Times New Roman" w:cs="Times New Roman"/>
          <w:sz w:val="24"/>
          <w:szCs w:val="24"/>
        </w:rPr>
        <w:t>open economy with partial mobility of capital</w:t>
      </w:r>
      <w:r>
        <w:rPr>
          <w:rFonts w:ascii="Times New Roman" w:eastAsia="MS Mincho" w:hAnsi="Times New Roman" w:cs="Times New Roman"/>
          <w:sz w:val="24"/>
          <w:szCs w:val="24"/>
        </w:rPr>
        <w:t>, which is</w:t>
      </w:r>
      <w:r w:rsidRPr="0080460F">
        <w:rPr>
          <w:rFonts w:ascii="Times New Roman" w:eastAsia="MS Mincho" w:hAnsi="Times New Roman" w:cs="Times New Roman"/>
          <w:sz w:val="24"/>
          <w:szCs w:val="24"/>
        </w:rPr>
        <w:t xml:space="preserve"> </w:t>
      </w:r>
      <w:r>
        <w:rPr>
          <w:rFonts w:ascii="Times New Roman" w:eastAsia="MS Mincho" w:hAnsi="Times New Roman" w:cs="Times New Roman"/>
          <w:sz w:val="24"/>
          <w:szCs w:val="24"/>
        </w:rPr>
        <w:t>the</w:t>
      </w:r>
      <w:r w:rsidRPr="0080460F">
        <w:rPr>
          <w:rFonts w:ascii="Times New Roman" w:eastAsia="MS Mincho" w:hAnsi="Times New Roman" w:cs="Times New Roman"/>
          <w:sz w:val="24"/>
          <w:szCs w:val="24"/>
        </w:rPr>
        <w:t xml:space="preserve"> case with </w:t>
      </w:r>
      <w:r>
        <w:rPr>
          <w:rFonts w:ascii="Times New Roman" w:eastAsia="MS Mincho" w:hAnsi="Times New Roman" w:cs="Times New Roman"/>
          <w:sz w:val="24"/>
          <w:szCs w:val="24"/>
        </w:rPr>
        <w:t xml:space="preserve">a </w:t>
      </w:r>
      <w:r w:rsidRPr="0080460F">
        <w:rPr>
          <w:rFonts w:ascii="Times New Roman" w:eastAsia="MS Mincho" w:hAnsi="Times New Roman" w:cs="Times New Roman"/>
          <w:sz w:val="24"/>
          <w:szCs w:val="24"/>
        </w:rPr>
        <w:t xml:space="preserve">majority of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 xml:space="preserve">countries in emerging markets. With </w:t>
      </w:r>
      <w:r>
        <w:rPr>
          <w:rFonts w:ascii="Times New Roman" w:eastAsia="MS Mincho" w:hAnsi="Times New Roman" w:cs="Times New Roman"/>
          <w:sz w:val="24"/>
          <w:szCs w:val="24"/>
        </w:rPr>
        <w:t>the</w:t>
      </w:r>
      <w:r w:rsidRPr="0080460F">
        <w:rPr>
          <w:rFonts w:ascii="Times New Roman" w:eastAsia="MS Mincho" w:hAnsi="Times New Roman" w:cs="Times New Roman"/>
          <w:sz w:val="24"/>
          <w:szCs w:val="24"/>
        </w:rPr>
        <w:t xml:space="preserve"> lower cost of capital, </w:t>
      </w:r>
      <w:r>
        <w:rPr>
          <w:rFonts w:ascii="Times New Roman" w:eastAsia="MS Mincho" w:hAnsi="Times New Roman" w:cs="Times New Roman"/>
          <w:sz w:val="24"/>
          <w:szCs w:val="24"/>
        </w:rPr>
        <w:t>the</w:t>
      </w:r>
      <w:r w:rsidRPr="0080460F">
        <w:rPr>
          <w:rFonts w:ascii="Times New Roman" w:eastAsia="MS Mincho" w:hAnsi="Times New Roman" w:cs="Times New Roman"/>
          <w:sz w:val="24"/>
          <w:szCs w:val="24"/>
        </w:rPr>
        <w:t xml:space="preserve"> output of labor state is expected to increase</w:t>
      </w:r>
      <w:r>
        <w:rPr>
          <w:rFonts w:ascii="Times New Roman" w:eastAsia="MS Mincho" w:hAnsi="Times New Roman" w:cs="Times New Roman"/>
          <w:sz w:val="24"/>
          <w:szCs w:val="24"/>
        </w:rPr>
        <w:t xml:space="preserve"> steadily</w:t>
      </w:r>
      <w:r w:rsidRPr="0080460F">
        <w:rPr>
          <w:rFonts w:ascii="Times New Roman" w:eastAsia="MS Mincho" w:hAnsi="Times New Roman" w:cs="Times New Roman"/>
          <w:sz w:val="24"/>
          <w:szCs w:val="24"/>
        </w:rPr>
        <w:t xml:space="preserve">. In </w:t>
      </w:r>
      <w:r>
        <w:rPr>
          <w:rFonts w:ascii="Times New Roman" w:eastAsia="MS Mincho" w:hAnsi="Times New Roman" w:cs="Times New Roman"/>
          <w:sz w:val="24"/>
          <w:szCs w:val="24"/>
        </w:rPr>
        <w:t>the</w:t>
      </w:r>
      <w:r w:rsidRPr="0080460F">
        <w:rPr>
          <w:rFonts w:ascii="Times New Roman" w:eastAsia="MS Mincho" w:hAnsi="Times New Roman" w:cs="Times New Roman"/>
          <w:sz w:val="24"/>
          <w:szCs w:val="24"/>
        </w:rPr>
        <w:t xml:space="preserve"> empirical </w:t>
      </w:r>
      <w:r>
        <w:rPr>
          <w:rFonts w:ascii="Times New Roman" w:eastAsia="MS Mincho" w:hAnsi="Times New Roman" w:cs="Times New Roman"/>
          <w:sz w:val="24"/>
          <w:szCs w:val="24"/>
        </w:rPr>
        <w:t>section</w:t>
      </w:r>
      <w:r w:rsidRPr="0080460F">
        <w:rPr>
          <w:rFonts w:ascii="Times New Roman" w:eastAsia="MS Mincho" w:hAnsi="Times New Roman" w:cs="Times New Roman"/>
          <w:sz w:val="24"/>
          <w:szCs w:val="24"/>
        </w:rPr>
        <w:t xml:space="preserve"> of the model, Solow (1999) used the IV and OLS estimates and included 71 countries </w:t>
      </w:r>
      <w:r>
        <w:rPr>
          <w:rFonts w:ascii="Times New Roman" w:eastAsia="MS Mincho" w:hAnsi="Times New Roman" w:cs="Times New Roman"/>
          <w:sz w:val="24"/>
          <w:szCs w:val="24"/>
        </w:rPr>
        <w:t>having</w:t>
      </w:r>
      <w:r w:rsidRPr="0080460F">
        <w:rPr>
          <w:rFonts w:ascii="Times New Roman" w:eastAsia="MS Mincho" w:hAnsi="Times New Roman" w:cs="Times New Roman"/>
          <w:sz w:val="24"/>
          <w:szCs w:val="24"/>
        </w:rPr>
        <w:t xml:space="preserve"> emerging markets to investigate a dataset ranging from 1976-1995. The results revealed a strong positive correlation between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 xml:space="preserve">income per capita and institutional quality. </w:t>
      </w:r>
      <w:r w:rsidRPr="0080460F">
        <w:rPr>
          <w:rFonts w:ascii="Times New Roman" w:eastAsia="MS Mincho" w:hAnsi="Times New Roman" w:cs="Times New Roman"/>
          <w:bCs/>
          <w:sz w:val="24"/>
          <w:szCs w:val="24"/>
        </w:rPr>
        <w:t xml:space="preserve">However, this model was criticized for having a narrow scope </w:t>
      </w:r>
      <w:r>
        <w:rPr>
          <w:rFonts w:ascii="Times New Roman" w:eastAsia="MS Mincho" w:hAnsi="Times New Roman" w:cs="Times New Roman"/>
          <w:bCs/>
          <w:sz w:val="24"/>
          <w:szCs w:val="24"/>
        </w:rPr>
        <w:t>of</w:t>
      </w:r>
      <w:r w:rsidRPr="0080460F">
        <w:rPr>
          <w:rFonts w:ascii="Times New Roman" w:eastAsia="MS Mincho" w:hAnsi="Times New Roman" w:cs="Times New Roman"/>
          <w:bCs/>
          <w:sz w:val="24"/>
          <w:szCs w:val="24"/>
        </w:rPr>
        <w:t xml:space="preserve"> productivity. The significance of non-economic factors</w:t>
      </w:r>
      <w:r>
        <w:rPr>
          <w:rFonts w:ascii="Times New Roman" w:eastAsia="MS Mincho" w:hAnsi="Times New Roman" w:cs="Times New Roman"/>
          <w:bCs/>
          <w:sz w:val="24"/>
          <w:szCs w:val="24"/>
        </w:rPr>
        <w:t>,</w:t>
      </w:r>
      <w:r w:rsidRPr="0080460F">
        <w:rPr>
          <w:rFonts w:ascii="Times New Roman" w:eastAsia="MS Mincho" w:hAnsi="Times New Roman" w:cs="Times New Roman"/>
          <w:bCs/>
          <w:sz w:val="24"/>
          <w:szCs w:val="24"/>
        </w:rPr>
        <w:t xml:space="preserve"> such as political stability, tastes and preferences, managerial skills</w:t>
      </w:r>
      <w:r>
        <w:rPr>
          <w:rFonts w:ascii="Times New Roman" w:eastAsia="MS Mincho" w:hAnsi="Times New Roman" w:cs="Times New Roman"/>
          <w:bCs/>
          <w:sz w:val="24"/>
          <w:szCs w:val="24"/>
        </w:rPr>
        <w:t>,</w:t>
      </w:r>
      <w:r w:rsidRPr="0080460F">
        <w:rPr>
          <w:rFonts w:ascii="Times New Roman" w:eastAsia="MS Mincho" w:hAnsi="Times New Roman" w:cs="Times New Roman"/>
          <w:bCs/>
          <w:sz w:val="24"/>
          <w:szCs w:val="24"/>
        </w:rPr>
        <w:t xml:space="preserve"> and strong habits of thrift </w:t>
      </w:r>
      <w:r>
        <w:rPr>
          <w:rFonts w:ascii="Times New Roman" w:eastAsia="MS Mincho" w:hAnsi="Times New Roman" w:cs="Times New Roman"/>
          <w:bCs/>
          <w:sz w:val="24"/>
          <w:szCs w:val="24"/>
        </w:rPr>
        <w:lastRenderedPageBreak/>
        <w:t>are</w:t>
      </w:r>
      <w:r w:rsidRPr="0080460F">
        <w:rPr>
          <w:rFonts w:ascii="Times New Roman" w:eastAsia="MS Mincho" w:hAnsi="Times New Roman" w:cs="Times New Roman"/>
          <w:bCs/>
          <w:sz w:val="24"/>
          <w:szCs w:val="24"/>
        </w:rPr>
        <w:t xml:space="preserve"> minimized in </w:t>
      </w:r>
      <w:r>
        <w:rPr>
          <w:rFonts w:ascii="Times New Roman" w:eastAsia="MS Mincho" w:hAnsi="Times New Roman" w:cs="Times New Roman"/>
          <w:bCs/>
          <w:sz w:val="24"/>
          <w:szCs w:val="24"/>
        </w:rPr>
        <w:t>this</w:t>
      </w:r>
      <w:r w:rsidRPr="0080460F">
        <w:rPr>
          <w:rFonts w:ascii="Times New Roman" w:eastAsia="MS Mincho" w:hAnsi="Times New Roman" w:cs="Times New Roman"/>
          <w:bCs/>
          <w:sz w:val="24"/>
          <w:szCs w:val="24"/>
        </w:rPr>
        <w:t xml:space="preserve"> model. The model also lost </w:t>
      </w:r>
      <w:r>
        <w:rPr>
          <w:rFonts w:ascii="Times New Roman" w:eastAsia="MS Mincho" w:hAnsi="Times New Roman" w:cs="Times New Roman"/>
          <w:bCs/>
          <w:sz w:val="24"/>
          <w:szCs w:val="24"/>
        </w:rPr>
        <w:t xml:space="preserve">its </w:t>
      </w:r>
      <w:r w:rsidRPr="0080460F">
        <w:rPr>
          <w:rFonts w:ascii="Times New Roman" w:eastAsia="MS Mincho" w:hAnsi="Times New Roman" w:cs="Times New Roman"/>
          <w:bCs/>
          <w:sz w:val="24"/>
          <w:szCs w:val="24"/>
        </w:rPr>
        <w:t xml:space="preserve">significance due to </w:t>
      </w:r>
      <w:r>
        <w:rPr>
          <w:rFonts w:ascii="Times New Roman" w:eastAsia="MS Mincho" w:hAnsi="Times New Roman" w:cs="Times New Roman"/>
          <w:bCs/>
          <w:sz w:val="24"/>
          <w:szCs w:val="24"/>
        </w:rPr>
        <w:t xml:space="preserve">the </w:t>
      </w:r>
      <w:r w:rsidRPr="0080460F">
        <w:rPr>
          <w:rFonts w:ascii="Times New Roman" w:eastAsia="MS Mincho" w:hAnsi="Times New Roman" w:cs="Times New Roman"/>
          <w:bCs/>
          <w:sz w:val="24"/>
          <w:szCs w:val="24"/>
        </w:rPr>
        <w:t xml:space="preserve">lack of recognition of </w:t>
      </w:r>
      <w:r>
        <w:rPr>
          <w:rFonts w:ascii="Times New Roman" w:eastAsia="MS Mincho" w:hAnsi="Times New Roman" w:cs="Times New Roman"/>
          <w:bCs/>
          <w:sz w:val="24"/>
          <w:szCs w:val="24"/>
        </w:rPr>
        <w:t xml:space="preserve">the </w:t>
      </w:r>
      <w:r w:rsidRPr="0080460F">
        <w:rPr>
          <w:rFonts w:ascii="Times New Roman" w:eastAsia="MS Mincho" w:hAnsi="Times New Roman" w:cs="Times New Roman"/>
          <w:bCs/>
          <w:sz w:val="24"/>
          <w:szCs w:val="24"/>
        </w:rPr>
        <w:t>government</w:t>
      </w:r>
      <w:r>
        <w:rPr>
          <w:rFonts w:ascii="Times New Roman" w:eastAsia="MS Mincho" w:hAnsi="Times New Roman" w:cs="Times New Roman"/>
          <w:bCs/>
          <w:sz w:val="24"/>
          <w:szCs w:val="24"/>
        </w:rPr>
        <w:t>’s</w:t>
      </w:r>
      <w:r w:rsidRPr="0080460F">
        <w:rPr>
          <w:rFonts w:ascii="Times New Roman" w:eastAsia="MS Mincho" w:hAnsi="Times New Roman" w:cs="Times New Roman"/>
          <w:bCs/>
          <w:sz w:val="24"/>
          <w:szCs w:val="24"/>
        </w:rPr>
        <w:t xml:space="preserve"> role in economic development, assuming economic development as a continuous process and basing its study on the developed countries only.</w:t>
      </w:r>
    </w:p>
    <w:p w14:paraId="36A822E9" w14:textId="049720E2" w:rsidR="00AB1527" w:rsidRPr="0080460F" w:rsidRDefault="00AB1527" w:rsidP="008E4E1C">
      <w:pPr>
        <w:spacing w:after="240" w:line="360" w:lineRule="auto"/>
        <w:jc w:val="both"/>
        <w:rPr>
          <w:rFonts w:ascii="Times New Roman" w:eastAsia="MS Mincho" w:hAnsi="Times New Roman" w:cs="Times New Roman"/>
          <w:sz w:val="24"/>
          <w:szCs w:val="24"/>
        </w:rPr>
      </w:pPr>
      <w:r w:rsidRPr="0080460F">
        <w:rPr>
          <w:rFonts w:ascii="Times New Roman" w:eastAsia="MS Mincho" w:hAnsi="Times New Roman" w:cs="Times New Roman"/>
          <w:sz w:val="24"/>
          <w:szCs w:val="24"/>
        </w:rPr>
        <w:t xml:space="preserve">Recent studies carried out by Fatima (2004) have shown </w:t>
      </w:r>
      <w:r>
        <w:rPr>
          <w:rFonts w:ascii="Times New Roman" w:eastAsia="MS Mincho" w:hAnsi="Times New Roman" w:cs="Times New Roman"/>
          <w:sz w:val="24"/>
          <w:szCs w:val="24"/>
        </w:rPr>
        <w:t xml:space="preserve">a </w:t>
      </w:r>
      <w:r w:rsidRPr="0080460F">
        <w:rPr>
          <w:rFonts w:ascii="Times New Roman" w:eastAsia="MS Mincho" w:hAnsi="Times New Roman" w:cs="Times New Roman"/>
          <w:sz w:val="24"/>
          <w:szCs w:val="24"/>
        </w:rPr>
        <w:t xml:space="preserve">contrast </w:t>
      </w:r>
      <w:r>
        <w:rPr>
          <w:rFonts w:ascii="Times New Roman" w:eastAsia="MS Mincho" w:hAnsi="Times New Roman" w:cs="Times New Roman"/>
          <w:sz w:val="24"/>
          <w:szCs w:val="24"/>
        </w:rPr>
        <w:t>with</w:t>
      </w:r>
      <w:r w:rsidRPr="0080460F">
        <w:rPr>
          <w:rFonts w:ascii="Times New Roman" w:eastAsia="MS Mincho" w:hAnsi="Times New Roman" w:cs="Times New Roman"/>
          <w:sz w:val="24"/>
          <w:szCs w:val="24"/>
        </w:rPr>
        <w:t xml:space="preserve"> the previous literatures on financial development and productivity</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 xml:space="preserve"> by showing no significance variation in the financial development and growth relationships across income levels.</w:t>
      </w:r>
      <w:r>
        <w:rPr>
          <w:rFonts w:ascii="Times New Roman" w:eastAsia="MS Mincho" w:hAnsi="Times New Roman" w:cs="Times New Roman"/>
          <w:sz w:val="24"/>
          <w:szCs w:val="24"/>
        </w:rPr>
        <w:t xml:space="preserve"> </w:t>
      </w:r>
      <w:r w:rsidRPr="0080460F">
        <w:rPr>
          <w:rFonts w:ascii="Times New Roman" w:eastAsia="MS Mincho" w:hAnsi="Times New Roman" w:cs="Times New Roman"/>
          <w:sz w:val="24"/>
          <w:szCs w:val="24"/>
        </w:rPr>
        <w:t>Similar empirical regression</w:t>
      </w:r>
      <w:r>
        <w:rPr>
          <w:rFonts w:ascii="Times New Roman" w:eastAsia="MS Mincho" w:hAnsi="Times New Roman" w:cs="Times New Roman"/>
          <w:sz w:val="24"/>
          <w:szCs w:val="24"/>
        </w:rPr>
        <w:t>s</w:t>
      </w:r>
      <w:r w:rsidRPr="0080460F">
        <w:rPr>
          <w:rFonts w:ascii="Times New Roman" w:eastAsia="MS Mincho" w:hAnsi="Times New Roman" w:cs="Times New Roman"/>
          <w:sz w:val="24"/>
          <w:szCs w:val="24"/>
        </w:rPr>
        <w:t xml:space="preserve"> in previous work</w:t>
      </w:r>
      <w:r>
        <w:rPr>
          <w:rFonts w:ascii="Times New Roman" w:eastAsia="MS Mincho" w:hAnsi="Times New Roman" w:cs="Times New Roman"/>
          <w:sz w:val="24"/>
          <w:szCs w:val="24"/>
        </w:rPr>
        <w:t>s,</w:t>
      </w:r>
      <w:r w:rsidRPr="0080460F">
        <w:rPr>
          <w:rFonts w:ascii="Times New Roman" w:eastAsia="MS Mincho" w:hAnsi="Times New Roman" w:cs="Times New Roman"/>
          <w:sz w:val="24"/>
          <w:szCs w:val="24"/>
        </w:rPr>
        <w:t xml:space="preserve"> </w:t>
      </w:r>
      <w:r>
        <w:rPr>
          <w:rFonts w:ascii="Times New Roman" w:eastAsia="MS Mincho" w:hAnsi="Times New Roman" w:cs="Times New Roman"/>
          <w:sz w:val="24"/>
          <w:szCs w:val="24"/>
        </w:rPr>
        <w:t>which</w:t>
      </w:r>
      <w:r w:rsidRPr="0080460F">
        <w:rPr>
          <w:rFonts w:ascii="Times New Roman" w:eastAsia="MS Mincho" w:hAnsi="Times New Roman" w:cs="Times New Roman"/>
          <w:sz w:val="24"/>
          <w:szCs w:val="24"/>
        </w:rPr>
        <w:t xml:space="preserve"> use narrower financial development measurement</w:t>
      </w:r>
      <w:r>
        <w:rPr>
          <w:rFonts w:ascii="Times New Roman" w:eastAsia="MS Mincho" w:hAnsi="Times New Roman" w:cs="Times New Roman"/>
          <w:sz w:val="24"/>
          <w:szCs w:val="24"/>
        </w:rPr>
        <w:t>s,</w:t>
      </w:r>
      <w:r w:rsidRPr="0080460F">
        <w:rPr>
          <w:rFonts w:ascii="Times New Roman" w:eastAsia="MS Mincho" w:hAnsi="Times New Roman" w:cs="Times New Roman"/>
          <w:sz w:val="24"/>
          <w:szCs w:val="24"/>
        </w:rPr>
        <w:t xml:space="preserve"> like private credit to GDP</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 xml:space="preserve"> have shown a stark contrast in the financial-productivity relationship </w:t>
      </w:r>
      <w:r>
        <w:rPr>
          <w:rFonts w:ascii="Times New Roman" w:eastAsia="MS Mincho" w:hAnsi="Times New Roman" w:cs="Times New Roman"/>
          <w:sz w:val="24"/>
          <w:szCs w:val="24"/>
        </w:rPr>
        <w:t>to</w:t>
      </w:r>
      <w:r w:rsidRPr="0080460F">
        <w:rPr>
          <w:rFonts w:ascii="Times New Roman" w:eastAsia="MS Mincho" w:hAnsi="Times New Roman" w:cs="Times New Roman"/>
          <w:sz w:val="24"/>
          <w:szCs w:val="24"/>
        </w:rPr>
        <w:t xml:space="preserve"> the results </w:t>
      </w:r>
      <w:r>
        <w:rPr>
          <w:rFonts w:ascii="Times New Roman" w:eastAsia="MS Mincho" w:hAnsi="Times New Roman" w:cs="Times New Roman"/>
          <w:sz w:val="24"/>
          <w:szCs w:val="24"/>
        </w:rPr>
        <w:t xml:space="preserve">acquired </w:t>
      </w:r>
      <w:r w:rsidRPr="0080460F">
        <w:rPr>
          <w:rFonts w:ascii="Times New Roman" w:eastAsia="MS Mincho" w:hAnsi="Times New Roman" w:cs="Times New Roman"/>
          <w:sz w:val="24"/>
          <w:szCs w:val="24"/>
        </w:rPr>
        <w:t xml:space="preserve">by Fatima (2004) in her recent study. The weakness observed in the relationship between productivity and finance has led to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 xml:space="preserve">formulation </w:t>
      </w:r>
      <w:r>
        <w:rPr>
          <w:rFonts w:ascii="Times New Roman" w:eastAsia="MS Mincho" w:hAnsi="Times New Roman" w:cs="Times New Roman"/>
          <w:sz w:val="24"/>
          <w:szCs w:val="24"/>
        </w:rPr>
        <w:t xml:space="preserve">of the </w:t>
      </w:r>
      <w:r w:rsidRPr="0080460F">
        <w:rPr>
          <w:rFonts w:ascii="Times New Roman" w:eastAsia="MS Mincho" w:hAnsi="Times New Roman" w:cs="Times New Roman"/>
          <w:sz w:val="24"/>
          <w:szCs w:val="24"/>
        </w:rPr>
        <w:t>financial development index</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 xml:space="preserve"> which is a better financial development measure as it captures accurate and relevant differences across countries.</w:t>
      </w:r>
    </w:p>
    <w:p w14:paraId="6B50066E" w14:textId="2EDE8096" w:rsidR="00AB1527" w:rsidRPr="0080460F" w:rsidRDefault="00AB1527" w:rsidP="008E4E1C">
      <w:pPr>
        <w:spacing w:after="240" w:line="360" w:lineRule="auto"/>
        <w:jc w:val="both"/>
        <w:rPr>
          <w:rFonts w:ascii="Times New Roman" w:eastAsia="MS Mincho" w:hAnsi="Times New Roman" w:cs="Times New Roman"/>
          <w:sz w:val="24"/>
          <w:szCs w:val="24"/>
        </w:rPr>
      </w:pPr>
      <w:r w:rsidRPr="0080460F">
        <w:rPr>
          <w:rFonts w:ascii="Times New Roman" w:eastAsia="MS Mincho" w:hAnsi="Times New Roman" w:cs="Times New Roman"/>
          <w:sz w:val="24"/>
          <w:szCs w:val="24"/>
        </w:rPr>
        <w:t xml:space="preserve">Fatima (2004) was among the first economists to empirically show that financial openness is </w:t>
      </w:r>
      <w:r>
        <w:rPr>
          <w:rFonts w:ascii="Times New Roman" w:eastAsia="MS Mincho" w:hAnsi="Times New Roman" w:cs="Times New Roman"/>
          <w:sz w:val="24"/>
          <w:szCs w:val="24"/>
        </w:rPr>
        <w:t xml:space="preserve">a </w:t>
      </w:r>
      <w:r w:rsidRPr="0080460F">
        <w:rPr>
          <w:rFonts w:ascii="Times New Roman" w:eastAsia="MS Mincho" w:hAnsi="Times New Roman" w:cs="Times New Roman"/>
          <w:sz w:val="24"/>
          <w:szCs w:val="24"/>
        </w:rPr>
        <w:t xml:space="preserve">key in financial development and nonlinearity in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 xml:space="preserve">growth in emerging markets. </w:t>
      </w:r>
      <w:r>
        <w:rPr>
          <w:rFonts w:ascii="Times New Roman" w:eastAsia="MS Mincho" w:hAnsi="Times New Roman" w:cs="Times New Roman"/>
          <w:sz w:val="24"/>
          <w:szCs w:val="24"/>
        </w:rPr>
        <w:t>The f</w:t>
      </w:r>
      <w:r w:rsidRPr="0080460F">
        <w:rPr>
          <w:rFonts w:ascii="Times New Roman" w:eastAsia="MS Mincho" w:hAnsi="Times New Roman" w:cs="Times New Roman"/>
          <w:sz w:val="24"/>
          <w:szCs w:val="24"/>
        </w:rPr>
        <w:t xml:space="preserve">inancial openness of a country determines the amount of direct foreign investment </w:t>
      </w:r>
      <w:r>
        <w:rPr>
          <w:rFonts w:ascii="Times New Roman" w:eastAsia="MS Mincho" w:hAnsi="Times New Roman" w:cs="Times New Roman"/>
          <w:sz w:val="24"/>
          <w:szCs w:val="24"/>
        </w:rPr>
        <w:t xml:space="preserve">that </w:t>
      </w:r>
      <w:r w:rsidRPr="0080460F">
        <w:rPr>
          <w:rFonts w:ascii="Times New Roman" w:eastAsia="MS Mincho" w:hAnsi="Times New Roman" w:cs="Times New Roman"/>
          <w:sz w:val="24"/>
          <w:szCs w:val="24"/>
        </w:rPr>
        <w:t>a country in the emerging markets can get</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 xml:space="preserve"> to promote productivity through </w:t>
      </w:r>
      <w:r>
        <w:rPr>
          <w:rFonts w:ascii="Times New Roman" w:eastAsia="MS Mincho" w:hAnsi="Times New Roman" w:cs="Times New Roman"/>
          <w:sz w:val="24"/>
          <w:szCs w:val="24"/>
        </w:rPr>
        <w:t xml:space="preserve">its </w:t>
      </w:r>
      <w:r w:rsidRPr="0080460F">
        <w:rPr>
          <w:rFonts w:ascii="Times New Roman" w:eastAsia="MS Mincho" w:hAnsi="Times New Roman" w:cs="Times New Roman"/>
          <w:sz w:val="24"/>
          <w:szCs w:val="24"/>
        </w:rPr>
        <w:t xml:space="preserve">financial markets. His general explanation was that, apart from attracting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investment</w:t>
      </w:r>
      <w:r>
        <w:rPr>
          <w:rFonts w:ascii="Times New Roman" w:eastAsia="MS Mincho" w:hAnsi="Times New Roman" w:cs="Times New Roman"/>
          <w:sz w:val="24"/>
          <w:szCs w:val="24"/>
        </w:rPr>
        <w:t>s</w:t>
      </w:r>
      <w:r w:rsidRPr="0080460F">
        <w:rPr>
          <w:rFonts w:ascii="Times New Roman" w:eastAsia="MS Mincho" w:hAnsi="Times New Roman" w:cs="Times New Roman"/>
          <w:sz w:val="24"/>
          <w:szCs w:val="24"/>
        </w:rPr>
        <w:t xml:space="preserve"> of foreign companies, better local conditions maximize the benefits of </w:t>
      </w:r>
      <w:r>
        <w:rPr>
          <w:rFonts w:ascii="Times New Roman" w:eastAsia="MS Mincho" w:hAnsi="Times New Roman" w:cs="Times New Roman"/>
          <w:sz w:val="24"/>
          <w:szCs w:val="24"/>
        </w:rPr>
        <w:t>such</w:t>
      </w:r>
      <w:r w:rsidRPr="0080460F">
        <w:rPr>
          <w:rFonts w:ascii="Times New Roman" w:eastAsia="MS Mincho" w:hAnsi="Times New Roman" w:cs="Times New Roman"/>
          <w:sz w:val="24"/>
          <w:szCs w:val="24"/>
        </w:rPr>
        <w:t xml:space="preserve"> investments. Typically, countries with better financial institutions in emerging markets exhibit a statistical economic significance and capital</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 xml:space="preserve"> </w:t>
      </w:r>
      <w:r>
        <w:rPr>
          <w:rFonts w:ascii="Times New Roman" w:eastAsia="MS Mincho" w:hAnsi="Times New Roman" w:cs="Times New Roman"/>
          <w:sz w:val="24"/>
          <w:szCs w:val="24"/>
        </w:rPr>
        <w:t xml:space="preserve">which </w:t>
      </w:r>
      <w:r w:rsidRPr="0080460F">
        <w:rPr>
          <w:rFonts w:ascii="Times New Roman" w:eastAsia="MS Mincho" w:hAnsi="Times New Roman" w:cs="Times New Roman"/>
          <w:sz w:val="24"/>
          <w:szCs w:val="24"/>
        </w:rPr>
        <w:t>account</w:t>
      </w:r>
      <w:r>
        <w:rPr>
          <w:rFonts w:ascii="Times New Roman" w:eastAsia="MS Mincho" w:hAnsi="Times New Roman" w:cs="Times New Roman"/>
          <w:sz w:val="24"/>
          <w:szCs w:val="24"/>
        </w:rPr>
        <w:t>s for the</w:t>
      </w:r>
      <w:r w:rsidRPr="0080460F">
        <w:rPr>
          <w:rFonts w:ascii="Times New Roman" w:eastAsia="MS Mincho" w:hAnsi="Times New Roman" w:cs="Times New Roman"/>
          <w:sz w:val="24"/>
          <w:szCs w:val="24"/>
        </w:rPr>
        <w:t xml:space="preserve"> openness resulting </w:t>
      </w:r>
      <w:r>
        <w:rPr>
          <w:rFonts w:ascii="Times New Roman" w:eastAsia="MS Mincho" w:hAnsi="Times New Roman" w:cs="Times New Roman"/>
          <w:sz w:val="24"/>
          <w:szCs w:val="24"/>
        </w:rPr>
        <w:t>in</w:t>
      </w:r>
      <w:r w:rsidRPr="0080460F">
        <w:rPr>
          <w:rFonts w:ascii="Times New Roman" w:eastAsia="MS Mincho" w:hAnsi="Times New Roman" w:cs="Times New Roman"/>
          <w:sz w:val="24"/>
          <w:szCs w:val="24"/>
        </w:rPr>
        <w:t xml:space="preserve"> high growth. Due to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 xml:space="preserve">low foreign capital costs and expropriation costs in countries </w:t>
      </w:r>
      <w:r>
        <w:rPr>
          <w:rFonts w:ascii="Times New Roman" w:eastAsia="MS Mincho" w:hAnsi="Times New Roman" w:cs="Times New Roman"/>
          <w:sz w:val="24"/>
          <w:szCs w:val="24"/>
        </w:rPr>
        <w:t>which</w:t>
      </w:r>
      <w:r w:rsidRPr="0080460F">
        <w:rPr>
          <w:rFonts w:ascii="Times New Roman" w:eastAsia="MS Mincho" w:hAnsi="Times New Roman" w:cs="Times New Roman"/>
          <w:sz w:val="24"/>
          <w:szCs w:val="24"/>
        </w:rPr>
        <w:t xml:space="preserve"> </w:t>
      </w:r>
      <w:r>
        <w:rPr>
          <w:rFonts w:ascii="Times New Roman" w:eastAsia="MS Mincho" w:hAnsi="Times New Roman" w:cs="Times New Roman"/>
          <w:sz w:val="24"/>
          <w:szCs w:val="24"/>
        </w:rPr>
        <w:t xml:space="preserve">have </w:t>
      </w:r>
      <w:r w:rsidRPr="0080460F">
        <w:rPr>
          <w:rFonts w:ascii="Times New Roman" w:eastAsia="MS Mincho" w:hAnsi="Times New Roman" w:cs="Times New Roman"/>
          <w:sz w:val="24"/>
          <w:szCs w:val="24"/>
        </w:rPr>
        <w:t xml:space="preserve">embraced openness, Fatima (2004) argued that productive investment was using higher proportions of savings due to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higher levels of institutional qualities.</w:t>
      </w:r>
    </w:p>
    <w:p w14:paraId="7813963B" w14:textId="1EBC3A3D" w:rsidR="00AB1527" w:rsidRPr="0080460F" w:rsidRDefault="00AB1527" w:rsidP="008E4E1C">
      <w:pPr>
        <w:spacing w:after="240" w:line="360" w:lineRule="auto"/>
        <w:jc w:val="both"/>
        <w:rPr>
          <w:rFonts w:ascii="Times New Roman" w:eastAsia="MS Mincho" w:hAnsi="Times New Roman" w:cs="Times New Roman"/>
          <w:sz w:val="24"/>
          <w:szCs w:val="24"/>
        </w:rPr>
      </w:pPr>
      <w:r w:rsidRPr="0080460F">
        <w:rPr>
          <w:rFonts w:ascii="Times New Roman" w:eastAsia="MS Mincho" w:hAnsi="Times New Roman" w:cs="Times New Roman"/>
          <w:sz w:val="24"/>
          <w:szCs w:val="24"/>
        </w:rPr>
        <w:t>There is growing evidence on the existence of nonlinearities between financial depth and economic growth, which has been investigated within the broader perspective of</w:t>
      </w:r>
      <w:r>
        <w:rPr>
          <w:rFonts w:ascii="Times New Roman" w:eastAsia="MS Mincho" w:hAnsi="Times New Roman" w:cs="Times New Roman"/>
          <w:sz w:val="24"/>
          <w:szCs w:val="24"/>
        </w:rPr>
        <w:t xml:space="preserve"> the</w:t>
      </w:r>
      <w:r w:rsidRPr="0080460F">
        <w:rPr>
          <w:rFonts w:ascii="Times New Roman" w:eastAsia="MS Mincho" w:hAnsi="Times New Roman" w:cs="Times New Roman"/>
          <w:sz w:val="24"/>
          <w:szCs w:val="24"/>
        </w:rPr>
        <w:t xml:space="preserve"> ‘too much finance’ hypothesis. The hypothesis posits that financial development promotes economic growth up to a point</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 xml:space="preserve"> beyond </w:t>
      </w:r>
      <w:r>
        <w:rPr>
          <w:rFonts w:ascii="Times New Roman" w:eastAsia="MS Mincho" w:hAnsi="Times New Roman" w:cs="Times New Roman"/>
          <w:sz w:val="24"/>
          <w:szCs w:val="24"/>
        </w:rPr>
        <w:t>this</w:t>
      </w:r>
      <w:r w:rsidRPr="0080460F">
        <w:rPr>
          <w:rFonts w:ascii="Times New Roman" w:eastAsia="MS Mincho" w:hAnsi="Times New Roman" w:cs="Times New Roman"/>
          <w:sz w:val="24"/>
          <w:szCs w:val="24"/>
        </w:rPr>
        <w:t xml:space="preserve"> threshold</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 xml:space="preserve"> it becomes a drag on growth (Arcand et al, 2012; Cecchetti and Kharroubi, 2012; Law and Singh, 2014; Sahay et al, 2015). This literature suggests that the relationship between financial </w:t>
      </w:r>
      <w:r w:rsidRPr="0080460F">
        <w:rPr>
          <w:rFonts w:ascii="Times New Roman" w:eastAsia="MS Mincho" w:hAnsi="Times New Roman" w:cs="Times New Roman"/>
          <w:sz w:val="24"/>
          <w:szCs w:val="24"/>
        </w:rPr>
        <w:lastRenderedPageBreak/>
        <w:t xml:space="preserve">development and economic growth is possibly an inverted U-shape, which points </w:t>
      </w:r>
      <w:r>
        <w:rPr>
          <w:rFonts w:ascii="Times New Roman" w:eastAsia="MS Mincho" w:hAnsi="Times New Roman" w:cs="Times New Roman"/>
          <w:sz w:val="24"/>
          <w:szCs w:val="24"/>
        </w:rPr>
        <w:t>at</w:t>
      </w:r>
      <w:r w:rsidRPr="0080460F">
        <w:rPr>
          <w:rFonts w:ascii="Times New Roman" w:eastAsia="MS Mincho" w:hAnsi="Times New Roman" w:cs="Times New Roman"/>
          <w:sz w:val="24"/>
          <w:szCs w:val="24"/>
        </w:rPr>
        <w:t xml:space="preserve"> the possibility of the existence of a turning point in the effect of financial development on economic growth. Pooling a sample of 48 countries, Shen and Lee (2006) showed that there is a non-linear, inverted U-shape</w:t>
      </w:r>
      <w:r>
        <w:rPr>
          <w:rFonts w:ascii="Times New Roman" w:eastAsia="MS Mincho" w:hAnsi="Times New Roman" w:cs="Times New Roman"/>
          <w:sz w:val="24"/>
          <w:szCs w:val="24"/>
        </w:rPr>
        <w:t>d</w:t>
      </w:r>
      <w:r w:rsidRPr="0080460F">
        <w:rPr>
          <w:rFonts w:ascii="Times New Roman" w:eastAsia="MS Mincho" w:hAnsi="Times New Roman" w:cs="Times New Roman"/>
          <w:sz w:val="24"/>
          <w:szCs w:val="24"/>
        </w:rPr>
        <w:t xml:space="preserve"> relationship between financial depth and economic growth. The financial depth of the banking industry is proxied by the ratio of claims on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 xml:space="preserve">private sector by banks to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 xml:space="preserve">GDP, ratio of liquid liabilities of financial intermediaries to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GDP</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 xml:space="preserve"> and the spread between borrowing and lending interest rates. Huang and Lin (2009) support</w:t>
      </w:r>
      <w:r>
        <w:rPr>
          <w:rFonts w:ascii="Times New Roman" w:eastAsia="MS Mincho" w:hAnsi="Times New Roman" w:cs="Times New Roman"/>
          <w:sz w:val="24"/>
          <w:szCs w:val="24"/>
        </w:rPr>
        <w:t>ed</w:t>
      </w:r>
      <w:r w:rsidRPr="0080460F">
        <w:rPr>
          <w:rFonts w:ascii="Times New Roman" w:eastAsia="MS Mincho" w:hAnsi="Times New Roman" w:cs="Times New Roman"/>
          <w:sz w:val="24"/>
          <w:szCs w:val="24"/>
        </w:rPr>
        <w:t xml:space="preserve"> the non-linear effect of financial development on economic growth, using the threshold regression approach of Hansen (2000) for a sample of 71 countries. Applying a similar threshold regression strategy for a sample of 87 developed and developing countries, Law and Singh (2014) </w:t>
      </w:r>
      <w:r>
        <w:rPr>
          <w:rFonts w:ascii="Times New Roman" w:eastAsia="MS Mincho" w:hAnsi="Times New Roman" w:cs="Times New Roman"/>
          <w:sz w:val="24"/>
          <w:szCs w:val="24"/>
        </w:rPr>
        <w:t>showed</w:t>
      </w:r>
      <w:r w:rsidRPr="0080460F">
        <w:rPr>
          <w:rFonts w:ascii="Times New Roman" w:eastAsia="MS Mincho" w:hAnsi="Times New Roman" w:cs="Times New Roman"/>
          <w:sz w:val="24"/>
          <w:szCs w:val="24"/>
        </w:rPr>
        <w:t xml:space="preserve"> the non-linear effect of finance on economic growth, revealing a threshold level beyond which financial development w</w:t>
      </w:r>
      <w:r>
        <w:rPr>
          <w:rFonts w:ascii="Times New Roman" w:eastAsia="MS Mincho" w:hAnsi="Times New Roman" w:cs="Times New Roman"/>
          <w:sz w:val="24"/>
          <w:szCs w:val="24"/>
        </w:rPr>
        <w:t>e</w:t>
      </w:r>
      <w:r w:rsidRPr="0080460F">
        <w:rPr>
          <w:rFonts w:ascii="Times New Roman" w:eastAsia="MS Mincho" w:hAnsi="Times New Roman" w:cs="Times New Roman"/>
          <w:sz w:val="24"/>
          <w:szCs w:val="24"/>
        </w:rPr>
        <w:t>akens economic growth.</w:t>
      </w:r>
    </w:p>
    <w:p w14:paraId="22774168" w14:textId="7561FBB6" w:rsidR="00AB1527" w:rsidRPr="0080460F" w:rsidRDefault="00AB1527" w:rsidP="008E4E1C">
      <w:pPr>
        <w:spacing w:after="240" w:line="360" w:lineRule="auto"/>
        <w:jc w:val="both"/>
        <w:rPr>
          <w:rFonts w:ascii="Times New Roman" w:eastAsia="MS Mincho" w:hAnsi="Times New Roman" w:cs="Times New Roman"/>
          <w:sz w:val="24"/>
          <w:szCs w:val="24"/>
        </w:rPr>
      </w:pPr>
      <w:r w:rsidRPr="0080460F">
        <w:rPr>
          <w:rFonts w:ascii="Times New Roman" w:eastAsia="MS Mincho" w:hAnsi="Times New Roman" w:cs="Times New Roman"/>
          <w:sz w:val="24"/>
          <w:szCs w:val="24"/>
        </w:rPr>
        <w:t>From a similar perspective, Arcand et al</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 xml:space="preserve"> (2012) demonstrated that there is a non-linear effect of financial development, measured by the ratio of private sector credit extended by banks and other financial institutions to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 xml:space="preserve">GDP, on economic growth using </w:t>
      </w:r>
      <w:r>
        <w:rPr>
          <w:rFonts w:ascii="Times New Roman" w:eastAsia="MS Mincho" w:hAnsi="Times New Roman" w:cs="Times New Roman"/>
          <w:sz w:val="24"/>
          <w:szCs w:val="24"/>
        </w:rPr>
        <w:t xml:space="preserve">a </w:t>
      </w:r>
      <w:r w:rsidRPr="0080460F">
        <w:rPr>
          <w:rFonts w:ascii="Times New Roman" w:eastAsia="MS Mincho" w:hAnsi="Times New Roman" w:cs="Times New Roman"/>
          <w:sz w:val="24"/>
          <w:szCs w:val="24"/>
        </w:rPr>
        <w:t xml:space="preserve">semi-parametric estimation. This study establishes a threshold of around 80-100 % of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 xml:space="preserve">GDP, above which financial development exerts a dampening effect on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economic growth. Sahay et al</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 xml:space="preserve"> (2015) employed a dynamic system generalized method of moments (GMM) to investigate the weakening effect of financial development on economic growth over the period </w:t>
      </w:r>
      <w:r>
        <w:rPr>
          <w:rFonts w:ascii="Times New Roman" w:eastAsia="MS Mincho" w:hAnsi="Times New Roman" w:cs="Times New Roman"/>
          <w:sz w:val="24"/>
          <w:szCs w:val="24"/>
        </w:rPr>
        <w:t xml:space="preserve">between </w:t>
      </w:r>
      <w:r w:rsidRPr="0080460F">
        <w:rPr>
          <w:rFonts w:ascii="Times New Roman" w:eastAsia="MS Mincho" w:hAnsi="Times New Roman" w:cs="Times New Roman"/>
          <w:sz w:val="24"/>
          <w:szCs w:val="24"/>
        </w:rPr>
        <w:t xml:space="preserve">1980-2010. Unlike other studies </w:t>
      </w:r>
      <w:r>
        <w:rPr>
          <w:rFonts w:ascii="Times New Roman" w:eastAsia="MS Mincho" w:hAnsi="Times New Roman" w:cs="Times New Roman"/>
          <w:sz w:val="24"/>
          <w:szCs w:val="24"/>
        </w:rPr>
        <w:t>which</w:t>
      </w:r>
      <w:r w:rsidRPr="0080460F">
        <w:rPr>
          <w:rFonts w:ascii="Times New Roman" w:eastAsia="MS Mincho" w:hAnsi="Times New Roman" w:cs="Times New Roman"/>
          <w:sz w:val="24"/>
          <w:szCs w:val="24"/>
        </w:rPr>
        <w:t xml:space="preserve"> have employed single indicators of financial development, Sahay et al</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 xml:space="preserve"> (2015) use</w:t>
      </w:r>
      <w:r>
        <w:rPr>
          <w:rFonts w:ascii="Times New Roman" w:eastAsia="MS Mincho" w:hAnsi="Times New Roman" w:cs="Times New Roman"/>
          <w:sz w:val="24"/>
          <w:szCs w:val="24"/>
        </w:rPr>
        <w:t>d</w:t>
      </w:r>
      <w:r w:rsidRPr="0080460F">
        <w:rPr>
          <w:rFonts w:ascii="Times New Roman" w:eastAsia="MS Mincho" w:hAnsi="Times New Roman" w:cs="Times New Roman"/>
          <w:sz w:val="24"/>
          <w:szCs w:val="24"/>
        </w:rPr>
        <w:t xml:space="preserve"> a composite index of financial development to capture the dimensions of financial institutions (banking and non</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banking) and financial markets. The results show</w:t>
      </w:r>
      <w:r>
        <w:rPr>
          <w:rFonts w:ascii="Times New Roman" w:eastAsia="MS Mincho" w:hAnsi="Times New Roman" w:cs="Times New Roman"/>
          <w:sz w:val="24"/>
          <w:szCs w:val="24"/>
        </w:rPr>
        <w:t>ed</w:t>
      </w:r>
      <w:r w:rsidRPr="0080460F">
        <w:rPr>
          <w:rFonts w:ascii="Times New Roman" w:eastAsia="MS Mincho" w:hAnsi="Times New Roman" w:cs="Times New Roman"/>
          <w:sz w:val="24"/>
          <w:szCs w:val="24"/>
        </w:rPr>
        <w:t xml:space="preserve"> a non-linear relationship between financial development and economic growth in emerging markets.</w:t>
      </w:r>
    </w:p>
    <w:p w14:paraId="541502E1" w14:textId="487F1657" w:rsidR="00AB1527" w:rsidRPr="0080460F" w:rsidRDefault="00AB1527" w:rsidP="008E4E1C">
      <w:pPr>
        <w:spacing w:after="240" w:line="360" w:lineRule="auto"/>
        <w:jc w:val="both"/>
        <w:rPr>
          <w:rFonts w:ascii="Times New Roman" w:eastAsia="MS Mincho" w:hAnsi="Times New Roman" w:cs="Times New Roman"/>
          <w:sz w:val="24"/>
          <w:szCs w:val="24"/>
        </w:rPr>
      </w:pPr>
      <w:r w:rsidRPr="0080460F">
        <w:rPr>
          <w:rFonts w:ascii="Times New Roman" w:eastAsia="MS Mincho" w:hAnsi="Times New Roman" w:cs="Times New Roman"/>
          <w:sz w:val="24"/>
          <w:szCs w:val="24"/>
        </w:rPr>
        <w:t xml:space="preserve">A number of studies have provided plausible explanations for the existence of </w:t>
      </w:r>
      <w:r>
        <w:rPr>
          <w:rFonts w:ascii="Times New Roman" w:eastAsia="MS Mincho" w:hAnsi="Times New Roman" w:cs="Times New Roman"/>
          <w:sz w:val="24"/>
          <w:szCs w:val="24"/>
        </w:rPr>
        <w:t xml:space="preserve">a </w:t>
      </w:r>
      <w:r w:rsidRPr="0080460F">
        <w:rPr>
          <w:rFonts w:ascii="Times New Roman" w:eastAsia="MS Mincho" w:hAnsi="Times New Roman" w:cs="Times New Roman"/>
          <w:sz w:val="24"/>
          <w:szCs w:val="24"/>
        </w:rPr>
        <w:t xml:space="preserve">nonlinear relationship between financial development and economic growth. One argument points </w:t>
      </w:r>
      <w:r>
        <w:rPr>
          <w:rFonts w:ascii="Times New Roman" w:eastAsia="MS Mincho" w:hAnsi="Times New Roman" w:cs="Times New Roman"/>
          <w:sz w:val="24"/>
          <w:szCs w:val="24"/>
        </w:rPr>
        <w:t>at</w:t>
      </w:r>
      <w:r w:rsidRPr="0080460F">
        <w:rPr>
          <w:rFonts w:ascii="Times New Roman" w:eastAsia="MS Mincho" w:hAnsi="Times New Roman" w:cs="Times New Roman"/>
          <w:sz w:val="24"/>
          <w:szCs w:val="24"/>
        </w:rPr>
        <w:t xml:space="preserve"> the existence of multiple equilibria between financial development and economic growth, which is explained by the reciprocal externality between the financial and real sectors (Jude, 2010). As discussed above, nonlinearity linkage implies that financial deepening induces a drag on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 xml:space="preserve">economic growth beyond a certain </w:t>
      </w:r>
      <w:r w:rsidRPr="0080460F">
        <w:rPr>
          <w:rFonts w:ascii="Times New Roman" w:eastAsia="MS Mincho" w:hAnsi="Times New Roman" w:cs="Times New Roman"/>
          <w:sz w:val="24"/>
          <w:szCs w:val="24"/>
        </w:rPr>
        <w:lastRenderedPageBreak/>
        <w:t xml:space="preserve">threshold. Such a dampening effect of financial development on growth is attributed to the reduced efficiency of investment at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 xml:space="preserve">higher levels of financial development, as the allocation of resources towards productive activities and to support human capital development is impeded at </w:t>
      </w:r>
      <w:r>
        <w:rPr>
          <w:rFonts w:ascii="Times New Roman" w:eastAsia="MS Mincho" w:hAnsi="Times New Roman" w:cs="Times New Roman"/>
          <w:sz w:val="24"/>
          <w:szCs w:val="24"/>
        </w:rPr>
        <w:t xml:space="preserve">such </w:t>
      </w:r>
      <w:r w:rsidRPr="0080460F">
        <w:rPr>
          <w:rFonts w:ascii="Times New Roman" w:eastAsia="MS Mincho" w:hAnsi="Times New Roman" w:cs="Times New Roman"/>
          <w:sz w:val="24"/>
          <w:szCs w:val="24"/>
        </w:rPr>
        <w:t>high levels of financial development (see Sahay et al., 2015). In a similar manner, Cecchetti and Kharroubi (2012) put forward the argument that there is intense competition for scarce resources between the financial sector and the rest of the economy, especially in a financial boom era which is characterized by potential over</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investment</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 xml:space="preserve"> </w:t>
      </w:r>
      <w:r>
        <w:rPr>
          <w:rFonts w:ascii="Times New Roman" w:eastAsia="MS Mincho" w:hAnsi="Times New Roman" w:cs="Times New Roman"/>
          <w:sz w:val="24"/>
          <w:szCs w:val="24"/>
        </w:rPr>
        <w:t>which</w:t>
      </w:r>
      <w:r w:rsidRPr="0080460F">
        <w:rPr>
          <w:rFonts w:ascii="Times New Roman" w:eastAsia="MS Mincho" w:hAnsi="Times New Roman" w:cs="Times New Roman"/>
          <w:sz w:val="24"/>
          <w:szCs w:val="24"/>
        </w:rPr>
        <w:t xml:space="preserve"> is not growth-enhancing. At higher levels of financial development, resources can be diverted from more productive sectors towards the financial sector, which suggests that financial development may not make any meaningful contribution to increasing the efficiency of investment beyond a certain threshold, especially in high-income countries.</w:t>
      </w:r>
    </w:p>
    <w:p w14:paraId="451C523F" w14:textId="3612FDF1" w:rsidR="00AB1527" w:rsidRPr="0080460F" w:rsidRDefault="00AB1527" w:rsidP="008E4E1C">
      <w:pPr>
        <w:spacing w:after="240" w:line="360" w:lineRule="auto"/>
        <w:jc w:val="both"/>
        <w:rPr>
          <w:rFonts w:ascii="Times New Roman" w:eastAsia="MS Mincho" w:hAnsi="Times New Roman" w:cs="Times New Roman"/>
          <w:sz w:val="24"/>
          <w:szCs w:val="24"/>
        </w:rPr>
      </w:pPr>
      <w:r w:rsidRPr="0080460F">
        <w:rPr>
          <w:rFonts w:ascii="Times New Roman" w:eastAsia="MS Mincho" w:hAnsi="Times New Roman" w:cs="Times New Roman"/>
          <w:sz w:val="24"/>
          <w:szCs w:val="24"/>
        </w:rPr>
        <w:t xml:space="preserve">While the non-linearity between financial development and economic growth is well-established, there is evidence suggesting that the finance-growth relationship depends on the level of income and level of development of the financial sectors. For example, Rioja and Valev (2004) have shown that the effect of financial development on economic growth varies according to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 xml:space="preserve">income levels. The study </w:t>
      </w:r>
      <w:r>
        <w:rPr>
          <w:rFonts w:ascii="Times New Roman" w:eastAsia="MS Mincho" w:hAnsi="Times New Roman" w:cs="Times New Roman"/>
          <w:sz w:val="24"/>
          <w:szCs w:val="24"/>
        </w:rPr>
        <w:t>found</w:t>
      </w:r>
      <w:r w:rsidRPr="0080460F">
        <w:rPr>
          <w:rFonts w:ascii="Times New Roman" w:eastAsia="MS Mincho" w:hAnsi="Times New Roman" w:cs="Times New Roman"/>
          <w:sz w:val="24"/>
          <w:szCs w:val="24"/>
        </w:rPr>
        <w:t xml:space="preserve"> that financial development exerts a positive impact on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economic growth in middle-income and high-income countries</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 xml:space="preserve"> but the relationship is not statistically significant in low-income countries. In contrast, Huang and Lin (2009) showed that financial development has an economically more significant impact on economic growth and productivity growth in low-income countries</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 xml:space="preserve"> </w:t>
      </w:r>
      <w:r>
        <w:rPr>
          <w:rFonts w:ascii="Times New Roman" w:eastAsia="MS Mincho" w:hAnsi="Times New Roman" w:cs="Times New Roman"/>
          <w:sz w:val="24"/>
          <w:szCs w:val="24"/>
        </w:rPr>
        <w:t>as compared to</w:t>
      </w:r>
      <w:r w:rsidRPr="0080460F">
        <w:rPr>
          <w:rFonts w:ascii="Times New Roman" w:eastAsia="MS Mincho" w:hAnsi="Times New Roman" w:cs="Times New Roman"/>
          <w:sz w:val="24"/>
          <w:szCs w:val="24"/>
        </w:rPr>
        <w:t xml:space="preserve"> high-income countries. Regarding the level of development of the financial sector, Arcand et al</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 xml:space="preserve"> (2012) </w:t>
      </w:r>
      <w:r>
        <w:rPr>
          <w:rFonts w:ascii="Times New Roman" w:eastAsia="MS Mincho" w:hAnsi="Times New Roman" w:cs="Times New Roman"/>
          <w:sz w:val="24"/>
          <w:szCs w:val="24"/>
        </w:rPr>
        <w:t>showed</w:t>
      </w:r>
      <w:r w:rsidRPr="0080460F">
        <w:rPr>
          <w:rFonts w:ascii="Times New Roman" w:eastAsia="MS Mincho" w:hAnsi="Times New Roman" w:cs="Times New Roman"/>
          <w:sz w:val="24"/>
          <w:szCs w:val="24"/>
        </w:rPr>
        <w:t xml:space="preserve"> a significant positive relationship between financial depth and economic growth in countries characterized by relatively small and intermediate financial sectors.</w:t>
      </w:r>
    </w:p>
    <w:p w14:paraId="6A8C12ED" w14:textId="11A4E0D8" w:rsidR="00AB1527" w:rsidRPr="0080460F" w:rsidRDefault="00AB1527" w:rsidP="008E4E1C">
      <w:pPr>
        <w:spacing w:after="240" w:line="360" w:lineRule="auto"/>
        <w:jc w:val="both"/>
        <w:rPr>
          <w:rFonts w:ascii="Times New Roman" w:eastAsia="MS Mincho" w:hAnsi="Times New Roman" w:cs="Times New Roman"/>
          <w:sz w:val="24"/>
          <w:szCs w:val="24"/>
        </w:rPr>
      </w:pPr>
      <w:r w:rsidRPr="0080460F">
        <w:rPr>
          <w:rFonts w:ascii="Times New Roman" w:eastAsia="MS Mincho" w:hAnsi="Times New Roman" w:cs="Times New Roman"/>
          <w:sz w:val="24"/>
          <w:szCs w:val="24"/>
        </w:rPr>
        <w:t xml:space="preserve">One issue that has not been explored in these studies is the question of whether financial deepening can raise productivity growth, as suggested in the endogenous growth literature. As noted above, financial development can potentially accelerate economic growth through its influence on productivity growth. Extending this literature, some studies have argued that it is more useful to investigate the dampening effect of financial development on growth through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 xml:space="preserve">TFP growth (see Sahay et al., 2015). However, only few studies have explored this relationship, with Huang and Ling (2009) </w:t>
      </w:r>
      <w:r w:rsidRPr="0080460F">
        <w:rPr>
          <w:rFonts w:ascii="Times New Roman" w:eastAsia="MS Mincho" w:hAnsi="Times New Roman" w:cs="Times New Roman"/>
          <w:sz w:val="24"/>
          <w:szCs w:val="24"/>
        </w:rPr>
        <w:lastRenderedPageBreak/>
        <w:t>showing a stronger positive impact of financial development on productivity growth in low</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 xml:space="preserve">income countries than in high-income </w:t>
      </w:r>
      <w:r>
        <w:rPr>
          <w:rFonts w:ascii="Times New Roman" w:eastAsia="MS Mincho" w:hAnsi="Times New Roman" w:cs="Times New Roman"/>
          <w:sz w:val="24"/>
          <w:szCs w:val="24"/>
        </w:rPr>
        <w:t>ones</w:t>
      </w:r>
      <w:r w:rsidRPr="0080460F">
        <w:rPr>
          <w:rFonts w:ascii="Times New Roman" w:eastAsia="MS Mincho" w:hAnsi="Times New Roman" w:cs="Times New Roman"/>
          <w:sz w:val="24"/>
          <w:szCs w:val="24"/>
        </w:rPr>
        <w:t>. A recent survey of the literature show</w:t>
      </w:r>
      <w:r>
        <w:rPr>
          <w:rFonts w:ascii="Times New Roman" w:eastAsia="MS Mincho" w:hAnsi="Times New Roman" w:cs="Times New Roman"/>
          <w:sz w:val="24"/>
          <w:szCs w:val="24"/>
        </w:rPr>
        <w:t>ed</w:t>
      </w:r>
      <w:r w:rsidRPr="0080460F">
        <w:rPr>
          <w:rFonts w:ascii="Times New Roman" w:eastAsia="MS Mincho" w:hAnsi="Times New Roman" w:cs="Times New Roman"/>
          <w:sz w:val="24"/>
          <w:szCs w:val="24"/>
        </w:rPr>
        <w:t xml:space="preserve"> a clear</w:t>
      </w:r>
      <w:r>
        <w:rPr>
          <w:rFonts w:ascii="Times New Roman" w:eastAsia="MS Mincho" w:hAnsi="Times New Roman" w:cs="Times New Roman"/>
          <w:sz w:val="24"/>
          <w:szCs w:val="24"/>
        </w:rPr>
        <w:t>ly</w:t>
      </w:r>
      <w:r w:rsidRPr="0080460F">
        <w:rPr>
          <w:rFonts w:ascii="Times New Roman" w:eastAsia="MS Mincho" w:hAnsi="Times New Roman" w:cs="Times New Roman"/>
          <w:sz w:val="24"/>
          <w:szCs w:val="24"/>
        </w:rPr>
        <w:t xml:space="preserve"> positive relationship between financial development and productivity growth (both directly and indirectly) in the investigated countries (Heil, 2017).</w:t>
      </w:r>
    </w:p>
    <w:p w14:paraId="1ABEF859" w14:textId="4FC73D0F" w:rsidR="00AB1527" w:rsidRPr="0080460F" w:rsidRDefault="00AB1527" w:rsidP="008E4E1C">
      <w:pPr>
        <w:spacing w:after="240" w:line="360" w:lineRule="auto"/>
        <w:jc w:val="both"/>
        <w:rPr>
          <w:rFonts w:ascii="Times New Roman" w:eastAsia="MS Mincho" w:hAnsi="Times New Roman" w:cs="Times New Roman"/>
          <w:sz w:val="24"/>
          <w:szCs w:val="24"/>
        </w:rPr>
      </w:pPr>
      <w:r w:rsidRPr="0080460F">
        <w:rPr>
          <w:rFonts w:ascii="Times New Roman" w:eastAsia="MS Mincho" w:hAnsi="Times New Roman" w:cs="Times New Roman"/>
          <w:sz w:val="24"/>
          <w:szCs w:val="24"/>
        </w:rPr>
        <w:t xml:space="preserve">There is limited empirical evidence </w:t>
      </w:r>
      <w:r>
        <w:rPr>
          <w:rFonts w:ascii="Times New Roman" w:eastAsia="MS Mincho" w:hAnsi="Times New Roman" w:cs="Times New Roman"/>
          <w:sz w:val="24"/>
          <w:szCs w:val="24"/>
        </w:rPr>
        <w:t>answering</w:t>
      </w:r>
      <w:r w:rsidRPr="0080460F">
        <w:rPr>
          <w:rFonts w:ascii="Times New Roman" w:eastAsia="MS Mincho" w:hAnsi="Times New Roman" w:cs="Times New Roman"/>
          <w:sz w:val="24"/>
          <w:szCs w:val="24"/>
        </w:rPr>
        <w:t xml:space="preserve"> the question of whether there is a threshold effect of financial deepening on productivity growth. Such a non-linear relationship between financial and productivity growth is supported by Cecchetti and Kharroubi (2012)</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 xml:space="preserve"> using the pooled ordinary least squares (OLS) approach. This study </w:t>
      </w:r>
      <w:r>
        <w:rPr>
          <w:rFonts w:ascii="Times New Roman" w:eastAsia="MS Mincho" w:hAnsi="Times New Roman" w:cs="Times New Roman"/>
          <w:sz w:val="24"/>
          <w:szCs w:val="24"/>
        </w:rPr>
        <w:t>found</w:t>
      </w:r>
      <w:r w:rsidRPr="0080460F">
        <w:rPr>
          <w:rFonts w:ascii="Times New Roman" w:eastAsia="MS Mincho" w:hAnsi="Times New Roman" w:cs="Times New Roman"/>
          <w:sz w:val="24"/>
          <w:szCs w:val="24"/>
        </w:rPr>
        <w:t xml:space="preserve"> </w:t>
      </w:r>
      <w:r>
        <w:rPr>
          <w:rFonts w:ascii="Times New Roman" w:eastAsia="MS Mincho" w:hAnsi="Times New Roman" w:cs="Times New Roman"/>
          <w:sz w:val="24"/>
          <w:szCs w:val="24"/>
        </w:rPr>
        <w:t>the</w:t>
      </w:r>
      <w:r w:rsidRPr="0080460F">
        <w:rPr>
          <w:rFonts w:ascii="Times New Roman" w:eastAsia="MS Mincho" w:hAnsi="Times New Roman" w:cs="Times New Roman"/>
          <w:sz w:val="24"/>
          <w:szCs w:val="24"/>
        </w:rPr>
        <w:t xml:space="preserve"> threshold of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 xml:space="preserve">private sector credit to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 xml:space="preserve">GDP </w:t>
      </w:r>
      <w:r>
        <w:rPr>
          <w:rFonts w:ascii="Times New Roman" w:eastAsia="MS Mincho" w:hAnsi="Times New Roman" w:cs="Times New Roman"/>
          <w:sz w:val="24"/>
          <w:szCs w:val="24"/>
        </w:rPr>
        <w:t>at</w:t>
      </w:r>
      <w:r w:rsidRPr="0080460F">
        <w:rPr>
          <w:rFonts w:ascii="Times New Roman" w:eastAsia="MS Mincho" w:hAnsi="Times New Roman" w:cs="Times New Roman"/>
          <w:sz w:val="24"/>
          <w:szCs w:val="24"/>
        </w:rPr>
        <w:t xml:space="preserve"> nearly 90 %</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 xml:space="preserve"> for a sample of 50 advanced and emerging countries over the period 1980-2009. However, one limitation of the study </w:t>
      </w:r>
      <w:r>
        <w:rPr>
          <w:rFonts w:ascii="Times New Roman" w:eastAsia="MS Mincho" w:hAnsi="Times New Roman" w:cs="Times New Roman"/>
          <w:sz w:val="24"/>
          <w:szCs w:val="24"/>
        </w:rPr>
        <w:t>was</w:t>
      </w:r>
      <w:r w:rsidRPr="0080460F">
        <w:rPr>
          <w:rFonts w:ascii="Times New Roman" w:eastAsia="MS Mincho" w:hAnsi="Times New Roman" w:cs="Times New Roman"/>
          <w:sz w:val="24"/>
          <w:szCs w:val="24"/>
        </w:rPr>
        <w:t xml:space="preserve"> the fact that the pooled OLS technique </w:t>
      </w:r>
      <w:r>
        <w:rPr>
          <w:rFonts w:ascii="Times New Roman" w:eastAsia="MS Mincho" w:hAnsi="Times New Roman" w:cs="Times New Roman"/>
          <w:sz w:val="24"/>
          <w:szCs w:val="24"/>
        </w:rPr>
        <w:t>did</w:t>
      </w:r>
      <w:r w:rsidRPr="0080460F">
        <w:rPr>
          <w:rFonts w:ascii="Times New Roman" w:eastAsia="MS Mincho" w:hAnsi="Times New Roman" w:cs="Times New Roman"/>
          <w:sz w:val="24"/>
          <w:szCs w:val="24"/>
        </w:rPr>
        <w:t xml:space="preserve"> not capture the heterogeneous effect of financial development on productivity growth across countries over time. Such a heterogeneous effect is partly explained by the possible existence of multiple equilibria in the relationship between financial development and productivity growth, which suggests that the underlying relationship varies across countries and over time (see Jude, 2010).</w:t>
      </w:r>
    </w:p>
    <w:p w14:paraId="2B4A378A" w14:textId="5E350ABB" w:rsidR="00AB1527" w:rsidRPr="0080460F" w:rsidRDefault="00AB1527" w:rsidP="008E4E1C">
      <w:pPr>
        <w:spacing w:after="240" w:line="360" w:lineRule="auto"/>
        <w:jc w:val="both"/>
        <w:rPr>
          <w:rFonts w:ascii="Times New Roman" w:eastAsia="MS Mincho" w:hAnsi="Times New Roman" w:cs="Times New Roman"/>
          <w:sz w:val="24"/>
          <w:szCs w:val="24"/>
        </w:rPr>
      </w:pPr>
      <w:r w:rsidRPr="0080460F">
        <w:rPr>
          <w:rFonts w:ascii="Times New Roman" w:eastAsia="MS Mincho" w:hAnsi="Times New Roman" w:cs="Times New Roman"/>
          <w:sz w:val="24"/>
          <w:szCs w:val="24"/>
        </w:rPr>
        <w:t xml:space="preserve">In trying to allow heterogeneous effects of financial development, Jude (2010) uses a panel smooth transition regression (PSTR) approach to capture the variation in the effect of financial development on economic growth and </w:t>
      </w:r>
      <w:r>
        <w:rPr>
          <w:rFonts w:ascii="Times New Roman" w:eastAsia="MS Mincho" w:hAnsi="Times New Roman" w:cs="Times New Roman"/>
          <w:sz w:val="24"/>
          <w:szCs w:val="24"/>
        </w:rPr>
        <w:t>found</w:t>
      </w:r>
      <w:r w:rsidRPr="0080460F">
        <w:rPr>
          <w:rFonts w:ascii="Times New Roman" w:eastAsia="MS Mincho" w:hAnsi="Times New Roman" w:cs="Times New Roman"/>
          <w:sz w:val="24"/>
          <w:szCs w:val="24"/>
        </w:rPr>
        <w:t xml:space="preserve"> a nonlinear linkage between </w:t>
      </w:r>
      <w:r>
        <w:rPr>
          <w:rFonts w:ascii="Times New Roman" w:eastAsia="MS Mincho" w:hAnsi="Times New Roman" w:cs="Times New Roman"/>
          <w:sz w:val="24"/>
          <w:szCs w:val="24"/>
        </w:rPr>
        <w:t>them</w:t>
      </w:r>
      <w:r w:rsidRPr="0080460F">
        <w:rPr>
          <w:rFonts w:ascii="Times New Roman" w:eastAsia="MS Mincho" w:hAnsi="Times New Roman" w:cs="Times New Roman"/>
          <w:sz w:val="24"/>
          <w:szCs w:val="24"/>
        </w:rPr>
        <w:t xml:space="preserve">. This study did not explore the heterogeneous effect of financial development on productivity growth. At the micro level, there is evidence at the sector-level data that finance raises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growth</w:t>
      </w:r>
      <w:r>
        <w:rPr>
          <w:rFonts w:ascii="Times New Roman" w:eastAsia="MS Mincho" w:hAnsi="Times New Roman" w:cs="Times New Roman"/>
          <w:sz w:val="24"/>
          <w:szCs w:val="24"/>
        </w:rPr>
        <w:t>,</w:t>
      </w:r>
      <w:r w:rsidRPr="0080460F">
        <w:rPr>
          <w:rFonts w:ascii="Times New Roman" w:eastAsia="MS Mincho" w:hAnsi="Times New Roman" w:cs="Times New Roman"/>
          <w:sz w:val="24"/>
          <w:szCs w:val="24"/>
        </w:rPr>
        <w:t xml:space="preserve"> up to a certain threshold (Aizenman et al, 2015). This study further confirms the heterogeneous effect of financial development across sectors.</w:t>
      </w:r>
    </w:p>
    <w:p w14:paraId="59416E5E" w14:textId="77777777" w:rsidR="00AB1527" w:rsidRDefault="00AB1527" w:rsidP="008E4E1C">
      <w:pPr>
        <w:spacing w:after="240" w:line="360" w:lineRule="auto"/>
        <w:jc w:val="both"/>
        <w:rPr>
          <w:rFonts w:ascii="Times New Roman" w:eastAsia="MS Mincho" w:hAnsi="Times New Roman" w:cs="Times New Roman"/>
          <w:sz w:val="24"/>
          <w:szCs w:val="24"/>
        </w:rPr>
      </w:pPr>
      <w:r w:rsidRPr="0080460F">
        <w:rPr>
          <w:rFonts w:ascii="Times New Roman" w:eastAsia="MS Mincho" w:hAnsi="Times New Roman" w:cs="Times New Roman"/>
          <w:sz w:val="24"/>
          <w:szCs w:val="24"/>
        </w:rPr>
        <w:t xml:space="preserve">Overall, the literature clearly shows that financial development can stimulate economic growth by raising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total factor productivity growth. The underlying relationship is shown to be nonlinear, which is represented by an inverted U-shape</w:t>
      </w:r>
      <w:r>
        <w:rPr>
          <w:rFonts w:ascii="Times New Roman" w:eastAsia="MS Mincho" w:hAnsi="Times New Roman" w:cs="Times New Roman"/>
          <w:sz w:val="24"/>
          <w:szCs w:val="24"/>
        </w:rPr>
        <w:t>d</w:t>
      </w:r>
      <w:r w:rsidRPr="0080460F">
        <w:rPr>
          <w:rFonts w:ascii="Times New Roman" w:eastAsia="MS Mincho" w:hAnsi="Times New Roman" w:cs="Times New Roman"/>
          <w:sz w:val="24"/>
          <w:szCs w:val="24"/>
        </w:rPr>
        <w:t xml:space="preserve"> effect of financial development on </w:t>
      </w:r>
      <w:r>
        <w:rPr>
          <w:rFonts w:ascii="Times New Roman" w:eastAsia="MS Mincho" w:hAnsi="Times New Roman" w:cs="Times New Roman"/>
          <w:sz w:val="24"/>
          <w:szCs w:val="24"/>
        </w:rPr>
        <w:t xml:space="preserve">the </w:t>
      </w:r>
      <w:r w:rsidRPr="0080460F">
        <w:rPr>
          <w:rFonts w:ascii="Times New Roman" w:eastAsia="MS Mincho" w:hAnsi="Times New Roman" w:cs="Times New Roman"/>
          <w:sz w:val="24"/>
          <w:szCs w:val="24"/>
        </w:rPr>
        <w:t>total factor productivity growth. There is also heterogeneity in the effect of financial development on productivity growth, which should be taken into account in establishing the financial d</w:t>
      </w:r>
      <w:bookmarkStart w:id="15" w:name="_Hlk480791686"/>
      <w:r w:rsidRPr="0080460F">
        <w:rPr>
          <w:rFonts w:ascii="Times New Roman" w:eastAsia="MS Mincho" w:hAnsi="Times New Roman" w:cs="Times New Roman"/>
          <w:sz w:val="24"/>
          <w:szCs w:val="24"/>
        </w:rPr>
        <w:t xml:space="preserve">evelopment-productivity </w:t>
      </w:r>
      <w:bookmarkEnd w:id="15"/>
      <w:r w:rsidRPr="0080460F">
        <w:rPr>
          <w:rFonts w:ascii="Times New Roman" w:eastAsia="MS Mincho" w:hAnsi="Times New Roman" w:cs="Times New Roman"/>
          <w:sz w:val="24"/>
          <w:szCs w:val="24"/>
        </w:rPr>
        <w:t>linkage</w:t>
      </w:r>
      <w:r>
        <w:rPr>
          <w:rFonts w:ascii="Times New Roman" w:eastAsia="MS Mincho" w:hAnsi="Times New Roman" w:cs="Times New Roman"/>
          <w:sz w:val="24"/>
          <w:szCs w:val="24"/>
        </w:rPr>
        <w:t>.</w:t>
      </w:r>
    </w:p>
    <w:p w14:paraId="3E33DFB2" w14:textId="77777777" w:rsidR="00AB1527" w:rsidRDefault="00AB1527" w:rsidP="008E4E1C">
      <w:pPr>
        <w:spacing w:after="200" w:line="360" w:lineRule="auto"/>
        <w:jc w:val="both"/>
        <w:rPr>
          <w:rFonts w:ascii="Times New Roman" w:hAnsi="Times New Roman" w:cs="Times New Roman"/>
          <w:b/>
          <w:sz w:val="24"/>
          <w:szCs w:val="24"/>
        </w:rPr>
      </w:pPr>
      <w:r>
        <w:rPr>
          <w:rFonts w:ascii="Times New Roman" w:hAnsi="Times New Roman" w:cs="Times New Roman"/>
          <w:b/>
          <w:sz w:val="24"/>
          <w:szCs w:val="24"/>
        </w:rPr>
        <w:br w:type="page"/>
      </w:r>
    </w:p>
    <w:p w14:paraId="67197771" w14:textId="77777777" w:rsidR="00AB1527" w:rsidRPr="006C1DD4" w:rsidRDefault="00AB1527" w:rsidP="006C1DD4">
      <w:pPr>
        <w:pStyle w:val="Heading1"/>
      </w:pPr>
      <w:bookmarkStart w:id="16" w:name="_Toc501031461"/>
      <w:r w:rsidRPr="006C1DD4">
        <w:lastRenderedPageBreak/>
        <w:t>CHAPTER THREE</w:t>
      </w:r>
      <w:bookmarkEnd w:id="16"/>
    </w:p>
    <w:p w14:paraId="5090AF22" w14:textId="1E512796" w:rsidR="007D5606" w:rsidRPr="006C1DD4" w:rsidRDefault="00AB1527" w:rsidP="006C1DD4">
      <w:pPr>
        <w:pStyle w:val="Heading1"/>
      </w:pPr>
      <w:bookmarkStart w:id="17" w:name="_Toc501031462"/>
      <w:r w:rsidRPr="006C1DD4">
        <w:t>METHODOLOGY</w:t>
      </w:r>
      <w:bookmarkEnd w:id="17"/>
    </w:p>
    <w:p w14:paraId="6F5B1082" w14:textId="3473910F" w:rsidR="00AB1527" w:rsidRPr="006C1DD4" w:rsidRDefault="00AB1527" w:rsidP="006C1DD4">
      <w:pPr>
        <w:pStyle w:val="Heading2"/>
      </w:pPr>
      <w:bookmarkStart w:id="18" w:name="_Toc501031463"/>
      <w:r w:rsidRPr="006C1DD4">
        <w:t>3.0 Introduction</w:t>
      </w:r>
      <w:bookmarkEnd w:id="18"/>
    </w:p>
    <w:p w14:paraId="13953242" w14:textId="33E99ED9" w:rsidR="00AB1527" w:rsidRPr="00C350D8" w:rsidRDefault="00AB1527" w:rsidP="008E4E1C">
      <w:pPr>
        <w:spacing w:line="360" w:lineRule="auto"/>
        <w:jc w:val="both"/>
        <w:rPr>
          <w:rFonts w:ascii="Times New Roman" w:hAnsi="Times New Roman" w:cs="Times New Roman"/>
          <w:sz w:val="24"/>
          <w:szCs w:val="24"/>
        </w:rPr>
      </w:pPr>
      <w:r>
        <w:rPr>
          <w:rFonts w:ascii="Times New Roman" w:hAnsi="Times New Roman" w:cs="Times New Roman"/>
          <w:sz w:val="24"/>
          <w:szCs w:val="24"/>
        </w:rPr>
        <w:t>Following the review of the related literature in Chapter Two, t</w:t>
      </w:r>
      <w:r w:rsidRPr="00C350D8">
        <w:rPr>
          <w:rFonts w:ascii="Times New Roman" w:hAnsi="Times New Roman" w:cs="Times New Roman"/>
          <w:sz w:val="24"/>
          <w:szCs w:val="24"/>
        </w:rPr>
        <w:t xml:space="preserve">his chapter describes the methods used to investigate the </w:t>
      </w:r>
      <w:r>
        <w:rPr>
          <w:rFonts w:ascii="Times New Roman" w:hAnsi="Times New Roman" w:cs="Times New Roman"/>
          <w:sz w:val="24"/>
          <w:szCs w:val="24"/>
        </w:rPr>
        <w:t xml:space="preserve">proposed </w:t>
      </w:r>
      <w:r w:rsidRPr="00C350D8">
        <w:rPr>
          <w:rFonts w:ascii="Times New Roman" w:hAnsi="Times New Roman" w:cs="Times New Roman"/>
          <w:sz w:val="24"/>
          <w:szCs w:val="24"/>
        </w:rPr>
        <w:t xml:space="preserve">research questions. It begins with </w:t>
      </w:r>
      <w:r>
        <w:rPr>
          <w:rFonts w:ascii="Times New Roman" w:hAnsi="Times New Roman" w:cs="Times New Roman"/>
          <w:sz w:val="24"/>
          <w:szCs w:val="24"/>
        </w:rPr>
        <w:t>a</w:t>
      </w:r>
      <w:r w:rsidRPr="00C350D8">
        <w:rPr>
          <w:rFonts w:ascii="Times New Roman" w:hAnsi="Times New Roman" w:cs="Times New Roman"/>
          <w:sz w:val="24"/>
          <w:szCs w:val="24"/>
        </w:rPr>
        <w:t xml:space="preserve"> specification of the empirical model</w:t>
      </w:r>
      <w:r>
        <w:rPr>
          <w:rFonts w:ascii="Times New Roman" w:hAnsi="Times New Roman" w:cs="Times New Roman"/>
          <w:sz w:val="24"/>
          <w:szCs w:val="24"/>
        </w:rPr>
        <w:t>, followed an explanation for the choice of the explanatory variables. The estimation technique</w:t>
      </w:r>
      <w:r w:rsidRPr="00C350D8">
        <w:rPr>
          <w:rFonts w:ascii="Times New Roman" w:hAnsi="Times New Roman" w:cs="Times New Roman"/>
          <w:sz w:val="24"/>
          <w:szCs w:val="24"/>
        </w:rPr>
        <w:t xml:space="preserve"> </w:t>
      </w:r>
      <w:r>
        <w:rPr>
          <w:rFonts w:ascii="Times New Roman" w:hAnsi="Times New Roman" w:cs="Times New Roman"/>
          <w:sz w:val="24"/>
          <w:szCs w:val="24"/>
        </w:rPr>
        <w:t xml:space="preserve">and the sources of data </w:t>
      </w:r>
      <w:r w:rsidRPr="00C350D8">
        <w:rPr>
          <w:rFonts w:ascii="Times New Roman" w:hAnsi="Times New Roman" w:cs="Times New Roman"/>
          <w:sz w:val="24"/>
          <w:szCs w:val="24"/>
        </w:rPr>
        <w:t>are then described.</w:t>
      </w:r>
    </w:p>
    <w:p w14:paraId="5DB5B829" w14:textId="247FA86D" w:rsidR="00AB1527" w:rsidRPr="006C1DD4" w:rsidRDefault="00AB1527" w:rsidP="006C1DD4">
      <w:pPr>
        <w:pStyle w:val="Heading2"/>
      </w:pPr>
      <w:bookmarkStart w:id="19" w:name="_Toc501031464"/>
      <w:r w:rsidRPr="006C1DD4">
        <w:t>3.1 Model Specification</w:t>
      </w:r>
      <w:bookmarkEnd w:id="19"/>
    </w:p>
    <w:p w14:paraId="1F66E0DA" w14:textId="506D1CE9" w:rsidR="00AB1527" w:rsidRDefault="00AB1527" w:rsidP="008E4E1C">
      <w:pPr>
        <w:spacing w:line="360" w:lineRule="auto"/>
        <w:jc w:val="both"/>
        <w:rPr>
          <w:rFonts w:ascii="Times New Roman" w:hAnsi="Times New Roman" w:cs="Times New Roman"/>
          <w:sz w:val="24"/>
          <w:szCs w:val="24"/>
        </w:rPr>
      </w:pPr>
      <w:r>
        <w:rPr>
          <w:rFonts w:ascii="Times New Roman" w:hAnsi="Times New Roman" w:cs="Times New Roman"/>
          <w:sz w:val="24"/>
          <w:szCs w:val="24"/>
        </w:rPr>
        <w:t>While most studies have explored the relationship between financial development and economic growth, our specification considers the total factor productivity (TFP) growth as the dependent variable. This is consistent with a growing body of literature that suggests financial development may influence growth through improvements in the TFP. The literature points to the fact that out of the two sources of growth, TFP and factor accumulation, the former is relatively more important than the latter in explaining cross-country income differences (see e.g. Alfaro et al 2009; Easterly and Levine, 2001). To explore the underlying relationships, our empirical model draws on the models in Alfaro et. al (2009), Borensztein et al (1998), and Barro (1997), which is specified as:</w:t>
      </w:r>
    </w:p>
    <w:p w14:paraId="48CCCA82" w14:textId="1E4057FC" w:rsidR="00AB1527" w:rsidRPr="00C350D8" w:rsidRDefault="007835DC" w:rsidP="008E4E1C">
      <w:pPr>
        <w:spacing w:line="360" w:lineRule="auto"/>
        <w:jc w:val="both"/>
        <w:rPr>
          <w:rFonts w:ascii="Times New Roman"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 xml:space="preserve"> g</m:t>
            </m:r>
          </m:e>
          <m:sub>
            <m:r>
              <w:rPr>
                <w:rFonts w:ascii="Cambria Math" w:hAnsi="Cambria Math" w:cs="Times New Roman"/>
                <w:sz w:val="24"/>
                <w:szCs w:val="24"/>
              </w:rPr>
              <m:t>it</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0</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1</m:t>
            </m:r>
          </m:sub>
        </m:sSub>
        <m:sSub>
          <m:sSubPr>
            <m:ctrlPr>
              <w:rPr>
                <w:rFonts w:ascii="Cambria Math" w:hAnsi="Cambria Math" w:cs="Times New Roman"/>
                <w:i/>
                <w:sz w:val="24"/>
                <w:szCs w:val="24"/>
              </w:rPr>
            </m:ctrlPr>
          </m:sSubPr>
          <m:e>
            <m:r>
              <w:rPr>
                <w:rFonts w:ascii="Cambria Math" w:hAnsi="Cambria Math" w:cs="Times New Roman"/>
                <w:sz w:val="24"/>
                <w:szCs w:val="24"/>
              </w:rPr>
              <m:t>FD</m:t>
            </m:r>
          </m:e>
          <m:sub>
            <m:r>
              <w:rPr>
                <w:rFonts w:ascii="Cambria Math" w:hAnsi="Cambria Math" w:cs="Times New Roman"/>
                <w:sz w:val="24"/>
                <w:szCs w:val="24"/>
              </w:rPr>
              <m:t>it</m:t>
            </m:r>
          </m:sub>
        </m:sSub>
        <m:r>
          <w:rPr>
            <w:rFonts w:ascii="Cambria Math" w:hAnsi="Cambria Math" w:cs="Times New Roman"/>
            <w:sz w:val="24"/>
            <w:szCs w:val="24"/>
          </w:rPr>
          <m:t>+</m:t>
        </m:r>
        <m:sSubSup>
          <m:sSubSupPr>
            <m:ctrlPr>
              <w:rPr>
                <w:rFonts w:ascii="Cambria Math" w:hAnsi="Cambria Math" w:cs="Times New Roman"/>
                <w:i/>
                <w:sz w:val="24"/>
                <w:szCs w:val="24"/>
              </w:rPr>
            </m:ctrlPr>
          </m:sSubSupPr>
          <m:e>
            <m:r>
              <w:rPr>
                <w:rFonts w:ascii="Cambria Math" w:hAnsi="Cambria Math" w:cs="Times New Roman"/>
                <w:sz w:val="24"/>
                <w:szCs w:val="24"/>
              </w:rPr>
              <m:t>x</m:t>
            </m:r>
          </m:e>
          <m:sub>
            <m:r>
              <w:rPr>
                <w:rFonts w:ascii="Cambria Math" w:hAnsi="Cambria Math" w:cs="Times New Roman"/>
                <w:sz w:val="24"/>
                <w:szCs w:val="24"/>
              </w:rPr>
              <m:t>it</m:t>
            </m:r>
          </m:sub>
          <m:sup>
            <m:r>
              <w:rPr>
                <w:rFonts w:ascii="Cambria Math" w:hAnsi="Cambria Math" w:cs="Times New Roman"/>
                <w:sz w:val="24"/>
                <w:szCs w:val="24"/>
              </w:rPr>
              <m:t>'</m:t>
            </m:r>
          </m:sup>
        </m:sSubSup>
        <m:r>
          <w:rPr>
            <w:rFonts w:ascii="Cambria Math" w:hAnsi="Cambria Math" w:cs="Times New Roman"/>
            <w:sz w:val="24"/>
            <w:szCs w:val="24"/>
          </w:rPr>
          <m:t>γ+</m:t>
        </m:r>
        <m:sSub>
          <m:sSubPr>
            <m:ctrlPr>
              <w:rPr>
                <w:rFonts w:ascii="Cambria Math" w:hAnsi="Cambria Math" w:cs="Times New Roman"/>
                <w:i/>
                <w:sz w:val="24"/>
                <w:szCs w:val="24"/>
              </w:rPr>
            </m:ctrlPr>
          </m:sSubPr>
          <m:e>
            <m:r>
              <w:rPr>
                <w:rFonts w:ascii="Cambria Math" w:hAnsi="Cambria Math" w:cs="Times New Roman"/>
                <w:sz w:val="24"/>
                <w:szCs w:val="24"/>
              </w:rPr>
              <m:t>u</m:t>
            </m:r>
          </m:e>
          <m:sub>
            <m:r>
              <w:rPr>
                <w:rFonts w:ascii="Cambria Math" w:hAnsi="Cambria Math" w:cs="Times New Roman"/>
                <w:sz w:val="24"/>
                <w:szCs w:val="24"/>
              </w:rPr>
              <m:t>it</m:t>
            </m:r>
          </m:sub>
        </m:sSub>
      </m:oMath>
      <w:r w:rsidR="00AB1527" w:rsidRPr="00C350D8">
        <w:rPr>
          <w:rFonts w:ascii="Times New Roman" w:hAnsi="Times New Roman" w:cs="Times New Roman"/>
          <w:sz w:val="24"/>
          <w:szCs w:val="24"/>
        </w:rPr>
        <w:t xml:space="preserve"> </w:t>
      </w:r>
      <w:r w:rsidR="00AB1527" w:rsidRPr="00C350D8">
        <w:rPr>
          <w:rFonts w:ascii="Times New Roman" w:hAnsi="Times New Roman" w:cs="Times New Roman"/>
          <w:sz w:val="24"/>
          <w:szCs w:val="24"/>
        </w:rPr>
        <w:tab/>
      </w:r>
      <w:r w:rsidR="00AB1527">
        <w:rPr>
          <w:rFonts w:ascii="Times New Roman" w:hAnsi="Times New Roman" w:cs="Times New Roman"/>
          <w:sz w:val="24"/>
          <w:szCs w:val="24"/>
        </w:rPr>
        <w:tab/>
      </w:r>
      <w:r w:rsidR="00AB1527" w:rsidRPr="00C350D8">
        <w:rPr>
          <w:rFonts w:ascii="Times New Roman" w:hAnsi="Times New Roman" w:cs="Times New Roman"/>
          <w:sz w:val="24"/>
          <w:szCs w:val="24"/>
        </w:rPr>
        <w:tab/>
        <w:t>(</w:t>
      </w:r>
      <w:r w:rsidR="00AB1527">
        <w:rPr>
          <w:rFonts w:ascii="Times New Roman" w:hAnsi="Times New Roman" w:cs="Times New Roman"/>
          <w:sz w:val="24"/>
          <w:szCs w:val="24"/>
        </w:rPr>
        <w:t>3.</w:t>
      </w:r>
      <w:r w:rsidR="00AB1527" w:rsidRPr="00C350D8">
        <w:rPr>
          <w:rFonts w:ascii="Times New Roman" w:hAnsi="Times New Roman" w:cs="Times New Roman"/>
          <w:sz w:val="24"/>
          <w:szCs w:val="24"/>
        </w:rPr>
        <w:t>1)</w:t>
      </w:r>
    </w:p>
    <w:p w14:paraId="7381C9B8" w14:textId="04FB0325" w:rsidR="00AB1527" w:rsidRDefault="00AB1527" w:rsidP="008E4E1C">
      <w:pPr>
        <w:spacing w:line="360" w:lineRule="auto"/>
        <w:jc w:val="both"/>
        <w:rPr>
          <w:rFonts w:ascii="Times New Roman" w:hAnsi="Times New Roman" w:cs="Times New Roman"/>
          <w:sz w:val="24"/>
          <w:szCs w:val="24"/>
        </w:rPr>
      </w:pPr>
      <w:r w:rsidRPr="00C350D8">
        <w:rPr>
          <w:rFonts w:ascii="Times New Roman" w:hAnsi="Times New Roman" w:cs="Times New Roman"/>
          <w:sz w:val="24"/>
          <w:szCs w:val="24"/>
        </w:rPr>
        <w:t xml:space="preserve">Where </w:t>
      </w:r>
      <m:oMath>
        <m:sSub>
          <m:sSubPr>
            <m:ctrlPr>
              <w:rPr>
                <w:rFonts w:ascii="Cambria Math" w:hAnsi="Cambria Math" w:cs="Times New Roman"/>
                <w:i/>
                <w:sz w:val="24"/>
                <w:szCs w:val="24"/>
              </w:rPr>
            </m:ctrlPr>
          </m:sSubPr>
          <m:e>
            <m:r>
              <w:rPr>
                <w:rFonts w:ascii="Cambria Math" w:hAnsi="Cambria Math" w:cs="Times New Roman"/>
                <w:sz w:val="24"/>
                <w:szCs w:val="24"/>
              </w:rPr>
              <m:t>g</m:t>
            </m:r>
          </m:e>
          <m:sub>
            <m:r>
              <w:rPr>
                <w:rFonts w:ascii="Cambria Math" w:hAnsi="Cambria Math" w:cs="Times New Roman"/>
                <w:sz w:val="24"/>
                <w:szCs w:val="24"/>
              </w:rPr>
              <m:t>it</m:t>
            </m:r>
          </m:sub>
        </m:sSub>
      </m:oMath>
      <w:r w:rsidRPr="00C350D8">
        <w:rPr>
          <w:rFonts w:ascii="Times New Roman" w:hAnsi="Times New Roman" w:cs="Times New Roman"/>
          <w:sz w:val="24"/>
          <w:szCs w:val="24"/>
        </w:rPr>
        <w:t xml:space="preserve"> is </w:t>
      </w:r>
      <w:r>
        <w:rPr>
          <w:rFonts w:ascii="Times New Roman" w:hAnsi="Times New Roman" w:cs="Times New Roman"/>
          <w:sz w:val="24"/>
          <w:szCs w:val="24"/>
        </w:rPr>
        <w:t xml:space="preserve">the </w:t>
      </w:r>
      <w:r w:rsidRPr="00C350D8">
        <w:rPr>
          <w:rFonts w:ascii="Times New Roman" w:hAnsi="Times New Roman" w:cs="Times New Roman"/>
          <w:sz w:val="24"/>
          <w:szCs w:val="24"/>
        </w:rPr>
        <w:t xml:space="preserve">total factor productivity (TFP) growth, </w:t>
      </w:r>
      <m:oMath>
        <m:sSub>
          <m:sSubPr>
            <m:ctrlPr>
              <w:rPr>
                <w:rFonts w:ascii="Cambria Math" w:hAnsi="Cambria Math" w:cs="Times New Roman"/>
                <w:i/>
                <w:sz w:val="24"/>
                <w:szCs w:val="24"/>
              </w:rPr>
            </m:ctrlPr>
          </m:sSubPr>
          <m:e>
            <m:r>
              <w:rPr>
                <w:rFonts w:ascii="Cambria Math" w:hAnsi="Cambria Math" w:cs="Times New Roman"/>
                <w:sz w:val="24"/>
                <w:szCs w:val="24"/>
              </w:rPr>
              <m:t>FD</m:t>
            </m:r>
          </m:e>
          <m:sub>
            <m:r>
              <w:rPr>
                <w:rFonts w:ascii="Cambria Math" w:hAnsi="Cambria Math" w:cs="Times New Roman"/>
                <w:sz w:val="24"/>
                <w:szCs w:val="24"/>
              </w:rPr>
              <m:t>it</m:t>
            </m:r>
          </m:sub>
        </m:sSub>
      </m:oMath>
      <w:r w:rsidRPr="00C350D8">
        <w:rPr>
          <w:rFonts w:ascii="Times New Roman" w:hAnsi="Times New Roman" w:cs="Times New Roman"/>
          <w:sz w:val="24"/>
          <w:szCs w:val="24"/>
        </w:rPr>
        <w:t xml:space="preserve"> is a proxy for financial development,</w:t>
      </w:r>
      <w:r>
        <w:rPr>
          <w:rFonts w:ascii="Times New Roman" w:hAnsi="Times New Roman" w:cs="Times New Roman"/>
          <w:sz w:val="24"/>
          <w:szCs w:val="24"/>
        </w:rPr>
        <w:t xml:space="preserve"> and</w:t>
      </w:r>
      <w:r w:rsidRPr="00C350D8">
        <w:rPr>
          <w:rFonts w:ascii="Times New Roman" w:hAnsi="Times New Roman" w:cs="Times New Roman"/>
          <w:sz w:val="24"/>
          <w:szCs w:val="24"/>
        </w:rPr>
        <w:t xml:space="preserve"> </w:t>
      </w:r>
      <m:oMath>
        <m:sSubSup>
          <m:sSubSupPr>
            <m:ctrlPr>
              <w:rPr>
                <w:rFonts w:ascii="Cambria Math" w:hAnsi="Cambria Math" w:cs="Times New Roman"/>
                <w:i/>
                <w:sz w:val="24"/>
                <w:szCs w:val="24"/>
              </w:rPr>
            </m:ctrlPr>
          </m:sSubSupPr>
          <m:e>
            <m:r>
              <w:rPr>
                <w:rFonts w:ascii="Cambria Math" w:hAnsi="Cambria Math" w:cs="Times New Roman"/>
                <w:sz w:val="24"/>
                <w:szCs w:val="24"/>
              </w:rPr>
              <m:t>x</m:t>
            </m:r>
          </m:e>
          <m:sub>
            <m:r>
              <w:rPr>
                <w:rFonts w:ascii="Cambria Math" w:hAnsi="Cambria Math" w:cs="Times New Roman"/>
                <w:sz w:val="24"/>
                <w:szCs w:val="24"/>
              </w:rPr>
              <m:t>it</m:t>
            </m:r>
          </m:sub>
          <m:sup>
            <m:r>
              <w:rPr>
                <w:rFonts w:ascii="Cambria Math" w:hAnsi="Cambria Math" w:cs="Times New Roman"/>
                <w:sz w:val="24"/>
                <w:szCs w:val="24"/>
              </w:rPr>
              <m:t>'</m:t>
            </m:r>
          </m:sup>
        </m:sSubSup>
      </m:oMath>
      <w:r w:rsidRPr="00C350D8">
        <w:rPr>
          <w:rFonts w:ascii="Times New Roman" w:hAnsi="Times New Roman" w:cs="Times New Roman"/>
          <w:sz w:val="24"/>
          <w:szCs w:val="24"/>
        </w:rPr>
        <w:t xml:space="preserve"> is a vector of </w:t>
      </w:r>
      <w:r>
        <w:rPr>
          <w:rFonts w:ascii="Times New Roman" w:hAnsi="Times New Roman" w:cs="Times New Roman"/>
          <w:sz w:val="24"/>
          <w:szCs w:val="24"/>
        </w:rPr>
        <w:t xml:space="preserve">the </w:t>
      </w:r>
      <w:r w:rsidRPr="00C350D8">
        <w:rPr>
          <w:rFonts w:ascii="Times New Roman" w:hAnsi="Times New Roman" w:cs="Times New Roman"/>
          <w:sz w:val="24"/>
          <w:szCs w:val="24"/>
        </w:rPr>
        <w:t xml:space="preserve">control variables that influence long-term growth. These variables include </w:t>
      </w:r>
      <w:r>
        <w:rPr>
          <w:rFonts w:ascii="Times New Roman" w:hAnsi="Times New Roman" w:cs="Times New Roman"/>
          <w:sz w:val="24"/>
          <w:szCs w:val="24"/>
        </w:rPr>
        <w:t xml:space="preserve">the </w:t>
      </w:r>
      <w:r w:rsidRPr="00C350D8">
        <w:rPr>
          <w:rFonts w:ascii="Times New Roman" w:hAnsi="Times New Roman" w:cs="Times New Roman"/>
          <w:sz w:val="24"/>
          <w:szCs w:val="24"/>
        </w:rPr>
        <w:t xml:space="preserve">net foreign direct investment (FDI) inflows (% of GDP), initial </w:t>
      </w:r>
      <w:r>
        <w:rPr>
          <w:rFonts w:ascii="Times New Roman" w:hAnsi="Times New Roman" w:cs="Times New Roman"/>
          <w:sz w:val="24"/>
          <w:szCs w:val="24"/>
        </w:rPr>
        <w:t xml:space="preserve">level of the </w:t>
      </w:r>
      <w:r w:rsidRPr="00C350D8">
        <w:rPr>
          <w:rFonts w:ascii="Times New Roman" w:hAnsi="Times New Roman" w:cs="Times New Roman"/>
          <w:sz w:val="24"/>
          <w:szCs w:val="24"/>
        </w:rPr>
        <w:t xml:space="preserve">real GDP per capita, trade openness, proxy for </w:t>
      </w:r>
      <w:r>
        <w:rPr>
          <w:rFonts w:ascii="Times New Roman" w:hAnsi="Times New Roman" w:cs="Times New Roman"/>
          <w:sz w:val="24"/>
          <w:szCs w:val="24"/>
        </w:rPr>
        <w:t xml:space="preserve">the </w:t>
      </w:r>
      <w:r w:rsidRPr="00C350D8">
        <w:rPr>
          <w:rFonts w:ascii="Times New Roman" w:hAnsi="Times New Roman" w:cs="Times New Roman"/>
          <w:sz w:val="24"/>
          <w:szCs w:val="24"/>
        </w:rPr>
        <w:t>quality of institutions, human capital</w:t>
      </w:r>
      <w:r>
        <w:rPr>
          <w:rFonts w:ascii="Times New Roman" w:hAnsi="Times New Roman" w:cs="Times New Roman"/>
          <w:sz w:val="24"/>
          <w:szCs w:val="24"/>
        </w:rPr>
        <w:t>,</w:t>
      </w:r>
      <w:r w:rsidRPr="00C350D8">
        <w:rPr>
          <w:rFonts w:ascii="Times New Roman" w:hAnsi="Times New Roman" w:cs="Times New Roman"/>
          <w:sz w:val="24"/>
          <w:szCs w:val="24"/>
        </w:rPr>
        <w:t xml:space="preserve"> and government consumption (% GDP).</w:t>
      </w:r>
    </w:p>
    <w:p w14:paraId="552498A5" w14:textId="2CB45685" w:rsidR="00AB1527" w:rsidRDefault="00AB1527" w:rsidP="008E4E1C">
      <w:pPr>
        <w:spacing w:line="360" w:lineRule="auto"/>
        <w:jc w:val="both"/>
        <w:rPr>
          <w:rFonts w:ascii="Times New Roman" w:eastAsia="MS Mincho" w:hAnsi="Times New Roman" w:cs="Times New Roman"/>
          <w:sz w:val="24"/>
          <w:szCs w:val="24"/>
        </w:rPr>
      </w:pPr>
      <w:r>
        <w:rPr>
          <w:rFonts w:ascii="Times New Roman" w:eastAsia="MS Mincho" w:hAnsi="Times New Roman" w:cs="Times New Roman"/>
          <w:sz w:val="24"/>
          <w:szCs w:val="24"/>
        </w:rPr>
        <w:t xml:space="preserve">As discussed in Chapter Two, financial intermediary development is predicted to be positively associated with economic growth. It is well-documented that well-functioning financial markets enhance domestic savings mobilization, reduce the cost of conducting transactions, and promote the efficient allocation of resources to the most productive sectors of the economy. More broadly, financial intermediaries perform a </w:t>
      </w:r>
      <w:r>
        <w:rPr>
          <w:rFonts w:ascii="Times New Roman" w:eastAsia="MS Mincho" w:hAnsi="Times New Roman" w:cs="Times New Roman"/>
          <w:sz w:val="24"/>
          <w:szCs w:val="24"/>
        </w:rPr>
        <w:lastRenderedPageBreak/>
        <w:t>variety of f</w:t>
      </w:r>
      <w:r w:rsidRPr="0080460F">
        <w:rPr>
          <w:rFonts w:ascii="Times New Roman" w:eastAsia="MS Mincho" w:hAnsi="Times New Roman" w:cs="Times New Roman"/>
          <w:sz w:val="24"/>
          <w:szCs w:val="24"/>
        </w:rPr>
        <w:t xml:space="preserve">inancial services </w:t>
      </w:r>
      <w:r>
        <w:rPr>
          <w:rFonts w:ascii="Times New Roman" w:eastAsia="MS Mincho" w:hAnsi="Times New Roman" w:cs="Times New Roman"/>
          <w:sz w:val="24"/>
          <w:szCs w:val="24"/>
        </w:rPr>
        <w:t xml:space="preserve">that potentially contribute to TFP improvements, including the reduction of the costs of acquiring and processing information about potential investments, exerting corporate control, managing risks, </w:t>
      </w:r>
      <w:r w:rsidRPr="0080460F">
        <w:rPr>
          <w:rFonts w:ascii="Times New Roman" w:eastAsia="MS Mincho" w:hAnsi="Times New Roman" w:cs="Times New Roman"/>
          <w:sz w:val="24"/>
          <w:szCs w:val="24"/>
        </w:rPr>
        <w:t xml:space="preserve">mobilizing savings, </w:t>
      </w:r>
      <w:r>
        <w:rPr>
          <w:rFonts w:ascii="Times New Roman" w:eastAsia="MS Mincho" w:hAnsi="Times New Roman" w:cs="Times New Roman"/>
          <w:sz w:val="24"/>
          <w:szCs w:val="24"/>
        </w:rPr>
        <w:t>and conducting exchanges (see Levine et al., 2000; Levine, 2005).</w:t>
      </w:r>
      <w:r w:rsidRPr="0080460F">
        <w:rPr>
          <w:rFonts w:ascii="Times New Roman" w:eastAsia="MS Mincho" w:hAnsi="Times New Roman" w:cs="Times New Roman"/>
          <w:sz w:val="24"/>
          <w:szCs w:val="24"/>
        </w:rPr>
        <w:t xml:space="preserve"> </w:t>
      </w:r>
      <w:r>
        <w:rPr>
          <w:rFonts w:ascii="Times New Roman" w:eastAsia="MS Mincho" w:hAnsi="Times New Roman" w:cs="Times New Roman"/>
          <w:sz w:val="24"/>
          <w:szCs w:val="24"/>
        </w:rPr>
        <w:t>In a similar vein, developing the stock market improves the production of valuable information about firms and contributes positively to the allocation of capital in the economy (Levine et al., 2005).</w:t>
      </w:r>
    </w:p>
    <w:p w14:paraId="7800D512" w14:textId="1D67E903" w:rsidR="00AB1527" w:rsidRPr="00C350D8" w:rsidRDefault="00AB1527" w:rsidP="008E4E1C">
      <w:pPr>
        <w:spacing w:line="360" w:lineRule="auto"/>
        <w:jc w:val="both"/>
        <w:rPr>
          <w:rFonts w:ascii="Times New Roman" w:hAnsi="Times New Roman" w:cs="Times New Roman"/>
          <w:sz w:val="24"/>
          <w:szCs w:val="24"/>
        </w:rPr>
      </w:pPr>
      <w:r>
        <w:rPr>
          <w:rFonts w:ascii="Times New Roman" w:hAnsi="Times New Roman" w:cs="Times New Roman"/>
          <w:sz w:val="24"/>
          <w:szCs w:val="24"/>
        </w:rPr>
        <w:t>While the positive association between financial development and productivity growth is widely accepted, the r</w:t>
      </w:r>
      <w:r w:rsidRPr="00C350D8">
        <w:rPr>
          <w:rFonts w:ascii="Times New Roman" w:hAnsi="Times New Roman" w:cs="Times New Roman"/>
          <w:sz w:val="24"/>
          <w:szCs w:val="24"/>
        </w:rPr>
        <w:t xml:space="preserve">ecent literature </w:t>
      </w:r>
      <w:r>
        <w:rPr>
          <w:rFonts w:ascii="Times New Roman" w:hAnsi="Times New Roman" w:cs="Times New Roman"/>
          <w:sz w:val="24"/>
          <w:szCs w:val="24"/>
        </w:rPr>
        <w:t>points to</w:t>
      </w:r>
      <w:r w:rsidRPr="00C350D8">
        <w:rPr>
          <w:rFonts w:ascii="Times New Roman" w:hAnsi="Times New Roman" w:cs="Times New Roman"/>
          <w:sz w:val="24"/>
          <w:szCs w:val="24"/>
        </w:rPr>
        <w:t xml:space="preserve"> </w:t>
      </w:r>
      <w:r>
        <w:rPr>
          <w:rFonts w:ascii="Times New Roman" w:hAnsi="Times New Roman" w:cs="Times New Roman"/>
          <w:sz w:val="24"/>
          <w:szCs w:val="24"/>
        </w:rPr>
        <w:t xml:space="preserve">the </w:t>
      </w:r>
      <w:r w:rsidRPr="00C350D8">
        <w:rPr>
          <w:rFonts w:ascii="Times New Roman" w:hAnsi="Times New Roman" w:cs="Times New Roman"/>
          <w:sz w:val="24"/>
          <w:szCs w:val="24"/>
        </w:rPr>
        <w:t>potential dampening effect of financial development on productivity growth</w:t>
      </w:r>
      <w:r>
        <w:rPr>
          <w:rFonts w:ascii="Times New Roman" w:hAnsi="Times New Roman" w:cs="Times New Roman"/>
          <w:sz w:val="24"/>
          <w:szCs w:val="24"/>
        </w:rPr>
        <w:t>. It is argued that this weakening effect arises from</w:t>
      </w:r>
      <w:r w:rsidRPr="00C350D8">
        <w:rPr>
          <w:rFonts w:ascii="Times New Roman" w:hAnsi="Times New Roman" w:cs="Times New Roman"/>
          <w:sz w:val="24"/>
          <w:szCs w:val="24"/>
        </w:rPr>
        <w:t xml:space="preserve"> </w:t>
      </w:r>
      <w:r>
        <w:rPr>
          <w:rFonts w:ascii="Times New Roman" w:hAnsi="Times New Roman" w:cs="Times New Roman"/>
          <w:sz w:val="24"/>
          <w:szCs w:val="24"/>
        </w:rPr>
        <w:t>the loss of efficiency in investment at the higher levels of</w:t>
      </w:r>
      <w:r w:rsidRPr="00C350D8">
        <w:rPr>
          <w:rFonts w:ascii="Times New Roman" w:hAnsi="Times New Roman" w:cs="Times New Roman"/>
          <w:sz w:val="24"/>
          <w:szCs w:val="24"/>
        </w:rPr>
        <w:t xml:space="preserve"> financial development</w:t>
      </w:r>
      <w:r>
        <w:rPr>
          <w:rFonts w:ascii="Times New Roman" w:hAnsi="Times New Roman" w:cs="Times New Roman"/>
          <w:sz w:val="24"/>
          <w:szCs w:val="24"/>
        </w:rPr>
        <w:t xml:space="preserve"> </w:t>
      </w:r>
      <w:r w:rsidRPr="00C350D8">
        <w:rPr>
          <w:rFonts w:ascii="Times New Roman" w:hAnsi="Times New Roman" w:cs="Times New Roman"/>
          <w:sz w:val="24"/>
          <w:szCs w:val="24"/>
        </w:rPr>
        <w:t>(see Sahay et al, 2015)</w:t>
      </w:r>
      <w:r>
        <w:rPr>
          <w:rFonts w:ascii="Times New Roman" w:hAnsi="Times New Roman" w:cs="Times New Roman"/>
          <w:sz w:val="24"/>
          <w:szCs w:val="24"/>
        </w:rPr>
        <w:t xml:space="preserve">. Such a dampening effect, however, only relates to the relationship between financial depth and economic growth but not to the other measures of financial development such as </w:t>
      </w:r>
      <w:r w:rsidRPr="00C350D8">
        <w:rPr>
          <w:rFonts w:ascii="Times New Roman" w:hAnsi="Times New Roman" w:cs="Times New Roman"/>
          <w:sz w:val="24"/>
          <w:szCs w:val="24"/>
        </w:rPr>
        <w:t>increased access or greater efficiency.</w:t>
      </w:r>
    </w:p>
    <w:p w14:paraId="52FAF94A" w14:textId="5286E8AD" w:rsidR="00AB1527" w:rsidRDefault="00AB1527" w:rsidP="008E4E1C">
      <w:pPr>
        <w:spacing w:line="360" w:lineRule="auto"/>
        <w:jc w:val="both"/>
        <w:rPr>
          <w:rFonts w:ascii="Times New Roman" w:hAnsi="Times New Roman" w:cs="Times New Roman"/>
          <w:sz w:val="24"/>
          <w:szCs w:val="24"/>
        </w:rPr>
      </w:pPr>
      <w:r>
        <w:rPr>
          <w:rFonts w:ascii="Times New Roman" w:hAnsi="Times New Roman" w:cs="Times New Roman"/>
          <w:sz w:val="24"/>
          <w:szCs w:val="24"/>
        </w:rPr>
        <w:t>Consistent with the growth literature, the model also controls the effects of other explanatory variables that potentially affect productivity growth. There is ample evidence suggesting that improving the quality of the institutions will enhance productivity growth through improvements in resource allocation efficiency and creating an enabling investment climate (see Abdychev et al., 2014). This is true, given that good quality institutions facilitate investment in physical and human capital and increases income through the efficient use of these factors (Acemoglu el al, 2001).</w:t>
      </w:r>
    </w:p>
    <w:p w14:paraId="013A7F80" w14:textId="3662D083" w:rsidR="00AB1527" w:rsidRDefault="00AB1527" w:rsidP="008E4E1C">
      <w:pPr>
        <w:spacing w:line="360" w:lineRule="auto"/>
        <w:jc w:val="both"/>
        <w:rPr>
          <w:rFonts w:ascii="Times New Roman" w:hAnsi="Times New Roman" w:cs="Times New Roman"/>
          <w:sz w:val="24"/>
          <w:szCs w:val="24"/>
        </w:rPr>
      </w:pPr>
      <w:r>
        <w:rPr>
          <w:rFonts w:ascii="Times New Roman" w:hAnsi="Times New Roman" w:cs="Times New Roman"/>
          <w:sz w:val="24"/>
          <w:szCs w:val="24"/>
        </w:rPr>
        <w:t>The coefficient on the logarithm at the initial level of the real GDP per capital is expected to have a negative sign, in line with the convergence hypothesis of the Neo-classical Growth theory. This hypothesis or catch-up effect proposition posits that the income per capita of the poorer countries will grow faster than in richer countries, and all countries will eventually converge in terms of their income per capita.</w:t>
      </w:r>
    </w:p>
    <w:p w14:paraId="3C3A0F64" w14:textId="07E602D1" w:rsidR="00AB1527" w:rsidRDefault="00AB1527" w:rsidP="008E4E1C">
      <w:pPr>
        <w:spacing w:line="360" w:lineRule="auto"/>
        <w:jc w:val="both"/>
        <w:rPr>
          <w:rFonts w:ascii="Times New Roman" w:hAnsi="Times New Roman" w:cs="Times New Roman"/>
          <w:sz w:val="24"/>
          <w:szCs w:val="24"/>
        </w:rPr>
      </w:pPr>
      <w:r>
        <w:rPr>
          <w:rFonts w:ascii="Times New Roman" w:hAnsi="Times New Roman" w:cs="Times New Roman"/>
          <w:sz w:val="24"/>
          <w:szCs w:val="24"/>
        </w:rPr>
        <w:t>The effect of government consumption on TFP growth is ambiguous. The size of the public sector can foster overall productivity through the provision of basic public goods and creating an enabling economic infrastructure (Abdychev et al, 2014). However, one would also expect public spending to impede productivity growth when these resources are inefficiently allocated to the unproductive sectors of the economy.</w:t>
      </w:r>
    </w:p>
    <w:p w14:paraId="1A6D4A85" w14:textId="1E06BB82" w:rsidR="00AB1527" w:rsidRDefault="00AB1527" w:rsidP="008E4E1C">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There is ample empirical evidence suggesting the positive effect of foreign direct investment on productivity growth. Drawing from the neo-classical growth literature, FDI exerts a positive effect on growth by enhancing the efficiency of investment (Nair-Reinchert and Weinhold, 2001). The endogenous growth literature suggests that FDI can contribute to productivity gains through knowledge and technology transfers from foreign affiliates to the local agents in host countries. Foreign technology is embedded in the capital goods which are imported by foreign companies. The import of these goods through FDI can potentially accelerate the technological progress in the host countries (see Borenzstein et al, 1998).</w:t>
      </w:r>
    </w:p>
    <w:p w14:paraId="6DD0916D" w14:textId="03542AD2" w:rsidR="00AB1527" w:rsidRDefault="00AB1527" w:rsidP="008E4E1C">
      <w:pPr>
        <w:spacing w:line="360" w:lineRule="auto"/>
        <w:jc w:val="both"/>
        <w:rPr>
          <w:rFonts w:ascii="Times New Roman" w:hAnsi="Times New Roman" w:cs="Times New Roman"/>
          <w:sz w:val="24"/>
          <w:szCs w:val="24"/>
        </w:rPr>
      </w:pPr>
      <w:r>
        <w:rPr>
          <w:rFonts w:ascii="Times New Roman" w:hAnsi="Times New Roman" w:cs="Times New Roman"/>
          <w:sz w:val="24"/>
          <w:szCs w:val="24"/>
        </w:rPr>
        <w:t>Other additional control variables that affect TFP growth include trade openness and human capital capacity. Trade openness promotes learning through the technology embedded in goods (Abdychev et al, 2015). It is, therefore, anticipated that greater trade openness may promote the use of modern technology and increase the demand for skilled labor. With human capital enhancement, countries can increase their capacity to absorb externalities generated through trade and FDI in turn (Abdychev et al, 2015). The literature suggests that human capital can enhance productivity growth by raising the capacity of the countries to innovative and facilitating the rate of technology catch-up from the advanced countries (Benhabib and Spiegel, 1994).</w:t>
      </w:r>
    </w:p>
    <w:p w14:paraId="519C58F4" w14:textId="77777777" w:rsidR="00146409" w:rsidRPr="00E378F7" w:rsidRDefault="00146409" w:rsidP="008E4E1C">
      <w:pPr>
        <w:spacing w:line="360" w:lineRule="auto"/>
        <w:jc w:val="both"/>
        <w:rPr>
          <w:rFonts w:ascii="Times New Roman" w:hAnsi="Times New Roman" w:cs="Times New Roman"/>
          <w:b/>
          <w:sz w:val="24"/>
          <w:szCs w:val="24"/>
        </w:rPr>
      </w:pPr>
      <w:r w:rsidRPr="00FA1280">
        <w:rPr>
          <w:rFonts w:ascii="Times New Roman" w:hAnsi="Times New Roman" w:cs="Times New Roman"/>
          <w:b/>
          <w:sz w:val="24"/>
          <w:szCs w:val="24"/>
        </w:rPr>
        <w:t>3.2 Estimation technique</w:t>
      </w:r>
    </w:p>
    <w:p w14:paraId="760D6EC4" w14:textId="4EFB5D6E" w:rsidR="00146409" w:rsidRPr="00E378F7" w:rsidRDefault="003F4D6F" w:rsidP="008E4E1C">
      <w:pPr>
        <w:spacing w:line="360" w:lineRule="auto"/>
        <w:jc w:val="both"/>
        <w:rPr>
          <w:rFonts w:ascii="Times New Roman" w:eastAsiaTheme="minorEastAsia" w:hAnsi="Times New Roman" w:cs="Times New Roman"/>
          <w:sz w:val="24"/>
          <w:szCs w:val="24"/>
        </w:rPr>
      </w:pPr>
      <w:r w:rsidRPr="00E378F7">
        <w:rPr>
          <w:rFonts w:ascii="Times New Roman" w:hAnsi="Times New Roman" w:cs="Times New Roman"/>
          <w:sz w:val="24"/>
          <w:szCs w:val="24"/>
        </w:rPr>
        <w:t xml:space="preserve">By </w:t>
      </w:r>
      <w:r w:rsidR="00146409" w:rsidRPr="00E378F7">
        <w:rPr>
          <w:rFonts w:ascii="Times New Roman" w:hAnsi="Times New Roman" w:cs="Times New Roman"/>
          <w:sz w:val="24"/>
          <w:szCs w:val="24"/>
        </w:rPr>
        <w:t>trying to determine whether the between financial depth and TFP growth is nonlinear, it is useful to consider an appropriate nonlinear technique such as the Panel Smooth Transition Regression (PSTR) approach. This technique is increasingly used in empirical research to ascertain the existence of nonlinear relationships among economic variables. The approach allows us to determine whether a threshold level of financial deepening beyond which TFP growth will be dampened</w:t>
      </w:r>
      <w:r w:rsidR="00C309E2" w:rsidRPr="00E378F7">
        <w:rPr>
          <w:rFonts w:ascii="Times New Roman" w:hAnsi="Times New Roman" w:cs="Times New Roman"/>
          <w:sz w:val="24"/>
          <w:szCs w:val="24"/>
        </w:rPr>
        <w:t xml:space="preserve"> exists</w:t>
      </w:r>
      <w:r w:rsidR="00146409" w:rsidRPr="00E378F7">
        <w:rPr>
          <w:rFonts w:ascii="Times New Roman" w:hAnsi="Times New Roman" w:cs="Times New Roman"/>
          <w:sz w:val="24"/>
          <w:szCs w:val="24"/>
        </w:rPr>
        <w:t xml:space="preserve">. The PSTR model was developed by Gonzalez et al. (2005) and Fok et al. (2005) and has several other advantages. This approach allows the parameters of the explanatory variables to smoothly change from one regime (lower bound) to the next (upper bound). </w:t>
      </w:r>
      <w:r w:rsidR="00C309E2" w:rsidRPr="00E378F7">
        <w:rPr>
          <w:rFonts w:ascii="Times New Roman" w:hAnsi="Times New Roman" w:cs="Times New Roman"/>
          <w:sz w:val="24"/>
          <w:szCs w:val="24"/>
        </w:rPr>
        <w:t xml:space="preserve">By </w:t>
      </w:r>
      <w:r w:rsidR="00146409" w:rsidRPr="00E378F7">
        <w:rPr>
          <w:rFonts w:ascii="Times New Roman" w:hAnsi="Times New Roman" w:cs="Times New Roman"/>
          <w:sz w:val="24"/>
          <w:szCs w:val="24"/>
        </w:rPr>
        <w:t>doing so, the PSTR approach allows for time varying and heterogeneity in the parameter estimates.</w:t>
      </w:r>
    </w:p>
    <w:p w14:paraId="7C5F4525" w14:textId="77777777" w:rsidR="00146409" w:rsidRPr="00E378F7" w:rsidRDefault="00146409" w:rsidP="008E4E1C">
      <w:pPr>
        <w:spacing w:line="360" w:lineRule="auto"/>
        <w:jc w:val="both"/>
        <w:rPr>
          <w:rFonts w:ascii="Times New Roman" w:hAnsi="Times New Roman" w:cs="Times New Roman"/>
          <w:sz w:val="24"/>
          <w:szCs w:val="24"/>
        </w:rPr>
      </w:pPr>
      <w:r w:rsidRPr="00E378F7">
        <w:rPr>
          <w:rFonts w:ascii="Times New Roman" w:hAnsi="Times New Roman" w:cs="Times New Roman"/>
          <w:sz w:val="24"/>
          <w:szCs w:val="24"/>
        </w:rPr>
        <w:lastRenderedPageBreak/>
        <w:t>The first step in estimating the PSTR model is to determine whether the relationship between financial development and TFP growth is linear. If one considers the case of a PSTR model with a single threshold or two regimes, the model is specified as:</w:t>
      </w:r>
    </w:p>
    <w:p w14:paraId="6DEC84AA" w14:textId="1C3C2613" w:rsidR="00146409" w:rsidRPr="00E378F7" w:rsidRDefault="007835DC" w:rsidP="008E4E1C">
      <w:pPr>
        <w:spacing w:line="360" w:lineRule="auto"/>
        <w:jc w:val="both"/>
        <w:rPr>
          <w:rFonts w:ascii="Times New Roman" w:hAnsi="Times New Roman" w:cs="Times New Roman"/>
          <w:sz w:val="24"/>
          <w:szCs w:val="24"/>
        </w:rPr>
      </w:pPr>
      <m:oMath>
        <m:sSub>
          <m:sSubPr>
            <m:ctrlPr>
              <w:rPr>
                <w:rFonts w:ascii="Cambria Math" w:hAnsi="Cambria Math" w:cs="Times New Roman"/>
                <w:sz w:val="24"/>
                <w:szCs w:val="24"/>
              </w:rPr>
            </m:ctrlPr>
          </m:sSubPr>
          <m:e>
            <m:r>
              <w:rPr>
                <w:rFonts w:ascii="Cambria Math" w:hAnsi="Cambria Math" w:cs="Times New Roman"/>
                <w:sz w:val="24"/>
                <w:szCs w:val="24"/>
              </w:rPr>
              <m:t>g</m:t>
            </m:r>
          </m:e>
          <m:sub>
            <m:r>
              <w:rPr>
                <w:rFonts w:ascii="Cambria Math" w:hAnsi="Cambria Math" w:cs="Times New Roman"/>
                <w:sz w:val="24"/>
                <w:szCs w:val="24"/>
              </w:rPr>
              <m:t>it</m:t>
            </m:r>
          </m:sub>
        </m:sSub>
        <m:r>
          <m:rPr>
            <m:sty m:val="p"/>
          </m:rPr>
          <w:rPr>
            <w:rFonts w:ascii="Cambria Math" w:hAnsi="Cambria Math" w:cs="Times New Roman"/>
            <w:sz w:val="24"/>
            <w:szCs w:val="24"/>
          </w:rPr>
          <m:t>=</m:t>
        </m:r>
        <m:sSub>
          <m:sSubPr>
            <m:ctrlPr>
              <w:rPr>
                <w:rFonts w:ascii="Cambria Math" w:hAnsi="Cambria Math" w:cs="Times New Roman"/>
                <w:sz w:val="24"/>
                <w:szCs w:val="24"/>
              </w:rPr>
            </m:ctrlPr>
          </m:sSubPr>
          <m:e>
            <m:r>
              <w:rPr>
                <w:rFonts w:ascii="Cambria Math" w:hAnsi="Cambria Math" w:cs="Times New Roman"/>
                <w:sz w:val="24"/>
                <w:szCs w:val="24"/>
              </w:rPr>
              <m:t>δ</m:t>
            </m:r>
          </m:e>
          <m:sub>
            <m:r>
              <w:rPr>
                <w:rFonts w:ascii="Cambria Math" w:hAnsi="Cambria Math" w:cs="Times New Roman"/>
                <w:sz w:val="24"/>
                <w:szCs w:val="24"/>
              </w:rPr>
              <m:t>i</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0</m:t>
            </m:r>
          </m:sub>
        </m:sSub>
        <m:sSubSup>
          <m:sSubSupPr>
            <m:ctrlPr>
              <w:rPr>
                <w:rFonts w:ascii="Cambria Math" w:hAnsi="Cambria Math" w:cs="Times New Roman"/>
                <w:sz w:val="24"/>
                <w:szCs w:val="24"/>
              </w:rPr>
            </m:ctrlPr>
          </m:sSubSupPr>
          <m:e>
            <m:sSub>
              <m:sSubPr>
                <m:ctrlPr>
                  <w:rPr>
                    <w:rFonts w:ascii="Cambria Math" w:hAnsi="Cambria Math" w:cs="Times New Roman"/>
                    <w:i/>
                    <w:sz w:val="24"/>
                    <w:szCs w:val="24"/>
                  </w:rPr>
                </m:ctrlPr>
              </m:sSubPr>
              <m:e>
                <m:r>
                  <w:rPr>
                    <w:rFonts w:ascii="Cambria Math" w:hAnsi="Cambria Math" w:cs="Times New Roman"/>
                    <w:sz w:val="24"/>
                    <w:szCs w:val="24"/>
                  </w:rPr>
                  <m:t>fd</m:t>
                </m:r>
              </m:e>
              <m:sub>
                <m:r>
                  <w:rPr>
                    <w:rFonts w:ascii="Cambria Math" w:hAnsi="Cambria Math" w:cs="Times New Roman"/>
                    <w:sz w:val="24"/>
                    <w:szCs w:val="24"/>
                  </w:rPr>
                  <m:t>i,t-1</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1</m:t>
                </m:r>
              </m:sub>
            </m:sSub>
            <m:sSub>
              <m:sSubPr>
                <m:ctrlPr>
                  <w:rPr>
                    <w:rFonts w:ascii="Cambria Math" w:hAnsi="Cambria Math" w:cs="Times New Roman"/>
                    <w:i/>
                    <w:sz w:val="24"/>
                    <w:szCs w:val="24"/>
                  </w:rPr>
                </m:ctrlPr>
              </m:sSubPr>
              <m:e>
                <m:r>
                  <w:rPr>
                    <w:rFonts w:ascii="Cambria Math" w:hAnsi="Cambria Math" w:cs="Times New Roman"/>
                    <w:sz w:val="24"/>
                    <w:szCs w:val="24"/>
                  </w:rPr>
                  <m:t>fd</m:t>
                </m:r>
              </m:e>
              <m:sub>
                <m:r>
                  <w:rPr>
                    <w:rFonts w:ascii="Cambria Math" w:hAnsi="Cambria Math" w:cs="Times New Roman"/>
                    <w:sz w:val="24"/>
                    <w:szCs w:val="24"/>
                  </w:rPr>
                  <m:t>i,t-1</m:t>
                </m:r>
              </m:sub>
            </m:sSub>
            <m:r>
              <w:rPr>
                <w:rFonts w:ascii="Cambria Math" w:hAnsi="Cambria Math" w:cs="Times New Roman"/>
                <w:sz w:val="24"/>
                <w:szCs w:val="24"/>
              </w:rPr>
              <m:t>θ</m:t>
            </m:r>
            <m:d>
              <m:dPr>
                <m:ctrlPr>
                  <w:rPr>
                    <w:rFonts w:ascii="Cambria Math" w:hAnsi="Cambria Math" w:cs="Times New Roman"/>
                    <w:sz w:val="24"/>
                    <w:szCs w:val="24"/>
                  </w:rPr>
                </m:ctrlPr>
              </m:dPr>
              <m:e>
                <m:sSub>
                  <m:sSubPr>
                    <m:ctrlPr>
                      <w:rPr>
                        <w:rFonts w:ascii="Cambria Math" w:hAnsi="Cambria Math" w:cs="Times New Roman"/>
                        <w:sz w:val="24"/>
                        <w:szCs w:val="24"/>
                      </w:rPr>
                    </m:ctrlPr>
                  </m:sSubPr>
                  <m:e>
                    <m:r>
                      <w:rPr>
                        <w:rFonts w:ascii="Cambria Math" w:hAnsi="Cambria Math" w:cs="Times New Roman"/>
                        <w:sz w:val="24"/>
                        <w:szCs w:val="24"/>
                      </w:rPr>
                      <m:t>fd</m:t>
                    </m:r>
                  </m:e>
                  <m:sub>
                    <m:r>
                      <w:rPr>
                        <w:rFonts w:ascii="Cambria Math" w:hAnsi="Cambria Math" w:cs="Times New Roman"/>
                        <w:sz w:val="24"/>
                        <w:szCs w:val="24"/>
                      </w:rPr>
                      <m:t>i</m:t>
                    </m:r>
                    <m:r>
                      <m:rPr>
                        <m:sty m:val="p"/>
                      </m:rPr>
                      <w:rPr>
                        <w:rFonts w:ascii="Cambria Math" w:hAnsi="Cambria Math" w:cs="Times New Roman"/>
                        <w:sz w:val="24"/>
                        <w:szCs w:val="24"/>
                      </w:rPr>
                      <m:t>,</m:t>
                    </m:r>
                    <m:r>
                      <w:rPr>
                        <w:rFonts w:ascii="Cambria Math" w:hAnsi="Cambria Math" w:cs="Times New Roman"/>
                        <w:sz w:val="24"/>
                        <w:szCs w:val="24"/>
                      </w:rPr>
                      <m:t>t</m:t>
                    </m:r>
                    <m:r>
                      <m:rPr>
                        <m:sty m:val="p"/>
                      </m:rPr>
                      <w:rPr>
                        <w:rFonts w:ascii="Cambria Math" w:hAnsi="Cambria Math" w:cs="Times New Roman"/>
                        <w:sz w:val="24"/>
                        <w:szCs w:val="24"/>
                      </w:rPr>
                      <m:t>-1</m:t>
                    </m:r>
                  </m:sub>
                </m:sSub>
                <m:r>
                  <m:rPr>
                    <m:sty m:val="p"/>
                  </m:rPr>
                  <w:rPr>
                    <w:rFonts w:ascii="Cambria Math" w:hAnsi="Cambria Math" w:cs="Times New Roman"/>
                    <w:sz w:val="24"/>
                    <w:szCs w:val="24"/>
                  </w:rPr>
                  <m:t xml:space="preserve">; </m:t>
                </m:r>
                <m:r>
                  <w:rPr>
                    <w:rFonts w:ascii="Cambria Math" w:hAnsi="Cambria Math" w:cs="Times New Roman"/>
                    <w:sz w:val="24"/>
                    <w:szCs w:val="24"/>
                  </w:rPr>
                  <m:t>γ</m:t>
                </m:r>
                <m:r>
                  <m:rPr>
                    <m:sty m:val="p"/>
                  </m:rPr>
                  <w:rPr>
                    <w:rFonts w:ascii="Cambria Math" w:hAnsi="Cambria Math" w:cs="Times New Roman"/>
                    <w:sz w:val="24"/>
                    <w:szCs w:val="24"/>
                  </w:rPr>
                  <m:t xml:space="preserve">, </m:t>
                </m:r>
                <m:r>
                  <w:rPr>
                    <w:rFonts w:ascii="Cambria Math" w:hAnsi="Cambria Math" w:cs="Times New Roman"/>
                    <w:sz w:val="24"/>
                    <w:szCs w:val="24"/>
                  </w:rPr>
                  <m:t>ϑ</m:t>
                </m:r>
              </m:e>
            </m:d>
            <m:r>
              <w:rPr>
                <w:rFonts w:ascii="Cambria Math" w:hAnsi="Cambria Math" w:cs="Times New Roman"/>
                <w:sz w:val="24"/>
                <w:szCs w:val="24"/>
              </w:rPr>
              <m:t>+β</m:t>
            </m:r>
          </m:e>
          <m:sub>
            <m:r>
              <w:rPr>
                <w:rFonts w:ascii="Cambria Math" w:hAnsi="Cambria Math" w:cs="Times New Roman"/>
                <w:sz w:val="24"/>
                <w:szCs w:val="24"/>
              </w:rPr>
              <m:t>0</m:t>
            </m:r>
          </m:sub>
          <m:sup>
            <m:r>
              <w:rPr>
                <w:rFonts w:ascii="Cambria Math" w:hAnsi="Cambria Math" w:cs="Times New Roman"/>
                <w:sz w:val="24"/>
                <w:szCs w:val="24"/>
              </w:rPr>
              <m:t>'</m:t>
            </m:r>
          </m:sup>
        </m:sSubSup>
        <m:sSub>
          <m:sSubPr>
            <m:ctrlPr>
              <w:rPr>
                <w:rFonts w:ascii="Cambria Math" w:hAnsi="Cambria Math" w:cs="Times New Roman"/>
                <w:sz w:val="24"/>
                <w:szCs w:val="24"/>
              </w:rPr>
            </m:ctrlPr>
          </m:sSubPr>
          <m:e>
            <m:r>
              <w:rPr>
                <w:rFonts w:ascii="Cambria Math" w:hAnsi="Cambria Math" w:cs="Times New Roman"/>
                <w:sz w:val="24"/>
                <w:szCs w:val="24"/>
              </w:rPr>
              <m:t>z</m:t>
            </m:r>
          </m:e>
          <m:sub>
            <m:r>
              <w:rPr>
                <w:rFonts w:ascii="Cambria Math" w:hAnsi="Cambria Math" w:cs="Times New Roman"/>
                <w:sz w:val="24"/>
                <w:szCs w:val="24"/>
              </w:rPr>
              <m:t>it</m:t>
            </m:r>
          </m:sub>
        </m:sSub>
        <m:r>
          <m:rPr>
            <m:sty m:val="p"/>
          </m:rPr>
          <w:rPr>
            <w:rFonts w:ascii="Cambria Math" w:hAnsi="Cambria Math" w:cs="Times New Roman"/>
            <w:sz w:val="24"/>
            <w:szCs w:val="24"/>
          </w:rPr>
          <m:t>+</m:t>
        </m:r>
        <m:sSub>
          <m:sSubPr>
            <m:ctrlPr>
              <w:rPr>
                <w:rFonts w:ascii="Cambria Math" w:hAnsi="Cambria Math" w:cs="Times New Roman"/>
                <w:sz w:val="24"/>
                <w:szCs w:val="24"/>
              </w:rPr>
            </m:ctrlPr>
          </m:sSubPr>
          <m:e>
            <m:sSup>
              <m:sSupPr>
                <m:ctrlPr>
                  <w:rPr>
                    <w:rFonts w:ascii="Cambria Math" w:hAnsi="Cambria Math" w:cs="Times New Roman"/>
                    <w:sz w:val="24"/>
                    <w:szCs w:val="24"/>
                  </w:rPr>
                </m:ctrlPr>
              </m:sSupPr>
              <m:e>
                <m:r>
                  <w:rPr>
                    <w:rFonts w:ascii="Cambria Math" w:hAnsi="Cambria Math" w:cs="Times New Roman"/>
                    <w:sz w:val="24"/>
                    <w:szCs w:val="24"/>
                  </w:rPr>
                  <m:t>β</m:t>
                </m:r>
              </m:e>
              <m:sup>
                <m:r>
                  <m:rPr>
                    <m:sty m:val="p"/>
                  </m:rPr>
                  <w:rPr>
                    <w:rFonts w:ascii="Cambria Math" w:hAnsi="Cambria Math" w:cs="Times New Roman"/>
                    <w:sz w:val="24"/>
                    <w:szCs w:val="24"/>
                  </w:rPr>
                  <m:t>'</m:t>
                </m:r>
              </m:sup>
            </m:sSup>
          </m:e>
          <m:sub>
            <m:r>
              <m:rPr>
                <m:sty m:val="p"/>
              </m:rPr>
              <w:rPr>
                <w:rFonts w:ascii="Cambria Math" w:hAnsi="Cambria Math" w:cs="Times New Roman"/>
                <w:sz w:val="24"/>
                <w:szCs w:val="24"/>
              </w:rPr>
              <m:t>1</m:t>
            </m:r>
          </m:sub>
        </m:sSub>
        <m:r>
          <m:rPr>
            <m:sty m:val="p"/>
          </m:rPr>
          <w:rPr>
            <w:rFonts w:ascii="Cambria Math" w:hAnsi="Cambria Math" w:cs="Times New Roman"/>
            <w:sz w:val="24"/>
            <w:szCs w:val="24"/>
          </w:rPr>
          <m:t xml:space="preserve"> </m:t>
        </m:r>
        <m:sSub>
          <m:sSubPr>
            <m:ctrlPr>
              <w:rPr>
                <w:rFonts w:ascii="Cambria Math" w:hAnsi="Cambria Math" w:cs="Times New Roman"/>
                <w:sz w:val="24"/>
                <w:szCs w:val="24"/>
              </w:rPr>
            </m:ctrlPr>
          </m:sSubPr>
          <m:e>
            <m:r>
              <w:rPr>
                <w:rFonts w:ascii="Cambria Math" w:hAnsi="Cambria Math" w:cs="Times New Roman"/>
                <w:sz w:val="24"/>
                <w:szCs w:val="24"/>
              </w:rPr>
              <m:t>z</m:t>
            </m:r>
          </m:e>
          <m:sub>
            <m:r>
              <w:rPr>
                <w:rFonts w:ascii="Cambria Math" w:hAnsi="Cambria Math" w:cs="Times New Roman"/>
                <w:sz w:val="24"/>
                <w:szCs w:val="24"/>
              </w:rPr>
              <m:t>it</m:t>
            </m:r>
          </m:sub>
        </m:sSub>
        <m:r>
          <w:rPr>
            <w:rFonts w:ascii="Cambria Math" w:hAnsi="Cambria Math" w:cs="Times New Roman"/>
            <w:sz w:val="24"/>
            <w:szCs w:val="24"/>
          </w:rPr>
          <m:t>θ</m:t>
        </m:r>
        <m:d>
          <m:dPr>
            <m:ctrlPr>
              <w:rPr>
                <w:rFonts w:ascii="Cambria Math" w:hAnsi="Cambria Math" w:cs="Times New Roman"/>
                <w:sz w:val="24"/>
                <w:szCs w:val="24"/>
              </w:rPr>
            </m:ctrlPr>
          </m:dPr>
          <m:e>
            <m:sSub>
              <m:sSubPr>
                <m:ctrlPr>
                  <w:rPr>
                    <w:rFonts w:ascii="Cambria Math" w:hAnsi="Cambria Math" w:cs="Times New Roman"/>
                    <w:sz w:val="24"/>
                    <w:szCs w:val="24"/>
                  </w:rPr>
                </m:ctrlPr>
              </m:sSubPr>
              <m:e>
                <m:r>
                  <w:rPr>
                    <w:rFonts w:ascii="Cambria Math" w:hAnsi="Cambria Math" w:cs="Times New Roman"/>
                    <w:sz w:val="24"/>
                    <w:szCs w:val="24"/>
                  </w:rPr>
                  <m:t>fd</m:t>
                </m:r>
              </m:e>
              <m:sub>
                <m:r>
                  <w:rPr>
                    <w:rFonts w:ascii="Cambria Math" w:hAnsi="Cambria Math" w:cs="Times New Roman"/>
                    <w:sz w:val="24"/>
                    <w:szCs w:val="24"/>
                  </w:rPr>
                  <m:t>i</m:t>
                </m:r>
                <m:r>
                  <m:rPr>
                    <m:sty m:val="p"/>
                  </m:rPr>
                  <w:rPr>
                    <w:rFonts w:ascii="Cambria Math" w:hAnsi="Cambria Math" w:cs="Times New Roman"/>
                    <w:sz w:val="24"/>
                    <w:szCs w:val="24"/>
                  </w:rPr>
                  <m:t>,</m:t>
                </m:r>
                <m:r>
                  <w:rPr>
                    <w:rFonts w:ascii="Cambria Math" w:hAnsi="Cambria Math" w:cs="Times New Roman"/>
                    <w:sz w:val="24"/>
                    <w:szCs w:val="24"/>
                  </w:rPr>
                  <m:t>t</m:t>
                </m:r>
                <m:r>
                  <m:rPr>
                    <m:sty m:val="p"/>
                  </m:rPr>
                  <w:rPr>
                    <w:rFonts w:ascii="Cambria Math" w:hAnsi="Cambria Math" w:cs="Times New Roman"/>
                    <w:sz w:val="24"/>
                    <w:szCs w:val="24"/>
                  </w:rPr>
                  <m:t>-1</m:t>
                </m:r>
              </m:sub>
            </m:sSub>
            <m:r>
              <m:rPr>
                <m:sty m:val="p"/>
              </m:rPr>
              <w:rPr>
                <w:rFonts w:ascii="Cambria Math" w:hAnsi="Cambria Math" w:cs="Times New Roman"/>
                <w:sz w:val="24"/>
                <w:szCs w:val="24"/>
              </w:rPr>
              <m:t xml:space="preserve">; </m:t>
            </m:r>
            <m:r>
              <w:rPr>
                <w:rFonts w:ascii="Cambria Math" w:hAnsi="Cambria Math" w:cs="Times New Roman"/>
                <w:sz w:val="24"/>
                <w:szCs w:val="24"/>
              </w:rPr>
              <m:t>γ</m:t>
            </m:r>
            <m:r>
              <m:rPr>
                <m:sty m:val="p"/>
              </m:rPr>
              <w:rPr>
                <w:rFonts w:ascii="Cambria Math" w:hAnsi="Cambria Math" w:cs="Times New Roman"/>
                <w:sz w:val="24"/>
                <w:szCs w:val="24"/>
              </w:rPr>
              <m:t xml:space="preserve">, </m:t>
            </m:r>
            <m:r>
              <w:rPr>
                <w:rFonts w:ascii="Cambria Math" w:hAnsi="Cambria Math" w:cs="Times New Roman"/>
                <w:sz w:val="24"/>
                <w:szCs w:val="24"/>
              </w:rPr>
              <m:t>ϑ</m:t>
            </m:r>
          </m:e>
        </m:d>
        <m:r>
          <m:rPr>
            <m:sty m:val="p"/>
          </m:rPr>
          <w:rPr>
            <w:rFonts w:ascii="Cambria Math" w:hAnsi="Cambria Math" w:cs="Times New Roman"/>
            <w:sz w:val="24"/>
            <w:szCs w:val="24"/>
          </w:rPr>
          <m:t xml:space="preserve"> +</m:t>
        </m:r>
        <m:sSub>
          <m:sSubPr>
            <m:ctrlPr>
              <w:rPr>
                <w:rFonts w:ascii="Cambria Math" w:hAnsi="Cambria Math" w:cs="Times New Roman"/>
                <w:sz w:val="24"/>
                <w:szCs w:val="24"/>
              </w:rPr>
            </m:ctrlPr>
          </m:sSubPr>
          <m:e>
            <m:r>
              <m:rPr>
                <m:sty m:val="p"/>
              </m:rPr>
              <w:rPr>
                <w:rFonts w:ascii="Cambria Math" w:hAnsi="Cambria Math" w:cs="Times New Roman"/>
                <w:sz w:val="24"/>
                <w:szCs w:val="24"/>
              </w:rPr>
              <m:t xml:space="preserve"> </m:t>
            </m:r>
            <m:r>
              <w:rPr>
                <w:rFonts w:ascii="Cambria Math" w:hAnsi="Cambria Math" w:cs="Times New Roman"/>
                <w:sz w:val="24"/>
                <w:szCs w:val="24"/>
              </w:rPr>
              <m:t>ε</m:t>
            </m:r>
          </m:e>
          <m:sub>
            <m:r>
              <w:rPr>
                <w:rFonts w:ascii="Cambria Math" w:hAnsi="Cambria Math" w:cs="Times New Roman"/>
                <w:sz w:val="24"/>
                <w:szCs w:val="24"/>
              </w:rPr>
              <m:t>it</m:t>
            </m:r>
          </m:sub>
        </m:sSub>
      </m:oMath>
      <w:r w:rsidR="00146409" w:rsidRPr="00E378F7">
        <w:rPr>
          <w:rFonts w:ascii="Times New Roman" w:eastAsiaTheme="minorEastAsia" w:hAnsi="Times New Roman" w:cs="Times New Roman"/>
          <w:sz w:val="24"/>
          <w:szCs w:val="24"/>
        </w:rPr>
        <w:t xml:space="preserve"> </w:t>
      </w:r>
      <w:r w:rsidR="00146409" w:rsidRPr="00E378F7">
        <w:rPr>
          <w:rFonts w:ascii="Times New Roman" w:hAnsi="Times New Roman" w:cs="Times New Roman"/>
          <w:sz w:val="24"/>
          <w:szCs w:val="24"/>
        </w:rPr>
        <w:t xml:space="preserve">(3.2)            </w:t>
      </w:r>
      <w:r w:rsidR="00C40D74" w:rsidRPr="00E378F7">
        <w:rPr>
          <w:rFonts w:ascii="Times New Roman" w:hAnsi="Times New Roman" w:cs="Times New Roman"/>
          <w:sz w:val="24"/>
          <w:szCs w:val="24"/>
        </w:rPr>
        <w:t>Where</w:t>
      </w:r>
      <m:oMath>
        <m:r>
          <w:rPr>
            <w:rFonts w:ascii="Cambria Math" w:hAnsi="Cambria Math" w:cs="Times New Roman"/>
            <w:sz w:val="24"/>
            <w:szCs w:val="24"/>
          </w:rPr>
          <m:t xml:space="preserve"> i</m:t>
        </m:r>
        <m:r>
          <m:rPr>
            <m:sty m:val="p"/>
          </m:rPr>
          <w:rPr>
            <w:rFonts w:ascii="Cambria Math" w:hAnsi="Cambria Math" w:cs="Times New Roman"/>
            <w:sz w:val="24"/>
            <w:szCs w:val="24"/>
          </w:rPr>
          <m:t xml:space="preserve">=1, …, </m:t>
        </m:r>
        <m:r>
          <w:rPr>
            <w:rFonts w:ascii="Cambria Math" w:hAnsi="Cambria Math" w:cs="Times New Roman"/>
            <w:sz w:val="24"/>
            <w:szCs w:val="24"/>
          </w:rPr>
          <m:t>N</m:t>
        </m:r>
      </m:oMath>
      <w:r w:rsidR="00146409" w:rsidRPr="00E378F7">
        <w:rPr>
          <w:rFonts w:ascii="Times New Roman" w:hAnsi="Times New Roman" w:cs="Times New Roman"/>
          <w:sz w:val="24"/>
          <w:szCs w:val="24"/>
        </w:rPr>
        <w:t xml:space="preserve">, and </w:t>
      </w:r>
      <m:oMath>
        <m:r>
          <w:rPr>
            <w:rFonts w:ascii="Cambria Math" w:hAnsi="Cambria Math" w:cs="Times New Roman"/>
            <w:sz w:val="24"/>
            <w:szCs w:val="24"/>
          </w:rPr>
          <m:t>t</m:t>
        </m:r>
        <m:r>
          <m:rPr>
            <m:sty m:val="p"/>
          </m:rPr>
          <w:rPr>
            <w:rFonts w:ascii="Cambria Math" w:hAnsi="Cambria Math" w:cs="Times New Roman"/>
            <w:sz w:val="24"/>
            <w:szCs w:val="24"/>
          </w:rPr>
          <m:t xml:space="preserve">=1, …, </m:t>
        </m:r>
        <m:r>
          <w:rPr>
            <w:rFonts w:ascii="Cambria Math" w:hAnsi="Cambria Math" w:cs="Times New Roman"/>
            <w:sz w:val="24"/>
            <w:szCs w:val="24"/>
          </w:rPr>
          <m:t>T</m:t>
        </m:r>
        <m:r>
          <m:rPr>
            <m:sty m:val="p"/>
          </m:rPr>
          <w:rPr>
            <w:rFonts w:ascii="Cambria Math" w:hAnsi="Cambria Math" w:cs="Times New Roman"/>
            <w:sz w:val="24"/>
            <w:szCs w:val="24"/>
          </w:rPr>
          <m:t>;</m:t>
        </m:r>
      </m:oMath>
      <w:r w:rsidR="00146409" w:rsidRPr="00E378F7">
        <w:rPr>
          <w:rFonts w:ascii="Times New Roman" w:hAnsi="Times New Roman" w:cs="Times New Roman"/>
          <w:sz w:val="24"/>
          <w:szCs w:val="24"/>
        </w:rPr>
        <w:t xml:space="preserve"> N and T denote cross-section units and time dimension of the panel respectively. </w:t>
      </w:r>
      <m:oMath>
        <m:sSub>
          <m:sSubPr>
            <m:ctrlPr>
              <w:rPr>
                <w:rFonts w:ascii="Cambria Math" w:hAnsi="Cambria Math" w:cs="Times New Roman"/>
                <w:sz w:val="24"/>
                <w:szCs w:val="24"/>
              </w:rPr>
            </m:ctrlPr>
          </m:sSubPr>
          <m:e>
            <m:r>
              <w:rPr>
                <w:rFonts w:ascii="Cambria Math" w:hAnsi="Cambria Math" w:cs="Times New Roman"/>
                <w:sz w:val="24"/>
                <w:szCs w:val="24"/>
              </w:rPr>
              <m:t>α</m:t>
            </m:r>
          </m:e>
          <m:sub>
            <m:r>
              <w:rPr>
                <w:rFonts w:ascii="Cambria Math" w:hAnsi="Cambria Math" w:cs="Times New Roman"/>
                <w:sz w:val="24"/>
                <w:szCs w:val="24"/>
              </w:rPr>
              <m:t>i</m:t>
            </m:r>
          </m:sub>
        </m:sSub>
      </m:oMath>
      <w:r w:rsidR="00146409" w:rsidRPr="00E378F7">
        <w:rPr>
          <w:rFonts w:ascii="Times New Roman" w:hAnsi="Times New Roman" w:cs="Times New Roman"/>
          <w:sz w:val="24"/>
          <w:szCs w:val="24"/>
        </w:rPr>
        <w:t xml:space="preserve"> is the country fixed effects and </w:t>
      </w:r>
      <m:oMath>
        <m:sSub>
          <m:sSubPr>
            <m:ctrlPr>
              <w:rPr>
                <w:rFonts w:ascii="Cambria Math" w:hAnsi="Cambria Math" w:cs="Times New Roman"/>
                <w:sz w:val="24"/>
                <w:szCs w:val="24"/>
              </w:rPr>
            </m:ctrlPr>
          </m:sSubPr>
          <m:e>
            <m:r>
              <w:rPr>
                <w:rFonts w:ascii="Cambria Math" w:hAnsi="Cambria Math" w:cs="Times New Roman"/>
                <w:sz w:val="24"/>
                <w:szCs w:val="24"/>
              </w:rPr>
              <m:t>ε</m:t>
            </m:r>
          </m:e>
          <m:sub>
            <m:r>
              <w:rPr>
                <w:rFonts w:ascii="Cambria Math" w:hAnsi="Cambria Math" w:cs="Times New Roman"/>
                <w:sz w:val="24"/>
                <w:szCs w:val="24"/>
              </w:rPr>
              <m:t>it</m:t>
            </m:r>
          </m:sub>
        </m:sSub>
      </m:oMath>
      <w:r w:rsidR="00146409" w:rsidRPr="00E378F7">
        <w:rPr>
          <w:rFonts w:ascii="Times New Roman" w:hAnsi="Times New Roman" w:cs="Times New Roman"/>
          <w:sz w:val="24"/>
          <w:szCs w:val="24"/>
        </w:rPr>
        <w:t xml:space="preserve"> is an error term. </w:t>
      </w:r>
      <m:oMath>
        <m:sSub>
          <m:sSubPr>
            <m:ctrlPr>
              <w:rPr>
                <w:rFonts w:ascii="Cambria Math" w:hAnsi="Cambria Math" w:cs="Times New Roman"/>
                <w:sz w:val="24"/>
                <w:szCs w:val="24"/>
              </w:rPr>
            </m:ctrlPr>
          </m:sSubPr>
          <m:e>
            <m:r>
              <w:rPr>
                <w:rFonts w:ascii="Cambria Math" w:hAnsi="Cambria Math" w:cs="Times New Roman"/>
                <w:sz w:val="24"/>
                <w:szCs w:val="24"/>
              </w:rPr>
              <m:t>g</m:t>
            </m:r>
          </m:e>
          <m:sub>
            <m:r>
              <w:rPr>
                <w:rFonts w:ascii="Cambria Math" w:hAnsi="Cambria Math" w:cs="Times New Roman"/>
                <w:sz w:val="24"/>
                <w:szCs w:val="24"/>
              </w:rPr>
              <m:t>it</m:t>
            </m:r>
          </m:sub>
        </m:sSub>
      </m:oMath>
      <w:r w:rsidR="00146409" w:rsidRPr="00E378F7">
        <w:rPr>
          <w:rFonts w:ascii="Times New Roman" w:hAnsi="Times New Roman" w:cs="Times New Roman"/>
          <w:sz w:val="24"/>
          <w:szCs w:val="24"/>
        </w:rPr>
        <w:t xml:space="preserve"> is total factor productivity growth, </w:t>
      </w:r>
      <m:oMath>
        <m:r>
          <w:rPr>
            <w:rFonts w:ascii="Cambria Math" w:hAnsi="Cambria Math" w:cs="Times New Roman"/>
            <w:sz w:val="24"/>
            <w:szCs w:val="24"/>
          </w:rPr>
          <m:t>fd</m:t>
        </m:r>
      </m:oMath>
      <w:r w:rsidR="00146409" w:rsidRPr="00E378F7">
        <w:rPr>
          <w:rFonts w:ascii="Times New Roman" w:hAnsi="Times New Roman" w:cs="Times New Roman"/>
          <w:sz w:val="24"/>
          <w:szCs w:val="24"/>
        </w:rPr>
        <w:t xml:space="preserve"> is a proxy for financial depth</w:t>
      </w:r>
      <w:r w:rsidR="00C309E2" w:rsidRPr="00E378F7">
        <w:rPr>
          <w:rFonts w:ascii="Times New Roman" w:hAnsi="Times New Roman" w:cs="Times New Roman"/>
          <w:sz w:val="24"/>
          <w:szCs w:val="24"/>
        </w:rPr>
        <w:t>,</w:t>
      </w:r>
      <w:r w:rsidR="00146409" w:rsidRPr="00E378F7">
        <w:rPr>
          <w:rFonts w:ascii="Times New Roman" w:hAnsi="Times New Roman" w:cs="Times New Roman"/>
          <w:sz w:val="24"/>
          <w:szCs w:val="24"/>
        </w:rPr>
        <w:t xml:space="preserve"> and </w:t>
      </w:r>
      <m:oMath>
        <m:sSub>
          <m:sSubPr>
            <m:ctrlPr>
              <w:rPr>
                <w:rFonts w:ascii="Cambria Math" w:hAnsi="Cambria Math" w:cs="Times New Roman"/>
                <w:sz w:val="24"/>
                <w:szCs w:val="24"/>
              </w:rPr>
            </m:ctrlPr>
          </m:sSubPr>
          <m:e>
            <m:r>
              <w:rPr>
                <w:rFonts w:ascii="Cambria Math" w:hAnsi="Cambria Math" w:cs="Times New Roman"/>
                <w:sz w:val="24"/>
                <w:szCs w:val="24"/>
              </w:rPr>
              <m:t>z</m:t>
            </m:r>
          </m:e>
          <m:sub>
            <m:r>
              <w:rPr>
                <w:rFonts w:ascii="Cambria Math" w:hAnsi="Cambria Math" w:cs="Times New Roman"/>
                <w:sz w:val="24"/>
                <w:szCs w:val="24"/>
              </w:rPr>
              <m:t>it</m:t>
            </m:r>
          </m:sub>
        </m:sSub>
      </m:oMath>
      <w:r w:rsidR="00146409" w:rsidRPr="00E378F7">
        <w:rPr>
          <w:rFonts w:ascii="Times New Roman" w:hAnsi="Times New Roman" w:cs="Times New Roman"/>
          <w:sz w:val="24"/>
          <w:szCs w:val="24"/>
        </w:rPr>
        <w:t xml:space="preserve"> is a vector of time varying explanatory variables (control variables). To guard against potential endogeneity bias, all explanatory variables are lagged one period, thereby allowing for one period lag of the explanatory variables to influence TFP growth. It follows from equation (3.2) that the parameters change </w:t>
      </w:r>
      <w:r w:rsidR="00C309E2" w:rsidRPr="00E378F7">
        <w:rPr>
          <w:rFonts w:ascii="Times New Roman" w:hAnsi="Times New Roman" w:cs="Times New Roman"/>
          <w:sz w:val="24"/>
          <w:szCs w:val="24"/>
        </w:rPr>
        <w:t xml:space="preserve">as </w:t>
      </w:r>
      <w:r w:rsidR="00146409" w:rsidRPr="00E378F7">
        <w:rPr>
          <w:rFonts w:ascii="Times New Roman" w:hAnsi="Times New Roman" w:cs="Times New Roman"/>
          <w:sz w:val="24"/>
          <w:szCs w:val="24"/>
        </w:rPr>
        <w:t>smoothly as a function of the change in the threshold variable. This is clearly shown from the elasticity of TFP growth with respect to financial depth:</w:t>
      </w:r>
      <w:r w:rsidR="00146409" w:rsidRPr="00E378F7">
        <w:rPr>
          <w:rStyle w:val="FootnoteReference"/>
          <w:rFonts w:ascii="Times New Roman" w:hAnsi="Times New Roman" w:cs="Times New Roman"/>
          <w:sz w:val="24"/>
          <w:szCs w:val="24"/>
        </w:rPr>
        <w:footnoteReference w:id="1"/>
      </w:r>
    </w:p>
    <w:p w14:paraId="25AA6113" w14:textId="4A8D5A9A" w:rsidR="00146409" w:rsidRPr="00E378F7" w:rsidRDefault="007835DC" w:rsidP="008E4E1C">
      <w:pPr>
        <w:spacing w:line="360" w:lineRule="auto"/>
        <w:jc w:val="both"/>
        <w:rPr>
          <w:rFonts w:ascii="Times New Roman" w:hAnsi="Times New Roman" w:cs="Times New Roman"/>
          <w:sz w:val="24"/>
          <w:szCs w:val="24"/>
        </w:rPr>
      </w:pPr>
      <m:oMath>
        <m:f>
          <m:fPr>
            <m:ctrlPr>
              <w:rPr>
                <w:rFonts w:ascii="Cambria Math" w:hAnsi="Cambria Math" w:cs="Times New Roman"/>
                <w:i/>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∂g</m:t>
                </m:r>
              </m:e>
              <m:sub>
                <m:r>
                  <w:rPr>
                    <w:rFonts w:ascii="Cambria Math" w:hAnsi="Cambria Math" w:cs="Times New Roman"/>
                    <w:sz w:val="24"/>
                    <w:szCs w:val="24"/>
                  </w:rPr>
                  <m:t>it</m:t>
                </m:r>
              </m:sub>
            </m:sSub>
          </m:num>
          <m:den>
            <m:sSub>
              <m:sSubPr>
                <m:ctrlPr>
                  <w:rPr>
                    <w:rFonts w:ascii="Cambria Math" w:hAnsi="Cambria Math" w:cs="Times New Roman"/>
                    <w:i/>
                    <w:sz w:val="24"/>
                    <w:szCs w:val="24"/>
                  </w:rPr>
                </m:ctrlPr>
              </m:sSubPr>
              <m:e>
                <m:r>
                  <w:rPr>
                    <w:rFonts w:ascii="Cambria Math" w:hAnsi="Cambria Math" w:cs="Times New Roman"/>
                    <w:sz w:val="24"/>
                    <w:szCs w:val="24"/>
                  </w:rPr>
                  <m:t>∂fd</m:t>
                </m:r>
              </m:e>
              <m:sub>
                <m:r>
                  <w:rPr>
                    <w:rFonts w:ascii="Cambria Math" w:hAnsi="Cambria Math" w:cs="Times New Roman"/>
                    <w:sz w:val="24"/>
                    <w:szCs w:val="24"/>
                  </w:rPr>
                  <m:t>i,t-1</m:t>
                </m:r>
              </m:sub>
            </m:sSub>
          </m:den>
        </m:f>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0</m:t>
            </m:r>
          </m:sub>
        </m:sSub>
        <m:r>
          <m:rPr>
            <m:sty m:val="p"/>
          </m:rPr>
          <w:rPr>
            <w:rFonts w:ascii="Cambria Math" w:hAnsi="Cambria Math" w:cs="Times New Roman"/>
            <w:sz w:val="24"/>
            <w:szCs w:val="24"/>
          </w:rPr>
          <m:t>+</m:t>
        </m:r>
        <m:sSub>
          <m:sSubPr>
            <m:ctrlPr>
              <w:rPr>
                <w:rFonts w:ascii="Cambria Math" w:hAnsi="Cambria Math" w:cs="Times New Roman"/>
                <w:sz w:val="24"/>
                <w:szCs w:val="24"/>
              </w:rPr>
            </m:ctrlPr>
          </m:sSubPr>
          <m:e>
            <m:r>
              <w:rPr>
                <w:rFonts w:ascii="Cambria Math" w:hAnsi="Cambria Math" w:cs="Times New Roman"/>
                <w:sz w:val="24"/>
                <w:szCs w:val="24"/>
              </w:rPr>
              <m:t>β</m:t>
            </m:r>
          </m:e>
          <m:sub>
            <m:r>
              <w:rPr>
                <w:rFonts w:ascii="Cambria Math" w:hAnsi="Cambria Math" w:cs="Times New Roman"/>
                <w:sz w:val="24"/>
                <w:szCs w:val="24"/>
              </w:rPr>
              <m:t>1</m:t>
            </m:r>
          </m:sub>
        </m:sSub>
        <m:r>
          <w:rPr>
            <w:rFonts w:ascii="Cambria Math" w:hAnsi="Cambria Math" w:cs="Times New Roman"/>
            <w:sz w:val="24"/>
            <w:szCs w:val="24"/>
          </w:rPr>
          <m:t>θ</m:t>
        </m:r>
        <m:d>
          <m:dPr>
            <m:ctrlPr>
              <w:rPr>
                <w:rFonts w:ascii="Cambria Math" w:hAnsi="Cambria Math" w:cs="Times New Roman"/>
                <w:sz w:val="24"/>
                <w:szCs w:val="24"/>
              </w:rPr>
            </m:ctrlPr>
          </m:dPr>
          <m:e>
            <m:sSub>
              <m:sSubPr>
                <m:ctrlPr>
                  <w:rPr>
                    <w:rFonts w:ascii="Cambria Math" w:hAnsi="Cambria Math" w:cs="Times New Roman"/>
                    <w:sz w:val="24"/>
                    <w:szCs w:val="24"/>
                  </w:rPr>
                </m:ctrlPr>
              </m:sSubPr>
              <m:e>
                <m:r>
                  <w:rPr>
                    <w:rFonts w:ascii="Cambria Math" w:hAnsi="Cambria Math" w:cs="Times New Roman"/>
                    <w:sz w:val="24"/>
                    <w:szCs w:val="24"/>
                  </w:rPr>
                  <m:t>fd</m:t>
                </m:r>
              </m:e>
              <m:sub>
                <m:r>
                  <w:rPr>
                    <w:rFonts w:ascii="Cambria Math" w:hAnsi="Cambria Math" w:cs="Times New Roman"/>
                    <w:sz w:val="24"/>
                    <w:szCs w:val="24"/>
                  </w:rPr>
                  <m:t>i</m:t>
                </m:r>
                <m:r>
                  <m:rPr>
                    <m:sty m:val="p"/>
                  </m:rPr>
                  <w:rPr>
                    <w:rFonts w:ascii="Cambria Math" w:hAnsi="Cambria Math" w:cs="Times New Roman"/>
                    <w:sz w:val="24"/>
                    <w:szCs w:val="24"/>
                  </w:rPr>
                  <m:t>,</m:t>
                </m:r>
                <m:r>
                  <w:rPr>
                    <w:rFonts w:ascii="Cambria Math" w:hAnsi="Cambria Math" w:cs="Times New Roman"/>
                    <w:sz w:val="24"/>
                    <w:szCs w:val="24"/>
                  </w:rPr>
                  <m:t>t</m:t>
                </m:r>
                <m:r>
                  <m:rPr>
                    <m:sty m:val="p"/>
                  </m:rPr>
                  <w:rPr>
                    <w:rFonts w:ascii="Cambria Math" w:hAnsi="Cambria Math" w:cs="Times New Roman"/>
                    <w:sz w:val="24"/>
                    <w:szCs w:val="24"/>
                  </w:rPr>
                  <m:t>-1</m:t>
                </m:r>
              </m:sub>
            </m:sSub>
            <m:r>
              <m:rPr>
                <m:sty m:val="p"/>
              </m:rPr>
              <w:rPr>
                <w:rFonts w:ascii="Cambria Math" w:hAnsi="Cambria Math" w:cs="Times New Roman"/>
                <w:sz w:val="24"/>
                <w:szCs w:val="24"/>
              </w:rPr>
              <m:t xml:space="preserve">; </m:t>
            </m:r>
            <m:r>
              <w:rPr>
                <w:rFonts w:ascii="Cambria Math" w:hAnsi="Cambria Math" w:cs="Times New Roman"/>
                <w:sz w:val="24"/>
                <w:szCs w:val="24"/>
              </w:rPr>
              <m:t>γ</m:t>
            </m:r>
            <m:r>
              <m:rPr>
                <m:sty m:val="p"/>
              </m:rPr>
              <w:rPr>
                <w:rFonts w:ascii="Cambria Math" w:hAnsi="Cambria Math" w:cs="Times New Roman"/>
                <w:sz w:val="24"/>
                <w:szCs w:val="24"/>
              </w:rPr>
              <m:t xml:space="preserve">, </m:t>
            </m:r>
            <m:r>
              <w:rPr>
                <w:rFonts w:ascii="Cambria Math" w:hAnsi="Cambria Math" w:cs="Times New Roman"/>
                <w:sz w:val="24"/>
                <w:szCs w:val="24"/>
              </w:rPr>
              <m:t>ϑ</m:t>
            </m:r>
          </m:e>
        </m:d>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1</m:t>
            </m:r>
          </m:sub>
        </m:sSub>
        <m:f>
          <m:fPr>
            <m:ctrlPr>
              <w:rPr>
                <w:rFonts w:ascii="Cambria Math" w:hAnsi="Cambria Math" w:cs="Times New Roman"/>
                <w:i/>
                <w:sz w:val="24"/>
                <w:szCs w:val="24"/>
              </w:rPr>
            </m:ctrlPr>
          </m:fPr>
          <m:num>
            <m:r>
              <w:rPr>
                <w:rFonts w:ascii="Cambria Math" w:hAnsi="Cambria Math" w:cs="Times New Roman"/>
                <w:sz w:val="24"/>
                <w:szCs w:val="24"/>
              </w:rPr>
              <m:t>∂θ</m:t>
            </m:r>
            <m:d>
              <m:dPr>
                <m:ctrlPr>
                  <w:rPr>
                    <w:rFonts w:ascii="Cambria Math" w:hAnsi="Cambria Math" w:cs="Times New Roman"/>
                    <w:sz w:val="24"/>
                    <w:szCs w:val="24"/>
                  </w:rPr>
                </m:ctrlPr>
              </m:dPr>
              <m:e>
                <m:sSub>
                  <m:sSubPr>
                    <m:ctrlPr>
                      <w:rPr>
                        <w:rFonts w:ascii="Cambria Math" w:hAnsi="Cambria Math" w:cs="Times New Roman"/>
                        <w:sz w:val="24"/>
                        <w:szCs w:val="24"/>
                      </w:rPr>
                    </m:ctrlPr>
                  </m:sSubPr>
                  <m:e>
                    <m:r>
                      <w:rPr>
                        <w:rFonts w:ascii="Cambria Math" w:hAnsi="Cambria Math" w:cs="Times New Roman"/>
                        <w:sz w:val="24"/>
                        <w:szCs w:val="24"/>
                      </w:rPr>
                      <m:t>fd</m:t>
                    </m:r>
                  </m:e>
                  <m:sub>
                    <m:r>
                      <w:rPr>
                        <w:rFonts w:ascii="Cambria Math" w:hAnsi="Cambria Math" w:cs="Times New Roman"/>
                        <w:sz w:val="24"/>
                        <w:szCs w:val="24"/>
                      </w:rPr>
                      <m:t>i</m:t>
                    </m:r>
                    <m:r>
                      <m:rPr>
                        <m:sty m:val="p"/>
                      </m:rPr>
                      <w:rPr>
                        <w:rFonts w:ascii="Cambria Math" w:hAnsi="Cambria Math" w:cs="Times New Roman"/>
                        <w:sz w:val="24"/>
                        <w:szCs w:val="24"/>
                      </w:rPr>
                      <m:t>,</m:t>
                    </m:r>
                    <m:r>
                      <w:rPr>
                        <w:rFonts w:ascii="Cambria Math" w:hAnsi="Cambria Math" w:cs="Times New Roman"/>
                        <w:sz w:val="24"/>
                        <w:szCs w:val="24"/>
                      </w:rPr>
                      <m:t>t</m:t>
                    </m:r>
                    <m:r>
                      <m:rPr>
                        <m:sty m:val="p"/>
                      </m:rPr>
                      <w:rPr>
                        <w:rFonts w:ascii="Cambria Math" w:hAnsi="Cambria Math" w:cs="Times New Roman"/>
                        <w:sz w:val="24"/>
                        <w:szCs w:val="24"/>
                      </w:rPr>
                      <m:t>-1</m:t>
                    </m:r>
                  </m:sub>
                </m:sSub>
                <m:r>
                  <m:rPr>
                    <m:sty m:val="p"/>
                  </m:rPr>
                  <w:rPr>
                    <w:rFonts w:ascii="Cambria Math" w:hAnsi="Cambria Math" w:cs="Times New Roman"/>
                    <w:sz w:val="24"/>
                    <w:szCs w:val="24"/>
                  </w:rPr>
                  <m:t xml:space="preserve">; </m:t>
                </m:r>
                <m:r>
                  <w:rPr>
                    <w:rFonts w:ascii="Cambria Math" w:hAnsi="Cambria Math" w:cs="Times New Roman"/>
                    <w:sz w:val="24"/>
                    <w:szCs w:val="24"/>
                  </w:rPr>
                  <m:t>γ</m:t>
                </m:r>
                <m:r>
                  <m:rPr>
                    <m:sty m:val="p"/>
                  </m:rPr>
                  <w:rPr>
                    <w:rFonts w:ascii="Cambria Math" w:hAnsi="Cambria Math" w:cs="Times New Roman"/>
                    <w:sz w:val="24"/>
                    <w:szCs w:val="24"/>
                  </w:rPr>
                  <m:t xml:space="preserve">, </m:t>
                </m:r>
                <m:r>
                  <w:rPr>
                    <w:rFonts w:ascii="Cambria Math" w:hAnsi="Cambria Math" w:cs="Times New Roman"/>
                    <w:sz w:val="24"/>
                    <w:szCs w:val="24"/>
                  </w:rPr>
                  <m:t>ϑ</m:t>
                </m:r>
              </m:e>
            </m:d>
          </m:num>
          <m:den>
            <m:sSub>
              <m:sSubPr>
                <m:ctrlPr>
                  <w:rPr>
                    <w:rFonts w:ascii="Cambria Math" w:hAnsi="Cambria Math" w:cs="Times New Roman"/>
                    <w:i/>
                    <w:sz w:val="24"/>
                    <w:szCs w:val="24"/>
                  </w:rPr>
                </m:ctrlPr>
              </m:sSubPr>
              <m:e>
                <m:r>
                  <w:rPr>
                    <w:rFonts w:ascii="Cambria Math" w:hAnsi="Cambria Math" w:cs="Times New Roman"/>
                    <w:sz w:val="24"/>
                    <w:szCs w:val="24"/>
                  </w:rPr>
                  <m:t>δfd</m:t>
                </m:r>
              </m:e>
              <m:sub>
                <m:r>
                  <w:rPr>
                    <w:rFonts w:ascii="Cambria Math" w:hAnsi="Cambria Math" w:cs="Times New Roman"/>
                    <w:sz w:val="24"/>
                    <w:szCs w:val="24"/>
                  </w:rPr>
                  <m:t>i,t-1</m:t>
                </m:r>
              </m:sub>
            </m:sSub>
          </m:den>
        </m:f>
        <m:sSub>
          <m:sSubPr>
            <m:ctrlPr>
              <w:rPr>
                <w:rFonts w:ascii="Cambria Math" w:hAnsi="Cambria Math" w:cs="Times New Roman"/>
                <w:i/>
                <w:sz w:val="24"/>
                <w:szCs w:val="24"/>
              </w:rPr>
            </m:ctrlPr>
          </m:sSubPr>
          <m:e>
            <m:r>
              <w:rPr>
                <w:rFonts w:ascii="Cambria Math" w:hAnsi="Cambria Math" w:cs="Times New Roman"/>
                <w:sz w:val="24"/>
                <w:szCs w:val="24"/>
              </w:rPr>
              <m:t>fd</m:t>
            </m:r>
          </m:e>
          <m:sub>
            <m:r>
              <w:rPr>
                <w:rFonts w:ascii="Cambria Math" w:hAnsi="Cambria Math" w:cs="Times New Roman"/>
                <w:sz w:val="24"/>
                <w:szCs w:val="24"/>
              </w:rPr>
              <m:t>i,t-1</m:t>
            </m:r>
          </m:sub>
        </m:sSub>
      </m:oMath>
      <w:r w:rsidR="00146409" w:rsidRPr="00E378F7">
        <w:rPr>
          <w:rFonts w:ascii="Times New Roman" w:eastAsiaTheme="minorEastAsia" w:hAnsi="Times New Roman" w:cs="Times New Roman"/>
          <w:sz w:val="24"/>
          <w:szCs w:val="24"/>
        </w:rPr>
        <w:t xml:space="preserve">   </w:t>
      </w:r>
      <w:r w:rsidR="00146409" w:rsidRPr="00E378F7">
        <w:rPr>
          <w:rFonts w:ascii="Times New Roman" w:eastAsiaTheme="minorEastAsia" w:hAnsi="Times New Roman" w:cs="Times New Roman"/>
          <w:sz w:val="24"/>
          <w:szCs w:val="24"/>
        </w:rPr>
        <w:tab/>
      </w:r>
      <w:r w:rsidR="00146409" w:rsidRPr="00E378F7">
        <w:rPr>
          <w:rFonts w:ascii="Times New Roman" w:eastAsiaTheme="minorEastAsia" w:hAnsi="Times New Roman" w:cs="Times New Roman"/>
          <w:sz w:val="24"/>
          <w:szCs w:val="24"/>
        </w:rPr>
        <w:tab/>
        <w:t>(3.3)</w:t>
      </w:r>
    </w:p>
    <w:p w14:paraId="145ADE5C" w14:textId="2BD9AC86" w:rsidR="00146409" w:rsidRPr="00E378F7" w:rsidRDefault="004B1673" w:rsidP="008E4E1C">
      <w:pPr>
        <w:spacing w:line="360" w:lineRule="auto"/>
        <w:ind w:left="-270"/>
        <w:jc w:val="both"/>
        <w:rPr>
          <w:rFonts w:ascii="Times New Roman" w:hAnsi="Times New Roman" w:cs="Times New Roman"/>
          <w:sz w:val="24"/>
          <w:szCs w:val="24"/>
        </w:rPr>
      </w:pPr>
      <w:r w:rsidRPr="00E378F7">
        <w:rPr>
          <w:rFonts w:ascii="Times New Roman" w:hAnsi="Times New Roman" w:cs="Times New Roman"/>
          <w:sz w:val="24"/>
          <w:szCs w:val="24"/>
        </w:rPr>
        <w:t xml:space="preserve">According to </w:t>
      </w:r>
      <w:r w:rsidR="00146409" w:rsidRPr="00E378F7">
        <w:rPr>
          <w:rFonts w:ascii="Times New Roman" w:hAnsi="Times New Roman" w:cs="Times New Roman"/>
          <w:sz w:val="24"/>
          <w:szCs w:val="24"/>
        </w:rPr>
        <w:t xml:space="preserve">Gonzalez et al. (2005), the function  </w:t>
      </w:r>
      <m:oMath>
        <m:r>
          <w:rPr>
            <w:rFonts w:ascii="Cambria Math" w:hAnsi="Cambria Math" w:cs="Times New Roman"/>
            <w:sz w:val="24"/>
            <w:szCs w:val="24"/>
          </w:rPr>
          <m:t>θ</m:t>
        </m:r>
        <m:d>
          <m:dPr>
            <m:ctrlPr>
              <w:rPr>
                <w:rFonts w:ascii="Cambria Math" w:hAnsi="Cambria Math" w:cs="Times New Roman"/>
                <w:sz w:val="24"/>
                <w:szCs w:val="24"/>
              </w:rPr>
            </m:ctrlPr>
          </m:dPr>
          <m:e>
            <m:sSub>
              <m:sSubPr>
                <m:ctrlPr>
                  <w:rPr>
                    <w:rFonts w:ascii="Cambria Math" w:hAnsi="Cambria Math" w:cs="Times New Roman"/>
                    <w:sz w:val="24"/>
                    <w:szCs w:val="24"/>
                  </w:rPr>
                </m:ctrlPr>
              </m:sSubPr>
              <m:e>
                <m:r>
                  <w:rPr>
                    <w:rFonts w:ascii="Cambria Math" w:hAnsi="Cambria Math" w:cs="Times New Roman"/>
                    <w:sz w:val="24"/>
                    <w:szCs w:val="24"/>
                  </w:rPr>
                  <m:t>fd</m:t>
                </m:r>
              </m:e>
              <m:sub>
                <m:r>
                  <w:rPr>
                    <w:rFonts w:ascii="Cambria Math" w:hAnsi="Cambria Math" w:cs="Times New Roman"/>
                    <w:sz w:val="24"/>
                    <w:szCs w:val="24"/>
                  </w:rPr>
                  <m:t>i</m:t>
                </m:r>
                <m:r>
                  <m:rPr>
                    <m:sty m:val="p"/>
                  </m:rPr>
                  <w:rPr>
                    <w:rFonts w:ascii="Cambria Math" w:hAnsi="Cambria Math" w:cs="Times New Roman"/>
                    <w:sz w:val="24"/>
                    <w:szCs w:val="24"/>
                  </w:rPr>
                  <m:t>,</m:t>
                </m:r>
                <m:r>
                  <w:rPr>
                    <w:rFonts w:ascii="Cambria Math" w:hAnsi="Cambria Math" w:cs="Times New Roman"/>
                    <w:sz w:val="24"/>
                    <w:szCs w:val="24"/>
                  </w:rPr>
                  <m:t>t</m:t>
                </m:r>
                <m:r>
                  <m:rPr>
                    <m:sty m:val="p"/>
                  </m:rPr>
                  <w:rPr>
                    <w:rFonts w:ascii="Cambria Math" w:hAnsi="Cambria Math" w:cs="Times New Roman"/>
                    <w:sz w:val="24"/>
                    <w:szCs w:val="24"/>
                  </w:rPr>
                  <m:t>-1</m:t>
                </m:r>
              </m:sub>
            </m:sSub>
            <m:r>
              <m:rPr>
                <m:sty m:val="p"/>
              </m:rPr>
              <w:rPr>
                <w:rFonts w:ascii="Cambria Math" w:hAnsi="Cambria Math" w:cs="Times New Roman"/>
                <w:sz w:val="24"/>
                <w:szCs w:val="24"/>
              </w:rPr>
              <m:t xml:space="preserve">; </m:t>
            </m:r>
            <m:r>
              <w:rPr>
                <w:rFonts w:ascii="Cambria Math" w:hAnsi="Cambria Math" w:cs="Times New Roman"/>
                <w:sz w:val="24"/>
                <w:szCs w:val="24"/>
              </w:rPr>
              <m:t>γ</m:t>
            </m:r>
            <m:r>
              <m:rPr>
                <m:sty m:val="p"/>
              </m:rPr>
              <w:rPr>
                <w:rFonts w:ascii="Cambria Math" w:hAnsi="Cambria Math" w:cs="Times New Roman"/>
                <w:sz w:val="24"/>
                <w:szCs w:val="24"/>
              </w:rPr>
              <m:t xml:space="preserve">, </m:t>
            </m:r>
            <m:r>
              <w:rPr>
                <w:rFonts w:ascii="Cambria Math" w:hAnsi="Cambria Math" w:cs="Times New Roman"/>
                <w:sz w:val="24"/>
                <w:szCs w:val="24"/>
              </w:rPr>
              <m:t>ϑ</m:t>
            </m:r>
          </m:e>
        </m:d>
      </m:oMath>
      <w:r w:rsidR="00146409" w:rsidRPr="00E378F7">
        <w:rPr>
          <w:rFonts w:ascii="Times New Roman" w:hAnsi="Times New Roman" w:cs="Times New Roman"/>
          <w:sz w:val="24"/>
          <w:szCs w:val="24"/>
        </w:rPr>
        <w:t xml:space="preserve"> is a continuous function of the threshold variable (financial depth) and bounded between 0 and 1. These extreme values of the transition function correspond to the regression parameters of  </w:t>
      </w:r>
      <m:oMath>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0</m:t>
            </m:r>
          </m:sub>
        </m:sSub>
      </m:oMath>
      <w:r w:rsidR="00146409" w:rsidRPr="00E378F7">
        <w:rPr>
          <w:rFonts w:ascii="Times New Roman" w:hAnsi="Times New Roman" w:cs="Times New Roman"/>
          <w:sz w:val="24"/>
          <w:szCs w:val="24"/>
        </w:rPr>
        <w:t xml:space="preserve"> when </w:t>
      </w:r>
      <w:r w:rsidR="00F405FE" w:rsidRPr="00E378F7">
        <w:rPr>
          <w:rFonts w:ascii="Times New Roman" w:hAnsi="Times New Roman" w:cs="Times New Roman"/>
          <w:sz w:val="24"/>
          <w:szCs w:val="24"/>
        </w:rPr>
        <w:t xml:space="preserve">the </w:t>
      </w:r>
      <w:r w:rsidR="00146409" w:rsidRPr="00E378F7">
        <w:rPr>
          <w:rFonts w:ascii="Times New Roman" w:hAnsi="Times New Roman" w:cs="Times New Roman"/>
          <w:sz w:val="24"/>
          <w:szCs w:val="24"/>
        </w:rPr>
        <w:t xml:space="preserve">financial depth is extremely low and </w:t>
      </w:r>
      <m:oMath>
        <m:d>
          <m:dPr>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0</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1</m:t>
                </m:r>
              </m:sub>
            </m:sSub>
          </m:e>
        </m:d>
      </m:oMath>
      <w:r w:rsidR="00146409" w:rsidRPr="00E378F7">
        <w:rPr>
          <w:rFonts w:ascii="Times New Roman" w:hAnsi="Times New Roman" w:cs="Times New Roman"/>
          <w:sz w:val="24"/>
          <w:szCs w:val="24"/>
        </w:rPr>
        <w:t xml:space="preserve"> </w:t>
      </w:r>
      <w:r w:rsidR="00F405FE" w:rsidRPr="00E378F7">
        <w:rPr>
          <w:rFonts w:ascii="Times New Roman" w:hAnsi="Times New Roman" w:cs="Times New Roman"/>
          <w:sz w:val="24"/>
          <w:szCs w:val="24"/>
        </w:rPr>
        <w:t xml:space="preserve">is </w:t>
      </w:r>
      <w:r w:rsidR="00146409" w:rsidRPr="00E378F7">
        <w:rPr>
          <w:rFonts w:ascii="Times New Roman" w:hAnsi="Times New Roman" w:cs="Times New Roman"/>
          <w:sz w:val="24"/>
          <w:szCs w:val="24"/>
        </w:rPr>
        <w:t xml:space="preserve">at </w:t>
      </w:r>
      <w:r w:rsidR="00F405FE" w:rsidRPr="00E378F7">
        <w:rPr>
          <w:rFonts w:ascii="Times New Roman" w:hAnsi="Times New Roman" w:cs="Times New Roman"/>
          <w:sz w:val="24"/>
          <w:szCs w:val="24"/>
        </w:rPr>
        <w:t xml:space="preserve">an </w:t>
      </w:r>
      <w:r w:rsidR="00146409" w:rsidRPr="00E378F7">
        <w:rPr>
          <w:rFonts w:ascii="Times New Roman" w:hAnsi="Times New Roman" w:cs="Times New Roman"/>
          <w:sz w:val="24"/>
          <w:szCs w:val="24"/>
        </w:rPr>
        <w:t xml:space="preserve">extreme level of financial deepening. The threshold variable is also lagged one </w:t>
      </w:r>
      <w:r w:rsidR="00C40D74" w:rsidRPr="00E378F7">
        <w:rPr>
          <w:rFonts w:ascii="Times New Roman" w:hAnsi="Times New Roman" w:cs="Times New Roman"/>
          <w:sz w:val="24"/>
          <w:szCs w:val="24"/>
        </w:rPr>
        <w:t>period</w:t>
      </w:r>
      <w:r w:rsidR="00F405FE" w:rsidRPr="00E378F7">
        <w:rPr>
          <w:rFonts w:ascii="Times New Roman" w:eastAsiaTheme="minorEastAsia" w:hAnsi="Times New Roman" w:cs="Times New Roman"/>
          <w:sz w:val="24"/>
          <w:szCs w:val="24"/>
        </w:rPr>
        <w:t xml:space="preserve"> </w:t>
      </w:r>
      <m:oMath>
        <m:sSub>
          <m:sSubPr>
            <m:ctrlPr>
              <w:rPr>
                <w:rFonts w:ascii="Cambria Math" w:hAnsi="Cambria Math" w:cs="Times New Roman"/>
                <w:sz w:val="24"/>
                <w:szCs w:val="24"/>
              </w:rPr>
            </m:ctrlPr>
          </m:sSubPr>
          <m:e>
            <m:r>
              <w:rPr>
                <w:rFonts w:ascii="Cambria Math" w:hAnsi="Cambria Math" w:cs="Times New Roman"/>
                <w:sz w:val="24"/>
                <w:szCs w:val="24"/>
              </w:rPr>
              <m:t>fd</m:t>
            </m:r>
          </m:e>
          <m:sub>
            <m:r>
              <w:rPr>
                <w:rFonts w:ascii="Cambria Math" w:hAnsi="Cambria Math" w:cs="Times New Roman"/>
                <w:sz w:val="24"/>
                <w:szCs w:val="24"/>
              </w:rPr>
              <m:t>i</m:t>
            </m:r>
            <m:r>
              <m:rPr>
                <m:sty m:val="p"/>
              </m:rPr>
              <w:rPr>
                <w:rFonts w:ascii="Cambria Math" w:hAnsi="Cambria Math" w:cs="Times New Roman"/>
                <w:sz w:val="24"/>
                <w:szCs w:val="24"/>
              </w:rPr>
              <m:t>,</m:t>
            </m:r>
            <m:r>
              <w:rPr>
                <w:rFonts w:ascii="Cambria Math" w:hAnsi="Cambria Math" w:cs="Times New Roman"/>
                <w:sz w:val="24"/>
                <w:szCs w:val="24"/>
              </w:rPr>
              <m:t>t</m:t>
            </m:r>
            <m:r>
              <m:rPr>
                <m:sty m:val="p"/>
              </m:rPr>
              <w:rPr>
                <w:rFonts w:ascii="Cambria Math" w:hAnsi="Cambria Math" w:cs="Times New Roman"/>
                <w:sz w:val="24"/>
                <w:szCs w:val="24"/>
              </w:rPr>
              <m:t>-1</m:t>
            </m:r>
          </m:sub>
        </m:sSub>
      </m:oMath>
      <w:r w:rsidR="00146409" w:rsidRPr="00E378F7">
        <w:rPr>
          <w:rFonts w:ascii="Times New Roman" w:hAnsi="Times New Roman" w:cs="Times New Roman"/>
          <w:sz w:val="24"/>
          <w:szCs w:val="24"/>
        </w:rPr>
        <w:t xml:space="preserve">; </w:t>
      </w:r>
      <m:oMath>
        <m:r>
          <w:rPr>
            <w:rFonts w:ascii="Cambria Math" w:hAnsi="Cambria Math" w:cs="Times New Roman"/>
            <w:sz w:val="24"/>
            <w:szCs w:val="24"/>
          </w:rPr>
          <m:t>γ</m:t>
        </m:r>
      </m:oMath>
      <w:r w:rsidR="00146409" w:rsidRPr="00E378F7">
        <w:rPr>
          <w:rFonts w:ascii="Times New Roman" w:hAnsi="Times New Roman" w:cs="Times New Roman"/>
          <w:sz w:val="24"/>
          <w:szCs w:val="24"/>
        </w:rPr>
        <w:t xml:space="preserve"> is a slope parameter, which determines how smooth the transition function is</w:t>
      </w:r>
      <w:r w:rsidR="00F405FE" w:rsidRPr="00E378F7">
        <w:rPr>
          <w:rFonts w:ascii="Times New Roman" w:hAnsi="Times New Roman" w:cs="Times New Roman"/>
          <w:sz w:val="24"/>
          <w:szCs w:val="24"/>
        </w:rPr>
        <w:t>,</w:t>
      </w:r>
      <w:r w:rsidR="00146409" w:rsidRPr="00E378F7">
        <w:rPr>
          <w:rFonts w:ascii="Times New Roman" w:hAnsi="Times New Roman" w:cs="Times New Roman"/>
          <w:sz w:val="24"/>
          <w:szCs w:val="24"/>
        </w:rPr>
        <w:t xml:space="preserve"> and </w:t>
      </w:r>
      <m:oMath>
        <m:r>
          <w:rPr>
            <w:rFonts w:ascii="Cambria Math" w:hAnsi="Cambria Math" w:cs="Times New Roman"/>
            <w:sz w:val="24"/>
            <w:szCs w:val="24"/>
          </w:rPr>
          <m:t>c</m:t>
        </m:r>
      </m:oMath>
      <w:r w:rsidR="00146409" w:rsidRPr="00E378F7">
        <w:rPr>
          <w:rFonts w:ascii="Times New Roman" w:hAnsi="Times New Roman" w:cs="Times New Roman"/>
          <w:sz w:val="24"/>
          <w:szCs w:val="24"/>
        </w:rPr>
        <w:t xml:space="preserve"> is a location (threshold) parameter of financial deepening. In line with Gonzalez et al. (2005), the function </w:t>
      </w:r>
      <m:oMath>
        <m:r>
          <w:rPr>
            <w:rFonts w:ascii="Cambria Math" w:hAnsi="Cambria Math" w:cs="Times New Roman"/>
            <w:sz w:val="24"/>
            <w:szCs w:val="24"/>
          </w:rPr>
          <m:t>θ</m:t>
        </m:r>
        <m:d>
          <m:dPr>
            <m:ctrlPr>
              <w:rPr>
                <w:rFonts w:ascii="Cambria Math" w:hAnsi="Cambria Math" w:cs="Times New Roman"/>
                <w:sz w:val="24"/>
                <w:szCs w:val="24"/>
              </w:rPr>
            </m:ctrlPr>
          </m:dPr>
          <m:e>
            <m:sSub>
              <m:sSubPr>
                <m:ctrlPr>
                  <w:rPr>
                    <w:rFonts w:ascii="Cambria Math" w:hAnsi="Cambria Math" w:cs="Times New Roman"/>
                    <w:sz w:val="24"/>
                    <w:szCs w:val="24"/>
                  </w:rPr>
                </m:ctrlPr>
              </m:sSubPr>
              <m:e>
                <m:r>
                  <w:rPr>
                    <w:rFonts w:ascii="Cambria Math" w:hAnsi="Cambria Math" w:cs="Times New Roman"/>
                    <w:sz w:val="24"/>
                    <w:szCs w:val="24"/>
                  </w:rPr>
                  <m:t>fd</m:t>
                </m:r>
              </m:e>
              <m:sub>
                <m:r>
                  <w:rPr>
                    <w:rFonts w:ascii="Cambria Math" w:hAnsi="Cambria Math" w:cs="Times New Roman"/>
                    <w:sz w:val="24"/>
                    <w:szCs w:val="24"/>
                  </w:rPr>
                  <m:t>i</m:t>
                </m:r>
                <m:r>
                  <m:rPr>
                    <m:sty m:val="p"/>
                  </m:rPr>
                  <w:rPr>
                    <w:rFonts w:ascii="Cambria Math" w:hAnsi="Cambria Math" w:cs="Times New Roman"/>
                    <w:sz w:val="24"/>
                    <w:szCs w:val="24"/>
                  </w:rPr>
                  <m:t>,</m:t>
                </m:r>
                <m:r>
                  <w:rPr>
                    <w:rFonts w:ascii="Cambria Math" w:hAnsi="Cambria Math" w:cs="Times New Roman"/>
                    <w:sz w:val="24"/>
                    <w:szCs w:val="24"/>
                  </w:rPr>
                  <m:t>t</m:t>
                </m:r>
                <m:r>
                  <m:rPr>
                    <m:sty m:val="p"/>
                  </m:rPr>
                  <w:rPr>
                    <w:rFonts w:ascii="Cambria Math" w:hAnsi="Cambria Math" w:cs="Times New Roman"/>
                    <w:sz w:val="24"/>
                    <w:szCs w:val="24"/>
                  </w:rPr>
                  <m:t>-1</m:t>
                </m:r>
              </m:sub>
            </m:sSub>
            <m:r>
              <m:rPr>
                <m:sty m:val="p"/>
              </m:rPr>
              <w:rPr>
                <w:rFonts w:ascii="Cambria Math" w:hAnsi="Cambria Math" w:cs="Times New Roman"/>
                <w:sz w:val="24"/>
                <w:szCs w:val="24"/>
              </w:rPr>
              <m:t xml:space="preserve">; </m:t>
            </m:r>
            <m:r>
              <w:rPr>
                <w:rFonts w:ascii="Cambria Math" w:hAnsi="Cambria Math" w:cs="Times New Roman"/>
                <w:sz w:val="24"/>
                <w:szCs w:val="24"/>
              </w:rPr>
              <m:t>γ</m:t>
            </m:r>
            <m:r>
              <m:rPr>
                <m:sty m:val="p"/>
              </m:rPr>
              <w:rPr>
                <w:rFonts w:ascii="Cambria Math" w:hAnsi="Cambria Math" w:cs="Times New Roman"/>
                <w:sz w:val="24"/>
                <w:szCs w:val="24"/>
              </w:rPr>
              <m:t xml:space="preserve">, </m:t>
            </m:r>
            <m:r>
              <w:rPr>
                <w:rFonts w:ascii="Cambria Math" w:hAnsi="Cambria Math" w:cs="Times New Roman"/>
                <w:sz w:val="24"/>
                <w:szCs w:val="24"/>
              </w:rPr>
              <m:t>ϑ</m:t>
            </m:r>
          </m:e>
        </m:d>
      </m:oMath>
      <w:r w:rsidR="00146409" w:rsidRPr="00E378F7">
        <w:rPr>
          <w:rFonts w:ascii="Times New Roman" w:hAnsi="Times New Roman" w:cs="Times New Roman"/>
          <w:sz w:val="24"/>
          <w:szCs w:val="24"/>
        </w:rPr>
        <w:t xml:space="preserve"> can be specified as a logistic transition function:</w:t>
      </w:r>
    </w:p>
    <w:p w14:paraId="7D113BB2" w14:textId="58BC5DB4" w:rsidR="00146409" w:rsidRPr="00E378F7" w:rsidRDefault="00146409" w:rsidP="008E4E1C">
      <w:pPr>
        <w:spacing w:line="360" w:lineRule="auto"/>
        <w:jc w:val="both"/>
        <w:rPr>
          <w:rFonts w:ascii="Times New Roman" w:hAnsi="Times New Roman" w:cs="Times New Roman"/>
          <w:sz w:val="24"/>
          <w:szCs w:val="24"/>
        </w:rPr>
      </w:pPr>
      <m:oMath>
        <m:r>
          <w:rPr>
            <w:rFonts w:ascii="Cambria Math" w:hAnsi="Cambria Math" w:cs="Times New Roman"/>
            <w:sz w:val="24"/>
            <w:szCs w:val="24"/>
          </w:rPr>
          <m:t>θ</m:t>
        </m:r>
        <m:d>
          <m:dPr>
            <m:ctrlPr>
              <w:rPr>
                <w:rFonts w:ascii="Cambria Math" w:hAnsi="Cambria Math" w:cs="Times New Roman"/>
                <w:sz w:val="24"/>
                <w:szCs w:val="24"/>
              </w:rPr>
            </m:ctrlPr>
          </m:dPr>
          <m:e>
            <m:sSub>
              <m:sSubPr>
                <m:ctrlPr>
                  <w:rPr>
                    <w:rFonts w:ascii="Cambria Math" w:hAnsi="Cambria Math" w:cs="Times New Roman"/>
                    <w:sz w:val="24"/>
                    <w:szCs w:val="24"/>
                  </w:rPr>
                </m:ctrlPr>
              </m:sSubPr>
              <m:e>
                <m:r>
                  <w:rPr>
                    <w:rFonts w:ascii="Cambria Math" w:hAnsi="Cambria Math" w:cs="Times New Roman"/>
                    <w:sz w:val="24"/>
                    <w:szCs w:val="24"/>
                  </w:rPr>
                  <m:t>fd</m:t>
                </m:r>
              </m:e>
              <m:sub>
                <m:r>
                  <w:rPr>
                    <w:rFonts w:ascii="Cambria Math" w:hAnsi="Cambria Math" w:cs="Times New Roman"/>
                    <w:sz w:val="24"/>
                    <w:szCs w:val="24"/>
                  </w:rPr>
                  <m:t>i</m:t>
                </m:r>
                <m:r>
                  <m:rPr>
                    <m:sty m:val="p"/>
                  </m:rPr>
                  <w:rPr>
                    <w:rFonts w:ascii="Cambria Math" w:hAnsi="Cambria Math" w:cs="Times New Roman"/>
                    <w:sz w:val="24"/>
                    <w:szCs w:val="24"/>
                  </w:rPr>
                  <m:t>,</m:t>
                </m:r>
                <m:r>
                  <w:rPr>
                    <w:rFonts w:ascii="Cambria Math" w:hAnsi="Cambria Math" w:cs="Times New Roman"/>
                    <w:sz w:val="24"/>
                    <w:szCs w:val="24"/>
                  </w:rPr>
                  <m:t>t</m:t>
                </m:r>
                <m:r>
                  <m:rPr>
                    <m:sty m:val="p"/>
                  </m:rPr>
                  <w:rPr>
                    <w:rFonts w:ascii="Cambria Math" w:hAnsi="Cambria Math" w:cs="Times New Roman"/>
                    <w:sz w:val="24"/>
                    <w:szCs w:val="24"/>
                  </w:rPr>
                  <m:t>-1</m:t>
                </m:r>
              </m:sub>
            </m:sSub>
            <m:r>
              <m:rPr>
                <m:sty m:val="p"/>
              </m:rPr>
              <w:rPr>
                <w:rFonts w:ascii="Cambria Math" w:hAnsi="Cambria Math" w:cs="Times New Roman"/>
                <w:sz w:val="24"/>
                <w:szCs w:val="24"/>
              </w:rPr>
              <m:t xml:space="preserve">; </m:t>
            </m:r>
            <m:r>
              <w:rPr>
                <w:rFonts w:ascii="Cambria Math" w:hAnsi="Cambria Math" w:cs="Times New Roman"/>
                <w:sz w:val="24"/>
                <w:szCs w:val="24"/>
              </w:rPr>
              <m:t>γ</m:t>
            </m:r>
            <m:r>
              <m:rPr>
                <m:sty m:val="p"/>
              </m:rPr>
              <w:rPr>
                <w:rFonts w:ascii="Cambria Math" w:hAnsi="Cambria Math" w:cs="Times New Roman"/>
                <w:sz w:val="24"/>
                <w:szCs w:val="24"/>
              </w:rPr>
              <m:t xml:space="preserve">, </m:t>
            </m:r>
            <m:r>
              <w:rPr>
                <w:rFonts w:ascii="Cambria Math" w:hAnsi="Cambria Math" w:cs="Times New Roman"/>
                <w:sz w:val="24"/>
                <w:szCs w:val="24"/>
              </w:rPr>
              <m:t>ϑ</m:t>
            </m:r>
          </m:e>
        </m:d>
        <m:r>
          <m:rPr>
            <m:sty m:val="p"/>
          </m:rPr>
          <w:rPr>
            <w:rFonts w:ascii="Cambria Math" w:hAnsi="Cambria Math" w:cs="Times New Roman"/>
            <w:sz w:val="24"/>
            <w:szCs w:val="24"/>
          </w:rPr>
          <m:t>=</m:t>
        </m:r>
        <m:f>
          <m:fPr>
            <m:ctrlPr>
              <w:rPr>
                <w:rFonts w:ascii="Cambria Math" w:hAnsi="Cambria Math" w:cs="Times New Roman"/>
                <w:sz w:val="24"/>
                <w:szCs w:val="24"/>
              </w:rPr>
            </m:ctrlPr>
          </m:fPr>
          <m:num>
            <m:r>
              <m:rPr>
                <m:sty m:val="p"/>
              </m:rPr>
              <w:rPr>
                <w:rFonts w:ascii="Cambria Math" w:hAnsi="Cambria Math" w:cs="Times New Roman"/>
                <w:sz w:val="24"/>
                <w:szCs w:val="24"/>
              </w:rPr>
              <m:t>1</m:t>
            </m:r>
          </m:num>
          <m:den>
            <m:d>
              <m:dPr>
                <m:ctrlPr>
                  <w:rPr>
                    <w:rFonts w:ascii="Cambria Math" w:hAnsi="Cambria Math" w:cs="Times New Roman"/>
                    <w:sz w:val="24"/>
                    <w:szCs w:val="24"/>
                  </w:rPr>
                </m:ctrlPr>
              </m:dPr>
              <m:e>
                <m:r>
                  <m:rPr>
                    <m:sty m:val="p"/>
                  </m:rPr>
                  <w:rPr>
                    <w:rFonts w:ascii="Cambria Math" w:hAnsi="Cambria Math" w:cs="Times New Roman"/>
                    <w:sz w:val="24"/>
                    <w:szCs w:val="24"/>
                  </w:rPr>
                  <m:t>1+exp⁡(-</m:t>
                </m:r>
                <m:r>
                  <w:rPr>
                    <w:rFonts w:ascii="Cambria Math" w:hAnsi="Cambria Math" w:cs="Times New Roman"/>
                    <w:sz w:val="24"/>
                    <w:szCs w:val="24"/>
                  </w:rPr>
                  <m:t>γ</m:t>
                </m:r>
                <m:nary>
                  <m:naryPr>
                    <m:chr m:val="∏"/>
                    <m:limLoc m:val="undOvr"/>
                    <m:ctrlPr>
                      <w:rPr>
                        <w:rFonts w:ascii="Cambria Math" w:hAnsi="Cambria Math" w:cs="Times New Roman"/>
                        <w:sz w:val="24"/>
                        <w:szCs w:val="24"/>
                      </w:rPr>
                    </m:ctrlPr>
                  </m:naryPr>
                  <m:sub>
                    <m:r>
                      <w:rPr>
                        <w:rFonts w:ascii="Cambria Math" w:hAnsi="Cambria Math" w:cs="Times New Roman"/>
                        <w:sz w:val="24"/>
                        <w:szCs w:val="24"/>
                      </w:rPr>
                      <m:t>j</m:t>
                    </m:r>
                    <m:r>
                      <m:rPr>
                        <m:sty m:val="p"/>
                      </m:rPr>
                      <w:rPr>
                        <w:rFonts w:ascii="Cambria Math" w:hAnsi="Cambria Math" w:cs="Times New Roman"/>
                        <w:sz w:val="24"/>
                        <w:szCs w:val="24"/>
                      </w:rPr>
                      <m:t>=1</m:t>
                    </m:r>
                  </m:sub>
                  <m:sup>
                    <m:r>
                      <w:rPr>
                        <w:rFonts w:ascii="Cambria Math" w:hAnsi="Cambria Math" w:cs="Times New Roman"/>
                        <w:sz w:val="24"/>
                        <w:szCs w:val="24"/>
                      </w:rPr>
                      <m:t>m</m:t>
                    </m:r>
                  </m:sup>
                  <m:e>
                    <m:d>
                      <m:dPr>
                        <m:ctrlPr>
                          <w:rPr>
                            <w:rFonts w:ascii="Cambria Math" w:hAnsi="Cambria Math" w:cs="Times New Roman"/>
                            <w:sz w:val="24"/>
                            <w:szCs w:val="24"/>
                          </w:rPr>
                        </m:ctrlPr>
                      </m:dPr>
                      <m:e>
                        <m:sSub>
                          <m:sSubPr>
                            <m:ctrlPr>
                              <w:rPr>
                                <w:rFonts w:ascii="Cambria Math" w:hAnsi="Cambria Math" w:cs="Times New Roman"/>
                                <w:sz w:val="24"/>
                                <w:szCs w:val="24"/>
                              </w:rPr>
                            </m:ctrlPr>
                          </m:sSubPr>
                          <m:e>
                            <m:r>
                              <w:rPr>
                                <w:rFonts w:ascii="Cambria Math" w:hAnsi="Cambria Math" w:cs="Times New Roman"/>
                                <w:sz w:val="24"/>
                                <w:szCs w:val="24"/>
                              </w:rPr>
                              <m:t>fd</m:t>
                            </m:r>
                          </m:e>
                          <m:sub>
                            <m:r>
                              <w:rPr>
                                <w:rFonts w:ascii="Cambria Math" w:hAnsi="Cambria Math" w:cs="Times New Roman"/>
                                <w:sz w:val="24"/>
                                <w:szCs w:val="24"/>
                              </w:rPr>
                              <m:t>i</m:t>
                            </m:r>
                            <m:r>
                              <m:rPr>
                                <m:sty m:val="p"/>
                              </m:rPr>
                              <w:rPr>
                                <w:rFonts w:ascii="Cambria Math" w:hAnsi="Cambria Math" w:cs="Times New Roman"/>
                                <w:sz w:val="24"/>
                                <w:szCs w:val="24"/>
                              </w:rPr>
                              <m:t>,</m:t>
                            </m:r>
                            <m:r>
                              <w:rPr>
                                <w:rFonts w:ascii="Cambria Math" w:hAnsi="Cambria Math" w:cs="Times New Roman"/>
                                <w:sz w:val="24"/>
                                <w:szCs w:val="24"/>
                              </w:rPr>
                              <m:t>t</m:t>
                            </m:r>
                            <m:r>
                              <m:rPr>
                                <m:sty m:val="p"/>
                              </m:rPr>
                              <w:rPr>
                                <w:rFonts w:ascii="Cambria Math" w:hAnsi="Cambria Math" w:cs="Times New Roman"/>
                                <w:sz w:val="24"/>
                                <w:szCs w:val="24"/>
                              </w:rPr>
                              <m:t>-1</m:t>
                            </m:r>
                          </m:sub>
                        </m:sSub>
                        <m:r>
                          <m:rPr>
                            <m:sty m:val="p"/>
                          </m:rPr>
                          <w:rPr>
                            <w:rFonts w:ascii="Cambria Math" w:hAnsi="Cambria Math" w:cs="Times New Roman"/>
                            <w:sz w:val="24"/>
                            <w:szCs w:val="24"/>
                          </w:rPr>
                          <m:t>-</m:t>
                        </m:r>
                        <m:sSub>
                          <m:sSubPr>
                            <m:ctrlPr>
                              <w:rPr>
                                <w:rFonts w:ascii="Cambria Math" w:hAnsi="Cambria Math" w:cs="Times New Roman"/>
                                <w:sz w:val="24"/>
                                <w:szCs w:val="24"/>
                              </w:rPr>
                            </m:ctrlPr>
                          </m:sSubPr>
                          <m:e>
                            <m:r>
                              <w:rPr>
                                <w:rFonts w:ascii="Cambria Math" w:hAnsi="Cambria Math" w:cs="Times New Roman"/>
                                <w:sz w:val="24"/>
                                <w:szCs w:val="24"/>
                              </w:rPr>
                              <m:t>ϑ</m:t>
                            </m:r>
                          </m:e>
                          <m:sub>
                            <m:r>
                              <w:rPr>
                                <w:rFonts w:ascii="Cambria Math" w:hAnsi="Cambria Math" w:cs="Times New Roman"/>
                                <w:sz w:val="24"/>
                                <w:szCs w:val="24"/>
                              </w:rPr>
                              <m:t>i</m:t>
                            </m:r>
                          </m:sub>
                        </m:sSub>
                        <m:r>
                          <m:rPr>
                            <m:sty m:val="p"/>
                          </m:rPr>
                          <w:rPr>
                            <w:rFonts w:ascii="Cambria Math" w:hAnsi="Cambria Math" w:cs="Times New Roman"/>
                            <w:sz w:val="24"/>
                            <w:szCs w:val="24"/>
                          </w:rPr>
                          <m:t>)</m:t>
                        </m:r>
                      </m:e>
                    </m:d>
                  </m:e>
                </m:nary>
              </m:e>
            </m:d>
          </m:den>
        </m:f>
      </m:oMath>
      <w:r w:rsidRPr="00E378F7">
        <w:rPr>
          <w:rFonts w:ascii="Times New Roman" w:hAnsi="Times New Roman" w:cs="Times New Roman"/>
          <w:sz w:val="24"/>
          <w:szCs w:val="24"/>
        </w:rPr>
        <w:t xml:space="preserve">, </w:t>
      </w:r>
      <m:oMath>
        <m:r>
          <w:rPr>
            <w:rFonts w:ascii="Cambria Math" w:hAnsi="Cambria Math" w:cs="Times New Roman"/>
            <w:sz w:val="24"/>
            <w:szCs w:val="24"/>
          </w:rPr>
          <m:t>γ</m:t>
        </m:r>
        <m:r>
          <m:rPr>
            <m:sty m:val="p"/>
          </m:rPr>
          <w:rPr>
            <w:rFonts w:ascii="Cambria Math" w:hAnsi="Cambria Math" w:cs="Times New Roman"/>
            <w:sz w:val="24"/>
            <w:szCs w:val="24"/>
          </w:rPr>
          <m:t>&gt;0</m:t>
        </m:r>
      </m:oMath>
      <w:r w:rsidRPr="00E378F7">
        <w:rPr>
          <w:rFonts w:ascii="Times New Roman" w:hAnsi="Times New Roman" w:cs="Times New Roman"/>
          <w:sz w:val="24"/>
          <w:szCs w:val="24"/>
        </w:rPr>
        <w:t xml:space="preserve"> </w:t>
      </w:r>
      <w:r w:rsidRPr="00E378F7">
        <w:rPr>
          <w:rFonts w:ascii="Times New Roman" w:hAnsi="Times New Roman" w:cs="Times New Roman"/>
          <w:sz w:val="24"/>
          <w:szCs w:val="24"/>
        </w:rPr>
        <w:tab/>
      </w:r>
      <w:r w:rsidR="00F405FE" w:rsidRPr="00E378F7">
        <w:rPr>
          <w:rFonts w:ascii="Times New Roman" w:hAnsi="Times New Roman" w:cs="Times New Roman"/>
          <w:sz w:val="24"/>
          <w:szCs w:val="24"/>
        </w:rPr>
        <w:tab/>
      </w:r>
      <w:r w:rsidRPr="00E378F7">
        <w:rPr>
          <w:rFonts w:ascii="Times New Roman" w:hAnsi="Times New Roman" w:cs="Times New Roman"/>
          <w:sz w:val="24"/>
          <w:szCs w:val="24"/>
        </w:rPr>
        <w:tab/>
        <w:t>(3.4)</w:t>
      </w:r>
    </w:p>
    <w:p w14:paraId="192C186C" w14:textId="77777777" w:rsidR="00146409" w:rsidRPr="00E378F7" w:rsidRDefault="00146409" w:rsidP="008E4E1C">
      <w:pPr>
        <w:spacing w:line="360" w:lineRule="auto"/>
        <w:jc w:val="both"/>
        <w:rPr>
          <w:rFonts w:ascii="Times New Roman" w:hAnsi="Times New Roman" w:cs="Times New Roman"/>
          <w:sz w:val="16"/>
          <w:szCs w:val="16"/>
        </w:rPr>
      </w:pPr>
    </w:p>
    <w:p w14:paraId="4BB1AB58" w14:textId="77777777" w:rsidR="00146409" w:rsidRPr="00E378F7" w:rsidRDefault="00146409" w:rsidP="008E4E1C">
      <w:pPr>
        <w:spacing w:line="360" w:lineRule="auto"/>
        <w:ind w:left="-791"/>
        <w:jc w:val="both"/>
        <w:rPr>
          <w:rFonts w:ascii="Times New Roman" w:hAnsi="Times New Roman" w:cs="Times New Roman"/>
          <w:sz w:val="24"/>
          <w:szCs w:val="24"/>
        </w:rPr>
      </w:pPr>
      <w:r w:rsidRPr="00E378F7">
        <w:rPr>
          <w:rFonts w:ascii="Times New Roman" w:hAnsi="Times New Roman" w:cs="Times New Roman"/>
          <w:sz w:val="24"/>
          <w:szCs w:val="24"/>
        </w:rPr>
        <w:t xml:space="preserve">Where </w:t>
      </w:r>
      <m:oMath>
        <m:sSub>
          <m:sSubPr>
            <m:ctrlPr>
              <w:rPr>
                <w:rFonts w:ascii="Cambria Math" w:hAnsi="Cambria Math" w:cs="Times New Roman"/>
                <w:sz w:val="24"/>
                <w:szCs w:val="24"/>
              </w:rPr>
            </m:ctrlPr>
          </m:sSubPr>
          <m:e>
            <m:r>
              <w:rPr>
                <w:rFonts w:ascii="Cambria Math" w:hAnsi="Cambria Math" w:cs="Times New Roman"/>
                <w:sz w:val="24"/>
                <w:szCs w:val="24"/>
              </w:rPr>
              <m:t>ϑ</m:t>
            </m:r>
          </m:e>
          <m:sub>
            <m:r>
              <m:rPr>
                <m:sty m:val="p"/>
              </m:rPr>
              <w:rPr>
                <w:rFonts w:ascii="Cambria Math" w:hAnsi="Cambria Math" w:cs="Times New Roman"/>
                <w:sz w:val="24"/>
                <w:szCs w:val="24"/>
              </w:rPr>
              <m:t>1</m:t>
            </m:r>
          </m:sub>
        </m:sSub>
        <m:r>
          <m:rPr>
            <m:sty m:val="p"/>
          </m:rPr>
          <w:rPr>
            <w:rFonts w:ascii="Cambria Math" w:hAnsi="Cambria Math" w:cs="Times New Roman"/>
            <w:sz w:val="24"/>
            <w:szCs w:val="24"/>
          </w:rPr>
          <m:t>≤</m:t>
        </m:r>
        <m:sSub>
          <m:sSubPr>
            <m:ctrlPr>
              <w:rPr>
                <w:rFonts w:ascii="Cambria Math" w:hAnsi="Cambria Math" w:cs="Times New Roman"/>
                <w:sz w:val="24"/>
                <w:szCs w:val="24"/>
              </w:rPr>
            </m:ctrlPr>
          </m:sSubPr>
          <m:e>
            <m:r>
              <w:rPr>
                <w:rFonts w:ascii="Cambria Math" w:hAnsi="Cambria Math" w:cs="Times New Roman"/>
                <w:sz w:val="24"/>
                <w:szCs w:val="24"/>
              </w:rPr>
              <m:t>ϑ</m:t>
            </m:r>
          </m:e>
          <m:sub>
            <m:r>
              <m:rPr>
                <m:sty m:val="p"/>
              </m:rPr>
              <w:rPr>
                <w:rFonts w:ascii="Cambria Math" w:hAnsi="Cambria Math" w:cs="Times New Roman"/>
                <w:sz w:val="24"/>
                <w:szCs w:val="24"/>
              </w:rPr>
              <m:t>2</m:t>
            </m:r>
          </m:sub>
        </m:sSub>
        <m:r>
          <m:rPr>
            <m:sty m:val="p"/>
          </m:rPr>
          <w:rPr>
            <w:rFonts w:ascii="Cambria Math" w:hAnsi="Cambria Math" w:cs="Times New Roman"/>
            <w:sz w:val="24"/>
            <w:szCs w:val="24"/>
          </w:rPr>
          <m:t>≤…≤</m:t>
        </m:r>
        <m:sSub>
          <m:sSubPr>
            <m:ctrlPr>
              <w:rPr>
                <w:rFonts w:ascii="Cambria Math" w:hAnsi="Cambria Math" w:cs="Times New Roman"/>
                <w:sz w:val="24"/>
                <w:szCs w:val="24"/>
              </w:rPr>
            </m:ctrlPr>
          </m:sSubPr>
          <m:e>
            <m:r>
              <w:rPr>
                <w:rFonts w:ascii="Cambria Math" w:hAnsi="Cambria Math" w:cs="Times New Roman"/>
                <w:sz w:val="24"/>
                <w:szCs w:val="24"/>
              </w:rPr>
              <m:t>ϑ</m:t>
            </m:r>
          </m:e>
          <m:sub>
            <m:r>
              <w:rPr>
                <w:rFonts w:ascii="Cambria Math" w:hAnsi="Cambria Math" w:cs="Times New Roman"/>
                <w:sz w:val="24"/>
                <w:szCs w:val="24"/>
              </w:rPr>
              <m:t>m</m:t>
            </m:r>
          </m:sub>
        </m:sSub>
      </m:oMath>
      <w:r w:rsidRPr="00E378F7">
        <w:rPr>
          <w:rFonts w:ascii="Times New Roman" w:hAnsi="Times New Roman" w:cs="Times New Roman"/>
          <w:sz w:val="24"/>
          <w:szCs w:val="24"/>
        </w:rPr>
        <w:t xml:space="preserve"> and </w:t>
      </w:r>
      <m:oMath>
        <m:r>
          <w:rPr>
            <w:rFonts w:ascii="Cambria Math" w:hAnsi="Cambria Math" w:cs="Times New Roman"/>
            <w:sz w:val="24"/>
            <w:szCs w:val="24"/>
          </w:rPr>
          <m:t>ϑ</m:t>
        </m:r>
        <m:r>
          <m:rPr>
            <m:sty m:val="p"/>
          </m:rPr>
          <w:rPr>
            <w:rFonts w:ascii="Cambria Math" w:hAnsi="Cambria Math" w:cs="Times New Roman"/>
            <w:sz w:val="24"/>
            <w:szCs w:val="24"/>
          </w:rPr>
          <m:t>=(</m:t>
        </m:r>
        <m:sSub>
          <m:sSubPr>
            <m:ctrlPr>
              <w:rPr>
                <w:rFonts w:ascii="Cambria Math" w:hAnsi="Cambria Math" w:cs="Times New Roman"/>
                <w:sz w:val="24"/>
                <w:szCs w:val="24"/>
              </w:rPr>
            </m:ctrlPr>
          </m:sSubPr>
          <m:e>
            <m:r>
              <w:rPr>
                <w:rFonts w:ascii="Cambria Math" w:hAnsi="Cambria Math" w:cs="Times New Roman"/>
                <w:sz w:val="24"/>
                <w:szCs w:val="24"/>
              </w:rPr>
              <m:t>ϑ</m:t>
            </m:r>
          </m:e>
          <m:sub>
            <m:r>
              <m:rPr>
                <m:sty m:val="p"/>
              </m:rPr>
              <w:rPr>
                <w:rFonts w:ascii="Cambria Math" w:hAnsi="Cambria Math" w:cs="Times New Roman"/>
                <w:sz w:val="24"/>
                <w:szCs w:val="24"/>
              </w:rPr>
              <m:t>1</m:t>
            </m:r>
          </m:sub>
        </m:sSub>
        <m:r>
          <m:rPr>
            <m:sty m:val="p"/>
          </m:rPr>
          <w:rPr>
            <w:rFonts w:ascii="Cambria Math" w:hAnsi="Cambria Math" w:cs="Times New Roman"/>
            <w:sz w:val="24"/>
            <w:szCs w:val="24"/>
          </w:rPr>
          <m:t xml:space="preserve">, …, </m:t>
        </m:r>
        <m:sSub>
          <m:sSubPr>
            <m:ctrlPr>
              <w:rPr>
                <w:rFonts w:ascii="Cambria Math" w:hAnsi="Cambria Math" w:cs="Times New Roman"/>
                <w:sz w:val="24"/>
                <w:szCs w:val="24"/>
              </w:rPr>
            </m:ctrlPr>
          </m:sSubPr>
          <m:e>
            <m:r>
              <w:rPr>
                <w:rFonts w:ascii="Cambria Math" w:hAnsi="Cambria Math" w:cs="Times New Roman"/>
                <w:sz w:val="24"/>
                <w:szCs w:val="24"/>
              </w:rPr>
              <m:t>ϑ</m:t>
            </m:r>
          </m:e>
          <m:sub>
            <m:r>
              <w:rPr>
                <w:rFonts w:ascii="Cambria Math" w:hAnsi="Cambria Math" w:cs="Times New Roman"/>
                <w:sz w:val="24"/>
                <w:szCs w:val="24"/>
              </w:rPr>
              <m:t>m</m:t>
            </m:r>
          </m:sub>
        </m:sSub>
        <m:r>
          <m:rPr>
            <m:sty m:val="p"/>
          </m:rPr>
          <w:rPr>
            <w:rFonts w:ascii="Cambria Math" w:hAnsi="Cambria Math" w:cs="Times New Roman"/>
            <w:sz w:val="24"/>
            <w:szCs w:val="24"/>
          </w:rPr>
          <m:t>)'</m:t>
        </m:r>
      </m:oMath>
      <w:r w:rsidRPr="00E378F7">
        <w:rPr>
          <w:rFonts w:ascii="Times New Roman" w:hAnsi="Times New Roman" w:cs="Times New Roman"/>
          <w:sz w:val="24"/>
          <w:szCs w:val="24"/>
        </w:rPr>
        <w:t xml:space="preserve"> is an m-dimensional vector of </w:t>
      </w:r>
      <w:r w:rsidR="00F405FE" w:rsidRPr="00E378F7">
        <w:rPr>
          <w:rFonts w:ascii="Times New Roman" w:hAnsi="Times New Roman" w:cs="Times New Roman"/>
          <w:sz w:val="24"/>
          <w:szCs w:val="24"/>
        </w:rPr>
        <w:t xml:space="preserve">the </w:t>
      </w:r>
      <w:r w:rsidRPr="00E378F7">
        <w:rPr>
          <w:rFonts w:ascii="Times New Roman" w:hAnsi="Times New Roman" w:cs="Times New Roman"/>
          <w:sz w:val="24"/>
          <w:szCs w:val="24"/>
        </w:rPr>
        <w:t xml:space="preserve">threshold parameters. If one assumes that </w:t>
      </w:r>
      <w:r w:rsidR="00F405FE" w:rsidRPr="00E378F7">
        <w:rPr>
          <w:rFonts w:ascii="Times New Roman" w:hAnsi="Times New Roman" w:cs="Times New Roman"/>
          <w:sz w:val="24"/>
          <w:szCs w:val="24"/>
        </w:rPr>
        <w:t xml:space="preserve">the </w:t>
      </w:r>
      <w:r w:rsidRPr="00E378F7">
        <w:rPr>
          <w:rFonts w:ascii="Times New Roman" w:hAnsi="Times New Roman" w:cs="Times New Roman"/>
          <w:sz w:val="24"/>
          <w:szCs w:val="24"/>
        </w:rPr>
        <w:t>financial deepening indicator has only one threshold parameter (</w:t>
      </w:r>
      <m:oMath>
        <m:r>
          <w:rPr>
            <w:rFonts w:ascii="Cambria Math" w:hAnsi="Cambria Math" w:cs="Times New Roman"/>
            <w:sz w:val="24"/>
            <w:szCs w:val="24"/>
          </w:rPr>
          <m:t>m</m:t>
        </m:r>
        <m:r>
          <m:rPr>
            <m:sty m:val="p"/>
          </m:rPr>
          <w:rPr>
            <w:rFonts w:ascii="Cambria Math" w:hAnsi="Cambria Math" w:cs="Times New Roman"/>
            <w:sz w:val="24"/>
            <w:szCs w:val="24"/>
          </w:rPr>
          <m:t>=1)</m:t>
        </m:r>
      </m:oMath>
      <w:r w:rsidRPr="00E378F7">
        <w:rPr>
          <w:rFonts w:ascii="Times New Roman" w:hAnsi="Times New Roman" w:cs="Times New Roman"/>
          <w:sz w:val="24"/>
          <w:szCs w:val="24"/>
        </w:rPr>
        <w:t>, the logistic transition function can be specified as:</w:t>
      </w:r>
    </w:p>
    <w:p w14:paraId="7A072D13" w14:textId="4D63B81A" w:rsidR="00146409" w:rsidRPr="00E378F7" w:rsidRDefault="00146409" w:rsidP="008E4E1C">
      <w:pPr>
        <w:spacing w:line="360" w:lineRule="auto"/>
        <w:ind w:left="-993" w:firstLine="993"/>
        <w:jc w:val="both"/>
        <w:rPr>
          <w:rFonts w:ascii="Times New Roman" w:hAnsi="Times New Roman" w:cs="Times New Roman"/>
          <w:sz w:val="24"/>
          <w:szCs w:val="24"/>
        </w:rPr>
      </w:pPr>
      <m:oMath>
        <m:r>
          <w:rPr>
            <w:rFonts w:ascii="Cambria Math" w:hAnsi="Cambria Math" w:cs="Times New Roman"/>
            <w:sz w:val="24"/>
            <w:szCs w:val="24"/>
          </w:rPr>
          <w:lastRenderedPageBreak/>
          <m:t>θ</m:t>
        </m:r>
        <m:d>
          <m:dPr>
            <m:ctrlPr>
              <w:rPr>
                <w:rFonts w:ascii="Cambria Math" w:hAnsi="Cambria Math" w:cs="Times New Roman"/>
                <w:sz w:val="24"/>
                <w:szCs w:val="24"/>
              </w:rPr>
            </m:ctrlPr>
          </m:dPr>
          <m:e>
            <m:sSub>
              <m:sSubPr>
                <m:ctrlPr>
                  <w:rPr>
                    <w:rFonts w:ascii="Cambria Math" w:hAnsi="Cambria Math" w:cs="Times New Roman"/>
                    <w:sz w:val="24"/>
                    <w:szCs w:val="24"/>
                  </w:rPr>
                </m:ctrlPr>
              </m:sSubPr>
              <m:e>
                <m:r>
                  <w:rPr>
                    <w:rFonts w:ascii="Cambria Math" w:hAnsi="Cambria Math" w:cs="Times New Roman"/>
                    <w:sz w:val="24"/>
                    <w:szCs w:val="24"/>
                  </w:rPr>
                  <m:t>fd</m:t>
                </m:r>
              </m:e>
              <m:sub>
                <m:r>
                  <w:rPr>
                    <w:rFonts w:ascii="Cambria Math" w:hAnsi="Cambria Math" w:cs="Times New Roman"/>
                    <w:sz w:val="24"/>
                    <w:szCs w:val="24"/>
                  </w:rPr>
                  <m:t>i</m:t>
                </m:r>
                <m:r>
                  <m:rPr>
                    <m:sty m:val="p"/>
                  </m:rPr>
                  <w:rPr>
                    <w:rFonts w:ascii="Cambria Math" w:hAnsi="Cambria Math" w:cs="Times New Roman"/>
                    <w:sz w:val="24"/>
                    <w:szCs w:val="24"/>
                  </w:rPr>
                  <m:t>,</m:t>
                </m:r>
                <m:r>
                  <w:rPr>
                    <w:rFonts w:ascii="Cambria Math" w:hAnsi="Cambria Math" w:cs="Times New Roman"/>
                    <w:sz w:val="24"/>
                    <w:szCs w:val="24"/>
                  </w:rPr>
                  <m:t>t</m:t>
                </m:r>
                <m:r>
                  <m:rPr>
                    <m:sty m:val="p"/>
                  </m:rPr>
                  <w:rPr>
                    <w:rFonts w:ascii="Cambria Math" w:hAnsi="Cambria Math" w:cs="Times New Roman"/>
                    <w:sz w:val="24"/>
                    <w:szCs w:val="24"/>
                  </w:rPr>
                  <m:t>-1</m:t>
                </m:r>
              </m:sub>
            </m:sSub>
            <m:r>
              <m:rPr>
                <m:sty m:val="p"/>
              </m:rPr>
              <w:rPr>
                <w:rFonts w:ascii="Cambria Math" w:hAnsi="Cambria Math" w:cs="Times New Roman"/>
                <w:sz w:val="24"/>
                <w:szCs w:val="24"/>
              </w:rPr>
              <m:t xml:space="preserve">; </m:t>
            </m:r>
            <m:r>
              <w:rPr>
                <w:rFonts w:ascii="Cambria Math" w:hAnsi="Cambria Math" w:cs="Times New Roman"/>
                <w:sz w:val="24"/>
                <w:szCs w:val="24"/>
              </w:rPr>
              <m:t>γ</m:t>
            </m:r>
            <m:r>
              <m:rPr>
                <m:sty m:val="p"/>
              </m:rPr>
              <w:rPr>
                <w:rFonts w:ascii="Cambria Math" w:hAnsi="Cambria Math" w:cs="Times New Roman"/>
                <w:sz w:val="24"/>
                <w:szCs w:val="24"/>
              </w:rPr>
              <m:t xml:space="preserve">, </m:t>
            </m:r>
            <m:r>
              <w:rPr>
                <w:rFonts w:ascii="Cambria Math" w:hAnsi="Cambria Math" w:cs="Times New Roman"/>
                <w:sz w:val="24"/>
                <w:szCs w:val="24"/>
              </w:rPr>
              <m:t>ϑ</m:t>
            </m:r>
          </m:e>
        </m:d>
        <m:r>
          <m:rPr>
            <m:sty m:val="p"/>
          </m:rPr>
          <w:rPr>
            <w:rFonts w:ascii="Cambria Math" w:hAnsi="Cambria Math" w:cs="Times New Roman"/>
            <w:sz w:val="24"/>
            <w:szCs w:val="24"/>
          </w:rPr>
          <m:t>=</m:t>
        </m:r>
        <m:f>
          <m:fPr>
            <m:ctrlPr>
              <w:rPr>
                <w:rFonts w:ascii="Cambria Math" w:hAnsi="Cambria Math" w:cs="Times New Roman"/>
                <w:sz w:val="24"/>
                <w:szCs w:val="24"/>
              </w:rPr>
            </m:ctrlPr>
          </m:fPr>
          <m:num>
            <m:r>
              <m:rPr>
                <m:sty m:val="p"/>
              </m:rPr>
              <w:rPr>
                <w:rFonts w:ascii="Cambria Math" w:hAnsi="Cambria Math" w:cs="Times New Roman"/>
                <w:sz w:val="24"/>
                <w:szCs w:val="24"/>
              </w:rPr>
              <m:t>1</m:t>
            </m:r>
          </m:num>
          <m:den>
            <m:d>
              <m:dPr>
                <m:ctrlPr>
                  <w:rPr>
                    <w:rFonts w:ascii="Cambria Math" w:hAnsi="Cambria Math" w:cs="Times New Roman"/>
                    <w:sz w:val="24"/>
                    <w:szCs w:val="24"/>
                  </w:rPr>
                </m:ctrlPr>
              </m:dPr>
              <m:e>
                <m:r>
                  <m:rPr>
                    <m:sty m:val="p"/>
                  </m:rPr>
                  <w:rPr>
                    <w:rFonts w:ascii="Cambria Math" w:hAnsi="Cambria Math" w:cs="Times New Roman"/>
                    <w:sz w:val="24"/>
                    <w:szCs w:val="24"/>
                  </w:rPr>
                  <m:t>1+</m:t>
                </m:r>
                <m:r>
                  <w:rPr>
                    <w:rFonts w:ascii="Cambria Math" w:hAnsi="Cambria Math" w:cs="Times New Roman"/>
                    <w:sz w:val="24"/>
                    <w:szCs w:val="24"/>
                  </w:rPr>
                  <m:t>exp</m:t>
                </m:r>
                <m:d>
                  <m:dPr>
                    <m:ctrlPr>
                      <w:rPr>
                        <w:rFonts w:ascii="Cambria Math" w:hAnsi="Cambria Math" w:cs="Times New Roman"/>
                        <w:sz w:val="24"/>
                        <w:szCs w:val="24"/>
                      </w:rPr>
                    </m:ctrlPr>
                  </m:dPr>
                  <m:e>
                    <m:r>
                      <m:rPr>
                        <m:sty m:val="p"/>
                      </m:rPr>
                      <w:rPr>
                        <w:rFonts w:ascii="Cambria Math" w:hAnsi="Cambria Math" w:cs="Times New Roman"/>
                        <w:sz w:val="24"/>
                        <w:szCs w:val="24"/>
                      </w:rPr>
                      <m:t>-</m:t>
                    </m:r>
                    <m:r>
                      <w:rPr>
                        <w:rFonts w:ascii="Cambria Math" w:hAnsi="Cambria Math" w:cs="Times New Roman"/>
                        <w:sz w:val="24"/>
                        <w:szCs w:val="24"/>
                      </w:rPr>
                      <m:t>γ</m:t>
                    </m:r>
                    <m:d>
                      <m:dPr>
                        <m:ctrlPr>
                          <w:rPr>
                            <w:rFonts w:ascii="Cambria Math" w:hAnsi="Cambria Math" w:cs="Times New Roman"/>
                            <w:sz w:val="24"/>
                            <w:szCs w:val="24"/>
                          </w:rPr>
                        </m:ctrlPr>
                      </m:dPr>
                      <m:e>
                        <m:sSub>
                          <m:sSubPr>
                            <m:ctrlPr>
                              <w:rPr>
                                <w:rFonts w:ascii="Cambria Math" w:hAnsi="Cambria Math" w:cs="Times New Roman"/>
                                <w:sz w:val="24"/>
                                <w:szCs w:val="24"/>
                              </w:rPr>
                            </m:ctrlPr>
                          </m:sSubPr>
                          <m:e>
                            <m:r>
                              <w:rPr>
                                <w:rFonts w:ascii="Cambria Math" w:hAnsi="Cambria Math" w:cs="Times New Roman"/>
                                <w:sz w:val="24"/>
                                <w:szCs w:val="24"/>
                              </w:rPr>
                              <m:t>fd</m:t>
                            </m:r>
                          </m:e>
                          <m:sub>
                            <m:r>
                              <w:rPr>
                                <w:rFonts w:ascii="Cambria Math" w:hAnsi="Cambria Math" w:cs="Times New Roman"/>
                                <w:sz w:val="24"/>
                                <w:szCs w:val="24"/>
                              </w:rPr>
                              <m:t>i</m:t>
                            </m:r>
                            <m:r>
                              <m:rPr>
                                <m:sty m:val="p"/>
                              </m:rPr>
                              <w:rPr>
                                <w:rFonts w:ascii="Cambria Math" w:hAnsi="Cambria Math" w:cs="Times New Roman"/>
                                <w:sz w:val="24"/>
                                <w:szCs w:val="24"/>
                              </w:rPr>
                              <m:t>,</m:t>
                            </m:r>
                            <m:r>
                              <w:rPr>
                                <w:rFonts w:ascii="Cambria Math" w:hAnsi="Cambria Math" w:cs="Times New Roman"/>
                                <w:sz w:val="24"/>
                                <w:szCs w:val="24"/>
                              </w:rPr>
                              <m:t>t</m:t>
                            </m:r>
                            <m:r>
                              <m:rPr>
                                <m:sty m:val="p"/>
                              </m:rPr>
                              <w:rPr>
                                <w:rFonts w:ascii="Cambria Math" w:hAnsi="Cambria Math" w:cs="Times New Roman"/>
                                <w:sz w:val="24"/>
                                <w:szCs w:val="24"/>
                              </w:rPr>
                              <m:t>-1</m:t>
                            </m:r>
                          </m:sub>
                        </m:sSub>
                        <m:r>
                          <m:rPr>
                            <m:sty m:val="p"/>
                          </m:rPr>
                          <w:rPr>
                            <w:rFonts w:ascii="Cambria Math" w:hAnsi="Cambria Math" w:cs="Times New Roman"/>
                            <w:sz w:val="24"/>
                            <w:szCs w:val="24"/>
                          </w:rPr>
                          <m:t>-</m:t>
                        </m:r>
                        <m:r>
                          <w:rPr>
                            <w:rFonts w:ascii="Cambria Math" w:hAnsi="Cambria Math" w:cs="Times New Roman"/>
                            <w:sz w:val="24"/>
                            <w:szCs w:val="24"/>
                          </w:rPr>
                          <m:t>ϑ</m:t>
                        </m:r>
                      </m:e>
                    </m:d>
                  </m:e>
                </m:d>
              </m:e>
            </m:d>
          </m:den>
        </m:f>
      </m:oMath>
      <w:r w:rsidRPr="00E378F7">
        <w:rPr>
          <w:rFonts w:ascii="Times New Roman" w:hAnsi="Times New Roman" w:cs="Times New Roman"/>
          <w:sz w:val="24"/>
          <w:szCs w:val="24"/>
        </w:rPr>
        <w:t xml:space="preserve">, </w:t>
      </w:r>
      <m:oMath>
        <m:r>
          <w:rPr>
            <w:rFonts w:ascii="Cambria Math" w:hAnsi="Cambria Math" w:cs="Times New Roman"/>
            <w:sz w:val="24"/>
            <w:szCs w:val="24"/>
          </w:rPr>
          <m:t>γ</m:t>
        </m:r>
        <m:r>
          <m:rPr>
            <m:sty m:val="p"/>
          </m:rPr>
          <w:rPr>
            <w:rFonts w:ascii="Cambria Math" w:hAnsi="Cambria Math" w:cs="Times New Roman"/>
            <w:sz w:val="24"/>
            <w:szCs w:val="24"/>
          </w:rPr>
          <m:t>&gt;0</m:t>
        </m:r>
      </m:oMath>
      <w:r w:rsidRPr="00E378F7">
        <w:rPr>
          <w:rFonts w:ascii="Times New Roman" w:hAnsi="Times New Roman" w:cs="Times New Roman"/>
          <w:sz w:val="24"/>
          <w:szCs w:val="24"/>
        </w:rPr>
        <w:tab/>
      </w:r>
      <w:r w:rsidRPr="00E378F7">
        <w:rPr>
          <w:rFonts w:ascii="Times New Roman" w:hAnsi="Times New Roman" w:cs="Times New Roman"/>
          <w:sz w:val="24"/>
          <w:szCs w:val="24"/>
        </w:rPr>
        <w:tab/>
      </w:r>
      <w:r w:rsidRPr="00E378F7">
        <w:rPr>
          <w:rFonts w:ascii="Times New Roman" w:hAnsi="Times New Roman" w:cs="Times New Roman"/>
          <w:sz w:val="24"/>
          <w:szCs w:val="24"/>
        </w:rPr>
        <w:tab/>
        <w:t>(3.5)</w:t>
      </w:r>
    </w:p>
    <w:p w14:paraId="00593781" w14:textId="59872151" w:rsidR="00146409" w:rsidRPr="00E378F7" w:rsidRDefault="00146409" w:rsidP="008E4E1C">
      <w:pPr>
        <w:spacing w:line="360" w:lineRule="auto"/>
        <w:ind w:left="-851"/>
        <w:jc w:val="both"/>
        <w:rPr>
          <w:rFonts w:ascii="Times New Roman" w:hAnsi="Times New Roman" w:cs="Times New Roman"/>
          <w:sz w:val="24"/>
          <w:szCs w:val="24"/>
        </w:rPr>
      </w:pPr>
      <w:r w:rsidRPr="00E378F7">
        <w:rPr>
          <w:rFonts w:ascii="Times New Roman" w:hAnsi="Times New Roman" w:cs="Times New Roman"/>
          <w:sz w:val="24"/>
          <w:szCs w:val="24"/>
        </w:rPr>
        <w:t>In general, the empirical estimation of the PSTR model follows three (3) steps</w:t>
      </w:r>
      <w:r w:rsidR="00F405FE" w:rsidRPr="00E378F7">
        <w:rPr>
          <w:rFonts w:ascii="Times New Roman" w:hAnsi="Times New Roman" w:cs="Times New Roman"/>
          <w:sz w:val="24"/>
          <w:szCs w:val="24"/>
        </w:rPr>
        <w:t>: (</w:t>
      </w:r>
      <w:r w:rsidRPr="00E378F7">
        <w:rPr>
          <w:rFonts w:ascii="Times New Roman" w:hAnsi="Times New Roman" w:cs="Times New Roman"/>
          <w:sz w:val="24"/>
          <w:szCs w:val="24"/>
        </w:rPr>
        <w:t xml:space="preserve">i) testing for linearity against the PSTR model; (ii) estimation of the parameters; and (iii) testing for the number of transition functions. The test for the existence of a nonlinear relationship between financial deepening and TFP growth is explored by testing the null hypothesis of linearity </w:t>
      </w:r>
      <m:oMath>
        <m:d>
          <m:dPr>
            <m:ctrlPr>
              <w:rPr>
                <w:rFonts w:ascii="Cambria Math" w:hAnsi="Cambria Math" w:cs="Times New Roman"/>
                <w:i/>
                <w:sz w:val="24"/>
                <w:szCs w:val="24"/>
              </w:rPr>
            </m:ctrlPr>
          </m:dPr>
          <m:e>
            <m:r>
              <w:rPr>
                <w:rFonts w:ascii="Cambria Math" w:hAnsi="Cambria Math" w:cs="Times New Roman"/>
                <w:sz w:val="24"/>
                <w:szCs w:val="24"/>
              </w:rPr>
              <m:t>r=0</m:t>
            </m:r>
          </m:e>
        </m:d>
      </m:oMath>
      <w:r w:rsidRPr="00E378F7">
        <w:rPr>
          <w:rFonts w:ascii="Times New Roman" w:eastAsiaTheme="minorEastAsia" w:hAnsi="Times New Roman" w:cs="Times New Roman"/>
          <w:sz w:val="24"/>
          <w:szCs w:val="24"/>
        </w:rPr>
        <w:t xml:space="preserve"> </w:t>
      </w:r>
      <w:r w:rsidRPr="00E378F7">
        <w:rPr>
          <w:rFonts w:ascii="Times New Roman" w:hAnsi="Times New Roman" w:cs="Times New Roman"/>
          <w:sz w:val="24"/>
          <w:szCs w:val="24"/>
        </w:rPr>
        <w:t xml:space="preserve">against the alternative of the PSTR model </w:t>
      </w:r>
      <m:oMath>
        <m:d>
          <m:dPr>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H</m:t>
                </m:r>
              </m:e>
              <m:sub>
                <m:r>
                  <w:rPr>
                    <w:rFonts w:ascii="Cambria Math" w:hAnsi="Cambria Math" w:cs="Times New Roman"/>
                    <w:sz w:val="24"/>
                    <w:szCs w:val="24"/>
                  </w:rPr>
                  <m:t>0</m:t>
                </m:r>
              </m:sub>
            </m:sSub>
            <m:r>
              <w:rPr>
                <w:rFonts w:ascii="Cambria Math" w:hAnsi="Cambria Math" w:cs="Times New Roman"/>
                <w:sz w:val="24"/>
                <w:szCs w:val="24"/>
              </w:rPr>
              <m:t>:r=1</m:t>
            </m:r>
          </m:e>
        </m:d>
      </m:oMath>
      <w:r w:rsidR="00F405FE" w:rsidRPr="00E378F7">
        <w:rPr>
          <w:rFonts w:ascii="Times New Roman" w:eastAsiaTheme="minorEastAsia" w:hAnsi="Times New Roman" w:cs="Times New Roman"/>
          <w:sz w:val="24"/>
          <w:szCs w:val="24"/>
        </w:rPr>
        <w:t>,</w:t>
      </w:r>
      <w:r w:rsidRPr="00E378F7">
        <w:rPr>
          <w:rFonts w:ascii="Times New Roman" w:eastAsiaTheme="minorEastAsia" w:hAnsi="Times New Roman" w:cs="Times New Roman"/>
          <w:sz w:val="24"/>
          <w:szCs w:val="24"/>
        </w:rPr>
        <w:t xml:space="preserve"> </w:t>
      </w:r>
      <w:r w:rsidRPr="00E378F7">
        <w:rPr>
          <w:rFonts w:ascii="Times New Roman" w:hAnsi="Times New Roman" w:cs="Times New Roman"/>
          <w:sz w:val="24"/>
          <w:szCs w:val="24"/>
        </w:rPr>
        <w:t>as specified in equation (3.2). Suppose equation (3.2) is reformulated as follows:</w:t>
      </w:r>
    </w:p>
    <w:p w14:paraId="79B2FE3E" w14:textId="18B8A587" w:rsidR="00146409" w:rsidRPr="00E378F7" w:rsidRDefault="007835DC" w:rsidP="008E4E1C">
      <w:pPr>
        <w:spacing w:line="360" w:lineRule="auto"/>
        <w:ind w:left="-851"/>
        <w:jc w:val="both"/>
        <w:rPr>
          <w:rFonts w:ascii="Times New Roman" w:hAnsi="Times New Roman" w:cs="Times New Roman"/>
          <w:sz w:val="24"/>
          <w:szCs w:val="24"/>
        </w:rPr>
      </w:pPr>
      <m:oMath>
        <m:sSub>
          <m:sSubPr>
            <m:ctrlPr>
              <w:rPr>
                <w:rFonts w:ascii="Cambria Math" w:hAnsi="Cambria Math" w:cs="Times New Roman"/>
                <w:sz w:val="24"/>
                <w:szCs w:val="24"/>
              </w:rPr>
            </m:ctrlPr>
          </m:sSubPr>
          <m:e>
            <m:r>
              <w:rPr>
                <w:rFonts w:ascii="Cambria Math" w:hAnsi="Cambria Math" w:cs="Times New Roman"/>
                <w:sz w:val="24"/>
                <w:szCs w:val="24"/>
              </w:rPr>
              <m:t xml:space="preserve">                              g</m:t>
            </m:r>
          </m:e>
          <m:sub>
            <m:r>
              <w:rPr>
                <w:rFonts w:ascii="Cambria Math" w:hAnsi="Cambria Math" w:cs="Times New Roman"/>
                <w:sz w:val="24"/>
                <w:szCs w:val="24"/>
              </w:rPr>
              <m:t>it</m:t>
            </m:r>
          </m:sub>
        </m:sSub>
        <m:r>
          <m:rPr>
            <m:sty m:val="p"/>
          </m:rPr>
          <w:rPr>
            <w:rFonts w:ascii="Cambria Math" w:hAnsi="Cambria Math" w:cs="Times New Roman"/>
            <w:sz w:val="24"/>
            <w:szCs w:val="24"/>
          </w:rPr>
          <m:t>=</m:t>
        </m:r>
        <m:sSub>
          <m:sSubPr>
            <m:ctrlPr>
              <w:rPr>
                <w:rFonts w:ascii="Cambria Math" w:hAnsi="Cambria Math" w:cs="Times New Roman"/>
                <w:sz w:val="24"/>
                <w:szCs w:val="24"/>
              </w:rPr>
            </m:ctrlPr>
          </m:sSubPr>
          <m:e>
            <m:r>
              <w:rPr>
                <w:rFonts w:ascii="Cambria Math" w:hAnsi="Cambria Math" w:cs="Times New Roman"/>
                <w:sz w:val="24"/>
                <w:szCs w:val="24"/>
              </w:rPr>
              <m:t>δ</m:t>
            </m:r>
          </m:e>
          <m:sub>
            <m:r>
              <w:rPr>
                <w:rFonts w:ascii="Cambria Math" w:hAnsi="Cambria Math" w:cs="Times New Roman"/>
                <w:sz w:val="24"/>
                <w:szCs w:val="24"/>
              </w:rPr>
              <m:t>i</m:t>
            </m:r>
          </m:sub>
        </m:sSub>
        <m:r>
          <w:rPr>
            <w:rFonts w:ascii="Cambria Math" w:hAnsi="Cambria Math" w:cs="Times New Roman"/>
            <w:sz w:val="24"/>
            <w:szCs w:val="24"/>
          </w:rPr>
          <m:t>+</m:t>
        </m:r>
        <m:sSubSup>
          <m:sSubSupPr>
            <m:ctrlPr>
              <w:rPr>
                <w:rFonts w:ascii="Cambria Math" w:hAnsi="Cambria Math" w:cs="Times New Roman"/>
                <w:i/>
                <w:sz w:val="24"/>
                <w:szCs w:val="24"/>
              </w:rPr>
            </m:ctrlPr>
          </m:sSubSupPr>
          <m:e>
            <m:r>
              <w:rPr>
                <w:rFonts w:ascii="Cambria Math" w:hAnsi="Cambria Math" w:cs="Times New Roman"/>
                <w:sz w:val="24"/>
                <w:szCs w:val="24"/>
              </w:rPr>
              <m:t>β</m:t>
            </m:r>
          </m:e>
          <m:sub>
            <m:r>
              <w:rPr>
                <w:rFonts w:ascii="Cambria Math" w:hAnsi="Cambria Math" w:cs="Times New Roman"/>
                <w:sz w:val="24"/>
                <w:szCs w:val="24"/>
              </w:rPr>
              <m:t>0</m:t>
            </m:r>
          </m:sub>
          <m:sup>
            <m:r>
              <w:rPr>
                <w:rFonts w:ascii="Cambria Math" w:hAnsi="Cambria Math" w:cs="Times New Roman"/>
                <w:sz w:val="24"/>
                <w:szCs w:val="24"/>
              </w:rPr>
              <m:t>'</m:t>
            </m:r>
          </m:sup>
        </m:sSubSup>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it</m:t>
            </m:r>
          </m:sub>
        </m:sSub>
        <m:sSub>
          <m:sSubPr>
            <m:ctrlPr>
              <w:rPr>
                <w:rFonts w:ascii="Cambria Math" w:hAnsi="Cambria Math" w:cs="Times New Roman"/>
                <w:sz w:val="24"/>
                <w:szCs w:val="24"/>
              </w:rPr>
            </m:ctrlPr>
          </m:sSubPr>
          <m:e>
            <m:r>
              <m:rPr>
                <m:sty m:val="p"/>
              </m:rPr>
              <w:rPr>
                <w:rFonts w:ascii="Cambria Math" w:hAnsi="Cambria Math" w:cs="Times New Roman"/>
                <w:sz w:val="24"/>
                <w:szCs w:val="24"/>
              </w:rPr>
              <m:t>+</m:t>
            </m:r>
            <m:sSubSup>
              <m:sSubSupPr>
                <m:ctrlPr>
                  <w:rPr>
                    <w:rFonts w:ascii="Cambria Math" w:hAnsi="Cambria Math" w:cs="Times New Roman"/>
                    <w:sz w:val="24"/>
                    <w:szCs w:val="24"/>
                  </w:rPr>
                </m:ctrlPr>
              </m:sSubSupPr>
              <m:e>
                <m:r>
                  <w:rPr>
                    <w:rFonts w:ascii="Cambria Math" w:hAnsi="Cambria Math" w:cs="Times New Roman"/>
                    <w:sz w:val="24"/>
                    <w:szCs w:val="24"/>
                  </w:rPr>
                  <m:t>β</m:t>
                </m:r>
              </m:e>
              <m:sub>
                <m:r>
                  <w:rPr>
                    <w:rFonts w:ascii="Cambria Math" w:hAnsi="Cambria Math" w:cs="Times New Roman"/>
                    <w:sz w:val="24"/>
                    <w:szCs w:val="24"/>
                  </w:rPr>
                  <m:t>1</m:t>
                </m:r>
              </m:sub>
              <m:sup>
                <m:r>
                  <w:rPr>
                    <w:rFonts w:ascii="Cambria Math" w:hAnsi="Cambria Math" w:cs="Times New Roman"/>
                    <w:sz w:val="24"/>
                    <w:szCs w:val="24"/>
                  </w:rPr>
                  <m:t>'</m:t>
                </m:r>
              </m:sup>
            </m:sSubSup>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it</m:t>
                </m:r>
              </m:sub>
            </m:sSub>
            <m:r>
              <w:rPr>
                <w:rFonts w:ascii="Cambria Math" w:hAnsi="Cambria Math" w:cs="Times New Roman"/>
                <w:sz w:val="24"/>
                <w:szCs w:val="24"/>
              </w:rPr>
              <m:t>θ</m:t>
            </m:r>
            <m:d>
              <m:dPr>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fd</m:t>
                    </m:r>
                  </m:e>
                  <m:sub>
                    <m:r>
                      <w:rPr>
                        <w:rFonts w:ascii="Cambria Math" w:hAnsi="Cambria Math" w:cs="Times New Roman"/>
                        <w:sz w:val="24"/>
                        <w:szCs w:val="24"/>
                      </w:rPr>
                      <m:t>i,t-1</m:t>
                    </m:r>
                  </m:sub>
                </m:sSub>
                <m:r>
                  <w:rPr>
                    <w:rFonts w:ascii="Cambria Math" w:hAnsi="Cambria Math" w:cs="Times New Roman"/>
                    <w:sz w:val="24"/>
                    <w:szCs w:val="24"/>
                  </w:rPr>
                  <m:t>;γ,ϑ</m:t>
                </m:r>
              </m:e>
            </m:d>
            <m:r>
              <w:rPr>
                <w:rFonts w:ascii="Cambria Math" w:hAnsi="Cambria Math" w:cs="Times New Roman"/>
                <w:sz w:val="24"/>
                <w:szCs w:val="24"/>
              </w:rPr>
              <m:t>+ε</m:t>
            </m:r>
          </m:e>
          <m:sub>
            <m:r>
              <w:rPr>
                <w:rFonts w:ascii="Cambria Math" w:hAnsi="Cambria Math" w:cs="Times New Roman"/>
                <w:sz w:val="24"/>
                <w:szCs w:val="24"/>
              </w:rPr>
              <m:t>it</m:t>
            </m:r>
          </m:sub>
        </m:sSub>
      </m:oMath>
      <w:r w:rsidR="00146409" w:rsidRPr="00E378F7">
        <w:rPr>
          <w:rFonts w:ascii="Times New Roman" w:hAnsi="Times New Roman" w:cs="Times New Roman"/>
          <w:sz w:val="24"/>
          <w:szCs w:val="24"/>
        </w:rPr>
        <w:tab/>
      </w:r>
      <w:r w:rsidR="00146409" w:rsidRPr="00E378F7">
        <w:rPr>
          <w:rFonts w:ascii="Times New Roman" w:hAnsi="Times New Roman" w:cs="Times New Roman"/>
          <w:sz w:val="24"/>
          <w:szCs w:val="24"/>
        </w:rPr>
        <w:tab/>
      </w:r>
      <w:r w:rsidR="00146409" w:rsidRPr="00E378F7">
        <w:rPr>
          <w:rFonts w:ascii="Times New Roman" w:hAnsi="Times New Roman" w:cs="Times New Roman"/>
          <w:sz w:val="24"/>
          <w:szCs w:val="24"/>
        </w:rPr>
        <w:tab/>
      </w:r>
      <w:r w:rsidR="00F405FE" w:rsidRPr="00E378F7" w:rsidDel="00F405FE">
        <w:rPr>
          <w:rFonts w:ascii="Times New Roman" w:hAnsi="Times New Roman" w:cs="Times New Roman"/>
          <w:sz w:val="24"/>
          <w:szCs w:val="24"/>
        </w:rPr>
        <w:t xml:space="preserve"> </w:t>
      </w:r>
      <w:r w:rsidR="00146409" w:rsidRPr="00E378F7">
        <w:rPr>
          <w:rFonts w:ascii="Times New Roman" w:hAnsi="Times New Roman" w:cs="Times New Roman"/>
          <w:sz w:val="24"/>
          <w:szCs w:val="24"/>
        </w:rPr>
        <w:t>(3.6)</w:t>
      </w:r>
    </w:p>
    <w:p w14:paraId="62D07B12" w14:textId="27766AB1" w:rsidR="00146409" w:rsidRPr="00E378F7" w:rsidRDefault="007835DC" w:rsidP="008E4E1C">
      <w:pPr>
        <w:spacing w:line="360" w:lineRule="auto"/>
        <w:jc w:val="both"/>
        <w:rPr>
          <w:rFonts w:ascii="Times New Roman"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it</m:t>
            </m:r>
          </m:sub>
        </m:sSub>
      </m:oMath>
      <w:r w:rsidR="00146409" w:rsidRPr="00E378F7">
        <w:rPr>
          <w:rFonts w:ascii="Times New Roman" w:eastAsiaTheme="minorEastAsia" w:hAnsi="Times New Roman" w:cs="Times New Roman"/>
          <w:sz w:val="24"/>
          <w:szCs w:val="24"/>
        </w:rPr>
        <w:t xml:space="preserve"> is a vector of one period lag of financial depth</w:t>
      </w:r>
      <w:r w:rsidR="00F405FE" w:rsidRPr="00E378F7">
        <w:rPr>
          <w:rFonts w:ascii="Times New Roman" w:eastAsiaTheme="minorEastAsia" w:hAnsi="Times New Roman" w:cs="Times New Roman"/>
          <w:sz w:val="24"/>
          <w:szCs w:val="24"/>
        </w:rPr>
        <w:t>,</w:t>
      </w:r>
      <w:r w:rsidR="00146409" w:rsidRPr="00E378F7">
        <w:rPr>
          <w:rFonts w:ascii="Times New Roman" w:eastAsiaTheme="minorEastAsia" w:hAnsi="Times New Roman" w:cs="Times New Roman"/>
          <w:sz w:val="24"/>
          <w:szCs w:val="24"/>
        </w:rPr>
        <w:t xml:space="preserve"> and all other </w:t>
      </w:r>
      <w:r w:rsidR="00F405FE" w:rsidRPr="00E378F7">
        <w:rPr>
          <w:rFonts w:ascii="Times New Roman" w:eastAsiaTheme="minorEastAsia" w:hAnsi="Times New Roman" w:cs="Times New Roman"/>
          <w:sz w:val="24"/>
          <w:szCs w:val="24"/>
        </w:rPr>
        <w:t xml:space="preserve">are </w:t>
      </w:r>
      <w:r w:rsidR="00146409" w:rsidRPr="00E378F7">
        <w:rPr>
          <w:rFonts w:ascii="Times New Roman" w:eastAsiaTheme="minorEastAsia" w:hAnsi="Times New Roman" w:cs="Times New Roman"/>
          <w:sz w:val="24"/>
          <w:szCs w:val="24"/>
        </w:rPr>
        <w:t xml:space="preserve">control variables. </w:t>
      </w:r>
      <w:r w:rsidR="00146409" w:rsidRPr="00E378F7">
        <w:rPr>
          <w:rFonts w:ascii="Times New Roman" w:hAnsi="Times New Roman" w:cs="Times New Roman"/>
          <w:sz w:val="24"/>
          <w:szCs w:val="24"/>
        </w:rPr>
        <w:t xml:space="preserve">In line with Gonzalez et al. (2005), the test for nonlinearity is obtained by replacing the transition function </w:t>
      </w:r>
      <m:oMath>
        <m:r>
          <w:rPr>
            <w:rFonts w:ascii="Cambria Math" w:hAnsi="Cambria Math" w:cs="Times New Roman"/>
            <w:sz w:val="24"/>
            <w:szCs w:val="24"/>
          </w:rPr>
          <m:t>θ</m:t>
        </m:r>
        <m:d>
          <m:dPr>
            <m:ctrlPr>
              <w:rPr>
                <w:rFonts w:ascii="Cambria Math" w:hAnsi="Cambria Math" w:cs="Times New Roman"/>
                <w:sz w:val="24"/>
                <w:szCs w:val="24"/>
              </w:rPr>
            </m:ctrlPr>
          </m:dPr>
          <m:e>
            <m:sSub>
              <m:sSubPr>
                <m:ctrlPr>
                  <w:rPr>
                    <w:rFonts w:ascii="Cambria Math" w:hAnsi="Cambria Math" w:cs="Times New Roman"/>
                    <w:sz w:val="24"/>
                    <w:szCs w:val="24"/>
                  </w:rPr>
                </m:ctrlPr>
              </m:sSubPr>
              <m:e>
                <m:r>
                  <w:rPr>
                    <w:rFonts w:ascii="Cambria Math" w:hAnsi="Cambria Math" w:cs="Times New Roman"/>
                    <w:sz w:val="24"/>
                    <w:szCs w:val="24"/>
                  </w:rPr>
                  <m:t>fd</m:t>
                </m:r>
              </m:e>
              <m:sub>
                <m:r>
                  <w:rPr>
                    <w:rFonts w:ascii="Cambria Math" w:hAnsi="Cambria Math" w:cs="Times New Roman"/>
                    <w:sz w:val="24"/>
                    <w:szCs w:val="24"/>
                  </w:rPr>
                  <m:t>i</m:t>
                </m:r>
                <m:r>
                  <m:rPr>
                    <m:sty m:val="p"/>
                  </m:rPr>
                  <w:rPr>
                    <w:rFonts w:ascii="Cambria Math" w:hAnsi="Cambria Math" w:cs="Times New Roman"/>
                    <w:sz w:val="24"/>
                    <w:szCs w:val="24"/>
                  </w:rPr>
                  <m:t>,</m:t>
                </m:r>
                <m:r>
                  <w:rPr>
                    <w:rFonts w:ascii="Cambria Math" w:hAnsi="Cambria Math" w:cs="Times New Roman"/>
                    <w:sz w:val="24"/>
                    <w:szCs w:val="24"/>
                  </w:rPr>
                  <m:t>t</m:t>
                </m:r>
                <m:r>
                  <m:rPr>
                    <m:sty m:val="p"/>
                  </m:rPr>
                  <w:rPr>
                    <w:rFonts w:ascii="Cambria Math" w:hAnsi="Cambria Math" w:cs="Times New Roman"/>
                    <w:sz w:val="24"/>
                    <w:szCs w:val="24"/>
                  </w:rPr>
                  <m:t>-1</m:t>
                </m:r>
              </m:sub>
            </m:sSub>
            <m:r>
              <m:rPr>
                <m:sty m:val="p"/>
              </m:rPr>
              <w:rPr>
                <w:rFonts w:ascii="Cambria Math" w:hAnsi="Cambria Math" w:cs="Times New Roman"/>
                <w:sz w:val="24"/>
                <w:szCs w:val="24"/>
              </w:rPr>
              <m:t xml:space="preserve">; </m:t>
            </m:r>
            <m:r>
              <w:rPr>
                <w:rFonts w:ascii="Cambria Math" w:hAnsi="Cambria Math" w:cs="Times New Roman"/>
                <w:sz w:val="24"/>
                <w:szCs w:val="24"/>
              </w:rPr>
              <m:t>γ</m:t>
            </m:r>
            <m:r>
              <m:rPr>
                <m:sty m:val="p"/>
              </m:rPr>
              <w:rPr>
                <w:rFonts w:ascii="Cambria Math" w:hAnsi="Cambria Math" w:cs="Times New Roman"/>
                <w:sz w:val="24"/>
                <w:szCs w:val="24"/>
              </w:rPr>
              <m:t xml:space="preserve">, </m:t>
            </m:r>
            <m:r>
              <w:rPr>
                <w:rFonts w:ascii="Cambria Math" w:hAnsi="Cambria Math" w:cs="Times New Roman"/>
                <w:sz w:val="24"/>
                <w:szCs w:val="24"/>
              </w:rPr>
              <m:t>ϑ</m:t>
            </m:r>
          </m:e>
        </m:d>
        <m:r>
          <w:rPr>
            <w:rFonts w:ascii="Cambria Math" w:hAnsi="Cambria Math" w:cs="Times New Roman"/>
            <w:sz w:val="24"/>
            <w:szCs w:val="24"/>
          </w:rPr>
          <m:t xml:space="preserve"> </m:t>
        </m:r>
      </m:oMath>
      <w:r w:rsidR="00146409" w:rsidRPr="00E378F7">
        <w:rPr>
          <w:rFonts w:ascii="Times New Roman" w:hAnsi="Times New Roman" w:cs="Times New Roman"/>
          <w:sz w:val="24"/>
          <w:szCs w:val="24"/>
        </w:rPr>
        <w:t xml:space="preserve">in equation (6) with a first-order Taylor expansion around </w:t>
      </w:r>
      <m:oMath>
        <m:r>
          <w:rPr>
            <w:rFonts w:ascii="Cambria Math" w:hAnsi="Cambria Math" w:cs="Times New Roman"/>
            <w:sz w:val="24"/>
            <w:szCs w:val="24"/>
          </w:rPr>
          <m:t>(γ=0)</m:t>
        </m:r>
      </m:oMath>
      <w:r w:rsidR="00146409" w:rsidRPr="00E378F7">
        <w:rPr>
          <w:rFonts w:ascii="Times New Roman" w:hAnsi="Times New Roman" w:cs="Times New Roman"/>
          <w:sz w:val="24"/>
          <w:szCs w:val="24"/>
        </w:rPr>
        <w:t xml:space="preserve"> to obtain an auxiliary regression as equation 3.7</w:t>
      </w:r>
      <w:r w:rsidR="00A64D6E" w:rsidRPr="00E378F7">
        <w:rPr>
          <w:rFonts w:ascii="Times New Roman" w:hAnsi="Times New Roman" w:cs="Times New Roman"/>
          <w:sz w:val="24"/>
          <w:szCs w:val="24"/>
        </w:rPr>
        <w:t>.</w:t>
      </w:r>
    </w:p>
    <w:p w14:paraId="730E5500" w14:textId="7EB2EC2E" w:rsidR="00146409" w:rsidRPr="00E378F7" w:rsidRDefault="007835DC" w:rsidP="008E4E1C">
      <w:pPr>
        <w:spacing w:line="360" w:lineRule="auto"/>
        <w:jc w:val="both"/>
        <w:rPr>
          <w:rFonts w:ascii="Times New Roman" w:hAnsi="Times New Roman"/>
          <w:sz w:val="24"/>
          <w:szCs w:val="24"/>
        </w:rPr>
      </w:pPr>
      <m:oMath>
        <m:sSub>
          <m:sSubPr>
            <m:ctrlPr>
              <w:rPr>
                <w:rFonts w:ascii="Cambria Math" w:hAnsi="Cambria Math"/>
                <w:sz w:val="24"/>
                <w:szCs w:val="24"/>
              </w:rPr>
            </m:ctrlPr>
          </m:sSubPr>
          <m:e>
            <m:r>
              <m:rPr>
                <m:sty m:val="p"/>
              </m:rPr>
              <w:rPr>
                <w:rFonts w:ascii="Cambria Math" w:hAnsi="Cambria Math"/>
                <w:sz w:val="24"/>
                <w:szCs w:val="24"/>
              </w:rPr>
              <m:t xml:space="preserve"> </m:t>
            </m:r>
            <m:r>
              <w:rPr>
                <w:rFonts w:ascii="Cambria Math" w:hAnsi="Cambria Math"/>
                <w:sz w:val="24"/>
                <w:szCs w:val="24"/>
              </w:rPr>
              <m:t>g</m:t>
            </m:r>
          </m:e>
          <m:sub>
            <m:r>
              <w:rPr>
                <w:rFonts w:ascii="Cambria Math" w:hAnsi="Cambria Math"/>
                <w:sz w:val="24"/>
                <w:szCs w:val="24"/>
              </w:rPr>
              <m:t>it</m:t>
            </m:r>
          </m:sub>
        </m:sSub>
        <m:r>
          <m:rPr>
            <m:sty m:val="p"/>
          </m:rPr>
          <w:rPr>
            <w:rFonts w:ascii="Cambria Math" w:hAnsi="Cambria Math"/>
            <w:sz w:val="24"/>
            <w:szCs w:val="24"/>
          </w:rPr>
          <m:t>=</m:t>
        </m:r>
        <m:sSub>
          <m:sSubPr>
            <m:ctrlPr>
              <w:rPr>
                <w:rFonts w:ascii="Cambria Math" w:hAnsi="Cambria Math"/>
                <w:sz w:val="24"/>
                <w:szCs w:val="24"/>
              </w:rPr>
            </m:ctrlPr>
          </m:sSubPr>
          <m:e>
            <m:r>
              <w:rPr>
                <w:rFonts w:ascii="Cambria Math" w:hAnsi="Cambria Math"/>
                <w:sz w:val="24"/>
                <w:szCs w:val="24"/>
              </w:rPr>
              <m:t>δ</m:t>
            </m:r>
          </m:e>
          <m:sub>
            <m:r>
              <w:rPr>
                <w:rFonts w:ascii="Cambria Math" w:hAnsi="Cambria Math"/>
                <w:sz w:val="24"/>
                <w:szCs w:val="24"/>
              </w:rPr>
              <m:t>i</m:t>
            </m:r>
          </m:sub>
        </m:sSub>
        <m:r>
          <w:rPr>
            <w:rFonts w:ascii="Cambria Math" w:hAnsi="Cambria Math"/>
            <w:sz w:val="24"/>
            <w:szCs w:val="24"/>
          </w:rPr>
          <m:t>+</m:t>
        </m:r>
        <m:sSubSup>
          <m:sSubSupPr>
            <m:ctrlPr>
              <w:rPr>
                <w:rFonts w:ascii="Cambria Math" w:hAnsi="Cambria Math"/>
                <w:sz w:val="24"/>
                <w:szCs w:val="24"/>
              </w:rPr>
            </m:ctrlPr>
          </m:sSubSupPr>
          <m:e>
            <m:r>
              <w:rPr>
                <w:rFonts w:ascii="Cambria Math" w:hAnsi="Cambria Math"/>
                <w:sz w:val="24"/>
                <w:szCs w:val="24"/>
              </w:rPr>
              <m:t>β</m:t>
            </m:r>
          </m:e>
          <m:sub>
            <m:r>
              <w:rPr>
                <w:rFonts w:ascii="Cambria Math" w:hAnsi="Cambria Math"/>
                <w:sz w:val="24"/>
                <w:szCs w:val="24"/>
              </w:rPr>
              <m:t>0</m:t>
            </m:r>
          </m:sub>
          <m:sup>
            <m:r>
              <w:rPr>
                <w:rFonts w:ascii="Cambria Math" w:hAnsi="Cambria Math"/>
                <w:sz w:val="24"/>
                <w:szCs w:val="24"/>
              </w:rPr>
              <m:t>'</m:t>
            </m:r>
          </m:sup>
        </m:sSubSup>
        <m:sSub>
          <m:sSubPr>
            <m:ctrlPr>
              <w:rPr>
                <w:rFonts w:ascii="Cambria Math" w:hAnsi="Cambria Math"/>
                <w:sz w:val="24"/>
                <w:szCs w:val="24"/>
              </w:rPr>
            </m:ctrlPr>
          </m:sSubPr>
          <m:e>
            <m:r>
              <w:rPr>
                <w:rFonts w:ascii="Cambria Math" w:hAnsi="Cambria Math"/>
                <w:sz w:val="24"/>
                <w:szCs w:val="24"/>
              </w:rPr>
              <m:t>x</m:t>
            </m:r>
          </m:e>
          <m:sub>
            <m:r>
              <w:rPr>
                <w:rFonts w:ascii="Cambria Math" w:hAnsi="Cambria Math"/>
                <w:sz w:val="24"/>
                <w:szCs w:val="24"/>
              </w:rPr>
              <m:t>it</m:t>
            </m:r>
          </m:sub>
        </m:sSub>
        <m:r>
          <m:rPr>
            <m:sty m:val="p"/>
          </m:rPr>
          <w:rPr>
            <w:rFonts w:ascii="Cambria Math" w:hAnsi="Cambria Math"/>
            <w:sz w:val="24"/>
            <w:szCs w:val="24"/>
          </w:rPr>
          <m:t>+</m:t>
        </m:r>
        <m:sSub>
          <m:sSubPr>
            <m:ctrlPr>
              <w:rPr>
                <w:rFonts w:ascii="Cambria Math" w:hAnsi="Cambria Math"/>
                <w:sz w:val="24"/>
                <w:szCs w:val="24"/>
              </w:rPr>
            </m:ctrlPr>
          </m:sSubPr>
          <m:e>
            <m:sSup>
              <m:sSupPr>
                <m:ctrlPr>
                  <w:rPr>
                    <w:rFonts w:ascii="Cambria Math" w:hAnsi="Cambria Math"/>
                    <w:sz w:val="24"/>
                    <w:szCs w:val="24"/>
                  </w:rPr>
                </m:ctrlPr>
              </m:sSupPr>
              <m:e>
                <m:r>
                  <w:rPr>
                    <w:rFonts w:ascii="Cambria Math" w:hAnsi="Cambria Math"/>
                    <w:sz w:val="24"/>
                    <w:szCs w:val="24"/>
                  </w:rPr>
                  <m:t>β</m:t>
                </m:r>
              </m:e>
              <m:sup>
                <m:r>
                  <m:rPr>
                    <m:sty m:val="p"/>
                  </m:rPr>
                  <w:rPr>
                    <w:rFonts w:ascii="Cambria Math" w:hAnsi="Cambria Math"/>
                    <w:sz w:val="24"/>
                    <w:szCs w:val="24"/>
                  </w:rPr>
                  <m:t>'</m:t>
                </m:r>
              </m:sup>
            </m:sSup>
          </m:e>
          <m:sub>
            <m:r>
              <m:rPr>
                <m:sty m:val="p"/>
              </m:rPr>
              <w:rPr>
                <w:rFonts w:ascii="Cambria Math" w:hAnsi="Cambria Math"/>
                <w:sz w:val="24"/>
                <w:szCs w:val="24"/>
              </w:rPr>
              <m:t>1</m:t>
            </m:r>
          </m:sub>
        </m:sSub>
        <m:r>
          <m:rPr>
            <m:sty m:val="p"/>
          </m:rPr>
          <w:rPr>
            <w:rFonts w:ascii="Cambria Math" w:hAnsi="Cambria Math"/>
            <w:sz w:val="24"/>
            <w:szCs w:val="24"/>
          </w:rPr>
          <m:t xml:space="preserve"> </m:t>
        </m:r>
        <m:sSub>
          <m:sSubPr>
            <m:ctrlPr>
              <w:rPr>
                <w:rFonts w:ascii="Cambria Math" w:hAnsi="Cambria Math"/>
                <w:sz w:val="24"/>
                <w:szCs w:val="24"/>
              </w:rPr>
            </m:ctrlPr>
          </m:sSubPr>
          <m:e>
            <m:r>
              <w:rPr>
                <w:rFonts w:ascii="Cambria Math" w:hAnsi="Cambria Math"/>
                <w:sz w:val="24"/>
                <w:szCs w:val="24"/>
              </w:rPr>
              <m:t>x</m:t>
            </m:r>
          </m:e>
          <m:sub>
            <m:r>
              <w:rPr>
                <w:rFonts w:ascii="Cambria Math" w:hAnsi="Cambria Math"/>
                <w:sz w:val="24"/>
                <w:szCs w:val="24"/>
              </w:rPr>
              <m:t>it</m:t>
            </m:r>
          </m:sub>
        </m:sSub>
        <m:sSub>
          <m:sSubPr>
            <m:ctrlPr>
              <w:rPr>
                <w:rFonts w:ascii="Cambria Math" w:hAnsi="Cambria Math"/>
                <w:sz w:val="24"/>
                <w:szCs w:val="24"/>
              </w:rPr>
            </m:ctrlPr>
          </m:sSubPr>
          <m:e>
            <m:r>
              <w:rPr>
                <w:rFonts w:ascii="Cambria Math" w:hAnsi="Cambria Math"/>
                <w:sz w:val="24"/>
                <w:szCs w:val="24"/>
              </w:rPr>
              <m:t>fd</m:t>
            </m:r>
          </m:e>
          <m:sub>
            <m:r>
              <w:rPr>
                <w:rFonts w:ascii="Cambria Math" w:hAnsi="Cambria Math"/>
                <w:sz w:val="24"/>
                <w:szCs w:val="24"/>
              </w:rPr>
              <m:t>i</m:t>
            </m:r>
            <m:r>
              <m:rPr>
                <m:sty m:val="p"/>
              </m:rPr>
              <w:rPr>
                <w:rFonts w:ascii="Cambria Math" w:hAnsi="Cambria Math"/>
                <w:sz w:val="24"/>
                <w:szCs w:val="24"/>
              </w:rPr>
              <m:t>,</m:t>
            </m:r>
            <m:r>
              <w:rPr>
                <w:rFonts w:ascii="Cambria Math" w:hAnsi="Cambria Math"/>
                <w:sz w:val="24"/>
                <w:szCs w:val="24"/>
              </w:rPr>
              <m:t>t</m:t>
            </m:r>
            <m:r>
              <m:rPr>
                <m:sty m:val="p"/>
              </m:rPr>
              <w:rPr>
                <w:rFonts w:ascii="Cambria Math" w:hAnsi="Cambria Math"/>
                <w:sz w:val="24"/>
                <w:szCs w:val="24"/>
              </w:rPr>
              <m:t>-1</m:t>
            </m:r>
          </m:sub>
        </m:sSub>
        <m:r>
          <m:rPr>
            <m:sty m:val="p"/>
          </m:rPr>
          <w:rPr>
            <w:rFonts w:ascii="Cambria Math" w:hAnsi="Cambria Math"/>
            <w:sz w:val="24"/>
            <w:szCs w:val="24"/>
          </w:rPr>
          <m:t>+</m:t>
        </m:r>
        <m:sSubSup>
          <m:sSubSupPr>
            <m:ctrlPr>
              <w:rPr>
                <w:rFonts w:ascii="Cambria Math" w:hAnsi="Cambria Math"/>
                <w:sz w:val="24"/>
                <w:szCs w:val="24"/>
              </w:rPr>
            </m:ctrlPr>
          </m:sSubSupPr>
          <m:e>
            <m:r>
              <w:rPr>
                <w:rFonts w:ascii="Cambria Math" w:hAnsi="Cambria Math"/>
                <w:sz w:val="24"/>
                <w:szCs w:val="24"/>
              </w:rPr>
              <m:t>β</m:t>
            </m:r>
          </m:e>
          <m:sub>
            <m:r>
              <m:rPr>
                <m:sty m:val="p"/>
              </m:rPr>
              <w:rPr>
                <w:rFonts w:ascii="Cambria Math" w:hAnsi="Cambria Math"/>
                <w:sz w:val="24"/>
                <w:szCs w:val="24"/>
              </w:rPr>
              <m:t>2</m:t>
            </m:r>
          </m:sub>
          <m:sup>
            <m:r>
              <m:rPr>
                <m:sty m:val="p"/>
              </m:rPr>
              <w:rPr>
                <w:rFonts w:ascii="Cambria Math" w:hAnsi="Cambria Math"/>
                <w:sz w:val="24"/>
                <w:szCs w:val="24"/>
              </w:rPr>
              <m:t>'</m:t>
            </m:r>
          </m:sup>
        </m:sSubSup>
        <m:sSub>
          <m:sSubPr>
            <m:ctrlPr>
              <w:rPr>
                <w:rFonts w:ascii="Cambria Math" w:hAnsi="Cambria Math"/>
                <w:sz w:val="24"/>
                <w:szCs w:val="24"/>
              </w:rPr>
            </m:ctrlPr>
          </m:sSubPr>
          <m:e>
            <m:r>
              <w:rPr>
                <w:rFonts w:ascii="Cambria Math" w:hAnsi="Cambria Math"/>
                <w:sz w:val="24"/>
                <w:szCs w:val="24"/>
              </w:rPr>
              <m:t>x</m:t>
            </m:r>
          </m:e>
          <m:sub>
            <m:r>
              <w:rPr>
                <w:rFonts w:ascii="Cambria Math" w:hAnsi="Cambria Math"/>
                <w:sz w:val="24"/>
                <w:szCs w:val="24"/>
              </w:rPr>
              <m:t>it</m:t>
            </m:r>
          </m:sub>
        </m:sSub>
        <m:sSubSup>
          <m:sSubSupPr>
            <m:ctrlPr>
              <w:rPr>
                <w:rFonts w:ascii="Cambria Math" w:hAnsi="Cambria Math"/>
                <w:sz w:val="24"/>
                <w:szCs w:val="24"/>
              </w:rPr>
            </m:ctrlPr>
          </m:sSubSupPr>
          <m:e>
            <m:r>
              <w:rPr>
                <w:rFonts w:ascii="Cambria Math" w:hAnsi="Cambria Math"/>
                <w:sz w:val="24"/>
                <w:szCs w:val="24"/>
              </w:rPr>
              <m:t>fd</m:t>
            </m:r>
          </m:e>
          <m:sub>
            <m:r>
              <w:rPr>
                <w:rFonts w:ascii="Cambria Math" w:hAnsi="Cambria Math"/>
                <w:sz w:val="24"/>
                <w:szCs w:val="24"/>
              </w:rPr>
              <m:t>it</m:t>
            </m:r>
            <m:r>
              <m:rPr>
                <m:sty m:val="p"/>
              </m:rPr>
              <w:rPr>
                <w:rFonts w:ascii="Cambria Math" w:hAnsi="Cambria Math"/>
                <w:sz w:val="24"/>
                <w:szCs w:val="24"/>
              </w:rPr>
              <m:t>-1</m:t>
            </m:r>
          </m:sub>
          <m:sup>
            <m:r>
              <m:rPr>
                <m:sty m:val="p"/>
              </m:rPr>
              <w:rPr>
                <w:rFonts w:ascii="Cambria Math" w:hAnsi="Cambria Math"/>
                <w:sz w:val="24"/>
                <w:szCs w:val="24"/>
              </w:rPr>
              <m:t>2</m:t>
            </m:r>
          </m:sup>
        </m:sSubSup>
        <m:r>
          <m:rPr>
            <m:sty m:val="p"/>
          </m:rPr>
          <w:rPr>
            <w:rFonts w:ascii="Cambria Math" w:hAnsi="Cambria Math"/>
            <w:sz w:val="24"/>
            <w:szCs w:val="24"/>
          </w:rPr>
          <m:t>…+</m:t>
        </m:r>
        <m:sSub>
          <m:sSubPr>
            <m:ctrlPr>
              <w:rPr>
                <w:rFonts w:ascii="Cambria Math" w:hAnsi="Cambria Math"/>
                <w:sz w:val="24"/>
                <w:szCs w:val="24"/>
              </w:rPr>
            </m:ctrlPr>
          </m:sSubPr>
          <m:e>
            <m:sSup>
              <m:sSupPr>
                <m:ctrlPr>
                  <w:rPr>
                    <w:rFonts w:ascii="Cambria Math" w:hAnsi="Cambria Math"/>
                    <w:sz w:val="24"/>
                    <w:szCs w:val="24"/>
                  </w:rPr>
                </m:ctrlPr>
              </m:sSupPr>
              <m:e>
                <m:r>
                  <w:rPr>
                    <w:rFonts w:ascii="Cambria Math" w:hAnsi="Cambria Math"/>
                    <w:sz w:val="24"/>
                    <w:szCs w:val="24"/>
                  </w:rPr>
                  <m:t>β</m:t>
                </m:r>
              </m:e>
              <m:sup>
                <m:r>
                  <m:rPr>
                    <m:sty m:val="p"/>
                  </m:rPr>
                  <w:rPr>
                    <w:rFonts w:ascii="Cambria Math" w:hAnsi="Cambria Math"/>
                    <w:sz w:val="24"/>
                    <w:szCs w:val="24"/>
                  </w:rPr>
                  <m:t>'</m:t>
                </m:r>
              </m:sup>
            </m:sSup>
          </m:e>
          <m:sub>
            <m:r>
              <w:rPr>
                <w:rFonts w:ascii="Cambria Math" w:hAnsi="Cambria Math"/>
                <w:sz w:val="24"/>
                <w:szCs w:val="24"/>
              </w:rPr>
              <m:t>m</m:t>
            </m:r>
          </m:sub>
        </m:sSub>
        <m:sSub>
          <m:sSubPr>
            <m:ctrlPr>
              <w:rPr>
                <w:rFonts w:ascii="Cambria Math" w:hAnsi="Cambria Math"/>
                <w:sz w:val="24"/>
                <w:szCs w:val="24"/>
              </w:rPr>
            </m:ctrlPr>
          </m:sSubPr>
          <m:e>
            <m:r>
              <w:rPr>
                <w:rFonts w:ascii="Cambria Math" w:hAnsi="Cambria Math"/>
                <w:sz w:val="24"/>
                <w:szCs w:val="24"/>
              </w:rPr>
              <m:t>x</m:t>
            </m:r>
          </m:e>
          <m:sub>
            <m:r>
              <w:rPr>
                <w:rFonts w:ascii="Cambria Math" w:hAnsi="Cambria Math"/>
                <w:sz w:val="24"/>
                <w:szCs w:val="24"/>
              </w:rPr>
              <m:t>it</m:t>
            </m:r>
          </m:sub>
        </m:sSub>
        <m:sSubSup>
          <m:sSubSupPr>
            <m:ctrlPr>
              <w:rPr>
                <w:rFonts w:ascii="Cambria Math" w:hAnsi="Cambria Math"/>
                <w:sz w:val="24"/>
                <w:szCs w:val="24"/>
              </w:rPr>
            </m:ctrlPr>
          </m:sSubSupPr>
          <m:e>
            <m:r>
              <w:rPr>
                <w:rFonts w:ascii="Cambria Math" w:hAnsi="Cambria Math"/>
                <w:sz w:val="24"/>
                <w:szCs w:val="24"/>
              </w:rPr>
              <m:t>fd</m:t>
            </m:r>
          </m:e>
          <m:sub>
            <m:r>
              <w:rPr>
                <w:rFonts w:ascii="Cambria Math" w:hAnsi="Cambria Math"/>
                <w:sz w:val="24"/>
                <w:szCs w:val="24"/>
              </w:rPr>
              <m:t>i</m:t>
            </m:r>
            <m:r>
              <m:rPr>
                <m:sty m:val="p"/>
              </m:rPr>
              <w:rPr>
                <w:rFonts w:ascii="Cambria Math" w:hAnsi="Cambria Math"/>
                <w:sz w:val="24"/>
                <w:szCs w:val="24"/>
              </w:rPr>
              <m:t>,</m:t>
            </m:r>
            <m:r>
              <w:rPr>
                <w:rFonts w:ascii="Cambria Math" w:hAnsi="Cambria Math"/>
                <w:sz w:val="24"/>
                <w:szCs w:val="24"/>
              </w:rPr>
              <m:t>t</m:t>
            </m:r>
            <m:r>
              <m:rPr>
                <m:sty m:val="p"/>
              </m:rPr>
              <w:rPr>
                <w:rFonts w:ascii="Cambria Math" w:hAnsi="Cambria Math"/>
                <w:sz w:val="24"/>
                <w:szCs w:val="24"/>
              </w:rPr>
              <m:t>-1</m:t>
            </m:r>
          </m:sub>
          <m:sup>
            <m:r>
              <w:rPr>
                <w:rFonts w:ascii="Cambria Math" w:hAnsi="Cambria Math"/>
                <w:sz w:val="24"/>
                <w:szCs w:val="24"/>
              </w:rPr>
              <m:t>m</m:t>
            </m:r>
          </m:sup>
        </m:sSubSup>
        <m:r>
          <m:rPr>
            <m:sty m:val="p"/>
          </m:rPr>
          <w:rPr>
            <w:rFonts w:ascii="Cambria Math" w:hAnsi="Cambria Math"/>
            <w:sz w:val="24"/>
            <w:szCs w:val="24"/>
          </w:rPr>
          <m:t>+</m:t>
        </m:r>
        <m:sSubSup>
          <m:sSubSupPr>
            <m:ctrlPr>
              <w:rPr>
                <w:rFonts w:ascii="Cambria Math" w:hAnsi="Cambria Math"/>
                <w:sz w:val="24"/>
                <w:szCs w:val="24"/>
              </w:rPr>
            </m:ctrlPr>
          </m:sSubSupPr>
          <m:e>
            <m:r>
              <w:rPr>
                <w:rFonts w:ascii="Cambria Math" w:hAnsi="Cambria Math"/>
                <w:sz w:val="24"/>
                <w:szCs w:val="24"/>
              </w:rPr>
              <m:t>ε</m:t>
            </m:r>
          </m:e>
          <m:sub>
            <m:r>
              <w:rPr>
                <w:rFonts w:ascii="Cambria Math" w:hAnsi="Cambria Math"/>
                <w:sz w:val="24"/>
                <w:szCs w:val="24"/>
              </w:rPr>
              <m:t>it</m:t>
            </m:r>
          </m:sub>
          <m:sup>
            <m:r>
              <m:rPr>
                <m:sty m:val="p"/>
              </m:rPr>
              <w:rPr>
                <w:rFonts w:ascii="Cambria Math" w:hAnsi="Cambria Math"/>
                <w:sz w:val="24"/>
                <w:szCs w:val="24"/>
              </w:rPr>
              <m:t>*</m:t>
            </m:r>
          </m:sup>
        </m:sSubSup>
      </m:oMath>
      <w:r w:rsidR="00146409" w:rsidRPr="00E378F7">
        <w:rPr>
          <w:rFonts w:ascii="Times New Roman" w:hAnsi="Times New Roman"/>
          <w:sz w:val="24"/>
          <w:szCs w:val="24"/>
        </w:rPr>
        <w:t xml:space="preserve"> </w:t>
      </w:r>
      <w:r w:rsidR="00A64D6E" w:rsidRPr="00E378F7">
        <w:rPr>
          <w:rFonts w:ascii="Times New Roman" w:hAnsi="Times New Roman"/>
          <w:sz w:val="24"/>
          <w:szCs w:val="24"/>
        </w:rPr>
        <w:tab/>
      </w:r>
      <w:r w:rsidR="00146409" w:rsidRPr="00E378F7">
        <w:rPr>
          <w:rFonts w:ascii="Times New Roman" w:hAnsi="Times New Roman"/>
          <w:sz w:val="24"/>
          <w:szCs w:val="24"/>
        </w:rPr>
        <w:t>(3.7)</w:t>
      </w:r>
    </w:p>
    <w:p w14:paraId="07DFDDAF" w14:textId="311B8D22" w:rsidR="00146409" w:rsidRPr="00E378F7" w:rsidRDefault="00146409" w:rsidP="008E4E1C">
      <w:pPr>
        <w:spacing w:line="360" w:lineRule="auto"/>
        <w:jc w:val="both"/>
        <w:rPr>
          <w:rFonts w:ascii="Times New Roman" w:hAnsi="Times New Roman"/>
          <w:sz w:val="24"/>
          <w:szCs w:val="24"/>
        </w:rPr>
      </w:pPr>
      <w:r w:rsidRPr="00E378F7">
        <w:rPr>
          <w:rFonts w:ascii="Times New Roman" w:hAnsi="Times New Roman"/>
          <w:sz w:val="24"/>
          <w:szCs w:val="24"/>
        </w:rPr>
        <w:t xml:space="preserve">Where the parameter vectors </w:t>
      </w:r>
      <m:oMath>
        <m:d>
          <m:dPr>
            <m:ctrlPr>
              <w:rPr>
                <w:rFonts w:ascii="Cambria Math" w:hAnsi="Cambria Math"/>
                <w:sz w:val="24"/>
                <w:szCs w:val="24"/>
              </w:rPr>
            </m:ctrlPr>
          </m:dPr>
          <m:e>
            <m:sSubSup>
              <m:sSubSupPr>
                <m:ctrlPr>
                  <w:rPr>
                    <w:rFonts w:ascii="Cambria Math" w:hAnsi="Cambria Math"/>
                    <w:sz w:val="24"/>
                    <w:szCs w:val="24"/>
                  </w:rPr>
                </m:ctrlPr>
              </m:sSubSupPr>
              <m:e>
                <m:r>
                  <w:rPr>
                    <w:rFonts w:ascii="Cambria Math" w:hAnsi="Cambria Math"/>
                    <w:sz w:val="24"/>
                    <w:szCs w:val="24"/>
                  </w:rPr>
                  <m:t>β</m:t>
                </m:r>
              </m:e>
              <m:sub>
                <m:r>
                  <m:rPr>
                    <m:sty m:val="p"/>
                  </m:rPr>
                  <w:rPr>
                    <w:rFonts w:ascii="Cambria Math" w:hAnsi="Cambria Math"/>
                    <w:sz w:val="24"/>
                    <w:szCs w:val="24"/>
                  </w:rPr>
                  <m:t>1</m:t>
                </m:r>
              </m:sub>
              <m:sup>
                <m:r>
                  <m:rPr>
                    <m:sty m:val="p"/>
                  </m:rPr>
                  <w:rPr>
                    <w:rFonts w:ascii="Cambria Math" w:hAnsi="Cambria Math"/>
                    <w:sz w:val="24"/>
                    <w:szCs w:val="24"/>
                  </w:rPr>
                  <m:t>'</m:t>
                </m:r>
              </m:sup>
            </m:sSubSup>
            <m:r>
              <m:rPr>
                <m:sty m:val="p"/>
              </m:rPr>
              <w:rPr>
                <w:rFonts w:ascii="Cambria Math" w:hAnsi="Cambria Math"/>
                <w:sz w:val="24"/>
                <w:szCs w:val="24"/>
              </w:rPr>
              <m:t xml:space="preserve">…, </m:t>
            </m:r>
            <m:sSubSup>
              <m:sSubSupPr>
                <m:ctrlPr>
                  <w:rPr>
                    <w:rFonts w:ascii="Cambria Math" w:hAnsi="Cambria Math"/>
                    <w:sz w:val="24"/>
                    <w:szCs w:val="24"/>
                  </w:rPr>
                </m:ctrlPr>
              </m:sSubSupPr>
              <m:e>
                <m:r>
                  <w:rPr>
                    <w:rFonts w:ascii="Cambria Math" w:hAnsi="Cambria Math"/>
                    <w:sz w:val="24"/>
                    <w:szCs w:val="24"/>
                  </w:rPr>
                  <m:t>β</m:t>
                </m:r>
              </m:e>
              <m:sub>
                <m:r>
                  <w:rPr>
                    <w:rFonts w:ascii="Cambria Math" w:hAnsi="Cambria Math"/>
                    <w:sz w:val="24"/>
                    <w:szCs w:val="24"/>
                  </w:rPr>
                  <m:t>m</m:t>
                </m:r>
              </m:sub>
              <m:sup>
                <m:r>
                  <m:rPr>
                    <m:sty m:val="p"/>
                  </m:rPr>
                  <w:rPr>
                    <w:rFonts w:ascii="Cambria Math" w:hAnsi="Cambria Math"/>
                    <w:sz w:val="24"/>
                    <w:szCs w:val="24"/>
                  </w:rPr>
                  <m:t>'</m:t>
                </m:r>
              </m:sup>
            </m:sSubSup>
          </m:e>
        </m:d>
      </m:oMath>
      <w:r w:rsidRPr="00E378F7">
        <w:rPr>
          <w:rFonts w:ascii="Times New Roman" w:hAnsi="Times New Roman"/>
          <w:sz w:val="24"/>
          <w:szCs w:val="24"/>
        </w:rPr>
        <w:t xml:space="preserve"> are multiples of </w:t>
      </w:r>
      <m:oMath>
        <m:r>
          <w:rPr>
            <w:rFonts w:ascii="Cambria Math" w:hAnsi="Cambria Math"/>
            <w:sz w:val="24"/>
            <w:szCs w:val="24"/>
          </w:rPr>
          <m:t>γ</m:t>
        </m:r>
      </m:oMath>
      <w:r w:rsidR="00A64D6E" w:rsidRPr="00E378F7">
        <w:rPr>
          <w:rFonts w:ascii="Times New Roman" w:eastAsiaTheme="minorEastAsia" w:hAnsi="Times New Roman"/>
          <w:sz w:val="24"/>
          <w:szCs w:val="24"/>
        </w:rPr>
        <w:t>,</w:t>
      </w:r>
      <w:r w:rsidRPr="00E378F7">
        <w:rPr>
          <w:rFonts w:ascii="Times New Roman" w:hAnsi="Times New Roman"/>
          <w:sz w:val="24"/>
          <w:szCs w:val="24"/>
        </w:rPr>
        <w:t xml:space="preserve"> </w:t>
      </w:r>
      <w:r w:rsidR="00C40D74" w:rsidRPr="00E378F7">
        <w:rPr>
          <w:rFonts w:ascii="Times New Roman" w:hAnsi="Times New Roman"/>
          <w:sz w:val="24"/>
          <w:szCs w:val="24"/>
        </w:rPr>
        <w:t>and</w:t>
      </w:r>
      <m:oMath>
        <m:sSubSup>
          <m:sSubSupPr>
            <m:ctrlPr>
              <w:rPr>
                <w:rFonts w:ascii="Cambria Math" w:hAnsi="Cambria Math"/>
                <w:sz w:val="24"/>
                <w:szCs w:val="24"/>
              </w:rPr>
            </m:ctrlPr>
          </m:sSubSupPr>
          <m:e>
            <m:r>
              <w:rPr>
                <w:rFonts w:ascii="Cambria Math" w:hAnsi="Cambria Math"/>
                <w:sz w:val="24"/>
                <w:szCs w:val="24"/>
              </w:rPr>
              <m:t>ε</m:t>
            </m:r>
          </m:e>
          <m:sub>
            <m:r>
              <w:rPr>
                <w:rFonts w:ascii="Cambria Math" w:hAnsi="Cambria Math"/>
                <w:sz w:val="24"/>
                <w:szCs w:val="24"/>
              </w:rPr>
              <m:t>it</m:t>
            </m:r>
          </m:sub>
          <m:sup>
            <m:r>
              <m:rPr>
                <m:sty m:val="p"/>
              </m:rPr>
              <w:rPr>
                <w:rFonts w:ascii="Cambria Math" w:hAnsi="Cambria Math"/>
                <w:sz w:val="24"/>
                <w:szCs w:val="24"/>
              </w:rPr>
              <m:t>*</m:t>
            </m:r>
          </m:sup>
        </m:sSubSup>
        <m:r>
          <m:rPr>
            <m:sty m:val="p"/>
          </m:rPr>
          <w:rPr>
            <w:rFonts w:ascii="Cambria Math" w:hAnsi="Cambria Math"/>
            <w:sz w:val="24"/>
            <w:szCs w:val="24"/>
          </w:rPr>
          <m:t>=</m:t>
        </m:r>
        <m:sSub>
          <m:sSubPr>
            <m:ctrlPr>
              <w:rPr>
                <w:rFonts w:ascii="Cambria Math" w:hAnsi="Cambria Math"/>
                <w:sz w:val="24"/>
                <w:szCs w:val="24"/>
              </w:rPr>
            </m:ctrlPr>
          </m:sSubPr>
          <m:e>
            <m:r>
              <w:rPr>
                <w:rFonts w:ascii="Cambria Math" w:hAnsi="Cambria Math"/>
                <w:sz w:val="24"/>
                <w:szCs w:val="24"/>
              </w:rPr>
              <m:t>ε</m:t>
            </m:r>
          </m:e>
          <m:sub>
            <m:r>
              <w:rPr>
                <w:rFonts w:ascii="Cambria Math" w:hAnsi="Cambria Math"/>
                <w:sz w:val="24"/>
                <w:szCs w:val="24"/>
              </w:rPr>
              <m:t>it</m:t>
            </m:r>
          </m:sub>
        </m:sSub>
        <m:r>
          <m:rPr>
            <m:sty m:val="p"/>
          </m:rPr>
          <w:rPr>
            <w:rFonts w:ascii="Cambria Math" w:hAnsi="Cambria Math"/>
            <w:sz w:val="24"/>
            <w:szCs w:val="24"/>
          </w:rPr>
          <m:t>+</m:t>
        </m:r>
        <m:sSubSup>
          <m:sSubSupPr>
            <m:ctrlPr>
              <w:rPr>
                <w:rFonts w:ascii="Cambria Math" w:hAnsi="Cambria Math"/>
                <w:sz w:val="24"/>
                <w:szCs w:val="24"/>
              </w:rPr>
            </m:ctrlPr>
          </m:sSubSupPr>
          <m:e>
            <m:r>
              <w:rPr>
                <w:rFonts w:ascii="Cambria Math" w:hAnsi="Cambria Math"/>
                <w:sz w:val="24"/>
                <w:szCs w:val="24"/>
              </w:rPr>
              <m:t>R</m:t>
            </m:r>
          </m:e>
          <m:sub>
            <m:r>
              <w:rPr>
                <w:rFonts w:ascii="Cambria Math" w:hAnsi="Cambria Math"/>
                <w:sz w:val="24"/>
                <w:szCs w:val="24"/>
              </w:rPr>
              <m:t>m</m:t>
            </m:r>
          </m:sub>
          <m:sup>
            <m:r>
              <m:rPr>
                <m:sty m:val="p"/>
              </m:rPr>
              <w:rPr>
                <w:rFonts w:ascii="Cambria Math" w:hAnsi="Cambria Math"/>
                <w:sz w:val="24"/>
                <w:szCs w:val="24"/>
              </w:rPr>
              <m:t>'</m:t>
            </m:r>
          </m:sup>
        </m:sSubSup>
        <m:sSub>
          <m:sSubPr>
            <m:ctrlPr>
              <w:rPr>
                <w:rFonts w:ascii="Cambria Math" w:hAnsi="Cambria Math"/>
                <w:sz w:val="24"/>
                <w:szCs w:val="24"/>
              </w:rPr>
            </m:ctrlPr>
          </m:sSubPr>
          <m:e>
            <m:r>
              <w:rPr>
                <w:rFonts w:ascii="Cambria Math" w:hAnsi="Cambria Math"/>
                <w:sz w:val="24"/>
                <w:szCs w:val="24"/>
              </w:rPr>
              <m:t>z</m:t>
            </m:r>
          </m:e>
          <m:sub>
            <m:r>
              <w:rPr>
                <w:rFonts w:ascii="Cambria Math" w:hAnsi="Cambria Math"/>
                <w:sz w:val="24"/>
                <w:szCs w:val="24"/>
              </w:rPr>
              <m:t>it</m:t>
            </m:r>
          </m:sub>
        </m:sSub>
      </m:oMath>
      <w:r w:rsidRPr="00E378F7">
        <w:rPr>
          <w:rFonts w:ascii="Times New Roman" w:hAnsi="Times New Roman"/>
          <w:sz w:val="24"/>
          <w:szCs w:val="24"/>
        </w:rPr>
        <w:t xml:space="preserve">, </w:t>
      </w:r>
      <m:oMath>
        <m:sSub>
          <m:sSubPr>
            <m:ctrlPr>
              <w:rPr>
                <w:rFonts w:ascii="Cambria Math" w:hAnsi="Cambria Math"/>
                <w:sz w:val="24"/>
                <w:szCs w:val="24"/>
              </w:rPr>
            </m:ctrlPr>
          </m:sSubPr>
          <m:e>
            <m:r>
              <w:rPr>
                <w:rFonts w:ascii="Cambria Math" w:hAnsi="Cambria Math"/>
                <w:sz w:val="24"/>
                <w:szCs w:val="24"/>
              </w:rPr>
              <m:t>R</m:t>
            </m:r>
          </m:e>
          <m:sub>
            <m:r>
              <w:rPr>
                <w:rFonts w:ascii="Cambria Math" w:hAnsi="Cambria Math"/>
                <w:sz w:val="24"/>
                <w:szCs w:val="24"/>
              </w:rPr>
              <m:t>m</m:t>
            </m:r>
          </m:sub>
        </m:sSub>
      </m:oMath>
      <w:r w:rsidRPr="00E378F7">
        <w:rPr>
          <w:rFonts w:ascii="Times New Roman" w:hAnsi="Times New Roman"/>
          <w:sz w:val="24"/>
          <w:szCs w:val="24"/>
        </w:rPr>
        <w:t xml:space="preserve"> is the reminder of the Taylor expansion. From equation (3.7), the null hypothesis of linearity </w:t>
      </w:r>
      <m:oMath>
        <m:r>
          <m:rPr>
            <m:sty m:val="p"/>
          </m:rPr>
          <w:rPr>
            <w:rFonts w:ascii="Cambria Math" w:hAnsi="Cambria Math"/>
            <w:sz w:val="24"/>
            <w:szCs w:val="24"/>
          </w:rPr>
          <m:t xml:space="preserve"> </m:t>
        </m:r>
        <m:sSub>
          <m:sSubPr>
            <m:ctrlPr>
              <w:rPr>
                <w:rFonts w:ascii="Cambria Math" w:hAnsi="Cambria Math"/>
                <w:sz w:val="24"/>
                <w:szCs w:val="24"/>
              </w:rPr>
            </m:ctrlPr>
          </m:sSubPr>
          <m:e>
            <m:r>
              <w:rPr>
                <w:rFonts w:ascii="Cambria Math" w:hAnsi="Cambria Math"/>
                <w:sz w:val="24"/>
                <w:szCs w:val="24"/>
              </w:rPr>
              <m:t>H</m:t>
            </m:r>
          </m:e>
          <m:sub>
            <m:r>
              <m:rPr>
                <m:sty m:val="p"/>
              </m:rPr>
              <w:rPr>
                <w:rFonts w:ascii="Cambria Math" w:hAnsi="Cambria Math"/>
                <w:sz w:val="24"/>
                <w:szCs w:val="24"/>
              </w:rPr>
              <m:t>0</m:t>
            </m:r>
          </m:sub>
        </m:sSub>
        <m:r>
          <m:rPr>
            <m:sty m:val="p"/>
          </m:rPr>
          <w:rPr>
            <w:rFonts w:ascii="Cambria Math" w:hAnsi="Cambria Math"/>
            <w:sz w:val="24"/>
            <w:szCs w:val="24"/>
          </w:rPr>
          <m:t>:</m:t>
        </m:r>
        <m:sSub>
          <m:sSubPr>
            <m:ctrlPr>
              <w:rPr>
                <w:rFonts w:ascii="Cambria Math" w:hAnsi="Cambria Math"/>
                <w:sz w:val="24"/>
                <w:szCs w:val="24"/>
              </w:rPr>
            </m:ctrlPr>
          </m:sSubPr>
          <m:e>
            <m:r>
              <w:rPr>
                <w:rFonts w:ascii="Cambria Math" w:hAnsi="Cambria Math"/>
                <w:sz w:val="24"/>
                <w:szCs w:val="24"/>
              </w:rPr>
              <m:t>β</m:t>
            </m:r>
          </m:e>
          <m:sub>
            <m:r>
              <m:rPr>
                <m:sty m:val="p"/>
              </m:rPr>
              <w:rPr>
                <w:rFonts w:ascii="Cambria Math" w:hAnsi="Cambria Math"/>
                <w:sz w:val="24"/>
                <w:szCs w:val="24"/>
              </w:rPr>
              <m:t>1</m:t>
            </m:r>
          </m:sub>
        </m:sSub>
        <m:r>
          <m:rPr>
            <m:sty m:val="p"/>
          </m:rPr>
          <w:rPr>
            <w:rFonts w:ascii="Cambria Math" w:hAnsi="Cambria Math"/>
            <w:sz w:val="24"/>
            <w:szCs w:val="24"/>
          </w:rPr>
          <m:t>=…=</m:t>
        </m:r>
        <m:sSub>
          <m:sSubPr>
            <m:ctrlPr>
              <w:rPr>
                <w:rFonts w:ascii="Cambria Math" w:hAnsi="Cambria Math"/>
                <w:sz w:val="24"/>
                <w:szCs w:val="24"/>
              </w:rPr>
            </m:ctrlPr>
          </m:sSubPr>
          <m:e>
            <m:r>
              <w:rPr>
                <w:rFonts w:ascii="Cambria Math" w:hAnsi="Cambria Math"/>
                <w:sz w:val="24"/>
                <w:szCs w:val="24"/>
              </w:rPr>
              <m:t>β</m:t>
            </m:r>
          </m:e>
          <m:sub>
            <m:r>
              <w:rPr>
                <w:rFonts w:ascii="Cambria Math" w:hAnsi="Cambria Math"/>
                <w:sz w:val="24"/>
                <w:szCs w:val="24"/>
              </w:rPr>
              <m:t>m</m:t>
            </m:r>
          </m:sub>
        </m:sSub>
        <m:r>
          <m:rPr>
            <m:sty m:val="p"/>
          </m:rPr>
          <w:rPr>
            <w:rFonts w:ascii="Cambria Math" w:hAnsi="Cambria Math"/>
            <w:sz w:val="24"/>
            <w:szCs w:val="24"/>
          </w:rPr>
          <m:t xml:space="preserve">=0 </m:t>
        </m:r>
      </m:oMath>
      <w:r w:rsidRPr="00E378F7">
        <w:rPr>
          <w:rFonts w:ascii="Times New Roman" w:eastAsiaTheme="minorEastAsia" w:hAnsi="Times New Roman"/>
          <w:sz w:val="24"/>
          <w:szCs w:val="24"/>
        </w:rPr>
        <w:t xml:space="preserve">is tested against the alternative of a PSTR model. The test is evaluated </w:t>
      </w:r>
      <w:r w:rsidRPr="00E378F7">
        <w:rPr>
          <w:rFonts w:ascii="Times New Roman" w:hAnsi="Times New Roman"/>
          <w:sz w:val="24"/>
          <w:szCs w:val="24"/>
        </w:rPr>
        <w:t xml:space="preserve">based on the Wald and Likelihood ratio tests statistics. If the probability values of these test statistics suggest </w:t>
      </w:r>
      <w:r w:rsidR="00A64D6E" w:rsidRPr="00E378F7">
        <w:rPr>
          <w:rFonts w:ascii="Times New Roman" w:hAnsi="Times New Roman"/>
          <w:sz w:val="24"/>
          <w:szCs w:val="24"/>
        </w:rPr>
        <w:t xml:space="preserve">a </w:t>
      </w:r>
      <w:r w:rsidRPr="00E378F7">
        <w:rPr>
          <w:rFonts w:ascii="Times New Roman" w:hAnsi="Times New Roman"/>
          <w:sz w:val="24"/>
          <w:szCs w:val="24"/>
        </w:rPr>
        <w:t xml:space="preserve">rejection of the null hypothesis of linearity, then the model should be estimated using nonlinear estimation techniques. On the other hand, a linear panel with fixed effects is estimated when the null hypothesis is not rejected. This in turn implies that the parameter estimates are homogeneous and </w:t>
      </w:r>
      <w:r w:rsidR="00A64D6E" w:rsidRPr="00E378F7">
        <w:rPr>
          <w:rFonts w:ascii="Times New Roman" w:hAnsi="Times New Roman"/>
          <w:sz w:val="24"/>
          <w:szCs w:val="24"/>
        </w:rPr>
        <w:t xml:space="preserve">the </w:t>
      </w:r>
      <w:r w:rsidRPr="00E378F7">
        <w:rPr>
          <w:rFonts w:ascii="Times New Roman" w:hAnsi="Times New Roman"/>
          <w:sz w:val="24"/>
          <w:szCs w:val="24"/>
        </w:rPr>
        <w:t>time non-varying.</w:t>
      </w:r>
    </w:p>
    <w:p w14:paraId="32483FA4" w14:textId="090224E6" w:rsidR="00146409" w:rsidRPr="00E378F7" w:rsidRDefault="00146409" w:rsidP="008E4E1C">
      <w:pPr>
        <w:spacing w:line="360" w:lineRule="auto"/>
        <w:jc w:val="both"/>
        <w:rPr>
          <w:rFonts w:ascii="Times New Roman" w:eastAsiaTheme="minorEastAsia" w:hAnsi="Times New Roman"/>
          <w:sz w:val="24"/>
          <w:szCs w:val="24"/>
        </w:rPr>
      </w:pPr>
      <w:r w:rsidRPr="00E378F7">
        <w:rPr>
          <w:rFonts w:ascii="Times New Roman" w:hAnsi="Times New Roman"/>
          <w:sz w:val="24"/>
          <w:szCs w:val="24"/>
        </w:rPr>
        <w:t>The second step involves estimating the parameters of the model, which requires eliminating the individual effects (</w:t>
      </w:r>
      <m:oMath>
        <m:sSub>
          <m:sSubPr>
            <m:ctrlPr>
              <w:rPr>
                <w:rFonts w:ascii="Cambria Math" w:hAnsi="Cambria Math" w:cs="Times New Roman"/>
                <w:sz w:val="24"/>
                <w:szCs w:val="24"/>
              </w:rPr>
            </m:ctrlPr>
          </m:sSubPr>
          <m:e>
            <m:r>
              <w:rPr>
                <w:rFonts w:ascii="Cambria Math" w:hAnsi="Cambria Math" w:cs="Times New Roman"/>
                <w:sz w:val="24"/>
                <w:szCs w:val="24"/>
              </w:rPr>
              <m:t>δ</m:t>
            </m:r>
          </m:e>
          <m:sub>
            <m:r>
              <w:rPr>
                <w:rFonts w:ascii="Cambria Math" w:hAnsi="Cambria Math" w:cs="Times New Roman"/>
                <w:sz w:val="24"/>
                <w:szCs w:val="24"/>
              </w:rPr>
              <m:t>i</m:t>
            </m:r>
          </m:sub>
        </m:sSub>
        <m:r>
          <w:rPr>
            <w:rFonts w:ascii="Cambria Math" w:hAnsi="Cambria Math" w:cs="Times New Roman"/>
            <w:sz w:val="24"/>
            <w:szCs w:val="24"/>
          </w:rPr>
          <m:t xml:space="preserve">) </m:t>
        </m:r>
      </m:oMath>
      <w:r w:rsidRPr="00E378F7">
        <w:rPr>
          <w:rFonts w:ascii="Times New Roman" w:eastAsiaTheme="minorEastAsia" w:hAnsi="Times New Roman"/>
          <w:sz w:val="24"/>
          <w:szCs w:val="24"/>
        </w:rPr>
        <w:t xml:space="preserve">from equation (3.6) to transform the data. The model is then estimated using nonlinear least squares. The third stage requires determining the number of transition functions, which essentially implies testing the null hypothesis that there is no remaining nonlinearity in the transition function (Thanh, 2015). To perform the test, the </w:t>
      </w:r>
      <w:r w:rsidRPr="00E378F7">
        <w:rPr>
          <w:rFonts w:ascii="Times New Roman" w:hAnsi="Times New Roman"/>
          <w:sz w:val="24"/>
          <w:szCs w:val="24"/>
        </w:rPr>
        <w:t xml:space="preserve">null hypothesis of a single threshold model </w:t>
      </w:r>
      <m:oMath>
        <m:r>
          <w:rPr>
            <w:rFonts w:ascii="Cambria Math" w:hAnsi="Cambria Math"/>
            <w:sz w:val="24"/>
            <w:szCs w:val="24"/>
          </w:rPr>
          <m:t xml:space="preserve"> </m:t>
        </m:r>
        <m:d>
          <m:dPr>
            <m:ctrlPr>
              <w:rPr>
                <w:rFonts w:ascii="Cambria Math" w:hAnsi="Cambria Math"/>
                <w:sz w:val="24"/>
                <w:szCs w:val="24"/>
              </w:rPr>
            </m:ctrlPr>
          </m:dPr>
          <m:e>
            <m:sSub>
              <m:sSubPr>
                <m:ctrlPr>
                  <w:rPr>
                    <w:rFonts w:ascii="Cambria Math" w:hAnsi="Cambria Math"/>
                    <w:sz w:val="24"/>
                    <w:szCs w:val="24"/>
                  </w:rPr>
                </m:ctrlPr>
              </m:sSubPr>
              <m:e>
                <m:r>
                  <w:rPr>
                    <w:rFonts w:ascii="Cambria Math" w:hAnsi="Cambria Math"/>
                    <w:sz w:val="24"/>
                    <w:szCs w:val="24"/>
                  </w:rPr>
                  <m:t>H</m:t>
                </m:r>
              </m:e>
              <m:sub>
                <m:r>
                  <m:rPr>
                    <m:sty m:val="p"/>
                  </m:rPr>
                  <w:rPr>
                    <w:rFonts w:ascii="Cambria Math" w:hAnsi="Cambria Math"/>
                    <w:sz w:val="24"/>
                    <w:szCs w:val="24"/>
                  </w:rPr>
                  <m:t>0</m:t>
                </m:r>
              </m:sub>
            </m:sSub>
            <m:r>
              <m:rPr>
                <m:sty m:val="p"/>
              </m:rPr>
              <w:rPr>
                <w:rFonts w:ascii="Cambria Math" w:hAnsi="Cambria Math"/>
                <w:sz w:val="24"/>
                <w:szCs w:val="24"/>
              </w:rPr>
              <m:t>:</m:t>
            </m:r>
            <m:r>
              <w:rPr>
                <w:rFonts w:ascii="Cambria Math" w:hAnsi="Cambria Math"/>
                <w:sz w:val="24"/>
                <w:szCs w:val="24"/>
              </w:rPr>
              <m:t>r</m:t>
            </m:r>
            <m:r>
              <m:rPr>
                <m:sty m:val="p"/>
              </m:rPr>
              <w:rPr>
                <w:rFonts w:ascii="Cambria Math" w:hAnsi="Cambria Math"/>
                <w:sz w:val="24"/>
                <w:szCs w:val="24"/>
              </w:rPr>
              <m:t>=1</m:t>
            </m:r>
          </m:e>
        </m:d>
      </m:oMath>
      <w:r w:rsidRPr="00E378F7">
        <w:rPr>
          <w:rFonts w:ascii="Times New Roman" w:hAnsi="Times New Roman"/>
          <w:sz w:val="24"/>
          <w:szCs w:val="24"/>
        </w:rPr>
        <w:t xml:space="preserve"> or two regimes is tested against a model with two (2) threshold values </w:t>
      </w:r>
      <m:oMath>
        <m:r>
          <m:rPr>
            <m:sty m:val="p"/>
          </m:rPr>
          <w:rPr>
            <w:rFonts w:ascii="Cambria Math" w:hAnsi="Cambria Math"/>
            <w:sz w:val="24"/>
            <w:szCs w:val="24"/>
          </w:rPr>
          <m:t xml:space="preserve"> </m:t>
        </m:r>
        <m:d>
          <m:dPr>
            <m:ctrlPr>
              <w:rPr>
                <w:rFonts w:ascii="Cambria Math" w:hAnsi="Cambria Math"/>
                <w:sz w:val="24"/>
                <w:szCs w:val="24"/>
              </w:rPr>
            </m:ctrlPr>
          </m:dPr>
          <m:e>
            <m:sSub>
              <m:sSubPr>
                <m:ctrlPr>
                  <w:rPr>
                    <w:rFonts w:ascii="Cambria Math" w:hAnsi="Cambria Math"/>
                    <w:sz w:val="24"/>
                    <w:szCs w:val="24"/>
                  </w:rPr>
                </m:ctrlPr>
              </m:sSubPr>
              <m:e>
                <m:r>
                  <w:rPr>
                    <w:rFonts w:ascii="Cambria Math" w:hAnsi="Cambria Math"/>
                    <w:sz w:val="24"/>
                    <w:szCs w:val="24"/>
                  </w:rPr>
                  <m:t>H</m:t>
                </m:r>
              </m:e>
              <m:sub>
                <m:r>
                  <m:rPr>
                    <m:sty m:val="p"/>
                  </m:rPr>
                  <w:rPr>
                    <w:rFonts w:ascii="Cambria Math" w:hAnsi="Cambria Math"/>
                    <w:sz w:val="24"/>
                    <w:szCs w:val="24"/>
                  </w:rPr>
                  <m:t>1</m:t>
                </m:r>
              </m:sub>
            </m:sSub>
            <m:r>
              <m:rPr>
                <m:sty m:val="p"/>
              </m:rPr>
              <w:rPr>
                <w:rFonts w:ascii="Cambria Math" w:hAnsi="Cambria Math"/>
                <w:sz w:val="24"/>
                <w:szCs w:val="24"/>
              </w:rPr>
              <m:t>:</m:t>
            </m:r>
            <m:r>
              <w:rPr>
                <w:rFonts w:ascii="Cambria Math" w:hAnsi="Cambria Math"/>
                <w:sz w:val="24"/>
                <w:szCs w:val="24"/>
              </w:rPr>
              <m:t>r</m:t>
            </m:r>
            <m:r>
              <m:rPr>
                <m:sty m:val="p"/>
              </m:rPr>
              <w:rPr>
                <w:rFonts w:ascii="Cambria Math" w:hAnsi="Cambria Math"/>
                <w:sz w:val="24"/>
                <w:szCs w:val="24"/>
              </w:rPr>
              <m:t>=2</m:t>
            </m:r>
          </m:e>
        </m:d>
      </m:oMath>
      <w:r w:rsidRPr="00E378F7">
        <w:rPr>
          <w:rFonts w:ascii="Times New Roman" w:hAnsi="Times New Roman"/>
          <w:sz w:val="24"/>
          <w:szCs w:val="24"/>
        </w:rPr>
        <w:t xml:space="preserve"> or </w:t>
      </w:r>
      <w:r w:rsidRPr="00E378F7">
        <w:rPr>
          <w:rFonts w:ascii="Times New Roman" w:hAnsi="Times New Roman"/>
          <w:sz w:val="24"/>
          <w:szCs w:val="24"/>
        </w:rPr>
        <w:lastRenderedPageBreak/>
        <w:t xml:space="preserve">three regimes. A PSTR model with </w:t>
      </w:r>
      <w:r w:rsidR="00A64D6E" w:rsidRPr="00E378F7">
        <w:rPr>
          <w:rFonts w:ascii="Times New Roman" w:hAnsi="Times New Roman"/>
          <w:sz w:val="24"/>
          <w:szCs w:val="24"/>
        </w:rPr>
        <w:t xml:space="preserve">two </w:t>
      </w:r>
      <w:r w:rsidRPr="00E378F7">
        <w:rPr>
          <w:rFonts w:ascii="Times New Roman" w:hAnsi="Times New Roman"/>
          <w:sz w:val="24"/>
          <w:szCs w:val="24"/>
        </w:rPr>
        <w:t xml:space="preserve">transition functions or </w:t>
      </w:r>
      <w:r w:rsidR="00A64D6E" w:rsidRPr="00E378F7">
        <w:rPr>
          <w:rFonts w:ascii="Times New Roman" w:hAnsi="Times New Roman"/>
          <w:sz w:val="24"/>
          <w:szCs w:val="24"/>
        </w:rPr>
        <w:t xml:space="preserve">three </w:t>
      </w:r>
      <w:r w:rsidRPr="00E378F7">
        <w:rPr>
          <w:rFonts w:ascii="Times New Roman" w:hAnsi="Times New Roman"/>
          <w:sz w:val="24"/>
          <w:szCs w:val="24"/>
        </w:rPr>
        <w:t>regimes will take the form:</w:t>
      </w:r>
    </w:p>
    <w:p w14:paraId="18BE51D8" w14:textId="324E5356" w:rsidR="00146409" w:rsidRPr="00E378F7" w:rsidRDefault="007835DC" w:rsidP="008E4E1C">
      <w:pPr>
        <w:spacing w:line="360" w:lineRule="auto"/>
        <w:jc w:val="both"/>
        <w:rPr>
          <w:rFonts w:ascii="Times New Roman" w:hAnsi="Times New Roman"/>
          <w:sz w:val="24"/>
          <w:szCs w:val="24"/>
        </w:rPr>
      </w:pPr>
      <m:oMath>
        <m:sSub>
          <m:sSubPr>
            <m:ctrlPr>
              <w:rPr>
                <w:rFonts w:ascii="Cambria Math" w:hAnsi="Cambria Math"/>
                <w:sz w:val="24"/>
                <w:szCs w:val="24"/>
              </w:rPr>
            </m:ctrlPr>
          </m:sSubPr>
          <m:e>
            <m:r>
              <m:rPr>
                <m:sty m:val="p"/>
              </m:rPr>
              <w:rPr>
                <w:rFonts w:ascii="Cambria Math" w:hAnsi="Cambria Math"/>
                <w:sz w:val="24"/>
                <w:szCs w:val="24"/>
              </w:rPr>
              <m:t xml:space="preserve">     </m:t>
            </m:r>
            <m:r>
              <w:rPr>
                <w:rFonts w:ascii="Cambria Math" w:hAnsi="Cambria Math"/>
                <w:sz w:val="24"/>
                <w:szCs w:val="24"/>
              </w:rPr>
              <m:t>g</m:t>
            </m:r>
          </m:e>
          <m:sub>
            <m:r>
              <w:rPr>
                <w:rFonts w:ascii="Cambria Math" w:hAnsi="Cambria Math"/>
                <w:sz w:val="24"/>
                <w:szCs w:val="24"/>
              </w:rPr>
              <m:t>it</m:t>
            </m:r>
          </m:sub>
        </m:sSub>
        <m:r>
          <m:rPr>
            <m:sty m:val="p"/>
          </m:rPr>
          <w:rPr>
            <w:rFonts w:ascii="Cambria Math" w:hAnsi="Cambria Math"/>
            <w:sz w:val="24"/>
            <w:szCs w:val="24"/>
          </w:rPr>
          <m:t>=</m:t>
        </m:r>
        <m:sSub>
          <m:sSubPr>
            <m:ctrlPr>
              <w:rPr>
                <w:rFonts w:ascii="Cambria Math" w:hAnsi="Cambria Math"/>
                <w:sz w:val="24"/>
                <w:szCs w:val="24"/>
              </w:rPr>
            </m:ctrlPr>
          </m:sSubPr>
          <m:e>
            <m:r>
              <w:rPr>
                <w:rFonts w:ascii="Cambria Math" w:hAnsi="Cambria Math"/>
                <w:sz w:val="24"/>
                <w:szCs w:val="24"/>
              </w:rPr>
              <m:t>α</m:t>
            </m:r>
          </m:e>
          <m:sub>
            <m:r>
              <w:rPr>
                <w:rFonts w:ascii="Cambria Math" w:hAnsi="Cambria Math"/>
                <w:sz w:val="24"/>
                <w:szCs w:val="24"/>
              </w:rPr>
              <m:t>i</m:t>
            </m:r>
          </m:sub>
        </m:sSub>
        <m:sSub>
          <m:sSubPr>
            <m:ctrlPr>
              <w:rPr>
                <w:rFonts w:ascii="Cambria Math" w:hAnsi="Cambria Math"/>
                <w:sz w:val="24"/>
                <w:szCs w:val="24"/>
              </w:rPr>
            </m:ctrlPr>
          </m:sSubPr>
          <m:e>
            <m:r>
              <m:rPr>
                <m:sty m:val="p"/>
              </m:rPr>
              <w:rPr>
                <w:rFonts w:ascii="Cambria Math" w:hAnsi="Cambria Math"/>
                <w:sz w:val="24"/>
                <w:szCs w:val="24"/>
              </w:rPr>
              <m:t>+</m:t>
            </m:r>
            <m:r>
              <w:rPr>
                <w:rFonts w:ascii="Cambria Math" w:hAnsi="Cambria Math"/>
                <w:sz w:val="24"/>
                <w:szCs w:val="24"/>
              </w:rPr>
              <m:t>β</m:t>
            </m:r>
          </m:e>
          <m:sub>
            <m:r>
              <m:rPr>
                <m:sty m:val="p"/>
              </m:rPr>
              <w:rPr>
                <w:rFonts w:ascii="Cambria Math" w:hAnsi="Cambria Math"/>
                <w:sz w:val="24"/>
                <w:szCs w:val="24"/>
              </w:rPr>
              <m:t>0</m:t>
            </m:r>
          </m:sub>
        </m:sSub>
        <m:sSub>
          <m:sSubPr>
            <m:ctrlPr>
              <w:rPr>
                <w:rFonts w:ascii="Cambria Math" w:hAnsi="Cambria Math"/>
                <w:sz w:val="24"/>
                <w:szCs w:val="24"/>
              </w:rPr>
            </m:ctrlPr>
          </m:sSubPr>
          <m:e>
            <m:r>
              <w:rPr>
                <w:rFonts w:ascii="Cambria Math" w:hAnsi="Cambria Math"/>
                <w:sz w:val="24"/>
                <w:szCs w:val="24"/>
              </w:rPr>
              <m:t>x</m:t>
            </m:r>
          </m:e>
          <m:sub>
            <m:r>
              <w:rPr>
                <w:rFonts w:ascii="Cambria Math" w:hAnsi="Cambria Math"/>
                <w:sz w:val="24"/>
                <w:szCs w:val="24"/>
              </w:rPr>
              <m:t>it</m:t>
            </m:r>
          </m:sub>
        </m:sSub>
        <m:r>
          <m:rPr>
            <m:sty m:val="p"/>
          </m:rPr>
          <w:rPr>
            <w:rFonts w:ascii="Cambria Math" w:hAnsi="Cambria Math"/>
            <w:sz w:val="24"/>
            <w:szCs w:val="24"/>
          </w:rPr>
          <m:t>+</m:t>
        </m:r>
        <m:sSub>
          <m:sSubPr>
            <m:ctrlPr>
              <w:rPr>
                <w:rFonts w:ascii="Cambria Math" w:hAnsi="Cambria Math"/>
                <w:sz w:val="24"/>
                <w:szCs w:val="24"/>
              </w:rPr>
            </m:ctrlPr>
          </m:sSubPr>
          <m:e>
            <m:sSup>
              <m:sSupPr>
                <m:ctrlPr>
                  <w:rPr>
                    <w:rFonts w:ascii="Cambria Math" w:hAnsi="Cambria Math"/>
                    <w:sz w:val="24"/>
                    <w:szCs w:val="24"/>
                  </w:rPr>
                </m:ctrlPr>
              </m:sSupPr>
              <m:e>
                <m:r>
                  <w:rPr>
                    <w:rFonts w:ascii="Cambria Math" w:hAnsi="Cambria Math"/>
                    <w:sz w:val="24"/>
                    <w:szCs w:val="24"/>
                  </w:rPr>
                  <m:t>β</m:t>
                </m:r>
              </m:e>
              <m:sup>
                <m:r>
                  <m:rPr>
                    <m:sty m:val="p"/>
                  </m:rPr>
                  <w:rPr>
                    <w:rFonts w:ascii="Cambria Math" w:hAnsi="Cambria Math"/>
                    <w:sz w:val="24"/>
                    <w:szCs w:val="24"/>
                  </w:rPr>
                  <m:t>'</m:t>
                </m:r>
              </m:sup>
            </m:sSup>
          </m:e>
          <m:sub>
            <m:r>
              <m:rPr>
                <m:sty m:val="p"/>
              </m:rPr>
              <w:rPr>
                <w:rFonts w:ascii="Cambria Math" w:hAnsi="Cambria Math"/>
                <w:sz w:val="24"/>
                <w:szCs w:val="24"/>
              </w:rPr>
              <m:t>1</m:t>
            </m:r>
          </m:sub>
        </m:sSub>
        <m:r>
          <m:rPr>
            <m:sty m:val="p"/>
          </m:rPr>
          <w:rPr>
            <w:rFonts w:ascii="Cambria Math" w:hAnsi="Cambria Math"/>
            <w:sz w:val="24"/>
            <w:szCs w:val="24"/>
          </w:rPr>
          <m:t xml:space="preserve"> </m:t>
        </m:r>
        <m:sSub>
          <m:sSubPr>
            <m:ctrlPr>
              <w:rPr>
                <w:rFonts w:ascii="Cambria Math" w:hAnsi="Cambria Math"/>
                <w:sz w:val="24"/>
                <w:szCs w:val="24"/>
              </w:rPr>
            </m:ctrlPr>
          </m:sSubPr>
          <m:e>
            <m:r>
              <w:rPr>
                <w:rFonts w:ascii="Cambria Math" w:hAnsi="Cambria Math"/>
                <w:sz w:val="24"/>
                <w:szCs w:val="24"/>
              </w:rPr>
              <m:t>x</m:t>
            </m:r>
          </m:e>
          <m:sub>
            <m:r>
              <w:rPr>
                <w:rFonts w:ascii="Cambria Math" w:hAnsi="Cambria Math"/>
                <w:sz w:val="24"/>
                <w:szCs w:val="24"/>
              </w:rPr>
              <m:t>it</m:t>
            </m:r>
          </m:sub>
        </m:sSub>
        <m:sSub>
          <m:sSubPr>
            <m:ctrlPr>
              <w:rPr>
                <w:rFonts w:ascii="Cambria Math" w:hAnsi="Cambria Math"/>
                <w:sz w:val="24"/>
                <w:szCs w:val="24"/>
              </w:rPr>
            </m:ctrlPr>
          </m:sSubPr>
          <m:e>
            <m:r>
              <w:rPr>
                <w:rFonts w:ascii="Cambria Math" w:hAnsi="Cambria Math"/>
                <w:sz w:val="24"/>
                <w:szCs w:val="24"/>
              </w:rPr>
              <m:t>θ</m:t>
            </m:r>
          </m:e>
          <m:sub>
            <m:r>
              <m:rPr>
                <m:sty m:val="p"/>
              </m:rPr>
              <w:rPr>
                <w:rFonts w:ascii="Cambria Math" w:hAnsi="Cambria Math"/>
                <w:sz w:val="24"/>
                <w:szCs w:val="24"/>
              </w:rPr>
              <m:t>1</m:t>
            </m:r>
          </m:sub>
        </m:sSub>
        <m:d>
          <m:dPr>
            <m:ctrlPr>
              <w:rPr>
                <w:rFonts w:ascii="Cambria Math" w:hAnsi="Cambria Math"/>
                <w:sz w:val="24"/>
                <w:szCs w:val="24"/>
              </w:rPr>
            </m:ctrlPr>
          </m:dPr>
          <m:e>
            <m:sSub>
              <m:sSubPr>
                <m:ctrlPr>
                  <w:rPr>
                    <w:rFonts w:ascii="Cambria Math" w:hAnsi="Cambria Math"/>
                    <w:sz w:val="24"/>
                    <w:szCs w:val="24"/>
                  </w:rPr>
                </m:ctrlPr>
              </m:sSubPr>
              <m:e>
                <m:r>
                  <w:rPr>
                    <w:rFonts w:ascii="Cambria Math" w:hAnsi="Cambria Math"/>
                    <w:sz w:val="24"/>
                    <w:szCs w:val="24"/>
                  </w:rPr>
                  <m:t>fd</m:t>
                </m:r>
              </m:e>
              <m:sub>
                <m:r>
                  <w:rPr>
                    <w:rFonts w:ascii="Cambria Math" w:hAnsi="Cambria Math"/>
                    <w:sz w:val="24"/>
                    <w:szCs w:val="24"/>
                  </w:rPr>
                  <m:t>i</m:t>
                </m:r>
                <m:r>
                  <m:rPr>
                    <m:sty m:val="p"/>
                  </m:rPr>
                  <w:rPr>
                    <w:rFonts w:ascii="Cambria Math" w:hAnsi="Cambria Math"/>
                    <w:sz w:val="24"/>
                    <w:szCs w:val="24"/>
                  </w:rPr>
                  <m:t>,</m:t>
                </m:r>
                <m:r>
                  <w:rPr>
                    <w:rFonts w:ascii="Cambria Math" w:hAnsi="Cambria Math"/>
                    <w:sz w:val="24"/>
                    <w:szCs w:val="24"/>
                  </w:rPr>
                  <m:t>t</m:t>
                </m:r>
                <m:r>
                  <m:rPr>
                    <m:sty m:val="p"/>
                  </m:rPr>
                  <w:rPr>
                    <w:rFonts w:ascii="Cambria Math" w:hAnsi="Cambria Math"/>
                    <w:sz w:val="24"/>
                    <w:szCs w:val="24"/>
                  </w:rPr>
                  <m:t>-1</m:t>
                </m:r>
              </m:sub>
            </m:sSub>
            <m:r>
              <m:rPr>
                <m:sty m:val="p"/>
              </m:rPr>
              <w:rPr>
                <w:rFonts w:ascii="Cambria Math" w:hAnsi="Cambria Math"/>
                <w:sz w:val="24"/>
                <w:szCs w:val="24"/>
              </w:rPr>
              <m:t xml:space="preserve">; </m:t>
            </m:r>
            <m:r>
              <w:rPr>
                <w:rFonts w:ascii="Cambria Math" w:hAnsi="Cambria Math"/>
                <w:sz w:val="24"/>
                <w:szCs w:val="24"/>
              </w:rPr>
              <m:t>γ</m:t>
            </m:r>
            <m:r>
              <m:rPr>
                <m:sty m:val="p"/>
              </m:rPr>
              <w:rPr>
                <w:rFonts w:ascii="Cambria Math" w:hAnsi="Cambria Math"/>
                <w:sz w:val="24"/>
                <w:szCs w:val="24"/>
              </w:rPr>
              <m:t xml:space="preserve">, </m:t>
            </m:r>
            <m:r>
              <w:rPr>
                <w:rFonts w:ascii="Cambria Math" w:hAnsi="Cambria Math"/>
                <w:sz w:val="24"/>
                <w:szCs w:val="24"/>
              </w:rPr>
              <m:t>ϑ</m:t>
            </m:r>
          </m:e>
        </m:d>
        <m:r>
          <m:rPr>
            <m:sty m:val="p"/>
          </m:rPr>
          <w:rPr>
            <w:rFonts w:ascii="Cambria Math" w:hAnsi="Cambria Math"/>
            <w:sz w:val="24"/>
            <w:szCs w:val="24"/>
          </w:rPr>
          <m:t xml:space="preserve"> +</m:t>
        </m:r>
        <m:sSub>
          <m:sSubPr>
            <m:ctrlPr>
              <w:rPr>
                <w:rFonts w:ascii="Cambria Math" w:hAnsi="Cambria Math"/>
                <w:sz w:val="24"/>
                <w:szCs w:val="24"/>
              </w:rPr>
            </m:ctrlPr>
          </m:sSubPr>
          <m:e>
            <m:sSup>
              <m:sSupPr>
                <m:ctrlPr>
                  <w:rPr>
                    <w:rFonts w:ascii="Cambria Math" w:hAnsi="Cambria Math"/>
                    <w:sz w:val="24"/>
                    <w:szCs w:val="24"/>
                  </w:rPr>
                </m:ctrlPr>
              </m:sSupPr>
              <m:e>
                <m:r>
                  <w:rPr>
                    <w:rFonts w:ascii="Cambria Math" w:hAnsi="Cambria Math"/>
                    <w:sz w:val="24"/>
                    <w:szCs w:val="24"/>
                  </w:rPr>
                  <m:t>β</m:t>
                </m:r>
              </m:e>
              <m:sup>
                <m:r>
                  <m:rPr>
                    <m:sty m:val="p"/>
                  </m:rPr>
                  <w:rPr>
                    <w:rFonts w:ascii="Cambria Math" w:hAnsi="Cambria Math"/>
                    <w:sz w:val="24"/>
                    <w:szCs w:val="24"/>
                  </w:rPr>
                  <m:t>'</m:t>
                </m:r>
              </m:sup>
            </m:sSup>
          </m:e>
          <m:sub>
            <m:r>
              <m:rPr>
                <m:sty m:val="p"/>
              </m:rPr>
              <w:rPr>
                <w:rFonts w:ascii="Cambria Math" w:hAnsi="Cambria Math"/>
                <w:sz w:val="24"/>
                <w:szCs w:val="24"/>
              </w:rPr>
              <m:t>2</m:t>
            </m:r>
          </m:sub>
        </m:sSub>
        <m:r>
          <m:rPr>
            <m:sty m:val="p"/>
          </m:rPr>
          <w:rPr>
            <w:rFonts w:ascii="Cambria Math" w:hAnsi="Cambria Math"/>
            <w:sz w:val="24"/>
            <w:szCs w:val="24"/>
          </w:rPr>
          <m:t xml:space="preserve"> </m:t>
        </m:r>
        <m:sSub>
          <m:sSubPr>
            <m:ctrlPr>
              <w:rPr>
                <w:rFonts w:ascii="Cambria Math" w:hAnsi="Cambria Math"/>
                <w:sz w:val="24"/>
                <w:szCs w:val="24"/>
              </w:rPr>
            </m:ctrlPr>
          </m:sSubPr>
          <m:e>
            <m:r>
              <w:rPr>
                <w:rFonts w:ascii="Cambria Math" w:hAnsi="Cambria Math"/>
                <w:sz w:val="24"/>
                <w:szCs w:val="24"/>
              </w:rPr>
              <m:t>x</m:t>
            </m:r>
          </m:e>
          <m:sub>
            <m:r>
              <w:rPr>
                <w:rFonts w:ascii="Cambria Math" w:hAnsi="Cambria Math"/>
                <w:sz w:val="24"/>
                <w:szCs w:val="24"/>
              </w:rPr>
              <m:t>it</m:t>
            </m:r>
          </m:sub>
        </m:sSub>
        <m:sSub>
          <m:sSubPr>
            <m:ctrlPr>
              <w:rPr>
                <w:rFonts w:ascii="Cambria Math" w:hAnsi="Cambria Math"/>
                <w:sz w:val="24"/>
                <w:szCs w:val="24"/>
              </w:rPr>
            </m:ctrlPr>
          </m:sSubPr>
          <m:e>
            <m:r>
              <w:rPr>
                <w:rFonts w:ascii="Cambria Math" w:hAnsi="Cambria Math"/>
                <w:sz w:val="24"/>
                <w:szCs w:val="24"/>
              </w:rPr>
              <m:t>θ</m:t>
            </m:r>
          </m:e>
          <m:sub>
            <m:r>
              <m:rPr>
                <m:sty m:val="p"/>
              </m:rPr>
              <w:rPr>
                <w:rFonts w:ascii="Cambria Math" w:hAnsi="Cambria Math"/>
                <w:sz w:val="24"/>
                <w:szCs w:val="24"/>
              </w:rPr>
              <m:t>2</m:t>
            </m:r>
          </m:sub>
        </m:sSub>
        <m:d>
          <m:dPr>
            <m:ctrlPr>
              <w:rPr>
                <w:rFonts w:ascii="Cambria Math" w:hAnsi="Cambria Math"/>
                <w:sz w:val="24"/>
                <w:szCs w:val="24"/>
              </w:rPr>
            </m:ctrlPr>
          </m:dPr>
          <m:e>
            <m:sSub>
              <m:sSubPr>
                <m:ctrlPr>
                  <w:rPr>
                    <w:rFonts w:ascii="Cambria Math" w:hAnsi="Cambria Math"/>
                    <w:sz w:val="24"/>
                    <w:szCs w:val="24"/>
                  </w:rPr>
                </m:ctrlPr>
              </m:sSubPr>
              <m:e>
                <m:r>
                  <w:rPr>
                    <w:rFonts w:ascii="Cambria Math" w:hAnsi="Cambria Math"/>
                    <w:sz w:val="24"/>
                    <w:szCs w:val="24"/>
                  </w:rPr>
                  <m:t>fd</m:t>
                </m:r>
              </m:e>
              <m:sub>
                <m:r>
                  <w:rPr>
                    <w:rFonts w:ascii="Cambria Math" w:hAnsi="Cambria Math"/>
                    <w:sz w:val="24"/>
                    <w:szCs w:val="24"/>
                  </w:rPr>
                  <m:t>i</m:t>
                </m:r>
                <m:r>
                  <m:rPr>
                    <m:sty m:val="p"/>
                  </m:rPr>
                  <w:rPr>
                    <w:rFonts w:ascii="Cambria Math" w:hAnsi="Cambria Math"/>
                    <w:sz w:val="24"/>
                    <w:szCs w:val="24"/>
                  </w:rPr>
                  <m:t>,</m:t>
                </m:r>
                <m:r>
                  <w:rPr>
                    <w:rFonts w:ascii="Cambria Math" w:hAnsi="Cambria Math"/>
                    <w:sz w:val="24"/>
                    <w:szCs w:val="24"/>
                  </w:rPr>
                  <m:t>t</m:t>
                </m:r>
                <m:r>
                  <m:rPr>
                    <m:sty m:val="p"/>
                  </m:rPr>
                  <w:rPr>
                    <w:rFonts w:ascii="Cambria Math" w:hAnsi="Cambria Math"/>
                    <w:sz w:val="24"/>
                    <w:szCs w:val="24"/>
                  </w:rPr>
                  <m:t>-1</m:t>
                </m:r>
              </m:sub>
            </m:sSub>
            <m:r>
              <m:rPr>
                <m:sty m:val="p"/>
              </m:rPr>
              <w:rPr>
                <w:rFonts w:ascii="Cambria Math" w:hAnsi="Cambria Math"/>
                <w:sz w:val="24"/>
                <w:szCs w:val="24"/>
              </w:rPr>
              <m:t xml:space="preserve">; </m:t>
            </m:r>
            <m:r>
              <w:rPr>
                <w:rFonts w:ascii="Cambria Math" w:hAnsi="Cambria Math"/>
                <w:sz w:val="24"/>
                <w:szCs w:val="24"/>
              </w:rPr>
              <m:t>γ</m:t>
            </m:r>
            <m:r>
              <m:rPr>
                <m:sty m:val="p"/>
              </m:rPr>
              <w:rPr>
                <w:rFonts w:ascii="Cambria Math" w:hAnsi="Cambria Math"/>
                <w:sz w:val="24"/>
                <w:szCs w:val="24"/>
              </w:rPr>
              <m:t xml:space="preserve">, </m:t>
            </m:r>
            <m:r>
              <w:rPr>
                <w:rFonts w:ascii="Cambria Math" w:hAnsi="Cambria Math"/>
                <w:sz w:val="24"/>
                <w:szCs w:val="24"/>
              </w:rPr>
              <m:t>ϑ</m:t>
            </m:r>
          </m:e>
        </m:d>
        <m:r>
          <m:rPr>
            <m:sty m:val="p"/>
          </m:rPr>
          <w:rPr>
            <w:rFonts w:ascii="Cambria Math" w:hAnsi="Cambria Math"/>
            <w:sz w:val="24"/>
            <w:szCs w:val="24"/>
          </w:rPr>
          <m:t>+</m:t>
        </m:r>
        <m:sSub>
          <m:sSubPr>
            <m:ctrlPr>
              <w:rPr>
                <w:rFonts w:ascii="Cambria Math" w:hAnsi="Cambria Math"/>
                <w:sz w:val="24"/>
                <w:szCs w:val="24"/>
              </w:rPr>
            </m:ctrlPr>
          </m:sSubPr>
          <m:e>
            <m:r>
              <m:rPr>
                <m:sty m:val="p"/>
              </m:rPr>
              <w:rPr>
                <w:rFonts w:ascii="Cambria Math" w:hAnsi="Cambria Math"/>
                <w:sz w:val="24"/>
                <w:szCs w:val="24"/>
              </w:rPr>
              <m:t xml:space="preserve"> </m:t>
            </m:r>
            <m:r>
              <w:rPr>
                <w:rFonts w:ascii="Cambria Math" w:hAnsi="Cambria Math"/>
                <w:sz w:val="24"/>
                <w:szCs w:val="24"/>
              </w:rPr>
              <m:t>ε</m:t>
            </m:r>
          </m:e>
          <m:sub>
            <m:r>
              <w:rPr>
                <w:rFonts w:ascii="Cambria Math" w:hAnsi="Cambria Math"/>
                <w:sz w:val="24"/>
                <w:szCs w:val="24"/>
              </w:rPr>
              <m:t>it</m:t>
            </m:r>
          </m:sub>
        </m:sSub>
      </m:oMath>
      <w:r w:rsidR="00146409" w:rsidRPr="00E378F7">
        <w:rPr>
          <w:rFonts w:ascii="Times New Roman" w:hAnsi="Times New Roman"/>
          <w:sz w:val="24"/>
          <w:szCs w:val="24"/>
        </w:rPr>
        <w:tab/>
        <w:t>(3.8)</w:t>
      </w:r>
    </w:p>
    <w:p w14:paraId="58568816" w14:textId="77777777" w:rsidR="00146409" w:rsidRPr="00E378F7" w:rsidRDefault="00146409" w:rsidP="008E4E1C">
      <w:pPr>
        <w:spacing w:line="360" w:lineRule="auto"/>
        <w:jc w:val="both"/>
        <w:rPr>
          <w:rFonts w:ascii="Times New Roman" w:hAnsi="Times New Roman"/>
          <w:sz w:val="24"/>
          <w:szCs w:val="24"/>
        </w:rPr>
      </w:pPr>
      <w:r w:rsidRPr="00E378F7">
        <w:rPr>
          <w:rFonts w:ascii="Times New Roman" w:hAnsi="Times New Roman"/>
          <w:sz w:val="24"/>
          <w:szCs w:val="24"/>
        </w:rPr>
        <w:t>As in equation (7), the auxiliary regression is obtained by replacing the transition function with its first-order Taylor expansion around</w:t>
      </w:r>
      <m:oMath>
        <m:r>
          <m:rPr>
            <m:sty m:val="p"/>
          </m:rPr>
          <w:rPr>
            <w:rFonts w:ascii="Cambria Math" w:hAnsi="Cambria Math"/>
            <w:sz w:val="24"/>
            <w:szCs w:val="24"/>
          </w:rPr>
          <m:t xml:space="preserve"> </m:t>
        </m:r>
        <m:r>
          <w:rPr>
            <w:rFonts w:ascii="Cambria Math" w:hAnsi="Cambria Math"/>
            <w:sz w:val="24"/>
            <w:szCs w:val="24"/>
          </w:rPr>
          <m:t>γ</m:t>
        </m:r>
        <m:r>
          <m:rPr>
            <m:sty m:val="p"/>
          </m:rPr>
          <w:rPr>
            <w:rFonts w:ascii="Cambria Math" w:hAnsi="Cambria Math"/>
            <w:sz w:val="24"/>
            <w:szCs w:val="24"/>
          </w:rPr>
          <m:t>=0</m:t>
        </m:r>
      </m:oMath>
      <w:r w:rsidRPr="00E378F7">
        <w:rPr>
          <w:rFonts w:ascii="Times New Roman" w:hAnsi="Times New Roman"/>
          <w:sz w:val="24"/>
          <w:szCs w:val="24"/>
        </w:rPr>
        <w:t>, as specified in equation 9:</w:t>
      </w:r>
    </w:p>
    <w:p w14:paraId="0AAF8BD0" w14:textId="707EC9D9" w:rsidR="00146409" w:rsidRPr="00E378F7" w:rsidRDefault="007835DC" w:rsidP="008E4E1C">
      <w:pPr>
        <w:spacing w:line="360" w:lineRule="auto"/>
        <w:jc w:val="both"/>
        <w:rPr>
          <w:rFonts w:ascii="Times New Roman" w:hAnsi="Times New Roman"/>
          <w:sz w:val="24"/>
          <w:szCs w:val="24"/>
        </w:rPr>
      </w:pPr>
      <m:oMath>
        <m:sSub>
          <m:sSubPr>
            <m:ctrlPr>
              <w:rPr>
                <w:rFonts w:ascii="Cambria Math" w:hAnsi="Cambria Math"/>
                <w:sz w:val="24"/>
                <w:szCs w:val="24"/>
              </w:rPr>
            </m:ctrlPr>
          </m:sSubPr>
          <m:e>
            <m:r>
              <m:rPr>
                <m:sty m:val="p"/>
              </m:rPr>
              <w:rPr>
                <w:rFonts w:ascii="Cambria Math" w:hAnsi="Cambria Math"/>
                <w:sz w:val="24"/>
                <w:szCs w:val="24"/>
              </w:rPr>
              <m:t xml:space="preserve">  </m:t>
            </m:r>
            <m:r>
              <w:rPr>
                <w:rFonts w:ascii="Cambria Math" w:hAnsi="Cambria Math"/>
                <w:sz w:val="24"/>
                <w:szCs w:val="24"/>
              </w:rPr>
              <m:t>g</m:t>
            </m:r>
          </m:e>
          <m:sub>
            <m:r>
              <w:rPr>
                <w:rFonts w:ascii="Cambria Math" w:hAnsi="Cambria Math"/>
                <w:sz w:val="24"/>
                <w:szCs w:val="24"/>
              </w:rPr>
              <m:t>it</m:t>
            </m:r>
          </m:sub>
        </m:sSub>
        <m:r>
          <m:rPr>
            <m:sty m:val="p"/>
          </m:rPr>
          <w:rPr>
            <w:rFonts w:ascii="Cambria Math" w:hAnsi="Cambria Math"/>
            <w:sz w:val="24"/>
            <w:szCs w:val="24"/>
          </w:rPr>
          <m:t>=</m:t>
        </m:r>
        <m:sSub>
          <m:sSubPr>
            <m:ctrlPr>
              <w:rPr>
                <w:rFonts w:ascii="Cambria Math" w:hAnsi="Cambria Math"/>
                <w:sz w:val="24"/>
                <w:szCs w:val="24"/>
              </w:rPr>
            </m:ctrlPr>
          </m:sSubPr>
          <m:e>
            <m:r>
              <w:rPr>
                <w:rFonts w:ascii="Cambria Math" w:hAnsi="Cambria Math"/>
                <w:sz w:val="24"/>
                <w:szCs w:val="24"/>
              </w:rPr>
              <m:t>α</m:t>
            </m:r>
          </m:e>
          <m:sub>
            <m:r>
              <w:rPr>
                <w:rFonts w:ascii="Cambria Math" w:hAnsi="Cambria Math"/>
                <w:sz w:val="24"/>
                <w:szCs w:val="24"/>
              </w:rPr>
              <m:t>i</m:t>
            </m:r>
          </m:sub>
        </m:sSub>
        <m:sSub>
          <m:sSubPr>
            <m:ctrlPr>
              <w:rPr>
                <w:rFonts w:ascii="Cambria Math" w:hAnsi="Cambria Math"/>
                <w:sz w:val="24"/>
                <w:szCs w:val="24"/>
              </w:rPr>
            </m:ctrlPr>
          </m:sSubPr>
          <m:e>
            <m:r>
              <m:rPr>
                <m:sty m:val="p"/>
              </m:rPr>
              <w:rPr>
                <w:rFonts w:ascii="Cambria Math" w:hAnsi="Cambria Math"/>
                <w:sz w:val="24"/>
                <w:szCs w:val="24"/>
              </w:rPr>
              <m:t>+</m:t>
            </m:r>
            <m:r>
              <w:rPr>
                <w:rFonts w:ascii="Cambria Math" w:hAnsi="Cambria Math"/>
                <w:sz w:val="24"/>
                <w:szCs w:val="24"/>
              </w:rPr>
              <m:t>β</m:t>
            </m:r>
          </m:e>
          <m:sub>
            <m:r>
              <m:rPr>
                <m:sty m:val="p"/>
              </m:rPr>
              <w:rPr>
                <w:rFonts w:ascii="Cambria Math" w:hAnsi="Cambria Math"/>
                <w:sz w:val="24"/>
                <w:szCs w:val="24"/>
              </w:rPr>
              <m:t>0</m:t>
            </m:r>
          </m:sub>
        </m:sSub>
        <m:sSub>
          <m:sSubPr>
            <m:ctrlPr>
              <w:rPr>
                <w:rFonts w:ascii="Cambria Math" w:hAnsi="Cambria Math"/>
                <w:sz w:val="24"/>
                <w:szCs w:val="24"/>
              </w:rPr>
            </m:ctrlPr>
          </m:sSubPr>
          <m:e>
            <m:r>
              <w:rPr>
                <w:rFonts w:ascii="Cambria Math" w:hAnsi="Cambria Math"/>
                <w:sz w:val="24"/>
                <w:szCs w:val="24"/>
              </w:rPr>
              <m:t>x</m:t>
            </m:r>
          </m:e>
          <m:sub>
            <m:r>
              <w:rPr>
                <w:rFonts w:ascii="Cambria Math" w:hAnsi="Cambria Math"/>
                <w:sz w:val="24"/>
                <w:szCs w:val="24"/>
              </w:rPr>
              <m:t>it</m:t>
            </m:r>
          </m:sub>
        </m:sSub>
        <m:r>
          <m:rPr>
            <m:sty m:val="p"/>
          </m:rPr>
          <w:rPr>
            <w:rFonts w:ascii="Cambria Math" w:hAnsi="Cambria Math"/>
            <w:sz w:val="24"/>
            <w:szCs w:val="24"/>
          </w:rPr>
          <m:t>+</m:t>
        </m:r>
        <m:sSub>
          <m:sSubPr>
            <m:ctrlPr>
              <w:rPr>
                <w:rFonts w:ascii="Cambria Math" w:hAnsi="Cambria Math"/>
                <w:sz w:val="24"/>
                <w:szCs w:val="24"/>
              </w:rPr>
            </m:ctrlPr>
          </m:sSubPr>
          <m:e>
            <m:sSup>
              <m:sSupPr>
                <m:ctrlPr>
                  <w:rPr>
                    <w:rFonts w:ascii="Cambria Math" w:hAnsi="Cambria Math"/>
                    <w:sz w:val="24"/>
                    <w:szCs w:val="24"/>
                  </w:rPr>
                </m:ctrlPr>
              </m:sSupPr>
              <m:e>
                <m:r>
                  <w:rPr>
                    <w:rFonts w:ascii="Cambria Math" w:hAnsi="Cambria Math"/>
                    <w:sz w:val="24"/>
                    <w:szCs w:val="24"/>
                  </w:rPr>
                  <m:t>β</m:t>
                </m:r>
              </m:e>
              <m:sup>
                <m:r>
                  <m:rPr>
                    <m:sty m:val="p"/>
                  </m:rPr>
                  <w:rPr>
                    <w:rFonts w:ascii="Cambria Math" w:hAnsi="Cambria Math"/>
                    <w:sz w:val="24"/>
                    <w:szCs w:val="24"/>
                  </w:rPr>
                  <m:t>'</m:t>
                </m:r>
              </m:sup>
            </m:sSup>
          </m:e>
          <m:sub>
            <m:r>
              <m:rPr>
                <m:sty m:val="p"/>
              </m:rPr>
              <w:rPr>
                <w:rFonts w:ascii="Cambria Math" w:hAnsi="Cambria Math"/>
                <w:sz w:val="24"/>
                <w:szCs w:val="24"/>
              </w:rPr>
              <m:t>1</m:t>
            </m:r>
          </m:sub>
        </m:sSub>
        <m:r>
          <m:rPr>
            <m:sty m:val="p"/>
          </m:rPr>
          <w:rPr>
            <w:rFonts w:ascii="Cambria Math" w:hAnsi="Cambria Math"/>
            <w:sz w:val="24"/>
            <w:szCs w:val="24"/>
          </w:rPr>
          <m:t xml:space="preserve"> </m:t>
        </m:r>
        <m:sSub>
          <m:sSubPr>
            <m:ctrlPr>
              <w:rPr>
                <w:rFonts w:ascii="Cambria Math" w:hAnsi="Cambria Math"/>
                <w:sz w:val="24"/>
                <w:szCs w:val="24"/>
              </w:rPr>
            </m:ctrlPr>
          </m:sSubPr>
          <m:e>
            <m:r>
              <w:rPr>
                <w:rFonts w:ascii="Cambria Math" w:hAnsi="Cambria Math"/>
                <w:sz w:val="24"/>
                <w:szCs w:val="24"/>
              </w:rPr>
              <m:t>x</m:t>
            </m:r>
          </m:e>
          <m:sub>
            <m:r>
              <w:rPr>
                <w:rFonts w:ascii="Cambria Math" w:hAnsi="Cambria Math"/>
                <w:sz w:val="24"/>
                <w:szCs w:val="24"/>
              </w:rPr>
              <m:t>it</m:t>
            </m:r>
          </m:sub>
        </m:sSub>
        <m:sSub>
          <m:sSubPr>
            <m:ctrlPr>
              <w:rPr>
                <w:rFonts w:ascii="Cambria Math" w:hAnsi="Cambria Math"/>
                <w:sz w:val="24"/>
                <w:szCs w:val="24"/>
              </w:rPr>
            </m:ctrlPr>
          </m:sSubPr>
          <m:e>
            <m:r>
              <w:rPr>
                <w:rFonts w:ascii="Cambria Math" w:hAnsi="Cambria Math"/>
                <w:sz w:val="24"/>
                <w:szCs w:val="24"/>
              </w:rPr>
              <m:t>θ</m:t>
            </m:r>
          </m:e>
          <m:sub>
            <m:r>
              <m:rPr>
                <m:sty m:val="p"/>
              </m:rPr>
              <w:rPr>
                <w:rFonts w:ascii="Cambria Math" w:hAnsi="Cambria Math"/>
                <w:sz w:val="24"/>
                <w:szCs w:val="24"/>
              </w:rPr>
              <m:t>1</m:t>
            </m:r>
          </m:sub>
        </m:sSub>
        <m:d>
          <m:dPr>
            <m:ctrlPr>
              <w:rPr>
                <w:rFonts w:ascii="Cambria Math" w:hAnsi="Cambria Math"/>
                <w:sz w:val="24"/>
                <w:szCs w:val="24"/>
              </w:rPr>
            </m:ctrlPr>
          </m:dPr>
          <m:e>
            <m:sSub>
              <m:sSubPr>
                <m:ctrlPr>
                  <w:rPr>
                    <w:rFonts w:ascii="Cambria Math" w:hAnsi="Cambria Math"/>
                    <w:sz w:val="24"/>
                    <w:szCs w:val="24"/>
                  </w:rPr>
                </m:ctrlPr>
              </m:sSubPr>
              <m:e>
                <m:r>
                  <w:rPr>
                    <w:rFonts w:ascii="Cambria Math" w:hAnsi="Cambria Math"/>
                    <w:sz w:val="24"/>
                    <w:szCs w:val="24"/>
                  </w:rPr>
                  <m:t>fd</m:t>
                </m:r>
              </m:e>
              <m:sub>
                <m:r>
                  <w:rPr>
                    <w:rFonts w:ascii="Cambria Math" w:hAnsi="Cambria Math"/>
                    <w:sz w:val="24"/>
                    <w:szCs w:val="24"/>
                  </w:rPr>
                  <m:t>i</m:t>
                </m:r>
                <m:r>
                  <m:rPr>
                    <m:sty m:val="p"/>
                  </m:rPr>
                  <w:rPr>
                    <w:rFonts w:ascii="Cambria Math" w:hAnsi="Cambria Math"/>
                    <w:sz w:val="24"/>
                    <w:szCs w:val="24"/>
                  </w:rPr>
                  <m:t>,</m:t>
                </m:r>
                <m:r>
                  <w:rPr>
                    <w:rFonts w:ascii="Cambria Math" w:hAnsi="Cambria Math"/>
                    <w:sz w:val="24"/>
                    <w:szCs w:val="24"/>
                  </w:rPr>
                  <m:t>t</m:t>
                </m:r>
                <m:r>
                  <m:rPr>
                    <m:sty m:val="p"/>
                  </m:rPr>
                  <w:rPr>
                    <w:rFonts w:ascii="Cambria Math" w:hAnsi="Cambria Math"/>
                    <w:sz w:val="24"/>
                    <w:szCs w:val="24"/>
                  </w:rPr>
                  <m:t>-1</m:t>
                </m:r>
              </m:sub>
            </m:sSub>
            <m:r>
              <m:rPr>
                <m:sty m:val="p"/>
              </m:rPr>
              <w:rPr>
                <w:rFonts w:ascii="Cambria Math" w:hAnsi="Cambria Math"/>
                <w:sz w:val="24"/>
                <w:szCs w:val="24"/>
              </w:rPr>
              <m:t xml:space="preserve">; </m:t>
            </m:r>
            <m:r>
              <w:rPr>
                <w:rFonts w:ascii="Cambria Math" w:hAnsi="Cambria Math"/>
                <w:sz w:val="24"/>
                <w:szCs w:val="24"/>
              </w:rPr>
              <m:t>γ</m:t>
            </m:r>
            <m:r>
              <m:rPr>
                <m:sty m:val="p"/>
              </m:rPr>
              <w:rPr>
                <w:rFonts w:ascii="Cambria Math" w:hAnsi="Cambria Math"/>
                <w:sz w:val="24"/>
                <w:szCs w:val="24"/>
              </w:rPr>
              <m:t xml:space="preserve">, </m:t>
            </m:r>
            <m:r>
              <w:rPr>
                <w:rFonts w:ascii="Cambria Math" w:hAnsi="Cambria Math"/>
                <w:sz w:val="24"/>
                <w:szCs w:val="24"/>
              </w:rPr>
              <m:t>ϑ</m:t>
            </m:r>
          </m:e>
        </m:d>
        <m:r>
          <m:rPr>
            <m:sty m:val="p"/>
          </m:rPr>
          <w:rPr>
            <w:rFonts w:ascii="Cambria Math" w:hAnsi="Cambria Math"/>
            <w:sz w:val="24"/>
            <w:szCs w:val="24"/>
          </w:rPr>
          <m:t xml:space="preserve"> +</m:t>
        </m:r>
        <m:r>
          <w:rPr>
            <w:rFonts w:ascii="Cambria Math" w:hAnsi="Cambria Math"/>
            <w:sz w:val="24"/>
            <w:szCs w:val="24"/>
          </w:rPr>
          <m:t>δ</m:t>
        </m:r>
        <m:r>
          <m:rPr>
            <m:sty m:val="p"/>
          </m:rPr>
          <w:rPr>
            <w:rFonts w:ascii="Cambria Math" w:hAnsi="Cambria Math"/>
            <w:sz w:val="24"/>
            <w:szCs w:val="24"/>
          </w:rPr>
          <m:t xml:space="preserve"> </m:t>
        </m:r>
        <m:sSub>
          <m:sSubPr>
            <m:ctrlPr>
              <w:rPr>
                <w:rFonts w:ascii="Cambria Math" w:hAnsi="Cambria Math"/>
                <w:sz w:val="24"/>
                <w:szCs w:val="24"/>
              </w:rPr>
            </m:ctrlPr>
          </m:sSubPr>
          <m:e>
            <m:r>
              <w:rPr>
                <w:rFonts w:ascii="Cambria Math" w:hAnsi="Cambria Math"/>
                <w:sz w:val="24"/>
                <w:szCs w:val="24"/>
              </w:rPr>
              <m:t>x</m:t>
            </m:r>
          </m:e>
          <m:sub>
            <m:r>
              <w:rPr>
                <w:rFonts w:ascii="Cambria Math" w:hAnsi="Cambria Math"/>
                <w:sz w:val="24"/>
                <w:szCs w:val="24"/>
              </w:rPr>
              <m:t>it</m:t>
            </m:r>
          </m:sub>
        </m:sSub>
        <m:sSub>
          <m:sSubPr>
            <m:ctrlPr>
              <w:rPr>
                <w:rFonts w:ascii="Cambria Math" w:hAnsi="Cambria Math"/>
                <w:sz w:val="24"/>
                <w:szCs w:val="24"/>
              </w:rPr>
            </m:ctrlPr>
          </m:sSubPr>
          <m:e>
            <m:r>
              <w:rPr>
                <w:rFonts w:ascii="Cambria Math" w:hAnsi="Cambria Math"/>
                <w:sz w:val="24"/>
                <w:szCs w:val="24"/>
              </w:rPr>
              <m:t>fd</m:t>
            </m:r>
          </m:e>
          <m:sub>
            <m:r>
              <w:rPr>
                <w:rFonts w:ascii="Cambria Math" w:hAnsi="Cambria Math"/>
                <w:sz w:val="24"/>
                <w:szCs w:val="24"/>
              </w:rPr>
              <m:t>i</m:t>
            </m:r>
            <m:r>
              <m:rPr>
                <m:sty m:val="p"/>
              </m:rPr>
              <w:rPr>
                <w:rFonts w:ascii="Cambria Math" w:hAnsi="Cambria Math"/>
                <w:sz w:val="24"/>
                <w:szCs w:val="24"/>
              </w:rPr>
              <m:t>,</m:t>
            </m:r>
            <m:r>
              <w:rPr>
                <w:rFonts w:ascii="Cambria Math" w:hAnsi="Cambria Math"/>
                <w:sz w:val="24"/>
                <w:szCs w:val="24"/>
              </w:rPr>
              <m:t>t</m:t>
            </m:r>
            <m:r>
              <m:rPr>
                <m:sty m:val="p"/>
              </m:rPr>
              <w:rPr>
                <w:rFonts w:ascii="Cambria Math" w:hAnsi="Cambria Math"/>
                <w:sz w:val="24"/>
                <w:szCs w:val="24"/>
              </w:rPr>
              <m:t>-1</m:t>
            </m:r>
          </m:sub>
        </m:sSub>
        <m:r>
          <m:rPr>
            <m:sty m:val="p"/>
          </m:rPr>
          <w:rPr>
            <w:rFonts w:ascii="Cambria Math" w:hAnsi="Cambria Math"/>
            <w:sz w:val="24"/>
            <w:szCs w:val="24"/>
          </w:rPr>
          <m:t>+</m:t>
        </m:r>
        <m:sSub>
          <m:sSubPr>
            <m:ctrlPr>
              <w:rPr>
                <w:rFonts w:ascii="Cambria Math" w:hAnsi="Cambria Math"/>
                <w:sz w:val="24"/>
                <w:szCs w:val="24"/>
              </w:rPr>
            </m:ctrlPr>
          </m:sSubPr>
          <m:e>
            <m:r>
              <m:rPr>
                <m:sty m:val="p"/>
              </m:rPr>
              <w:rPr>
                <w:rFonts w:ascii="Cambria Math" w:hAnsi="Cambria Math"/>
                <w:sz w:val="24"/>
                <w:szCs w:val="24"/>
              </w:rPr>
              <m:t xml:space="preserve"> </m:t>
            </m:r>
            <m:r>
              <w:rPr>
                <w:rFonts w:ascii="Cambria Math" w:hAnsi="Cambria Math"/>
                <w:sz w:val="24"/>
                <w:szCs w:val="24"/>
              </w:rPr>
              <m:t>ε</m:t>
            </m:r>
          </m:e>
          <m:sub>
            <m:r>
              <w:rPr>
                <w:rFonts w:ascii="Cambria Math" w:hAnsi="Cambria Math"/>
                <w:sz w:val="24"/>
                <w:szCs w:val="24"/>
              </w:rPr>
              <m:t>it</m:t>
            </m:r>
          </m:sub>
        </m:sSub>
      </m:oMath>
      <w:r w:rsidR="00146409" w:rsidRPr="00E378F7">
        <w:rPr>
          <w:rFonts w:ascii="Times New Roman" w:hAnsi="Times New Roman"/>
          <w:sz w:val="24"/>
          <w:szCs w:val="24"/>
        </w:rPr>
        <w:tab/>
      </w:r>
      <w:r w:rsidR="00A64D6E" w:rsidRPr="00E378F7">
        <w:rPr>
          <w:rFonts w:ascii="Times New Roman" w:hAnsi="Times New Roman"/>
          <w:sz w:val="24"/>
          <w:szCs w:val="24"/>
        </w:rPr>
        <w:tab/>
      </w:r>
      <w:r w:rsidR="00146409" w:rsidRPr="00E378F7">
        <w:rPr>
          <w:rFonts w:ascii="Times New Roman" w:hAnsi="Times New Roman"/>
          <w:sz w:val="24"/>
          <w:szCs w:val="24"/>
        </w:rPr>
        <w:t xml:space="preserve"> (3.9)</w:t>
      </w:r>
    </w:p>
    <w:p w14:paraId="0B93598C" w14:textId="01DFE489" w:rsidR="00146409" w:rsidRPr="00E378F7" w:rsidRDefault="00146409" w:rsidP="008E4E1C">
      <w:pPr>
        <w:spacing w:line="360" w:lineRule="auto"/>
        <w:jc w:val="both"/>
        <w:rPr>
          <w:rFonts w:ascii="Times New Roman" w:hAnsi="Times New Roman"/>
          <w:sz w:val="24"/>
          <w:szCs w:val="24"/>
        </w:rPr>
      </w:pPr>
      <w:r w:rsidRPr="00E378F7">
        <w:rPr>
          <w:rFonts w:ascii="Times New Roman" w:hAnsi="Times New Roman"/>
          <w:sz w:val="24"/>
          <w:szCs w:val="24"/>
        </w:rPr>
        <w:t>Specifically, the test for no remaining nonlinearity is equivalent to testing the null hypothesis</w:t>
      </w:r>
      <m:oMath>
        <m:sSub>
          <m:sSubPr>
            <m:ctrlPr>
              <w:rPr>
                <w:rFonts w:ascii="Cambria Math" w:hAnsi="Cambria Math"/>
                <w:sz w:val="24"/>
                <w:szCs w:val="24"/>
              </w:rPr>
            </m:ctrlPr>
          </m:sSubPr>
          <m:e>
            <m:r>
              <w:rPr>
                <w:rFonts w:ascii="Cambria Math" w:hAnsi="Cambria Math"/>
                <w:sz w:val="24"/>
                <w:szCs w:val="24"/>
              </w:rPr>
              <m:t xml:space="preserve"> H</m:t>
            </m:r>
          </m:e>
          <m:sub>
            <m:r>
              <m:rPr>
                <m:sty m:val="p"/>
              </m:rPr>
              <w:rPr>
                <w:rFonts w:ascii="Cambria Math" w:hAnsi="Cambria Math"/>
                <w:sz w:val="24"/>
                <w:szCs w:val="24"/>
              </w:rPr>
              <m:t>0</m:t>
            </m:r>
          </m:sub>
        </m:sSub>
        <m:r>
          <m:rPr>
            <m:sty m:val="p"/>
          </m:rPr>
          <w:rPr>
            <w:rFonts w:ascii="Cambria Math" w:hAnsi="Cambria Math"/>
            <w:sz w:val="24"/>
            <w:szCs w:val="24"/>
          </w:rPr>
          <m:t>:</m:t>
        </m:r>
        <m:r>
          <w:rPr>
            <w:rFonts w:ascii="Cambria Math" w:hAnsi="Cambria Math"/>
            <w:sz w:val="24"/>
            <w:szCs w:val="24"/>
          </w:rPr>
          <m:t>δ</m:t>
        </m:r>
        <m:r>
          <m:rPr>
            <m:sty m:val="p"/>
          </m:rPr>
          <w:rPr>
            <w:rFonts w:ascii="Cambria Math" w:hAnsi="Cambria Math"/>
            <w:sz w:val="24"/>
            <w:szCs w:val="24"/>
          </w:rPr>
          <m:t>=0</m:t>
        </m:r>
      </m:oMath>
      <w:r w:rsidRPr="00E378F7">
        <w:rPr>
          <w:rFonts w:ascii="Times New Roman" w:hAnsi="Times New Roman"/>
          <w:sz w:val="24"/>
          <w:szCs w:val="24"/>
        </w:rPr>
        <w:t>. The test is conducted as follows</w:t>
      </w:r>
      <w:r w:rsidR="00A64D6E" w:rsidRPr="00E378F7">
        <w:rPr>
          <w:rFonts w:ascii="Times New Roman" w:hAnsi="Times New Roman"/>
          <w:sz w:val="24"/>
          <w:szCs w:val="24"/>
        </w:rPr>
        <w:t xml:space="preserve">: </w:t>
      </w:r>
      <w:r w:rsidRPr="00E378F7">
        <w:rPr>
          <w:rFonts w:ascii="Times New Roman" w:hAnsi="Times New Roman"/>
          <w:sz w:val="24"/>
          <w:szCs w:val="24"/>
        </w:rPr>
        <w:t xml:space="preserve">Assume the case of a PSTR with </w:t>
      </w:r>
      <m:oMath>
        <m:sSup>
          <m:sSupPr>
            <m:ctrlPr>
              <w:rPr>
                <w:rFonts w:ascii="Cambria Math" w:hAnsi="Cambria Math"/>
                <w:sz w:val="24"/>
                <w:szCs w:val="24"/>
              </w:rPr>
            </m:ctrlPr>
          </m:sSupPr>
          <m:e>
            <m:r>
              <w:rPr>
                <w:rFonts w:ascii="Cambria Math" w:hAnsi="Cambria Math"/>
                <w:sz w:val="24"/>
                <w:szCs w:val="24"/>
              </w:rPr>
              <m:t>r</m:t>
            </m:r>
          </m:e>
          <m:sup>
            <m:r>
              <m:rPr>
                <m:sty m:val="p"/>
              </m:rPr>
              <w:rPr>
                <w:rFonts w:ascii="Cambria Math" w:hAnsi="Cambria Math"/>
                <w:sz w:val="24"/>
                <w:szCs w:val="24"/>
              </w:rPr>
              <m:t>*</m:t>
            </m:r>
          </m:sup>
        </m:sSup>
      </m:oMath>
      <w:r w:rsidRPr="00E378F7">
        <w:rPr>
          <w:rFonts w:ascii="Times New Roman" w:hAnsi="Times New Roman"/>
          <w:sz w:val="24"/>
          <w:szCs w:val="24"/>
        </w:rPr>
        <w:t xml:space="preserve"> transition functions. In this case, the </w:t>
      </w:r>
      <w:r w:rsidR="00A64D6E" w:rsidRPr="00E378F7">
        <w:rPr>
          <w:rFonts w:ascii="Times New Roman" w:hAnsi="Times New Roman"/>
          <w:sz w:val="24"/>
          <w:szCs w:val="24"/>
        </w:rPr>
        <w:t xml:space="preserve">null </w:t>
      </w:r>
      <w:r w:rsidRPr="00E378F7">
        <w:rPr>
          <w:rFonts w:ascii="Times New Roman" w:hAnsi="Times New Roman"/>
          <w:sz w:val="24"/>
          <w:szCs w:val="24"/>
        </w:rPr>
        <w:t xml:space="preserve">hypothesis of no remaining nonlinearity </w:t>
      </w:r>
      <m:oMath>
        <m:sSub>
          <m:sSubPr>
            <m:ctrlPr>
              <w:rPr>
                <w:rFonts w:ascii="Cambria Math" w:hAnsi="Cambria Math"/>
                <w:sz w:val="24"/>
                <w:szCs w:val="24"/>
              </w:rPr>
            </m:ctrlPr>
          </m:sSubPr>
          <m:e>
            <m:r>
              <w:rPr>
                <w:rFonts w:ascii="Cambria Math" w:hAnsi="Cambria Math"/>
                <w:sz w:val="24"/>
                <w:szCs w:val="24"/>
              </w:rPr>
              <m:t>H</m:t>
            </m:r>
          </m:e>
          <m:sub>
            <m:r>
              <m:rPr>
                <m:sty m:val="p"/>
              </m:rPr>
              <w:rPr>
                <w:rFonts w:ascii="Cambria Math" w:hAnsi="Cambria Math"/>
                <w:sz w:val="24"/>
                <w:szCs w:val="24"/>
              </w:rPr>
              <m:t>0</m:t>
            </m:r>
          </m:sub>
        </m:sSub>
        <m:r>
          <m:rPr>
            <m:sty m:val="p"/>
          </m:rPr>
          <w:rPr>
            <w:rFonts w:ascii="Cambria Math" w:hAnsi="Cambria Math"/>
            <w:sz w:val="24"/>
            <w:szCs w:val="24"/>
          </w:rPr>
          <m:t>:</m:t>
        </m:r>
        <m:r>
          <w:rPr>
            <w:rFonts w:ascii="Cambria Math" w:hAnsi="Cambria Math"/>
            <w:sz w:val="24"/>
            <w:szCs w:val="24"/>
          </w:rPr>
          <m:t>r</m:t>
        </m:r>
        <m:r>
          <m:rPr>
            <m:sty m:val="p"/>
          </m:rPr>
          <w:rPr>
            <w:rFonts w:ascii="Cambria Math" w:hAnsi="Cambria Math"/>
            <w:sz w:val="24"/>
            <w:szCs w:val="24"/>
          </w:rPr>
          <m:t>=</m:t>
        </m:r>
        <m:sSup>
          <m:sSupPr>
            <m:ctrlPr>
              <w:rPr>
                <w:rFonts w:ascii="Cambria Math" w:hAnsi="Cambria Math"/>
                <w:sz w:val="24"/>
                <w:szCs w:val="24"/>
              </w:rPr>
            </m:ctrlPr>
          </m:sSupPr>
          <m:e>
            <m:r>
              <w:rPr>
                <w:rFonts w:ascii="Cambria Math" w:hAnsi="Cambria Math"/>
                <w:sz w:val="24"/>
                <w:szCs w:val="24"/>
              </w:rPr>
              <m:t>r</m:t>
            </m:r>
          </m:e>
          <m:sup>
            <m:r>
              <m:rPr>
                <m:sty m:val="p"/>
              </m:rPr>
              <w:rPr>
                <w:rFonts w:ascii="Cambria Math" w:hAnsi="Cambria Math"/>
                <w:sz w:val="24"/>
                <w:szCs w:val="24"/>
              </w:rPr>
              <m:t>*</m:t>
            </m:r>
          </m:sup>
        </m:sSup>
      </m:oMath>
      <w:r w:rsidRPr="00E378F7">
        <w:rPr>
          <w:rFonts w:ascii="Times New Roman" w:eastAsiaTheme="minorEastAsia" w:hAnsi="Times New Roman"/>
          <w:sz w:val="24"/>
          <w:szCs w:val="24"/>
        </w:rPr>
        <w:t xml:space="preserve"> will be tested </w:t>
      </w:r>
      <w:r w:rsidRPr="00E378F7">
        <w:rPr>
          <w:rFonts w:ascii="Times New Roman" w:hAnsi="Times New Roman"/>
          <w:sz w:val="24"/>
          <w:szCs w:val="24"/>
        </w:rPr>
        <w:t>against the alternative hypothesis</w:t>
      </w:r>
      <m:oMath>
        <m:r>
          <m:rPr>
            <m:sty m:val="p"/>
          </m:rPr>
          <w:rPr>
            <w:rFonts w:ascii="Cambria Math" w:hAnsi="Cambria Math"/>
            <w:sz w:val="24"/>
            <w:szCs w:val="24"/>
          </w:rPr>
          <m:t xml:space="preserve"> </m:t>
        </m:r>
        <m:sSub>
          <m:sSubPr>
            <m:ctrlPr>
              <w:rPr>
                <w:rFonts w:ascii="Cambria Math" w:hAnsi="Cambria Math"/>
                <w:sz w:val="24"/>
                <w:szCs w:val="24"/>
              </w:rPr>
            </m:ctrlPr>
          </m:sSubPr>
          <m:e>
            <m:r>
              <w:rPr>
                <w:rFonts w:ascii="Cambria Math" w:hAnsi="Cambria Math"/>
                <w:sz w:val="24"/>
                <w:szCs w:val="24"/>
              </w:rPr>
              <m:t>H</m:t>
            </m:r>
          </m:e>
          <m:sub>
            <m:r>
              <m:rPr>
                <m:sty m:val="p"/>
              </m:rPr>
              <w:rPr>
                <w:rFonts w:ascii="Cambria Math" w:hAnsi="Cambria Math"/>
                <w:sz w:val="24"/>
                <w:szCs w:val="24"/>
              </w:rPr>
              <m:t>1</m:t>
            </m:r>
          </m:sub>
        </m:sSub>
        <m:r>
          <m:rPr>
            <m:sty m:val="p"/>
          </m:rPr>
          <w:rPr>
            <w:rFonts w:ascii="Cambria Math" w:hAnsi="Cambria Math"/>
            <w:sz w:val="24"/>
            <w:szCs w:val="24"/>
          </w:rPr>
          <m:t>:</m:t>
        </m:r>
        <m:r>
          <w:rPr>
            <w:rFonts w:ascii="Cambria Math" w:hAnsi="Cambria Math"/>
            <w:sz w:val="24"/>
            <w:szCs w:val="24"/>
          </w:rPr>
          <m:t>r</m:t>
        </m:r>
        <m:r>
          <m:rPr>
            <m:sty m:val="p"/>
          </m:rPr>
          <w:rPr>
            <w:rFonts w:ascii="Cambria Math" w:hAnsi="Cambria Math"/>
            <w:sz w:val="24"/>
            <w:szCs w:val="24"/>
          </w:rPr>
          <m:t>=</m:t>
        </m:r>
        <m:sSup>
          <m:sSupPr>
            <m:ctrlPr>
              <w:rPr>
                <w:rFonts w:ascii="Cambria Math" w:hAnsi="Cambria Math"/>
                <w:sz w:val="24"/>
                <w:szCs w:val="24"/>
              </w:rPr>
            </m:ctrlPr>
          </m:sSupPr>
          <m:e>
            <m:r>
              <w:rPr>
                <w:rFonts w:ascii="Cambria Math" w:hAnsi="Cambria Math"/>
                <w:sz w:val="24"/>
                <w:szCs w:val="24"/>
              </w:rPr>
              <m:t>r</m:t>
            </m:r>
          </m:e>
          <m:sup>
            <m:r>
              <m:rPr>
                <m:sty m:val="p"/>
              </m:rPr>
              <w:rPr>
                <w:rFonts w:ascii="Cambria Math" w:hAnsi="Cambria Math"/>
                <w:sz w:val="24"/>
                <w:szCs w:val="24"/>
              </w:rPr>
              <m:t>*</m:t>
            </m:r>
          </m:sup>
        </m:sSup>
        <m:r>
          <m:rPr>
            <m:sty m:val="p"/>
          </m:rPr>
          <w:rPr>
            <w:rFonts w:ascii="Cambria Math" w:hAnsi="Cambria Math"/>
            <w:sz w:val="24"/>
            <w:szCs w:val="24"/>
          </w:rPr>
          <m:t>+1</m:t>
        </m:r>
      </m:oMath>
      <w:r w:rsidRPr="00E378F7">
        <w:rPr>
          <w:rFonts w:ascii="Times New Roman" w:hAnsi="Times New Roman"/>
          <w:sz w:val="24"/>
          <w:szCs w:val="24"/>
        </w:rPr>
        <w:t xml:space="preserve">. </w:t>
      </w:r>
      <w:r w:rsidR="00A64D6E" w:rsidRPr="00E378F7">
        <w:rPr>
          <w:rFonts w:ascii="Times New Roman" w:hAnsi="Times New Roman"/>
          <w:sz w:val="24"/>
          <w:szCs w:val="24"/>
        </w:rPr>
        <w:t xml:space="preserve">The rejection </w:t>
      </w:r>
      <w:r w:rsidRPr="00E378F7">
        <w:rPr>
          <w:rFonts w:ascii="Times New Roman" w:hAnsi="Times New Roman"/>
          <w:sz w:val="24"/>
          <w:szCs w:val="24"/>
        </w:rPr>
        <w:t xml:space="preserve">of the null hypothesis implies that a further test of nonlinearity will be conducted on the null </w:t>
      </w:r>
      <m:oMath>
        <m:sSub>
          <m:sSubPr>
            <m:ctrlPr>
              <w:rPr>
                <w:rFonts w:ascii="Cambria Math" w:hAnsi="Cambria Math"/>
                <w:sz w:val="24"/>
                <w:szCs w:val="24"/>
              </w:rPr>
            </m:ctrlPr>
          </m:sSubPr>
          <m:e>
            <m:r>
              <w:rPr>
                <w:rFonts w:ascii="Cambria Math" w:hAnsi="Cambria Math"/>
                <w:sz w:val="24"/>
                <w:szCs w:val="24"/>
              </w:rPr>
              <m:t>H</m:t>
            </m:r>
          </m:e>
          <m:sub>
            <m:r>
              <m:rPr>
                <m:sty m:val="p"/>
              </m:rPr>
              <w:rPr>
                <w:rFonts w:ascii="Cambria Math" w:hAnsi="Cambria Math"/>
                <w:sz w:val="24"/>
                <w:szCs w:val="24"/>
              </w:rPr>
              <m:t>0</m:t>
            </m:r>
          </m:sub>
        </m:sSub>
        <m:r>
          <m:rPr>
            <m:sty m:val="p"/>
          </m:rPr>
          <w:rPr>
            <w:rFonts w:ascii="Cambria Math" w:hAnsi="Cambria Math"/>
            <w:sz w:val="24"/>
            <w:szCs w:val="24"/>
          </w:rPr>
          <m:t>:</m:t>
        </m:r>
        <m:r>
          <w:rPr>
            <w:rFonts w:ascii="Cambria Math" w:hAnsi="Cambria Math"/>
            <w:sz w:val="24"/>
            <w:szCs w:val="24"/>
          </w:rPr>
          <m:t>r</m:t>
        </m:r>
        <m:r>
          <m:rPr>
            <m:sty m:val="p"/>
          </m:rPr>
          <w:rPr>
            <w:rFonts w:ascii="Cambria Math" w:hAnsi="Cambria Math"/>
            <w:sz w:val="24"/>
            <w:szCs w:val="24"/>
          </w:rPr>
          <m:t>=</m:t>
        </m:r>
        <m:sSup>
          <m:sSupPr>
            <m:ctrlPr>
              <w:rPr>
                <w:rFonts w:ascii="Cambria Math" w:hAnsi="Cambria Math"/>
                <w:sz w:val="24"/>
                <w:szCs w:val="24"/>
              </w:rPr>
            </m:ctrlPr>
          </m:sSupPr>
          <m:e>
            <m:r>
              <w:rPr>
                <w:rFonts w:ascii="Cambria Math" w:hAnsi="Cambria Math"/>
                <w:sz w:val="24"/>
                <w:szCs w:val="24"/>
              </w:rPr>
              <m:t>r</m:t>
            </m:r>
          </m:e>
          <m:sup>
            <m:r>
              <m:rPr>
                <m:sty m:val="p"/>
              </m:rPr>
              <w:rPr>
                <w:rFonts w:ascii="Cambria Math" w:hAnsi="Cambria Math"/>
                <w:sz w:val="24"/>
                <w:szCs w:val="24"/>
              </w:rPr>
              <m:t>*</m:t>
            </m:r>
          </m:sup>
        </m:sSup>
        <m:r>
          <m:rPr>
            <m:sty m:val="p"/>
          </m:rPr>
          <w:rPr>
            <w:rFonts w:ascii="Cambria Math" w:hAnsi="Cambria Math"/>
            <w:sz w:val="24"/>
            <w:szCs w:val="24"/>
          </w:rPr>
          <m:t>+1</m:t>
        </m:r>
      </m:oMath>
      <w:r w:rsidRPr="00E378F7">
        <w:rPr>
          <w:rFonts w:ascii="Times New Roman" w:hAnsi="Times New Roman"/>
          <w:sz w:val="24"/>
          <w:szCs w:val="24"/>
        </w:rPr>
        <w:t xml:space="preserve"> against the alternative </w:t>
      </w:r>
      <w:r w:rsidR="007E51A6" w:rsidRPr="00E378F7">
        <w:rPr>
          <w:rFonts w:ascii="Times New Roman" w:hAnsi="Times New Roman"/>
          <w:sz w:val="24"/>
          <w:szCs w:val="24"/>
        </w:rPr>
        <w:t>hypothesis</w:t>
      </w:r>
      <w:r w:rsidR="00A64D6E" w:rsidRPr="00E378F7">
        <w:rPr>
          <w:rFonts w:ascii="Times New Roman" w:hAnsi="Times New Roman"/>
          <w:sz w:val="24"/>
          <w:szCs w:val="24"/>
        </w:rPr>
        <w:t xml:space="preserve"> </w:t>
      </w:r>
      <m:oMath>
        <m:sSub>
          <m:sSubPr>
            <m:ctrlPr>
              <w:rPr>
                <w:rFonts w:ascii="Cambria Math" w:hAnsi="Cambria Math"/>
                <w:sz w:val="24"/>
                <w:szCs w:val="24"/>
              </w:rPr>
            </m:ctrlPr>
          </m:sSubPr>
          <m:e>
            <m:r>
              <w:rPr>
                <w:rFonts w:ascii="Cambria Math" w:hAnsi="Cambria Math"/>
                <w:sz w:val="24"/>
                <w:szCs w:val="24"/>
              </w:rPr>
              <m:t>H</m:t>
            </m:r>
          </m:e>
          <m:sub>
            <m:r>
              <m:rPr>
                <m:sty m:val="p"/>
              </m:rPr>
              <w:rPr>
                <w:rFonts w:ascii="Cambria Math" w:hAnsi="Cambria Math"/>
                <w:sz w:val="24"/>
                <w:szCs w:val="24"/>
              </w:rPr>
              <m:t>1</m:t>
            </m:r>
          </m:sub>
        </m:sSub>
        <m:r>
          <m:rPr>
            <m:sty m:val="p"/>
          </m:rPr>
          <w:rPr>
            <w:rFonts w:ascii="Cambria Math" w:hAnsi="Cambria Math"/>
            <w:sz w:val="24"/>
            <w:szCs w:val="24"/>
          </w:rPr>
          <m:t>:</m:t>
        </m:r>
        <m:r>
          <w:rPr>
            <w:rFonts w:ascii="Cambria Math" w:hAnsi="Cambria Math"/>
            <w:sz w:val="24"/>
            <w:szCs w:val="24"/>
          </w:rPr>
          <m:t>r</m:t>
        </m:r>
        <m:r>
          <m:rPr>
            <m:sty m:val="p"/>
          </m:rPr>
          <w:rPr>
            <w:rFonts w:ascii="Cambria Math" w:hAnsi="Cambria Math"/>
            <w:sz w:val="24"/>
            <w:szCs w:val="24"/>
          </w:rPr>
          <m:t>=</m:t>
        </m:r>
        <m:sSup>
          <m:sSupPr>
            <m:ctrlPr>
              <w:rPr>
                <w:rFonts w:ascii="Cambria Math" w:hAnsi="Cambria Math"/>
                <w:sz w:val="24"/>
                <w:szCs w:val="24"/>
              </w:rPr>
            </m:ctrlPr>
          </m:sSupPr>
          <m:e>
            <m:r>
              <w:rPr>
                <w:rFonts w:ascii="Cambria Math" w:hAnsi="Cambria Math"/>
                <w:sz w:val="24"/>
                <w:szCs w:val="24"/>
              </w:rPr>
              <m:t>r</m:t>
            </m:r>
          </m:e>
          <m:sup>
            <m:r>
              <m:rPr>
                <m:sty m:val="p"/>
              </m:rPr>
              <w:rPr>
                <w:rFonts w:ascii="Cambria Math" w:hAnsi="Cambria Math"/>
                <w:sz w:val="24"/>
                <w:szCs w:val="24"/>
              </w:rPr>
              <m:t>*</m:t>
            </m:r>
          </m:sup>
        </m:sSup>
        <m:r>
          <m:rPr>
            <m:sty m:val="p"/>
          </m:rPr>
          <w:rPr>
            <w:rFonts w:ascii="Cambria Math" w:hAnsi="Cambria Math"/>
            <w:sz w:val="24"/>
            <w:szCs w:val="24"/>
          </w:rPr>
          <m:t>+2</m:t>
        </m:r>
      </m:oMath>
      <w:r w:rsidRPr="00E378F7">
        <w:rPr>
          <w:rFonts w:ascii="Times New Roman" w:hAnsi="Times New Roman"/>
          <w:sz w:val="24"/>
          <w:szCs w:val="24"/>
        </w:rPr>
        <w:t>. The test procedure ends when the null hypothesis of no remaining nonlinearity is not rejected using the Wald and likelihood ratio test statistics.</w:t>
      </w:r>
    </w:p>
    <w:p w14:paraId="2EDEFF11" w14:textId="175C7F08" w:rsidR="00146409" w:rsidRPr="007D5606" w:rsidRDefault="00A242A7" w:rsidP="007D5606">
      <w:pPr>
        <w:pStyle w:val="Heading2"/>
      </w:pPr>
      <w:bookmarkStart w:id="20" w:name="_Toc501031465"/>
      <w:r w:rsidRPr="007D5606">
        <w:t>3.3</w:t>
      </w:r>
      <w:r w:rsidR="00146409" w:rsidRPr="007D5606">
        <w:t xml:space="preserve"> Data Description</w:t>
      </w:r>
      <w:bookmarkEnd w:id="20"/>
    </w:p>
    <w:p w14:paraId="3BEBF349" w14:textId="054F0A87" w:rsidR="00146409" w:rsidRPr="00E378F7" w:rsidRDefault="00146409" w:rsidP="008E4E1C">
      <w:pPr>
        <w:spacing w:line="360" w:lineRule="auto"/>
        <w:jc w:val="both"/>
        <w:rPr>
          <w:rFonts w:ascii="Times New Roman" w:hAnsi="Times New Roman" w:cs="Times New Roman"/>
          <w:sz w:val="24"/>
          <w:szCs w:val="24"/>
        </w:rPr>
      </w:pPr>
      <w:r w:rsidRPr="00E378F7">
        <w:rPr>
          <w:rFonts w:ascii="Times New Roman" w:hAnsi="Times New Roman" w:cs="Times New Roman"/>
          <w:sz w:val="24"/>
          <w:szCs w:val="24"/>
        </w:rPr>
        <w:t>The study employs a sample of 22 emerging market economies covering the period 1996</w:t>
      </w:r>
      <w:r w:rsidR="00A64D6E" w:rsidRPr="00E378F7">
        <w:rPr>
          <w:rFonts w:ascii="Times New Roman" w:hAnsi="Times New Roman" w:cs="Times New Roman"/>
          <w:sz w:val="24"/>
          <w:szCs w:val="24"/>
        </w:rPr>
        <w:t>–</w:t>
      </w:r>
      <w:r w:rsidRPr="00E378F7">
        <w:rPr>
          <w:rFonts w:ascii="Times New Roman" w:hAnsi="Times New Roman" w:cs="Times New Roman"/>
          <w:sz w:val="24"/>
          <w:szCs w:val="24"/>
        </w:rPr>
        <w:t>2014</w:t>
      </w:r>
      <w:r w:rsidRPr="00E378F7">
        <w:rPr>
          <w:rStyle w:val="FootnoteReference"/>
          <w:rFonts w:ascii="Times New Roman" w:hAnsi="Times New Roman" w:cs="Times New Roman"/>
          <w:sz w:val="24"/>
          <w:szCs w:val="24"/>
        </w:rPr>
        <w:footnoteReference w:id="2"/>
      </w:r>
      <w:r w:rsidR="00A64D6E" w:rsidRPr="00E378F7">
        <w:rPr>
          <w:rFonts w:ascii="Times New Roman" w:hAnsi="Times New Roman" w:cs="Times New Roman"/>
          <w:sz w:val="24"/>
          <w:szCs w:val="24"/>
        </w:rPr>
        <w:t xml:space="preserve">. </w:t>
      </w:r>
      <w:r w:rsidRPr="00E378F7">
        <w:rPr>
          <w:rFonts w:ascii="Times New Roman" w:hAnsi="Times New Roman" w:cs="Times New Roman"/>
          <w:sz w:val="24"/>
          <w:szCs w:val="24"/>
        </w:rPr>
        <w:t xml:space="preserve">To determine whether increasing financial depth exerts a dampening effect on </w:t>
      </w:r>
      <w:r w:rsidR="00A64D6E" w:rsidRPr="00E378F7">
        <w:rPr>
          <w:rFonts w:ascii="Times New Roman" w:hAnsi="Times New Roman" w:cs="Times New Roman"/>
          <w:sz w:val="24"/>
          <w:szCs w:val="24"/>
        </w:rPr>
        <w:t xml:space="preserve">the </w:t>
      </w:r>
      <w:r w:rsidRPr="00E378F7">
        <w:rPr>
          <w:rFonts w:ascii="Times New Roman" w:hAnsi="Times New Roman" w:cs="Times New Roman"/>
          <w:sz w:val="24"/>
          <w:szCs w:val="24"/>
        </w:rPr>
        <w:t>TFP growth beyond a certain threshold, it would be useful to consider the post-1990 data</w:t>
      </w:r>
      <w:r w:rsidR="00A64D6E" w:rsidRPr="00E378F7">
        <w:rPr>
          <w:rFonts w:ascii="Times New Roman" w:hAnsi="Times New Roman" w:cs="Times New Roman"/>
          <w:sz w:val="24"/>
          <w:szCs w:val="24"/>
        </w:rPr>
        <w:t>,</w:t>
      </w:r>
      <w:r w:rsidRPr="00E378F7">
        <w:rPr>
          <w:rFonts w:ascii="Times New Roman" w:hAnsi="Times New Roman" w:cs="Times New Roman"/>
          <w:sz w:val="24"/>
          <w:szCs w:val="24"/>
        </w:rPr>
        <w:t xml:space="preserve"> as previously discussed. Additionally, the choice of 1996 as the starting period is influenced by the availability of </w:t>
      </w:r>
      <w:r w:rsidR="00A64D6E" w:rsidRPr="00E378F7">
        <w:rPr>
          <w:rFonts w:ascii="Times New Roman" w:hAnsi="Times New Roman" w:cs="Times New Roman"/>
          <w:sz w:val="24"/>
          <w:szCs w:val="24"/>
        </w:rPr>
        <w:t xml:space="preserve">the respective </w:t>
      </w:r>
      <w:r w:rsidRPr="00E378F7">
        <w:rPr>
          <w:rFonts w:ascii="Times New Roman" w:hAnsi="Times New Roman" w:cs="Times New Roman"/>
          <w:sz w:val="24"/>
          <w:szCs w:val="24"/>
        </w:rPr>
        <w:t>data on the World Bank governance indicators. These indicators are widely employed in the empirical literature as proxy for the quality of institutions.</w:t>
      </w:r>
    </w:p>
    <w:p w14:paraId="65E115A1" w14:textId="44539DB5" w:rsidR="00146409" w:rsidRPr="00E378F7" w:rsidRDefault="00146409" w:rsidP="008E4E1C">
      <w:pPr>
        <w:spacing w:line="360" w:lineRule="auto"/>
        <w:jc w:val="both"/>
        <w:rPr>
          <w:rFonts w:ascii="Times New Roman" w:hAnsi="Times New Roman" w:cs="Times New Roman"/>
          <w:sz w:val="24"/>
          <w:szCs w:val="24"/>
        </w:rPr>
      </w:pPr>
      <w:r w:rsidRPr="00E378F7">
        <w:rPr>
          <w:rFonts w:ascii="Times New Roman" w:hAnsi="Times New Roman" w:cs="Times New Roman"/>
          <w:sz w:val="24"/>
          <w:szCs w:val="24"/>
        </w:rPr>
        <w:t>The dependent variable, TFP growth</w:t>
      </w:r>
      <w:r w:rsidR="00A64D6E" w:rsidRPr="00E378F7">
        <w:rPr>
          <w:rFonts w:ascii="Times New Roman" w:hAnsi="Times New Roman" w:cs="Times New Roman"/>
          <w:sz w:val="24"/>
          <w:szCs w:val="24"/>
        </w:rPr>
        <w:t>,</w:t>
      </w:r>
      <w:r w:rsidRPr="00E378F7">
        <w:rPr>
          <w:rFonts w:ascii="Times New Roman" w:hAnsi="Times New Roman" w:cs="Times New Roman"/>
          <w:sz w:val="24"/>
          <w:szCs w:val="24"/>
        </w:rPr>
        <w:t xml:space="preserve"> is calculated as </w:t>
      </w:r>
      <w:r w:rsidR="00A64D6E" w:rsidRPr="00E378F7">
        <w:rPr>
          <w:rFonts w:ascii="Times New Roman" w:hAnsi="Times New Roman" w:cs="Times New Roman"/>
          <w:sz w:val="24"/>
          <w:szCs w:val="24"/>
        </w:rPr>
        <w:t xml:space="preserve">the </w:t>
      </w:r>
      <w:r w:rsidRPr="00E378F7">
        <w:rPr>
          <w:rFonts w:ascii="Times New Roman" w:hAnsi="Times New Roman" w:cs="Times New Roman"/>
          <w:sz w:val="24"/>
          <w:szCs w:val="24"/>
        </w:rPr>
        <w:t xml:space="preserve">total output growth relative to the growth in inputs of </w:t>
      </w:r>
      <w:r w:rsidR="00C40D74" w:rsidRPr="00E378F7">
        <w:rPr>
          <w:rFonts w:ascii="Times New Roman" w:hAnsi="Times New Roman" w:cs="Times New Roman"/>
          <w:sz w:val="24"/>
          <w:szCs w:val="24"/>
        </w:rPr>
        <w:t>labor</w:t>
      </w:r>
      <w:r w:rsidRPr="00E378F7">
        <w:rPr>
          <w:rFonts w:ascii="Times New Roman" w:hAnsi="Times New Roman" w:cs="Times New Roman"/>
          <w:sz w:val="24"/>
          <w:szCs w:val="24"/>
        </w:rPr>
        <w:t xml:space="preserve"> and capital. </w:t>
      </w:r>
      <w:r w:rsidR="00A64D6E" w:rsidRPr="00E378F7">
        <w:rPr>
          <w:rFonts w:ascii="Times New Roman" w:hAnsi="Times New Roman" w:cs="Times New Roman"/>
          <w:sz w:val="24"/>
          <w:szCs w:val="24"/>
        </w:rPr>
        <w:t xml:space="preserve">The </w:t>
      </w:r>
      <w:r w:rsidRPr="00E378F7">
        <w:rPr>
          <w:rFonts w:ascii="Times New Roman" w:hAnsi="Times New Roman" w:cs="Times New Roman"/>
          <w:sz w:val="24"/>
          <w:szCs w:val="24"/>
        </w:rPr>
        <w:t xml:space="preserve">TFP growth is sourced from </w:t>
      </w:r>
      <w:r w:rsidR="00A64D6E" w:rsidRPr="00E378F7">
        <w:rPr>
          <w:rFonts w:ascii="Times New Roman" w:hAnsi="Times New Roman" w:cs="Times New Roman"/>
          <w:sz w:val="24"/>
          <w:szCs w:val="24"/>
        </w:rPr>
        <w:t xml:space="preserve">the </w:t>
      </w:r>
      <w:r w:rsidRPr="00E378F7">
        <w:rPr>
          <w:rFonts w:ascii="Times New Roman" w:hAnsi="Times New Roman" w:cs="Times New Roman"/>
          <w:sz w:val="24"/>
          <w:szCs w:val="24"/>
        </w:rPr>
        <w:t xml:space="preserve">Penn World Table (PWT) 9.0 and calculated using the </w:t>
      </w:r>
      <w:r w:rsidR="00A64D6E" w:rsidRPr="00E378F7">
        <w:rPr>
          <w:rFonts w:ascii="Times New Roman" w:hAnsi="Times New Roman" w:cs="Times New Roman"/>
          <w:sz w:val="24"/>
          <w:szCs w:val="24"/>
        </w:rPr>
        <w:t xml:space="preserve">following </w:t>
      </w:r>
      <w:r w:rsidRPr="00E378F7">
        <w:rPr>
          <w:rFonts w:ascii="Times New Roman" w:hAnsi="Times New Roman" w:cs="Times New Roman"/>
          <w:sz w:val="24"/>
          <w:szCs w:val="24"/>
        </w:rPr>
        <w:t>formula (see Feenstra et al., 2015):</w:t>
      </w:r>
    </w:p>
    <w:p w14:paraId="0707A0BA" w14:textId="56D61038" w:rsidR="00146409" w:rsidRPr="00E378F7" w:rsidRDefault="007835DC" w:rsidP="008E4E1C">
      <w:pPr>
        <w:spacing w:line="360" w:lineRule="auto"/>
        <w:jc w:val="both"/>
        <w:rPr>
          <w:rFonts w:ascii="Times New Roman" w:hAnsi="Times New Roman"/>
          <w:sz w:val="24"/>
          <w:szCs w:val="24"/>
        </w:rPr>
      </w:pPr>
      <m:oMath>
        <m:sSubSup>
          <m:sSubSupPr>
            <m:ctrlPr>
              <w:rPr>
                <w:rFonts w:ascii="Cambria Math" w:hAnsi="Cambria Math"/>
                <w:sz w:val="24"/>
                <w:szCs w:val="24"/>
              </w:rPr>
            </m:ctrlPr>
          </m:sSubSupPr>
          <m:e>
            <m:r>
              <w:rPr>
                <w:rFonts w:ascii="Cambria Math" w:hAnsi="Cambria Math"/>
                <w:sz w:val="24"/>
                <w:szCs w:val="24"/>
              </w:rPr>
              <m:t>RTFP</m:t>
            </m:r>
          </m:e>
          <m:sub>
            <m:r>
              <w:rPr>
                <w:rFonts w:ascii="Cambria Math" w:hAnsi="Cambria Math"/>
                <w:sz w:val="24"/>
                <w:szCs w:val="24"/>
              </w:rPr>
              <m:t>j</m:t>
            </m:r>
            <m:r>
              <m:rPr>
                <m:sty m:val="p"/>
              </m:rPr>
              <w:rPr>
                <w:rFonts w:ascii="Cambria Math" w:hAnsi="Cambria Math"/>
                <w:sz w:val="24"/>
                <w:szCs w:val="24"/>
              </w:rPr>
              <m:t>,</m:t>
            </m:r>
            <m:r>
              <w:rPr>
                <w:rFonts w:ascii="Cambria Math" w:hAnsi="Cambria Math"/>
                <w:sz w:val="24"/>
                <w:szCs w:val="24"/>
              </w:rPr>
              <m:t>t</m:t>
            </m:r>
            <m:r>
              <m:rPr>
                <m:sty m:val="p"/>
              </m:rPr>
              <w:rPr>
                <w:rFonts w:ascii="Cambria Math" w:hAnsi="Cambria Math"/>
                <w:sz w:val="24"/>
                <w:szCs w:val="24"/>
              </w:rPr>
              <m:t>,</m:t>
            </m:r>
            <m:r>
              <w:rPr>
                <w:rFonts w:ascii="Cambria Math" w:hAnsi="Cambria Math"/>
                <w:sz w:val="24"/>
                <w:szCs w:val="24"/>
              </w:rPr>
              <m:t>t</m:t>
            </m:r>
            <m:r>
              <m:rPr>
                <m:sty m:val="p"/>
              </m:rPr>
              <w:rPr>
                <w:rFonts w:ascii="Cambria Math" w:hAnsi="Cambria Math"/>
                <w:sz w:val="24"/>
                <w:szCs w:val="24"/>
              </w:rPr>
              <m:t>-1</m:t>
            </m:r>
          </m:sub>
          <m:sup>
            <m:r>
              <w:rPr>
                <w:rFonts w:ascii="Cambria Math" w:hAnsi="Cambria Math"/>
                <w:sz w:val="24"/>
                <w:szCs w:val="24"/>
              </w:rPr>
              <m:t>NA</m:t>
            </m:r>
          </m:sup>
        </m:sSubSup>
        <m:r>
          <m:rPr>
            <m:sty m:val="p"/>
          </m:rPr>
          <w:rPr>
            <w:rFonts w:ascii="Cambria Math" w:hAnsi="Cambria Math"/>
            <w:sz w:val="24"/>
            <w:szCs w:val="24"/>
          </w:rPr>
          <m:t>=</m:t>
        </m:r>
        <m:f>
          <m:fPr>
            <m:ctrlPr>
              <w:rPr>
                <w:rFonts w:ascii="Cambria Math" w:hAnsi="Cambria Math"/>
                <w:sz w:val="24"/>
                <w:szCs w:val="24"/>
              </w:rPr>
            </m:ctrlPr>
          </m:fPr>
          <m:num>
            <m:sSubSup>
              <m:sSubSupPr>
                <m:ctrlPr>
                  <w:rPr>
                    <w:rFonts w:ascii="Cambria Math" w:hAnsi="Cambria Math"/>
                    <w:sz w:val="24"/>
                    <w:szCs w:val="24"/>
                  </w:rPr>
                </m:ctrlPr>
              </m:sSubSupPr>
              <m:e>
                <m:r>
                  <w:rPr>
                    <w:rFonts w:ascii="Cambria Math" w:hAnsi="Cambria Math"/>
                    <w:sz w:val="24"/>
                    <w:szCs w:val="24"/>
                  </w:rPr>
                  <m:t>RGDP</m:t>
                </m:r>
              </m:e>
              <m:sub>
                <m:r>
                  <w:rPr>
                    <w:rFonts w:ascii="Cambria Math" w:hAnsi="Cambria Math"/>
                    <w:sz w:val="24"/>
                    <w:szCs w:val="24"/>
                  </w:rPr>
                  <m:t>jt</m:t>
                </m:r>
              </m:sub>
              <m:sup>
                <m:r>
                  <w:rPr>
                    <w:rFonts w:ascii="Cambria Math" w:hAnsi="Cambria Math"/>
                    <w:sz w:val="24"/>
                    <w:szCs w:val="24"/>
                  </w:rPr>
                  <m:t>NA</m:t>
                </m:r>
              </m:sup>
            </m:sSubSup>
          </m:num>
          <m:den>
            <m:sSubSup>
              <m:sSubSupPr>
                <m:ctrlPr>
                  <w:rPr>
                    <w:rFonts w:ascii="Cambria Math" w:hAnsi="Cambria Math"/>
                    <w:sz w:val="24"/>
                    <w:szCs w:val="24"/>
                  </w:rPr>
                </m:ctrlPr>
              </m:sSubSupPr>
              <m:e>
                <m:r>
                  <w:rPr>
                    <w:rFonts w:ascii="Cambria Math" w:hAnsi="Cambria Math"/>
                    <w:sz w:val="24"/>
                    <w:szCs w:val="24"/>
                  </w:rPr>
                  <m:t>RGDP</m:t>
                </m:r>
              </m:e>
              <m:sub>
                <m:r>
                  <w:rPr>
                    <w:rFonts w:ascii="Cambria Math" w:hAnsi="Cambria Math"/>
                    <w:sz w:val="24"/>
                    <w:szCs w:val="24"/>
                  </w:rPr>
                  <m:t>jt</m:t>
                </m:r>
                <m:r>
                  <m:rPr>
                    <m:sty m:val="p"/>
                  </m:rPr>
                  <w:rPr>
                    <w:rFonts w:ascii="Cambria Math" w:hAnsi="Cambria Math"/>
                    <w:sz w:val="24"/>
                    <w:szCs w:val="24"/>
                  </w:rPr>
                  <m:t>-1</m:t>
                </m:r>
              </m:sub>
              <m:sup>
                <m:r>
                  <w:rPr>
                    <w:rFonts w:ascii="Cambria Math" w:hAnsi="Cambria Math"/>
                    <w:sz w:val="24"/>
                    <w:szCs w:val="24"/>
                  </w:rPr>
                  <m:t>NA</m:t>
                </m:r>
              </m:sup>
            </m:sSubSup>
          </m:den>
        </m:f>
        <m:r>
          <m:rPr>
            <m:sty m:val="p"/>
          </m:rPr>
          <w:rPr>
            <w:rFonts w:ascii="Cambria Math" w:hAnsi="Cambria Math"/>
            <w:sz w:val="24"/>
            <w:szCs w:val="24"/>
          </w:rPr>
          <m:t>/</m:t>
        </m:r>
        <m:sSubSup>
          <m:sSubSupPr>
            <m:ctrlPr>
              <w:rPr>
                <w:rFonts w:ascii="Cambria Math" w:hAnsi="Cambria Math"/>
                <w:sz w:val="24"/>
                <w:szCs w:val="24"/>
              </w:rPr>
            </m:ctrlPr>
          </m:sSubSupPr>
          <m:e>
            <m:r>
              <w:rPr>
                <w:rFonts w:ascii="Cambria Math" w:hAnsi="Cambria Math"/>
                <w:sz w:val="24"/>
                <w:szCs w:val="24"/>
              </w:rPr>
              <m:t>Q</m:t>
            </m:r>
          </m:e>
          <m:sub>
            <m:r>
              <w:rPr>
                <w:rFonts w:ascii="Cambria Math" w:hAnsi="Cambria Math"/>
                <w:sz w:val="24"/>
                <w:szCs w:val="24"/>
              </w:rPr>
              <m:t>jt</m:t>
            </m:r>
            <m:r>
              <m:rPr>
                <m:sty m:val="p"/>
              </m:rPr>
              <w:rPr>
                <w:rFonts w:ascii="Cambria Math" w:hAnsi="Cambria Math"/>
                <w:sz w:val="24"/>
                <w:szCs w:val="24"/>
              </w:rPr>
              <m:t>,</m:t>
            </m:r>
            <m:r>
              <w:rPr>
                <w:rFonts w:ascii="Cambria Math" w:hAnsi="Cambria Math"/>
                <w:sz w:val="24"/>
                <w:szCs w:val="24"/>
              </w:rPr>
              <m:t>t</m:t>
            </m:r>
            <m:r>
              <m:rPr>
                <m:sty m:val="p"/>
              </m:rPr>
              <w:rPr>
                <w:rFonts w:ascii="Cambria Math" w:hAnsi="Cambria Math"/>
                <w:sz w:val="24"/>
                <w:szCs w:val="24"/>
              </w:rPr>
              <m:t>-1</m:t>
            </m:r>
          </m:sub>
          <m:sup>
            <m:r>
              <w:rPr>
                <w:rFonts w:ascii="Cambria Math" w:hAnsi="Cambria Math"/>
                <w:sz w:val="24"/>
                <w:szCs w:val="24"/>
              </w:rPr>
              <m:t>T</m:t>
            </m:r>
          </m:sup>
        </m:sSubSup>
      </m:oMath>
      <w:r w:rsidR="00146409" w:rsidRPr="00E378F7">
        <w:rPr>
          <w:rFonts w:ascii="Times New Roman" w:hAnsi="Times New Roman"/>
          <w:sz w:val="24"/>
          <w:szCs w:val="24"/>
        </w:rPr>
        <w:tab/>
      </w:r>
      <w:r w:rsidR="00146409" w:rsidRPr="00E378F7">
        <w:rPr>
          <w:rFonts w:ascii="Times New Roman" w:hAnsi="Times New Roman"/>
          <w:sz w:val="24"/>
          <w:szCs w:val="24"/>
        </w:rPr>
        <w:tab/>
      </w:r>
      <w:r w:rsidR="00A64D6E" w:rsidRPr="00E378F7">
        <w:rPr>
          <w:rFonts w:ascii="Times New Roman" w:hAnsi="Times New Roman"/>
          <w:sz w:val="24"/>
          <w:szCs w:val="24"/>
        </w:rPr>
        <w:tab/>
      </w:r>
      <w:r w:rsidR="00A64D6E" w:rsidRPr="00E378F7">
        <w:rPr>
          <w:rFonts w:ascii="Times New Roman" w:hAnsi="Times New Roman"/>
          <w:sz w:val="24"/>
          <w:szCs w:val="24"/>
        </w:rPr>
        <w:tab/>
      </w:r>
      <w:r w:rsidR="00146409" w:rsidRPr="00E378F7">
        <w:rPr>
          <w:rFonts w:ascii="Times New Roman" w:hAnsi="Times New Roman"/>
          <w:sz w:val="24"/>
          <w:szCs w:val="24"/>
        </w:rPr>
        <w:tab/>
        <w:t>(3.10)</w:t>
      </w:r>
    </w:p>
    <w:p w14:paraId="4AADADE0" w14:textId="6D391F57" w:rsidR="00146409" w:rsidRPr="00E378F7" w:rsidRDefault="00711189" w:rsidP="008E4E1C">
      <w:pPr>
        <w:spacing w:line="360" w:lineRule="auto"/>
        <w:jc w:val="both"/>
        <w:rPr>
          <w:rFonts w:ascii="Times New Roman" w:hAnsi="Times New Roman"/>
          <w:sz w:val="24"/>
          <w:szCs w:val="24"/>
        </w:rPr>
      </w:pPr>
      <w:r w:rsidRPr="00E378F7">
        <w:rPr>
          <w:rFonts w:ascii="Times New Roman" w:hAnsi="Times New Roman"/>
          <w:sz w:val="24"/>
          <w:szCs w:val="24"/>
        </w:rPr>
        <w:t>Where</w:t>
      </w:r>
      <w:r w:rsidR="00146409" w:rsidRPr="00E378F7">
        <w:rPr>
          <w:rFonts w:ascii="Times New Roman" w:hAnsi="Times New Roman"/>
          <w:sz w:val="24"/>
          <w:szCs w:val="24"/>
        </w:rPr>
        <w:t xml:space="preserve"> </w:t>
      </w:r>
      <m:oMath>
        <m:sSubSup>
          <m:sSubSupPr>
            <m:ctrlPr>
              <w:rPr>
                <w:rFonts w:ascii="Cambria Math" w:hAnsi="Cambria Math"/>
                <w:sz w:val="24"/>
                <w:szCs w:val="24"/>
              </w:rPr>
            </m:ctrlPr>
          </m:sSubSupPr>
          <m:e>
            <m:r>
              <w:rPr>
                <w:rFonts w:ascii="Cambria Math" w:hAnsi="Cambria Math"/>
                <w:sz w:val="24"/>
                <w:szCs w:val="24"/>
              </w:rPr>
              <m:t>RGDP</m:t>
            </m:r>
          </m:e>
          <m:sub>
            <m:r>
              <w:rPr>
                <w:rFonts w:ascii="Cambria Math" w:hAnsi="Cambria Math"/>
                <w:sz w:val="24"/>
                <w:szCs w:val="24"/>
              </w:rPr>
              <m:t>t</m:t>
            </m:r>
          </m:sub>
          <m:sup>
            <m:r>
              <w:rPr>
                <w:rFonts w:ascii="Cambria Math" w:hAnsi="Cambria Math"/>
                <w:sz w:val="24"/>
                <w:szCs w:val="24"/>
              </w:rPr>
              <m:t>NA</m:t>
            </m:r>
          </m:sup>
        </m:sSubSup>
        <m:r>
          <w:rPr>
            <w:rFonts w:ascii="Cambria Math" w:hAnsi="Cambria Math"/>
            <w:sz w:val="24"/>
            <w:szCs w:val="24"/>
          </w:rPr>
          <m:t xml:space="preserve"> </m:t>
        </m:r>
      </m:oMath>
      <w:r w:rsidR="00BD295F" w:rsidRPr="00E378F7">
        <w:rPr>
          <w:rFonts w:ascii="Times New Roman" w:eastAsiaTheme="minorEastAsia" w:hAnsi="Times New Roman"/>
          <w:sz w:val="24"/>
          <w:szCs w:val="24"/>
        </w:rPr>
        <w:t xml:space="preserve"> is the </w:t>
      </w:r>
      <w:r w:rsidR="00146409" w:rsidRPr="00E378F7">
        <w:rPr>
          <w:rFonts w:ascii="Times New Roman" w:hAnsi="Times New Roman"/>
          <w:sz w:val="24"/>
          <w:szCs w:val="24"/>
        </w:rPr>
        <w:t>real GDP at constant national prices</w:t>
      </w:r>
      <w:r w:rsidR="00BD295F" w:rsidRPr="00E378F7">
        <w:rPr>
          <w:rFonts w:ascii="Times New Roman" w:hAnsi="Times New Roman"/>
          <w:sz w:val="24"/>
          <w:szCs w:val="24"/>
        </w:rPr>
        <w:t>,</w:t>
      </w:r>
      <w:r w:rsidR="00146409" w:rsidRPr="00E378F7">
        <w:rPr>
          <w:rFonts w:ascii="Times New Roman" w:hAnsi="Times New Roman"/>
          <w:sz w:val="24"/>
          <w:szCs w:val="24"/>
        </w:rPr>
        <w:t xml:space="preserve"> and </w:t>
      </w:r>
      <m:oMath>
        <m:sSubSup>
          <m:sSubSupPr>
            <m:ctrlPr>
              <w:rPr>
                <w:rFonts w:ascii="Cambria Math" w:hAnsi="Cambria Math"/>
                <w:sz w:val="24"/>
                <w:szCs w:val="24"/>
              </w:rPr>
            </m:ctrlPr>
          </m:sSubSupPr>
          <m:e>
            <m:r>
              <w:rPr>
                <w:rFonts w:ascii="Cambria Math" w:hAnsi="Cambria Math"/>
                <w:sz w:val="24"/>
                <w:szCs w:val="24"/>
              </w:rPr>
              <m:t>Q</m:t>
            </m:r>
          </m:e>
          <m:sub>
            <m:r>
              <w:rPr>
                <w:rFonts w:ascii="Cambria Math" w:hAnsi="Cambria Math"/>
                <w:sz w:val="24"/>
                <w:szCs w:val="24"/>
              </w:rPr>
              <m:t>t</m:t>
            </m:r>
            <m:r>
              <m:rPr>
                <m:sty m:val="p"/>
              </m:rPr>
              <w:rPr>
                <w:rFonts w:ascii="Cambria Math" w:hAnsi="Cambria Math"/>
                <w:sz w:val="24"/>
                <w:szCs w:val="24"/>
              </w:rPr>
              <m:t>,</m:t>
            </m:r>
            <m:r>
              <w:rPr>
                <w:rFonts w:ascii="Cambria Math" w:hAnsi="Cambria Math"/>
                <w:sz w:val="24"/>
                <w:szCs w:val="24"/>
              </w:rPr>
              <m:t>t</m:t>
            </m:r>
            <m:r>
              <m:rPr>
                <m:sty m:val="p"/>
              </m:rPr>
              <w:rPr>
                <w:rFonts w:ascii="Cambria Math" w:hAnsi="Cambria Math"/>
                <w:sz w:val="24"/>
                <w:szCs w:val="24"/>
              </w:rPr>
              <m:t>-1</m:t>
            </m:r>
          </m:sub>
          <m:sup>
            <m:r>
              <w:rPr>
                <w:rFonts w:ascii="Cambria Math" w:hAnsi="Cambria Math"/>
                <w:sz w:val="24"/>
                <w:szCs w:val="24"/>
              </w:rPr>
              <m:t>T</m:t>
            </m:r>
          </m:sup>
        </m:sSubSup>
      </m:oMath>
      <w:r w:rsidR="00146409" w:rsidRPr="00E378F7">
        <w:rPr>
          <w:rFonts w:ascii="Times New Roman" w:hAnsi="Times New Roman"/>
          <w:sz w:val="24"/>
          <w:szCs w:val="24"/>
        </w:rPr>
        <w:t xml:space="preserve"> is an index reflecting the growth of factor inputs (</w:t>
      </w:r>
      <w:r w:rsidR="00C40D74" w:rsidRPr="00E378F7">
        <w:rPr>
          <w:rFonts w:ascii="Times New Roman" w:hAnsi="Times New Roman"/>
          <w:sz w:val="24"/>
          <w:szCs w:val="24"/>
        </w:rPr>
        <w:t>labor</w:t>
      </w:r>
      <w:r w:rsidR="00146409" w:rsidRPr="00E378F7">
        <w:rPr>
          <w:rFonts w:ascii="Times New Roman" w:hAnsi="Times New Roman"/>
          <w:sz w:val="24"/>
          <w:szCs w:val="24"/>
        </w:rPr>
        <w:t xml:space="preserve"> and capital) between period </w:t>
      </w:r>
      <m:oMath>
        <m:r>
          <w:rPr>
            <w:rFonts w:ascii="Cambria Math" w:hAnsi="Cambria Math"/>
            <w:sz w:val="24"/>
            <w:szCs w:val="24"/>
          </w:rPr>
          <m:t>t</m:t>
        </m:r>
        <m:r>
          <m:rPr>
            <m:sty m:val="p"/>
          </m:rPr>
          <w:rPr>
            <w:rFonts w:ascii="Cambria Math" w:hAnsi="Cambria Math"/>
            <w:sz w:val="24"/>
            <w:szCs w:val="24"/>
          </w:rPr>
          <m:t xml:space="preserve"> </m:t>
        </m:r>
      </m:oMath>
      <w:r w:rsidR="00146409" w:rsidRPr="00E378F7">
        <w:rPr>
          <w:rFonts w:ascii="Times New Roman" w:hAnsi="Times New Roman"/>
          <w:sz w:val="24"/>
          <w:szCs w:val="24"/>
        </w:rPr>
        <w:t xml:space="preserve">and </w:t>
      </w:r>
      <m:oMath>
        <m:r>
          <w:rPr>
            <w:rFonts w:ascii="Cambria Math" w:hAnsi="Cambria Math"/>
            <w:sz w:val="24"/>
            <w:szCs w:val="24"/>
          </w:rPr>
          <m:t>t</m:t>
        </m:r>
        <m:r>
          <m:rPr>
            <m:sty m:val="p"/>
          </m:rPr>
          <w:rPr>
            <w:rFonts w:ascii="Cambria Math" w:hAnsi="Cambria Math"/>
            <w:sz w:val="24"/>
            <w:szCs w:val="24"/>
          </w:rPr>
          <m:t>-1</m:t>
        </m:r>
      </m:oMath>
      <w:r w:rsidR="00146409" w:rsidRPr="00E378F7">
        <w:rPr>
          <w:rFonts w:ascii="Times New Roman" w:hAnsi="Times New Roman"/>
          <w:sz w:val="24"/>
          <w:szCs w:val="24"/>
        </w:rPr>
        <w:t xml:space="preserve"> for each country.</w:t>
      </w:r>
    </w:p>
    <w:p w14:paraId="03F44DF5" w14:textId="43743521" w:rsidR="00146409" w:rsidRPr="00E378F7" w:rsidRDefault="00146409" w:rsidP="008E4E1C">
      <w:pPr>
        <w:spacing w:line="360" w:lineRule="auto"/>
        <w:jc w:val="both"/>
        <w:rPr>
          <w:rFonts w:ascii="Times New Roman" w:hAnsi="Times New Roman"/>
          <w:sz w:val="24"/>
          <w:szCs w:val="24"/>
        </w:rPr>
      </w:pPr>
      <w:r w:rsidRPr="00E378F7">
        <w:rPr>
          <w:rFonts w:ascii="Times New Roman" w:hAnsi="Times New Roman"/>
          <w:sz w:val="24"/>
          <w:szCs w:val="24"/>
        </w:rPr>
        <w:t>The empirical literature has identified three (3) dimensions of financial development: depth, access</w:t>
      </w:r>
      <w:r w:rsidR="00BD295F" w:rsidRPr="00E378F7">
        <w:rPr>
          <w:rFonts w:ascii="Times New Roman" w:hAnsi="Times New Roman"/>
          <w:sz w:val="24"/>
          <w:szCs w:val="24"/>
        </w:rPr>
        <w:t>,</w:t>
      </w:r>
      <w:r w:rsidRPr="00E378F7">
        <w:rPr>
          <w:rFonts w:ascii="Times New Roman" w:hAnsi="Times New Roman"/>
          <w:sz w:val="24"/>
          <w:szCs w:val="24"/>
        </w:rPr>
        <w:t xml:space="preserve"> and efficiency (see Sahay et al., 2015)</w:t>
      </w:r>
      <w:r w:rsidRPr="00E378F7">
        <w:rPr>
          <w:rStyle w:val="FootnoteReference"/>
          <w:rFonts w:ascii="Times New Roman" w:hAnsi="Times New Roman"/>
          <w:sz w:val="24"/>
          <w:szCs w:val="24"/>
        </w:rPr>
        <w:footnoteReference w:id="3"/>
      </w:r>
      <w:r w:rsidR="00BD295F" w:rsidRPr="00E378F7">
        <w:rPr>
          <w:rFonts w:ascii="Times New Roman" w:hAnsi="Times New Roman"/>
          <w:sz w:val="24"/>
          <w:szCs w:val="24"/>
        </w:rPr>
        <w:t>.</w:t>
      </w:r>
      <w:r w:rsidRPr="00E378F7">
        <w:rPr>
          <w:rFonts w:ascii="Times New Roman" w:hAnsi="Times New Roman"/>
          <w:sz w:val="24"/>
          <w:szCs w:val="24"/>
        </w:rPr>
        <w:t xml:space="preserve"> In order to adequately capture the effect of financial depth on TFP growth, this study considers two measures of </w:t>
      </w:r>
      <w:r w:rsidR="00BD295F" w:rsidRPr="00E378F7">
        <w:rPr>
          <w:rFonts w:ascii="Times New Roman" w:hAnsi="Times New Roman"/>
          <w:sz w:val="24"/>
          <w:szCs w:val="24"/>
        </w:rPr>
        <w:t xml:space="preserve">the </w:t>
      </w:r>
      <w:r w:rsidRPr="00E378F7">
        <w:rPr>
          <w:rFonts w:ascii="Times New Roman" w:hAnsi="Times New Roman"/>
          <w:sz w:val="24"/>
          <w:szCs w:val="24"/>
        </w:rPr>
        <w:t>depth of financial institutions and markets. The depth of financial institutions is proxied by the ratio of private credit by deposit money banks and other financial institutions to GDP (%), while financial markets is measured by the ratio of stock market capitalization to GDP (%)</w:t>
      </w:r>
      <w:r w:rsidR="00BD295F" w:rsidRPr="00E378F7">
        <w:rPr>
          <w:rFonts w:ascii="Times New Roman" w:hAnsi="Times New Roman"/>
          <w:sz w:val="24"/>
          <w:szCs w:val="24"/>
        </w:rPr>
        <w:t>,</w:t>
      </w:r>
      <w:r w:rsidR="00471D44" w:rsidRPr="00E378F7">
        <w:rPr>
          <w:rFonts w:ascii="Times New Roman" w:hAnsi="Times New Roman"/>
          <w:sz w:val="24"/>
          <w:szCs w:val="24"/>
        </w:rPr>
        <w:t xml:space="preserve"> and </w:t>
      </w:r>
      <w:r w:rsidR="00BD295F" w:rsidRPr="00E378F7">
        <w:rPr>
          <w:rFonts w:ascii="Times New Roman" w:hAnsi="Times New Roman"/>
          <w:sz w:val="24"/>
          <w:szCs w:val="24"/>
        </w:rPr>
        <w:t xml:space="preserve">the </w:t>
      </w:r>
      <w:r w:rsidR="00471D44" w:rsidRPr="00E378F7">
        <w:rPr>
          <w:rFonts w:ascii="Times New Roman" w:hAnsi="Times New Roman"/>
          <w:sz w:val="24"/>
          <w:szCs w:val="24"/>
        </w:rPr>
        <w:t>ratio of stock market total value traded to GDP (%)</w:t>
      </w:r>
      <w:r w:rsidRPr="00E378F7">
        <w:rPr>
          <w:rFonts w:ascii="Times New Roman" w:hAnsi="Times New Roman"/>
          <w:sz w:val="24"/>
          <w:szCs w:val="24"/>
        </w:rPr>
        <w:t xml:space="preserve">. </w:t>
      </w:r>
      <w:r w:rsidR="00471D44" w:rsidRPr="00E378F7">
        <w:rPr>
          <w:rFonts w:ascii="Times New Roman" w:hAnsi="Times New Roman"/>
          <w:sz w:val="24"/>
          <w:szCs w:val="24"/>
        </w:rPr>
        <w:t xml:space="preserve">All </w:t>
      </w:r>
      <w:r w:rsidRPr="00E378F7">
        <w:rPr>
          <w:rFonts w:ascii="Times New Roman" w:hAnsi="Times New Roman"/>
          <w:sz w:val="24"/>
          <w:szCs w:val="24"/>
        </w:rPr>
        <w:t>measures of financial depth are sourced from the Global Financial Development database.</w:t>
      </w:r>
    </w:p>
    <w:p w14:paraId="4E5F72D7" w14:textId="5C271BD0" w:rsidR="00146409" w:rsidRPr="00E378F7" w:rsidRDefault="00146409" w:rsidP="008E4E1C">
      <w:pPr>
        <w:spacing w:line="360" w:lineRule="auto"/>
        <w:jc w:val="both"/>
        <w:rPr>
          <w:rFonts w:ascii="Times New Roman" w:hAnsi="Times New Roman"/>
          <w:sz w:val="24"/>
          <w:szCs w:val="24"/>
        </w:rPr>
      </w:pPr>
      <w:r w:rsidRPr="00E378F7">
        <w:rPr>
          <w:rFonts w:ascii="Times New Roman" w:hAnsi="Times New Roman"/>
          <w:sz w:val="24"/>
          <w:szCs w:val="24"/>
        </w:rPr>
        <w:t xml:space="preserve">Foreign direct investment (FDI) is proxied by the ratio of net inward FDI flows to GDP. Data </w:t>
      </w:r>
      <w:r w:rsidR="00BD295F" w:rsidRPr="00E378F7">
        <w:rPr>
          <w:rFonts w:ascii="Times New Roman" w:hAnsi="Times New Roman"/>
          <w:sz w:val="24"/>
          <w:szCs w:val="24"/>
        </w:rPr>
        <w:t xml:space="preserve">regarding </w:t>
      </w:r>
      <w:r w:rsidRPr="00E378F7">
        <w:rPr>
          <w:rFonts w:ascii="Times New Roman" w:hAnsi="Times New Roman"/>
          <w:sz w:val="24"/>
          <w:szCs w:val="24"/>
        </w:rPr>
        <w:t>this variable is obtained from the World Bank’s World Development Indicators (WDI). The quality of institutions is measured by the index of rule of law. It is obtained from the Governance Indicators compiled by the World Bank. This variable ranges from -2.5 reflecting poor institutional quality to 2.5 denoting good quality institutions in the respective countries.</w:t>
      </w:r>
    </w:p>
    <w:p w14:paraId="3EC57CD8" w14:textId="6362D8D2" w:rsidR="00146409" w:rsidRPr="00E378F7" w:rsidRDefault="00146409" w:rsidP="008E4E1C">
      <w:pPr>
        <w:spacing w:line="360" w:lineRule="auto"/>
        <w:jc w:val="both"/>
        <w:rPr>
          <w:rFonts w:ascii="Times New Roman" w:hAnsi="Times New Roman"/>
          <w:sz w:val="24"/>
          <w:szCs w:val="24"/>
        </w:rPr>
      </w:pPr>
      <w:r w:rsidRPr="00E378F7">
        <w:rPr>
          <w:rFonts w:ascii="Times New Roman" w:hAnsi="Times New Roman"/>
          <w:sz w:val="24"/>
          <w:szCs w:val="24"/>
        </w:rPr>
        <w:t xml:space="preserve">Trade openness is computed as the sum of exports and imports (as a share of GDP) and </w:t>
      </w:r>
      <w:r w:rsidR="00BD295F" w:rsidRPr="00E378F7">
        <w:rPr>
          <w:rFonts w:ascii="Times New Roman" w:hAnsi="Times New Roman"/>
          <w:sz w:val="24"/>
          <w:szCs w:val="24"/>
        </w:rPr>
        <w:t xml:space="preserve">is </w:t>
      </w:r>
      <w:r w:rsidRPr="00E378F7">
        <w:rPr>
          <w:rFonts w:ascii="Times New Roman" w:hAnsi="Times New Roman"/>
          <w:sz w:val="24"/>
          <w:szCs w:val="24"/>
        </w:rPr>
        <w:t xml:space="preserve">obtained </w:t>
      </w:r>
      <w:r w:rsidR="00BD295F" w:rsidRPr="00E378F7">
        <w:rPr>
          <w:rFonts w:ascii="Times New Roman" w:hAnsi="Times New Roman"/>
          <w:sz w:val="24"/>
          <w:szCs w:val="24"/>
        </w:rPr>
        <w:t xml:space="preserve">using </w:t>
      </w:r>
      <w:r w:rsidRPr="00E378F7">
        <w:rPr>
          <w:rFonts w:ascii="Times New Roman" w:hAnsi="Times New Roman"/>
          <w:sz w:val="24"/>
          <w:szCs w:val="24"/>
        </w:rPr>
        <w:t xml:space="preserve">WDI. Government consumption is measured as the annual growth of general government final consumption expenditure (% GDP) and obtained </w:t>
      </w:r>
      <w:r w:rsidR="00BD295F" w:rsidRPr="00E378F7">
        <w:rPr>
          <w:rFonts w:ascii="Times New Roman" w:hAnsi="Times New Roman"/>
          <w:sz w:val="24"/>
          <w:szCs w:val="24"/>
        </w:rPr>
        <w:t xml:space="preserve">using </w:t>
      </w:r>
      <w:r w:rsidRPr="00E378F7">
        <w:rPr>
          <w:rFonts w:ascii="Times New Roman" w:hAnsi="Times New Roman"/>
          <w:sz w:val="24"/>
          <w:szCs w:val="24"/>
        </w:rPr>
        <w:t>WDI. Data on the stock of human capital is source</w:t>
      </w:r>
      <w:r w:rsidR="00E378F7" w:rsidRPr="00E378F7">
        <w:rPr>
          <w:rFonts w:ascii="Times New Roman" w:hAnsi="Times New Roman"/>
          <w:sz w:val="24"/>
          <w:szCs w:val="24"/>
        </w:rPr>
        <w:t>d</w:t>
      </w:r>
      <w:r w:rsidRPr="00E378F7">
        <w:rPr>
          <w:rFonts w:ascii="Times New Roman" w:hAnsi="Times New Roman"/>
          <w:sz w:val="24"/>
          <w:szCs w:val="24"/>
        </w:rPr>
        <w:t xml:space="preserve"> from</w:t>
      </w:r>
      <w:r w:rsidR="00E378F7" w:rsidRPr="00E378F7">
        <w:rPr>
          <w:rFonts w:ascii="Times New Roman" w:hAnsi="Times New Roman"/>
          <w:sz w:val="24"/>
          <w:szCs w:val="24"/>
        </w:rPr>
        <w:t xml:space="preserve"> the</w:t>
      </w:r>
      <w:r w:rsidRPr="00E378F7">
        <w:rPr>
          <w:rFonts w:ascii="Times New Roman" w:hAnsi="Times New Roman"/>
          <w:sz w:val="24"/>
          <w:szCs w:val="24"/>
        </w:rPr>
        <w:t xml:space="preserve"> PWT 9.0. The variable is calculated based on the average years of schooling </w:t>
      </w:r>
      <w:r w:rsidR="00E378F7" w:rsidRPr="00E378F7">
        <w:rPr>
          <w:rFonts w:ascii="Times New Roman" w:hAnsi="Times New Roman"/>
          <w:sz w:val="24"/>
          <w:szCs w:val="24"/>
        </w:rPr>
        <w:t xml:space="preserve">of </w:t>
      </w:r>
      <w:r w:rsidRPr="00E378F7">
        <w:rPr>
          <w:rFonts w:ascii="Times New Roman" w:hAnsi="Times New Roman"/>
          <w:sz w:val="24"/>
          <w:szCs w:val="24"/>
        </w:rPr>
        <w:t xml:space="preserve">the population aged at least 15 years and an assumed rate of return to education. To test the neoclassical convergence hypothesis, the logarithm of initial real GDP per capita (constant 2010 US$) </w:t>
      </w:r>
      <w:r w:rsidR="00E378F7" w:rsidRPr="00E378F7">
        <w:rPr>
          <w:rFonts w:ascii="Times New Roman" w:hAnsi="Times New Roman"/>
          <w:sz w:val="24"/>
          <w:szCs w:val="24"/>
        </w:rPr>
        <w:t xml:space="preserve">is used </w:t>
      </w:r>
      <w:r w:rsidRPr="00E378F7">
        <w:rPr>
          <w:rFonts w:ascii="Times New Roman" w:hAnsi="Times New Roman"/>
          <w:sz w:val="24"/>
          <w:szCs w:val="24"/>
        </w:rPr>
        <w:t>in the first year of each five-year sub-period. The data is obtained from the WDI.</w:t>
      </w:r>
    </w:p>
    <w:p w14:paraId="2B271BB8" w14:textId="490E6C79" w:rsidR="00466785" w:rsidRPr="004D3814" w:rsidRDefault="00BD295F" w:rsidP="00696551">
      <w:pPr>
        <w:pStyle w:val="Heading1"/>
      </w:pPr>
      <w:r w:rsidRPr="00946B79">
        <w:br w:type="page"/>
      </w:r>
      <w:bookmarkStart w:id="21" w:name="_Toc501031466"/>
      <w:r w:rsidR="00466785" w:rsidRPr="00E378F7">
        <w:lastRenderedPageBreak/>
        <w:t>CHAPTER FOUR</w:t>
      </w:r>
      <w:bookmarkEnd w:id="21"/>
    </w:p>
    <w:p w14:paraId="165F2BF3" w14:textId="77777777" w:rsidR="00466785" w:rsidRPr="00E378F7" w:rsidRDefault="00466785" w:rsidP="00696551">
      <w:pPr>
        <w:pStyle w:val="Heading1"/>
      </w:pPr>
      <w:bookmarkStart w:id="22" w:name="_Toc501031467"/>
      <w:r w:rsidRPr="00E378F7">
        <w:t>TREND ANALYSIS</w:t>
      </w:r>
      <w:bookmarkEnd w:id="22"/>
    </w:p>
    <w:p w14:paraId="5C25D567" w14:textId="77777777" w:rsidR="008E524D" w:rsidRPr="00696551" w:rsidRDefault="008E524D" w:rsidP="00696551">
      <w:pPr>
        <w:pStyle w:val="Heading2"/>
      </w:pPr>
      <w:bookmarkStart w:id="23" w:name="_Toc501031468"/>
      <w:r w:rsidRPr="00696551">
        <w:t>4.1 INTRODUCTION</w:t>
      </w:r>
      <w:bookmarkEnd w:id="23"/>
    </w:p>
    <w:p w14:paraId="3278BF3D" w14:textId="6224DD75" w:rsidR="000800A0" w:rsidRPr="00946B79" w:rsidRDefault="00466785" w:rsidP="008E4E1C">
      <w:pPr>
        <w:spacing w:after="240" w:line="360" w:lineRule="auto"/>
        <w:jc w:val="both"/>
        <w:rPr>
          <w:rFonts w:ascii="Times New Roman" w:hAnsi="Times New Roman" w:cs="Times New Roman"/>
          <w:sz w:val="24"/>
          <w:szCs w:val="24"/>
          <w:lang w:val="en"/>
        </w:rPr>
      </w:pPr>
      <w:r w:rsidRPr="00946B79">
        <w:rPr>
          <w:rFonts w:ascii="Times New Roman" w:hAnsi="Times New Roman" w:cs="Times New Roman"/>
          <w:sz w:val="24"/>
          <w:szCs w:val="24"/>
          <w:lang w:val="en"/>
        </w:rPr>
        <w:t xml:space="preserve">The global financial crisis has necessitated a reconsideration of what the right mix of regulations and macroeconomics policies for the financial markets </w:t>
      </w:r>
      <w:r w:rsidR="00E378F7" w:rsidRPr="00946B79">
        <w:rPr>
          <w:rFonts w:ascii="Times New Roman" w:hAnsi="Times New Roman" w:cs="Times New Roman"/>
          <w:sz w:val="24"/>
          <w:szCs w:val="24"/>
          <w:lang w:val="en"/>
        </w:rPr>
        <w:t xml:space="preserve">will be </w:t>
      </w:r>
      <w:r w:rsidRPr="00946B79">
        <w:rPr>
          <w:rFonts w:ascii="Times New Roman" w:hAnsi="Times New Roman" w:cs="Times New Roman"/>
          <w:sz w:val="24"/>
          <w:szCs w:val="24"/>
          <w:lang w:val="en"/>
        </w:rPr>
        <w:t>to po</w:t>
      </w:r>
      <w:r w:rsidR="000800A0" w:rsidRPr="00946B79">
        <w:rPr>
          <w:rFonts w:ascii="Times New Roman" w:hAnsi="Times New Roman" w:cs="Times New Roman"/>
          <w:sz w:val="24"/>
          <w:szCs w:val="24"/>
          <w:lang w:val="en"/>
        </w:rPr>
        <w:t>sitively impact the productivity</w:t>
      </w:r>
      <w:r w:rsidRPr="00946B79">
        <w:rPr>
          <w:rFonts w:ascii="Times New Roman" w:hAnsi="Times New Roman" w:cs="Times New Roman"/>
          <w:sz w:val="24"/>
          <w:szCs w:val="24"/>
          <w:lang w:val="en"/>
        </w:rPr>
        <w:t xml:space="preserve"> growth. </w:t>
      </w:r>
      <w:r w:rsidR="00E378F7" w:rsidRPr="00946B79">
        <w:rPr>
          <w:rFonts w:ascii="Times New Roman" w:hAnsi="Times New Roman" w:cs="Times New Roman"/>
          <w:sz w:val="24"/>
          <w:szCs w:val="24"/>
          <w:lang w:val="en"/>
        </w:rPr>
        <w:t xml:space="preserve">According to </w:t>
      </w:r>
      <w:r w:rsidRPr="00946B79">
        <w:rPr>
          <w:rFonts w:ascii="Times New Roman" w:hAnsi="Times New Roman" w:cs="Times New Roman"/>
          <w:sz w:val="24"/>
          <w:szCs w:val="24"/>
          <w:lang w:val="en"/>
        </w:rPr>
        <w:t>the recent</w:t>
      </w:r>
      <w:r w:rsidR="00C30EEC" w:rsidRPr="00946B79">
        <w:rPr>
          <w:rFonts w:ascii="Times New Roman" w:hAnsi="Times New Roman" w:cs="Times New Roman"/>
          <w:sz w:val="24"/>
          <w:szCs w:val="24"/>
          <w:lang w:val="en"/>
        </w:rPr>
        <w:t xml:space="preserve"> international financial corporation (IFC) projection</w:t>
      </w:r>
      <w:r w:rsidR="000800A0" w:rsidRPr="00946B79">
        <w:rPr>
          <w:rFonts w:ascii="Times New Roman" w:hAnsi="Times New Roman" w:cs="Times New Roman"/>
          <w:sz w:val="24"/>
          <w:szCs w:val="24"/>
          <w:lang w:val="en"/>
        </w:rPr>
        <w:t>, the emerging countries were</w:t>
      </w:r>
      <w:r w:rsidR="00C30EEC" w:rsidRPr="00946B79">
        <w:rPr>
          <w:rFonts w:ascii="Times New Roman" w:hAnsi="Times New Roman" w:cs="Times New Roman"/>
          <w:sz w:val="24"/>
          <w:szCs w:val="24"/>
          <w:lang w:val="en"/>
        </w:rPr>
        <w:t xml:space="preserve"> to contribute to about 60% of the total g</w:t>
      </w:r>
      <w:r w:rsidR="00B2741C" w:rsidRPr="00946B79">
        <w:rPr>
          <w:rFonts w:ascii="Times New Roman" w:hAnsi="Times New Roman" w:cs="Times New Roman"/>
          <w:sz w:val="24"/>
          <w:szCs w:val="24"/>
          <w:lang w:val="en"/>
        </w:rPr>
        <w:t>lobal production by the year 2020.</w:t>
      </w:r>
    </w:p>
    <w:p w14:paraId="5D4D5370" w14:textId="3B50C44B" w:rsidR="000800A0" w:rsidRPr="00946B79" w:rsidRDefault="00B2741C" w:rsidP="008E4E1C">
      <w:pPr>
        <w:spacing w:after="240" w:line="360" w:lineRule="auto"/>
        <w:jc w:val="both"/>
        <w:rPr>
          <w:rFonts w:ascii="Times New Roman" w:hAnsi="Times New Roman" w:cs="Times New Roman"/>
          <w:sz w:val="24"/>
          <w:szCs w:val="24"/>
          <w:lang w:val="en"/>
        </w:rPr>
      </w:pPr>
      <w:r w:rsidRPr="00946B79">
        <w:rPr>
          <w:rFonts w:ascii="Times New Roman" w:hAnsi="Times New Roman" w:cs="Times New Roman"/>
          <w:sz w:val="24"/>
          <w:szCs w:val="24"/>
          <w:lang w:val="en"/>
        </w:rPr>
        <w:t>To achieve this goal, with the recent growt</w:t>
      </w:r>
      <w:r w:rsidR="000800A0" w:rsidRPr="00946B79">
        <w:rPr>
          <w:rFonts w:ascii="Times New Roman" w:hAnsi="Times New Roman" w:cs="Times New Roman"/>
          <w:sz w:val="24"/>
          <w:szCs w:val="24"/>
          <w:lang w:val="en"/>
        </w:rPr>
        <w:t>h experiences that underpinned sustainable</w:t>
      </w:r>
      <w:r w:rsidRPr="00946B79">
        <w:rPr>
          <w:rFonts w:ascii="Times New Roman" w:hAnsi="Times New Roman" w:cs="Times New Roman"/>
          <w:sz w:val="24"/>
          <w:szCs w:val="24"/>
          <w:lang w:val="en"/>
        </w:rPr>
        <w:t xml:space="preserve"> growth, the emerging countries need to improve growth factors such as capital deepening</w:t>
      </w:r>
      <w:r w:rsidR="00330712" w:rsidRPr="00946B79">
        <w:rPr>
          <w:rFonts w:ascii="Times New Roman" w:hAnsi="Times New Roman" w:cs="Times New Roman"/>
          <w:sz w:val="24"/>
          <w:szCs w:val="24"/>
          <w:lang w:val="en"/>
        </w:rPr>
        <w:t xml:space="preserve"> </w:t>
      </w:r>
      <w:r w:rsidR="00E378F7" w:rsidRPr="00946B79">
        <w:rPr>
          <w:rFonts w:ascii="Times New Roman" w:hAnsi="Times New Roman" w:cs="Times New Roman"/>
          <w:sz w:val="24"/>
          <w:szCs w:val="24"/>
          <w:lang w:val="en"/>
        </w:rPr>
        <w:t xml:space="preserve">and </w:t>
      </w:r>
      <w:r w:rsidR="00330712" w:rsidRPr="00946B79">
        <w:rPr>
          <w:rFonts w:ascii="Times New Roman" w:hAnsi="Times New Roman" w:cs="Times New Roman"/>
          <w:sz w:val="24"/>
          <w:szCs w:val="24"/>
          <w:lang w:val="en"/>
        </w:rPr>
        <w:t>diversification</w:t>
      </w:r>
      <w:r w:rsidRPr="00946B79">
        <w:rPr>
          <w:rFonts w:ascii="Times New Roman" w:hAnsi="Times New Roman" w:cs="Times New Roman"/>
          <w:sz w:val="24"/>
          <w:szCs w:val="24"/>
          <w:lang w:val="en"/>
        </w:rPr>
        <w:t xml:space="preserve">, fostering </w:t>
      </w:r>
      <w:r w:rsidR="00E378F7" w:rsidRPr="00946B79">
        <w:rPr>
          <w:rFonts w:ascii="Times New Roman" w:hAnsi="Times New Roman" w:cs="Times New Roman"/>
          <w:sz w:val="24"/>
          <w:szCs w:val="24"/>
          <w:lang w:val="en"/>
        </w:rPr>
        <w:t xml:space="preserve">of </w:t>
      </w:r>
      <w:r w:rsidRPr="00946B79">
        <w:rPr>
          <w:rFonts w:ascii="Times New Roman" w:hAnsi="Times New Roman" w:cs="Times New Roman"/>
          <w:sz w:val="24"/>
          <w:szCs w:val="24"/>
          <w:lang w:val="en"/>
        </w:rPr>
        <w:t>human capital accumulation</w:t>
      </w:r>
      <w:r w:rsidR="00E378F7" w:rsidRPr="00946B79">
        <w:rPr>
          <w:rFonts w:ascii="Times New Roman" w:hAnsi="Times New Roman" w:cs="Times New Roman"/>
          <w:sz w:val="24"/>
          <w:szCs w:val="24"/>
          <w:lang w:val="en"/>
        </w:rPr>
        <w:t>,</w:t>
      </w:r>
      <w:r w:rsidRPr="00946B79">
        <w:rPr>
          <w:rFonts w:ascii="Times New Roman" w:hAnsi="Times New Roman" w:cs="Times New Roman"/>
          <w:sz w:val="24"/>
          <w:szCs w:val="24"/>
          <w:lang w:val="en"/>
        </w:rPr>
        <w:t xml:space="preserve"> and improve</w:t>
      </w:r>
      <w:r w:rsidR="00E378F7" w:rsidRPr="00946B79">
        <w:rPr>
          <w:rFonts w:ascii="Times New Roman" w:hAnsi="Times New Roman" w:cs="Times New Roman"/>
          <w:sz w:val="24"/>
          <w:szCs w:val="24"/>
          <w:lang w:val="en"/>
        </w:rPr>
        <w:t>ment</w:t>
      </w:r>
      <w:r w:rsidRPr="00946B79">
        <w:rPr>
          <w:rFonts w:ascii="Times New Roman" w:hAnsi="Times New Roman" w:cs="Times New Roman"/>
          <w:sz w:val="24"/>
          <w:szCs w:val="24"/>
          <w:lang w:val="en"/>
        </w:rPr>
        <w:t xml:space="preserve"> la</w:t>
      </w:r>
      <w:r w:rsidR="000800A0" w:rsidRPr="00946B79">
        <w:rPr>
          <w:rFonts w:ascii="Times New Roman" w:hAnsi="Times New Roman" w:cs="Times New Roman"/>
          <w:sz w:val="24"/>
          <w:szCs w:val="24"/>
          <w:lang w:val="en"/>
        </w:rPr>
        <w:t>bor utilization (Dabla-Norris, G</w:t>
      </w:r>
      <w:r w:rsidRPr="00946B79">
        <w:rPr>
          <w:rFonts w:ascii="Times New Roman" w:hAnsi="Times New Roman" w:cs="Times New Roman"/>
          <w:sz w:val="24"/>
          <w:szCs w:val="24"/>
          <w:lang w:val="en"/>
        </w:rPr>
        <w:t>iang Ho et al</w:t>
      </w:r>
      <w:r w:rsidR="00E378F7" w:rsidRPr="00946B79">
        <w:rPr>
          <w:rFonts w:ascii="Times New Roman" w:hAnsi="Times New Roman" w:cs="Times New Roman"/>
          <w:sz w:val="24"/>
          <w:szCs w:val="24"/>
          <w:lang w:val="en"/>
        </w:rPr>
        <w:t>.,</w:t>
      </w:r>
      <w:r w:rsidRPr="00946B79">
        <w:rPr>
          <w:rFonts w:ascii="Times New Roman" w:hAnsi="Times New Roman" w:cs="Times New Roman"/>
          <w:sz w:val="24"/>
          <w:szCs w:val="24"/>
          <w:lang w:val="en"/>
        </w:rPr>
        <w:t xml:space="preserve"> December 2013)</w:t>
      </w:r>
      <w:r w:rsidR="00330712" w:rsidRPr="00946B79">
        <w:rPr>
          <w:rFonts w:ascii="Times New Roman" w:hAnsi="Times New Roman" w:cs="Times New Roman"/>
          <w:sz w:val="24"/>
          <w:szCs w:val="24"/>
          <w:lang w:val="en"/>
        </w:rPr>
        <w:t>.</w:t>
      </w:r>
    </w:p>
    <w:p w14:paraId="7A86C614" w14:textId="24875594" w:rsidR="00A947AA" w:rsidRPr="00946B79" w:rsidRDefault="00330712" w:rsidP="008E4E1C">
      <w:pPr>
        <w:spacing w:after="240" w:line="360" w:lineRule="auto"/>
        <w:jc w:val="both"/>
        <w:rPr>
          <w:rFonts w:ascii="Times New Roman" w:hAnsi="Times New Roman" w:cs="Times New Roman"/>
          <w:sz w:val="24"/>
          <w:szCs w:val="24"/>
          <w:lang w:val="en"/>
        </w:rPr>
      </w:pPr>
      <w:r w:rsidRPr="00946B79">
        <w:rPr>
          <w:rFonts w:ascii="Times New Roman" w:hAnsi="Times New Roman" w:cs="Times New Roman"/>
          <w:sz w:val="24"/>
          <w:szCs w:val="24"/>
          <w:lang w:val="en"/>
        </w:rPr>
        <w:t>The financial deepening in emerging market</w:t>
      </w:r>
      <w:r w:rsidR="000800A0" w:rsidRPr="00946B79">
        <w:rPr>
          <w:rFonts w:ascii="Times New Roman" w:hAnsi="Times New Roman" w:cs="Times New Roman"/>
          <w:sz w:val="24"/>
          <w:szCs w:val="24"/>
          <w:lang w:val="en"/>
        </w:rPr>
        <w:t>s</w:t>
      </w:r>
      <w:r w:rsidRPr="00946B79">
        <w:rPr>
          <w:rFonts w:ascii="Times New Roman" w:hAnsi="Times New Roman" w:cs="Times New Roman"/>
          <w:sz w:val="24"/>
          <w:szCs w:val="24"/>
          <w:lang w:val="en"/>
        </w:rPr>
        <w:t xml:space="preserve">, </w:t>
      </w:r>
      <w:r w:rsidR="00E378F7" w:rsidRPr="00946B79">
        <w:rPr>
          <w:rFonts w:ascii="Times New Roman" w:hAnsi="Times New Roman" w:cs="Times New Roman"/>
          <w:sz w:val="24"/>
          <w:szCs w:val="24"/>
          <w:lang w:val="en"/>
        </w:rPr>
        <w:t xml:space="preserve">which </w:t>
      </w:r>
      <w:r w:rsidRPr="00946B79">
        <w:rPr>
          <w:rFonts w:ascii="Times New Roman" w:hAnsi="Times New Roman" w:cs="Times New Roman"/>
          <w:sz w:val="24"/>
          <w:szCs w:val="24"/>
          <w:lang w:val="en"/>
        </w:rPr>
        <w:t>still not fully matured</w:t>
      </w:r>
      <w:r w:rsidR="00E378F7" w:rsidRPr="00946B79">
        <w:rPr>
          <w:rFonts w:ascii="Times New Roman" w:hAnsi="Times New Roman" w:cs="Times New Roman"/>
          <w:sz w:val="24"/>
          <w:szCs w:val="24"/>
          <w:lang w:val="en"/>
        </w:rPr>
        <w:t>,</w:t>
      </w:r>
      <w:r w:rsidRPr="00946B79">
        <w:rPr>
          <w:rFonts w:ascii="Times New Roman" w:hAnsi="Times New Roman" w:cs="Times New Roman"/>
          <w:sz w:val="24"/>
          <w:szCs w:val="24"/>
          <w:lang w:val="en"/>
        </w:rPr>
        <w:t xml:space="preserve"> needs to expand to other areas such as the stock markets</w:t>
      </w:r>
      <w:r w:rsidR="00E378F7" w:rsidRPr="00946B79">
        <w:rPr>
          <w:rFonts w:ascii="Times New Roman" w:hAnsi="Times New Roman" w:cs="Times New Roman"/>
          <w:sz w:val="24"/>
          <w:szCs w:val="24"/>
          <w:lang w:val="en"/>
        </w:rPr>
        <w:t>;</w:t>
      </w:r>
      <w:r w:rsidRPr="00946B79">
        <w:rPr>
          <w:rFonts w:ascii="Times New Roman" w:hAnsi="Times New Roman" w:cs="Times New Roman"/>
          <w:sz w:val="24"/>
          <w:szCs w:val="24"/>
          <w:lang w:val="en"/>
        </w:rPr>
        <w:t xml:space="preserve"> this will enhance low cost of capital for investment purpose</w:t>
      </w:r>
      <w:r w:rsidR="000800A0" w:rsidRPr="00946B79">
        <w:rPr>
          <w:rFonts w:ascii="Times New Roman" w:hAnsi="Times New Roman" w:cs="Times New Roman"/>
          <w:sz w:val="24"/>
          <w:szCs w:val="24"/>
          <w:lang w:val="en"/>
        </w:rPr>
        <w:t>s</w:t>
      </w:r>
      <w:r w:rsidRPr="00946B79">
        <w:rPr>
          <w:rFonts w:ascii="Times New Roman" w:hAnsi="Times New Roman" w:cs="Times New Roman"/>
          <w:sz w:val="24"/>
          <w:szCs w:val="24"/>
          <w:lang w:val="en"/>
        </w:rPr>
        <w:t xml:space="preserve">. The </w:t>
      </w:r>
      <w:r w:rsidR="009D71EF" w:rsidRPr="00946B79">
        <w:rPr>
          <w:rFonts w:ascii="Times New Roman" w:hAnsi="Times New Roman" w:cs="Times New Roman"/>
          <w:sz w:val="24"/>
          <w:szCs w:val="24"/>
          <w:lang w:val="en"/>
        </w:rPr>
        <w:t>recent policy</w:t>
      </w:r>
      <w:r w:rsidR="00466785" w:rsidRPr="00946B79">
        <w:rPr>
          <w:rFonts w:ascii="Times New Roman" w:hAnsi="Times New Roman" w:cs="Times New Roman"/>
          <w:sz w:val="24"/>
          <w:szCs w:val="24"/>
          <w:lang w:val="en"/>
        </w:rPr>
        <w:t xml:space="preserve"> debates</w:t>
      </w:r>
      <w:r w:rsidR="00E378F7" w:rsidRPr="00946B79">
        <w:rPr>
          <w:rFonts w:ascii="Times New Roman" w:hAnsi="Times New Roman" w:cs="Times New Roman"/>
          <w:sz w:val="24"/>
          <w:szCs w:val="24"/>
          <w:lang w:val="en"/>
        </w:rPr>
        <w:t xml:space="preserve"> on the transition to deregulation and the nationalist agenda</w:t>
      </w:r>
      <w:r w:rsidR="00466785" w:rsidRPr="00946B79">
        <w:rPr>
          <w:rFonts w:ascii="Times New Roman" w:hAnsi="Times New Roman" w:cs="Times New Roman"/>
          <w:sz w:val="24"/>
          <w:szCs w:val="24"/>
          <w:lang w:val="en"/>
        </w:rPr>
        <w:t xml:space="preserve"> i</w:t>
      </w:r>
      <w:r w:rsidR="00345BF1" w:rsidRPr="00946B79">
        <w:rPr>
          <w:rFonts w:ascii="Times New Roman" w:hAnsi="Times New Roman" w:cs="Times New Roman"/>
          <w:sz w:val="24"/>
          <w:szCs w:val="24"/>
          <w:lang w:val="en"/>
        </w:rPr>
        <w:t>n advance</w:t>
      </w:r>
      <w:r w:rsidR="000800A0" w:rsidRPr="00946B79">
        <w:rPr>
          <w:rFonts w:ascii="Times New Roman" w:hAnsi="Times New Roman" w:cs="Times New Roman"/>
          <w:sz w:val="24"/>
          <w:szCs w:val="24"/>
          <w:lang w:val="en"/>
        </w:rPr>
        <w:t>d</w:t>
      </w:r>
      <w:r w:rsidR="00345BF1" w:rsidRPr="00946B79">
        <w:rPr>
          <w:rFonts w:ascii="Times New Roman" w:hAnsi="Times New Roman" w:cs="Times New Roman"/>
          <w:sz w:val="24"/>
          <w:szCs w:val="24"/>
          <w:lang w:val="en"/>
        </w:rPr>
        <w:t xml:space="preserve"> countries </w:t>
      </w:r>
      <w:r w:rsidR="00E378F7" w:rsidRPr="00946B79">
        <w:rPr>
          <w:rFonts w:ascii="Times New Roman" w:hAnsi="Times New Roman" w:cs="Times New Roman"/>
          <w:sz w:val="24"/>
          <w:szCs w:val="24"/>
          <w:lang w:val="en"/>
        </w:rPr>
        <w:t xml:space="preserve">such as </w:t>
      </w:r>
      <w:r w:rsidR="00345BF1" w:rsidRPr="00946B79">
        <w:rPr>
          <w:rFonts w:ascii="Times New Roman" w:hAnsi="Times New Roman" w:cs="Times New Roman"/>
          <w:sz w:val="24"/>
          <w:szCs w:val="24"/>
          <w:lang w:val="en"/>
        </w:rPr>
        <w:t>the US</w:t>
      </w:r>
      <w:r w:rsidR="00466785" w:rsidRPr="00946B79">
        <w:rPr>
          <w:rFonts w:ascii="Times New Roman" w:hAnsi="Times New Roman" w:cs="Times New Roman"/>
          <w:sz w:val="24"/>
          <w:szCs w:val="24"/>
          <w:lang w:val="en"/>
        </w:rPr>
        <w:t xml:space="preserve">, could seemingly boost the supply side Economics. To bridge the excess supply over the demand of products and services in collaboration with the removal of the Dowd Frank regulation, the financial markets need to efficiently function as the impediment </w:t>
      </w:r>
      <w:r w:rsidR="00E378F7" w:rsidRPr="00946B79">
        <w:rPr>
          <w:rFonts w:ascii="Times New Roman" w:hAnsi="Times New Roman" w:cs="Times New Roman"/>
          <w:sz w:val="24"/>
          <w:szCs w:val="24"/>
          <w:lang w:val="en"/>
        </w:rPr>
        <w:t xml:space="preserve">to </w:t>
      </w:r>
      <w:r w:rsidR="00466785" w:rsidRPr="00946B79">
        <w:rPr>
          <w:rFonts w:ascii="Times New Roman" w:hAnsi="Times New Roman" w:cs="Times New Roman"/>
          <w:sz w:val="24"/>
          <w:szCs w:val="24"/>
          <w:lang w:val="en"/>
        </w:rPr>
        <w:t>risk versus returns</w:t>
      </w:r>
      <w:r w:rsidR="00E378F7" w:rsidRPr="00946B79">
        <w:rPr>
          <w:rFonts w:ascii="Times New Roman" w:hAnsi="Times New Roman" w:cs="Times New Roman"/>
          <w:sz w:val="24"/>
          <w:szCs w:val="24"/>
          <w:lang w:val="en"/>
        </w:rPr>
        <w:t>,</w:t>
      </w:r>
      <w:r w:rsidR="00466785" w:rsidRPr="00946B79">
        <w:rPr>
          <w:rFonts w:ascii="Times New Roman" w:hAnsi="Times New Roman" w:cs="Times New Roman"/>
          <w:sz w:val="24"/>
          <w:szCs w:val="24"/>
          <w:lang w:val="en"/>
        </w:rPr>
        <w:t xml:space="preserve"> which could possibly lead to </w:t>
      </w:r>
      <w:r w:rsidR="00A947AA" w:rsidRPr="00946B79">
        <w:rPr>
          <w:rFonts w:ascii="Times New Roman" w:hAnsi="Times New Roman" w:cs="Times New Roman"/>
          <w:sz w:val="24"/>
          <w:szCs w:val="24"/>
          <w:lang w:val="en"/>
        </w:rPr>
        <w:t>another collapse of the markets; while</w:t>
      </w:r>
      <w:r w:rsidR="00466785" w:rsidRPr="00946B79">
        <w:rPr>
          <w:rFonts w:ascii="Times New Roman" w:hAnsi="Times New Roman" w:cs="Times New Roman"/>
          <w:sz w:val="24"/>
          <w:szCs w:val="24"/>
          <w:lang w:val="en"/>
        </w:rPr>
        <w:t xml:space="preserve"> the imperative of financial development remains as strong as ever in emerging markets, the focus is more on basic elements such as strengthening of banking systems and widening the scope of the formal financial system</w:t>
      </w:r>
      <w:r w:rsidR="00A947AA" w:rsidRPr="00946B79">
        <w:rPr>
          <w:rFonts w:ascii="Times New Roman" w:hAnsi="Times New Roman" w:cs="Times New Roman"/>
          <w:sz w:val="24"/>
          <w:szCs w:val="24"/>
          <w:lang w:val="en"/>
        </w:rPr>
        <w:t>s</w:t>
      </w:r>
      <w:r w:rsidR="00466785" w:rsidRPr="00946B79">
        <w:rPr>
          <w:rFonts w:ascii="Times New Roman" w:hAnsi="Times New Roman" w:cs="Times New Roman"/>
          <w:sz w:val="24"/>
          <w:szCs w:val="24"/>
          <w:lang w:val="en"/>
        </w:rPr>
        <w:t>, rather than sophisticated instruments and innovations.</w:t>
      </w:r>
    </w:p>
    <w:p w14:paraId="1F69D7AB" w14:textId="76EACA8E" w:rsidR="00466785" w:rsidRPr="00946B79" w:rsidRDefault="00466785" w:rsidP="008E4E1C">
      <w:pPr>
        <w:spacing w:after="240" w:line="360" w:lineRule="auto"/>
        <w:jc w:val="both"/>
        <w:rPr>
          <w:rFonts w:ascii="Times New Roman" w:hAnsi="Times New Roman" w:cs="Times New Roman"/>
          <w:sz w:val="24"/>
          <w:szCs w:val="24"/>
          <w:lang w:val="en"/>
        </w:rPr>
      </w:pPr>
      <w:r w:rsidRPr="00946B79">
        <w:rPr>
          <w:rFonts w:ascii="Times New Roman" w:hAnsi="Times New Roman" w:cs="Times New Roman"/>
          <w:sz w:val="24"/>
          <w:szCs w:val="24"/>
          <w:lang w:val="en"/>
        </w:rPr>
        <w:t>Remarkably, most emerging market</w:t>
      </w:r>
      <w:r w:rsidR="00A947AA" w:rsidRPr="00946B79">
        <w:rPr>
          <w:rFonts w:ascii="Times New Roman" w:hAnsi="Times New Roman" w:cs="Times New Roman"/>
          <w:sz w:val="24"/>
          <w:szCs w:val="24"/>
          <w:lang w:val="en"/>
        </w:rPr>
        <w:t>s</w:t>
      </w:r>
      <w:r w:rsidR="00E378F7" w:rsidRPr="00946B79">
        <w:rPr>
          <w:rFonts w:ascii="Times New Roman" w:hAnsi="Times New Roman" w:cs="Times New Roman"/>
          <w:sz w:val="24"/>
          <w:szCs w:val="24"/>
          <w:lang w:val="en"/>
        </w:rPr>
        <w:t>’</w:t>
      </w:r>
      <w:r w:rsidRPr="00946B79">
        <w:rPr>
          <w:rFonts w:ascii="Times New Roman" w:hAnsi="Times New Roman" w:cs="Times New Roman"/>
          <w:sz w:val="24"/>
          <w:szCs w:val="24"/>
          <w:lang w:val="en"/>
        </w:rPr>
        <w:t xml:space="preserve"> financial institut</w:t>
      </w:r>
      <w:r w:rsidR="00A947AA" w:rsidRPr="00946B79">
        <w:rPr>
          <w:rFonts w:ascii="Times New Roman" w:hAnsi="Times New Roman" w:cs="Times New Roman"/>
          <w:sz w:val="24"/>
          <w:szCs w:val="24"/>
          <w:lang w:val="en"/>
        </w:rPr>
        <w:t>ions were significantly unscathed by the impact of global financial</w:t>
      </w:r>
      <w:r w:rsidRPr="00946B79">
        <w:rPr>
          <w:rFonts w:ascii="Times New Roman" w:hAnsi="Times New Roman" w:cs="Times New Roman"/>
          <w:sz w:val="24"/>
          <w:szCs w:val="24"/>
          <w:lang w:val="en"/>
        </w:rPr>
        <w:t xml:space="preserve"> crisis as a result </w:t>
      </w:r>
      <w:r w:rsidR="00A947AA" w:rsidRPr="00946B79">
        <w:rPr>
          <w:rFonts w:ascii="Times New Roman" w:hAnsi="Times New Roman" w:cs="Times New Roman"/>
          <w:sz w:val="24"/>
          <w:szCs w:val="24"/>
          <w:lang w:val="en"/>
        </w:rPr>
        <w:t xml:space="preserve">of </w:t>
      </w:r>
      <w:r w:rsidRPr="00946B79">
        <w:rPr>
          <w:rFonts w:ascii="Times New Roman" w:hAnsi="Times New Roman" w:cs="Times New Roman"/>
          <w:sz w:val="24"/>
          <w:szCs w:val="24"/>
          <w:lang w:val="en"/>
        </w:rPr>
        <w:t>lower credit to GDP ratio. Some sectors of certain emerging markets with investment or trade links to global markets were impacted</w:t>
      </w:r>
      <w:r w:rsidR="00E378F7" w:rsidRPr="00946B79">
        <w:rPr>
          <w:rFonts w:ascii="Times New Roman" w:hAnsi="Times New Roman" w:cs="Times New Roman"/>
          <w:sz w:val="24"/>
          <w:szCs w:val="24"/>
          <w:lang w:val="en"/>
        </w:rPr>
        <w:t>,</w:t>
      </w:r>
      <w:r w:rsidRPr="00946B79">
        <w:rPr>
          <w:rFonts w:ascii="Times New Roman" w:hAnsi="Times New Roman" w:cs="Times New Roman"/>
          <w:sz w:val="24"/>
          <w:szCs w:val="24"/>
          <w:lang w:val="en"/>
        </w:rPr>
        <w:t xml:space="preserve"> as evidenced in the airline</w:t>
      </w:r>
      <w:r w:rsidR="00E378F7">
        <w:rPr>
          <w:rFonts w:ascii="Times New Roman" w:hAnsi="Times New Roman" w:cs="Times New Roman"/>
          <w:sz w:val="24"/>
          <w:szCs w:val="24"/>
          <w:lang w:val="en"/>
        </w:rPr>
        <w:t xml:space="preserve"> and</w:t>
      </w:r>
      <w:r w:rsidR="00E378F7" w:rsidRPr="00946B79">
        <w:rPr>
          <w:rFonts w:ascii="Times New Roman" w:hAnsi="Times New Roman" w:cs="Times New Roman"/>
          <w:sz w:val="24"/>
          <w:szCs w:val="24"/>
          <w:lang w:val="en"/>
        </w:rPr>
        <w:t xml:space="preserve"> </w:t>
      </w:r>
      <w:r w:rsidR="00A947AA" w:rsidRPr="00946B79">
        <w:rPr>
          <w:rFonts w:ascii="Times New Roman" w:hAnsi="Times New Roman" w:cs="Times New Roman"/>
          <w:sz w:val="24"/>
          <w:szCs w:val="24"/>
          <w:lang w:val="en"/>
        </w:rPr>
        <w:t>iron-</w:t>
      </w:r>
      <w:r w:rsidRPr="00946B79">
        <w:rPr>
          <w:rFonts w:ascii="Times New Roman" w:hAnsi="Times New Roman" w:cs="Times New Roman"/>
          <w:sz w:val="24"/>
          <w:szCs w:val="24"/>
          <w:lang w:val="en"/>
        </w:rPr>
        <w:t>ore industries.</w:t>
      </w:r>
    </w:p>
    <w:p w14:paraId="3A836BE6" w14:textId="7FB71D2F" w:rsidR="00466785" w:rsidRDefault="00466785" w:rsidP="008E4E1C">
      <w:pPr>
        <w:spacing w:after="0" w:line="360" w:lineRule="auto"/>
        <w:jc w:val="both"/>
        <w:rPr>
          <w:rFonts w:ascii="Times New Roman" w:hAnsi="Times New Roman" w:cs="Times New Roman"/>
          <w:sz w:val="24"/>
          <w:szCs w:val="24"/>
        </w:rPr>
      </w:pPr>
      <w:r w:rsidRPr="00E378F7">
        <w:rPr>
          <w:rFonts w:ascii="Times New Roman" w:hAnsi="Times New Roman" w:cs="Times New Roman"/>
          <w:sz w:val="24"/>
          <w:szCs w:val="24"/>
        </w:rPr>
        <w:lastRenderedPageBreak/>
        <w:t xml:space="preserve">This chapter reviews </w:t>
      </w:r>
      <w:r w:rsidR="00E378F7">
        <w:rPr>
          <w:rFonts w:ascii="Times New Roman" w:hAnsi="Times New Roman" w:cs="Times New Roman"/>
          <w:sz w:val="24"/>
          <w:szCs w:val="24"/>
        </w:rPr>
        <w:t xml:space="preserve">the </w:t>
      </w:r>
      <w:r w:rsidRPr="00E378F7">
        <w:rPr>
          <w:rFonts w:ascii="Times New Roman" w:hAnsi="Times New Roman" w:cs="Times New Roman"/>
          <w:sz w:val="24"/>
          <w:szCs w:val="24"/>
        </w:rPr>
        <w:t>financial de</w:t>
      </w:r>
      <w:r w:rsidR="00C61065">
        <w:rPr>
          <w:rFonts w:ascii="Times New Roman" w:hAnsi="Times New Roman" w:cs="Times New Roman"/>
          <w:sz w:val="24"/>
          <w:szCs w:val="24"/>
        </w:rPr>
        <w:t>epening</w:t>
      </w:r>
      <w:r w:rsidRPr="00E378F7">
        <w:rPr>
          <w:rFonts w:ascii="Times New Roman" w:hAnsi="Times New Roman" w:cs="Times New Roman"/>
          <w:sz w:val="24"/>
          <w:szCs w:val="24"/>
        </w:rPr>
        <w:t xml:space="preserve"> in emerging countries</w:t>
      </w:r>
      <w:r w:rsidR="00E378F7">
        <w:rPr>
          <w:rFonts w:ascii="Times New Roman" w:hAnsi="Times New Roman" w:cs="Times New Roman"/>
          <w:sz w:val="24"/>
          <w:szCs w:val="24"/>
        </w:rPr>
        <w:t>,</w:t>
      </w:r>
      <w:r w:rsidRPr="00E378F7">
        <w:rPr>
          <w:rFonts w:ascii="Times New Roman" w:hAnsi="Times New Roman" w:cs="Times New Roman"/>
          <w:sz w:val="24"/>
          <w:szCs w:val="24"/>
        </w:rPr>
        <w:t xml:space="preserve"> and continue</w:t>
      </w:r>
      <w:r w:rsidR="00E378F7">
        <w:rPr>
          <w:rFonts w:ascii="Times New Roman" w:hAnsi="Times New Roman" w:cs="Times New Roman"/>
          <w:sz w:val="24"/>
          <w:szCs w:val="24"/>
        </w:rPr>
        <w:t>s</w:t>
      </w:r>
      <w:r w:rsidRPr="00E378F7">
        <w:rPr>
          <w:rFonts w:ascii="Times New Roman" w:hAnsi="Times New Roman" w:cs="Times New Roman"/>
          <w:sz w:val="24"/>
          <w:szCs w:val="24"/>
        </w:rPr>
        <w:t xml:space="preserve"> with a review of a co</w:t>
      </w:r>
      <w:r w:rsidR="00A947AA" w:rsidRPr="00E378F7">
        <w:rPr>
          <w:rFonts w:ascii="Times New Roman" w:hAnsi="Times New Roman" w:cs="Times New Roman"/>
          <w:sz w:val="24"/>
          <w:szCs w:val="24"/>
        </w:rPr>
        <w:t>mparative analysis of productivity</w:t>
      </w:r>
      <w:r w:rsidRPr="00E378F7">
        <w:rPr>
          <w:rFonts w:ascii="Times New Roman" w:hAnsi="Times New Roman" w:cs="Times New Roman"/>
          <w:sz w:val="24"/>
          <w:szCs w:val="24"/>
        </w:rPr>
        <w:t xml:space="preserve"> growth in emerging markets</w:t>
      </w:r>
      <w:r w:rsidRPr="00E378F7">
        <w:rPr>
          <w:rStyle w:val="FootnoteReference"/>
          <w:rFonts w:ascii="Times New Roman" w:hAnsi="Times New Roman" w:cs="Times New Roman"/>
          <w:sz w:val="24"/>
          <w:szCs w:val="24"/>
        </w:rPr>
        <w:footnoteReference w:id="4"/>
      </w:r>
      <w:r w:rsidR="00A947AA" w:rsidRPr="00E378F7">
        <w:rPr>
          <w:rFonts w:ascii="Times New Roman" w:hAnsi="Times New Roman" w:cs="Times New Roman"/>
          <w:sz w:val="24"/>
          <w:szCs w:val="24"/>
        </w:rPr>
        <w:t xml:space="preserve">. The chapter will </w:t>
      </w:r>
      <w:r w:rsidR="00345BF1" w:rsidRPr="00E378F7">
        <w:rPr>
          <w:rFonts w:ascii="Times New Roman" w:hAnsi="Times New Roman" w:cs="Times New Roman"/>
          <w:sz w:val="24"/>
          <w:szCs w:val="24"/>
        </w:rPr>
        <w:t>focus on the</w:t>
      </w:r>
      <w:r w:rsidRPr="00E378F7">
        <w:rPr>
          <w:rFonts w:ascii="Times New Roman" w:hAnsi="Times New Roman" w:cs="Times New Roman"/>
          <w:sz w:val="24"/>
          <w:szCs w:val="24"/>
        </w:rPr>
        <w:t xml:space="preserve"> trend analysis of financial development and aggregate </w:t>
      </w:r>
      <w:r w:rsidR="00436168">
        <w:rPr>
          <w:rFonts w:ascii="Times New Roman" w:hAnsi="Times New Roman" w:cs="Times New Roman"/>
          <w:sz w:val="24"/>
          <w:szCs w:val="24"/>
        </w:rPr>
        <w:t xml:space="preserve">the </w:t>
      </w:r>
      <w:r w:rsidRPr="00E378F7">
        <w:rPr>
          <w:rFonts w:ascii="Times New Roman" w:hAnsi="Times New Roman" w:cs="Times New Roman"/>
          <w:sz w:val="24"/>
          <w:szCs w:val="24"/>
        </w:rPr>
        <w:t>total factor</w:t>
      </w:r>
      <w:r w:rsidR="00A947AA" w:rsidRPr="00E378F7">
        <w:rPr>
          <w:rFonts w:ascii="Times New Roman" w:hAnsi="Times New Roman" w:cs="Times New Roman"/>
          <w:sz w:val="24"/>
          <w:szCs w:val="24"/>
        </w:rPr>
        <w:t>s of</w:t>
      </w:r>
      <w:r w:rsidRPr="00E378F7">
        <w:rPr>
          <w:rFonts w:ascii="Times New Roman" w:hAnsi="Times New Roman" w:cs="Times New Roman"/>
          <w:sz w:val="24"/>
          <w:szCs w:val="24"/>
        </w:rPr>
        <w:t xml:space="preserve"> product</w:t>
      </w:r>
      <w:r w:rsidR="008E524D" w:rsidRPr="00E378F7">
        <w:rPr>
          <w:rFonts w:ascii="Times New Roman" w:hAnsi="Times New Roman" w:cs="Times New Roman"/>
          <w:sz w:val="24"/>
          <w:szCs w:val="24"/>
        </w:rPr>
        <w:t>ivity growth in emerging countries</w:t>
      </w:r>
      <w:r w:rsidRPr="00E378F7">
        <w:rPr>
          <w:rFonts w:ascii="Times New Roman" w:hAnsi="Times New Roman" w:cs="Times New Roman"/>
          <w:sz w:val="24"/>
          <w:szCs w:val="24"/>
        </w:rPr>
        <w:t>. In essence</w:t>
      </w:r>
      <w:r w:rsidR="00436168">
        <w:rPr>
          <w:rFonts w:ascii="Times New Roman" w:hAnsi="Times New Roman" w:cs="Times New Roman"/>
          <w:sz w:val="24"/>
          <w:szCs w:val="24"/>
        </w:rPr>
        <w:t>,</w:t>
      </w:r>
      <w:r w:rsidRPr="00E378F7">
        <w:rPr>
          <w:rFonts w:ascii="Times New Roman" w:hAnsi="Times New Roman" w:cs="Times New Roman"/>
          <w:sz w:val="24"/>
          <w:szCs w:val="24"/>
        </w:rPr>
        <w:t xml:space="preserve"> the chapter will analyze a trend for various countries that have similar characteristics and compare how total factor productivity growth and the ratio of private sector credit to GDP behave. </w:t>
      </w:r>
      <w:r w:rsidR="00345BF1" w:rsidRPr="00E378F7">
        <w:rPr>
          <w:rFonts w:ascii="Times New Roman" w:hAnsi="Times New Roman" w:cs="Times New Roman"/>
          <w:sz w:val="24"/>
          <w:szCs w:val="24"/>
        </w:rPr>
        <w:t>This review will explain how the reforms of the sample countries in the emerging market will affect financial development or productivity growth.</w:t>
      </w:r>
    </w:p>
    <w:p w14:paraId="025AE108" w14:textId="77777777" w:rsidR="002B40E2" w:rsidRPr="00E378F7" w:rsidRDefault="002B40E2" w:rsidP="008E4E1C">
      <w:pPr>
        <w:spacing w:after="0" w:line="360" w:lineRule="auto"/>
        <w:jc w:val="both"/>
        <w:rPr>
          <w:rFonts w:ascii="Times New Roman" w:hAnsi="Times New Roman" w:cs="Times New Roman"/>
          <w:sz w:val="24"/>
          <w:szCs w:val="24"/>
        </w:rPr>
      </w:pPr>
    </w:p>
    <w:p w14:paraId="5ECF39E8" w14:textId="77777777" w:rsidR="008E524D" w:rsidRPr="00122CBB" w:rsidRDefault="008E524D" w:rsidP="00122CBB">
      <w:pPr>
        <w:pStyle w:val="Heading2"/>
      </w:pPr>
      <w:bookmarkStart w:id="24" w:name="_Toc501031469"/>
      <w:r w:rsidRPr="00122CBB">
        <w:t xml:space="preserve">4.2 </w:t>
      </w:r>
      <w:r w:rsidR="00442E2E" w:rsidRPr="00122CBB">
        <w:t>Financial Deepening</w:t>
      </w:r>
      <w:r w:rsidRPr="00122CBB">
        <w:t xml:space="preserve"> in Emerging Markets</w:t>
      </w:r>
      <w:bookmarkEnd w:id="24"/>
    </w:p>
    <w:p w14:paraId="4EED73F0" w14:textId="464368B4" w:rsidR="00442E2E" w:rsidRPr="00E378F7" w:rsidRDefault="000A6FCF" w:rsidP="008E4E1C">
      <w:pPr>
        <w:spacing w:after="240" w:line="360" w:lineRule="auto"/>
        <w:jc w:val="both"/>
        <w:rPr>
          <w:rFonts w:ascii="Times New Roman" w:hAnsi="Times New Roman" w:cs="Times New Roman"/>
          <w:sz w:val="24"/>
          <w:szCs w:val="24"/>
        </w:rPr>
      </w:pPr>
      <w:r w:rsidRPr="00E378F7">
        <w:rPr>
          <w:rFonts w:ascii="Times New Roman" w:hAnsi="Times New Roman" w:cs="Times New Roman"/>
          <w:sz w:val="24"/>
          <w:szCs w:val="24"/>
        </w:rPr>
        <w:t>The relatively fragile</w:t>
      </w:r>
      <w:r w:rsidR="00442E2E" w:rsidRPr="00E378F7">
        <w:rPr>
          <w:rFonts w:ascii="Times New Roman" w:hAnsi="Times New Roman" w:cs="Times New Roman"/>
          <w:sz w:val="24"/>
          <w:szCs w:val="24"/>
        </w:rPr>
        <w:t xml:space="preserve"> economic growth outlook</w:t>
      </w:r>
      <w:r w:rsidRPr="00E378F7">
        <w:rPr>
          <w:rFonts w:ascii="Times New Roman" w:hAnsi="Times New Roman" w:cs="Times New Roman"/>
          <w:sz w:val="24"/>
          <w:szCs w:val="24"/>
        </w:rPr>
        <w:t xml:space="preserve"> over the recent years</w:t>
      </w:r>
      <w:r w:rsidR="00442E2E" w:rsidRPr="00E378F7">
        <w:rPr>
          <w:rFonts w:ascii="Times New Roman" w:hAnsi="Times New Roman" w:cs="Times New Roman"/>
          <w:sz w:val="24"/>
          <w:szCs w:val="24"/>
        </w:rPr>
        <w:t xml:space="preserve">, particularly for emerging </w:t>
      </w:r>
      <w:r w:rsidR="00436168">
        <w:rPr>
          <w:rFonts w:ascii="Times New Roman" w:hAnsi="Times New Roman" w:cs="Times New Roman"/>
          <w:sz w:val="24"/>
          <w:szCs w:val="24"/>
        </w:rPr>
        <w:t xml:space="preserve">markets </w:t>
      </w:r>
      <w:r w:rsidR="00442E2E" w:rsidRPr="00E378F7">
        <w:rPr>
          <w:rFonts w:ascii="Times New Roman" w:hAnsi="Times New Roman" w:cs="Times New Roman"/>
          <w:sz w:val="24"/>
          <w:szCs w:val="24"/>
        </w:rPr>
        <w:t>(EM)</w:t>
      </w:r>
      <w:r w:rsidRPr="00E378F7">
        <w:rPr>
          <w:rFonts w:ascii="Times New Roman" w:hAnsi="Times New Roman" w:cs="Times New Roman"/>
          <w:sz w:val="24"/>
          <w:szCs w:val="24"/>
        </w:rPr>
        <w:t>, provides a significant</w:t>
      </w:r>
      <w:r w:rsidR="00442E2E" w:rsidRPr="00E378F7">
        <w:rPr>
          <w:rFonts w:ascii="Times New Roman" w:hAnsi="Times New Roman" w:cs="Times New Roman"/>
          <w:sz w:val="24"/>
          <w:szCs w:val="24"/>
        </w:rPr>
        <w:t xml:space="preserve"> backdrop </w:t>
      </w:r>
      <w:r w:rsidR="00436168">
        <w:rPr>
          <w:rFonts w:ascii="Times New Roman" w:hAnsi="Times New Roman" w:cs="Times New Roman"/>
          <w:sz w:val="24"/>
          <w:szCs w:val="24"/>
        </w:rPr>
        <w:t>of</w:t>
      </w:r>
      <w:r w:rsidR="00436168" w:rsidRPr="00E378F7">
        <w:rPr>
          <w:rFonts w:ascii="Times New Roman" w:hAnsi="Times New Roman" w:cs="Times New Roman"/>
          <w:sz w:val="24"/>
          <w:szCs w:val="24"/>
        </w:rPr>
        <w:t xml:space="preserve"> </w:t>
      </w:r>
      <w:r w:rsidR="00442E2E" w:rsidRPr="00E378F7">
        <w:rPr>
          <w:rFonts w:ascii="Times New Roman" w:hAnsi="Times New Roman" w:cs="Times New Roman"/>
          <w:sz w:val="24"/>
          <w:szCs w:val="24"/>
        </w:rPr>
        <w:t>the financial challenges that some of them currently face. Recently, financial volatility returned because of various concerns in the marketplace</w:t>
      </w:r>
      <w:r w:rsidR="00436168">
        <w:rPr>
          <w:rFonts w:ascii="Times New Roman" w:hAnsi="Times New Roman" w:cs="Times New Roman"/>
          <w:sz w:val="24"/>
          <w:szCs w:val="24"/>
        </w:rPr>
        <w:t>,</w:t>
      </w:r>
      <w:r w:rsidR="00442E2E" w:rsidRPr="00E378F7">
        <w:rPr>
          <w:rFonts w:ascii="Times New Roman" w:hAnsi="Times New Roman" w:cs="Times New Roman"/>
          <w:sz w:val="24"/>
          <w:szCs w:val="24"/>
        </w:rPr>
        <w:t xml:space="preserve"> including (just to name a few) shifting expectations of the shape of the Federal Reserve’s exit path from ultra-low interest rates and the rapid strengthening of the US dollar</w:t>
      </w:r>
      <w:r w:rsidR="00436168">
        <w:rPr>
          <w:rFonts w:ascii="Times New Roman" w:hAnsi="Times New Roman" w:cs="Times New Roman"/>
          <w:sz w:val="24"/>
          <w:szCs w:val="24"/>
        </w:rPr>
        <w:t>,</w:t>
      </w:r>
      <w:r w:rsidR="00436168" w:rsidRPr="00E378F7">
        <w:rPr>
          <w:rFonts w:ascii="Times New Roman" w:hAnsi="Times New Roman" w:cs="Times New Roman"/>
          <w:sz w:val="24"/>
          <w:szCs w:val="24"/>
        </w:rPr>
        <w:t xml:space="preserve"> </w:t>
      </w:r>
      <w:r w:rsidR="00442E2E" w:rsidRPr="00E378F7">
        <w:rPr>
          <w:rFonts w:ascii="Times New Roman" w:hAnsi="Times New Roman" w:cs="Times New Roman"/>
          <w:sz w:val="24"/>
          <w:szCs w:val="24"/>
        </w:rPr>
        <w:t>the launch of quantitative easing by the European Central Bank and its impact on inflation expectations and bond markets</w:t>
      </w:r>
      <w:r w:rsidR="00436168">
        <w:rPr>
          <w:rFonts w:ascii="Times New Roman" w:hAnsi="Times New Roman" w:cs="Times New Roman"/>
          <w:sz w:val="24"/>
          <w:szCs w:val="24"/>
        </w:rPr>
        <w:t>,</w:t>
      </w:r>
      <w:r w:rsidR="00436168" w:rsidRPr="00E378F7">
        <w:rPr>
          <w:rFonts w:ascii="Times New Roman" w:hAnsi="Times New Roman" w:cs="Times New Roman"/>
          <w:sz w:val="24"/>
          <w:szCs w:val="24"/>
        </w:rPr>
        <w:t xml:space="preserve"> </w:t>
      </w:r>
      <w:r w:rsidR="00442E2E" w:rsidRPr="00E378F7">
        <w:rPr>
          <w:rFonts w:ascii="Times New Roman" w:hAnsi="Times New Roman" w:cs="Times New Roman"/>
          <w:sz w:val="24"/>
          <w:szCs w:val="24"/>
        </w:rPr>
        <w:t>low and volatile oil prices</w:t>
      </w:r>
      <w:r w:rsidR="00436168">
        <w:rPr>
          <w:rFonts w:ascii="Times New Roman" w:hAnsi="Times New Roman" w:cs="Times New Roman"/>
          <w:sz w:val="24"/>
          <w:szCs w:val="24"/>
        </w:rPr>
        <w:t>,</w:t>
      </w:r>
      <w:r w:rsidR="00436168" w:rsidRPr="00E378F7">
        <w:rPr>
          <w:rFonts w:ascii="Times New Roman" w:hAnsi="Times New Roman" w:cs="Times New Roman"/>
          <w:sz w:val="24"/>
          <w:szCs w:val="24"/>
        </w:rPr>
        <w:t xml:space="preserve"> </w:t>
      </w:r>
      <w:r w:rsidR="00442E2E" w:rsidRPr="00E378F7">
        <w:rPr>
          <w:rFonts w:ascii="Times New Roman" w:hAnsi="Times New Roman" w:cs="Times New Roman"/>
          <w:sz w:val="24"/>
          <w:szCs w:val="24"/>
        </w:rPr>
        <w:t>China’s growth slowdown, additional stimulus</w:t>
      </w:r>
      <w:r w:rsidR="00436168">
        <w:rPr>
          <w:rFonts w:ascii="Times New Roman" w:hAnsi="Times New Roman" w:cs="Times New Roman"/>
          <w:sz w:val="24"/>
          <w:szCs w:val="24"/>
        </w:rPr>
        <w:t>,</w:t>
      </w:r>
      <w:r w:rsidR="00442E2E" w:rsidRPr="00E378F7">
        <w:rPr>
          <w:rFonts w:ascii="Times New Roman" w:hAnsi="Times New Roman" w:cs="Times New Roman"/>
          <w:sz w:val="24"/>
          <w:szCs w:val="24"/>
        </w:rPr>
        <w:t xml:space="preserve"> and financial-sector challenges</w:t>
      </w:r>
      <w:r w:rsidR="00436168">
        <w:rPr>
          <w:rFonts w:ascii="Times New Roman" w:hAnsi="Times New Roman" w:cs="Times New Roman"/>
          <w:sz w:val="24"/>
          <w:szCs w:val="24"/>
        </w:rPr>
        <w:t>,</w:t>
      </w:r>
      <w:r w:rsidR="00436168" w:rsidRPr="00E378F7">
        <w:rPr>
          <w:rFonts w:ascii="Times New Roman" w:hAnsi="Times New Roman" w:cs="Times New Roman"/>
          <w:sz w:val="24"/>
          <w:szCs w:val="24"/>
        </w:rPr>
        <w:t xml:space="preserve"> </w:t>
      </w:r>
      <w:r w:rsidR="00442E2E" w:rsidRPr="00E378F7">
        <w:rPr>
          <w:rFonts w:ascii="Times New Roman" w:hAnsi="Times New Roman" w:cs="Times New Roman"/>
          <w:sz w:val="24"/>
          <w:szCs w:val="24"/>
        </w:rPr>
        <w:t>the standoff between the new Greek government and its creditors</w:t>
      </w:r>
      <w:r w:rsidR="00436168">
        <w:rPr>
          <w:rFonts w:ascii="Times New Roman" w:hAnsi="Times New Roman" w:cs="Times New Roman"/>
          <w:sz w:val="24"/>
          <w:szCs w:val="24"/>
        </w:rPr>
        <w:t>,</w:t>
      </w:r>
      <w:r w:rsidR="00436168" w:rsidRPr="00E378F7">
        <w:rPr>
          <w:rFonts w:ascii="Times New Roman" w:hAnsi="Times New Roman" w:cs="Times New Roman"/>
          <w:sz w:val="24"/>
          <w:szCs w:val="24"/>
        </w:rPr>
        <w:t xml:space="preserve"> </w:t>
      </w:r>
      <w:r w:rsidR="00442E2E" w:rsidRPr="00E378F7">
        <w:rPr>
          <w:rFonts w:ascii="Times New Roman" w:hAnsi="Times New Roman" w:cs="Times New Roman"/>
          <w:sz w:val="24"/>
          <w:szCs w:val="24"/>
        </w:rPr>
        <w:t>and continuing geopolitical turmoil.</w:t>
      </w:r>
    </w:p>
    <w:p w14:paraId="0685A54B" w14:textId="2EE7A12A" w:rsidR="002B3324" w:rsidRPr="00E378F7" w:rsidRDefault="008E524D" w:rsidP="008E4E1C">
      <w:pPr>
        <w:spacing w:after="240" w:line="360" w:lineRule="auto"/>
        <w:jc w:val="both"/>
        <w:rPr>
          <w:rFonts w:ascii="Times New Roman" w:hAnsi="Times New Roman" w:cs="Times New Roman"/>
          <w:sz w:val="24"/>
          <w:szCs w:val="24"/>
        </w:rPr>
      </w:pPr>
      <w:r w:rsidRPr="00E378F7">
        <w:rPr>
          <w:rFonts w:ascii="Times New Roman" w:hAnsi="Times New Roman" w:cs="Times New Roman"/>
          <w:sz w:val="24"/>
          <w:szCs w:val="24"/>
        </w:rPr>
        <w:t xml:space="preserve">Financial deepening includes </w:t>
      </w:r>
      <w:r w:rsidR="00436168">
        <w:rPr>
          <w:rFonts w:ascii="Times New Roman" w:hAnsi="Times New Roman" w:cs="Times New Roman"/>
          <w:sz w:val="24"/>
          <w:szCs w:val="24"/>
        </w:rPr>
        <w:t xml:space="preserve">an </w:t>
      </w:r>
      <w:r w:rsidRPr="00E378F7">
        <w:rPr>
          <w:rFonts w:ascii="Times New Roman" w:hAnsi="Times New Roman" w:cs="Times New Roman"/>
          <w:sz w:val="24"/>
          <w:szCs w:val="24"/>
        </w:rPr>
        <w:t xml:space="preserve">increase in </w:t>
      </w:r>
      <w:r w:rsidR="00436168">
        <w:rPr>
          <w:rFonts w:ascii="Times New Roman" w:hAnsi="Times New Roman" w:cs="Times New Roman"/>
          <w:sz w:val="24"/>
          <w:szCs w:val="24"/>
        </w:rPr>
        <w:t xml:space="preserve">the </w:t>
      </w:r>
      <w:r w:rsidRPr="00E378F7">
        <w:rPr>
          <w:rFonts w:ascii="Times New Roman" w:hAnsi="Times New Roman" w:cs="Times New Roman"/>
          <w:sz w:val="24"/>
          <w:szCs w:val="24"/>
        </w:rPr>
        <w:t>financial instruments diversity, number of financial institutions</w:t>
      </w:r>
      <w:r w:rsidR="00436168">
        <w:rPr>
          <w:rFonts w:ascii="Times New Roman" w:hAnsi="Times New Roman" w:cs="Times New Roman"/>
          <w:sz w:val="24"/>
          <w:szCs w:val="24"/>
        </w:rPr>
        <w:t>,</w:t>
      </w:r>
      <w:r w:rsidRPr="00E378F7">
        <w:rPr>
          <w:rFonts w:ascii="Times New Roman" w:hAnsi="Times New Roman" w:cs="Times New Roman"/>
          <w:sz w:val="24"/>
          <w:szCs w:val="24"/>
        </w:rPr>
        <w:t xml:space="preserve"> and dev</w:t>
      </w:r>
      <w:r w:rsidR="00C746F9" w:rsidRPr="00E378F7">
        <w:rPr>
          <w:rFonts w:ascii="Times New Roman" w:hAnsi="Times New Roman" w:cs="Times New Roman"/>
          <w:sz w:val="24"/>
          <w:szCs w:val="24"/>
        </w:rPr>
        <w:t>elopment of financial markets at</w:t>
      </w:r>
      <w:r w:rsidRPr="00E378F7">
        <w:rPr>
          <w:rFonts w:ascii="Times New Roman" w:hAnsi="Times New Roman" w:cs="Times New Roman"/>
          <w:sz w:val="24"/>
          <w:szCs w:val="24"/>
        </w:rPr>
        <w:t xml:space="preserve"> all levels of the society. Emerging markets have experienced a steady growth and stability on their financial </w:t>
      </w:r>
      <w:r w:rsidR="00C746F9" w:rsidRPr="00E378F7">
        <w:rPr>
          <w:rFonts w:ascii="Times New Roman" w:hAnsi="Times New Roman" w:cs="Times New Roman"/>
          <w:sz w:val="24"/>
          <w:szCs w:val="24"/>
        </w:rPr>
        <w:t>depth,</w:t>
      </w:r>
      <w:r w:rsidRPr="00E378F7">
        <w:rPr>
          <w:rFonts w:ascii="Times New Roman" w:hAnsi="Times New Roman" w:cs="Times New Roman"/>
          <w:sz w:val="24"/>
          <w:szCs w:val="24"/>
        </w:rPr>
        <w:t xml:space="preserve"> but the speed and size of this depth is limited. There are four financial deepening measures used currently by developed countries. These measures include private-sector credit to GDP, Pension fund assets to GDP, Insurance premiums to GDP</w:t>
      </w:r>
      <w:r w:rsidR="00436168">
        <w:rPr>
          <w:rFonts w:ascii="Times New Roman" w:hAnsi="Times New Roman" w:cs="Times New Roman"/>
          <w:sz w:val="24"/>
          <w:szCs w:val="24"/>
        </w:rPr>
        <w:t>,</w:t>
      </w:r>
      <w:r w:rsidRPr="00E378F7">
        <w:rPr>
          <w:rFonts w:ascii="Times New Roman" w:hAnsi="Times New Roman" w:cs="Times New Roman"/>
          <w:sz w:val="24"/>
          <w:szCs w:val="24"/>
        </w:rPr>
        <w:t xml:space="preserve"> and Mutual fund assets to GDP. Unfortunately, mutual funds, insurance markets</w:t>
      </w:r>
      <w:r w:rsidR="00436168">
        <w:rPr>
          <w:rFonts w:ascii="Times New Roman" w:hAnsi="Times New Roman" w:cs="Times New Roman"/>
          <w:sz w:val="24"/>
          <w:szCs w:val="24"/>
        </w:rPr>
        <w:t>,</w:t>
      </w:r>
      <w:r w:rsidRPr="00E378F7">
        <w:rPr>
          <w:rFonts w:ascii="Times New Roman" w:hAnsi="Times New Roman" w:cs="Times New Roman"/>
          <w:sz w:val="24"/>
          <w:szCs w:val="24"/>
        </w:rPr>
        <w:t xml:space="preserve"> and pension funds have not developed adequately in the emerging markets. As a result, only the private-sector credit to GDP is used </w:t>
      </w:r>
      <w:r w:rsidR="002B3324" w:rsidRPr="00E378F7">
        <w:rPr>
          <w:rFonts w:ascii="Times New Roman" w:hAnsi="Times New Roman" w:cs="Times New Roman"/>
          <w:sz w:val="24"/>
          <w:szCs w:val="24"/>
        </w:rPr>
        <w:t xml:space="preserve">to measure financial deepening. </w:t>
      </w:r>
      <w:r w:rsidRPr="00946B79">
        <w:rPr>
          <w:rFonts w:ascii="Times New Roman" w:hAnsi="Times New Roman" w:cs="Times New Roman"/>
          <w:sz w:val="24"/>
          <w:szCs w:val="24"/>
          <w:shd w:val="clear" w:color="auto" w:fill="FFFFFF"/>
        </w:rPr>
        <w:t xml:space="preserve">Ikhide (2015) </w:t>
      </w:r>
      <w:r w:rsidR="00436168" w:rsidRPr="00946B79">
        <w:rPr>
          <w:rFonts w:ascii="Times New Roman" w:hAnsi="Times New Roman" w:cs="Times New Roman"/>
          <w:sz w:val="24"/>
          <w:szCs w:val="24"/>
          <w:shd w:val="clear" w:color="auto" w:fill="FFFFFF"/>
        </w:rPr>
        <w:lastRenderedPageBreak/>
        <w:t>show</w:t>
      </w:r>
      <w:r w:rsidR="00436168">
        <w:rPr>
          <w:rFonts w:ascii="Times New Roman" w:hAnsi="Times New Roman" w:cs="Times New Roman"/>
          <w:sz w:val="24"/>
          <w:szCs w:val="24"/>
          <w:shd w:val="clear" w:color="auto" w:fill="FFFFFF"/>
        </w:rPr>
        <w:t>ed</w:t>
      </w:r>
      <w:r w:rsidR="00436168" w:rsidRPr="00946B79">
        <w:rPr>
          <w:rFonts w:ascii="Times New Roman" w:hAnsi="Times New Roman" w:cs="Times New Roman"/>
          <w:sz w:val="24"/>
          <w:szCs w:val="24"/>
          <w:shd w:val="clear" w:color="auto" w:fill="FFFFFF"/>
        </w:rPr>
        <w:t xml:space="preserve"> </w:t>
      </w:r>
      <w:r w:rsidRPr="00946B79">
        <w:rPr>
          <w:rFonts w:ascii="Times New Roman" w:hAnsi="Times New Roman" w:cs="Times New Roman"/>
          <w:sz w:val="24"/>
          <w:szCs w:val="24"/>
          <w:shd w:val="clear" w:color="auto" w:fill="FFFFFF"/>
        </w:rPr>
        <w:t>that there are dwindling relationships between growth and financial developments</w:t>
      </w:r>
      <w:r w:rsidR="00436168">
        <w:rPr>
          <w:rFonts w:ascii="Times New Roman" w:hAnsi="Times New Roman" w:cs="Times New Roman"/>
          <w:sz w:val="24"/>
          <w:szCs w:val="24"/>
          <w:shd w:val="clear" w:color="auto" w:fill="FFFFFF"/>
        </w:rPr>
        <w:t>,</w:t>
      </w:r>
      <w:r w:rsidRPr="00946B79">
        <w:rPr>
          <w:rFonts w:ascii="Times New Roman" w:hAnsi="Times New Roman" w:cs="Times New Roman"/>
          <w:sz w:val="24"/>
          <w:szCs w:val="24"/>
          <w:shd w:val="clear" w:color="auto" w:fill="FFFFFF"/>
        </w:rPr>
        <w:t xml:space="preserve"> more so in countries with higher depth ratios.</w:t>
      </w:r>
      <w:r w:rsidRPr="00E378F7">
        <w:rPr>
          <w:rFonts w:ascii="Times New Roman" w:hAnsi="Times New Roman" w:cs="Times New Roman"/>
          <w:sz w:val="24"/>
          <w:szCs w:val="24"/>
        </w:rPr>
        <w:t xml:space="preserve"> The financial liberalization and excess borrowing leads to financial instability reducing the strength </w:t>
      </w:r>
      <w:r w:rsidR="00436168">
        <w:rPr>
          <w:rFonts w:ascii="Times New Roman" w:hAnsi="Times New Roman" w:cs="Times New Roman"/>
          <w:sz w:val="24"/>
          <w:szCs w:val="24"/>
        </w:rPr>
        <w:t>of</w:t>
      </w:r>
      <w:r w:rsidR="00436168" w:rsidRPr="00E378F7">
        <w:rPr>
          <w:rFonts w:ascii="Times New Roman" w:hAnsi="Times New Roman" w:cs="Times New Roman"/>
          <w:sz w:val="24"/>
          <w:szCs w:val="24"/>
        </w:rPr>
        <w:t xml:space="preserve"> </w:t>
      </w:r>
      <w:r w:rsidRPr="00E378F7">
        <w:rPr>
          <w:rFonts w:ascii="Times New Roman" w:hAnsi="Times New Roman" w:cs="Times New Roman"/>
          <w:sz w:val="24"/>
          <w:szCs w:val="24"/>
        </w:rPr>
        <w:t>the relationship between financial development and growth.</w:t>
      </w:r>
    </w:p>
    <w:p w14:paraId="5022DF53" w14:textId="51D4C60B" w:rsidR="006F20DE" w:rsidRPr="00E378F7" w:rsidRDefault="008E524D" w:rsidP="008E4E1C">
      <w:pPr>
        <w:spacing w:after="240" w:line="360" w:lineRule="auto"/>
        <w:jc w:val="both"/>
        <w:rPr>
          <w:rFonts w:ascii="Times New Roman" w:hAnsi="Times New Roman" w:cs="Times New Roman"/>
          <w:sz w:val="24"/>
          <w:szCs w:val="24"/>
        </w:rPr>
      </w:pPr>
      <w:r w:rsidRPr="00E378F7">
        <w:rPr>
          <w:rFonts w:ascii="Times New Roman" w:hAnsi="Times New Roman" w:cs="Times New Roman"/>
          <w:sz w:val="24"/>
          <w:szCs w:val="24"/>
        </w:rPr>
        <w:t xml:space="preserve">Most of the emerging markets are relatively safe because they are risk averse in terms of credit to GDP, and their growth enhances the region of financial development </w:t>
      </w:r>
      <w:r w:rsidR="00436168">
        <w:rPr>
          <w:rFonts w:ascii="Times New Roman" w:hAnsi="Times New Roman" w:cs="Times New Roman"/>
          <w:sz w:val="24"/>
          <w:szCs w:val="24"/>
        </w:rPr>
        <w:t>that</w:t>
      </w:r>
      <w:r w:rsidR="00436168" w:rsidRPr="00E378F7">
        <w:rPr>
          <w:rFonts w:ascii="Times New Roman" w:hAnsi="Times New Roman" w:cs="Times New Roman"/>
          <w:sz w:val="24"/>
          <w:szCs w:val="24"/>
        </w:rPr>
        <w:t xml:space="preserve"> </w:t>
      </w:r>
      <w:r w:rsidRPr="00E378F7">
        <w:rPr>
          <w:rFonts w:ascii="Times New Roman" w:hAnsi="Times New Roman" w:cs="Times New Roman"/>
          <w:sz w:val="24"/>
          <w:szCs w:val="24"/>
        </w:rPr>
        <w:t>gives them an opportunity to grow further. Most of the emerging markets have the ability to reap benefits from further financial development. This means that they have the ability to achieve higher growth and higher financial stability as well as reduce the volatility in macroeconomics. I</w:t>
      </w:r>
      <w:r w:rsidR="00064A7C" w:rsidRPr="00E378F7">
        <w:rPr>
          <w:rFonts w:ascii="Times New Roman" w:hAnsi="Times New Roman" w:cs="Times New Roman"/>
          <w:sz w:val="24"/>
          <w:szCs w:val="24"/>
        </w:rPr>
        <w:t xml:space="preserve">t is important to note that </w:t>
      </w:r>
      <w:r w:rsidRPr="00E378F7">
        <w:rPr>
          <w:rFonts w:ascii="Times New Roman" w:hAnsi="Times New Roman" w:cs="Times New Roman"/>
          <w:sz w:val="24"/>
          <w:szCs w:val="24"/>
        </w:rPr>
        <w:t xml:space="preserve">there are huge financial stability risks present at low levels of financial development. Policy makers therefore, need to make sure that there are adequate shock absorbers that will help in reducing the risks of financial </w:t>
      </w:r>
      <w:r w:rsidR="000A6FCF" w:rsidRPr="00E378F7">
        <w:rPr>
          <w:rFonts w:ascii="Times New Roman" w:hAnsi="Times New Roman" w:cs="Times New Roman"/>
          <w:sz w:val="24"/>
          <w:szCs w:val="24"/>
        </w:rPr>
        <w:t>crisis. Global</w:t>
      </w:r>
      <w:r w:rsidR="003D41CA" w:rsidRPr="00E378F7">
        <w:rPr>
          <w:rFonts w:ascii="Times New Roman" w:hAnsi="Times New Roman" w:cs="Times New Roman"/>
          <w:sz w:val="24"/>
          <w:szCs w:val="24"/>
        </w:rPr>
        <w:t xml:space="preserve"> regulation</w:t>
      </w:r>
      <w:r w:rsidR="00436168">
        <w:rPr>
          <w:rFonts w:ascii="Times New Roman" w:hAnsi="Times New Roman" w:cs="Times New Roman"/>
          <w:sz w:val="24"/>
          <w:szCs w:val="24"/>
        </w:rPr>
        <w:t>,</w:t>
      </w:r>
      <w:r w:rsidR="003D41CA" w:rsidRPr="00E378F7">
        <w:rPr>
          <w:rFonts w:ascii="Times New Roman" w:hAnsi="Times New Roman" w:cs="Times New Roman"/>
          <w:sz w:val="24"/>
          <w:szCs w:val="24"/>
        </w:rPr>
        <w:t xml:space="preserve"> </w:t>
      </w:r>
      <w:r w:rsidRPr="00E378F7">
        <w:rPr>
          <w:rFonts w:ascii="Times New Roman" w:hAnsi="Times New Roman" w:cs="Times New Roman"/>
          <w:sz w:val="24"/>
          <w:szCs w:val="24"/>
        </w:rPr>
        <w:t>for instance, has delegated the advanced economies</w:t>
      </w:r>
      <w:r w:rsidR="00436168">
        <w:rPr>
          <w:rFonts w:ascii="Times New Roman" w:hAnsi="Times New Roman" w:cs="Times New Roman"/>
          <w:sz w:val="24"/>
          <w:szCs w:val="24"/>
        </w:rPr>
        <w:t>,</w:t>
      </w:r>
      <w:r w:rsidRPr="00E378F7">
        <w:rPr>
          <w:rFonts w:ascii="Times New Roman" w:hAnsi="Times New Roman" w:cs="Times New Roman"/>
          <w:sz w:val="24"/>
          <w:szCs w:val="24"/>
        </w:rPr>
        <w:t xml:space="preserve"> meaning that there have been too many finances in the financial market. When the global reforms are </w:t>
      </w:r>
      <w:r w:rsidR="00436168">
        <w:rPr>
          <w:rFonts w:ascii="Times New Roman" w:hAnsi="Times New Roman" w:cs="Times New Roman"/>
          <w:sz w:val="24"/>
          <w:szCs w:val="24"/>
        </w:rPr>
        <w:t xml:space="preserve">fully </w:t>
      </w:r>
      <w:r w:rsidRPr="00E378F7">
        <w:rPr>
          <w:rFonts w:ascii="Times New Roman" w:hAnsi="Times New Roman" w:cs="Times New Roman"/>
          <w:sz w:val="24"/>
          <w:szCs w:val="24"/>
        </w:rPr>
        <w:t>implemented, they will boost growth and stability in all countries around the world.</w:t>
      </w:r>
    </w:p>
    <w:p w14:paraId="64DE4C04" w14:textId="071EA34D" w:rsidR="00FE3083" w:rsidRPr="00E378F7" w:rsidRDefault="006F20DE" w:rsidP="00696551">
      <w:pPr>
        <w:pStyle w:val="Heading2"/>
        <w:rPr>
          <w:rFonts w:eastAsia="Times New Roman"/>
        </w:rPr>
      </w:pPr>
      <w:bookmarkStart w:id="25" w:name="_Toc501031470"/>
      <w:r w:rsidRPr="00E378F7">
        <w:rPr>
          <w:rFonts w:eastAsia="Times New Roman"/>
        </w:rPr>
        <w:t>4.3 A Comparative Analysis of Productivity Growth in Emerging Markets</w:t>
      </w:r>
      <w:bookmarkEnd w:id="25"/>
    </w:p>
    <w:p w14:paraId="3F171FA0" w14:textId="35659831" w:rsidR="00345BF1" w:rsidRPr="00946B79" w:rsidRDefault="00A242A7" w:rsidP="008E4E1C">
      <w:pPr>
        <w:spacing w:after="0"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GRAPH 4:1</w:t>
      </w:r>
      <w:r w:rsidR="009C510B" w:rsidRPr="00946B79">
        <w:rPr>
          <w:rFonts w:ascii="Times New Roman" w:eastAsia="Times New Roman" w:hAnsi="Times New Roman" w:cs="Times New Roman"/>
          <w:sz w:val="20"/>
          <w:szCs w:val="20"/>
        </w:rPr>
        <w:t>.</w:t>
      </w:r>
      <w:r w:rsidR="00104B97" w:rsidRPr="00946B79">
        <w:rPr>
          <w:rFonts w:ascii="Times New Roman" w:eastAsia="Times New Roman" w:hAnsi="Times New Roman" w:cs="Times New Roman"/>
          <w:sz w:val="20"/>
          <w:szCs w:val="20"/>
        </w:rPr>
        <w:t xml:space="preserve"> TREND REVIEW OF EACH OF THE PRODUCTIVITY SECTORS TO GDP</w:t>
      </w:r>
    </w:p>
    <w:p w14:paraId="752525B9" w14:textId="77777777" w:rsidR="006F20DE" w:rsidRPr="00E378F7" w:rsidRDefault="006F20DE" w:rsidP="008E4E1C">
      <w:pPr>
        <w:spacing w:after="0" w:line="360" w:lineRule="auto"/>
        <w:ind w:hanging="810"/>
        <w:jc w:val="both"/>
        <w:rPr>
          <w:rFonts w:ascii="Times New Roman" w:eastAsia="Times New Roman" w:hAnsi="Times New Roman" w:cs="Times New Roman"/>
          <w:sz w:val="24"/>
          <w:szCs w:val="24"/>
        </w:rPr>
      </w:pPr>
      <w:r w:rsidRPr="00AB1527">
        <w:rPr>
          <w:noProof/>
        </w:rPr>
        <w:drawing>
          <wp:inline distT="0" distB="0" distL="0" distR="0" wp14:anchorId="26425B72" wp14:editId="444106E7">
            <wp:extent cx="5549900" cy="2857500"/>
            <wp:effectExtent l="0" t="0" r="1270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D2519ED" w14:textId="22574D13" w:rsidR="006F20DE" w:rsidRPr="00E378F7" w:rsidRDefault="009C510B" w:rsidP="008E4E1C">
      <w:pPr>
        <w:spacing w:line="360" w:lineRule="auto"/>
        <w:ind w:hanging="810"/>
        <w:jc w:val="both"/>
        <w:rPr>
          <w:rFonts w:ascii="Times New Roman" w:eastAsia="Times New Roman" w:hAnsi="Times New Roman" w:cs="Times New Roman"/>
          <w:bCs/>
          <w:sz w:val="20"/>
          <w:szCs w:val="20"/>
        </w:rPr>
      </w:pPr>
      <w:r w:rsidRPr="00E378F7">
        <w:rPr>
          <w:rFonts w:ascii="Times New Roman" w:eastAsia="Times New Roman" w:hAnsi="Times New Roman" w:cs="Times New Roman"/>
          <w:sz w:val="20"/>
          <w:szCs w:val="20"/>
        </w:rPr>
        <w:t>Graph 4:</w:t>
      </w:r>
      <w:r w:rsidR="00A242A7">
        <w:rPr>
          <w:rFonts w:ascii="Times New Roman" w:eastAsia="Times New Roman" w:hAnsi="Times New Roman" w:cs="Times New Roman"/>
          <w:sz w:val="20"/>
          <w:szCs w:val="20"/>
        </w:rPr>
        <w:t>1</w:t>
      </w:r>
      <w:r w:rsidR="006F20DE" w:rsidRPr="00E378F7">
        <w:rPr>
          <w:rFonts w:ascii="Times New Roman" w:eastAsia="Times New Roman" w:hAnsi="Times New Roman" w:cs="Times New Roman"/>
          <w:sz w:val="20"/>
          <w:szCs w:val="20"/>
        </w:rPr>
        <w:t xml:space="preserve">: </w:t>
      </w:r>
      <w:r w:rsidR="006F20DE" w:rsidRPr="00E378F7">
        <w:rPr>
          <w:rFonts w:ascii="Times New Roman" w:eastAsia="Times New Roman" w:hAnsi="Times New Roman" w:cs="Times New Roman"/>
          <w:bCs/>
          <w:sz w:val="20"/>
          <w:szCs w:val="20"/>
        </w:rPr>
        <w:t xml:space="preserve">Contribution of Service, Manufacturing, and Agriculture in </w:t>
      </w:r>
      <w:r w:rsidR="00436168">
        <w:rPr>
          <w:rFonts w:ascii="Times New Roman" w:eastAsia="Times New Roman" w:hAnsi="Times New Roman" w:cs="Times New Roman"/>
          <w:bCs/>
          <w:sz w:val="20"/>
          <w:szCs w:val="20"/>
        </w:rPr>
        <w:t xml:space="preserve">the </w:t>
      </w:r>
      <w:r w:rsidR="006F20DE" w:rsidRPr="00E378F7">
        <w:rPr>
          <w:rFonts w:ascii="Times New Roman" w:eastAsia="Times New Roman" w:hAnsi="Times New Roman" w:cs="Times New Roman"/>
          <w:bCs/>
          <w:sz w:val="20"/>
          <w:szCs w:val="20"/>
        </w:rPr>
        <w:t>GDP of the Emerging Countries (1984</w:t>
      </w:r>
      <w:r w:rsidR="00436168">
        <w:rPr>
          <w:rFonts w:ascii="Times New Roman" w:eastAsia="Times New Roman" w:hAnsi="Times New Roman" w:cs="Times New Roman"/>
          <w:bCs/>
          <w:sz w:val="20"/>
          <w:szCs w:val="20"/>
        </w:rPr>
        <w:t>–</w:t>
      </w:r>
      <w:r w:rsidR="006F20DE" w:rsidRPr="00E378F7">
        <w:rPr>
          <w:rFonts w:ascii="Times New Roman" w:eastAsia="Times New Roman" w:hAnsi="Times New Roman" w:cs="Times New Roman"/>
          <w:bCs/>
          <w:sz w:val="20"/>
          <w:szCs w:val="20"/>
        </w:rPr>
        <w:t>2013)</w:t>
      </w:r>
    </w:p>
    <w:p w14:paraId="03606C59" w14:textId="77777777" w:rsidR="002B3324" w:rsidRPr="00E378F7" w:rsidRDefault="002B3324" w:rsidP="008E4E1C">
      <w:pPr>
        <w:spacing w:after="240" w:line="360" w:lineRule="auto"/>
        <w:jc w:val="both"/>
        <w:rPr>
          <w:rFonts w:ascii="Times New Roman" w:hAnsi="Times New Roman" w:cs="Times New Roman"/>
          <w:sz w:val="24"/>
          <w:szCs w:val="24"/>
        </w:rPr>
      </w:pPr>
    </w:p>
    <w:p w14:paraId="25293E3E" w14:textId="58AB6F82" w:rsidR="00393A0E" w:rsidRPr="00E378F7" w:rsidRDefault="004A4550" w:rsidP="008E4E1C">
      <w:pPr>
        <w:spacing w:after="240" w:line="360" w:lineRule="auto"/>
        <w:jc w:val="both"/>
        <w:rPr>
          <w:rFonts w:ascii="Times New Roman" w:hAnsi="Times New Roman" w:cs="Times New Roman"/>
          <w:sz w:val="24"/>
          <w:szCs w:val="24"/>
        </w:rPr>
      </w:pPr>
      <w:r w:rsidRPr="00E378F7">
        <w:rPr>
          <w:rFonts w:ascii="Times New Roman" w:hAnsi="Times New Roman" w:cs="Times New Roman"/>
          <w:sz w:val="24"/>
          <w:szCs w:val="24"/>
        </w:rPr>
        <w:lastRenderedPageBreak/>
        <w:t xml:space="preserve">Emerging markets </w:t>
      </w:r>
      <w:r w:rsidR="00436168">
        <w:rPr>
          <w:rFonts w:ascii="Times New Roman" w:hAnsi="Times New Roman" w:cs="Times New Roman"/>
          <w:sz w:val="24"/>
          <w:szCs w:val="24"/>
        </w:rPr>
        <w:t xml:space="preserve">have </w:t>
      </w:r>
      <w:r w:rsidRPr="00E378F7">
        <w:rPr>
          <w:rFonts w:ascii="Times New Roman" w:hAnsi="Times New Roman" w:cs="Times New Roman"/>
          <w:sz w:val="24"/>
          <w:szCs w:val="24"/>
        </w:rPr>
        <w:t>experienced a shift in the productivity patterns from manufacturing to service sector over the years. A modest labor productivity growth in the year 2013 indicate</w:t>
      </w:r>
      <w:r w:rsidR="00436168">
        <w:rPr>
          <w:rFonts w:ascii="Times New Roman" w:hAnsi="Times New Roman" w:cs="Times New Roman"/>
          <w:sz w:val="24"/>
          <w:szCs w:val="24"/>
        </w:rPr>
        <w:t xml:space="preserve"> that</w:t>
      </w:r>
      <w:r w:rsidRPr="00E378F7">
        <w:rPr>
          <w:rFonts w:ascii="Times New Roman" w:hAnsi="Times New Roman" w:cs="Times New Roman"/>
          <w:sz w:val="24"/>
          <w:szCs w:val="24"/>
        </w:rPr>
        <w:t xml:space="preserve"> the employment and output growth rate were largely unchanged. </w:t>
      </w:r>
      <w:r w:rsidR="00D65A4C">
        <w:rPr>
          <w:rFonts w:ascii="Times New Roman" w:hAnsi="Times New Roman" w:cs="Times New Roman"/>
          <w:sz w:val="24"/>
          <w:szCs w:val="24"/>
        </w:rPr>
        <w:t>Though t</w:t>
      </w:r>
      <w:r w:rsidR="00D65A4C" w:rsidRPr="00E378F7">
        <w:rPr>
          <w:rFonts w:ascii="Times New Roman" w:hAnsi="Times New Roman" w:cs="Times New Roman"/>
          <w:sz w:val="24"/>
          <w:szCs w:val="24"/>
        </w:rPr>
        <w:t xml:space="preserve">he </w:t>
      </w:r>
      <w:r w:rsidRPr="00E378F7">
        <w:rPr>
          <w:rFonts w:ascii="Times New Roman" w:hAnsi="Times New Roman" w:cs="Times New Roman"/>
          <w:sz w:val="24"/>
          <w:szCs w:val="24"/>
        </w:rPr>
        <w:t xml:space="preserve">manufacturing sector has been a driver of development for the last two centuries, its importance appears to be declining. The declining share of manufacturing in the GDP of emerging countries is attributed to low income elasticity of manufactures at high levels of income, as well as higher productivity growth </w:t>
      </w:r>
      <w:r w:rsidRPr="00D65A4C">
        <w:rPr>
          <w:rFonts w:ascii="Times New Roman" w:hAnsi="Times New Roman" w:cs="Times New Roman"/>
          <w:sz w:val="24"/>
          <w:szCs w:val="24"/>
        </w:rPr>
        <w:t xml:space="preserve">than </w:t>
      </w:r>
      <w:r w:rsidRPr="00E378F7">
        <w:rPr>
          <w:rFonts w:ascii="Times New Roman" w:hAnsi="Times New Roman" w:cs="Times New Roman"/>
          <w:sz w:val="24"/>
          <w:szCs w:val="24"/>
        </w:rPr>
        <w:t>in services, which lead the relative price of manufactures, but not necessarily its volume, to decline. However, the prevalence of the latter feature has recently been challenged based on data from across the world</w:t>
      </w:r>
      <w:r w:rsidR="00D65A4C">
        <w:rPr>
          <w:rFonts w:ascii="Times New Roman" w:hAnsi="Times New Roman" w:cs="Times New Roman"/>
          <w:sz w:val="24"/>
          <w:szCs w:val="24"/>
        </w:rPr>
        <w:t>,</w:t>
      </w:r>
      <w:r w:rsidRPr="00E378F7">
        <w:rPr>
          <w:rFonts w:ascii="Times New Roman" w:hAnsi="Times New Roman" w:cs="Times New Roman"/>
          <w:sz w:val="24"/>
          <w:szCs w:val="24"/>
        </w:rPr>
        <w:t xml:space="preserve"> suggesting that </w:t>
      </w:r>
      <w:r w:rsidR="00D65A4C">
        <w:rPr>
          <w:rFonts w:ascii="Times New Roman" w:hAnsi="Times New Roman" w:cs="Times New Roman"/>
          <w:sz w:val="24"/>
          <w:szCs w:val="24"/>
        </w:rPr>
        <w:t xml:space="preserve">following the </w:t>
      </w:r>
      <w:r w:rsidR="00D65A4C" w:rsidRPr="008937B5">
        <w:rPr>
          <w:rFonts w:ascii="Times New Roman" w:hAnsi="Times New Roman" w:cs="Times New Roman"/>
          <w:sz w:val="24"/>
          <w:szCs w:val="24"/>
        </w:rPr>
        <w:t>ICT</w:t>
      </w:r>
      <w:r w:rsidR="00D65A4C" w:rsidRPr="00E378F7">
        <w:rPr>
          <w:rFonts w:ascii="Times New Roman" w:hAnsi="Times New Roman" w:cs="Times New Roman"/>
          <w:sz w:val="24"/>
          <w:szCs w:val="24"/>
        </w:rPr>
        <w:t xml:space="preserve"> </w:t>
      </w:r>
      <w:r w:rsidR="00A242A7" w:rsidRPr="00E378F7">
        <w:rPr>
          <w:rFonts w:ascii="Times New Roman" w:hAnsi="Times New Roman" w:cs="Times New Roman"/>
          <w:sz w:val="24"/>
          <w:szCs w:val="24"/>
        </w:rPr>
        <w:t>boom,</w:t>
      </w:r>
      <w:r w:rsidRPr="00E378F7">
        <w:rPr>
          <w:rFonts w:ascii="Times New Roman" w:hAnsi="Times New Roman" w:cs="Times New Roman"/>
          <w:sz w:val="24"/>
          <w:szCs w:val="24"/>
        </w:rPr>
        <w:t xml:space="preserve"> productivity is also rising rapidly in large parts of the service sector. The decline of the manufacturing share in the GDP of emerging countries is puzzling since one would expect the income elasticity of demand for manufacture to be high at lower levels of income and developing countries to specialize in labor-intensive manufactures. It is also </w:t>
      </w:r>
      <w:r w:rsidR="00D65A4C">
        <w:rPr>
          <w:rFonts w:ascii="Times New Roman" w:hAnsi="Times New Roman" w:cs="Times New Roman"/>
          <w:sz w:val="24"/>
          <w:szCs w:val="24"/>
        </w:rPr>
        <w:t xml:space="preserve">evident </w:t>
      </w:r>
      <w:r w:rsidRPr="00E378F7">
        <w:rPr>
          <w:rFonts w:ascii="Times New Roman" w:hAnsi="Times New Roman" w:cs="Times New Roman"/>
          <w:sz w:val="24"/>
          <w:szCs w:val="24"/>
        </w:rPr>
        <w:t xml:space="preserve">from the graph that service sector has improved immensely over the period, </w:t>
      </w:r>
      <w:r w:rsidR="00D65A4C">
        <w:rPr>
          <w:rFonts w:ascii="Times New Roman" w:hAnsi="Times New Roman" w:cs="Times New Roman"/>
          <w:sz w:val="24"/>
          <w:szCs w:val="24"/>
        </w:rPr>
        <w:t>which</w:t>
      </w:r>
      <w:r w:rsidR="00D65A4C" w:rsidRPr="00E378F7">
        <w:rPr>
          <w:rFonts w:ascii="Times New Roman" w:hAnsi="Times New Roman" w:cs="Times New Roman"/>
          <w:sz w:val="24"/>
          <w:szCs w:val="24"/>
        </w:rPr>
        <w:t xml:space="preserve"> </w:t>
      </w:r>
      <w:r w:rsidRPr="00E378F7">
        <w:rPr>
          <w:rFonts w:ascii="Times New Roman" w:hAnsi="Times New Roman" w:cs="Times New Roman"/>
          <w:sz w:val="24"/>
          <w:szCs w:val="24"/>
        </w:rPr>
        <w:t xml:space="preserve">could be explained as </w:t>
      </w:r>
      <w:r w:rsidR="00D65A4C">
        <w:rPr>
          <w:rFonts w:ascii="Times New Roman" w:hAnsi="Times New Roman" w:cs="Times New Roman"/>
          <w:sz w:val="24"/>
          <w:szCs w:val="24"/>
        </w:rPr>
        <w:t>the</w:t>
      </w:r>
      <w:r w:rsidR="00D65A4C" w:rsidRPr="00E378F7">
        <w:rPr>
          <w:rFonts w:ascii="Times New Roman" w:hAnsi="Times New Roman" w:cs="Times New Roman"/>
          <w:sz w:val="24"/>
          <w:szCs w:val="24"/>
        </w:rPr>
        <w:t xml:space="preserve"> </w:t>
      </w:r>
      <w:r w:rsidRPr="00E378F7">
        <w:rPr>
          <w:rFonts w:ascii="Times New Roman" w:hAnsi="Times New Roman" w:cs="Times New Roman"/>
          <w:sz w:val="24"/>
          <w:szCs w:val="24"/>
        </w:rPr>
        <w:t xml:space="preserve">result of </w:t>
      </w:r>
      <w:r w:rsidR="00D65A4C">
        <w:rPr>
          <w:rFonts w:ascii="Times New Roman" w:hAnsi="Times New Roman" w:cs="Times New Roman"/>
          <w:sz w:val="24"/>
          <w:szCs w:val="24"/>
        </w:rPr>
        <w:t xml:space="preserve">the </w:t>
      </w:r>
      <w:r w:rsidR="00D65A4C" w:rsidRPr="00E378F7">
        <w:rPr>
          <w:rFonts w:ascii="Times New Roman" w:hAnsi="Times New Roman" w:cs="Times New Roman"/>
          <w:sz w:val="24"/>
          <w:szCs w:val="24"/>
        </w:rPr>
        <w:t>ris</w:t>
      </w:r>
      <w:r w:rsidR="00D65A4C">
        <w:rPr>
          <w:rFonts w:ascii="Times New Roman" w:hAnsi="Times New Roman" w:cs="Times New Roman"/>
          <w:sz w:val="24"/>
          <w:szCs w:val="24"/>
        </w:rPr>
        <w:t>e</w:t>
      </w:r>
      <w:r w:rsidR="00D65A4C" w:rsidRPr="00E378F7">
        <w:rPr>
          <w:rFonts w:ascii="Times New Roman" w:hAnsi="Times New Roman" w:cs="Times New Roman"/>
          <w:sz w:val="24"/>
          <w:szCs w:val="24"/>
        </w:rPr>
        <w:t xml:space="preserve"> </w:t>
      </w:r>
      <w:r w:rsidRPr="00E378F7">
        <w:rPr>
          <w:rFonts w:ascii="Times New Roman" w:hAnsi="Times New Roman" w:cs="Times New Roman"/>
          <w:sz w:val="24"/>
          <w:szCs w:val="24"/>
        </w:rPr>
        <w:t xml:space="preserve">in middle class population coupled with increasing median income in </w:t>
      </w:r>
      <w:r w:rsidR="00D65A4C">
        <w:rPr>
          <w:rFonts w:ascii="Times New Roman" w:hAnsi="Times New Roman" w:cs="Times New Roman"/>
          <w:sz w:val="24"/>
          <w:szCs w:val="24"/>
        </w:rPr>
        <w:t xml:space="preserve">the </w:t>
      </w:r>
      <w:r w:rsidRPr="00E378F7">
        <w:rPr>
          <w:rFonts w:ascii="Times New Roman" w:hAnsi="Times New Roman" w:cs="Times New Roman"/>
          <w:sz w:val="24"/>
          <w:szCs w:val="24"/>
        </w:rPr>
        <w:t>service sector with the ICT boom.</w:t>
      </w:r>
    </w:p>
    <w:p w14:paraId="3A4594EF" w14:textId="5A294541" w:rsidR="00B75EEB" w:rsidRPr="00D65A4C" w:rsidRDefault="00B75EEB" w:rsidP="008E4E1C">
      <w:pPr>
        <w:spacing w:after="0" w:line="360" w:lineRule="auto"/>
        <w:jc w:val="both"/>
        <w:rPr>
          <w:rFonts w:ascii="Times New Roman" w:eastAsia="Times New Roman" w:hAnsi="Times New Roman" w:cs="Times New Roman"/>
          <w:sz w:val="24"/>
          <w:szCs w:val="24"/>
        </w:rPr>
      </w:pPr>
      <w:r w:rsidRPr="00946B79">
        <w:rPr>
          <w:rFonts w:ascii="Times New Roman" w:hAnsi="Times New Roman" w:cs="Times New Roman"/>
          <w:sz w:val="24"/>
          <w:szCs w:val="24"/>
        </w:rPr>
        <w:t>The manufacturing sector has been a driver of development for the last two centuries, but its importance appears to be declining. The declining share of manufacturing in the GDP of emerging countries is attributed to low income elasticity of manufactures at high levels of income, as well as higher productivity growth than in services, which leads the relative price of manufactures, but not necessarily its volume, to decline. However, the prevalence of the latter feature has recently been challenged based on data from across the world suggesting that, boom by ICT, productivity is also rising rapidly in large parts of the service sector. The decline of the manufacturing share in the GDP of emerging countries is puzzling, since one would expect the income elasticity of demand for manufactures to be high at lower levels of income, and developing countries to specialize in labor-intensive manufactures. It is also from the graph that service sector has improved immensely over the period, this could be explained as a result of rising in middle class population and coupled with increasing median income in service sector with the advent of ICT boom.</w:t>
      </w:r>
      <w:r w:rsidRPr="00D65A4C">
        <w:rPr>
          <w:rFonts w:ascii="Times New Roman" w:eastAsia="Times New Roman" w:hAnsi="Times New Roman" w:cs="Times New Roman"/>
          <w:sz w:val="24"/>
          <w:szCs w:val="24"/>
        </w:rPr>
        <w:t xml:space="preserve"> However, </w:t>
      </w:r>
      <w:r w:rsidR="002B3324" w:rsidRPr="00D65A4C">
        <w:rPr>
          <w:rFonts w:ascii="Times New Roman" w:eastAsia="Times New Roman" w:hAnsi="Times New Roman" w:cs="Times New Roman"/>
          <w:sz w:val="24"/>
          <w:szCs w:val="24"/>
        </w:rPr>
        <w:t>even though</w:t>
      </w:r>
      <w:r w:rsidRPr="00D65A4C">
        <w:rPr>
          <w:rFonts w:ascii="Times New Roman" w:eastAsia="Times New Roman" w:hAnsi="Times New Roman" w:cs="Times New Roman"/>
          <w:sz w:val="24"/>
          <w:szCs w:val="24"/>
        </w:rPr>
        <w:t xml:space="preserve"> </w:t>
      </w:r>
      <w:r w:rsidR="002B3324" w:rsidRPr="00D65A4C">
        <w:rPr>
          <w:rFonts w:ascii="Times New Roman" w:eastAsia="Times New Roman" w:hAnsi="Times New Roman" w:cs="Times New Roman"/>
          <w:sz w:val="24"/>
          <w:szCs w:val="24"/>
        </w:rPr>
        <w:t xml:space="preserve">the contribution of the service sector </w:t>
      </w:r>
      <w:r w:rsidR="00D65A4C">
        <w:rPr>
          <w:rFonts w:ascii="Times New Roman" w:eastAsia="Times New Roman" w:hAnsi="Times New Roman" w:cs="Times New Roman"/>
          <w:sz w:val="24"/>
          <w:szCs w:val="24"/>
        </w:rPr>
        <w:t>to</w:t>
      </w:r>
      <w:r w:rsidR="00D65A4C" w:rsidRPr="00D65A4C">
        <w:rPr>
          <w:rFonts w:ascii="Times New Roman" w:eastAsia="Times New Roman" w:hAnsi="Times New Roman" w:cs="Times New Roman"/>
          <w:sz w:val="24"/>
          <w:szCs w:val="24"/>
        </w:rPr>
        <w:t xml:space="preserve"> </w:t>
      </w:r>
      <w:r w:rsidR="002B3324" w:rsidRPr="00D65A4C">
        <w:rPr>
          <w:rFonts w:ascii="Times New Roman" w:eastAsia="Times New Roman" w:hAnsi="Times New Roman" w:cs="Times New Roman"/>
          <w:sz w:val="24"/>
          <w:szCs w:val="24"/>
        </w:rPr>
        <w:t>the productivity growth to GDP has been consistently increasing</w:t>
      </w:r>
      <w:r w:rsidR="00D65A4C">
        <w:rPr>
          <w:rFonts w:ascii="Times New Roman" w:eastAsia="Times New Roman" w:hAnsi="Times New Roman" w:cs="Times New Roman"/>
          <w:sz w:val="24"/>
          <w:szCs w:val="24"/>
        </w:rPr>
        <w:t>,</w:t>
      </w:r>
      <w:r w:rsidR="002B3324" w:rsidRPr="00D65A4C">
        <w:rPr>
          <w:rFonts w:ascii="Times New Roman" w:eastAsia="Times New Roman" w:hAnsi="Times New Roman" w:cs="Times New Roman"/>
          <w:sz w:val="24"/>
          <w:szCs w:val="24"/>
        </w:rPr>
        <w:t xml:space="preserve"> it has lower</w:t>
      </w:r>
      <w:r w:rsidR="00D65A4C">
        <w:rPr>
          <w:rFonts w:ascii="Times New Roman" w:eastAsia="Times New Roman" w:hAnsi="Times New Roman" w:cs="Times New Roman"/>
          <w:sz w:val="24"/>
          <w:szCs w:val="24"/>
        </w:rPr>
        <w:t>ed</w:t>
      </w:r>
      <w:r w:rsidR="002B3324" w:rsidRPr="00D65A4C">
        <w:rPr>
          <w:rFonts w:ascii="Times New Roman" w:eastAsia="Times New Roman" w:hAnsi="Times New Roman" w:cs="Times New Roman"/>
          <w:sz w:val="24"/>
          <w:szCs w:val="24"/>
        </w:rPr>
        <w:t xml:space="preserve"> the percentage of export </w:t>
      </w:r>
      <w:r w:rsidR="00D65A4C">
        <w:rPr>
          <w:rFonts w:ascii="Times New Roman" w:eastAsia="Times New Roman" w:hAnsi="Times New Roman" w:cs="Times New Roman"/>
          <w:sz w:val="24"/>
          <w:szCs w:val="24"/>
        </w:rPr>
        <w:t xml:space="preserve">when </w:t>
      </w:r>
      <w:r w:rsidR="002B3324" w:rsidRPr="00D65A4C">
        <w:rPr>
          <w:rFonts w:ascii="Times New Roman" w:eastAsia="Times New Roman" w:hAnsi="Times New Roman" w:cs="Times New Roman"/>
          <w:sz w:val="24"/>
          <w:szCs w:val="24"/>
        </w:rPr>
        <w:t xml:space="preserve">compared to other </w:t>
      </w:r>
      <w:r w:rsidR="002B3324" w:rsidRPr="00D65A4C">
        <w:rPr>
          <w:rFonts w:ascii="Times New Roman" w:eastAsia="Times New Roman" w:hAnsi="Times New Roman" w:cs="Times New Roman"/>
          <w:sz w:val="24"/>
          <w:szCs w:val="24"/>
        </w:rPr>
        <w:lastRenderedPageBreak/>
        <w:t>sectors</w:t>
      </w:r>
      <w:r w:rsidR="00D65A4C">
        <w:rPr>
          <w:rFonts w:ascii="Times New Roman" w:eastAsia="Times New Roman" w:hAnsi="Times New Roman" w:cs="Times New Roman"/>
          <w:sz w:val="24"/>
          <w:szCs w:val="24"/>
        </w:rPr>
        <w:t>,</w:t>
      </w:r>
      <w:r w:rsidR="002B3324" w:rsidRPr="00D65A4C">
        <w:rPr>
          <w:rFonts w:ascii="Times New Roman" w:eastAsia="Times New Roman" w:hAnsi="Times New Roman" w:cs="Times New Roman"/>
          <w:sz w:val="24"/>
          <w:szCs w:val="24"/>
        </w:rPr>
        <w:t xml:space="preserve"> and this </w:t>
      </w:r>
      <w:r w:rsidR="00D65A4C">
        <w:rPr>
          <w:rFonts w:ascii="Times New Roman" w:eastAsia="Times New Roman" w:hAnsi="Times New Roman" w:cs="Times New Roman"/>
          <w:sz w:val="24"/>
          <w:szCs w:val="24"/>
        </w:rPr>
        <w:t>brings about a</w:t>
      </w:r>
      <w:r w:rsidR="002B3324" w:rsidRPr="00D65A4C">
        <w:rPr>
          <w:rFonts w:ascii="Times New Roman" w:eastAsia="Times New Roman" w:hAnsi="Times New Roman" w:cs="Times New Roman"/>
          <w:sz w:val="24"/>
          <w:szCs w:val="24"/>
        </w:rPr>
        <w:t xml:space="preserve"> need </w:t>
      </w:r>
      <w:r w:rsidR="00D65A4C">
        <w:rPr>
          <w:rFonts w:ascii="Times New Roman" w:eastAsia="Times New Roman" w:hAnsi="Times New Roman" w:cs="Times New Roman"/>
          <w:sz w:val="24"/>
          <w:szCs w:val="24"/>
        </w:rPr>
        <w:t>to</w:t>
      </w:r>
      <w:r w:rsidR="00D65A4C" w:rsidRPr="00D65A4C">
        <w:rPr>
          <w:rFonts w:ascii="Times New Roman" w:eastAsia="Times New Roman" w:hAnsi="Times New Roman" w:cs="Times New Roman"/>
          <w:sz w:val="24"/>
          <w:szCs w:val="24"/>
        </w:rPr>
        <w:t xml:space="preserve"> improv</w:t>
      </w:r>
      <w:r w:rsidR="00D65A4C">
        <w:rPr>
          <w:rFonts w:ascii="Times New Roman" w:eastAsia="Times New Roman" w:hAnsi="Times New Roman" w:cs="Times New Roman"/>
          <w:sz w:val="24"/>
          <w:szCs w:val="24"/>
        </w:rPr>
        <w:t>e</w:t>
      </w:r>
      <w:r w:rsidR="00D65A4C" w:rsidRPr="00D65A4C">
        <w:rPr>
          <w:rFonts w:ascii="Times New Roman" w:eastAsia="Times New Roman" w:hAnsi="Times New Roman" w:cs="Times New Roman"/>
          <w:sz w:val="24"/>
          <w:szCs w:val="24"/>
        </w:rPr>
        <w:t xml:space="preserve"> </w:t>
      </w:r>
      <w:r w:rsidR="002B3324" w:rsidRPr="00D65A4C">
        <w:rPr>
          <w:rFonts w:ascii="Times New Roman" w:eastAsia="Times New Roman" w:hAnsi="Times New Roman" w:cs="Times New Roman"/>
          <w:sz w:val="24"/>
          <w:szCs w:val="24"/>
        </w:rPr>
        <w:t xml:space="preserve">the contribution of the manufacturing sector, </w:t>
      </w:r>
      <w:r w:rsidR="00D65A4C">
        <w:rPr>
          <w:rFonts w:ascii="Times New Roman" w:eastAsia="Times New Roman" w:hAnsi="Times New Roman" w:cs="Times New Roman"/>
          <w:sz w:val="24"/>
          <w:szCs w:val="24"/>
        </w:rPr>
        <w:t xml:space="preserve">and </w:t>
      </w:r>
      <w:r w:rsidR="002B3324" w:rsidRPr="00D65A4C">
        <w:rPr>
          <w:rFonts w:ascii="Times New Roman" w:eastAsia="Times New Roman" w:hAnsi="Times New Roman" w:cs="Times New Roman"/>
          <w:sz w:val="24"/>
          <w:szCs w:val="24"/>
        </w:rPr>
        <w:t xml:space="preserve">especially </w:t>
      </w:r>
      <w:r w:rsidR="00D65A4C">
        <w:rPr>
          <w:rFonts w:ascii="Times New Roman" w:eastAsia="Times New Roman" w:hAnsi="Times New Roman" w:cs="Times New Roman"/>
          <w:sz w:val="24"/>
          <w:szCs w:val="24"/>
        </w:rPr>
        <w:t xml:space="preserve">in </w:t>
      </w:r>
      <w:r w:rsidR="002B3324" w:rsidRPr="00D65A4C">
        <w:rPr>
          <w:rFonts w:ascii="Times New Roman" w:eastAsia="Times New Roman" w:hAnsi="Times New Roman" w:cs="Times New Roman"/>
          <w:sz w:val="24"/>
          <w:szCs w:val="24"/>
        </w:rPr>
        <w:t>the agriculture sector</w:t>
      </w:r>
      <w:r w:rsidR="00D65A4C">
        <w:rPr>
          <w:rFonts w:ascii="Times New Roman" w:eastAsia="Times New Roman" w:hAnsi="Times New Roman" w:cs="Times New Roman"/>
          <w:sz w:val="24"/>
          <w:szCs w:val="24"/>
        </w:rPr>
        <w:t>,</w:t>
      </w:r>
      <w:r w:rsidR="002B3324" w:rsidRPr="00D65A4C">
        <w:rPr>
          <w:rFonts w:ascii="Times New Roman" w:eastAsia="Times New Roman" w:hAnsi="Times New Roman" w:cs="Times New Roman"/>
          <w:sz w:val="24"/>
          <w:szCs w:val="24"/>
        </w:rPr>
        <w:t xml:space="preserve"> which </w:t>
      </w:r>
      <w:r w:rsidR="00D65A4C" w:rsidRPr="00D65A4C">
        <w:rPr>
          <w:rFonts w:ascii="Times New Roman" w:eastAsia="Times New Roman" w:hAnsi="Times New Roman" w:cs="Times New Roman"/>
          <w:sz w:val="24"/>
          <w:szCs w:val="24"/>
        </w:rPr>
        <w:t>ha</w:t>
      </w:r>
      <w:r w:rsidR="00D65A4C">
        <w:rPr>
          <w:rFonts w:ascii="Times New Roman" w:eastAsia="Times New Roman" w:hAnsi="Times New Roman" w:cs="Times New Roman"/>
          <w:sz w:val="24"/>
          <w:szCs w:val="24"/>
        </w:rPr>
        <w:t>s</w:t>
      </w:r>
      <w:r w:rsidR="00D65A4C" w:rsidRPr="00D65A4C">
        <w:rPr>
          <w:rFonts w:ascii="Times New Roman" w:eastAsia="Times New Roman" w:hAnsi="Times New Roman" w:cs="Times New Roman"/>
          <w:sz w:val="24"/>
          <w:szCs w:val="24"/>
        </w:rPr>
        <w:t xml:space="preserve"> </w:t>
      </w:r>
      <w:r w:rsidR="00D65A4C">
        <w:rPr>
          <w:rFonts w:ascii="Times New Roman" w:eastAsia="Times New Roman" w:hAnsi="Times New Roman" w:cs="Times New Roman"/>
          <w:sz w:val="24"/>
          <w:szCs w:val="24"/>
        </w:rPr>
        <w:t>declined</w:t>
      </w:r>
      <w:r w:rsidR="00D65A4C" w:rsidRPr="00D65A4C">
        <w:rPr>
          <w:rFonts w:ascii="Times New Roman" w:eastAsia="Times New Roman" w:hAnsi="Times New Roman" w:cs="Times New Roman"/>
          <w:sz w:val="24"/>
          <w:szCs w:val="24"/>
        </w:rPr>
        <w:t xml:space="preserve"> </w:t>
      </w:r>
      <w:r w:rsidR="00CF7B35">
        <w:rPr>
          <w:rFonts w:ascii="Times New Roman" w:eastAsia="Times New Roman" w:hAnsi="Times New Roman" w:cs="Times New Roman"/>
          <w:sz w:val="24"/>
          <w:szCs w:val="24"/>
        </w:rPr>
        <w:t>over the years (Graph 4:1</w:t>
      </w:r>
      <w:r w:rsidR="002B3324" w:rsidRPr="00D65A4C">
        <w:rPr>
          <w:rFonts w:ascii="Times New Roman" w:eastAsia="Times New Roman" w:hAnsi="Times New Roman" w:cs="Times New Roman"/>
          <w:sz w:val="24"/>
          <w:szCs w:val="24"/>
        </w:rPr>
        <w:t>).</w:t>
      </w:r>
    </w:p>
    <w:p w14:paraId="1A6F6872" w14:textId="5C9BE5C0" w:rsidR="006F20DE" w:rsidRPr="00E378F7" w:rsidRDefault="006F20DE" w:rsidP="008E4E1C">
      <w:pPr>
        <w:spacing w:after="240" w:line="360" w:lineRule="auto"/>
        <w:jc w:val="both"/>
        <w:rPr>
          <w:rFonts w:ascii="Times New Roman" w:hAnsi="Times New Roman" w:cs="Times New Roman"/>
          <w:sz w:val="24"/>
          <w:szCs w:val="24"/>
        </w:rPr>
      </w:pPr>
      <w:r w:rsidRPr="00E378F7">
        <w:rPr>
          <w:rFonts w:ascii="Times New Roman" w:hAnsi="Times New Roman" w:cs="Times New Roman"/>
          <w:sz w:val="24"/>
          <w:szCs w:val="24"/>
        </w:rPr>
        <w:t>Total factor productivity growth is the key driver of long-term growth and improving the living standards of people within a country. In the last decade, the developing</w:t>
      </w:r>
      <w:r w:rsidR="00180D93" w:rsidRPr="00E378F7">
        <w:rPr>
          <w:rFonts w:ascii="Times New Roman" w:hAnsi="Times New Roman" w:cs="Times New Roman"/>
          <w:sz w:val="24"/>
          <w:szCs w:val="24"/>
        </w:rPr>
        <w:t xml:space="preserve"> and emerging countries</w:t>
      </w:r>
      <w:r w:rsidRPr="00E378F7">
        <w:rPr>
          <w:rFonts w:ascii="Times New Roman" w:hAnsi="Times New Roman" w:cs="Times New Roman"/>
          <w:sz w:val="24"/>
          <w:szCs w:val="24"/>
        </w:rPr>
        <w:t xml:space="preserve"> experienced remarkable g</w:t>
      </w:r>
      <w:r w:rsidR="00180D93" w:rsidRPr="00E378F7">
        <w:rPr>
          <w:rFonts w:ascii="Times New Roman" w:hAnsi="Times New Roman" w:cs="Times New Roman"/>
          <w:sz w:val="24"/>
          <w:szCs w:val="24"/>
        </w:rPr>
        <w:t xml:space="preserve">rowth in productivity with </w:t>
      </w:r>
      <w:r w:rsidR="00D65A4C">
        <w:rPr>
          <w:rFonts w:ascii="Times New Roman" w:hAnsi="Times New Roman" w:cs="Times New Roman"/>
          <w:sz w:val="24"/>
          <w:szCs w:val="24"/>
        </w:rPr>
        <w:t xml:space="preserve">an </w:t>
      </w:r>
      <w:r w:rsidR="00180D93" w:rsidRPr="00E378F7">
        <w:rPr>
          <w:rFonts w:ascii="Times New Roman" w:hAnsi="Times New Roman" w:cs="Times New Roman"/>
          <w:sz w:val="24"/>
          <w:szCs w:val="24"/>
        </w:rPr>
        <w:t xml:space="preserve">increase in financial development, </w:t>
      </w:r>
      <w:r w:rsidR="009457CB">
        <w:rPr>
          <w:rFonts w:ascii="Times New Roman" w:hAnsi="Times New Roman" w:cs="Times New Roman"/>
          <w:sz w:val="24"/>
          <w:szCs w:val="24"/>
        </w:rPr>
        <w:t>but</w:t>
      </w:r>
      <w:r w:rsidR="009457CB" w:rsidRPr="00E378F7">
        <w:rPr>
          <w:rFonts w:ascii="Times New Roman" w:hAnsi="Times New Roman" w:cs="Times New Roman"/>
          <w:sz w:val="24"/>
          <w:szCs w:val="24"/>
        </w:rPr>
        <w:t xml:space="preserve"> </w:t>
      </w:r>
      <w:r w:rsidR="00180D93" w:rsidRPr="00E378F7">
        <w:rPr>
          <w:rFonts w:ascii="Times New Roman" w:hAnsi="Times New Roman" w:cs="Times New Roman"/>
          <w:sz w:val="24"/>
          <w:szCs w:val="24"/>
        </w:rPr>
        <w:t>this</w:t>
      </w:r>
      <w:r w:rsidRPr="00E378F7">
        <w:rPr>
          <w:rFonts w:ascii="Times New Roman" w:hAnsi="Times New Roman" w:cs="Times New Roman"/>
          <w:sz w:val="24"/>
          <w:szCs w:val="24"/>
        </w:rPr>
        <w:t xml:space="preserve"> growth is slowing down </w:t>
      </w:r>
      <w:r w:rsidR="009457CB">
        <w:rPr>
          <w:rFonts w:ascii="Times New Roman" w:hAnsi="Times New Roman" w:cs="Times New Roman"/>
          <w:sz w:val="24"/>
          <w:szCs w:val="24"/>
        </w:rPr>
        <w:t xml:space="preserve">according to </w:t>
      </w:r>
      <w:r w:rsidRPr="00E378F7">
        <w:rPr>
          <w:rFonts w:ascii="Times New Roman" w:hAnsi="Times New Roman" w:cs="Times New Roman"/>
          <w:sz w:val="24"/>
          <w:szCs w:val="24"/>
        </w:rPr>
        <w:t>Dabla-Norris (2016). This is opposed to the general expectation that</w:t>
      </w:r>
      <w:r w:rsidR="009457CB">
        <w:rPr>
          <w:rFonts w:ascii="Times New Roman" w:hAnsi="Times New Roman" w:cs="Times New Roman"/>
          <w:sz w:val="24"/>
          <w:szCs w:val="24"/>
        </w:rPr>
        <w:t xml:space="preserve"> the</w:t>
      </w:r>
      <w:r w:rsidRPr="00E378F7">
        <w:rPr>
          <w:rFonts w:ascii="Times New Roman" w:hAnsi="Times New Roman" w:cs="Times New Roman"/>
          <w:sz w:val="24"/>
          <w:szCs w:val="24"/>
        </w:rPr>
        <w:t xml:space="preserve"> total factor productivity will increase to higher demand from the external market, globalization, and the flexible prices of commodities. There is, therefore, the need to have structural reforms to help </w:t>
      </w:r>
      <w:r w:rsidR="009457CB" w:rsidRPr="00E378F7">
        <w:rPr>
          <w:rFonts w:ascii="Times New Roman" w:hAnsi="Times New Roman" w:cs="Times New Roman"/>
          <w:sz w:val="24"/>
          <w:szCs w:val="24"/>
        </w:rPr>
        <w:t>improv</w:t>
      </w:r>
      <w:r w:rsidR="009457CB">
        <w:rPr>
          <w:rFonts w:ascii="Times New Roman" w:hAnsi="Times New Roman" w:cs="Times New Roman"/>
          <w:sz w:val="24"/>
          <w:szCs w:val="24"/>
        </w:rPr>
        <w:t>e</w:t>
      </w:r>
      <w:r w:rsidR="009457CB" w:rsidRPr="00E378F7">
        <w:rPr>
          <w:rFonts w:ascii="Times New Roman" w:hAnsi="Times New Roman" w:cs="Times New Roman"/>
          <w:sz w:val="24"/>
          <w:szCs w:val="24"/>
        </w:rPr>
        <w:t xml:space="preserve"> </w:t>
      </w:r>
      <w:r w:rsidRPr="00E378F7">
        <w:rPr>
          <w:rFonts w:ascii="Times New Roman" w:hAnsi="Times New Roman" w:cs="Times New Roman"/>
          <w:sz w:val="24"/>
          <w:szCs w:val="24"/>
        </w:rPr>
        <w:t>total produc</w:t>
      </w:r>
      <w:r w:rsidR="00180D93" w:rsidRPr="00E378F7">
        <w:rPr>
          <w:rFonts w:ascii="Times New Roman" w:hAnsi="Times New Roman" w:cs="Times New Roman"/>
          <w:sz w:val="24"/>
          <w:szCs w:val="24"/>
        </w:rPr>
        <w:t xml:space="preserve">tivity in the emerging </w:t>
      </w:r>
      <w:r w:rsidR="00FE3083" w:rsidRPr="00E378F7">
        <w:rPr>
          <w:rFonts w:ascii="Times New Roman" w:hAnsi="Times New Roman" w:cs="Times New Roman"/>
          <w:sz w:val="24"/>
          <w:szCs w:val="24"/>
        </w:rPr>
        <w:t>markets. Shifting</w:t>
      </w:r>
      <w:r w:rsidRPr="00E378F7">
        <w:rPr>
          <w:rFonts w:ascii="Times New Roman" w:hAnsi="Times New Roman" w:cs="Times New Roman"/>
          <w:sz w:val="24"/>
          <w:szCs w:val="24"/>
        </w:rPr>
        <w:t xml:space="preserve"> regional employment share</w:t>
      </w:r>
      <w:r w:rsidR="009457CB">
        <w:rPr>
          <w:rFonts w:ascii="Times New Roman" w:hAnsi="Times New Roman" w:cs="Times New Roman"/>
          <w:sz w:val="24"/>
          <w:szCs w:val="24"/>
        </w:rPr>
        <w:t>s</w:t>
      </w:r>
      <w:r w:rsidRPr="00E378F7">
        <w:rPr>
          <w:rFonts w:ascii="Times New Roman" w:hAnsi="Times New Roman" w:cs="Times New Roman"/>
          <w:sz w:val="24"/>
          <w:szCs w:val="24"/>
        </w:rPr>
        <w:t xml:space="preserve"> were claimed to be the cause for modest labor productivity growth especially </w:t>
      </w:r>
      <w:r w:rsidR="009457CB">
        <w:rPr>
          <w:rFonts w:ascii="Times New Roman" w:hAnsi="Times New Roman" w:cs="Times New Roman"/>
          <w:sz w:val="24"/>
          <w:szCs w:val="24"/>
        </w:rPr>
        <w:t>in</w:t>
      </w:r>
      <w:r w:rsidR="009457CB" w:rsidRPr="00E378F7">
        <w:rPr>
          <w:rFonts w:ascii="Times New Roman" w:hAnsi="Times New Roman" w:cs="Times New Roman"/>
          <w:sz w:val="24"/>
          <w:szCs w:val="24"/>
        </w:rPr>
        <w:t xml:space="preserve"> </w:t>
      </w:r>
      <w:r w:rsidRPr="00E378F7">
        <w:rPr>
          <w:rFonts w:ascii="Times New Roman" w:hAnsi="Times New Roman" w:cs="Times New Roman"/>
          <w:sz w:val="24"/>
          <w:szCs w:val="24"/>
        </w:rPr>
        <w:t xml:space="preserve">countries </w:t>
      </w:r>
      <w:r w:rsidR="009457CB">
        <w:rPr>
          <w:rFonts w:ascii="Times New Roman" w:hAnsi="Times New Roman" w:cs="Times New Roman"/>
          <w:sz w:val="24"/>
          <w:szCs w:val="24"/>
        </w:rPr>
        <w:t>such as</w:t>
      </w:r>
      <w:r w:rsidR="009457CB" w:rsidRPr="00E378F7">
        <w:rPr>
          <w:rFonts w:ascii="Times New Roman" w:hAnsi="Times New Roman" w:cs="Times New Roman"/>
          <w:sz w:val="24"/>
          <w:szCs w:val="24"/>
        </w:rPr>
        <w:t xml:space="preserve"> </w:t>
      </w:r>
      <w:r w:rsidRPr="00E378F7">
        <w:rPr>
          <w:rFonts w:ascii="Times New Roman" w:hAnsi="Times New Roman" w:cs="Times New Roman"/>
          <w:sz w:val="24"/>
          <w:szCs w:val="24"/>
        </w:rPr>
        <w:t xml:space="preserve">China. China is experiencing an increase in regional GDP </w:t>
      </w:r>
      <w:r w:rsidR="009457CB">
        <w:rPr>
          <w:rFonts w:ascii="Times New Roman" w:hAnsi="Times New Roman" w:cs="Times New Roman"/>
          <w:sz w:val="24"/>
          <w:szCs w:val="24"/>
        </w:rPr>
        <w:t>contrary to</w:t>
      </w:r>
      <w:r w:rsidRPr="00E378F7">
        <w:rPr>
          <w:rFonts w:ascii="Times New Roman" w:hAnsi="Times New Roman" w:cs="Times New Roman"/>
          <w:sz w:val="24"/>
          <w:szCs w:val="24"/>
        </w:rPr>
        <w:t xml:space="preserve"> regions </w:t>
      </w:r>
      <w:r w:rsidR="009457CB">
        <w:rPr>
          <w:rFonts w:ascii="Times New Roman" w:hAnsi="Times New Roman" w:cs="Times New Roman"/>
          <w:sz w:val="24"/>
          <w:szCs w:val="24"/>
        </w:rPr>
        <w:t>such as</w:t>
      </w:r>
      <w:r w:rsidR="009457CB" w:rsidRPr="00E378F7">
        <w:rPr>
          <w:rFonts w:ascii="Times New Roman" w:hAnsi="Times New Roman" w:cs="Times New Roman"/>
          <w:sz w:val="24"/>
          <w:szCs w:val="24"/>
        </w:rPr>
        <w:t xml:space="preserve"> </w:t>
      </w:r>
      <w:r w:rsidRPr="00E378F7">
        <w:rPr>
          <w:rFonts w:ascii="Times New Roman" w:hAnsi="Times New Roman" w:cs="Times New Roman"/>
          <w:sz w:val="24"/>
          <w:szCs w:val="24"/>
        </w:rPr>
        <w:t xml:space="preserve">Africa and the Middle East, where </w:t>
      </w:r>
      <w:r w:rsidR="009457CB">
        <w:rPr>
          <w:rFonts w:ascii="Times New Roman" w:hAnsi="Times New Roman" w:cs="Times New Roman"/>
          <w:sz w:val="24"/>
          <w:szCs w:val="24"/>
        </w:rPr>
        <w:t xml:space="preserve">the </w:t>
      </w:r>
      <w:r w:rsidRPr="00E378F7">
        <w:rPr>
          <w:rFonts w:ascii="Times New Roman" w:hAnsi="Times New Roman" w:cs="Times New Roman"/>
          <w:sz w:val="24"/>
          <w:szCs w:val="24"/>
        </w:rPr>
        <w:t>output shares are stagnating or shrinking. Despite the growth in labor productivity in 2016, China</w:t>
      </w:r>
      <w:r w:rsidR="009457CB">
        <w:rPr>
          <w:rFonts w:ascii="Times New Roman" w:hAnsi="Times New Roman" w:cs="Times New Roman"/>
          <w:sz w:val="24"/>
          <w:szCs w:val="24"/>
        </w:rPr>
        <w:t>’s</w:t>
      </w:r>
      <w:r w:rsidRPr="00E378F7">
        <w:rPr>
          <w:rFonts w:ascii="Times New Roman" w:hAnsi="Times New Roman" w:cs="Times New Roman"/>
          <w:sz w:val="24"/>
          <w:szCs w:val="24"/>
        </w:rPr>
        <w:t xml:space="preserve"> total factor productivity (TFP) remained strongly negative because of </w:t>
      </w:r>
      <w:r w:rsidR="009457CB">
        <w:rPr>
          <w:rFonts w:ascii="Times New Roman" w:hAnsi="Times New Roman" w:cs="Times New Roman"/>
          <w:sz w:val="24"/>
          <w:szCs w:val="24"/>
        </w:rPr>
        <w:t xml:space="preserve">the </w:t>
      </w:r>
      <w:r w:rsidRPr="00E378F7">
        <w:rPr>
          <w:rFonts w:ascii="Times New Roman" w:hAnsi="Times New Roman" w:cs="Times New Roman"/>
          <w:sz w:val="24"/>
          <w:szCs w:val="24"/>
        </w:rPr>
        <w:t>slow growth of its capital stock (Yao, Wu &amp;</w:t>
      </w:r>
      <w:r w:rsidR="009457CB">
        <w:rPr>
          <w:rFonts w:ascii="Times New Roman" w:hAnsi="Times New Roman" w:cs="Times New Roman"/>
          <w:sz w:val="24"/>
          <w:szCs w:val="24"/>
        </w:rPr>
        <w:t xml:space="preserve"> </w:t>
      </w:r>
      <w:r w:rsidRPr="00E378F7">
        <w:rPr>
          <w:rFonts w:ascii="Times New Roman" w:hAnsi="Times New Roman" w:cs="Times New Roman"/>
          <w:sz w:val="24"/>
          <w:szCs w:val="24"/>
        </w:rPr>
        <w:t>Kinugasa, 2015).</w:t>
      </w:r>
    </w:p>
    <w:p w14:paraId="3F06AC2A" w14:textId="63C9F155" w:rsidR="00972BC5" w:rsidRPr="00E378F7" w:rsidRDefault="006F20DE" w:rsidP="008E4E1C">
      <w:pPr>
        <w:spacing w:after="240" w:line="360" w:lineRule="auto"/>
        <w:jc w:val="both"/>
        <w:rPr>
          <w:rFonts w:ascii="Times New Roman" w:hAnsi="Times New Roman" w:cs="Times New Roman"/>
          <w:sz w:val="24"/>
          <w:szCs w:val="24"/>
        </w:rPr>
      </w:pPr>
      <w:r w:rsidRPr="00E378F7">
        <w:rPr>
          <w:rFonts w:ascii="Times New Roman" w:hAnsi="Times New Roman" w:cs="Times New Roman"/>
          <w:sz w:val="24"/>
          <w:szCs w:val="24"/>
        </w:rPr>
        <w:t xml:space="preserve">India </w:t>
      </w:r>
      <w:r w:rsidR="009457CB">
        <w:rPr>
          <w:rFonts w:ascii="Times New Roman" w:hAnsi="Times New Roman" w:cs="Times New Roman"/>
          <w:sz w:val="24"/>
          <w:szCs w:val="24"/>
        </w:rPr>
        <w:t>had</w:t>
      </w:r>
      <w:r w:rsidRPr="00E378F7">
        <w:rPr>
          <w:rFonts w:ascii="Times New Roman" w:hAnsi="Times New Roman" w:cs="Times New Roman"/>
          <w:sz w:val="24"/>
          <w:szCs w:val="24"/>
        </w:rPr>
        <w:t xml:space="preserve"> one of the highest regional growth rates despite recording a modest slowdown in labor productivity in 2016</w:t>
      </w:r>
      <w:r w:rsidR="009457CB">
        <w:rPr>
          <w:rFonts w:ascii="Times New Roman" w:hAnsi="Times New Roman" w:cs="Times New Roman"/>
          <w:sz w:val="24"/>
          <w:szCs w:val="24"/>
        </w:rPr>
        <w:t>,</w:t>
      </w:r>
      <w:r w:rsidRPr="00E378F7">
        <w:rPr>
          <w:rFonts w:ascii="Times New Roman" w:hAnsi="Times New Roman" w:cs="Times New Roman"/>
          <w:sz w:val="24"/>
          <w:szCs w:val="24"/>
        </w:rPr>
        <w:t xml:space="preserve"> which resulted due to a weakening of output growth. Additionally, a strong positive TFP growth rate was experienced as a growth of input such as capital slowed substantially. Brazil</w:t>
      </w:r>
      <w:r w:rsidR="009457CB">
        <w:rPr>
          <w:rFonts w:ascii="Times New Roman" w:hAnsi="Times New Roman" w:cs="Times New Roman"/>
          <w:sz w:val="24"/>
          <w:szCs w:val="24"/>
        </w:rPr>
        <w:t>’s</w:t>
      </w:r>
      <w:r w:rsidRPr="00E378F7">
        <w:rPr>
          <w:rFonts w:ascii="Times New Roman" w:hAnsi="Times New Roman" w:cs="Times New Roman"/>
          <w:sz w:val="24"/>
          <w:szCs w:val="24"/>
        </w:rPr>
        <w:t xml:space="preserve"> TFP and labor productivity rates remained negative, as input growth pulled back employment</w:t>
      </w:r>
      <w:r w:rsidR="009457CB">
        <w:rPr>
          <w:rFonts w:ascii="Times New Roman" w:hAnsi="Times New Roman" w:cs="Times New Roman"/>
          <w:sz w:val="24"/>
          <w:szCs w:val="24"/>
        </w:rPr>
        <w:t>,</w:t>
      </w:r>
      <w:r w:rsidRPr="00E378F7">
        <w:rPr>
          <w:rFonts w:ascii="Times New Roman" w:hAnsi="Times New Roman" w:cs="Times New Roman"/>
          <w:sz w:val="24"/>
          <w:szCs w:val="24"/>
        </w:rPr>
        <w:t xml:space="preserve"> which </w:t>
      </w:r>
      <w:r w:rsidR="009457CB">
        <w:rPr>
          <w:rFonts w:ascii="Times New Roman" w:hAnsi="Times New Roman" w:cs="Times New Roman"/>
          <w:sz w:val="24"/>
          <w:szCs w:val="24"/>
        </w:rPr>
        <w:t xml:space="preserve">in turn </w:t>
      </w:r>
      <w:r w:rsidRPr="00E378F7">
        <w:rPr>
          <w:rFonts w:ascii="Times New Roman" w:hAnsi="Times New Roman" w:cs="Times New Roman"/>
          <w:sz w:val="24"/>
          <w:szCs w:val="24"/>
        </w:rPr>
        <w:t>softened productivity implicati</w:t>
      </w:r>
      <w:r w:rsidR="00180D93" w:rsidRPr="00E378F7">
        <w:rPr>
          <w:rFonts w:ascii="Times New Roman" w:hAnsi="Times New Roman" w:cs="Times New Roman"/>
          <w:sz w:val="24"/>
          <w:szCs w:val="24"/>
        </w:rPr>
        <w:t>ons (Yao, Wu &amp;</w:t>
      </w:r>
      <w:r w:rsidR="009457CB">
        <w:rPr>
          <w:rFonts w:ascii="Times New Roman" w:hAnsi="Times New Roman" w:cs="Times New Roman"/>
          <w:sz w:val="24"/>
          <w:szCs w:val="24"/>
        </w:rPr>
        <w:t xml:space="preserve"> </w:t>
      </w:r>
      <w:r w:rsidR="00180D93" w:rsidRPr="00E378F7">
        <w:rPr>
          <w:rFonts w:ascii="Times New Roman" w:hAnsi="Times New Roman" w:cs="Times New Roman"/>
          <w:sz w:val="24"/>
          <w:szCs w:val="24"/>
        </w:rPr>
        <w:t xml:space="preserve">Kinugasa, 2015). </w:t>
      </w:r>
      <w:r w:rsidRPr="00E378F7">
        <w:rPr>
          <w:rFonts w:ascii="Times New Roman" w:hAnsi="Times New Roman" w:cs="Times New Roman"/>
          <w:sz w:val="24"/>
          <w:szCs w:val="24"/>
        </w:rPr>
        <w:t xml:space="preserve">Generally, emerging markets remain good consumers. As such, firms make strategy plans, smart enough for offering and creating brands for the market and building brand awareness, all of which will result </w:t>
      </w:r>
      <w:r w:rsidR="009457CB">
        <w:rPr>
          <w:rFonts w:ascii="Times New Roman" w:hAnsi="Times New Roman" w:cs="Times New Roman"/>
          <w:sz w:val="24"/>
          <w:szCs w:val="24"/>
        </w:rPr>
        <w:t>in</w:t>
      </w:r>
      <w:r w:rsidR="009457CB" w:rsidRPr="00E378F7">
        <w:rPr>
          <w:rFonts w:ascii="Times New Roman" w:hAnsi="Times New Roman" w:cs="Times New Roman"/>
          <w:sz w:val="24"/>
          <w:szCs w:val="24"/>
        </w:rPr>
        <w:t xml:space="preserve"> </w:t>
      </w:r>
      <w:r w:rsidRPr="00E378F7">
        <w:rPr>
          <w:rFonts w:ascii="Times New Roman" w:hAnsi="Times New Roman" w:cs="Times New Roman"/>
          <w:sz w:val="24"/>
          <w:szCs w:val="24"/>
        </w:rPr>
        <w:t xml:space="preserve">rewards in the long run. This century’s </w:t>
      </w:r>
      <w:r w:rsidR="009457CB" w:rsidRPr="008937B5">
        <w:rPr>
          <w:rFonts w:ascii="Times New Roman" w:hAnsi="Times New Roman" w:cs="Times New Roman"/>
          <w:sz w:val="24"/>
          <w:szCs w:val="24"/>
        </w:rPr>
        <w:t>global economy</w:t>
      </w:r>
      <w:r w:rsidR="009457CB">
        <w:rPr>
          <w:rFonts w:ascii="Times New Roman" w:hAnsi="Times New Roman" w:cs="Times New Roman"/>
          <w:sz w:val="24"/>
          <w:szCs w:val="24"/>
        </w:rPr>
        <w:t>’s</w:t>
      </w:r>
      <w:r w:rsidR="009457CB" w:rsidRPr="00E378F7">
        <w:rPr>
          <w:rFonts w:ascii="Times New Roman" w:hAnsi="Times New Roman" w:cs="Times New Roman"/>
          <w:sz w:val="24"/>
          <w:szCs w:val="24"/>
        </w:rPr>
        <w:t xml:space="preserve"> </w:t>
      </w:r>
      <w:r w:rsidRPr="00E378F7">
        <w:rPr>
          <w:rFonts w:ascii="Times New Roman" w:hAnsi="Times New Roman" w:cs="Times New Roman"/>
          <w:sz w:val="24"/>
          <w:szCs w:val="24"/>
        </w:rPr>
        <w:t>defining feature is the rise of emerging markets. Euro-monitor International report predicted that emer</w:t>
      </w:r>
      <w:r w:rsidR="0026255A" w:rsidRPr="00E378F7">
        <w:rPr>
          <w:rFonts w:ascii="Times New Roman" w:hAnsi="Times New Roman" w:cs="Times New Roman"/>
          <w:sz w:val="24"/>
          <w:szCs w:val="24"/>
        </w:rPr>
        <w:t>ging markets will account for 60</w:t>
      </w:r>
      <w:r w:rsidRPr="00E378F7">
        <w:rPr>
          <w:rFonts w:ascii="Times New Roman" w:hAnsi="Times New Roman" w:cs="Times New Roman"/>
          <w:sz w:val="24"/>
          <w:szCs w:val="24"/>
        </w:rPr>
        <w:t xml:space="preserve">% of economic growth in the world by 2020, three times </w:t>
      </w:r>
      <w:r w:rsidR="009457CB">
        <w:rPr>
          <w:rFonts w:ascii="Times New Roman" w:hAnsi="Times New Roman" w:cs="Times New Roman"/>
          <w:sz w:val="24"/>
          <w:szCs w:val="24"/>
        </w:rPr>
        <w:t>more</w:t>
      </w:r>
      <w:r w:rsidR="009457CB" w:rsidRPr="00E378F7">
        <w:rPr>
          <w:rFonts w:ascii="Times New Roman" w:hAnsi="Times New Roman" w:cs="Times New Roman"/>
          <w:sz w:val="24"/>
          <w:szCs w:val="24"/>
        </w:rPr>
        <w:t xml:space="preserve"> </w:t>
      </w:r>
      <w:r w:rsidRPr="00E378F7">
        <w:rPr>
          <w:rFonts w:ascii="Times New Roman" w:hAnsi="Times New Roman" w:cs="Times New Roman"/>
          <w:sz w:val="24"/>
          <w:szCs w:val="24"/>
        </w:rPr>
        <w:t>than developed ones.</w:t>
      </w:r>
    </w:p>
    <w:p w14:paraId="14316F07" w14:textId="77777777" w:rsidR="002B3324" w:rsidRPr="00E378F7" w:rsidRDefault="002B3324" w:rsidP="008E4E1C">
      <w:pPr>
        <w:spacing w:after="240" w:line="360" w:lineRule="auto"/>
        <w:jc w:val="both"/>
        <w:rPr>
          <w:rFonts w:ascii="Times New Roman" w:hAnsi="Times New Roman" w:cs="Times New Roman"/>
          <w:sz w:val="24"/>
          <w:szCs w:val="24"/>
        </w:rPr>
      </w:pPr>
    </w:p>
    <w:p w14:paraId="477D13EB" w14:textId="77777777" w:rsidR="00180D93" w:rsidRPr="00E378F7" w:rsidRDefault="00180D93" w:rsidP="008E4E1C">
      <w:pPr>
        <w:spacing w:after="0" w:line="360" w:lineRule="auto"/>
        <w:jc w:val="both"/>
        <w:rPr>
          <w:rFonts w:ascii="Times New Roman" w:eastAsia="Times New Roman" w:hAnsi="Times New Roman" w:cs="Times New Roman"/>
          <w:bCs/>
          <w:sz w:val="20"/>
          <w:szCs w:val="20"/>
        </w:rPr>
      </w:pPr>
    </w:p>
    <w:p w14:paraId="032D4523" w14:textId="60991F1F" w:rsidR="006F20DE" w:rsidRPr="00E378F7" w:rsidRDefault="00A51E60" w:rsidP="00122CBB">
      <w:pPr>
        <w:spacing w:after="0" w:line="360" w:lineRule="auto"/>
        <w:ind w:hanging="450"/>
        <w:rPr>
          <w:rFonts w:ascii="Times New Roman" w:eastAsia="Times New Roman" w:hAnsi="Times New Roman" w:cs="Times New Roman"/>
          <w:sz w:val="24"/>
          <w:szCs w:val="24"/>
        </w:rPr>
      </w:pPr>
      <w:r w:rsidRPr="00122CBB">
        <w:rPr>
          <w:rStyle w:val="Heading2Char"/>
        </w:rPr>
        <w:lastRenderedPageBreak/>
        <w:t xml:space="preserve">         </w:t>
      </w:r>
      <w:bookmarkStart w:id="26" w:name="_Toc501031471"/>
      <w:r w:rsidR="00122CBB" w:rsidRPr="00122CBB">
        <w:rPr>
          <w:rStyle w:val="Heading2Char"/>
        </w:rPr>
        <w:t xml:space="preserve">Graph </w:t>
      </w:r>
      <w:r w:rsidR="009C510B" w:rsidRPr="00122CBB">
        <w:rPr>
          <w:rStyle w:val="Heading2Char"/>
        </w:rPr>
        <w:t>4:</w:t>
      </w:r>
      <w:r w:rsidR="00A242A7" w:rsidRPr="00122CBB">
        <w:rPr>
          <w:rStyle w:val="Heading2Char"/>
        </w:rPr>
        <w:t>2</w:t>
      </w:r>
      <w:r w:rsidR="00854FF0" w:rsidRPr="00122CBB">
        <w:rPr>
          <w:rStyle w:val="Heading2Char"/>
        </w:rPr>
        <w:t>.</w:t>
      </w:r>
      <w:r w:rsidR="00122CBB" w:rsidRPr="00122CBB">
        <w:rPr>
          <w:rStyle w:val="Heading2Char"/>
        </w:rPr>
        <w:t xml:space="preserve"> A trend of sampled emerging countries contribution to service sector</w:t>
      </w:r>
      <w:bookmarkEnd w:id="26"/>
      <w:r w:rsidR="006F20DE" w:rsidRPr="00AB1527">
        <w:rPr>
          <w:noProof/>
        </w:rPr>
        <w:drawing>
          <wp:inline distT="0" distB="0" distL="0" distR="0" wp14:anchorId="4E7A462B" wp14:editId="537030DA">
            <wp:extent cx="5235575" cy="3457575"/>
            <wp:effectExtent l="0" t="0" r="3175" b="9525"/>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7AC1F134" w14:textId="77777777" w:rsidR="006F20DE" w:rsidRPr="00E378F7" w:rsidRDefault="006F20DE" w:rsidP="008E4E1C">
      <w:pPr>
        <w:spacing w:after="0" w:line="360" w:lineRule="auto"/>
        <w:ind w:hanging="450"/>
        <w:jc w:val="both"/>
        <w:rPr>
          <w:rFonts w:ascii="Times New Roman" w:eastAsia="Times New Roman" w:hAnsi="Times New Roman" w:cs="Times New Roman"/>
          <w:sz w:val="24"/>
          <w:szCs w:val="24"/>
        </w:rPr>
      </w:pPr>
    </w:p>
    <w:p w14:paraId="7D4F5F82" w14:textId="12CE9B07" w:rsidR="006F20DE" w:rsidRPr="00E378F7" w:rsidRDefault="00A51E60" w:rsidP="008E4E1C">
      <w:pPr>
        <w:spacing w:after="0" w:line="360" w:lineRule="auto"/>
        <w:ind w:hanging="450"/>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r w:rsidR="004A246E" w:rsidRPr="00E378F7">
        <w:rPr>
          <w:rFonts w:ascii="Times New Roman" w:eastAsia="Times New Roman" w:hAnsi="Times New Roman" w:cs="Times New Roman"/>
          <w:sz w:val="20"/>
          <w:szCs w:val="20"/>
        </w:rPr>
        <w:t>Graph 4:3</w:t>
      </w:r>
      <w:r w:rsidR="006F20DE" w:rsidRPr="00E378F7">
        <w:rPr>
          <w:rFonts w:ascii="Times New Roman" w:eastAsia="Times New Roman" w:hAnsi="Times New Roman" w:cs="Times New Roman"/>
          <w:sz w:val="20"/>
          <w:szCs w:val="20"/>
        </w:rPr>
        <w:t xml:space="preserve">: Contribution of </w:t>
      </w:r>
      <w:r w:rsidR="009457CB">
        <w:rPr>
          <w:rFonts w:ascii="Times New Roman" w:eastAsia="Times New Roman" w:hAnsi="Times New Roman" w:cs="Times New Roman"/>
          <w:sz w:val="20"/>
          <w:szCs w:val="20"/>
        </w:rPr>
        <w:t xml:space="preserve">the </w:t>
      </w:r>
      <w:r w:rsidR="006F20DE" w:rsidRPr="00E378F7">
        <w:rPr>
          <w:rFonts w:ascii="Times New Roman" w:eastAsia="Times New Roman" w:hAnsi="Times New Roman" w:cs="Times New Roman"/>
          <w:sz w:val="20"/>
          <w:szCs w:val="20"/>
        </w:rPr>
        <w:t>Service Sector on the GDP of Emerging Countries (1984</w:t>
      </w:r>
      <w:r w:rsidR="009457CB">
        <w:rPr>
          <w:rFonts w:ascii="Times New Roman" w:eastAsia="Times New Roman" w:hAnsi="Times New Roman" w:cs="Times New Roman"/>
          <w:sz w:val="20"/>
          <w:szCs w:val="20"/>
        </w:rPr>
        <w:t>–</w:t>
      </w:r>
      <w:r w:rsidR="006F20DE" w:rsidRPr="00E378F7">
        <w:rPr>
          <w:rFonts w:ascii="Times New Roman" w:eastAsia="Times New Roman" w:hAnsi="Times New Roman" w:cs="Times New Roman"/>
          <w:sz w:val="20"/>
          <w:szCs w:val="20"/>
        </w:rPr>
        <w:t>2013)</w:t>
      </w:r>
    </w:p>
    <w:p w14:paraId="7491FE56" w14:textId="77777777" w:rsidR="0063357E" w:rsidRPr="00E378F7" w:rsidRDefault="0063357E" w:rsidP="008E4E1C">
      <w:pPr>
        <w:spacing w:after="0" w:line="360" w:lineRule="auto"/>
        <w:jc w:val="both"/>
        <w:rPr>
          <w:rFonts w:ascii="Times New Roman" w:eastAsia="Times New Roman" w:hAnsi="Times New Roman" w:cs="Times New Roman"/>
          <w:sz w:val="20"/>
          <w:szCs w:val="20"/>
        </w:rPr>
      </w:pPr>
    </w:p>
    <w:p w14:paraId="192D70E4" w14:textId="57350080" w:rsidR="00AF36FF" w:rsidRPr="00E378F7" w:rsidRDefault="004A4550" w:rsidP="008E4E1C">
      <w:pPr>
        <w:spacing w:after="0" w:line="360" w:lineRule="auto"/>
        <w:jc w:val="both"/>
        <w:rPr>
          <w:rFonts w:ascii="Times New Roman" w:hAnsi="Times New Roman" w:cs="Times New Roman"/>
          <w:sz w:val="24"/>
          <w:szCs w:val="24"/>
        </w:rPr>
      </w:pPr>
      <w:r w:rsidRPr="00E378F7">
        <w:rPr>
          <w:rFonts w:ascii="Times New Roman" w:eastAsia="Times New Roman" w:hAnsi="Times New Roman" w:cs="Times New Roman"/>
          <w:sz w:val="24"/>
          <w:szCs w:val="24"/>
        </w:rPr>
        <w:t xml:space="preserve">The contribution of the service sector </w:t>
      </w:r>
      <w:r w:rsidR="009457CB">
        <w:rPr>
          <w:rFonts w:ascii="Times New Roman" w:eastAsia="Times New Roman" w:hAnsi="Times New Roman" w:cs="Times New Roman"/>
          <w:sz w:val="24"/>
          <w:szCs w:val="24"/>
        </w:rPr>
        <w:t>o</w:t>
      </w:r>
      <w:r w:rsidR="009457CB" w:rsidRPr="00E378F7">
        <w:rPr>
          <w:rFonts w:ascii="Times New Roman" w:eastAsia="Times New Roman" w:hAnsi="Times New Roman" w:cs="Times New Roman"/>
          <w:sz w:val="24"/>
          <w:szCs w:val="24"/>
        </w:rPr>
        <w:t xml:space="preserve">n </w:t>
      </w:r>
      <w:r w:rsidRPr="00E378F7">
        <w:rPr>
          <w:rFonts w:ascii="Times New Roman" w:eastAsia="Times New Roman" w:hAnsi="Times New Roman" w:cs="Times New Roman"/>
          <w:sz w:val="24"/>
          <w:szCs w:val="24"/>
        </w:rPr>
        <w:t>the productivity growth to GDP has increased from 1984 to 2013 for the emerging countries</w:t>
      </w:r>
      <w:r w:rsidRPr="00E378F7">
        <w:rPr>
          <w:rStyle w:val="FootnoteReference"/>
          <w:rFonts w:ascii="Times New Roman" w:eastAsia="Times New Roman" w:hAnsi="Times New Roman" w:cs="Times New Roman"/>
          <w:sz w:val="24"/>
          <w:szCs w:val="24"/>
        </w:rPr>
        <w:footnoteReference w:id="5"/>
      </w:r>
      <w:r w:rsidRPr="00E378F7">
        <w:rPr>
          <w:rFonts w:ascii="Times New Roman" w:eastAsia="Times New Roman" w:hAnsi="Times New Roman" w:cs="Times New Roman"/>
          <w:sz w:val="24"/>
          <w:szCs w:val="24"/>
        </w:rPr>
        <w:t xml:space="preserve"> (see Graphs 4:</w:t>
      </w:r>
      <w:r w:rsidR="00A242A7">
        <w:rPr>
          <w:rFonts w:ascii="Times New Roman" w:eastAsia="Times New Roman" w:hAnsi="Times New Roman" w:cs="Times New Roman"/>
          <w:sz w:val="24"/>
          <w:szCs w:val="24"/>
        </w:rPr>
        <w:t>1</w:t>
      </w:r>
      <w:r w:rsidRPr="00E378F7">
        <w:rPr>
          <w:rFonts w:ascii="Times New Roman" w:eastAsia="Times New Roman" w:hAnsi="Times New Roman" w:cs="Times New Roman"/>
          <w:sz w:val="24"/>
          <w:szCs w:val="24"/>
        </w:rPr>
        <w:t xml:space="preserve"> &amp;</w:t>
      </w:r>
      <w:r w:rsidR="009457CB">
        <w:rPr>
          <w:rFonts w:ascii="Times New Roman" w:eastAsia="Times New Roman" w:hAnsi="Times New Roman" w:cs="Times New Roman"/>
          <w:sz w:val="24"/>
          <w:szCs w:val="24"/>
        </w:rPr>
        <w:t xml:space="preserve"> </w:t>
      </w:r>
      <w:r w:rsidRPr="00E378F7">
        <w:rPr>
          <w:rFonts w:ascii="Times New Roman" w:eastAsia="Times New Roman" w:hAnsi="Times New Roman" w:cs="Times New Roman"/>
          <w:sz w:val="24"/>
          <w:szCs w:val="24"/>
        </w:rPr>
        <w:t>4:</w:t>
      </w:r>
      <w:r w:rsidR="00A242A7">
        <w:rPr>
          <w:rFonts w:ascii="Times New Roman" w:eastAsia="Times New Roman" w:hAnsi="Times New Roman" w:cs="Times New Roman"/>
          <w:sz w:val="24"/>
          <w:szCs w:val="24"/>
        </w:rPr>
        <w:t>2</w:t>
      </w:r>
      <w:r w:rsidRPr="00E378F7">
        <w:rPr>
          <w:rFonts w:ascii="Times New Roman" w:eastAsia="Times New Roman" w:hAnsi="Times New Roman" w:cs="Times New Roman"/>
          <w:sz w:val="24"/>
          <w:szCs w:val="24"/>
        </w:rPr>
        <w:t xml:space="preserve">). This increase can be attributed to major increases in countries such as Brazil, China, Chile, and South Africa. The increased contribution of the service sectors </w:t>
      </w:r>
      <w:r w:rsidR="009457CB">
        <w:rPr>
          <w:rFonts w:ascii="Times New Roman" w:eastAsia="Times New Roman" w:hAnsi="Times New Roman" w:cs="Times New Roman"/>
          <w:sz w:val="24"/>
          <w:szCs w:val="24"/>
        </w:rPr>
        <w:t>to</w:t>
      </w:r>
      <w:r w:rsidR="009457CB" w:rsidRPr="00E378F7">
        <w:rPr>
          <w:rFonts w:ascii="Times New Roman" w:eastAsia="Times New Roman" w:hAnsi="Times New Roman" w:cs="Times New Roman"/>
          <w:sz w:val="24"/>
          <w:szCs w:val="24"/>
        </w:rPr>
        <w:t xml:space="preserve"> </w:t>
      </w:r>
      <w:r w:rsidR="00677D98" w:rsidRPr="00E378F7">
        <w:rPr>
          <w:rFonts w:ascii="Times New Roman" w:eastAsia="Times New Roman" w:hAnsi="Times New Roman" w:cs="Times New Roman"/>
          <w:sz w:val="24"/>
          <w:szCs w:val="24"/>
        </w:rPr>
        <w:t>the productivity growth</w:t>
      </w:r>
      <w:r w:rsidRPr="00E378F7">
        <w:rPr>
          <w:rFonts w:ascii="Times New Roman" w:eastAsia="Times New Roman" w:hAnsi="Times New Roman" w:cs="Times New Roman"/>
          <w:sz w:val="24"/>
          <w:szCs w:val="24"/>
        </w:rPr>
        <w:t xml:space="preserve"> to GDP over the </w:t>
      </w:r>
      <w:r w:rsidR="009457CB">
        <w:rPr>
          <w:rFonts w:ascii="Times New Roman" w:eastAsia="Times New Roman" w:hAnsi="Times New Roman" w:cs="Times New Roman"/>
          <w:sz w:val="24"/>
          <w:szCs w:val="24"/>
        </w:rPr>
        <w:t xml:space="preserve">given </w:t>
      </w:r>
      <w:r w:rsidRPr="00E378F7">
        <w:rPr>
          <w:rFonts w:ascii="Times New Roman" w:eastAsia="Times New Roman" w:hAnsi="Times New Roman" w:cs="Times New Roman"/>
          <w:sz w:val="24"/>
          <w:szCs w:val="24"/>
        </w:rPr>
        <w:t xml:space="preserve">time period is mainly due to </w:t>
      </w:r>
      <w:r w:rsidR="009457CB">
        <w:rPr>
          <w:rFonts w:ascii="Times New Roman" w:eastAsia="Times New Roman" w:hAnsi="Times New Roman" w:cs="Times New Roman"/>
          <w:sz w:val="24"/>
          <w:szCs w:val="24"/>
        </w:rPr>
        <w:t xml:space="preserve">the </w:t>
      </w:r>
      <w:r w:rsidRPr="00E378F7">
        <w:rPr>
          <w:rFonts w:ascii="Times New Roman" w:eastAsia="Times New Roman" w:hAnsi="Times New Roman" w:cs="Times New Roman"/>
          <w:sz w:val="24"/>
          <w:szCs w:val="24"/>
        </w:rPr>
        <w:t xml:space="preserve">emergence of technology and </w:t>
      </w:r>
      <w:r w:rsidR="009457CB">
        <w:rPr>
          <w:rFonts w:ascii="Times New Roman" w:eastAsia="Times New Roman" w:hAnsi="Times New Roman" w:cs="Times New Roman"/>
          <w:sz w:val="24"/>
          <w:szCs w:val="24"/>
        </w:rPr>
        <w:t xml:space="preserve">the </w:t>
      </w:r>
      <w:r w:rsidRPr="00E378F7">
        <w:rPr>
          <w:rFonts w:ascii="Times New Roman" w:eastAsia="Times New Roman" w:hAnsi="Times New Roman" w:cs="Times New Roman"/>
          <w:sz w:val="24"/>
          <w:szCs w:val="24"/>
        </w:rPr>
        <w:t xml:space="preserve">openness of the economy (more specialization and international dependency) </w:t>
      </w:r>
      <w:sdt>
        <w:sdtPr>
          <w:rPr>
            <w:rFonts w:ascii="Times New Roman" w:eastAsia="Times New Roman" w:hAnsi="Times New Roman" w:cs="Times New Roman"/>
            <w:sz w:val="24"/>
            <w:szCs w:val="24"/>
          </w:rPr>
          <w:id w:val="902874070"/>
          <w:citation/>
        </w:sdtPr>
        <w:sdtEndPr/>
        <w:sdtContent>
          <w:r w:rsidRPr="00AB1527">
            <w:rPr>
              <w:rFonts w:ascii="Times New Roman" w:eastAsia="Times New Roman" w:hAnsi="Times New Roman" w:cs="Times New Roman"/>
              <w:sz w:val="24"/>
              <w:szCs w:val="24"/>
            </w:rPr>
            <w:fldChar w:fldCharType="begin"/>
          </w:r>
          <w:r w:rsidRPr="00E378F7">
            <w:rPr>
              <w:rFonts w:ascii="Times New Roman" w:eastAsia="Times New Roman" w:hAnsi="Times New Roman" w:cs="Times New Roman"/>
              <w:sz w:val="24"/>
              <w:szCs w:val="24"/>
            </w:rPr>
            <w:instrText xml:space="preserve"> CITATION Aid14 \l 1033 </w:instrText>
          </w:r>
          <w:r w:rsidRPr="00AB1527">
            <w:rPr>
              <w:rFonts w:ascii="Times New Roman" w:eastAsia="Times New Roman" w:hAnsi="Times New Roman" w:cs="Times New Roman"/>
              <w:sz w:val="24"/>
              <w:szCs w:val="24"/>
            </w:rPr>
            <w:fldChar w:fldCharType="separate"/>
          </w:r>
          <w:r w:rsidRPr="00E378F7">
            <w:rPr>
              <w:rFonts w:ascii="Times New Roman" w:eastAsia="Times New Roman" w:hAnsi="Times New Roman" w:cs="Times New Roman"/>
              <w:noProof/>
              <w:sz w:val="24"/>
              <w:szCs w:val="24"/>
            </w:rPr>
            <w:t>(Abdychev, et al., 2014)</w:t>
          </w:r>
          <w:r w:rsidRPr="00AB1527">
            <w:rPr>
              <w:rFonts w:ascii="Times New Roman" w:eastAsia="Times New Roman" w:hAnsi="Times New Roman" w:cs="Times New Roman"/>
              <w:sz w:val="24"/>
              <w:szCs w:val="24"/>
            </w:rPr>
            <w:fldChar w:fldCharType="end"/>
          </w:r>
        </w:sdtContent>
      </w:sdt>
      <w:r w:rsidRPr="00E378F7">
        <w:rPr>
          <w:rFonts w:ascii="Times New Roman" w:eastAsia="Times New Roman" w:hAnsi="Times New Roman" w:cs="Times New Roman"/>
          <w:sz w:val="24"/>
          <w:szCs w:val="24"/>
        </w:rPr>
        <w:t>.</w:t>
      </w:r>
      <w:r w:rsidR="002151B2" w:rsidRPr="00E378F7">
        <w:rPr>
          <w:rFonts w:ascii="Times New Roman" w:eastAsia="Times New Roman" w:hAnsi="Times New Roman" w:cs="Times New Roman"/>
          <w:sz w:val="24"/>
          <w:szCs w:val="24"/>
        </w:rPr>
        <w:t xml:space="preserve"> During the 1990s in Brazil</w:t>
      </w:r>
      <w:r w:rsidRPr="00E378F7">
        <w:rPr>
          <w:rFonts w:ascii="Times New Roman" w:eastAsia="Times New Roman" w:hAnsi="Times New Roman" w:cs="Times New Roman"/>
          <w:sz w:val="24"/>
          <w:szCs w:val="24"/>
        </w:rPr>
        <w:t xml:space="preserve">, the share of service sector to GDP increased more than other sectors because of </w:t>
      </w:r>
      <w:r w:rsidR="009457CB">
        <w:rPr>
          <w:rFonts w:ascii="Times New Roman" w:eastAsia="Times New Roman" w:hAnsi="Times New Roman" w:cs="Times New Roman"/>
          <w:sz w:val="24"/>
          <w:szCs w:val="24"/>
        </w:rPr>
        <w:t xml:space="preserve">the </w:t>
      </w:r>
      <w:r w:rsidRPr="00E378F7">
        <w:rPr>
          <w:rFonts w:ascii="Times New Roman" w:eastAsia="Times New Roman" w:hAnsi="Times New Roman" w:cs="Times New Roman"/>
          <w:sz w:val="24"/>
          <w:szCs w:val="24"/>
        </w:rPr>
        <w:t xml:space="preserve">industry performance and the growth of the </w:t>
      </w:r>
      <w:r w:rsidR="002151B2" w:rsidRPr="00E378F7">
        <w:rPr>
          <w:rFonts w:ascii="Times New Roman" w:eastAsia="Times New Roman" w:hAnsi="Times New Roman" w:cs="Times New Roman"/>
          <w:sz w:val="24"/>
          <w:szCs w:val="24"/>
        </w:rPr>
        <w:t xml:space="preserve">formal </w:t>
      </w:r>
      <w:r w:rsidR="009457CB">
        <w:rPr>
          <w:rFonts w:ascii="Times New Roman" w:eastAsia="Times New Roman" w:hAnsi="Times New Roman" w:cs="Times New Roman"/>
          <w:sz w:val="24"/>
          <w:szCs w:val="24"/>
        </w:rPr>
        <w:t>and</w:t>
      </w:r>
      <w:r w:rsidR="009457CB" w:rsidRPr="00E378F7">
        <w:rPr>
          <w:rFonts w:ascii="Times New Roman" w:eastAsia="Times New Roman" w:hAnsi="Times New Roman" w:cs="Times New Roman"/>
          <w:sz w:val="24"/>
          <w:szCs w:val="24"/>
        </w:rPr>
        <w:t xml:space="preserve"> </w:t>
      </w:r>
      <w:r w:rsidRPr="00E378F7">
        <w:rPr>
          <w:rFonts w:ascii="Times New Roman" w:eastAsia="Times New Roman" w:hAnsi="Times New Roman" w:cs="Times New Roman"/>
          <w:sz w:val="24"/>
          <w:szCs w:val="24"/>
        </w:rPr>
        <w:t xml:space="preserve">informal </w:t>
      </w:r>
      <w:r w:rsidR="00677D98" w:rsidRPr="00E378F7">
        <w:rPr>
          <w:rFonts w:ascii="Times New Roman" w:eastAsia="Times New Roman" w:hAnsi="Times New Roman" w:cs="Times New Roman"/>
          <w:sz w:val="24"/>
          <w:szCs w:val="24"/>
        </w:rPr>
        <w:t>sectors such as transportation</w:t>
      </w:r>
      <w:r w:rsidR="004A246E" w:rsidRPr="00E378F7">
        <w:rPr>
          <w:rFonts w:ascii="Times New Roman" w:eastAsia="Times New Roman" w:hAnsi="Times New Roman" w:cs="Times New Roman"/>
          <w:sz w:val="24"/>
          <w:szCs w:val="24"/>
        </w:rPr>
        <w:t>,</w:t>
      </w:r>
      <w:r w:rsidR="009457CB">
        <w:rPr>
          <w:rFonts w:ascii="Times New Roman" w:eastAsia="Times New Roman" w:hAnsi="Times New Roman" w:cs="Times New Roman"/>
          <w:sz w:val="24"/>
          <w:szCs w:val="24"/>
        </w:rPr>
        <w:t xml:space="preserve"> </w:t>
      </w:r>
      <w:r w:rsidR="004A246E" w:rsidRPr="00E378F7">
        <w:rPr>
          <w:rFonts w:ascii="Times New Roman" w:eastAsia="Times New Roman" w:hAnsi="Times New Roman" w:cs="Times New Roman"/>
          <w:sz w:val="24"/>
          <w:szCs w:val="24"/>
        </w:rPr>
        <w:t>commerce,</w:t>
      </w:r>
      <w:r w:rsidR="009457CB">
        <w:rPr>
          <w:rFonts w:ascii="Times New Roman" w:eastAsia="Times New Roman" w:hAnsi="Times New Roman" w:cs="Times New Roman"/>
          <w:sz w:val="24"/>
          <w:szCs w:val="24"/>
        </w:rPr>
        <w:t xml:space="preserve"> </w:t>
      </w:r>
      <w:r w:rsidR="004A246E" w:rsidRPr="00E378F7">
        <w:rPr>
          <w:rFonts w:ascii="Times New Roman" w:eastAsia="Times New Roman" w:hAnsi="Times New Roman" w:cs="Times New Roman"/>
          <w:sz w:val="24"/>
          <w:szCs w:val="24"/>
        </w:rPr>
        <w:t>communication</w:t>
      </w:r>
      <w:r w:rsidR="002151B2" w:rsidRPr="00E378F7">
        <w:rPr>
          <w:rFonts w:ascii="Times New Roman" w:eastAsia="Times New Roman" w:hAnsi="Times New Roman" w:cs="Times New Roman"/>
          <w:sz w:val="24"/>
          <w:szCs w:val="24"/>
        </w:rPr>
        <w:t>, professional service</w:t>
      </w:r>
      <w:r w:rsidR="009457CB">
        <w:rPr>
          <w:rFonts w:ascii="Times New Roman" w:eastAsia="Times New Roman" w:hAnsi="Times New Roman" w:cs="Times New Roman"/>
          <w:sz w:val="24"/>
          <w:szCs w:val="24"/>
        </w:rPr>
        <w:t>,</w:t>
      </w:r>
      <w:r w:rsidR="002151B2" w:rsidRPr="00E378F7">
        <w:rPr>
          <w:rFonts w:ascii="Times New Roman" w:eastAsia="Times New Roman" w:hAnsi="Times New Roman" w:cs="Times New Roman"/>
          <w:sz w:val="24"/>
          <w:szCs w:val="24"/>
        </w:rPr>
        <w:t xml:space="preserve"> etc</w:t>
      </w:r>
      <w:r w:rsidRPr="00E378F7">
        <w:rPr>
          <w:rFonts w:ascii="Arial" w:hAnsi="Arial" w:cs="Arial"/>
        </w:rPr>
        <w:t xml:space="preserve">. </w:t>
      </w:r>
      <w:r w:rsidRPr="00E378F7">
        <w:rPr>
          <w:rFonts w:ascii="Times New Roman" w:hAnsi="Times New Roman" w:cs="Times New Roman"/>
          <w:sz w:val="24"/>
          <w:szCs w:val="24"/>
        </w:rPr>
        <w:t xml:space="preserve">The share of the </w:t>
      </w:r>
      <w:r w:rsidR="004A246E" w:rsidRPr="00E378F7">
        <w:rPr>
          <w:rFonts w:ascii="Times New Roman" w:hAnsi="Times New Roman" w:cs="Times New Roman"/>
          <w:sz w:val="24"/>
          <w:szCs w:val="24"/>
        </w:rPr>
        <w:t>services sector</w:t>
      </w:r>
      <w:r w:rsidRPr="00E378F7">
        <w:rPr>
          <w:rFonts w:ascii="Times New Roman" w:hAnsi="Times New Roman" w:cs="Times New Roman"/>
          <w:sz w:val="24"/>
          <w:szCs w:val="24"/>
        </w:rPr>
        <w:t xml:space="preserve"> in the absorption of manpower is also evidence of the recent growth of the informal sector.</w:t>
      </w:r>
      <w:r w:rsidR="00B815C6">
        <w:rPr>
          <w:rFonts w:ascii="Times New Roman" w:hAnsi="Times New Roman" w:cs="Times New Roman"/>
          <w:sz w:val="24"/>
          <w:szCs w:val="24"/>
        </w:rPr>
        <w:t xml:space="preserve"> </w:t>
      </w:r>
      <w:r w:rsidR="002151B2" w:rsidRPr="00E378F7">
        <w:rPr>
          <w:rFonts w:ascii="Times New Roman" w:hAnsi="Times New Roman" w:cs="Times New Roman"/>
          <w:sz w:val="24"/>
          <w:szCs w:val="24"/>
        </w:rPr>
        <w:t>South Africa’s economy was traditionally rooted in the primary sectors</w:t>
      </w:r>
      <w:r w:rsidR="00B815C6">
        <w:rPr>
          <w:rFonts w:ascii="Times New Roman" w:hAnsi="Times New Roman" w:cs="Times New Roman"/>
          <w:sz w:val="24"/>
          <w:szCs w:val="24"/>
        </w:rPr>
        <w:t>—</w:t>
      </w:r>
      <w:r w:rsidR="002151B2" w:rsidRPr="00E378F7">
        <w:rPr>
          <w:rFonts w:ascii="Times New Roman" w:hAnsi="Times New Roman" w:cs="Times New Roman"/>
          <w:sz w:val="24"/>
          <w:szCs w:val="24"/>
        </w:rPr>
        <w:t xml:space="preserve">the result of a wealth of mineral resources and favorable agricultural conditions. But recent decades have seen a </w:t>
      </w:r>
      <w:r w:rsidR="002151B2" w:rsidRPr="00E378F7">
        <w:rPr>
          <w:rFonts w:ascii="Times New Roman" w:hAnsi="Times New Roman" w:cs="Times New Roman"/>
          <w:sz w:val="24"/>
          <w:szCs w:val="24"/>
        </w:rPr>
        <w:lastRenderedPageBreak/>
        <w:t>structural shift in output. Since the early 1990s, economic growth has been driven mainly by the tertiary sector</w:t>
      </w:r>
      <w:r w:rsidR="00B815C6">
        <w:rPr>
          <w:rFonts w:ascii="Times New Roman" w:hAnsi="Times New Roman" w:cs="Times New Roman"/>
          <w:sz w:val="24"/>
          <w:szCs w:val="24"/>
        </w:rPr>
        <w:t>,</w:t>
      </w:r>
      <w:r w:rsidR="002151B2" w:rsidRPr="00E378F7">
        <w:rPr>
          <w:rFonts w:ascii="Times New Roman" w:hAnsi="Times New Roman" w:cs="Times New Roman"/>
          <w:sz w:val="24"/>
          <w:szCs w:val="24"/>
        </w:rPr>
        <w:t xml:space="preserve"> which includes wholesale and retail trade, tourism</w:t>
      </w:r>
      <w:r w:rsidR="00B815C6">
        <w:rPr>
          <w:rFonts w:ascii="Times New Roman" w:hAnsi="Times New Roman" w:cs="Times New Roman"/>
          <w:sz w:val="24"/>
          <w:szCs w:val="24"/>
        </w:rPr>
        <w:t>,</w:t>
      </w:r>
      <w:r w:rsidR="002151B2" w:rsidRPr="00E378F7">
        <w:rPr>
          <w:rFonts w:ascii="Times New Roman" w:hAnsi="Times New Roman" w:cs="Times New Roman"/>
          <w:sz w:val="24"/>
          <w:szCs w:val="24"/>
        </w:rPr>
        <w:t xml:space="preserve"> and communications. </w:t>
      </w:r>
      <w:r w:rsidR="00B815C6">
        <w:rPr>
          <w:rFonts w:ascii="Times New Roman" w:hAnsi="Times New Roman" w:cs="Times New Roman"/>
          <w:sz w:val="24"/>
          <w:szCs w:val="24"/>
        </w:rPr>
        <w:t>Currently,</w:t>
      </w:r>
      <w:r w:rsidR="00B815C6" w:rsidRPr="00E378F7">
        <w:rPr>
          <w:rFonts w:ascii="Times New Roman" w:hAnsi="Times New Roman" w:cs="Times New Roman"/>
          <w:sz w:val="24"/>
          <w:szCs w:val="24"/>
        </w:rPr>
        <w:t xml:space="preserve"> </w:t>
      </w:r>
      <w:r w:rsidR="002151B2" w:rsidRPr="00E378F7">
        <w:rPr>
          <w:rFonts w:ascii="Times New Roman" w:hAnsi="Times New Roman" w:cs="Times New Roman"/>
          <w:sz w:val="24"/>
          <w:szCs w:val="24"/>
        </w:rPr>
        <w:t>South Africa is moving towards becoming a knowledge-based economy, with a greater focus on technology, e-commerce</w:t>
      </w:r>
      <w:r w:rsidR="00B815C6">
        <w:rPr>
          <w:rFonts w:ascii="Times New Roman" w:hAnsi="Times New Roman" w:cs="Times New Roman"/>
          <w:sz w:val="24"/>
          <w:szCs w:val="24"/>
        </w:rPr>
        <w:t>,</w:t>
      </w:r>
      <w:r w:rsidR="002151B2" w:rsidRPr="00E378F7">
        <w:rPr>
          <w:rFonts w:ascii="Times New Roman" w:hAnsi="Times New Roman" w:cs="Times New Roman"/>
          <w:sz w:val="24"/>
          <w:szCs w:val="24"/>
        </w:rPr>
        <w:t xml:space="preserve"> and financial and other services.</w:t>
      </w:r>
    </w:p>
    <w:p w14:paraId="7F50A84D" w14:textId="1285C9A4" w:rsidR="00854FF0" w:rsidRDefault="00AF36FF" w:rsidP="008E4E1C">
      <w:pPr>
        <w:spacing w:after="0" w:line="360" w:lineRule="auto"/>
        <w:jc w:val="both"/>
        <w:rPr>
          <w:rFonts w:ascii="Times New Roman" w:hAnsi="Times New Roman" w:cs="Times New Roman"/>
          <w:sz w:val="24"/>
          <w:szCs w:val="24"/>
        </w:rPr>
      </w:pPr>
      <w:r w:rsidRPr="00E378F7">
        <w:rPr>
          <w:rFonts w:ascii="Times New Roman" w:hAnsi="Times New Roman" w:cs="Times New Roman"/>
          <w:sz w:val="24"/>
          <w:szCs w:val="24"/>
        </w:rPr>
        <w:t xml:space="preserve">During the 1990s, the emerging countries saw the growth of the economies of China and India (at the average </w:t>
      </w:r>
      <w:r w:rsidR="00CF7B35">
        <w:rPr>
          <w:rFonts w:ascii="Times New Roman" w:hAnsi="Times New Roman" w:cs="Times New Roman"/>
          <w:sz w:val="24"/>
          <w:szCs w:val="24"/>
        </w:rPr>
        <w:t>annual rate of 10.2 and 6.2 per</w:t>
      </w:r>
      <w:r w:rsidRPr="00E378F7">
        <w:rPr>
          <w:rFonts w:ascii="Times New Roman" w:hAnsi="Times New Roman" w:cs="Times New Roman"/>
          <w:sz w:val="24"/>
          <w:szCs w:val="24"/>
        </w:rPr>
        <w:t>cent respectively, during the period of 1992</w:t>
      </w:r>
      <w:r w:rsidR="00B815C6">
        <w:rPr>
          <w:rFonts w:ascii="Times New Roman" w:hAnsi="Times New Roman" w:cs="Times New Roman"/>
          <w:sz w:val="24"/>
          <w:szCs w:val="24"/>
        </w:rPr>
        <w:t>–</w:t>
      </w:r>
      <w:r w:rsidRPr="00E378F7">
        <w:rPr>
          <w:rFonts w:ascii="Times New Roman" w:hAnsi="Times New Roman" w:cs="Times New Roman"/>
          <w:sz w:val="24"/>
          <w:szCs w:val="24"/>
        </w:rPr>
        <w:t>2005)</w:t>
      </w:r>
      <w:r w:rsidRPr="00E378F7">
        <w:rPr>
          <w:rStyle w:val="FootnoteReference"/>
          <w:rFonts w:ascii="Times New Roman" w:hAnsi="Times New Roman" w:cs="Times New Roman"/>
          <w:sz w:val="24"/>
          <w:szCs w:val="24"/>
        </w:rPr>
        <w:footnoteReference w:id="6"/>
      </w:r>
      <w:r w:rsidR="00B815C6">
        <w:rPr>
          <w:rFonts w:ascii="Times New Roman" w:hAnsi="Times New Roman" w:cs="Times New Roman"/>
          <w:sz w:val="24"/>
          <w:szCs w:val="24"/>
        </w:rPr>
        <w:t>.</w:t>
      </w:r>
      <w:r w:rsidRPr="00E378F7">
        <w:rPr>
          <w:rFonts w:ascii="Times New Roman" w:hAnsi="Times New Roman" w:cs="Times New Roman"/>
          <w:sz w:val="24"/>
          <w:szCs w:val="24"/>
        </w:rPr>
        <w:t xml:space="preserve"> Associated with this growth is the dramatic development of the service sectors in the two Asian giants. However, a comparison of the economic structure in China and India demonstrates that the role of the service sector (or the tertiary sector as it is known in China) in the two economies is very different (see </w:t>
      </w:r>
      <w:r w:rsidR="004A246E" w:rsidRPr="00E378F7">
        <w:rPr>
          <w:rFonts w:ascii="Times New Roman" w:hAnsi="Times New Roman" w:cs="Times New Roman"/>
          <w:sz w:val="24"/>
          <w:szCs w:val="24"/>
        </w:rPr>
        <w:t>Graph 4:3</w:t>
      </w:r>
      <w:r w:rsidRPr="00E378F7">
        <w:rPr>
          <w:rFonts w:ascii="Times New Roman" w:hAnsi="Times New Roman" w:cs="Times New Roman"/>
          <w:sz w:val="24"/>
          <w:szCs w:val="24"/>
        </w:rPr>
        <w:t xml:space="preserve"> above). On the one hand, the service sector has become the dominant contributor to the Indian econom</w:t>
      </w:r>
      <w:r w:rsidR="00677D98" w:rsidRPr="00E378F7">
        <w:rPr>
          <w:rFonts w:ascii="Times New Roman" w:hAnsi="Times New Roman" w:cs="Times New Roman"/>
          <w:sz w:val="24"/>
          <w:szCs w:val="24"/>
        </w:rPr>
        <w:t xml:space="preserve">y, accounting for 54.2 % </w:t>
      </w:r>
      <w:r w:rsidRPr="00E378F7">
        <w:rPr>
          <w:rFonts w:ascii="Times New Roman" w:hAnsi="Times New Roman" w:cs="Times New Roman"/>
          <w:sz w:val="24"/>
          <w:szCs w:val="24"/>
        </w:rPr>
        <w:t>of</w:t>
      </w:r>
      <w:r w:rsidR="00677D98" w:rsidRPr="00E378F7">
        <w:rPr>
          <w:rFonts w:ascii="Times New Roman" w:hAnsi="Times New Roman" w:cs="Times New Roman"/>
          <w:sz w:val="24"/>
          <w:szCs w:val="24"/>
        </w:rPr>
        <w:t xml:space="preserve"> the</w:t>
      </w:r>
      <w:r w:rsidRPr="00E378F7">
        <w:rPr>
          <w:rFonts w:ascii="Times New Roman" w:hAnsi="Times New Roman" w:cs="Times New Roman"/>
          <w:sz w:val="24"/>
          <w:szCs w:val="24"/>
        </w:rPr>
        <w:t xml:space="preserve"> GDP in 2004</w:t>
      </w:r>
      <w:r w:rsidRPr="00E378F7">
        <w:rPr>
          <w:rStyle w:val="FootnoteReference"/>
          <w:rFonts w:ascii="Times New Roman" w:hAnsi="Times New Roman" w:cs="Times New Roman"/>
          <w:sz w:val="24"/>
          <w:szCs w:val="24"/>
        </w:rPr>
        <w:footnoteReference w:id="7"/>
      </w:r>
      <w:r w:rsidR="00B815C6">
        <w:rPr>
          <w:rFonts w:ascii="Times New Roman" w:hAnsi="Times New Roman" w:cs="Times New Roman"/>
          <w:sz w:val="24"/>
          <w:szCs w:val="24"/>
        </w:rPr>
        <w:t>.</w:t>
      </w:r>
      <w:r w:rsidRPr="00E378F7">
        <w:rPr>
          <w:rFonts w:ascii="Times New Roman" w:hAnsi="Times New Roman" w:cs="Times New Roman"/>
          <w:sz w:val="24"/>
          <w:szCs w:val="24"/>
        </w:rPr>
        <w:t xml:space="preserve"> The success </w:t>
      </w:r>
      <w:r w:rsidR="00B815C6">
        <w:rPr>
          <w:rFonts w:ascii="Times New Roman" w:hAnsi="Times New Roman" w:cs="Times New Roman"/>
          <w:sz w:val="24"/>
          <w:szCs w:val="24"/>
        </w:rPr>
        <w:t>of</w:t>
      </w:r>
      <w:r w:rsidR="00B815C6" w:rsidRPr="00E378F7">
        <w:rPr>
          <w:rFonts w:ascii="Times New Roman" w:hAnsi="Times New Roman" w:cs="Times New Roman"/>
          <w:sz w:val="24"/>
          <w:szCs w:val="24"/>
        </w:rPr>
        <w:t xml:space="preserve"> </w:t>
      </w:r>
      <w:r w:rsidRPr="00E378F7">
        <w:rPr>
          <w:rFonts w:ascii="Times New Roman" w:hAnsi="Times New Roman" w:cs="Times New Roman"/>
          <w:sz w:val="24"/>
          <w:szCs w:val="24"/>
        </w:rPr>
        <w:t>this sector is regarded as “India’s services revolution” (Gordon and Gupta</w:t>
      </w:r>
      <w:r w:rsidR="00B815C6">
        <w:rPr>
          <w:rFonts w:ascii="Times New Roman" w:hAnsi="Times New Roman" w:cs="Times New Roman"/>
          <w:sz w:val="24"/>
          <w:szCs w:val="24"/>
        </w:rPr>
        <w:t>,</w:t>
      </w:r>
      <w:r w:rsidRPr="00E378F7">
        <w:rPr>
          <w:rFonts w:ascii="Times New Roman" w:hAnsi="Times New Roman" w:cs="Times New Roman"/>
          <w:sz w:val="24"/>
          <w:szCs w:val="24"/>
        </w:rPr>
        <w:t xml:space="preserve"> 2004). On the other hand, China’s service sector has lagged well behind the manufacturing sector (or the secondary sector according to Chinese terminology), and its role in the economy improved slightly in the last fifteen years when the Chinese economy achieved its best performance in recent history.</w:t>
      </w:r>
      <w:r w:rsidR="004A246E" w:rsidRPr="00E378F7">
        <w:rPr>
          <w:rFonts w:ascii="Times New Roman" w:hAnsi="Times New Roman" w:cs="Times New Roman"/>
          <w:sz w:val="24"/>
          <w:szCs w:val="24"/>
        </w:rPr>
        <w:t xml:space="preserve"> </w:t>
      </w:r>
      <w:r w:rsidR="004A4550" w:rsidRPr="00E378F7">
        <w:rPr>
          <w:rFonts w:ascii="Times New Roman" w:hAnsi="Times New Roman" w:cs="Times New Roman"/>
          <w:sz w:val="24"/>
          <w:szCs w:val="24"/>
        </w:rPr>
        <w:t xml:space="preserve">Emerging markets </w:t>
      </w:r>
      <w:r w:rsidR="00B815C6">
        <w:rPr>
          <w:rFonts w:ascii="Times New Roman" w:hAnsi="Times New Roman" w:cs="Times New Roman"/>
          <w:sz w:val="24"/>
          <w:szCs w:val="24"/>
        </w:rPr>
        <w:t xml:space="preserve">have </w:t>
      </w:r>
      <w:r w:rsidR="004A4550" w:rsidRPr="00E378F7">
        <w:rPr>
          <w:rFonts w:ascii="Times New Roman" w:hAnsi="Times New Roman" w:cs="Times New Roman"/>
          <w:sz w:val="24"/>
          <w:szCs w:val="24"/>
        </w:rPr>
        <w:t xml:space="preserve">experienced a shift in the productivity patterns from manufacturing to service sector over the years. A modest labor productivity growth in the year 2013 indicate </w:t>
      </w:r>
      <w:r w:rsidR="00B815C6">
        <w:rPr>
          <w:rFonts w:ascii="Times New Roman" w:hAnsi="Times New Roman" w:cs="Times New Roman"/>
          <w:sz w:val="24"/>
          <w:szCs w:val="24"/>
        </w:rPr>
        <w:t xml:space="preserve">that </w:t>
      </w:r>
      <w:r w:rsidR="004A4550" w:rsidRPr="00E378F7">
        <w:rPr>
          <w:rFonts w:ascii="Times New Roman" w:hAnsi="Times New Roman" w:cs="Times New Roman"/>
          <w:sz w:val="24"/>
          <w:szCs w:val="24"/>
        </w:rPr>
        <w:t>the employment and output growth rate were largely unchanged.</w:t>
      </w:r>
    </w:p>
    <w:p w14:paraId="309CCB4F" w14:textId="1F8F8770" w:rsidR="00B07290" w:rsidRDefault="00B07290" w:rsidP="008E4E1C">
      <w:pPr>
        <w:spacing w:after="0" w:line="360" w:lineRule="auto"/>
        <w:jc w:val="both"/>
        <w:rPr>
          <w:rFonts w:ascii="Times New Roman" w:hAnsi="Times New Roman" w:cs="Times New Roman"/>
          <w:sz w:val="24"/>
          <w:szCs w:val="24"/>
        </w:rPr>
      </w:pPr>
    </w:p>
    <w:p w14:paraId="604BA309" w14:textId="37B02816" w:rsidR="00B07290" w:rsidRDefault="00B07290" w:rsidP="008E4E1C">
      <w:pPr>
        <w:spacing w:after="0" w:line="360" w:lineRule="auto"/>
        <w:jc w:val="both"/>
        <w:rPr>
          <w:rFonts w:ascii="Times New Roman" w:hAnsi="Times New Roman" w:cs="Times New Roman"/>
          <w:sz w:val="24"/>
          <w:szCs w:val="24"/>
        </w:rPr>
      </w:pPr>
    </w:p>
    <w:p w14:paraId="7BFE94CD" w14:textId="65885F9A" w:rsidR="00B07290" w:rsidRDefault="00B07290" w:rsidP="008E4E1C">
      <w:pPr>
        <w:spacing w:after="0" w:line="360" w:lineRule="auto"/>
        <w:jc w:val="both"/>
        <w:rPr>
          <w:rFonts w:ascii="Times New Roman" w:hAnsi="Times New Roman" w:cs="Times New Roman"/>
          <w:sz w:val="24"/>
          <w:szCs w:val="24"/>
        </w:rPr>
      </w:pPr>
    </w:p>
    <w:p w14:paraId="3BC8822B" w14:textId="77777777" w:rsidR="00B07290" w:rsidRPr="00122CBB" w:rsidRDefault="00B07290" w:rsidP="00122CBB">
      <w:pPr>
        <w:pStyle w:val="Heading2"/>
        <w:jc w:val="both"/>
        <w:rPr>
          <w:szCs w:val="24"/>
        </w:rPr>
      </w:pPr>
    </w:p>
    <w:p w14:paraId="2CAA895B" w14:textId="0DD45CE4" w:rsidR="006F20DE" w:rsidRPr="00122CBB" w:rsidRDefault="00122CBB" w:rsidP="00122CBB">
      <w:pPr>
        <w:pStyle w:val="Heading2"/>
        <w:jc w:val="both"/>
        <w:rPr>
          <w:rFonts w:eastAsia="Times New Roman"/>
          <w:b w:val="0"/>
          <w:color w:val="000000" w:themeColor="text1"/>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bookmarkStart w:id="27" w:name="_Toc501031472"/>
      <w:r w:rsidRPr="00122CBB">
        <w:rPr>
          <w:rFonts w:eastAsia="Times New Roman"/>
          <w:b w:val="0"/>
          <w:color w:val="000000" w:themeColor="text1"/>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Graph 4:3.</w:t>
      </w:r>
      <w:r w:rsidRPr="00122CBB">
        <w:rPr>
          <w:rFonts w:eastAsia="Times New Roman"/>
          <w:b w:val="0"/>
          <w:bCs/>
          <w:color w:val="000000" w:themeColor="text1"/>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A trend of sample emerging countries’ contribution to the manufacturing sector</w:t>
      </w:r>
      <w:bookmarkEnd w:id="27"/>
    </w:p>
    <w:p w14:paraId="25643550" w14:textId="77777777" w:rsidR="006F20DE" w:rsidRPr="00E378F7" w:rsidRDefault="006F20DE" w:rsidP="008E4E1C">
      <w:pPr>
        <w:spacing w:after="0" w:line="360" w:lineRule="auto"/>
        <w:ind w:hanging="450"/>
        <w:jc w:val="both"/>
        <w:rPr>
          <w:rFonts w:ascii="Times New Roman" w:eastAsia="Times New Roman" w:hAnsi="Times New Roman" w:cs="Times New Roman"/>
          <w:sz w:val="24"/>
          <w:szCs w:val="24"/>
        </w:rPr>
      </w:pPr>
      <w:r w:rsidRPr="00AB1527">
        <w:rPr>
          <w:noProof/>
        </w:rPr>
        <w:drawing>
          <wp:inline distT="0" distB="0" distL="0" distR="0" wp14:anchorId="6F5B8E39" wp14:editId="6D5436B5">
            <wp:extent cx="5607050" cy="3119120"/>
            <wp:effectExtent l="0" t="0" r="12700" b="508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5E319B57" w14:textId="77777777" w:rsidR="00122CBB" w:rsidRDefault="00122CBB" w:rsidP="00122CBB">
      <w:pPr>
        <w:pStyle w:val="Heading2"/>
        <w:rPr>
          <w:rFonts w:eastAsia="Times New Roman" w:cs="Times New Roman"/>
          <w:b w:val="0"/>
          <w:szCs w:val="24"/>
        </w:rPr>
      </w:pPr>
    </w:p>
    <w:p w14:paraId="00979AD5" w14:textId="7CD07377" w:rsidR="006F20DE" w:rsidRPr="00122CBB" w:rsidRDefault="00A51E60" w:rsidP="00122CBB">
      <w:pPr>
        <w:pStyle w:val="Heading2"/>
        <w:rPr>
          <w:rFonts w:eastAsia="Times New Roman"/>
          <w:b w:val="0"/>
          <w:color w:val="000000" w:themeColor="text1"/>
          <w:sz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122CBB">
        <w:rPr>
          <w:rFonts w:eastAsia="Times New Roman"/>
          <w:b w:val="0"/>
          <w:color w:val="000000" w:themeColor="text1"/>
          <w:sz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bookmarkStart w:id="28" w:name="_Toc501031473"/>
      <w:r w:rsidR="009C510B" w:rsidRPr="00122CBB">
        <w:rPr>
          <w:rFonts w:eastAsia="Times New Roman"/>
          <w:b w:val="0"/>
          <w:color w:val="000000" w:themeColor="text1"/>
          <w:sz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Graph 4:</w:t>
      </w:r>
      <w:r w:rsidR="004A246E" w:rsidRPr="00122CBB">
        <w:rPr>
          <w:rFonts w:eastAsia="Times New Roman"/>
          <w:b w:val="0"/>
          <w:color w:val="000000" w:themeColor="text1"/>
          <w:sz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4</w:t>
      </w:r>
      <w:r w:rsidR="006F20DE" w:rsidRPr="00122CBB">
        <w:rPr>
          <w:rFonts w:eastAsia="Times New Roman"/>
          <w:b w:val="0"/>
          <w:color w:val="000000" w:themeColor="text1"/>
          <w:sz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Contribution of </w:t>
      </w:r>
      <w:r w:rsidR="00B815C6" w:rsidRPr="00122CBB">
        <w:rPr>
          <w:rFonts w:eastAsia="Times New Roman"/>
          <w:b w:val="0"/>
          <w:color w:val="000000" w:themeColor="text1"/>
          <w:sz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the </w:t>
      </w:r>
      <w:r w:rsidR="006F20DE" w:rsidRPr="00122CBB">
        <w:rPr>
          <w:rFonts w:eastAsia="Times New Roman"/>
          <w:b w:val="0"/>
          <w:color w:val="000000" w:themeColor="text1"/>
          <w:sz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Manufacturing Sector on the GDP of Emerging Countries (1984</w:t>
      </w:r>
      <w:r w:rsidR="00B815C6" w:rsidRPr="00122CBB">
        <w:rPr>
          <w:rFonts w:eastAsia="Times New Roman"/>
          <w:b w:val="0"/>
          <w:color w:val="000000" w:themeColor="text1"/>
          <w:sz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r w:rsidR="006F20DE" w:rsidRPr="00122CBB">
        <w:rPr>
          <w:rFonts w:eastAsia="Times New Roman"/>
          <w:b w:val="0"/>
          <w:color w:val="000000" w:themeColor="text1"/>
          <w:sz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2013)</w:t>
      </w:r>
      <w:bookmarkEnd w:id="28"/>
    </w:p>
    <w:p w14:paraId="63E44F7B" w14:textId="77777777" w:rsidR="00AC1F90" w:rsidRPr="00E378F7" w:rsidRDefault="00AC1F90" w:rsidP="008E4E1C">
      <w:pPr>
        <w:spacing w:after="0" w:line="360" w:lineRule="auto"/>
        <w:jc w:val="both"/>
        <w:rPr>
          <w:rFonts w:ascii="Times New Roman" w:eastAsia="Times New Roman" w:hAnsi="Times New Roman" w:cs="Times New Roman"/>
          <w:sz w:val="20"/>
          <w:szCs w:val="20"/>
        </w:rPr>
      </w:pPr>
    </w:p>
    <w:p w14:paraId="48CA021E" w14:textId="330949B6" w:rsidR="00AC1F90" w:rsidRPr="00E378F7" w:rsidRDefault="00AC1F90" w:rsidP="008E4E1C">
      <w:pPr>
        <w:spacing w:after="0" w:line="360" w:lineRule="auto"/>
        <w:jc w:val="both"/>
        <w:rPr>
          <w:rFonts w:ascii="Times New Roman" w:eastAsia="Times New Roman" w:hAnsi="Times New Roman" w:cs="Times New Roman"/>
          <w:sz w:val="24"/>
          <w:szCs w:val="24"/>
        </w:rPr>
      </w:pPr>
      <w:bookmarkStart w:id="29" w:name="_GoBack"/>
      <w:bookmarkEnd w:id="29"/>
      <w:r w:rsidRPr="00B815C6">
        <w:rPr>
          <w:rFonts w:ascii="Times New Roman" w:eastAsia="Times New Roman" w:hAnsi="Times New Roman" w:cs="Times New Roman"/>
          <w:sz w:val="24"/>
          <w:szCs w:val="24"/>
        </w:rPr>
        <w:t xml:space="preserve">The contribution of </w:t>
      </w:r>
      <w:r w:rsidR="00B815C6">
        <w:rPr>
          <w:rFonts w:ascii="Times New Roman" w:eastAsia="Times New Roman" w:hAnsi="Times New Roman" w:cs="Times New Roman"/>
          <w:sz w:val="24"/>
          <w:szCs w:val="24"/>
        </w:rPr>
        <w:t xml:space="preserve">the </w:t>
      </w:r>
      <w:r w:rsidRPr="00E378F7">
        <w:rPr>
          <w:rFonts w:ascii="Times New Roman" w:eastAsia="Times New Roman" w:hAnsi="Times New Roman" w:cs="Times New Roman"/>
          <w:sz w:val="24"/>
          <w:szCs w:val="24"/>
        </w:rPr>
        <w:t xml:space="preserve">manufacturing sector is almost flat than the agriculture sector. Although, </w:t>
      </w:r>
      <w:r w:rsidR="00B815C6">
        <w:rPr>
          <w:rFonts w:ascii="Times New Roman" w:eastAsia="Times New Roman" w:hAnsi="Times New Roman" w:cs="Times New Roman"/>
          <w:sz w:val="24"/>
          <w:szCs w:val="24"/>
        </w:rPr>
        <w:t>in</w:t>
      </w:r>
      <w:r w:rsidR="00B815C6" w:rsidRPr="00E378F7">
        <w:rPr>
          <w:rFonts w:ascii="Times New Roman" w:eastAsia="Times New Roman" w:hAnsi="Times New Roman" w:cs="Times New Roman"/>
          <w:sz w:val="24"/>
          <w:szCs w:val="24"/>
        </w:rPr>
        <w:t xml:space="preserve"> </w:t>
      </w:r>
      <w:r w:rsidRPr="00E378F7">
        <w:rPr>
          <w:rFonts w:ascii="Times New Roman" w:eastAsia="Times New Roman" w:hAnsi="Times New Roman" w:cs="Times New Roman"/>
          <w:sz w:val="24"/>
          <w:szCs w:val="24"/>
        </w:rPr>
        <w:t>most countries</w:t>
      </w:r>
      <w:r w:rsidR="00B815C6">
        <w:rPr>
          <w:rFonts w:ascii="Times New Roman" w:eastAsia="Times New Roman" w:hAnsi="Times New Roman" w:cs="Times New Roman"/>
          <w:sz w:val="24"/>
          <w:szCs w:val="24"/>
        </w:rPr>
        <w:t>,</w:t>
      </w:r>
      <w:r w:rsidRPr="00E378F7">
        <w:rPr>
          <w:rFonts w:ascii="Times New Roman" w:eastAsia="Times New Roman" w:hAnsi="Times New Roman" w:cs="Times New Roman"/>
          <w:sz w:val="24"/>
          <w:szCs w:val="24"/>
        </w:rPr>
        <w:t xml:space="preserve"> both the contribution of </w:t>
      </w:r>
      <w:r w:rsidR="00B815C6">
        <w:rPr>
          <w:rFonts w:ascii="Times New Roman" w:eastAsia="Times New Roman" w:hAnsi="Times New Roman" w:cs="Times New Roman"/>
          <w:sz w:val="24"/>
          <w:szCs w:val="24"/>
        </w:rPr>
        <w:t xml:space="preserve">the </w:t>
      </w:r>
      <w:r w:rsidRPr="00E378F7">
        <w:rPr>
          <w:rFonts w:ascii="Times New Roman" w:eastAsia="Times New Roman" w:hAnsi="Times New Roman" w:cs="Times New Roman"/>
          <w:sz w:val="24"/>
          <w:szCs w:val="24"/>
        </w:rPr>
        <w:t xml:space="preserve">manufacturing sector and agriculture sector on GDP have decreased. The rate of decline of the contribution of </w:t>
      </w:r>
      <w:r w:rsidR="00B815C6">
        <w:rPr>
          <w:rFonts w:ascii="Times New Roman" w:eastAsia="Times New Roman" w:hAnsi="Times New Roman" w:cs="Times New Roman"/>
          <w:sz w:val="24"/>
          <w:szCs w:val="24"/>
        </w:rPr>
        <w:t xml:space="preserve">the </w:t>
      </w:r>
      <w:r w:rsidRPr="00E378F7">
        <w:rPr>
          <w:rFonts w:ascii="Times New Roman" w:eastAsia="Times New Roman" w:hAnsi="Times New Roman" w:cs="Times New Roman"/>
          <w:sz w:val="24"/>
          <w:szCs w:val="24"/>
        </w:rPr>
        <w:t xml:space="preserve">manufacturing sector </w:t>
      </w:r>
      <w:r w:rsidR="00B815C6">
        <w:rPr>
          <w:rFonts w:ascii="Times New Roman" w:eastAsia="Times New Roman" w:hAnsi="Times New Roman" w:cs="Times New Roman"/>
          <w:sz w:val="24"/>
          <w:szCs w:val="24"/>
        </w:rPr>
        <w:t>on</w:t>
      </w:r>
      <w:r w:rsidR="00B815C6" w:rsidRPr="00E378F7">
        <w:rPr>
          <w:rFonts w:ascii="Times New Roman" w:eastAsia="Times New Roman" w:hAnsi="Times New Roman" w:cs="Times New Roman"/>
          <w:sz w:val="24"/>
          <w:szCs w:val="24"/>
        </w:rPr>
        <w:t xml:space="preserve"> </w:t>
      </w:r>
      <w:r w:rsidRPr="00E378F7">
        <w:rPr>
          <w:rFonts w:ascii="Times New Roman" w:eastAsia="Times New Roman" w:hAnsi="Times New Roman" w:cs="Times New Roman"/>
          <w:sz w:val="24"/>
          <w:szCs w:val="24"/>
        </w:rPr>
        <w:t xml:space="preserve">GDP </w:t>
      </w:r>
      <w:r w:rsidR="00B815C6">
        <w:rPr>
          <w:rFonts w:ascii="Times New Roman" w:eastAsia="Times New Roman" w:hAnsi="Times New Roman" w:cs="Times New Roman"/>
          <w:sz w:val="24"/>
          <w:szCs w:val="24"/>
        </w:rPr>
        <w:t xml:space="preserve">is </w:t>
      </w:r>
      <w:r w:rsidRPr="00E378F7">
        <w:rPr>
          <w:rFonts w:ascii="Times New Roman" w:eastAsia="Times New Roman" w:hAnsi="Times New Roman" w:cs="Times New Roman"/>
          <w:sz w:val="24"/>
          <w:szCs w:val="24"/>
        </w:rPr>
        <w:t xml:space="preserve">also </w:t>
      </w:r>
      <w:r w:rsidR="00B815C6">
        <w:rPr>
          <w:rFonts w:ascii="Times New Roman" w:eastAsia="Times New Roman" w:hAnsi="Times New Roman" w:cs="Times New Roman"/>
          <w:sz w:val="24"/>
          <w:szCs w:val="24"/>
        </w:rPr>
        <w:t xml:space="preserve">the </w:t>
      </w:r>
      <w:r w:rsidRPr="00E378F7">
        <w:rPr>
          <w:rFonts w:ascii="Times New Roman" w:eastAsia="Times New Roman" w:hAnsi="Times New Roman" w:cs="Times New Roman"/>
          <w:sz w:val="24"/>
          <w:szCs w:val="24"/>
        </w:rPr>
        <w:t xml:space="preserve">lowest for China. The manufacturing sector of China is still good due to </w:t>
      </w:r>
      <w:r w:rsidR="00B815C6">
        <w:rPr>
          <w:rFonts w:ascii="Times New Roman" w:eastAsia="Times New Roman" w:hAnsi="Times New Roman" w:cs="Times New Roman"/>
          <w:sz w:val="24"/>
          <w:szCs w:val="24"/>
        </w:rPr>
        <w:t xml:space="preserve">an </w:t>
      </w:r>
      <w:r w:rsidRPr="00E378F7">
        <w:rPr>
          <w:rFonts w:ascii="Times New Roman" w:eastAsia="Times New Roman" w:hAnsi="Times New Roman" w:cs="Times New Roman"/>
          <w:sz w:val="24"/>
          <w:szCs w:val="24"/>
        </w:rPr>
        <w:t xml:space="preserve">endowment of factors of production, and high technological capacities </w:t>
      </w:r>
      <w:sdt>
        <w:sdtPr>
          <w:rPr>
            <w:rFonts w:ascii="Times New Roman" w:eastAsia="Times New Roman" w:hAnsi="Times New Roman" w:cs="Times New Roman"/>
            <w:sz w:val="24"/>
            <w:szCs w:val="24"/>
          </w:rPr>
          <w:id w:val="926238767"/>
          <w:citation/>
        </w:sdtPr>
        <w:sdtEndPr/>
        <w:sdtContent>
          <w:r w:rsidRPr="00AB1527">
            <w:rPr>
              <w:rFonts w:ascii="Times New Roman" w:eastAsia="Times New Roman" w:hAnsi="Times New Roman" w:cs="Times New Roman"/>
              <w:sz w:val="24"/>
              <w:szCs w:val="24"/>
            </w:rPr>
            <w:fldChar w:fldCharType="begin"/>
          </w:r>
          <w:r w:rsidRPr="00E378F7">
            <w:rPr>
              <w:rFonts w:ascii="Times New Roman" w:eastAsia="Times New Roman" w:hAnsi="Times New Roman" w:cs="Times New Roman"/>
              <w:sz w:val="24"/>
              <w:szCs w:val="24"/>
            </w:rPr>
            <w:instrText xml:space="preserve"> CITATION Aid14 \l 1033 </w:instrText>
          </w:r>
          <w:r w:rsidRPr="00AB1527">
            <w:rPr>
              <w:rFonts w:ascii="Times New Roman" w:eastAsia="Times New Roman" w:hAnsi="Times New Roman" w:cs="Times New Roman"/>
              <w:sz w:val="24"/>
              <w:szCs w:val="24"/>
            </w:rPr>
            <w:fldChar w:fldCharType="separate"/>
          </w:r>
          <w:r w:rsidRPr="00E378F7">
            <w:rPr>
              <w:rFonts w:ascii="Times New Roman" w:eastAsia="Times New Roman" w:hAnsi="Times New Roman" w:cs="Times New Roman"/>
              <w:noProof/>
              <w:sz w:val="24"/>
              <w:szCs w:val="24"/>
            </w:rPr>
            <w:t>(Abdychev, et al., 2014)</w:t>
          </w:r>
          <w:r w:rsidRPr="00AB1527">
            <w:rPr>
              <w:rFonts w:ascii="Times New Roman" w:eastAsia="Times New Roman" w:hAnsi="Times New Roman" w:cs="Times New Roman"/>
              <w:sz w:val="24"/>
              <w:szCs w:val="24"/>
            </w:rPr>
            <w:fldChar w:fldCharType="end"/>
          </w:r>
        </w:sdtContent>
      </w:sdt>
      <w:r w:rsidRPr="00E378F7">
        <w:rPr>
          <w:rFonts w:ascii="Times New Roman" w:eastAsia="Times New Roman" w:hAnsi="Times New Roman" w:cs="Times New Roman"/>
          <w:sz w:val="24"/>
          <w:szCs w:val="24"/>
        </w:rPr>
        <w:t>.</w:t>
      </w:r>
    </w:p>
    <w:p w14:paraId="08C009F9" w14:textId="065D9AB2" w:rsidR="00AF59F2" w:rsidRPr="00E378F7" w:rsidRDefault="00AC1F90" w:rsidP="008E4E1C">
      <w:pPr>
        <w:spacing w:after="0" w:line="360" w:lineRule="auto"/>
        <w:jc w:val="both"/>
        <w:rPr>
          <w:rFonts w:ascii="Times New Roman" w:hAnsi="Times New Roman" w:cs="Times New Roman"/>
          <w:sz w:val="24"/>
          <w:szCs w:val="24"/>
        </w:rPr>
      </w:pPr>
      <w:r w:rsidRPr="00E378F7">
        <w:rPr>
          <w:rFonts w:ascii="Times New Roman" w:hAnsi="Times New Roman" w:cs="Times New Roman"/>
          <w:sz w:val="24"/>
          <w:szCs w:val="24"/>
        </w:rPr>
        <w:t>The highest dropped of</w:t>
      </w:r>
      <w:r w:rsidR="003B2BF6">
        <w:rPr>
          <w:rFonts w:ascii="Times New Roman" w:hAnsi="Times New Roman" w:cs="Times New Roman"/>
          <w:sz w:val="24"/>
          <w:szCs w:val="24"/>
        </w:rPr>
        <w:t>f</w:t>
      </w:r>
      <w:r w:rsidRPr="00E378F7">
        <w:rPr>
          <w:rFonts w:ascii="Times New Roman" w:hAnsi="Times New Roman" w:cs="Times New Roman"/>
          <w:sz w:val="24"/>
          <w:szCs w:val="24"/>
        </w:rPr>
        <w:t xml:space="preserve"> manufacturin</w:t>
      </w:r>
      <w:r w:rsidR="00AF59F2" w:rsidRPr="00E378F7">
        <w:rPr>
          <w:rFonts w:ascii="Times New Roman" w:hAnsi="Times New Roman" w:cs="Times New Roman"/>
          <w:sz w:val="24"/>
          <w:szCs w:val="24"/>
        </w:rPr>
        <w:t>g was recorded in Brazil, and especially during the 1990s. During this time</w:t>
      </w:r>
      <w:r w:rsidR="003B2BF6">
        <w:rPr>
          <w:rFonts w:ascii="Times New Roman" w:hAnsi="Times New Roman" w:cs="Times New Roman"/>
          <w:sz w:val="24"/>
          <w:szCs w:val="24"/>
        </w:rPr>
        <w:t>,</w:t>
      </w:r>
      <w:r w:rsidR="00AF59F2" w:rsidRPr="00E378F7">
        <w:rPr>
          <w:rFonts w:ascii="Times New Roman" w:hAnsi="Times New Roman" w:cs="Times New Roman"/>
          <w:sz w:val="24"/>
          <w:szCs w:val="24"/>
        </w:rPr>
        <w:t xml:space="preserve"> the country was termed as the reform period. However, a number of reforms and policies were </w:t>
      </w:r>
      <w:r w:rsidR="00393A0E" w:rsidRPr="00E378F7">
        <w:rPr>
          <w:rFonts w:ascii="Times New Roman" w:hAnsi="Times New Roman" w:cs="Times New Roman"/>
          <w:sz w:val="24"/>
          <w:szCs w:val="24"/>
        </w:rPr>
        <w:t>changed. At the domestic level, the country experienced an unprecedented inflation period in one part</w:t>
      </w:r>
      <w:r w:rsidR="003B2BF6">
        <w:rPr>
          <w:rFonts w:ascii="Times New Roman" w:hAnsi="Times New Roman" w:cs="Times New Roman"/>
          <w:sz w:val="24"/>
          <w:szCs w:val="24"/>
        </w:rPr>
        <w:t>,</w:t>
      </w:r>
      <w:r w:rsidR="00393A0E" w:rsidRPr="00E378F7">
        <w:rPr>
          <w:rFonts w:ascii="Times New Roman" w:hAnsi="Times New Roman" w:cs="Times New Roman"/>
          <w:sz w:val="24"/>
          <w:szCs w:val="24"/>
        </w:rPr>
        <w:t xml:space="preserve"> and </w:t>
      </w:r>
      <w:r w:rsidR="003B2BF6">
        <w:rPr>
          <w:rFonts w:ascii="Times New Roman" w:hAnsi="Times New Roman" w:cs="Times New Roman"/>
          <w:sz w:val="24"/>
          <w:szCs w:val="24"/>
        </w:rPr>
        <w:t xml:space="preserve">then </w:t>
      </w:r>
      <w:r w:rsidR="00393A0E" w:rsidRPr="00E378F7">
        <w:rPr>
          <w:rFonts w:ascii="Times New Roman" w:hAnsi="Times New Roman" w:cs="Times New Roman"/>
          <w:sz w:val="24"/>
          <w:szCs w:val="24"/>
        </w:rPr>
        <w:t xml:space="preserve">there was </w:t>
      </w:r>
      <w:r w:rsidR="003B2BF6">
        <w:rPr>
          <w:rFonts w:ascii="Times New Roman" w:hAnsi="Times New Roman" w:cs="Times New Roman"/>
          <w:sz w:val="24"/>
          <w:szCs w:val="24"/>
        </w:rPr>
        <w:t>the</w:t>
      </w:r>
      <w:r w:rsidR="003B2BF6" w:rsidRPr="00E378F7">
        <w:rPr>
          <w:rFonts w:ascii="Times New Roman" w:hAnsi="Times New Roman" w:cs="Times New Roman"/>
          <w:sz w:val="24"/>
          <w:szCs w:val="24"/>
        </w:rPr>
        <w:t xml:space="preserve"> </w:t>
      </w:r>
      <w:r w:rsidR="00393A0E" w:rsidRPr="00E378F7">
        <w:rPr>
          <w:rFonts w:ascii="Times New Roman" w:hAnsi="Times New Roman" w:cs="Times New Roman"/>
          <w:sz w:val="24"/>
          <w:szCs w:val="24"/>
        </w:rPr>
        <w:t xml:space="preserve">political constitution promulgated </w:t>
      </w:r>
      <w:r w:rsidR="003B2BF6">
        <w:rPr>
          <w:rFonts w:ascii="Times New Roman" w:hAnsi="Times New Roman" w:cs="Times New Roman"/>
          <w:sz w:val="24"/>
          <w:szCs w:val="24"/>
        </w:rPr>
        <w:t xml:space="preserve">in </w:t>
      </w:r>
      <w:r w:rsidR="00393A0E" w:rsidRPr="00E378F7">
        <w:rPr>
          <w:rFonts w:ascii="Times New Roman" w:hAnsi="Times New Roman" w:cs="Times New Roman"/>
          <w:sz w:val="24"/>
          <w:szCs w:val="24"/>
        </w:rPr>
        <w:t>1998</w:t>
      </w:r>
      <w:r w:rsidR="003B2BF6">
        <w:rPr>
          <w:rFonts w:ascii="Times New Roman" w:hAnsi="Times New Roman" w:cs="Times New Roman"/>
          <w:sz w:val="24"/>
          <w:szCs w:val="24"/>
        </w:rPr>
        <w:t>,</w:t>
      </w:r>
      <w:r w:rsidR="00393A0E" w:rsidRPr="00E378F7">
        <w:rPr>
          <w:rFonts w:ascii="Times New Roman" w:hAnsi="Times New Roman" w:cs="Times New Roman"/>
          <w:sz w:val="24"/>
          <w:szCs w:val="24"/>
        </w:rPr>
        <w:t xml:space="preserve"> </w:t>
      </w:r>
      <w:r w:rsidR="003B2BF6">
        <w:rPr>
          <w:rFonts w:ascii="Times New Roman" w:hAnsi="Times New Roman" w:cs="Times New Roman"/>
          <w:sz w:val="24"/>
          <w:szCs w:val="24"/>
        </w:rPr>
        <w:t>which</w:t>
      </w:r>
      <w:r w:rsidR="003B2BF6" w:rsidRPr="00E378F7">
        <w:rPr>
          <w:rFonts w:ascii="Times New Roman" w:hAnsi="Times New Roman" w:cs="Times New Roman"/>
          <w:sz w:val="24"/>
          <w:szCs w:val="24"/>
        </w:rPr>
        <w:t xml:space="preserve"> </w:t>
      </w:r>
      <w:r w:rsidR="00393A0E" w:rsidRPr="00E378F7">
        <w:rPr>
          <w:rFonts w:ascii="Times New Roman" w:hAnsi="Times New Roman" w:cs="Times New Roman"/>
          <w:sz w:val="24"/>
          <w:szCs w:val="24"/>
        </w:rPr>
        <w:t>this added more of fiscal and social unrest to the country. International</w:t>
      </w:r>
      <w:r w:rsidR="003B2BF6">
        <w:rPr>
          <w:rFonts w:ascii="Times New Roman" w:hAnsi="Times New Roman" w:cs="Times New Roman"/>
          <w:sz w:val="24"/>
          <w:szCs w:val="24"/>
        </w:rPr>
        <w:t>ly</w:t>
      </w:r>
      <w:r w:rsidR="00393A0E" w:rsidRPr="00E378F7">
        <w:rPr>
          <w:rFonts w:ascii="Times New Roman" w:hAnsi="Times New Roman" w:cs="Times New Roman"/>
          <w:sz w:val="24"/>
          <w:szCs w:val="24"/>
        </w:rPr>
        <w:t xml:space="preserve">, this period saw a beginning of </w:t>
      </w:r>
      <w:r w:rsidR="003B2BF6">
        <w:rPr>
          <w:rFonts w:ascii="Times New Roman" w:hAnsi="Times New Roman" w:cs="Times New Roman"/>
          <w:sz w:val="24"/>
          <w:szCs w:val="24"/>
        </w:rPr>
        <w:t xml:space="preserve">the </w:t>
      </w:r>
      <w:r w:rsidR="00393A0E" w:rsidRPr="00E378F7">
        <w:rPr>
          <w:rFonts w:ascii="Times New Roman" w:hAnsi="Times New Roman" w:cs="Times New Roman"/>
          <w:sz w:val="24"/>
          <w:szCs w:val="24"/>
        </w:rPr>
        <w:t xml:space="preserve">increasing </w:t>
      </w:r>
      <w:r w:rsidR="003B2BF6" w:rsidRPr="00E378F7">
        <w:rPr>
          <w:rFonts w:ascii="Times New Roman" w:hAnsi="Times New Roman" w:cs="Times New Roman"/>
          <w:sz w:val="24"/>
          <w:szCs w:val="24"/>
        </w:rPr>
        <w:lastRenderedPageBreak/>
        <w:t>intensi</w:t>
      </w:r>
      <w:r w:rsidR="003B2BF6">
        <w:rPr>
          <w:rFonts w:ascii="Times New Roman" w:hAnsi="Times New Roman" w:cs="Times New Roman"/>
          <w:sz w:val="24"/>
          <w:szCs w:val="24"/>
        </w:rPr>
        <w:t>ty</w:t>
      </w:r>
      <w:r w:rsidR="003B2BF6" w:rsidRPr="00E378F7">
        <w:rPr>
          <w:rFonts w:ascii="Times New Roman" w:hAnsi="Times New Roman" w:cs="Times New Roman"/>
          <w:sz w:val="24"/>
          <w:szCs w:val="24"/>
        </w:rPr>
        <w:t xml:space="preserve"> </w:t>
      </w:r>
      <w:r w:rsidR="00393A0E" w:rsidRPr="00E378F7">
        <w:rPr>
          <w:rFonts w:ascii="Times New Roman" w:hAnsi="Times New Roman" w:cs="Times New Roman"/>
          <w:sz w:val="24"/>
          <w:szCs w:val="24"/>
        </w:rPr>
        <w:t>of capital and technological changes, but the country failed to capital</w:t>
      </w:r>
      <w:r w:rsidR="003B2BF6">
        <w:rPr>
          <w:rFonts w:ascii="Times New Roman" w:hAnsi="Times New Roman" w:cs="Times New Roman"/>
          <w:sz w:val="24"/>
          <w:szCs w:val="24"/>
        </w:rPr>
        <w:t>ize</w:t>
      </w:r>
      <w:r w:rsidR="00393A0E" w:rsidRPr="00E378F7">
        <w:rPr>
          <w:rFonts w:ascii="Times New Roman" w:hAnsi="Times New Roman" w:cs="Times New Roman"/>
          <w:sz w:val="24"/>
          <w:szCs w:val="24"/>
        </w:rPr>
        <w:t xml:space="preserve"> on this benefit as </w:t>
      </w:r>
      <w:r w:rsidR="003B2BF6">
        <w:rPr>
          <w:rFonts w:ascii="Times New Roman" w:hAnsi="Times New Roman" w:cs="Times New Roman"/>
          <w:sz w:val="24"/>
          <w:szCs w:val="24"/>
        </w:rPr>
        <w:t xml:space="preserve">a </w:t>
      </w:r>
      <w:r w:rsidR="00393A0E" w:rsidRPr="00E378F7">
        <w:rPr>
          <w:rFonts w:ascii="Times New Roman" w:hAnsi="Times New Roman" w:cs="Times New Roman"/>
          <w:sz w:val="24"/>
          <w:szCs w:val="24"/>
        </w:rPr>
        <w:t>result of the weak and unstable domestic macroeconomic environment.</w:t>
      </w:r>
    </w:p>
    <w:p w14:paraId="4A4B5D76" w14:textId="690C89C5" w:rsidR="00AC1F90" w:rsidRPr="00E378F7" w:rsidRDefault="0026255A" w:rsidP="008E4E1C">
      <w:pPr>
        <w:spacing w:after="0" w:line="360" w:lineRule="auto"/>
        <w:jc w:val="both"/>
        <w:rPr>
          <w:rFonts w:ascii="Times New Roman" w:eastAsia="Times New Roman" w:hAnsi="Times New Roman" w:cs="Times New Roman"/>
          <w:sz w:val="24"/>
          <w:szCs w:val="24"/>
        </w:rPr>
      </w:pPr>
      <w:r w:rsidRPr="00E378F7">
        <w:rPr>
          <w:rFonts w:ascii="Times New Roman" w:hAnsi="Times New Roman" w:cs="Times New Roman"/>
          <w:sz w:val="24"/>
          <w:szCs w:val="24"/>
        </w:rPr>
        <w:t xml:space="preserve">In </w:t>
      </w:r>
      <w:r w:rsidR="00AC1F90" w:rsidRPr="00E378F7">
        <w:rPr>
          <w:rFonts w:ascii="Times New Roman" w:hAnsi="Times New Roman" w:cs="Times New Roman"/>
          <w:sz w:val="24"/>
          <w:szCs w:val="24"/>
        </w:rPr>
        <w:t>Brazil</w:t>
      </w:r>
      <w:r w:rsidRPr="00E378F7">
        <w:rPr>
          <w:rFonts w:ascii="Times New Roman" w:hAnsi="Times New Roman" w:cs="Times New Roman"/>
          <w:sz w:val="24"/>
          <w:szCs w:val="24"/>
        </w:rPr>
        <w:t xml:space="preserve"> for instance</w:t>
      </w:r>
      <w:r w:rsidR="00AC1F90" w:rsidRPr="00E378F7">
        <w:rPr>
          <w:rFonts w:ascii="Times New Roman" w:hAnsi="Times New Roman" w:cs="Times New Roman"/>
          <w:sz w:val="24"/>
          <w:szCs w:val="24"/>
        </w:rPr>
        <w:t>, the decline</w:t>
      </w:r>
      <w:r w:rsidR="00AF59F2" w:rsidRPr="00E378F7">
        <w:rPr>
          <w:rFonts w:ascii="Times New Roman" w:hAnsi="Times New Roman" w:cs="Times New Roman"/>
          <w:sz w:val="24"/>
          <w:szCs w:val="24"/>
        </w:rPr>
        <w:t xml:space="preserve"> in this sector </w:t>
      </w:r>
      <w:r w:rsidR="00AC1F90" w:rsidRPr="00E378F7">
        <w:rPr>
          <w:rFonts w:ascii="Times New Roman" w:hAnsi="Times New Roman" w:cs="Times New Roman"/>
          <w:sz w:val="24"/>
          <w:szCs w:val="24"/>
        </w:rPr>
        <w:t>include</w:t>
      </w:r>
      <w:r w:rsidR="003B2BF6">
        <w:rPr>
          <w:rFonts w:ascii="Times New Roman" w:hAnsi="Times New Roman" w:cs="Times New Roman"/>
          <w:sz w:val="24"/>
          <w:szCs w:val="24"/>
        </w:rPr>
        <w:t>d</w:t>
      </w:r>
      <w:r w:rsidR="00AC1F90" w:rsidRPr="00E378F7">
        <w:rPr>
          <w:rFonts w:ascii="Times New Roman" w:hAnsi="Times New Roman" w:cs="Times New Roman"/>
          <w:sz w:val="24"/>
          <w:szCs w:val="24"/>
        </w:rPr>
        <w:t xml:space="preserve"> an absence of economic momentum and consumer confidence, continued cautious bank lending, and the discontinuation of tax benefits. Government investment has also been frozen, as it </w:t>
      </w:r>
      <w:r w:rsidR="003B2BF6" w:rsidRPr="00E378F7">
        <w:rPr>
          <w:rFonts w:ascii="Times New Roman" w:hAnsi="Times New Roman" w:cs="Times New Roman"/>
          <w:sz w:val="24"/>
          <w:szCs w:val="24"/>
        </w:rPr>
        <w:t>work</w:t>
      </w:r>
      <w:r w:rsidR="003B2BF6">
        <w:rPr>
          <w:rFonts w:ascii="Times New Roman" w:hAnsi="Times New Roman" w:cs="Times New Roman"/>
          <w:sz w:val="24"/>
          <w:szCs w:val="24"/>
        </w:rPr>
        <w:t>ed</w:t>
      </w:r>
      <w:r w:rsidR="003B2BF6" w:rsidRPr="00E378F7">
        <w:rPr>
          <w:rFonts w:ascii="Times New Roman" w:hAnsi="Times New Roman" w:cs="Times New Roman"/>
          <w:sz w:val="24"/>
          <w:szCs w:val="24"/>
        </w:rPr>
        <w:t xml:space="preserve"> </w:t>
      </w:r>
      <w:r w:rsidR="00AC1F90" w:rsidRPr="00E378F7">
        <w:rPr>
          <w:rFonts w:ascii="Times New Roman" w:hAnsi="Times New Roman" w:cs="Times New Roman"/>
          <w:sz w:val="24"/>
          <w:szCs w:val="24"/>
        </w:rPr>
        <w:t xml:space="preserve">to bring a growing deficit </w:t>
      </w:r>
      <w:r w:rsidR="003B2BF6">
        <w:rPr>
          <w:rFonts w:ascii="Times New Roman" w:hAnsi="Times New Roman" w:cs="Times New Roman"/>
          <w:sz w:val="24"/>
          <w:szCs w:val="24"/>
        </w:rPr>
        <w:t>under</w:t>
      </w:r>
      <w:r w:rsidR="003B2BF6" w:rsidRPr="00E378F7">
        <w:rPr>
          <w:rFonts w:ascii="Times New Roman" w:hAnsi="Times New Roman" w:cs="Times New Roman"/>
          <w:sz w:val="24"/>
          <w:szCs w:val="24"/>
        </w:rPr>
        <w:t xml:space="preserve"> </w:t>
      </w:r>
      <w:r w:rsidR="00AC1F90" w:rsidRPr="00E378F7">
        <w:rPr>
          <w:rFonts w:ascii="Times New Roman" w:hAnsi="Times New Roman" w:cs="Times New Roman"/>
          <w:sz w:val="24"/>
          <w:szCs w:val="24"/>
        </w:rPr>
        <w:t xml:space="preserve">check and cope with intensifying repercussions of alleged corruption </w:t>
      </w:r>
      <w:r w:rsidR="003B2BF6">
        <w:rPr>
          <w:rFonts w:ascii="Times New Roman" w:hAnsi="Times New Roman" w:cs="Times New Roman"/>
          <w:sz w:val="24"/>
          <w:szCs w:val="24"/>
        </w:rPr>
        <w:t>in</w:t>
      </w:r>
      <w:r w:rsidR="003B2BF6" w:rsidRPr="00E378F7">
        <w:rPr>
          <w:rFonts w:ascii="Times New Roman" w:hAnsi="Times New Roman" w:cs="Times New Roman"/>
          <w:sz w:val="24"/>
          <w:szCs w:val="24"/>
        </w:rPr>
        <w:t xml:space="preserve"> </w:t>
      </w:r>
      <w:r w:rsidR="00AC1F90" w:rsidRPr="00E378F7">
        <w:rPr>
          <w:rFonts w:ascii="Times New Roman" w:hAnsi="Times New Roman" w:cs="Times New Roman"/>
          <w:sz w:val="24"/>
          <w:szCs w:val="24"/>
        </w:rPr>
        <w:t>Petr</w:t>
      </w:r>
      <w:r w:rsidR="00AF59F2" w:rsidRPr="00E378F7">
        <w:rPr>
          <w:rFonts w:ascii="Times New Roman" w:hAnsi="Times New Roman" w:cs="Times New Roman"/>
          <w:sz w:val="24"/>
          <w:szCs w:val="24"/>
        </w:rPr>
        <w:t>obras</w:t>
      </w:r>
      <w:r w:rsidR="00AF59F2" w:rsidRPr="00E378F7">
        <w:rPr>
          <w:rFonts w:ascii="Times New Roman" w:hAnsi="Times New Roman" w:cs="Times New Roman"/>
        </w:rPr>
        <w:t xml:space="preserve">. </w:t>
      </w:r>
      <w:r w:rsidR="00AF59F2" w:rsidRPr="00946B79">
        <w:rPr>
          <w:rFonts w:ascii="Times New Roman" w:hAnsi="Times New Roman" w:cs="Times New Roman"/>
          <w:sz w:val="24"/>
          <w:szCs w:val="24"/>
        </w:rPr>
        <w:t xml:space="preserve">Another reason </w:t>
      </w:r>
      <w:r w:rsidR="003B2BF6">
        <w:rPr>
          <w:rFonts w:ascii="Times New Roman" w:hAnsi="Times New Roman" w:cs="Times New Roman"/>
          <w:sz w:val="24"/>
          <w:szCs w:val="24"/>
        </w:rPr>
        <w:t xml:space="preserve">that </w:t>
      </w:r>
      <w:r w:rsidR="00AF59F2" w:rsidRPr="00946B79">
        <w:rPr>
          <w:rFonts w:ascii="Times New Roman" w:hAnsi="Times New Roman" w:cs="Times New Roman"/>
          <w:sz w:val="24"/>
          <w:szCs w:val="24"/>
        </w:rPr>
        <w:t xml:space="preserve">might </w:t>
      </w:r>
      <w:r w:rsidR="003B2BF6">
        <w:rPr>
          <w:rFonts w:ascii="Times New Roman" w:hAnsi="Times New Roman" w:cs="Times New Roman"/>
          <w:sz w:val="24"/>
          <w:szCs w:val="24"/>
        </w:rPr>
        <w:t xml:space="preserve">have </w:t>
      </w:r>
      <w:r w:rsidR="00AF59F2" w:rsidRPr="00946B79">
        <w:rPr>
          <w:rFonts w:ascii="Times New Roman" w:hAnsi="Times New Roman" w:cs="Times New Roman"/>
          <w:sz w:val="24"/>
          <w:szCs w:val="24"/>
        </w:rPr>
        <w:t>affected the declined in manufacturing in Brazil is the decline of the auto sales</w:t>
      </w:r>
      <w:r w:rsidR="003B2BF6">
        <w:rPr>
          <w:rFonts w:ascii="Times New Roman" w:hAnsi="Times New Roman" w:cs="Times New Roman"/>
          <w:sz w:val="24"/>
          <w:szCs w:val="24"/>
        </w:rPr>
        <w:t>,</w:t>
      </w:r>
      <w:r w:rsidR="00AF59F2" w:rsidRPr="00946B79">
        <w:rPr>
          <w:rFonts w:ascii="Times New Roman" w:hAnsi="Times New Roman" w:cs="Times New Roman"/>
          <w:sz w:val="24"/>
          <w:szCs w:val="24"/>
        </w:rPr>
        <w:t xml:space="preserve"> which was indicative </w:t>
      </w:r>
      <w:r w:rsidR="003B2BF6">
        <w:rPr>
          <w:rFonts w:ascii="Times New Roman" w:hAnsi="Times New Roman" w:cs="Times New Roman"/>
          <w:sz w:val="24"/>
          <w:szCs w:val="24"/>
        </w:rPr>
        <w:t>of</w:t>
      </w:r>
      <w:r w:rsidR="003B2BF6" w:rsidRPr="00946B79">
        <w:rPr>
          <w:rFonts w:ascii="Times New Roman" w:hAnsi="Times New Roman" w:cs="Times New Roman"/>
          <w:sz w:val="24"/>
          <w:szCs w:val="24"/>
        </w:rPr>
        <w:t xml:space="preserve"> </w:t>
      </w:r>
      <w:r w:rsidR="00AF59F2" w:rsidRPr="00946B79">
        <w:rPr>
          <w:rFonts w:ascii="Times New Roman" w:hAnsi="Times New Roman" w:cs="Times New Roman"/>
          <w:sz w:val="24"/>
          <w:szCs w:val="24"/>
        </w:rPr>
        <w:t>the worsened</w:t>
      </w:r>
      <w:r w:rsidR="003B2BF6">
        <w:rPr>
          <w:rFonts w:ascii="Times New Roman" w:hAnsi="Times New Roman" w:cs="Times New Roman"/>
          <w:sz w:val="24"/>
          <w:szCs w:val="24"/>
        </w:rPr>
        <w:t xml:space="preserve"> state</w:t>
      </w:r>
      <w:r w:rsidR="00AF59F2" w:rsidRPr="00946B79">
        <w:rPr>
          <w:rFonts w:ascii="Times New Roman" w:hAnsi="Times New Roman" w:cs="Times New Roman"/>
          <w:sz w:val="24"/>
          <w:szCs w:val="24"/>
        </w:rPr>
        <w:t xml:space="preserve"> of the economy.</w:t>
      </w:r>
    </w:p>
    <w:p w14:paraId="484D6710" w14:textId="77777777" w:rsidR="00854FF0" w:rsidRPr="00E378F7" w:rsidRDefault="00854FF0" w:rsidP="008E4E1C">
      <w:pPr>
        <w:spacing w:after="0" w:line="360" w:lineRule="auto"/>
        <w:ind w:hanging="450"/>
        <w:jc w:val="both"/>
        <w:rPr>
          <w:rFonts w:ascii="Times New Roman" w:eastAsia="Times New Roman" w:hAnsi="Times New Roman" w:cs="Times New Roman"/>
          <w:sz w:val="20"/>
          <w:szCs w:val="20"/>
        </w:rPr>
      </w:pPr>
    </w:p>
    <w:p w14:paraId="27A985ED" w14:textId="658C53E3" w:rsidR="006F20DE" w:rsidRPr="00122CBB" w:rsidRDefault="00122CBB" w:rsidP="00122CBB">
      <w:pPr>
        <w:pStyle w:val="Heading2"/>
        <w:rPr>
          <w:rFonts w:eastAsia="Times New Roman"/>
          <w:b w:val="0"/>
          <w:color w:val="000000" w:themeColor="text1"/>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bookmarkStart w:id="30" w:name="_Toc501031474"/>
      <w:r w:rsidRPr="00122CBB">
        <w:rPr>
          <w:rFonts w:eastAsia="Times New Roman"/>
          <w:b w:val="0"/>
          <w:color w:val="000000" w:themeColor="text1"/>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Graph 4:</w:t>
      </w:r>
      <w:r w:rsidR="00A242A7" w:rsidRPr="00122CBB">
        <w:rPr>
          <w:rFonts w:eastAsia="Times New Roman"/>
          <w:b w:val="0"/>
          <w:color w:val="000000" w:themeColor="text1"/>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4</w:t>
      </w:r>
      <w:r w:rsidR="00854FF0" w:rsidRPr="00122CBB">
        <w:rPr>
          <w:rFonts w:eastAsia="Times New Roman"/>
          <w:b w:val="0"/>
          <w:color w:val="000000" w:themeColor="text1"/>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r w:rsidRPr="00122CBB">
        <w:rPr>
          <w:rFonts w:eastAsia="Times New Roman"/>
          <w:b w:val="0"/>
          <w:color w:val="000000" w:themeColor="text1"/>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A trend of sample emerging countries</w:t>
      </w:r>
      <w:r w:rsidR="003B2BF6" w:rsidRPr="00122CBB">
        <w:rPr>
          <w:rFonts w:eastAsia="Times New Roman"/>
          <w:b w:val="0"/>
          <w:color w:val="000000" w:themeColor="text1"/>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r w:rsidRPr="00122CBB">
        <w:rPr>
          <w:rFonts w:eastAsia="Times New Roman"/>
          <w:b w:val="0"/>
          <w:color w:val="000000" w:themeColor="text1"/>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contribution to the agricultural sector</w:t>
      </w:r>
      <w:bookmarkEnd w:id="30"/>
    </w:p>
    <w:p w14:paraId="2D839AB5" w14:textId="77777777" w:rsidR="006F20DE" w:rsidRPr="00E378F7" w:rsidRDefault="006F20DE" w:rsidP="008E4E1C">
      <w:pPr>
        <w:spacing w:after="0" w:line="360" w:lineRule="auto"/>
        <w:ind w:hanging="450"/>
        <w:jc w:val="both"/>
        <w:rPr>
          <w:rFonts w:ascii="Times New Roman" w:eastAsia="Times New Roman" w:hAnsi="Times New Roman" w:cs="Times New Roman"/>
          <w:sz w:val="24"/>
          <w:szCs w:val="24"/>
        </w:rPr>
      </w:pPr>
      <w:r w:rsidRPr="00AB1527">
        <w:rPr>
          <w:noProof/>
        </w:rPr>
        <w:drawing>
          <wp:inline distT="0" distB="0" distL="0" distR="0" wp14:anchorId="196048A0" wp14:editId="74C4F029">
            <wp:extent cx="5511800" cy="3495675"/>
            <wp:effectExtent l="0" t="0" r="12700" b="9525"/>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2CD2E1C7" w14:textId="77777777" w:rsidR="006F20DE" w:rsidRPr="00E378F7" w:rsidRDefault="006F20DE" w:rsidP="008E4E1C">
      <w:pPr>
        <w:spacing w:after="0" w:line="360" w:lineRule="auto"/>
        <w:ind w:hanging="450"/>
        <w:jc w:val="both"/>
        <w:rPr>
          <w:rFonts w:ascii="Times New Roman" w:eastAsia="Times New Roman" w:hAnsi="Times New Roman" w:cs="Times New Roman"/>
          <w:sz w:val="24"/>
          <w:szCs w:val="24"/>
        </w:rPr>
      </w:pPr>
    </w:p>
    <w:p w14:paraId="0FBE8F8B" w14:textId="40CADE0C" w:rsidR="00466785" w:rsidRDefault="009C510B" w:rsidP="008E4E1C">
      <w:pPr>
        <w:spacing w:after="0" w:line="360" w:lineRule="auto"/>
        <w:ind w:hanging="450"/>
        <w:jc w:val="both"/>
        <w:rPr>
          <w:rFonts w:ascii="Times New Roman" w:eastAsia="Times New Roman" w:hAnsi="Times New Roman" w:cs="Times New Roman"/>
          <w:sz w:val="20"/>
          <w:szCs w:val="20"/>
        </w:rPr>
      </w:pPr>
      <w:r w:rsidRPr="00E378F7">
        <w:rPr>
          <w:rFonts w:ascii="Times New Roman" w:eastAsia="Times New Roman" w:hAnsi="Times New Roman" w:cs="Times New Roman"/>
          <w:sz w:val="20"/>
          <w:szCs w:val="20"/>
        </w:rPr>
        <w:t>Graph 4:</w:t>
      </w:r>
      <w:r w:rsidR="00854FF0" w:rsidRPr="00E378F7">
        <w:rPr>
          <w:rFonts w:ascii="Times New Roman" w:eastAsia="Times New Roman" w:hAnsi="Times New Roman" w:cs="Times New Roman"/>
          <w:sz w:val="20"/>
          <w:szCs w:val="20"/>
        </w:rPr>
        <w:t>6</w:t>
      </w:r>
      <w:r w:rsidR="006F20DE" w:rsidRPr="00E378F7">
        <w:rPr>
          <w:rFonts w:ascii="Times New Roman" w:eastAsia="Times New Roman" w:hAnsi="Times New Roman" w:cs="Times New Roman"/>
          <w:sz w:val="20"/>
          <w:szCs w:val="20"/>
        </w:rPr>
        <w:t xml:space="preserve">: Contribution of </w:t>
      </w:r>
      <w:r w:rsidR="003B2BF6">
        <w:rPr>
          <w:rFonts w:ascii="Times New Roman" w:eastAsia="Times New Roman" w:hAnsi="Times New Roman" w:cs="Times New Roman"/>
          <w:sz w:val="20"/>
          <w:szCs w:val="20"/>
        </w:rPr>
        <w:t xml:space="preserve">the </w:t>
      </w:r>
      <w:r w:rsidR="006F20DE" w:rsidRPr="00E378F7">
        <w:rPr>
          <w:rFonts w:ascii="Times New Roman" w:eastAsia="Times New Roman" w:hAnsi="Times New Roman" w:cs="Times New Roman"/>
          <w:sz w:val="20"/>
          <w:szCs w:val="20"/>
        </w:rPr>
        <w:t>Agriculture Sector on the GDP of Emerging Countries (1984</w:t>
      </w:r>
      <w:r w:rsidR="003B2BF6">
        <w:rPr>
          <w:rFonts w:ascii="Times New Roman" w:eastAsia="Times New Roman" w:hAnsi="Times New Roman" w:cs="Times New Roman"/>
          <w:sz w:val="20"/>
          <w:szCs w:val="20"/>
        </w:rPr>
        <w:t>–</w:t>
      </w:r>
      <w:r w:rsidR="00B07290">
        <w:rPr>
          <w:rFonts w:ascii="Times New Roman" w:eastAsia="Times New Roman" w:hAnsi="Times New Roman" w:cs="Times New Roman"/>
          <w:sz w:val="20"/>
          <w:szCs w:val="20"/>
        </w:rPr>
        <w:t>2013)</w:t>
      </w:r>
    </w:p>
    <w:p w14:paraId="3C2FFD39" w14:textId="77777777" w:rsidR="00B07290" w:rsidRPr="00B07290" w:rsidRDefault="00B07290" w:rsidP="008E4E1C">
      <w:pPr>
        <w:spacing w:after="0" w:line="360" w:lineRule="auto"/>
        <w:ind w:hanging="450"/>
        <w:jc w:val="both"/>
        <w:rPr>
          <w:rFonts w:ascii="Times New Roman" w:eastAsia="Times New Roman" w:hAnsi="Times New Roman" w:cs="Times New Roman"/>
          <w:sz w:val="20"/>
          <w:szCs w:val="20"/>
        </w:rPr>
      </w:pPr>
    </w:p>
    <w:p w14:paraId="1C958B02" w14:textId="54488DB6" w:rsidR="00AC1F90" w:rsidRPr="00E378F7" w:rsidRDefault="00B75EEB" w:rsidP="008E4E1C">
      <w:pPr>
        <w:spacing w:after="0" w:line="360" w:lineRule="auto"/>
        <w:jc w:val="both"/>
        <w:rPr>
          <w:rFonts w:ascii="Times New Roman" w:eastAsia="Times New Roman" w:hAnsi="Times New Roman" w:cs="Times New Roman"/>
          <w:sz w:val="24"/>
          <w:szCs w:val="24"/>
        </w:rPr>
      </w:pPr>
      <w:r w:rsidRPr="00E378F7">
        <w:rPr>
          <w:rFonts w:ascii="Times New Roman" w:eastAsia="Times New Roman" w:hAnsi="Times New Roman" w:cs="Times New Roman"/>
          <w:sz w:val="24"/>
          <w:szCs w:val="24"/>
        </w:rPr>
        <w:t>The sharp drop in agricultural growth over the years is a result of the reduction of agricultural production in countries such as India, China, Philippines, Malaysia, Turkey</w:t>
      </w:r>
      <w:r w:rsidR="003B2BF6">
        <w:rPr>
          <w:rFonts w:ascii="Times New Roman" w:eastAsia="Times New Roman" w:hAnsi="Times New Roman" w:cs="Times New Roman"/>
          <w:sz w:val="24"/>
          <w:szCs w:val="24"/>
        </w:rPr>
        <w:t>,</w:t>
      </w:r>
      <w:r w:rsidRPr="00E378F7">
        <w:rPr>
          <w:rFonts w:ascii="Times New Roman" w:eastAsia="Times New Roman" w:hAnsi="Times New Roman" w:cs="Times New Roman"/>
          <w:sz w:val="24"/>
          <w:szCs w:val="24"/>
        </w:rPr>
        <w:t xml:space="preserve"> and Thailand</w:t>
      </w:r>
      <w:r w:rsidR="003B2BF6">
        <w:rPr>
          <w:rFonts w:ascii="Times New Roman" w:eastAsia="Times New Roman" w:hAnsi="Times New Roman" w:cs="Times New Roman"/>
          <w:sz w:val="24"/>
          <w:szCs w:val="24"/>
        </w:rPr>
        <w:t>,</w:t>
      </w:r>
      <w:r w:rsidRPr="00E378F7">
        <w:rPr>
          <w:rFonts w:ascii="Times New Roman" w:eastAsia="Times New Roman" w:hAnsi="Times New Roman" w:cs="Times New Roman"/>
          <w:sz w:val="24"/>
          <w:szCs w:val="24"/>
        </w:rPr>
        <w:t xml:space="preserve"> </w:t>
      </w:r>
      <w:r w:rsidR="003B2BF6">
        <w:rPr>
          <w:rFonts w:ascii="Times New Roman" w:eastAsia="Times New Roman" w:hAnsi="Times New Roman" w:cs="Times New Roman"/>
          <w:sz w:val="24"/>
          <w:szCs w:val="24"/>
        </w:rPr>
        <w:t xml:space="preserve">who </w:t>
      </w:r>
      <w:r w:rsidRPr="00E378F7">
        <w:rPr>
          <w:rFonts w:ascii="Times New Roman" w:eastAsia="Times New Roman" w:hAnsi="Times New Roman" w:cs="Times New Roman"/>
          <w:sz w:val="24"/>
          <w:szCs w:val="24"/>
        </w:rPr>
        <w:t xml:space="preserve">have switched their attention to </w:t>
      </w:r>
      <w:r w:rsidR="003B2BF6">
        <w:rPr>
          <w:rFonts w:ascii="Times New Roman" w:eastAsia="Times New Roman" w:hAnsi="Times New Roman" w:cs="Times New Roman"/>
          <w:sz w:val="24"/>
          <w:szCs w:val="24"/>
        </w:rPr>
        <w:t xml:space="preserve">the </w:t>
      </w:r>
      <w:r w:rsidRPr="00E378F7">
        <w:rPr>
          <w:rFonts w:ascii="Times New Roman" w:eastAsia="Times New Roman" w:hAnsi="Times New Roman" w:cs="Times New Roman"/>
          <w:sz w:val="24"/>
          <w:szCs w:val="24"/>
        </w:rPr>
        <w:t xml:space="preserve">service sector in part and </w:t>
      </w:r>
      <w:r w:rsidR="003B2BF6">
        <w:rPr>
          <w:rFonts w:ascii="Times New Roman" w:eastAsia="Times New Roman" w:hAnsi="Times New Roman" w:cs="Times New Roman"/>
          <w:sz w:val="24"/>
          <w:szCs w:val="24"/>
        </w:rPr>
        <w:t>because</w:t>
      </w:r>
      <w:r w:rsidRPr="00E378F7">
        <w:rPr>
          <w:rFonts w:ascii="Times New Roman" w:eastAsia="Times New Roman" w:hAnsi="Times New Roman" w:cs="Times New Roman"/>
          <w:sz w:val="24"/>
          <w:szCs w:val="24"/>
        </w:rPr>
        <w:t xml:space="preserve"> these countries </w:t>
      </w:r>
      <w:r w:rsidR="003B2BF6">
        <w:rPr>
          <w:rFonts w:ascii="Times New Roman" w:eastAsia="Times New Roman" w:hAnsi="Times New Roman" w:cs="Times New Roman"/>
          <w:sz w:val="24"/>
          <w:szCs w:val="24"/>
        </w:rPr>
        <w:t xml:space="preserve">do not </w:t>
      </w:r>
      <w:r w:rsidRPr="00E378F7">
        <w:rPr>
          <w:rFonts w:ascii="Times New Roman" w:eastAsia="Times New Roman" w:hAnsi="Times New Roman" w:cs="Times New Roman"/>
          <w:sz w:val="24"/>
          <w:szCs w:val="24"/>
        </w:rPr>
        <w:t xml:space="preserve">have enough financial involvement </w:t>
      </w:r>
      <w:r w:rsidR="003B2BF6">
        <w:rPr>
          <w:rFonts w:ascii="Times New Roman" w:eastAsia="Times New Roman" w:hAnsi="Times New Roman" w:cs="Times New Roman"/>
          <w:sz w:val="24"/>
          <w:szCs w:val="24"/>
        </w:rPr>
        <w:t>i</w:t>
      </w:r>
      <w:r w:rsidR="003B2BF6" w:rsidRPr="00E378F7">
        <w:rPr>
          <w:rFonts w:ascii="Times New Roman" w:eastAsia="Times New Roman" w:hAnsi="Times New Roman" w:cs="Times New Roman"/>
          <w:sz w:val="24"/>
          <w:szCs w:val="24"/>
        </w:rPr>
        <w:t xml:space="preserve">n </w:t>
      </w:r>
      <w:r w:rsidR="003B2BF6">
        <w:rPr>
          <w:rFonts w:ascii="Times New Roman" w:eastAsia="Times New Roman" w:hAnsi="Times New Roman" w:cs="Times New Roman"/>
          <w:sz w:val="24"/>
          <w:szCs w:val="24"/>
        </w:rPr>
        <w:t xml:space="preserve">the </w:t>
      </w:r>
      <w:r w:rsidRPr="00E378F7">
        <w:rPr>
          <w:rFonts w:ascii="Times New Roman" w:eastAsia="Times New Roman" w:hAnsi="Times New Roman" w:cs="Times New Roman"/>
          <w:sz w:val="24"/>
          <w:szCs w:val="24"/>
        </w:rPr>
        <w:lastRenderedPageBreak/>
        <w:t xml:space="preserve">agricultural investment despite improved financial development. Among the 11 countries, the contribution of </w:t>
      </w:r>
      <w:r w:rsidR="003B2BF6">
        <w:rPr>
          <w:rFonts w:ascii="Times New Roman" w:eastAsia="Times New Roman" w:hAnsi="Times New Roman" w:cs="Times New Roman"/>
          <w:sz w:val="24"/>
          <w:szCs w:val="24"/>
        </w:rPr>
        <w:t xml:space="preserve">the </w:t>
      </w:r>
      <w:r w:rsidRPr="00E378F7">
        <w:rPr>
          <w:rFonts w:ascii="Times New Roman" w:eastAsia="Times New Roman" w:hAnsi="Times New Roman" w:cs="Times New Roman"/>
          <w:sz w:val="24"/>
          <w:szCs w:val="24"/>
        </w:rPr>
        <w:t>agricultural sector to the GDP is highest for India follow</w:t>
      </w:r>
      <w:r w:rsidR="00A242A7">
        <w:rPr>
          <w:rFonts w:ascii="Times New Roman" w:eastAsia="Times New Roman" w:hAnsi="Times New Roman" w:cs="Times New Roman"/>
          <w:sz w:val="24"/>
          <w:szCs w:val="24"/>
        </w:rPr>
        <w:t>ed by the Indonesia (Graph 4:4</w:t>
      </w:r>
      <w:r w:rsidRPr="00E378F7">
        <w:rPr>
          <w:rFonts w:ascii="Times New Roman" w:eastAsia="Times New Roman" w:hAnsi="Times New Roman" w:cs="Times New Roman"/>
          <w:sz w:val="24"/>
          <w:szCs w:val="24"/>
        </w:rPr>
        <w:t>).</w:t>
      </w:r>
    </w:p>
    <w:p w14:paraId="6E9F73FA" w14:textId="50404737" w:rsidR="00B75EEB" w:rsidRDefault="00711189" w:rsidP="008E4E1C">
      <w:pPr>
        <w:spacing w:after="0" w:line="360" w:lineRule="auto"/>
        <w:jc w:val="both"/>
        <w:rPr>
          <w:rFonts w:ascii="Times New Roman" w:eastAsia="Times New Roman" w:hAnsi="Times New Roman" w:cs="Times New Roman"/>
          <w:sz w:val="24"/>
          <w:szCs w:val="24"/>
        </w:rPr>
      </w:pPr>
      <w:r w:rsidRPr="00E378F7">
        <w:rPr>
          <w:rFonts w:ascii="Times New Roman" w:eastAsia="Times New Roman" w:hAnsi="Times New Roman" w:cs="Times New Roman"/>
          <w:sz w:val="24"/>
          <w:szCs w:val="24"/>
        </w:rPr>
        <w:t>The economies of the emerging countries are shifting from manufacturing</w:t>
      </w:r>
      <w:r w:rsidR="00E06934">
        <w:rPr>
          <w:rFonts w:ascii="Times New Roman" w:eastAsia="Times New Roman" w:hAnsi="Times New Roman" w:cs="Times New Roman"/>
          <w:sz w:val="24"/>
          <w:szCs w:val="24"/>
        </w:rPr>
        <w:t xml:space="preserve"> and</w:t>
      </w:r>
      <w:r w:rsidR="00E06934" w:rsidRPr="00E378F7">
        <w:rPr>
          <w:rFonts w:ascii="Times New Roman" w:eastAsia="Times New Roman" w:hAnsi="Times New Roman" w:cs="Times New Roman"/>
          <w:sz w:val="24"/>
          <w:szCs w:val="24"/>
        </w:rPr>
        <w:t xml:space="preserve"> agricultur</w:t>
      </w:r>
      <w:r w:rsidR="00E06934">
        <w:rPr>
          <w:rFonts w:ascii="Times New Roman" w:eastAsia="Times New Roman" w:hAnsi="Times New Roman" w:cs="Times New Roman"/>
          <w:sz w:val="24"/>
          <w:szCs w:val="24"/>
        </w:rPr>
        <w:t>al</w:t>
      </w:r>
      <w:r w:rsidR="00E06934" w:rsidRPr="00E378F7">
        <w:rPr>
          <w:rFonts w:ascii="Times New Roman" w:eastAsia="Times New Roman" w:hAnsi="Times New Roman" w:cs="Times New Roman"/>
          <w:sz w:val="24"/>
          <w:szCs w:val="24"/>
        </w:rPr>
        <w:t xml:space="preserve"> </w:t>
      </w:r>
      <w:r w:rsidRPr="00E378F7">
        <w:rPr>
          <w:rFonts w:ascii="Times New Roman" w:eastAsia="Times New Roman" w:hAnsi="Times New Roman" w:cs="Times New Roman"/>
          <w:sz w:val="24"/>
          <w:szCs w:val="24"/>
        </w:rPr>
        <w:t xml:space="preserve">sector to </w:t>
      </w:r>
      <w:r w:rsidR="00E06934">
        <w:rPr>
          <w:rFonts w:ascii="Times New Roman" w:eastAsia="Times New Roman" w:hAnsi="Times New Roman" w:cs="Times New Roman"/>
          <w:sz w:val="24"/>
          <w:szCs w:val="24"/>
        </w:rPr>
        <w:t xml:space="preserve">the </w:t>
      </w:r>
      <w:r w:rsidRPr="00E378F7">
        <w:rPr>
          <w:rFonts w:ascii="Times New Roman" w:eastAsia="Times New Roman" w:hAnsi="Times New Roman" w:cs="Times New Roman"/>
          <w:sz w:val="24"/>
          <w:szCs w:val="24"/>
        </w:rPr>
        <w:t xml:space="preserve">service sector base. This means that as time </w:t>
      </w:r>
      <w:r w:rsidR="00E06934">
        <w:rPr>
          <w:rFonts w:ascii="Times New Roman" w:eastAsia="Times New Roman" w:hAnsi="Times New Roman" w:cs="Times New Roman"/>
          <w:sz w:val="24"/>
          <w:szCs w:val="24"/>
        </w:rPr>
        <w:t>passes,</w:t>
      </w:r>
      <w:r w:rsidRPr="00E378F7">
        <w:rPr>
          <w:rFonts w:ascii="Times New Roman" w:eastAsia="Times New Roman" w:hAnsi="Times New Roman" w:cs="Times New Roman"/>
          <w:sz w:val="24"/>
          <w:szCs w:val="24"/>
        </w:rPr>
        <w:t xml:space="preserve"> the emerging countries are moving towards the developed countries. At the initial stage</w:t>
      </w:r>
      <w:r w:rsidR="00E06934">
        <w:rPr>
          <w:rFonts w:ascii="Times New Roman" w:eastAsia="Times New Roman" w:hAnsi="Times New Roman" w:cs="Times New Roman"/>
          <w:sz w:val="24"/>
          <w:szCs w:val="24"/>
        </w:rPr>
        <w:t>,</w:t>
      </w:r>
      <w:r w:rsidRPr="00E378F7">
        <w:rPr>
          <w:rFonts w:ascii="Times New Roman" w:eastAsia="Times New Roman" w:hAnsi="Times New Roman" w:cs="Times New Roman"/>
          <w:sz w:val="24"/>
          <w:szCs w:val="24"/>
        </w:rPr>
        <w:t xml:space="preserve"> the rate of adoption of technologies in the production and agriculture are high, but as the time went on and </w:t>
      </w:r>
      <w:r w:rsidR="00E06934">
        <w:rPr>
          <w:rFonts w:ascii="Times New Roman" w:eastAsia="Times New Roman" w:hAnsi="Times New Roman" w:cs="Times New Roman"/>
          <w:sz w:val="24"/>
          <w:szCs w:val="24"/>
        </w:rPr>
        <w:t xml:space="preserve">the </w:t>
      </w:r>
      <w:r w:rsidRPr="00E378F7">
        <w:rPr>
          <w:rFonts w:ascii="Times New Roman" w:eastAsia="Times New Roman" w:hAnsi="Times New Roman" w:cs="Times New Roman"/>
          <w:sz w:val="24"/>
          <w:szCs w:val="24"/>
        </w:rPr>
        <w:t>life standard</w:t>
      </w:r>
      <w:r w:rsidR="00E06934">
        <w:rPr>
          <w:rFonts w:ascii="Times New Roman" w:eastAsia="Times New Roman" w:hAnsi="Times New Roman" w:cs="Times New Roman"/>
          <w:sz w:val="24"/>
          <w:szCs w:val="24"/>
        </w:rPr>
        <w:t>s</w:t>
      </w:r>
      <w:r w:rsidRPr="00E378F7">
        <w:rPr>
          <w:rFonts w:ascii="Times New Roman" w:eastAsia="Times New Roman" w:hAnsi="Times New Roman" w:cs="Times New Roman"/>
          <w:sz w:val="24"/>
          <w:szCs w:val="24"/>
        </w:rPr>
        <w:t xml:space="preserve"> of the people improve</w:t>
      </w:r>
      <w:r w:rsidR="00E06934">
        <w:rPr>
          <w:rFonts w:ascii="Times New Roman" w:eastAsia="Times New Roman" w:hAnsi="Times New Roman" w:cs="Times New Roman"/>
          <w:sz w:val="24"/>
          <w:szCs w:val="24"/>
        </w:rPr>
        <w:t>,</w:t>
      </w:r>
      <w:r w:rsidRPr="00E378F7">
        <w:rPr>
          <w:rFonts w:ascii="Times New Roman" w:eastAsia="Times New Roman" w:hAnsi="Times New Roman" w:cs="Times New Roman"/>
          <w:sz w:val="24"/>
          <w:szCs w:val="24"/>
        </w:rPr>
        <w:t xml:space="preserve"> the economy shifts towards </w:t>
      </w:r>
      <w:r w:rsidR="00E06934">
        <w:rPr>
          <w:rFonts w:ascii="Times New Roman" w:eastAsia="Times New Roman" w:hAnsi="Times New Roman" w:cs="Times New Roman"/>
          <w:sz w:val="24"/>
          <w:szCs w:val="24"/>
        </w:rPr>
        <w:t xml:space="preserve">a </w:t>
      </w:r>
      <w:r w:rsidRPr="00E378F7">
        <w:rPr>
          <w:rFonts w:ascii="Times New Roman" w:eastAsia="Times New Roman" w:hAnsi="Times New Roman" w:cs="Times New Roman"/>
          <w:sz w:val="24"/>
          <w:szCs w:val="24"/>
        </w:rPr>
        <w:t>more service oriented</w:t>
      </w:r>
      <w:r w:rsidR="00E06934">
        <w:rPr>
          <w:rFonts w:ascii="Times New Roman" w:eastAsia="Times New Roman" w:hAnsi="Times New Roman" w:cs="Times New Roman"/>
          <w:sz w:val="24"/>
          <w:szCs w:val="24"/>
        </w:rPr>
        <w:t xml:space="preserve"> one</w:t>
      </w:r>
      <w:r w:rsidR="00B07290">
        <w:rPr>
          <w:rFonts w:ascii="Times New Roman" w:eastAsia="Times New Roman" w:hAnsi="Times New Roman" w:cs="Times New Roman"/>
          <w:sz w:val="24"/>
          <w:szCs w:val="24"/>
        </w:rPr>
        <w:t>.</w:t>
      </w:r>
    </w:p>
    <w:p w14:paraId="486A99FD" w14:textId="77777777" w:rsidR="00B07290" w:rsidRPr="00B07290" w:rsidRDefault="00B07290" w:rsidP="008E4E1C">
      <w:pPr>
        <w:spacing w:after="0" w:line="360" w:lineRule="auto"/>
        <w:jc w:val="both"/>
        <w:rPr>
          <w:rFonts w:ascii="Times New Roman" w:eastAsia="Times New Roman" w:hAnsi="Times New Roman" w:cs="Times New Roman"/>
          <w:sz w:val="24"/>
          <w:szCs w:val="24"/>
        </w:rPr>
      </w:pPr>
    </w:p>
    <w:p w14:paraId="763135DA" w14:textId="611181E2" w:rsidR="006F20DE" w:rsidRPr="00E378F7" w:rsidRDefault="00A242A7" w:rsidP="00696551">
      <w:pPr>
        <w:pStyle w:val="Heading2"/>
        <w:rPr>
          <w:rFonts w:eastAsia="Times New Roman"/>
        </w:rPr>
      </w:pPr>
      <w:bookmarkStart w:id="31" w:name="_Toc501031475"/>
      <w:r>
        <w:rPr>
          <w:rFonts w:eastAsia="Times New Roman"/>
        </w:rPr>
        <w:t>4.4</w:t>
      </w:r>
      <w:r w:rsidR="006F20DE" w:rsidRPr="00E378F7">
        <w:rPr>
          <w:rFonts w:eastAsia="Times New Roman"/>
        </w:rPr>
        <w:t xml:space="preserve"> A Trend Analysis of the Relationship between Financial De</w:t>
      </w:r>
      <w:r w:rsidR="00444692">
        <w:rPr>
          <w:rFonts w:eastAsia="Times New Roman"/>
        </w:rPr>
        <w:t>epening</w:t>
      </w:r>
      <w:r w:rsidR="006F20DE" w:rsidRPr="00E378F7">
        <w:rPr>
          <w:rFonts w:eastAsia="Times New Roman"/>
        </w:rPr>
        <w:t xml:space="preserve"> and Productivity Growth</w:t>
      </w:r>
      <w:bookmarkEnd w:id="31"/>
    </w:p>
    <w:p w14:paraId="74E04ACA" w14:textId="130CFBC1" w:rsidR="00711189" w:rsidRDefault="006F20DE" w:rsidP="008E4E1C">
      <w:pPr>
        <w:spacing w:after="0" w:line="360" w:lineRule="auto"/>
        <w:jc w:val="both"/>
        <w:rPr>
          <w:rFonts w:ascii="Times New Roman" w:eastAsia="Times New Roman" w:hAnsi="Times New Roman" w:cs="Times New Roman"/>
          <w:sz w:val="24"/>
          <w:szCs w:val="24"/>
        </w:rPr>
      </w:pPr>
      <w:r w:rsidRPr="00E378F7">
        <w:rPr>
          <w:rFonts w:ascii="Times New Roman" w:eastAsia="Times New Roman" w:hAnsi="Times New Roman" w:cs="Times New Roman"/>
          <w:sz w:val="24"/>
          <w:szCs w:val="24"/>
        </w:rPr>
        <w:t xml:space="preserve">The relationship between the financial development and productivity growth of a country can be explained with </w:t>
      </w:r>
      <w:r w:rsidR="00E06934">
        <w:rPr>
          <w:rFonts w:ascii="Times New Roman" w:eastAsia="Times New Roman" w:hAnsi="Times New Roman" w:cs="Times New Roman"/>
          <w:sz w:val="24"/>
          <w:szCs w:val="24"/>
        </w:rPr>
        <w:t xml:space="preserve">an </w:t>
      </w:r>
      <w:r w:rsidRPr="00E378F7">
        <w:rPr>
          <w:rFonts w:ascii="Times New Roman" w:eastAsia="Times New Roman" w:hAnsi="Times New Roman" w:cs="Times New Roman"/>
          <w:sz w:val="24"/>
          <w:szCs w:val="24"/>
        </w:rPr>
        <w:t xml:space="preserve">inverted U shape curve </w:t>
      </w:r>
      <w:sdt>
        <w:sdtPr>
          <w:rPr>
            <w:rFonts w:ascii="Times New Roman" w:eastAsia="Times New Roman" w:hAnsi="Times New Roman" w:cs="Times New Roman"/>
            <w:sz w:val="24"/>
            <w:szCs w:val="24"/>
          </w:rPr>
          <w:id w:val="1433013844"/>
          <w:citation/>
        </w:sdtPr>
        <w:sdtEndPr/>
        <w:sdtContent>
          <w:r w:rsidRPr="00AB1527">
            <w:rPr>
              <w:rFonts w:ascii="Times New Roman" w:eastAsia="Times New Roman" w:hAnsi="Times New Roman" w:cs="Times New Roman"/>
              <w:sz w:val="24"/>
              <w:szCs w:val="24"/>
            </w:rPr>
            <w:fldChar w:fldCharType="begin"/>
          </w:r>
          <w:r w:rsidRPr="00E378F7">
            <w:rPr>
              <w:rFonts w:ascii="Times New Roman" w:eastAsia="Times New Roman" w:hAnsi="Times New Roman" w:cs="Times New Roman"/>
              <w:sz w:val="24"/>
              <w:szCs w:val="24"/>
            </w:rPr>
            <w:instrText xml:space="preserve"> CITATION Giu09 \l 1033 </w:instrText>
          </w:r>
          <w:r w:rsidRPr="00AB1527">
            <w:rPr>
              <w:rFonts w:ascii="Times New Roman" w:eastAsia="Times New Roman" w:hAnsi="Times New Roman" w:cs="Times New Roman"/>
              <w:sz w:val="24"/>
              <w:szCs w:val="24"/>
            </w:rPr>
            <w:fldChar w:fldCharType="separate"/>
          </w:r>
          <w:r w:rsidRPr="00E378F7">
            <w:rPr>
              <w:rFonts w:ascii="Times New Roman" w:eastAsia="Times New Roman" w:hAnsi="Times New Roman" w:cs="Times New Roman"/>
              <w:noProof/>
              <w:sz w:val="24"/>
              <w:szCs w:val="24"/>
            </w:rPr>
            <w:t>(Fontana &amp; Setterfield, 2009)</w:t>
          </w:r>
          <w:r w:rsidRPr="00AB1527">
            <w:rPr>
              <w:rFonts w:ascii="Times New Roman" w:eastAsia="Times New Roman" w:hAnsi="Times New Roman" w:cs="Times New Roman"/>
              <w:sz w:val="24"/>
              <w:szCs w:val="24"/>
            </w:rPr>
            <w:fldChar w:fldCharType="end"/>
          </w:r>
        </w:sdtContent>
      </w:sdt>
      <w:r w:rsidRPr="00E378F7">
        <w:rPr>
          <w:rFonts w:ascii="Times New Roman" w:eastAsia="Times New Roman" w:hAnsi="Times New Roman" w:cs="Times New Roman"/>
          <w:sz w:val="24"/>
          <w:szCs w:val="24"/>
        </w:rPr>
        <w:t>. The underlying relationship is inverted U shape</w:t>
      </w:r>
      <w:r w:rsidR="00E06934">
        <w:rPr>
          <w:rFonts w:ascii="Times New Roman" w:eastAsia="Times New Roman" w:hAnsi="Times New Roman" w:cs="Times New Roman"/>
          <w:sz w:val="24"/>
          <w:szCs w:val="24"/>
        </w:rPr>
        <w:t>,</w:t>
      </w:r>
      <w:r w:rsidRPr="00E378F7">
        <w:rPr>
          <w:rFonts w:ascii="Times New Roman" w:eastAsia="Times New Roman" w:hAnsi="Times New Roman" w:cs="Times New Roman"/>
          <w:sz w:val="24"/>
          <w:szCs w:val="24"/>
        </w:rPr>
        <w:t xml:space="preserve"> as up to a certain stage with the increases of financial development as well as financial activities of the countries</w:t>
      </w:r>
      <w:r w:rsidR="00E06934">
        <w:rPr>
          <w:rFonts w:ascii="Times New Roman" w:eastAsia="Times New Roman" w:hAnsi="Times New Roman" w:cs="Times New Roman"/>
          <w:sz w:val="24"/>
          <w:szCs w:val="24"/>
        </w:rPr>
        <w:t>,</w:t>
      </w:r>
      <w:r w:rsidRPr="00E378F7">
        <w:rPr>
          <w:rFonts w:ascii="Times New Roman" w:eastAsia="Times New Roman" w:hAnsi="Times New Roman" w:cs="Times New Roman"/>
          <w:sz w:val="24"/>
          <w:szCs w:val="24"/>
        </w:rPr>
        <w:t xml:space="preserve"> the productivity growth increases, reaches maximum, and then with </w:t>
      </w:r>
      <w:r w:rsidR="00E06934">
        <w:rPr>
          <w:rFonts w:ascii="Times New Roman" w:eastAsia="Times New Roman" w:hAnsi="Times New Roman" w:cs="Times New Roman"/>
          <w:sz w:val="24"/>
          <w:szCs w:val="24"/>
        </w:rPr>
        <w:t>an</w:t>
      </w:r>
      <w:r w:rsidR="00E06934" w:rsidRPr="00E378F7">
        <w:rPr>
          <w:rFonts w:ascii="Times New Roman" w:eastAsia="Times New Roman" w:hAnsi="Times New Roman" w:cs="Times New Roman"/>
          <w:sz w:val="24"/>
          <w:szCs w:val="24"/>
        </w:rPr>
        <w:t xml:space="preserve"> </w:t>
      </w:r>
      <w:r w:rsidRPr="00E378F7">
        <w:rPr>
          <w:rFonts w:ascii="Times New Roman" w:eastAsia="Times New Roman" w:hAnsi="Times New Roman" w:cs="Times New Roman"/>
          <w:sz w:val="24"/>
          <w:szCs w:val="24"/>
        </w:rPr>
        <w:t>increase of financial development as well as financial activities of the countries</w:t>
      </w:r>
      <w:r w:rsidR="00E06934">
        <w:rPr>
          <w:rFonts w:ascii="Times New Roman" w:eastAsia="Times New Roman" w:hAnsi="Times New Roman" w:cs="Times New Roman"/>
          <w:sz w:val="24"/>
          <w:szCs w:val="24"/>
        </w:rPr>
        <w:t>,</w:t>
      </w:r>
      <w:r w:rsidRPr="00E378F7">
        <w:rPr>
          <w:rFonts w:ascii="Times New Roman" w:eastAsia="Times New Roman" w:hAnsi="Times New Roman" w:cs="Times New Roman"/>
          <w:sz w:val="24"/>
          <w:szCs w:val="24"/>
        </w:rPr>
        <w:t xml:space="preserve"> </w:t>
      </w:r>
      <w:r w:rsidR="00E06934">
        <w:rPr>
          <w:rFonts w:ascii="Times New Roman" w:eastAsia="Times New Roman" w:hAnsi="Times New Roman" w:cs="Times New Roman"/>
          <w:sz w:val="24"/>
          <w:szCs w:val="24"/>
        </w:rPr>
        <w:t>it</w:t>
      </w:r>
      <w:r w:rsidRPr="00E378F7">
        <w:rPr>
          <w:rFonts w:ascii="Times New Roman" w:eastAsia="Times New Roman" w:hAnsi="Times New Roman" w:cs="Times New Roman"/>
          <w:sz w:val="24"/>
          <w:szCs w:val="24"/>
        </w:rPr>
        <w:t xml:space="preserve"> decreases </w:t>
      </w:r>
      <w:sdt>
        <w:sdtPr>
          <w:rPr>
            <w:rFonts w:ascii="Times New Roman" w:eastAsia="Times New Roman" w:hAnsi="Times New Roman" w:cs="Times New Roman"/>
            <w:sz w:val="24"/>
            <w:szCs w:val="24"/>
          </w:rPr>
          <w:id w:val="1294711157"/>
          <w:citation/>
        </w:sdtPr>
        <w:sdtEndPr/>
        <w:sdtContent>
          <w:r w:rsidRPr="00AB1527">
            <w:rPr>
              <w:rFonts w:ascii="Times New Roman" w:eastAsia="Times New Roman" w:hAnsi="Times New Roman" w:cs="Times New Roman"/>
              <w:sz w:val="24"/>
              <w:szCs w:val="24"/>
            </w:rPr>
            <w:fldChar w:fldCharType="begin"/>
          </w:r>
          <w:r w:rsidRPr="00E378F7">
            <w:rPr>
              <w:rFonts w:ascii="Times New Roman" w:eastAsia="Times New Roman" w:hAnsi="Times New Roman" w:cs="Times New Roman"/>
              <w:sz w:val="24"/>
              <w:szCs w:val="24"/>
            </w:rPr>
            <w:instrText xml:space="preserve"> CITATION Rob101 \l 1033 </w:instrText>
          </w:r>
          <w:r w:rsidRPr="00AB1527">
            <w:rPr>
              <w:rFonts w:ascii="Times New Roman" w:eastAsia="Times New Roman" w:hAnsi="Times New Roman" w:cs="Times New Roman"/>
              <w:sz w:val="24"/>
              <w:szCs w:val="24"/>
            </w:rPr>
            <w:fldChar w:fldCharType="separate"/>
          </w:r>
          <w:r w:rsidRPr="00E378F7">
            <w:rPr>
              <w:rFonts w:ascii="Times New Roman" w:eastAsia="Times New Roman" w:hAnsi="Times New Roman" w:cs="Times New Roman"/>
              <w:noProof/>
              <w:sz w:val="24"/>
              <w:szCs w:val="24"/>
            </w:rPr>
            <w:t>(Barro, 2010)</w:t>
          </w:r>
          <w:r w:rsidRPr="00AB1527">
            <w:rPr>
              <w:rFonts w:ascii="Times New Roman" w:eastAsia="Times New Roman" w:hAnsi="Times New Roman" w:cs="Times New Roman"/>
              <w:sz w:val="24"/>
              <w:szCs w:val="24"/>
            </w:rPr>
            <w:fldChar w:fldCharType="end"/>
          </w:r>
        </w:sdtContent>
      </w:sdt>
      <w:r w:rsidRPr="00E378F7">
        <w:rPr>
          <w:rFonts w:ascii="Times New Roman" w:eastAsia="Times New Roman" w:hAnsi="Times New Roman" w:cs="Times New Roman"/>
          <w:sz w:val="24"/>
          <w:szCs w:val="24"/>
        </w:rPr>
        <w:t xml:space="preserve">. This is due to </w:t>
      </w:r>
      <w:r w:rsidR="00E06934">
        <w:rPr>
          <w:rFonts w:ascii="Times New Roman" w:eastAsia="Times New Roman" w:hAnsi="Times New Roman" w:cs="Times New Roman"/>
          <w:sz w:val="24"/>
          <w:szCs w:val="24"/>
        </w:rPr>
        <w:t xml:space="preserve">the </w:t>
      </w:r>
      <w:r w:rsidRPr="00E378F7">
        <w:rPr>
          <w:rFonts w:ascii="Times New Roman" w:eastAsia="Times New Roman" w:hAnsi="Times New Roman" w:cs="Times New Roman"/>
          <w:sz w:val="24"/>
          <w:szCs w:val="24"/>
        </w:rPr>
        <w:t>increasing return</w:t>
      </w:r>
      <w:r w:rsidR="00E06934">
        <w:rPr>
          <w:rFonts w:ascii="Times New Roman" w:eastAsia="Times New Roman" w:hAnsi="Times New Roman" w:cs="Times New Roman"/>
          <w:sz w:val="24"/>
          <w:szCs w:val="24"/>
        </w:rPr>
        <w:t>s</w:t>
      </w:r>
      <w:r w:rsidRPr="00E378F7">
        <w:rPr>
          <w:rFonts w:ascii="Times New Roman" w:eastAsia="Times New Roman" w:hAnsi="Times New Roman" w:cs="Times New Roman"/>
          <w:sz w:val="24"/>
          <w:szCs w:val="24"/>
        </w:rPr>
        <w:t xml:space="preserve"> to scale at the initial stage of financial development, and decreasing return</w:t>
      </w:r>
      <w:r w:rsidR="00E06934">
        <w:rPr>
          <w:rFonts w:ascii="Times New Roman" w:eastAsia="Times New Roman" w:hAnsi="Times New Roman" w:cs="Times New Roman"/>
          <w:sz w:val="24"/>
          <w:szCs w:val="24"/>
        </w:rPr>
        <w:t>s</w:t>
      </w:r>
      <w:r w:rsidRPr="00E378F7">
        <w:rPr>
          <w:rFonts w:ascii="Times New Roman" w:eastAsia="Times New Roman" w:hAnsi="Times New Roman" w:cs="Times New Roman"/>
          <w:sz w:val="24"/>
          <w:szCs w:val="24"/>
        </w:rPr>
        <w:t xml:space="preserve"> to scale </w:t>
      </w:r>
      <w:r w:rsidR="00E06934" w:rsidRPr="00E378F7">
        <w:rPr>
          <w:rFonts w:ascii="Times New Roman" w:eastAsia="Times New Roman" w:hAnsi="Times New Roman" w:cs="Times New Roman"/>
          <w:sz w:val="24"/>
          <w:szCs w:val="24"/>
        </w:rPr>
        <w:t>a</w:t>
      </w:r>
      <w:r w:rsidR="00E06934">
        <w:rPr>
          <w:rFonts w:ascii="Times New Roman" w:eastAsia="Times New Roman" w:hAnsi="Times New Roman" w:cs="Times New Roman"/>
          <w:sz w:val="24"/>
          <w:szCs w:val="24"/>
        </w:rPr>
        <w:t>t</w:t>
      </w:r>
      <w:r w:rsidR="00E06934" w:rsidRPr="00E378F7">
        <w:rPr>
          <w:rFonts w:ascii="Times New Roman" w:eastAsia="Times New Roman" w:hAnsi="Times New Roman" w:cs="Times New Roman"/>
          <w:sz w:val="24"/>
          <w:szCs w:val="24"/>
        </w:rPr>
        <w:t xml:space="preserve"> </w:t>
      </w:r>
      <w:r w:rsidRPr="00E378F7">
        <w:rPr>
          <w:rFonts w:ascii="Times New Roman" w:eastAsia="Times New Roman" w:hAnsi="Times New Roman" w:cs="Times New Roman"/>
          <w:sz w:val="24"/>
          <w:szCs w:val="24"/>
        </w:rPr>
        <w:t xml:space="preserve">the later stage of financial development </w:t>
      </w:r>
      <w:sdt>
        <w:sdtPr>
          <w:rPr>
            <w:rFonts w:ascii="Times New Roman" w:eastAsia="Times New Roman" w:hAnsi="Times New Roman" w:cs="Times New Roman"/>
            <w:sz w:val="24"/>
            <w:szCs w:val="24"/>
          </w:rPr>
          <w:id w:val="908262047"/>
          <w:citation/>
        </w:sdtPr>
        <w:sdtEndPr/>
        <w:sdtContent>
          <w:r w:rsidRPr="00AB1527">
            <w:rPr>
              <w:rFonts w:ascii="Times New Roman" w:eastAsia="Times New Roman" w:hAnsi="Times New Roman" w:cs="Times New Roman"/>
              <w:sz w:val="24"/>
              <w:szCs w:val="24"/>
            </w:rPr>
            <w:fldChar w:fldCharType="begin"/>
          </w:r>
          <w:r w:rsidRPr="00E378F7">
            <w:rPr>
              <w:rFonts w:ascii="Times New Roman" w:eastAsia="Times New Roman" w:hAnsi="Times New Roman" w:cs="Times New Roman"/>
              <w:sz w:val="24"/>
              <w:szCs w:val="24"/>
            </w:rPr>
            <w:instrText xml:space="preserve"> CITATION And08 \l 1033 </w:instrText>
          </w:r>
          <w:r w:rsidRPr="00AB1527">
            <w:rPr>
              <w:rFonts w:ascii="Times New Roman" w:eastAsia="Times New Roman" w:hAnsi="Times New Roman" w:cs="Times New Roman"/>
              <w:sz w:val="24"/>
              <w:szCs w:val="24"/>
            </w:rPr>
            <w:fldChar w:fldCharType="separate"/>
          </w:r>
          <w:r w:rsidRPr="00E378F7">
            <w:rPr>
              <w:rFonts w:ascii="Times New Roman" w:eastAsia="Times New Roman" w:hAnsi="Times New Roman" w:cs="Times New Roman"/>
              <w:noProof/>
              <w:sz w:val="24"/>
              <w:szCs w:val="24"/>
            </w:rPr>
            <w:t>(Abel &amp; Bernanke, 2008)</w:t>
          </w:r>
          <w:r w:rsidRPr="00AB1527">
            <w:rPr>
              <w:rFonts w:ascii="Times New Roman" w:eastAsia="Times New Roman" w:hAnsi="Times New Roman" w:cs="Times New Roman"/>
              <w:sz w:val="24"/>
              <w:szCs w:val="24"/>
            </w:rPr>
            <w:fldChar w:fldCharType="end"/>
          </w:r>
        </w:sdtContent>
      </w:sdt>
      <w:r w:rsidR="00B07290">
        <w:rPr>
          <w:rFonts w:ascii="Times New Roman" w:eastAsia="Times New Roman" w:hAnsi="Times New Roman" w:cs="Times New Roman"/>
          <w:sz w:val="24"/>
          <w:szCs w:val="24"/>
        </w:rPr>
        <w:t>.</w:t>
      </w:r>
    </w:p>
    <w:p w14:paraId="7422DA93" w14:textId="77777777" w:rsidR="00B07290" w:rsidRPr="00B07290" w:rsidRDefault="00B07290" w:rsidP="008E4E1C">
      <w:pPr>
        <w:spacing w:after="0" w:line="360" w:lineRule="auto"/>
        <w:jc w:val="both"/>
        <w:rPr>
          <w:rFonts w:ascii="Times New Roman" w:eastAsia="Times New Roman" w:hAnsi="Times New Roman" w:cs="Times New Roman"/>
          <w:sz w:val="24"/>
          <w:szCs w:val="24"/>
        </w:rPr>
      </w:pPr>
    </w:p>
    <w:p w14:paraId="5BA2172D" w14:textId="22367653" w:rsidR="00466785" w:rsidRPr="00E378F7" w:rsidRDefault="00A242A7" w:rsidP="006C1DD4">
      <w:pPr>
        <w:pStyle w:val="Heading2"/>
      </w:pPr>
      <w:bookmarkStart w:id="32" w:name="_Toc501031476"/>
      <w:r>
        <w:lastRenderedPageBreak/>
        <w:t>GRAPH 4:5</w:t>
      </w:r>
      <w:r w:rsidR="002F45F1">
        <w:t xml:space="preserve"> – 7 SAMPLED EMERGING COUNTRIES</w:t>
      </w:r>
      <w:bookmarkEnd w:id="32"/>
    </w:p>
    <w:p w14:paraId="745FF37C" w14:textId="77777777" w:rsidR="00466785" w:rsidRPr="00E378F7" w:rsidRDefault="007651DD" w:rsidP="008E4E1C">
      <w:pPr>
        <w:spacing w:after="200" w:line="360" w:lineRule="auto"/>
        <w:jc w:val="both"/>
        <w:rPr>
          <w:rFonts w:ascii="Times New Roman" w:hAnsi="Times New Roman"/>
          <w:b/>
          <w:sz w:val="24"/>
          <w:szCs w:val="24"/>
        </w:rPr>
      </w:pPr>
      <w:r w:rsidRPr="00AB1527">
        <w:rPr>
          <w:noProof/>
        </w:rPr>
        <w:drawing>
          <wp:inline distT="0" distB="0" distL="0" distR="0" wp14:anchorId="225E2CB3" wp14:editId="41854C90">
            <wp:extent cx="5286375" cy="3657600"/>
            <wp:effectExtent l="0" t="0" r="9525" b="0"/>
            <wp:docPr id="5" name="Chart 5">
              <a:extLst xmlns:a="http://schemas.openxmlformats.org/drawingml/2006/main">
                <a:ext uri="{FF2B5EF4-FFF2-40B4-BE49-F238E27FC236}">
                  <a16:creationId xmlns:a16="http://schemas.microsoft.com/office/drawing/2014/main" id="{9CBEF146-902D-4C6E-9737-40BCABEDFAF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200CC998" w14:textId="77777777" w:rsidR="00466785" w:rsidRPr="00E378F7" w:rsidRDefault="00466785" w:rsidP="008E4E1C">
      <w:pPr>
        <w:spacing w:after="200" w:line="360" w:lineRule="auto"/>
        <w:jc w:val="both"/>
        <w:rPr>
          <w:rFonts w:ascii="Times New Roman" w:hAnsi="Times New Roman"/>
          <w:b/>
          <w:sz w:val="24"/>
          <w:szCs w:val="24"/>
        </w:rPr>
      </w:pPr>
    </w:p>
    <w:p w14:paraId="1B963C24" w14:textId="4A724A84" w:rsidR="002F45F1" w:rsidRDefault="002F45F1" w:rsidP="006C1DD4">
      <w:pPr>
        <w:pStyle w:val="Heading2"/>
      </w:pPr>
      <w:bookmarkStart w:id="33" w:name="_Toc501031477"/>
      <w:r>
        <w:t>GRAPH 4:6- 4 SAMPLED EMERGING COUNTRIES</w:t>
      </w:r>
      <w:bookmarkEnd w:id="33"/>
    </w:p>
    <w:p w14:paraId="259E9547" w14:textId="2A1C5283" w:rsidR="00466785" w:rsidRPr="00E378F7" w:rsidRDefault="007651DD" w:rsidP="008E4E1C">
      <w:pPr>
        <w:spacing w:after="200" w:line="360" w:lineRule="auto"/>
        <w:jc w:val="both"/>
        <w:rPr>
          <w:rFonts w:ascii="Times New Roman" w:hAnsi="Times New Roman"/>
          <w:b/>
          <w:sz w:val="24"/>
          <w:szCs w:val="24"/>
        </w:rPr>
      </w:pPr>
      <w:r w:rsidRPr="00AB1527">
        <w:rPr>
          <w:noProof/>
        </w:rPr>
        <w:drawing>
          <wp:inline distT="0" distB="0" distL="0" distR="0" wp14:anchorId="2D02FE14" wp14:editId="71363180">
            <wp:extent cx="5060950" cy="3286125"/>
            <wp:effectExtent l="0" t="0" r="6350" b="9525"/>
            <wp:docPr id="7" name="Chart 7">
              <a:extLst xmlns:a="http://schemas.openxmlformats.org/drawingml/2006/main">
                <a:ext uri="{FF2B5EF4-FFF2-40B4-BE49-F238E27FC236}">
                  <a16:creationId xmlns:a16="http://schemas.microsoft.com/office/drawing/2014/main" id="{54499805-24E8-4627-BD5C-D5EF92EB9A5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32925A25" w14:textId="77777777" w:rsidR="00466785" w:rsidRPr="00E378F7" w:rsidRDefault="00466785" w:rsidP="008E4E1C">
      <w:pPr>
        <w:spacing w:after="200" w:line="360" w:lineRule="auto"/>
        <w:jc w:val="both"/>
        <w:rPr>
          <w:rFonts w:ascii="Times New Roman" w:hAnsi="Times New Roman"/>
          <w:b/>
          <w:sz w:val="24"/>
          <w:szCs w:val="24"/>
        </w:rPr>
      </w:pPr>
    </w:p>
    <w:p w14:paraId="104D774B" w14:textId="09CB1841" w:rsidR="00306ECF" w:rsidRPr="00E378F7" w:rsidRDefault="002F45F1" w:rsidP="006C1DD4">
      <w:pPr>
        <w:pStyle w:val="Heading2"/>
      </w:pPr>
      <w:bookmarkStart w:id="34" w:name="_Toc501031478"/>
      <w:r>
        <w:lastRenderedPageBreak/>
        <w:t>GRAPH 4:7-4 SAMPLED EMERGING COUNTRIES</w:t>
      </w:r>
      <w:bookmarkEnd w:id="34"/>
    </w:p>
    <w:p w14:paraId="7998976D" w14:textId="4B57E31A" w:rsidR="00B07290" w:rsidRDefault="00360EB4" w:rsidP="008E4E1C">
      <w:pPr>
        <w:spacing w:after="200" w:line="360" w:lineRule="auto"/>
        <w:jc w:val="both"/>
        <w:rPr>
          <w:rFonts w:ascii="Times New Roman" w:hAnsi="Times New Roman"/>
          <w:b/>
          <w:sz w:val="24"/>
          <w:szCs w:val="24"/>
        </w:rPr>
      </w:pPr>
      <w:r w:rsidRPr="00AB1527">
        <w:rPr>
          <w:noProof/>
        </w:rPr>
        <w:drawing>
          <wp:inline distT="0" distB="0" distL="0" distR="0" wp14:anchorId="589A83F9" wp14:editId="537508F8">
            <wp:extent cx="5026025" cy="3032760"/>
            <wp:effectExtent l="0" t="0" r="3175" b="15240"/>
            <wp:docPr id="8" name="Chart 8">
              <a:extLst xmlns:a="http://schemas.openxmlformats.org/drawingml/2006/main">
                <a:ext uri="{FF2B5EF4-FFF2-40B4-BE49-F238E27FC236}">
                  <a16:creationId xmlns:a16="http://schemas.microsoft.com/office/drawing/2014/main" id="{387C6FCA-C5B4-4DE1-A9C8-8F4BED8F81A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05B03C82" w14:textId="02D8A3D7" w:rsidR="004D3814" w:rsidRDefault="004D3814" w:rsidP="008E4E1C">
      <w:pPr>
        <w:spacing w:after="200" w:line="360" w:lineRule="auto"/>
        <w:jc w:val="both"/>
        <w:rPr>
          <w:rFonts w:ascii="Times New Roman" w:hAnsi="Times New Roman"/>
          <w:b/>
          <w:sz w:val="24"/>
          <w:szCs w:val="24"/>
        </w:rPr>
      </w:pPr>
    </w:p>
    <w:p w14:paraId="4C1213D2" w14:textId="77777777" w:rsidR="00EB0D1A" w:rsidRPr="00E378F7" w:rsidRDefault="00EB0D1A" w:rsidP="008E4E1C">
      <w:pPr>
        <w:spacing w:after="200" w:line="360" w:lineRule="auto"/>
        <w:jc w:val="both"/>
        <w:rPr>
          <w:rFonts w:ascii="Times New Roman" w:hAnsi="Times New Roman"/>
          <w:b/>
          <w:sz w:val="24"/>
          <w:szCs w:val="24"/>
        </w:rPr>
      </w:pPr>
    </w:p>
    <w:p w14:paraId="25FB1EDD" w14:textId="086171E4" w:rsidR="00360EB4" w:rsidRPr="00E378F7" w:rsidRDefault="002F45F1" w:rsidP="006C1DD4">
      <w:pPr>
        <w:pStyle w:val="Heading2"/>
      </w:pPr>
      <w:bookmarkStart w:id="35" w:name="_Toc501031479"/>
      <w:r>
        <w:t>GRAPH 4:8- 5 SAMPLED EMERGING COUNTRIES</w:t>
      </w:r>
      <w:bookmarkEnd w:id="35"/>
    </w:p>
    <w:p w14:paraId="2DDBC925" w14:textId="77777777" w:rsidR="00360EB4" w:rsidRPr="00E378F7" w:rsidRDefault="00306ECF" w:rsidP="008E4E1C">
      <w:pPr>
        <w:spacing w:after="200" w:line="360" w:lineRule="auto"/>
        <w:jc w:val="both"/>
        <w:rPr>
          <w:rFonts w:ascii="Times New Roman" w:hAnsi="Times New Roman"/>
          <w:b/>
          <w:sz w:val="24"/>
          <w:szCs w:val="24"/>
        </w:rPr>
      </w:pPr>
      <w:r w:rsidRPr="00AB1527">
        <w:rPr>
          <w:noProof/>
        </w:rPr>
        <w:drawing>
          <wp:inline distT="0" distB="0" distL="0" distR="0" wp14:anchorId="4EF179A7" wp14:editId="29A55CDF">
            <wp:extent cx="5254625" cy="2914650"/>
            <wp:effectExtent l="0" t="0" r="3175" b="0"/>
            <wp:docPr id="9" name="Chart 9">
              <a:extLst xmlns:a="http://schemas.openxmlformats.org/drawingml/2006/main">
                <a:ext uri="{FF2B5EF4-FFF2-40B4-BE49-F238E27FC236}">
                  <a16:creationId xmlns:a16="http://schemas.microsoft.com/office/drawing/2014/main" id="{A1C5327A-92FC-4157-A1D1-D71236823BE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611AA4DF" w14:textId="77777777" w:rsidR="00CF7B35" w:rsidRDefault="00306ECF" w:rsidP="008E4E1C">
      <w:pPr>
        <w:spacing w:after="0" w:line="360" w:lineRule="auto"/>
        <w:jc w:val="both"/>
        <w:rPr>
          <w:rFonts w:ascii="Times New Roman" w:eastAsia="Times New Roman" w:hAnsi="Times New Roman" w:cs="Times New Roman"/>
          <w:sz w:val="24"/>
          <w:szCs w:val="24"/>
        </w:rPr>
      </w:pPr>
      <w:r w:rsidRPr="00E378F7">
        <w:rPr>
          <w:rFonts w:ascii="Times New Roman" w:eastAsia="Times New Roman" w:hAnsi="Times New Roman" w:cs="Times New Roman"/>
          <w:sz w:val="24"/>
          <w:szCs w:val="24"/>
        </w:rPr>
        <w:t>From all the</w:t>
      </w:r>
      <w:r w:rsidR="00360EB4" w:rsidRPr="00E378F7">
        <w:rPr>
          <w:rFonts w:ascii="Times New Roman" w:eastAsia="Times New Roman" w:hAnsi="Times New Roman" w:cs="Times New Roman"/>
          <w:sz w:val="24"/>
          <w:szCs w:val="24"/>
        </w:rPr>
        <w:t xml:space="preserve"> graphs</w:t>
      </w:r>
      <w:r w:rsidR="00CF7B35">
        <w:rPr>
          <w:rFonts w:ascii="Times New Roman" w:eastAsia="Times New Roman" w:hAnsi="Times New Roman" w:cs="Times New Roman"/>
          <w:sz w:val="24"/>
          <w:szCs w:val="24"/>
        </w:rPr>
        <w:t xml:space="preserve"> (Graphs 4:5, 4:6, 4:7 &amp; 4:8</w:t>
      </w:r>
      <w:r w:rsidR="00854FF0" w:rsidRPr="00E378F7">
        <w:rPr>
          <w:rFonts w:ascii="Times New Roman" w:eastAsia="Times New Roman" w:hAnsi="Times New Roman" w:cs="Times New Roman"/>
          <w:sz w:val="24"/>
          <w:szCs w:val="24"/>
        </w:rPr>
        <w:t>)</w:t>
      </w:r>
      <w:r w:rsidR="00360EB4" w:rsidRPr="00E378F7">
        <w:rPr>
          <w:rFonts w:ascii="Times New Roman" w:eastAsia="Times New Roman" w:hAnsi="Times New Roman" w:cs="Times New Roman"/>
          <w:sz w:val="24"/>
          <w:szCs w:val="24"/>
        </w:rPr>
        <w:t xml:space="preserve"> above, t</w:t>
      </w:r>
      <w:r w:rsidR="007651DD" w:rsidRPr="00E378F7">
        <w:rPr>
          <w:rFonts w:ascii="Times New Roman" w:eastAsia="Times New Roman" w:hAnsi="Times New Roman" w:cs="Times New Roman"/>
          <w:sz w:val="24"/>
          <w:szCs w:val="24"/>
        </w:rPr>
        <w:t>he relationship</w:t>
      </w:r>
      <w:r w:rsidR="00CF7B35">
        <w:rPr>
          <w:rFonts w:ascii="Times New Roman" w:eastAsia="Times New Roman" w:hAnsi="Times New Roman" w:cs="Times New Roman"/>
          <w:sz w:val="24"/>
          <w:szCs w:val="24"/>
        </w:rPr>
        <w:t xml:space="preserve"> between productivity growth and financial development by</w:t>
      </w:r>
      <w:r w:rsidR="007651DD" w:rsidRPr="00E378F7">
        <w:rPr>
          <w:rFonts w:ascii="Times New Roman" w:eastAsia="Times New Roman" w:hAnsi="Times New Roman" w:cs="Times New Roman"/>
          <w:sz w:val="24"/>
          <w:szCs w:val="24"/>
        </w:rPr>
        <w:t xml:space="preserve"> </w:t>
      </w:r>
      <w:r w:rsidR="00E06934" w:rsidRPr="00E378F7">
        <w:rPr>
          <w:rFonts w:ascii="Times New Roman" w:eastAsia="Times New Roman" w:hAnsi="Times New Roman" w:cs="Times New Roman"/>
          <w:sz w:val="24"/>
          <w:szCs w:val="24"/>
        </w:rPr>
        <w:t>classif</w:t>
      </w:r>
      <w:r w:rsidR="00E06934">
        <w:rPr>
          <w:rFonts w:ascii="Times New Roman" w:eastAsia="Times New Roman" w:hAnsi="Times New Roman" w:cs="Times New Roman"/>
          <w:sz w:val="24"/>
          <w:szCs w:val="24"/>
        </w:rPr>
        <w:t>ying</w:t>
      </w:r>
      <w:r w:rsidR="00E06934" w:rsidRPr="00E378F7">
        <w:rPr>
          <w:rFonts w:ascii="Times New Roman" w:eastAsia="Times New Roman" w:hAnsi="Times New Roman" w:cs="Times New Roman"/>
          <w:sz w:val="24"/>
          <w:szCs w:val="24"/>
        </w:rPr>
        <w:t xml:space="preserve"> </w:t>
      </w:r>
      <w:r w:rsidR="007651DD" w:rsidRPr="00E378F7">
        <w:rPr>
          <w:rFonts w:ascii="Times New Roman" w:eastAsia="Times New Roman" w:hAnsi="Times New Roman" w:cs="Times New Roman"/>
          <w:sz w:val="24"/>
          <w:szCs w:val="24"/>
        </w:rPr>
        <w:t xml:space="preserve">the emerging countries </w:t>
      </w:r>
      <w:r w:rsidR="00CF7B35">
        <w:rPr>
          <w:rFonts w:ascii="Times New Roman" w:eastAsia="Times New Roman" w:hAnsi="Times New Roman" w:cs="Times New Roman"/>
          <w:sz w:val="24"/>
          <w:szCs w:val="24"/>
        </w:rPr>
        <w:t xml:space="preserve">in line with similar economic characteristics seems unclear relationships because of </w:t>
      </w:r>
      <w:r w:rsidR="007651DD" w:rsidRPr="00E378F7">
        <w:rPr>
          <w:rFonts w:ascii="Times New Roman" w:eastAsia="Times New Roman" w:hAnsi="Times New Roman" w:cs="Times New Roman"/>
          <w:sz w:val="24"/>
          <w:szCs w:val="24"/>
        </w:rPr>
        <w:t>outlier values for Nigeria, Greece</w:t>
      </w:r>
      <w:r w:rsidR="00CF7B35">
        <w:rPr>
          <w:rFonts w:ascii="Times New Roman" w:eastAsia="Times New Roman" w:hAnsi="Times New Roman" w:cs="Times New Roman"/>
          <w:sz w:val="24"/>
          <w:szCs w:val="24"/>
        </w:rPr>
        <w:t>, Mexico, and Russia</w:t>
      </w:r>
      <w:r w:rsidR="00360EB4" w:rsidRPr="00E378F7">
        <w:rPr>
          <w:rFonts w:ascii="Times New Roman" w:eastAsia="Times New Roman" w:hAnsi="Times New Roman" w:cs="Times New Roman"/>
          <w:sz w:val="24"/>
          <w:szCs w:val="24"/>
        </w:rPr>
        <w:t>.</w:t>
      </w:r>
      <w:r w:rsidR="00CF7B35">
        <w:rPr>
          <w:rFonts w:ascii="Times New Roman" w:eastAsia="Times New Roman" w:hAnsi="Times New Roman" w:cs="Times New Roman"/>
          <w:sz w:val="24"/>
          <w:szCs w:val="24"/>
        </w:rPr>
        <w:t xml:space="preserve"> However, in chapter 5</w:t>
      </w:r>
      <w:r w:rsidR="00E06934">
        <w:rPr>
          <w:rFonts w:ascii="Times New Roman" w:eastAsia="Times New Roman" w:hAnsi="Times New Roman" w:cs="Times New Roman"/>
          <w:sz w:val="24"/>
          <w:szCs w:val="24"/>
        </w:rPr>
        <w:t>,</w:t>
      </w:r>
      <w:r w:rsidRPr="00E378F7">
        <w:rPr>
          <w:rFonts w:ascii="Times New Roman" w:eastAsia="Times New Roman" w:hAnsi="Times New Roman" w:cs="Times New Roman"/>
          <w:sz w:val="24"/>
          <w:szCs w:val="24"/>
        </w:rPr>
        <w:t xml:space="preserve"> when </w:t>
      </w:r>
      <w:r w:rsidRPr="00E378F7">
        <w:rPr>
          <w:rFonts w:ascii="Times New Roman" w:eastAsia="Times New Roman" w:hAnsi="Times New Roman" w:cs="Times New Roman"/>
          <w:sz w:val="24"/>
          <w:szCs w:val="24"/>
        </w:rPr>
        <w:lastRenderedPageBreak/>
        <w:t xml:space="preserve">you use the average of </w:t>
      </w:r>
      <w:r w:rsidR="00CF7B35">
        <w:rPr>
          <w:rFonts w:ascii="Times New Roman" w:eastAsia="Times New Roman" w:hAnsi="Times New Roman" w:cs="Times New Roman"/>
          <w:sz w:val="24"/>
          <w:szCs w:val="24"/>
        </w:rPr>
        <w:t xml:space="preserve">22 </w:t>
      </w:r>
      <w:r w:rsidRPr="00E378F7">
        <w:rPr>
          <w:rFonts w:ascii="Times New Roman" w:eastAsia="Times New Roman" w:hAnsi="Times New Roman" w:cs="Times New Roman"/>
          <w:sz w:val="24"/>
          <w:szCs w:val="24"/>
        </w:rPr>
        <w:t xml:space="preserve">emerging countries, the U shape will confirm that there is </w:t>
      </w:r>
      <w:r w:rsidR="00E06934">
        <w:rPr>
          <w:rFonts w:ascii="Times New Roman" w:eastAsia="Times New Roman" w:hAnsi="Times New Roman" w:cs="Times New Roman"/>
          <w:sz w:val="24"/>
          <w:szCs w:val="24"/>
        </w:rPr>
        <w:t xml:space="preserve">a </w:t>
      </w:r>
      <w:r w:rsidRPr="00E378F7">
        <w:rPr>
          <w:rFonts w:ascii="Times New Roman" w:eastAsia="Times New Roman" w:hAnsi="Times New Roman" w:cs="Times New Roman"/>
          <w:sz w:val="24"/>
          <w:szCs w:val="24"/>
        </w:rPr>
        <w:t>non</w:t>
      </w:r>
      <w:r w:rsidR="00FE3083" w:rsidRPr="00E378F7">
        <w:rPr>
          <w:rFonts w:ascii="Times New Roman" w:eastAsia="Times New Roman" w:hAnsi="Times New Roman" w:cs="Times New Roman"/>
          <w:sz w:val="24"/>
          <w:szCs w:val="24"/>
        </w:rPr>
        <w:t>linear relationship between the variables</w:t>
      </w:r>
      <w:r w:rsidRPr="00E378F7">
        <w:rPr>
          <w:rFonts w:ascii="Times New Roman" w:eastAsia="Times New Roman" w:hAnsi="Times New Roman" w:cs="Times New Roman"/>
          <w:sz w:val="24"/>
          <w:szCs w:val="24"/>
        </w:rPr>
        <w:t xml:space="preserve">. </w:t>
      </w:r>
    </w:p>
    <w:p w14:paraId="2C2EA287" w14:textId="77777777" w:rsidR="00CF7B35" w:rsidRDefault="00CF7B35" w:rsidP="008E4E1C">
      <w:pPr>
        <w:spacing w:after="0" w:line="360" w:lineRule="auto"/>
        <w:jc w:val="both"/>
        <w:rPr>
          <w:rFonts w:ascii="Times New Roman" w:eastAsia="Times New Roman" w:hAnsi="Times New Roman" w:cs="Times New Roman"/>
          <w:sz w:val="24"/>
          <w:szCs w:val="24"/>
        </w:rPr>
      </w:pPr>
    </w:p>
    <w:p w14:paraId="63C06782" w14:textId="2DBFA521" w:rsidR="00306ECF" w:rsidRPr="00E378F7" w:rsidRDefault="006E78A8" w:rsidP="008E4E1C">
      <w:pPr>
        <w:spacing w:after="0"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T</w:t>
      </w:r>
      <w:r w:rsidRPr="008937B5">
        <w:rPr>
          <w:rFonts w:ascii="Times New Roman" w:eastAsia="Times New Roman" w:hAnsi="Times New Roman" w:cs="Times New Roman"/>
          <w:sz w:val="24"/>
          <w:szCs w:val="24"/>
        </w:rPr>
        <w:t>he TFP growth was lower</w:t>
      </w:r>
      <w:r w:rsidRPr="00E378F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f</w:t>
      </w:r>
      <w:r w:rsidRPr="00E378F7">
        <w:rPr>
          <w:rFonts w:ascii="Times New Roman" w:eastAsia="Times New Roman" w:hAnsi="Times New Roman" w:cs="Times New Roman"/>
          <w:sz w:val="24"/>
          <w:szCs w:val="24"/>
        </w:rPr>
        <w:t xml:space="preserve">or </w:t>
      </w:r>
      <w:r w:rsidR="007651DD" w:rsidRPr="00E378F7">
        <w:rPr>
          <w:rFonts w:ascii="Times New Roman" w:eastAsia="Times New Roman" w:hAnsi="Times New Roman" w:cs="Times New Roman"/>
          <w:sz w:val="24"/>
          <w:szCs w:val="24"/>
        </w:rPr>
        <w:t>China and South Africa</w:t>
      </w:r>
      <w:r w:rsidR="00E06934">
        <w:rPr>
          <w:rFonts w:ascii="Times New Roman" w:eastAsia="Times New Roman" w:hAnsi="Times New Roman" w:cs="Times New Roman"/>
          <w:sz w:val="24"/>
          <w:szCs w:val="24"/>
        </w:rPr>
        <w:t>,</w:t>
      </w:r>
      <w:r w:rsidR="007651DD" w:rsidRPr="00E378F7">
        <w:rPr>
          <w:rFonts w:ascii="Times New Roman" w:eastAsia="Times New Roman" w:hAnsi="Times New Roman" w:cs="Times New Roman"/>
          <w:sz w:val="24"/>
          <w:szCs w:val="24"/>
        </w:rPr>
        <w:t xml:space="preserve"> even with </w:t>
      </w:r>
      <w:r w:rsidR="00E06934">
        <w:rPr>
          <w:rFonts w:ascii="Times New Roman" w:eastAsia="Times New Roman" w:hAnsi="Times New Roman" w:cs="Times New Roman"/>
          <w:sz w:val="24"/>
          <w:szCs w:val="24"/>
        </w:rPr>
        <w:t xml:space="preserve">a </w:t>
      </w:r>
      <w:r w:rsidR="007651DD" w:rsidRPr="00E378F7">
        <w:rPr>
          <w:rFonts w:ascii="Times New Roman" w:eastAsia="Times New Roman" w:hAnsi="Times New Roman" w:cs="Times New Roman"/>
          <w:sz w:val="24"/>
          <w:szCs w:val="24"/>
        </w:rPr>
        <w:t xml:space="preserve">higher domestic credit to GDP. The deliberate lower exchange rate policy of the country caused greater outside capital flow in China </w:t>
      </w:r>
      <w:sdt>
        <w:sdtPr>
          <w:rPr>
            <w:rFonts w:ascii="Times New Roman" w:eastAsia="Times New Roman" w:hAnsi="Times New Roman" w:cs="Times New Roman"/>
            <w:sz w:val="24"/>
            <w:szCs w:val="24"/>
          </w:rPr>
          <w:id w:val="-1090770899"/>
          <w:citation/>
        </w:sdtPr>
        <w:sdtEndPr/>
        <w:sdtContent>
          <w:r w:rsidR="007651DD" w:rsidRPr="00AB1527">
            <w:rPr>
              <w:rFonts w:ascii="Times New Roman" w:eastAsia="Times New Roman" w:hAnsi="Times New Roman" w:cs="Times New Roman"/>
              <w:sz w:val="24"/>
              <w:szCs w:val="24"/>
            </w:rPr>
            <w:fldChar w:fldCharType="begin"/>
          </w:r>
          <w:r w:rsidR="007651DD" w:rsidRPr="00E378F7">
            <w:rPr>
              <w:rFonts w:ascii="Times New Roman" w:eastAsia="Times New Roman" w:hAnsi="Times New Roman" w:cs="Times New Roman"/>
              <w:sz w:val="24"/>
              <w:szCs w:val="24"/>
            </w:rPr>
            <w:instrText xml:space="preserve"> CITATION Cur131 \l 1033 </w:instrText>
          </w:r>
          <w:r w:rsidR="007651DD" w:rsidRPr="00AB1527">
            <w:rPr>
              <w:rFonts w:ascii="Times New Roman" w:eastAsia="Times New Roman" w:hAnsi="Times New Roman" w:cs="Times New Roman"/>
              <w:sz w:val="24"/>
              <w:szCs w:val="24"/>
            </w:rPr>
            <w:fldChar w:fldCharType="separate"/>
          </w:r>
          <w:r w:rsidR="007651DD" w:rsidRPr="00E378F7">
            <w:rPr>
              <w:rFonts w:ascii="Times New Roman" w:eastAsia="Times New Roman" w:hAnsi="Times New Roman" w:cs="Times New Roman"/>
              <w:noProof/>
              <w:sz w:val="24"/>
              <w:szCs w:val="24"/>
            </w:rPr>
            <w:t>(Curtis, 2013)</w:t>
          </w:r>
          <w:r w:rsidR="007651DD" w:rsidRPr="00AB1527">
            <w:rPr>
              <w:rFonts w:ascii="Times New Roman" w:eastAsia="Times New Roman" w:hAnsi="Times New Roman" w:cs="Times New Roman"/>
              <w:sz w:val="24"/>
              <w:szCs w:val="24"/>
            </w:rPr>
            <w:fldChar w:fldCharType="end"/>
          </w:r>
        </w:sdtContent>
      </w:sdt>
      <w:r w:rsidR="007651DD" w:rsidRPr="00E378F7">
        <w:rPr>
          <w:rFonts w:ascii="Times New Roman" w:eastAsia="Times New Roman" w:hAnsi="Times New Roman" w:cs="Times New Roman"/>
          <w:sz w:val="24"/>
          <w:szCs w:val="24"/>
        </w:rPr>
        <w:t xml:space="preserve">. </w:t>
      </w:r>
      <w:r w:rsidR="00360EB4" w:rsidRPr="00E378F7">
        <w:rPr>
          <w:rFonts w:ascii="Times New Roman" w:hAnsi="Times New Roman" w:cs="Times New Roman"/>
          <w:sz w:val="24"/>
          <w:szCs w:val="24"/>
        </w:rPr>
        <w:t xml:space="preserve">Human capital and trade linearization have </w:t>
      </w:r>
      <w:r w:rsidRPr="008937B5">
        <w:rPr>
          <w:rFonts w:ascii="Times New Roman" w:hAnsi="Times New Roman" w:cs="Times New Roman"/>
          <w:sz w:val="24"/>
          <w:szCs w:val="24"/>
        </w:rPr>
        <w:t xml:space="preserve">rather </w:t>
      </w:r>
      <w:r w:rsidR="00360EB4" w:rsidRPr="00E378F7">
        <w:rPr>
          <w:rFonts w:ascii="Times New Roman" w:hAnsi="Times New Roman" w:cs="Times New Roman"/>
          <w:sz w:val="24"/>
          <w:szCs w:val="24"/>
        </w:rPr>
        <w:t xml:space="preserve">impacted more of the TFP growth of the country </w:t>
      </w:r>
      <w:sdt>
        <w:sdtPr>
          <w:rPr>
            <w:rFonts w:ascii="Times New Roman" w:hAnsi="Times New Roman" w:cs="Times New Roman"/>
            <w:sz w:val="24"/>
            <w:szCs w:val="24"/>
          </w:rPr>
          <w:id w:val="1998761490"/>
          <w:citation/>
        </w:sdtPr>
        <w:sdtEndPr/>
        <w:sdtContent>
          <w:r w:rsidR="00360EB4" w:rsidRPr="00AB1527">
            <w:rPr>
              <w:rFonts w:ascii="Times New Roman" w:hAnsi="Times New Roman" w:cs="Times New Roman"/>
              <w:sz w:val="24"/>
              <w:szCs w:val="24"/>
            </w:rPr>
            <w:fldChar w:fldCharType="begin"/>
          </w:r>
          <w:r w:rsidR="00360EB4" w:rsidRPr="00E378F7">
            <w:rPr>
              <w:rFonts w:ascii="Times New Roman" w:hAnsi="Times New Roman" w:cs="Times New Roman"/>
              <w:sz w:val="24"/>
              <w:szCs w:val="24"/>
            </w:rPr>
            <w:instrText xml:space="preserve"> CITATION Cur131 \l 1033 </w:instrText>
          </w:r>
          <w:r w:rsidR="00360EB4" w:rsidRPr="00AB1527">
            <w:rPr>
              <w:rFonts w:ascii="Times New Roman" w:hAnsi="Times New Roman" w:cs="Times New Roman"/>
              <w:sz w:val="24"/>
              <w:szCs w:val="24"/>
            </w:rPr>
            <w:fldChar w:fldCharType="separate"/>
          </w:r>
          <w:r w:rsidR="00360EB4" w:rsidRPr="00E378F7">
            <w:rPr>
              <w:rFonts w:ascii="Times New Roman" w:hAnsi="Times New Roman" w:cs="Times New Roman"/>
              <w:noProof/>
              <w:sz w:val="24"/>
              <w:szCs w:val="24"/>
            </w:rPr>
            <w:t>(Curtis, 2013)</w:t>
          </w:r>
          <w:r w:rsidR="00360EB4" w:rsidRPr="00AB1527">
            <w:rPr>
              <w:rFonts w:ascii="Times New Roman" w:hAnsi="Times New Roman" w:cs="Times New Roman"/>
              <w:sz w:val="24"/>
              <w:szCs w:val="24"/>
            </w:rPr>
            <w:fldChar w:fldCharType="end"/>
          </w:r>
        </w:sdtContent>
      </w:sdt>
      <w:r w:rsidR="00360EB4" w:rsidRPr="00E378F7">
        <w:rPr>
          <w:rFonts w:ascii="Times New Roman" w:hAnsi="Times New Roman" w:cs="Times New Roman"/>
          <w:sz w:val="24"/>
          <w:szCs w:val="24"/>
        </w:rPr>
        <w:t xml:space="preserve">. </w:t>
      </w:r>
      <w:r w:rsidR="00360EB4" w:rsidRPr="00E378F7">
        <w:rPr>
          <w:rFonts w:ascii="Times New Roman" w:eastAsia="MS Mincho" w:hAnsi="Times New Roman" w:cs="Times New Roman"/>
          <w:sz w:val="24"/>
          <w:szCs w:val="24"/>
        </w:rPr>
        <w:t xml:space="preserve">Before financial and monetary reforms were made in </w:t>
      </w:r>
      <w:r>
        <w:rPr>
          <w:rFonts w:ascii="Times New Roman" w:eastAsia="MS Mincho" w:hAnsi="Times New Roman" w:cs="Times New Roman"/>
          <w:sz w:val="24"/>
          <w:szCs w:val="24"/>
        </w:rPr>
        <w:t>C</w:t>
      </w:r>
      <w:r w:rsidRPr="00E378F7">
        <w:rPr>
          <w:rFonts w:ascii="Times New Roman" w:eastAsia="MS Mincho" w:hAnsi="Times New Roman" w:cs="Times New Roman"/>
          <w:sz w:val="24"/>
          <w:szCs w:val="24"/>
        </w:rPr>
        <w:t xml:space="preserve">hina </w:t>
      </w:r>
      <w:r w:rsidR="00360EB4" w:rsidRPr="00E378F7">
        <w:rPr>
          <w:rFonts w:ascii="Times New Roman" w:eastAsia="MS Mincho" w:hAnsi="Times New Roman" w:cs="Times New Roman"/>
          <w:sz w:val="24"/>
          <w:szCs w:val="24"/>
        </w:rPr>
        <w:t xml:space="preserve">in 1978, the People’s Bank of China acted as China’s central bank. It played </w:t>
      </w:r>
      <w:r>
        <w:rPr>
          <w:rFonts w:ascii="Times New Roman" w:eastAsia="MS Mincho" w:hAnsi="Times New Roman" w:cs="Times New Roman"/>
          <w:sz w:val="24"/>
          <w:szCs w:val="24"/>
        </w:rPr>
        <w:t xml:space="preserve">the role of </w:t>
      </w:r>
      <w:r w:rsidR="00360EB4" w:rsidRPr="00E378F7">
        <w:rPr>
          <w:rFonts w:ascii="Times New Roman" w:eastAsia="MS Mincho" w:hAnsi="Times New Roman" w:cs="Times New Roman"/>
          <w:sz w:val="24"/>
          <w:szCs w:val="24"/>
        </w:rPr>
        <w:t>both a central bank and a commercial bank as it handled commercial and industrial credits as well as the saving</w:t>
      </w:r>
      <w:r>
        <w:rPr>
          <w:rFonts w:ascii="Times New Roman" w:eastAsia="MS Mincho" w:hAnsi="Times New Roman" w:cs="Times New Roman"/>
          <w:sz w:val="24"/>
          <w:szCs w:val="24"/>
        </w:rPr>
        <w:t>s</w:t>
      </w:r>
      <w:r w:rsidR="00360EB4" w:rsidRPr="00E378F7">
        <w:rPr>
          <w:rFonts w:ascii="Times New Roman" w:eastAsia="MS Mincho" w:hAnsi="Times New Roman" w:cs="Times New Roman"/>
          <w:sz w:val="24"/>
          <w:szCs w:val="24"/>
        </w:rPr>
        <w:t xml:space="preserve">. Since 1978, a series of significant financial and monetary reforms have been carried out in China. </w:t>
      </w:r>
      <w:r>
        <w:rPr>
          <w:rFonts w:ascii="Times New Roman" w:eastAsia="MS Mincho" w:hAnsi="Times New Roman" w:cs="Times New Roman"/>
          <w:sz w:val="24"/>
          <w:szCs w:val="24"/>
        </w:rPr>
        <w:t>Currently</w:t>
      </w:r>
      <w:r w:rsidR="00360EB4" w:rsidRPr="00E378F7">
        <w:rPr>
          <w:rFonts w:ascii="Times New Roman" w:eastAsia="MS Mincho" w:hAnsi="Times New Roman" w:cs="Times New Roman"/>
          <w:sz w:val="24"/>
          <w:szCs w:val="24"/>
        </w:rPr>
        <w:t>, under the regulations, supervision</w:t>
      </w:r>
      <w:r>
        <w:rPr>
          <w:rFonts w:ascii="Times New Roman" w:eastAsia="MS Mincho" w:hAnsi="Times New Roman" w:cs="Times New Roman"/>
          <w:sz w:val="24"/>
          <w:szCs w:val="24"/>
        </w:rPr>
        <w:t>,</w:t>
      </w:r>
      <w:r w:rsidR="00360EB4" w:rsidRPr="00E378F7">
        <w:rPr>
          <w:rFonts w:ascii="Times New Roman" w:eastAsia="MS Mincho" w:hAnsi="Times New Roman" w:cs="Times New Roman"/>
          <w:sz w:val="24"/>
          <w:szCs w:val="24"/>
        </w:rPr>
        <w:t xml:space="preserve"> and control of </w:t>
      </w:r>
      <w:r>
        <w:rPr>
          <w:rFonts w:ascii="Times New Roman" w:eastAsia="MS Mincho" w:hAnsi="Times New Roman" w:cs="Times New Roman"/>
          <w:sz w:val="24"/>
          <w:szCs w:val="24"/>
        </w:rPr>
        <w:t xml:space="preserve">the </w:t>
      </w:r>
      <w:r w:rsidR="00360EB4" w:rsidRPr="00E378F7">
        <w:rPr>
          <w:rFonts w:ascii="Times New Roman" w:eastAsia="MS Mincho" w:hAnsi="Times New Roman" w:cs="Times New Roman"/>
          <w:sz w:val="24"/>
          <w:szCs w:val="24"/>
        </w:rPr>
        <w:t>central bank, China has made a strong financial system. The regional integration a</w:t>
      </w:r>
      <w:r w:rsidR="00FE3083" w:rsidRPr="00E378F7">
        <w:rPr>
          <w:rFonts w:ascii="Times New Roman" w:eastAsia="MS Mincho" w:hAnsi="Times New Roman" w:cs="Times New Roman"/>
          <w:sz w:val="24"/>
          <w:szCs w:val="24"/>
        </w:rPr>
        <w:t>nd globalization are main pillars</w:t>
      </w:r>
      <w:r w:rsidR="00360EB4" w:rsidRPr="00E378F7">
        <w:rPr>
          <w:rFonts w:ascii="Times New Roman" w:eastAsia="MS Mincho" w:hAnsi="Times New Roman" w:cs="Times New Roman"/>
          <w:sz w:val="24"/>
          <w:szCs w:val="24"/>
        </w:rPr>
        <w:t xml:space="preserve"> that </w:t>
      </w:r>
      <w:r w:rsidR="00677D98" w:rsidRPr="00E378F7">
        <w:rPr>
          <w:rFonts w:ascii="Times New Roman" w:eastAsia="MS Mincho" w:hAnsi="Times New Roman" w:cs="Times New Roman"/>
          <w:sz w:val="24"/>
          <w:szCs w:val="24"/>
        </w:rPr>
        <w:t xml:space="preserve">affect the </w:t>
      </w:r>
      <w:r w:rsidRPr="00E378F7">
        <w:rPr>
          <w:rFonts w:ascii="Times New Roman" w:eastAsia="MS Mincho" w:hAnsi="Times New Roman" w:cs="Times New Roman"/>
          <w:sz w:val="24"/>
          <w:szCs w:val="24"/>
        </w:rPr>
        <w:t>Chin</w:t>
      </w:r>
      <w:r>
        <w:rPr>
          <w:rFonts w:ascii="Times New Roman" w:eastAsia="MS Mincho" w:hAnsi="Times New Roman" w:cs="Times New Roman"/>
          <w:sz w:val="24"/>
          <w:szCs w:val="24"/>
        </w:rPr>
        <w:t>ese</w:t>
      </w:r>
      <w:r w:rsidRPr="00E378F7">
        <w:rPr>
          <w:rFonts w:ascii="Times New Roman" w:eastAsia="MS Mincho" w:hAnsi="Times New Roman" w:cs="Times New Roman"/>
          <w:sz w:val="24"/>
          <w:szCs w:val="24"/>
        </w:rPr>
        <w:t xml:space="preserve"> </w:t>
      </w:r>
      <w:r w:rsidR="00360EB4" w:rsidRPr="00E378F7">
        <w:rPr>
          <w:rFonts w:ascii="Times New Roman" w:eastAsia="MS Mincho" w:hAnsi="Times New Roman" w:cs="Times New Roman"/>
          <w:sz w:val="24"/>
          <w:szCs w:val="24"/>
        </w:rPr>
        <w:t>economy. More foreign banks are setting businesses and increasing bank branches in China</w:t>
      </w:r>
      <w:r>
        <w:rPr>
          <w:rFonts w:ascii="Times New Roman" w:eastAsia="MS Mincho" w:hAnsi="Times New Roman" w:cs="Times New Roman"/>
          <w:sz w:val="24"/>
          <w:szCs w:val="24"/>
        </w:rPr>
        <w:t>,</w:t>
      </w:r>
      <w:r w:rsidR="00360EB4" w:rsidRPr="00E378F7">
        <w:rPr>
          <w:rFonts w:ascii="Times New Roman" w:eastAsia="MS Mincho" w:hAnsi="Times New Roman" w:cs="Times New Roman"/>
          <w:sz w:val="24"/>
          <w:szCs w:val="24"/>
        </w:rPr>
        <w:t xml:space="preserve"> thus increasing the</w:t>
      </w:r>
      <w:r>
        <w:rPr>
          <w:rFonts w:ascii="Times New Roman" w:eastAsia="MS Mincho" w:hAnsi="Times New Roman" w:cs="Times New Roman"/>
          <w:sz w:val="24"/>
          <w:szCs w:val="24"/>
        </w:rPr>
        <w:t>ir</w:t>
      </w:r>
      <w:r w:rsidR="00360EB4" w:rsidRPr="00E378F7">
        <w:rPr>
          <w:rFonts w:ascii="Times New Roman" w:eastAsia="MS Mincho" w:hAnsi="Times New Roman" w:cs="Times New Roman"/>
          <w:sz w:val="24"/>
          <w:szCs w:val="24"/>
        </w:rPr>
        <w:t xml:space="preserve"> business scope (Yao, Wu &amp; Kinugasa, 2015).</w:t>
      </w:r>
    </w:p>
    <w:p w14:paraId="674FC29C" w14:textId="58AFC513" w:rsidR="00306ECF" w:rsidRPr="00E378F7" w:rsidRDefault="006E78A8" w:rsidP="008E4E1C">
      <w:pPr>
        <w:tabs>
          <w:tab w:val="left" w:pos="3270"/>
        </w:tabs>
        <w:spacing w:after="240" w:line="360" w:lineRule="auto"/>
        <w:jc w:val="both"/>
        <w:rPr>
          <w:rFonts w:ascii="Times New Roman" w:eastAsia="MS Mincho" w:hAnsi="Times New Roman" w:cs="Times New Roman"/>
          <w:b/>
          <w:sz w:val="24"/>
          <w:szCs w:val="24"/>
        </w:rPr>
      </w:pPr>
      <w:r>
        <w:rPr>
          <w:rFonts w:ascii="Times New Roman" w:eastAsia="Times New Roman" w:hAnsi="Times New Roman" w:cs="Times New Roman"/>
          <w:sz w:val="24"/>
          <w:szCs w:val="24"/>
        </w:rPr>
        <w:t>E</w:t>
      </w:r>
      <w:r w:rsidRPr="00E378F7">
        <w:rPr>
          <w:rFonts w:ascii="Times New Roman" w:eastAsia="Times New Roman" w:hAnsi="Times New Roman" w:cs="Times New Roman"/>
          <w:sz w:val="24"/>
          <w:szCs w:val="24"/>
        </w:rPr>
        <w:t xml:space="preserve">ven </w:t>
      </w:r>
      <w:r w:rsidR="007651DD" w:rsidRPr="00E378F7">
        <w:rPr>
          <w:rFonts w:ascii="Times New Roman" w:eastAsia="Times New Roman" w:hAnsi="Times New Roman" w:cs="Times New Roman"/>
          <w:sz w:val="24"/>
          <w:szCs w:val="24"/>
        </w:rPr>
        <w:t xml:space="preserve">with lower domestic credit to </w:t>
      </w:r>
      <w:r w:rsidR="00360EB4" w:rsidRPr="00E378F7">
        <w:rPr>
          <w:rFonts w:ascii="Times New Roman" w:eastAsia="Times New Roman" w:hAnsi="Times New Roman" w:cs="Times New Roman"/>
          <w:sz w:val="24"/>
          <w:szCs w:val="24"/>
        </w:rPr>
        <w:t>GDP, the TFP growth were higher</w:t>
      </w:r>
      <w:r w:rsidRPr="006E78A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in</w:t>
      </w:r>
      <w:r w:rsidRPr="008937B5">
        <w:rPr>
          <w:rFonts w:ascii="Times New Roman" w:eastAsia="Times New Roman" w:hAnsi="Times New Roman" w:cs="Times New Roman"/>
          <w:sz w:val="24"/>
          <w:szCs w:val="24"/>
        </w:rPr>
        <w:t xml:space="preserve"> Mexico and Nigeria</w:t>
      </w:r>
      <w:r w:rsidR="007651DD" w:rsidRPr="00E378F7">
        <w:rPr>
          <w:rFonts w:ascii="Times New Roman" w:eastAsia="Times New Roman" w:hAnsi="Times New Roman" w:cs="Times New Roman"/>
          <w:sz w:val="24"/>
          <w:szCs w:val="24"/>
        </w:rPr>
        <w:t>. For Nigeria</w:t>
      </w:r>
      <w:r>
        <w:rPr>
          <w:rFonts w:ascii="Times New Roman" w:eastAsia="Times New Roman" w:hAnsi="Times New Roman" w:cs="Times New Roman"/>
          <w:sz w:val="24"/>
          <w:szCs w:val="24"/>
        </w:rPr>
        <w:t>,</w:t>
      </w:r>
      <w:r w:rsidR="007651DD" w:rsidRPr="00E378F7">
        <w:rPr>
          <w:rFonts w:ascii="Times New Roman" w:eastAsia="Times New Roman" w:hAnsi="Times New Roman" w:cs="Times New Roman"/>
          <w:sz w:val="24"/>
          <w:szCs w:val="24"/>
        </w:rPr>
        <w:t xml:space="preserve"> the TFP growth was high due to </w:t>
      </w:r>
      <w:r>
        <w:rPr>
          <w:rFonts w:ascii="Times New Roman" w:eastAsia="Times New Roman" w:hAnsi="Times New Roman" w:cs="Times New Roman"/>
          <w:sz w:val="24"/>
          <w:szCs w:val="24"/>
        </w:rPr>
        <w:t>an increased</w:t>
      </w:r>
      <w:r w:rsidRPr="00E378F7">
        <w:rPr>
          <w:rFonts w:ascii="Times New Roman" w:eastAsia="Times New Roman" w:hAnsi="Times New Roman" w:cs="Times New Roman"/>
          <w:sz w:val="24"/>
          <w:szCs w:val="24"/>
        </w:rPr>
        <w:t xml:space="preserve"> </w:t>
      </w:r>
      <w:r w:rsidR="007651DD" w:rsidRPr="00E378F7">
        <w:rPr>
          <w:rFonts w:ascii="Times New Roman" w:eastAsia="Times New Roman" w:hAnsi="Times New Roman" w:cs="Times New Roman"/>
          <w:sz w:val="24"/>
          <w:szCs w:val="24"/>
        </w:rPr>
        <w:t xml:space="preserve">industrialization and trade liberalization of the economy </w:t>
      </w:r>
      <w:sdt>
        <w:sdtPr>
          <w:rPr>
            <w:rFonts w:ascii="Times New Roman" w:eastAsia="Times New Roman" w:hAnsi="Times New Roman" w:cs="Times New Roman"/>
            <w:sz w:val="24"/>
            <w:szCs w:val="24"/>
          </w:rPr>
          <w:id w:val="-2069559794"/>
          <w:citation/>
        </w:sdtPr>
        <w:sdtEndPr/>
        <w:sdtContent>
          <w:r w:rsidR="007651DD" w:rsidRPr="00AB1527">
            <w:rPr>
              <w:rFonts w:ascii="Times New Roman" w:eastAsia="Times New Roman" w:hAnsi="Times New Roman" w:cs="Times New Roman"/>
              <w:sz w:val="24"/>
              <w:szCs w:val="24"/>
            </w:rPr>
            <w:fldChar w:fldCharType="begin"/>
          </w:r>
          <w:r w:rsidR="007651DD" w:rsidRPr="00E378F7">
            <w:rPr>
              <w:rFonts w:ascii="Times New Roman" w:eastAsia="Times New Roman" w:hAnsi="Times New Roman" w:cs="Times New Roman"/>
              <w:sz w:val="24"/>
              <w:szCs w:val="24"/>
            </w:rPr>
            <w:instrText xml:space="preserve"> CITATION Chr121 \l 1033 </w:instrText>
          </w:r>
          <w:r w:rsidR="007651DD" w:rsidRPr="00AB1527">
            <w:rPr>
              <w:rFonts w:ascii="Times New Roman" w:eastAsia="Times New Roman" w:hAnsi="Times New Roman" w:cs="Times New Roman"/>
              <w:sz w:val="24"/>
              <w:szCs w:val="24"/>
            </w:rPr>
            <w:fldChar w:fldCharType="separate"/>
          </w:r>
          <w:r w:rsidR="007651DD" w:rsidRPr="00E378F7">
            <w:rPr>
              <w:rFonts w:ascii="Times New Roman" w:eastAsia="Times New Roman" w:hAnsi="Times New Roman" w:cs="Times New Roman"/>
              <w:noProof/>
              <w:sz w:val="24"/>
              <w:szCs w:val="24"/>
            </w:rPr>
            <w:t>(Durodola, 2012)</w:t>
          </w:r>
          <w:r w:rsidR="007651DD" w:rsidRPr="00AB1527">
            <w:rPr>
              <w:rFonts w:ascii="Times New Roman" w:eastAsia="Times New Roman" w:hAnsi="Times New Roman" w:cs="Times New Roman"/>
              <w:sz w:val="24"/>
              <w:szCs w:val="24"/>
            </w:rPr>
            <w:fldChar w:fldCharType="end"/>
          </w:r>
        </w:sdtContent>
      </w:sdt>
      <w:r w:rsidR="007651DD" w:rsidRPr="00E378F7">
        <w:rPr>
          <w:rFonts w:ascii="Times New Roman" w:eastAsia="Times New Roman" w:hAnsi="Times New Roman" w:cs="Times New Roman"/>
          <w:sz w:val="24"/>
          <w:szCs w:val="24"/>
        </w:rPr>
        <w:t>. For Mexico</w:t>
      </w:r>
      <w:r>
        <w:rPr>
          <w:rFonts w:ascii="Times New Roman" w:eastAsia="Times New Roman" w:hAnsi="Times New Roman" w:cs="Times New Roman"/>
          <w:sz w:val="24"/>
          <w:szCs w:val="24"/>
        </w:rPr>
        <w:t>,</w:t>
      </w:r>
      <w:r w:rsidR="007651DD" w:rsidRPr="00E378F7">
        <w:rPr>
          <w:rFonts w:ascii="Times New Roman" w:eastAsia="Times New Roman" w:hAnsi="Times New Roman" w:cs="Times New Roman"/>
          <w:sz w:val="24"/>
          <w:szCs w:val="24"/>
        </w:rPr>
        <w:t xml:space="preserve"> the TFP growth was high due to </w:t>
      </w:r>
      <w:r>
        <w:rPr>
          <w:rFonts w:ascii="Times New Roman" w:eastAsia="Times New Roman" w:hAnsi="Times New Roman" w:cs="Times New Roman"/>
          <w:sz w:val="24"/>
          <w:szCs w:val="24"/>
        </w:rPr>
        <w:t xml:space="preserve">the </w:t>
      </w:r>
      <w:r w:rsidR="007651DD" w:rsidRPr="00E378F7">
        <w:rPr>
          <w:rFonts w:ascii="Times New Roman" w:eastAsia="Times New Roman" w:hAnsi="Times New Roman" w:cs="Times New Roman"/>
          <w:sz w:val="24"/>
          <w:szCs w:val="24"/>
        </w:rPr>
        <w:t xml:space="preserve">high degree of openness of the Mexican economy and rapid industrialization </w:t>
      </w:r>
      <w:sdt>
        <w:sdtPr>
          <w:rPr>
            <w:rFonts w:ascii="Times New Roman" w:eastAsia="Times New Roman" w:hAnsi="Times New Roman" w:cs="Times New Roman"/>
            <w:sz w:val="24"/>
            <w:szCs w:val="24"/>
          </w:rPr>
          <w:id w:val="-1934587609"/>
          <w:citation/>
        </w:sdtPr>
        <w:sdtEndPr/>
        <w:sdtContent>
          <w:r w:rsidR="007651DD" w:rsidRPr="00AB1527">
            <w:rPr>
              <w:rFonts w:ascii="Times New Roman" w:eastAsia="Times New Roman" w:hAnsi="Times New Roman" w:cs="Times New Roman"/>
              <w:sz w:val="24"/>
              <w:szCs w:val="24"/>
            </w:rPr>
            <w:fldChar w:fldCharType="begin"/>
          </w:r>
          <w:r w:rsidR="007651DD" w:rsidRPr="00E378F7">
            <w:rPr>
              <w:rFonts w:ascii="Times New Roman" w:eastAsia="Times New Roman" w:hAnsi="Times New Roman" w:cs="Times New Roman"/>
              <w:sz w:val="24"/>
              <w:szCs w:val="24"/>
            </w:rPr>
            <w:instrText xml:space="preserve"> CITATION Bar98 \l 1033 </w:instrText>
          </w:r>
          <w:r w:rsidR="007651DD" w:rsidRPr="00AB1527">
            <w:rPr>
              <w:rFonts w:ascii="Times New Roman" w:eastAsia="Times New Roman" w:hAnsi="Times New Roman" w:cs="Times New Roman"/>
              <w:sz w:val="24"/>
              <w:szCs w:val="24"/>
            </w:rPr>
            <w:fldChar w:fldCharType="separate"/>
          </w:r>
          <w:r w:rsidR="007651DD" w:rsidRPr="00E378F7">
            <w:rPr>
              <w:rFonts w:ascii="Times New Roman" w:eastAsia="Times New Roman" w:hAnsi="Times New Roman" w:cs="Times New Roman"/>
              <w:noProof/>
              <w:sz w:val="24"/>
              <w:szCs w:val="24"/>
            </w:rPr>
            <w:t>(Bosworth, 1998)</w:t>
          </w:r>
          <w:r w:rsidR="007651DD" w:rsidRPr="00AB1527">
            <w:rPr>
              <w:rFonts w:ascii="Times New Roman" w:eastAsia="Times New Roman" w:hAnsi="Times New Roman" w:cs="Times New Roman"/>
              <w:sz w:val="24"/>
              <w:szCs w:val="24"/>
            </w:rPr>
            <w:fldChar w:fldCharType="end"/>
          </w:r>
        </w:sdtContent>
      </w:sdt>
      <w:r w:rsidR="007651DD" w:rsidRPr="00E378F7">
        <w:rPr>
          <w:rFonts w:ascii="Times New Roman" w:eastAsia="Times New Roman" w:hAnsi="Times New Roman" w:cs="Times New Roman"/>
          <w:sz w:val="24"/>
          <w:szCs w:val="24"/>
        </w:rPr>
        <w:t xml:space="preserve">. </w:t>
      </w:r>
      <w:r w:rsidR="00306ECF" w:rsidRPr="00E378F7">
        <w:rPr>
          <w:rFonts w:ascii="Times New Roman" w:eastAsia="MS Mincho" w:hAnsi="Times New Roman" w:cs="Times New Roman"/>
          <w:sz w:val="24"/>
          <w:szCs w:val="24"/>
        </w:rPr>
        <w:t xml:space="preserve">Mexico remains to experience low banking rates with credit extension of only 31.4% of GDP </w:t>
      </w:r>
      <w:r>
        <w:rPr>
          <w:rFonts w:ascii="Times New Roman" w:eastAsia="MS Mincho" w:hAnsi="Times New Roman" w:cs="Times New Roman"/>
          <w:sz w:val="24"/>
          <w:szCs w:val="24"/>
        </w:rPr>
        <w:t>in</w:t>
      </w:r>
      <w:r w:rsidRPr="00E378F7">
        <w:rPr>
          <w:rFonts w:ascii="Times New Roman" w:eastAsia="MS Mincho" w:hAnsi="Times New Roman" w:cs="Times New Roman"/>
          <w:sz w:val="24"/>
          <w:szCs w:val="24"/>
        </w:rPr>
        <w:t xml:space="preserve"> </w:t>
      </w:r>
      <w:r w:rsidR="00306ECF" w:rsidRPr="00E378F7">
        <w:rPr>
          <w:rFonts w:ascii="Times New Roman" w:eastAsia="MS Mincho" w:hAnsi="Times New Roman" w:cs="Times New Roman"/>
          <w:sz w:val="24"/>
          <w:szCs w:val="24"/>
        </w:rPr>
        <w:t xml:space="preserve">the private sector. This is a low number when compared </w:t>
      </w:r>
      <w:r>
        <w:rPr>
          <w:rFonts w:ascii="Times New Roman" w:eastAsia="MS Mincho" w:hAnsi="Times New Roman" w:cs="Times New Roman"/>
          <w:sz w:val="24"/>
          <w:szCs w:val="24"/>
        </w:rPr>
        <w:t>to</w:t>
      </w:r>
      <w:r w:rsidRPr="00E378F7">
        <w:rPr>
          <w:rFonts w:ascii="Times New Roman" w:eastAsia="MS Mincho" w:hAnsi="Times New Roman" w:cs="Times New Roman"/>
          <w:sz w:val="24"/>
          <w:szCs w:val="24"/>
        </w:rPr>
        <w:t xml:space="preserve"> </w:t>
      </w:r>
      <w:r w:rsidR="00306ECF" w:rsidRPr="00E378F7">
        <w:rPr>
          <w:rFonts w:ascii="Times New Roman" w:eastAsia="MS Mincho" w:hAnsi="Times New Roman" w:cs="Times New Roman"/>
          <w:sz w:val="24"/>
          <w:szCs w:val="24"/>
        </w:rPr>
        <w:t>other countries in Latin America such as Brazil</w:t>
      </w:r>
      <w:r>
        <w:rPr>
          <w:rFonts w:ascii="Times New Roman" w:eastAsia="MS Mincho" w:hAnsi="Times New Roman" w:cs="Times New Roman"/>
          <w:sz w:val="24"/>
          <w:szCs w:val="24"/>
        </w:rPr>
        <w:t>,</w:t>
      </w:r>
      <w:r w:rsidR="00306ECF" w:rsidRPr="00E378F7">
        <w:rPr>
          <w:rFonts w:ascii="Times New Roman" w:eastAsia="MS Mincho" w:hAnsi="Times New Roman" w:cs="Times New Roman"/>
          <w:sz w:val="24"/>
          <w:szCs w:val="24"/>
        </w:rPr>
        <w:t xml:space="preserve"> which </w:t>
      </w:r>
      <w:r>
        <w:rPr>
          <w:rFonts w:ascii="Times New Roman" w:eastAsia="MS Mincho" w:hAnsi="Times New Roman" w:cs="Times New Roman"/>
          <w:sz w:val="24"/>
          <w:szCs w:val="24"/>
        </w:rPr>
        <w:t>h</w:t>
      </w:r>
      <w:r w:rsidR="00306ECF" w:rsidRPr="00E378F7">
        <w:rPr>
          <w:rFonts w:ascii="Times New Roman" w:eastAsia="MS Mincho" w:hAnsi="Times New Roman" w:cs="Times New Roman"/>
          <w:sz w:val="24"/>
          <w:szCs w:val="24"/>
        </w:rPr>
        <w:t>as a credit lending rate of 69.1% (Dabla-Norris, Kochhar, Kyobe, &amp; Tchaidze, 2014).</w:t>
      </w:r>
    </w:p>
    <w:p w14:paraId="79E9D973" w14:textId="646D5FAA" w:rsidR="00360EB4" w:rsidRDefault="006E78A8" w:rsidP="008E4E1C">
      <w:pPr>
        <w:spacing w:after="0" w:line="360" w:lineRule="auto"/>
        <w:jc w:val="both"/>
        <w:rPr>
          <w:rFonts w:ascii="Times New Roman" w:eastAsia="MS Mincho" w:hAnsi="Times New Roman" w:cs="Times New Roman"/>
          <w:sz w:val="24"/>
          <w:szCs w:val="24"/>
        </w:rPr>
      </w:pPr>
      <w:r>
        <w:rPr>
          <w:rFonts w:ascii="Times New Roman" w:eastAsia="MS Mincho" w:hAnsi="Times New Roman" w:cs="Times New Roman"/>
          <w:sz w:val="24"/>
          <w:szCs w:val="24"/>
        </w:rPr>
        <w:t>I</w:t>
      </w:r>
      <w:r w:rsidRPr="00E378F7">
        <w:rPr>
          <w:rFonts w:ascii="Times New Roman" w:eastAsia="MS Mincho" w:hAnsi="Times New Roman" w:cs="Times New Roman"/>
          <w:sz w:val="24"/>
          <w:szCs w:val="24"/>
        </w:rPr>
        <w:t xml:space="preserve">mportant </w:t>
      </w:r>
      <w:r w:rsidR="00360EB4" w:rsidRPr="00E378F7">
        <w:rPr>
          <w:rFonts w:ascii="Times New Roman" w:eastAsia="MS Mincho" w:hAnsi="Times New Roman" w:cs="Times New Roman"/>
          <w:sz w:val="24"/>
          <w:szCs w:val="24"/>
        </w:rPr>
        <w:t xml:space="preserve">financial reforms </w:t>
      </w:r>
      <w:r>
        <w:rPr>
          <w:rFonts w:ascii="Times New Roman" w:eastAsia="MS Mincho" w:hAnsi="Times New Roman" w:cs="Times New Roman"/>
          <w:sz w:val="24"/>
          <w:szCs w:val="24"/>
        </w:rPr>
        <w:t>began</w:t>
      </w:r>
      <w:r w:rsidRPr="00E378F7">
        <w:rPr>
          <w:rFonts w:ascii="Times New Roman" w:eastAsia="MS Mincho" w:hAnsi="Times New Roman" w:cs="Times New Roman"/>
          <w:sz w:val="24"/>
          <w:szCs w:val="24"/>
        </w:rPr>
        <w:t xml:space="preserve"> </w:t>
      </w:r>
      <w:r w:rsidR="00360EB4" w:rsidRPr="00E378F7">
        <w:rPr>
          <w:rFonts w:ascii="Times New Roman" w:eastAsia="MS Mincho" w:hAnsi="Times New Roman" w:cs="Times New Roman"/>
          <w:sz w:val="24"/>
          <w:szCs w:val="24"/>
        </w:rPr>
        <w:t xml:space="preserve">to be experienced in 1990s </w:t>
      </w:r>
      <w:r>
        <w:rPr>
          <w:rFonts w:ascii="Times New Roman" w:eastAsia="MS Mincho" w:hAnsi="Times New Roman" w:cs="Times New Roman"/>
          <w:sz w:val="24"/>
          <w:szCs w:val="24"/>
        </w:rPr>
        <w:t>i</w:t>
      </w:r>
      <w:r w:rsidRPr="008937B5">
        <w:rPr>
          <w:rFonts w:ascii="Times New Roman" w:eastAsia="MS Mincho" w:hAnsi="Times New Roman" w:cs="Times New Roman"/>
          <w:sz w:val="24"/>
          <w:szCs w:val="24"/>
        </w:rPr>
        <w:t xml:space="preserve">n Brazil, </w:t>
      </w:r>
      <w:r w:rsidR="00360EB4" w:rsidRPr="00E378F7">
        <w:rPr>
          <w:rFonts w:ascii="Times New Roman" w:eastAsia="MS Mincho" w:hAnsi="Times New Roman" w:cs="Times New Roman"/>
          <w:sz w:val="24"/>
          <w:szCs w:val="24"/>
        </w:rPr>
        <w:t>when liberalization measures were taken to boost the country’s competitive advantage, increase fiscal sustainability as well as provide the private sector a better environment for growth and development. There are four regulators in the Brazilian financial sector</w:t>
      </w:r>
      <w:r>
        <w:rPr>
          <w:rFonts w:ascii="Times New Roman" w:eastAsia="MS Mincho" w:hAnsi="Times New Roman" w:cs="Times New Roman"/>
          <w:sz w:val="24"/>
          <w:szCs w:val="24"/>
        </w:rPr>
        <w:t>,</w:t>
      </w:r>
      <w:r w:rsidR="00360EB4" w:rsidRPr="00E378F7">
        <w:rPr>
          <w:rFonts w:ascii="Times New Roman" w:eastAsia="MS Mincho" w:hAnsi="Times New Roman" w:cs="Times New Roman"/>
          <w:sz w:val="24"/>
          <w:szCs w:val="24"/>
        </w:rPr>
        <w:t xml:space="preserve"> </w:t>
      </w:r>
      <w:r w:rsidRPr="00E378F7">
        <w:rPr>
          <w:rFonts w:ascii="Times New Roman" w:eastAsia="MS Mincho" w:hAnsi="Times New Roman" w:cs="Times New Roman"/>
          <w:sz w:val="24"/>
          <w:szCs w:val="24"/>
        </w:rPr>
        <w:t>wh</w:t>
      </w:r>
      <w:r>
        <w:rPr>
          <w:rFonts w:ascii="Times New Roman" w:eastAsia="MS Mincho" w:hAnsi="Times New Roman" w:cs="Times New Roman"/>
          <w:sz w:val="24"/>
          <w:szCs w:val="24"/>
        </w:rPr>
        <w:t>ich</w:t>
      </w:r>
      <w:r w:rsidRPr="00E378F7">
        <w:rPr>
          <w:rFonts w:ascii="Times New Roman" w:eastAsia="MS Mincho" w:hAnsi="Times New Roman" w:cs="Times New Roman"/>
          <w:sz w:val="24"/>
          <w:szCs w:val="24"/>
        </w:rPr>
        <w:t xml:space="preserve"> </w:t>
      </w:r>
      <w:r w:rsidR="00360EB4" w:rsidRPr="00E378F7">
        <w:rPr>
          <w:rFonts w:ascii="Times New Roman" w:eastAsia="MS Mincho" w:hAnsi="Times New Roman" w:cs="Times New Roman"/>
          <w:sz w:val="24"/>
          <w:szCs w:val="24"/>
        </w:rPr>
        <w:t xml:space="preserve">comprise of </w:t>
      </w:r>
      <w:r>
        <w:rPr>
          <w:rFonts w:ascii="Times New Roman" w:eastAsia="MS Mincho" w:hAnsi="Times New Roman" w:cs="Times New Roman"/>
          <w:sz w:val="24"/>
          <w:szCs w:val="24"/>
        </w:rPr>
        <w:t xml:space="preserve">the </w:t>
      </w:r>
      <w:r w:rsidR="00360EB4" w:rsidRPr="00E378F7">
        <w:rPr>
          <w:rFonts w:ascii="Times New Roman" w:eastAsia="MS Mincho" w:hAnsi="Times New Roman" w:cs="Times New Roman"/>
          <w:sz w:val="24"/>
          <w:szCs w:val="24"/>
        </w:rPr>
        <w:t>CVU for regulating securities, Central Bank for supervising prudential and financial institutions, SUSEP for insurance regulation</w:t>
      </w:r>
      <w:r>
        <w:rPr>
          <w:rFonts w:ascii="Times New Roman" w:eastAsia="MS Mincho" w:hAnsi="Times New Roman" w:cs="Times New Roman"/>
          <w:sz w:val="24"/>
          <w:szCs w:val="24"/>
        </w:rPr>
        <w:t>,</w:t>
      </w:r>
      <w:r w:rsidR="00360EB4" w:rsidRPr="00E378F7">
        <w:rPr>
          <w:rFonts w:ascii="Times New Roman" w:eastAsia="MS Mincho" w:hAnsi="Times New Roman" w:cs="Times New Roman"/>
          <w:sz w:val="24"/>
          <w:szCs w:val="24"/>
        </w:rPr>
        <w:t xml:space="preserve"> and PREVIC for pension supervision. Brazil enjoys a strong financial depth, overcoming big economies </w:t>
      </w:r>
      <w:r>
        <w:rPr>
          <w:rFonts w:ascii="Times New Roman" w:eastAsia="MS Mincho" w:hAnsi="Times New Roman" w:cs="Times New Roman"/>
          <w:sz w:val="24"/>
          <w:szCs w:val="24"/>
        </w:rPr>
        <w:t>such as</w:t>
      </w:r>
      <w:r w:rsidRPr="00E378F7">
        <w:rPr>
          <w:rFonts w:ascii="Times New Roman" w:eastAsia="MS Mincho" w:hAnsi="Times New Roman" w:cs="Times New Roman"/>
          <w:sz w:val="24"/>
          <w:szCs w:val="24"/>
        </w:rPr>
        <w:t xml:space="preserve"> </w:t>
      </w:r>
      <w:r w:rsidR="00360EB4" w:rsidRPr="00E378F7">
        <w:rPr>
          <w:rFonts w:ascii="Times New Roman" w:eastAsia="MS Mincho" w:hAnsi="Times New Roman" w:cs="Times New Roman"/>
          <w:sz w:val="24"/>
          <w:szCs w:val="24"/>
        </w:rPr>
        <w:t xml:space="preserve">Russia and partially closing the competitive gap among countries in the BRIC </w:t>
      </w:r>
      <w:r w:rsidR="00360EB4" w:rsidRPr="00E378F7">
        <w:rPr>
          <w:rFonts w:ascii="Times New Roman" w:eastAsia="MS Mincho" w:hAnsi="Times New Roman" w:cs="Times New Roman"/>
          <w:sz w:val="24"/>
          <w:szCs w:val="24"/>
        </w:rPr>
        <w:lastRenderedPageBreak/>
        <w:t xml:space="preserve">economies </w:t>
      </w:r>
      <w:r>
        <w:rPr>
          <w:rFonts w:ascii="Times New Roman" w:eastAsia="MS Mincho" w:hAnsi="Times New Roman" w:cs="Times New Roman"/>
          <w:sz w:val="24"/>
          <w:szCs w:val="24"/>
        </w:rPr>
        <w:t>such as</w:t>
      </w:r>
      <w:r w:rsidRPr="00E378F7">
        <w:rPr>
          <w:rFonts w:ascii="Times New Roman" w:eastAsia="MS Mincho" w:hAnsi="Times New Roman" w:cs="Times New Roman"/>
          <w:sz w:val="24"/>
          <w:szCs w:val="24"/>
        </w:rPr>
        <w:t xml:space="preserve"> </w:t>
      </w:r>
      <w:r w:rsidR="00360EB4" w:rsidRPr="00E378F7">
        <w:rPr>
          <w:rFonts w:ascii="Times New Roman" w:eastAsia="MS Mincho" w:hAnsi="Times New Roman" w:cs="Times New Roman"/>
          <w:sz w:val="24"/>
          <w:szCs w:val="24"/>
        </w:rPr>
        <w:t>China and India (Dabla-Norris, Ho, Kochhar, Kyobe, &amp; Tchaidze, 2014).</w:t>
      </w:r>
    </w:p>
    <w:p w14:paraId="52FBF790" w14:textId="77777777" w:rsidR="0082755D" w:rsidRPr="00E378F7" w:rsidRDefault="0082755D" w:rsidP="008E4E1C">
      <w:pPr>
        <w:spacing w:after="0" w:line="360" w:lineRule="auto"/>
        <w:jc w:val="both"/>
        <w:rPr>
          <w:rFonts w:ascii="Times New Roman" w:hAnsi="Times New Roman" w:cs="Times New Roman"/>
          <w:sz w:val="24"/>
          <w:szCs w:val="24"/>
        </w:rPr>
      </w:pPr>
    </w:p>
    <w:p w14:paraId="1B47F782" w14:textId="512384B3" w:rsidR="00360EB4" w:rsidRPr="00E378F7" w:rsidRDefault="00FE3083" w:rsidP="008E4E1C">
      <w:pPr>
        <w:tabs>
          <w:tab w:val="left" w:pos="3270"/>
        </w:tabs>
        <w:spacing w:after="240" w:line="360" w:lineRule="auto"/>
        <w:jc w:val="both"/>
        <w:rPr>
          <w:rFonts w:ascii="Times New Roman" w:eastAsia="MS Mincho" w:hAnsi="Times New Roman" w:cs="Times New Roman"/>
          <w:sz w:val="24"/>
          <w:szCs w:val="24"/>
        </w:rPr>
      </w:pPr>
      <w:r w:rsidRPr="00E378F7">
        <w:rPr>
          <w:rFonts w:ascii="Times New Roman" w:eastAsia="MS Mincho" w:hAnsi="Times New Roman" w:cs="Times New Roman"/>
          <w:sz w:val="24"/>
          <w:szCs w:val="24"/>
        </w:rPr>
        <w:t xml:space="preserve">Financial improvement </w:t>
      </w:r>
      <w:r w:rsidR="00360EB4" w:rsidRPr="00E378F7">
        <w:rPr>
          <w:rFonts w:ascii="Times New Roman" w:eastAsia="MS Mincho" w:hAnsi="Times New Roman" w:cs="Times New Roman"/>
          <w:sz w:val="24"/>
          <w:szCs w:val="24"/>
        </w:rPr>
        <w:t>in Chile started after the rapid financial liberalization process</w:t>
      </w:r>
      <w:r w:rsidR="006E78A8">
        <w:rPr>
          <w:rFonts w:ascii="Times New Roman" w:eastAsia="MS Mincho" w:hAnsi="Times New Roman" w:cs="Times New Roman"/>
          <w:sz w:val="24"/>
          <w:szCs w:val="24"/>
        </w:rPr>
        <w:t xml:space="preserve"> that</w:t>
      </w:r>
      <w:r w:rsidR="00360EB4" w:rsidRPr="00E378F7">
        <w:rPr>
          <w:rFonts w:ascii="Times New Roman" w:eastAsia="MS Mincho" w:hAnsi="Times New Roman" w:cs="Times New Roman"/>
          <w:sz w:val="24"/>
          <w:szCs w:val="24"/>
        </w:rPr>
        <w:t xml:space="preserve"> finished the financial repression decades </w:t>
      </w:r>
      <w:r w:rsidR="006E78A8">
        <w:rPr>
          <w:rFonts w:ascii="Times New Roman" w:eastAsia="MS Mincho" w:hAnsi="Times New Roman" w:cs="Times New Roman"/>
          <w:sz w:val="24"/>
          <w:szCs w:val="24"/>
        </w:rPr>
        <w:t>by</w:t>
      </w:r>
      <w:r w:rsidR="006E78A8" w:rsidRPr="00E378F7">
        <w:rPr>
          <w:rFonts w:ascii="Times New Roman" w:eastAsia="MS Mincho" w:hAnsi="Times New Roman" w:cs="Times New Roman"/>
          <w:sz w:val="24"/>
          <w:szCs w:val="24"/>
        </w:rPr>
        <w:t xml:space="preserve"> </w:t>
      </w:r>
      <w:r w:rsidR="00360EB4" w:rsidRPr="00E378F7">
        <w:rPr>
          <w:rFonts w:ascii="Times New Roman" w:eastAsia="MS Mincho" w:hAnsi="Times New Roman" w:cs="Times New Roman"/>
          <w:sz w:val="24"/>
          <w:szCs w:val="24"/>
        </w:rPr>
        <w:t xml:space="preserve">1974. Between 1974 and 1976, most regulations in the banking sector including </w:t>
      </w:r>
      <w:r w:rsidR="004948B8">
        <w:rPr>
          <w:rFonts w:ascii="Times New Roman" w:eastAsia="MS Mincho" w:hAnsi="Times New Roman" w:cs="Times New Roman"/>
          <w:sz w:val="24"/>
          <w:szCs w:val="24"/>
        </w:rPr>
        <w:t xml:space="preserve">in </w:t>
      </w:r>
      <w:r w:rsidR="00360EB4" w:rsidRPr="00E378F7">
        <w:rPr>
          <w:rFonts w:ascii="Times New Roman" w:eastAsia="MS Mincho" w:hAnsi="Times New Roman" w:cs="Times New Roman"/>
          <w:sz w:val="24"/>
          <w:szCs w:val="24"/>
        </w:rPr>
        <w:t>the privatized banks owned by the state, credit control</w:t>
      </w:r>
      <w:r w:rsidR="004948B8">
        <w:rPr>
          <w:rFonts w:ascii="Times New Roman" w:eastAsia="MS Mincho" w:hAnsi="Times New Roman" w:cs="Times New Roman"/>
          <w:sz w:val="24"/>
          <w:szCs w:val="24"/>
        </w:rPr>
        <w:t>,</w:t>
      </w:r>
      <w:r w:rsidR="00360EB4" w:rsidRPr="00E378F7">
        <w:rPr>
          <w:rFonts w:ascii="Times New Roman" w:eastAsia="MS Mincho" w:hAnsi="Times New Roman" w:cs="Times New Roman"/>
          <w:sz w:val="24"/>
          <w:szCs w:val="24"/>
        </w:rPr>
        <w:t xml:space="preserve"> and interest rates were removed by the government. Financial deregulation went on with </w:t>
      </w:r>
      <w:r w:rsidR="004948B8">
        <w:rPr>
          <w:rFonts w:ascii="Times New Roman" w:eastAsia="MS Mincho" w:hAnsi="Times New Roman" w:cs="Times New Roman"/>
          <w:sz w:val="24"/>
          <w:szCs w:val="24"/>
        </w:rPr>
        <w:t xml:space="preserve">the </w:t>
      </w:r>
      <w:r w:rsidR="00360EB4" w:rsidRPr="00E378F7">
        <w:rPr>
          <w:rFonts w:ascii="Times New Roman" w:eastAsia="MS Mincho" w:hAnsi="Times New Roman" w:cs="Times New Roman"/>
          <w:sz w:val="24"/>
          <w:szCs w:val="24"/>
        </w:rPr>
        <w:t xml:space="preserve">insurance market liberalization after equity markets were reformed, </w:t>
      </w:r>
      <w:r w:rsidR="004948B8">
        <w:rPr>
          <w:rFonts w:ascii="Times New Roman" w:eastAsia="MS Mincho" w:hAnsi="Times New Roman" w:cs="Times New Roman"/>
          <w:sz w:val="24"/>
          <w:szCs w:val="24"/>
        </w:rPr>
        <w:t xml:space="preserve">and </w:t>
      </w:r>
      <w:r w:rsidR="00360EB4" w:rsidRPr="004948B8">
        <w:rPr>
          <w:rFonts w:ascii="Times New Roman" w:eastAsia="MS Mincho" w:hAnsi="Times New Roman" w:cs="Times New Roman"/>
          <w:sz w:val="24"/>
          <w:szCs w:val="24"/>
        </w:rPr>
        <w:t xml:space="preserve">creation of pension systems </w:t>
      </w:r>
      <w:r w:rsidR="004948B8">
        <w:rPr>
          <w:rFonts w:ascii="Times New Roman" w:eastAsia="MS Mincho" w:hAnsi="Times New Roman" w:cs="Times New Roman"/>
          <w:sz w:val="24"/>
          <w:szCs w:val="24"/>
        </w:rPr>
        <w:t>that</w:t>
      </w:r>
      <w:r w:rsidR="004948B8" w:rsidRPr="004948B8">
        <w:rPr>
          <w:rFonts w:ascii="Times New Roman" w:eastAsia="MS Mincho" w:hAnsi="Times New Roman" w:cs="Times New Roman"/>
          <w:sz w:val="24"/>
          <w:szCs w:val="24"/>
        </w:rPr>
        <w:t xml:space="preserve"> </w:t>
      </w:r>
      <w:r w:rsidR="00360EB4" w:rsidRPr="004948B8">
        <w:rPr>
          <w:rFonts w:ascii="Times New Roman" w:eastAsia="MS Mincho" w:hAnsi="Times New Roman" w:cs="Times New Roman"/>
          <w:sz w:val="24"/>
          <w:szCs w:val="24"/>
        </w:rPr>
        <w:t xml:space="preserve">were </w:t>
      </w:r>
      <w:r w:rsidR="00360EB4" w:rsidRPr="00E378F7">
        <w:rPr>
          <w:rFonts w:ascii="Times New Roman" w:eastAsia="MS Mincho" w:hAnsi="Times New Roman" w:cs="Times New Roman"/>
          <w:sz w:val="24"/>
          <w:szCs w:val="24"/>
        </w:rPr>
        <w:t>fully funded and measured to facilitate issuance of bond were stipulated. Between 1984 and 1994</w:t>
      </w:r>
      <w:r w:rsidR="004948B8">
        <w:rPr>
          <w:rFonts w:ascii="Times New Roman" w:eastAsia="MS Mincho" w:hAnsi="Times New Roman" w:cs="Times New Roman"/>
          <w:sz w:val="24"/>
          <w:szCs w:val="24"/>
        </w:rPr>
        <w:t>,</w:t>
      </w:r>
      <w:r w:rsidR="00360EB4" w:rsidRPr="00E378F7">
        <w:rPr>
          <w:rFonts w:ascii="Times New Roman" w:eastAsia="MS Mincho" w:hAnsi="Times New Roman" w:cs="Times New Roman"/>
          <w:sz w:val="24"/>
          <w:szCs w:val="24"/>
        </w:rPr>
        <w:t xml:space="preserve"> the process was interrupted by the banking crisis. The government intervened massively in the banking sector, a move that led to the </w:t>
      </w:r>
      <w:r w:rsidR="004948B8">
        <w:rPr>
          <w:rFonts w:ascii="Times New Roman" w:eastAsia="MS Mincho" w:hAnsi="Times New Roman" w:cs="Times New Roman"/>
          <w:sz w:val="24"/>
          <w:szCs w:val="24"/>
        </w:rPr>
        <w:t xml:space="preserve">reinstatement of </w:t>
      </w:r>
      <w:r w:rsidR="00360EB4" w:rsidRPr="00E378F7">
        <w:rPr>
          <w:rFonts w:ascii="Times New Roman" w:eastAsia="MS Mincho" w:hAnsi="Times New Roman" w:cs="Times New Roman"/>
          <w:sz w:val="24"/>
          <w:szCs w:val="24"/>
        </w:rPr>
        <w:t>financial control. After the crisis however, the financial reforms shortly resumed</w:t>
      </w:r>
      <w:r w:rsidR="004948B8">
        <w:rPr>
          <w:rFonts w:ascii="Times New Roman" w:eastAsia="MS Mincho" w:hAnsi="Times New Roman" w:cs="Times New Roman"/>
          <w:sz w:val="24"/>
          <w:szCs w:val="24"/>
        </w:rPr>
        <w:t>,</w:t>
      </w:r>
      <w:r w:rsidR="00360EB4" w:rsidRPr="00E378F7">
        <w:rPr>
          <w:rFonts w:ascii="Times New Roman" w:eastAsia="MS Mincho" w:hAnsi="Times New Roman" w:cs="Times New Roman"/>
          <w:sz w:val="24"/>
          <w:szCs w:val="24"/>
        </w:rPr>
        <w:t xml:space="preserve"> which resulted </w:t>
      </w:r>
      <w:r w:rsidR="004948B8">
        <w:rPr>
          <w:rFonts w:ascii="Times New Roman" w:eastAsia="MS Mincho" w:hAnsi="Times New Roman" w:cs="Times New Roman"/>
          <w:sz w:val="24"/>
          <w:szCs w:val="24"/>
        </w:rPr>
        <w:t>in</w:t>
      </w:r>
      <w:r w:rsidR="004948B8" w:rsidRPr="00E378F7">
        <w:rPr>
          <w:rFonts w:ascii="Times New Roman" w:eastAsia="MS Mincho" w:hAnsi="Times New Roman" w:cs="Times New Roman"/>
          <w:sz w:val="24"/>
          <w:szCs w:val="24"/>
        </w:rPr>
        <w:t xml:space="preserve"> </w:t>
      </w:r>
      <w:r w:rsidR="00360EB4" w:rsidRPr="00E378F7">
        <w:rPr>
          <w:rFonts w:ascii="Times New Roman" w:eastAsia="MS Mincho" w:hAnsi="Times New Roman" w:cs="Times New Roman"/>
          <w:sz w:val="24"/>
          <w:szCs w:val="24"/>
        </w:rPr>
        <w:t>an impressive capital market expansion in Chile and creation of a pool of long-term investors in the financial institutions (Beck, 2015). Since then, a significant role has continued to be played by insti</w:t>
      </w:r>
      <w:r w:rsidRPr="00E378F7">
        <w:rPr>
          <w:rFonts w:ascii="Times New Roman" w:eastAsia="MS Mincho" w:hAnsi="Times New Roman" w:cs="Times New Roman"/>
          <w:sz w:val="24"/>
          <w:szCs w:val="24"/>
        </w:rPr>
        <w:t>tutional investors in Chile’s</w:t>
      </w:r>
      <w:r w:rsidR="00360EB4" w:rsidRPr="00E378F7">
        <w:rPr>
          <w:rFonts w:ascii="Times New Roman" w:eastAsia="MS Mincho" w:hAnsi="Times New Roman" w:cs="Times New Roman"/>
          <w:sz w:val="24"/>
          <w:szCs w:val="24"/>
        </w:rPr>
        <w:t xml:space="preserve"> financial sector. As a result, Chile has witnessed fairly large capital markets </w:t>
      </w:r>
      <w:r w:rsidR="004948B8">
        <w:rPr>
          <w:rFonts w:ascii="Times New Roman" w:eastAsia="MS Mincho" w:hAnsi="Times New Roman" w:cs="Times New Roman"/>
          <w:sz w:val="24"/>
          <w:szCs w:val="24"/>
        </w:rPr>
        <w:t>that</w:t>
      </w:r>
      <w:r w:rsidR="004948B8" w:rsidRPr="00E378F7">
        <w:rPr>
          <w:rFonts w:ascii="Times New Roman" w:eastAsia="MS Mincho" w:hAnsi="Times New Roman" w:cs="Times New Roman"/>
          <w:sz w:val="24"/>
          <w:szCs w:val="24"/>
        </w:rPr>
        <w:t xml:space="preserve"> </w:t>
      </w:r>
      <w:r w:rsidR="00360EB4" w:rsidRPr="00E378F7">
        <w:rPr>
          <w:rFonts w:ascii="Times New Roman" w:eastAsia="MS Mincho" w:hAnsi="Times New Roman" w:cs="Times New Roman"/>
          <w:sz w:val="24"/>
          <w:szCs w:val="24"/>
        </w:rPr>
        <w:t>represent almost 40% of GDP though not very liquid. Market access has been a challenge to Chile despite the great strides it makes regarding financial market depth.</w:t>
      </w:r>
    </w:p>
    <w:p w14:paraId="32EEEAE7" w14:textId="5AA6B279" w:rsidR="00466785" w:rsidRPr="00E378F7" w:rsidRDefault="00360EB4" w:rsidP="008E4E1C">
      <w:pPr>
        <w:tabs>
          <w:tab w:val="left" w:pos="3270"/>
        </w:tabs>
        <w:spacing w:after="240" w:line="360" w:lineRule="auto"/>
        <w:jc w:val="both"/>
        <w:rPr>
          <w:rFonts w:ascii="Times New Roman" w:eastAsia="MS Mincho" w:hAnsi="Times New Roman" w:cs="Times New Roman"/>
          <w:b/>
          <w:i/>
          <w:sz w:val="24"/>
          <w:szCs w:val="24"/>
        </w:rPr>
      </w:pPr>
      <w:r w:rsidRPr="00E378F7">
        <w:rPr>
          <w:rFonts w:ascii="Times New Roman" w:eastAsia="MS Mincho" w:hAnsi="Times New Roman" w:cs="Times New Roman"/>
          <w:sz w:val="24"/>
          <w:szCs w:val="24"/>
        </w:rPr>
        <w:t>The financial sector in Malaysia is steadily growing to be among the world most sizeable, diversified, strong</w:t>
      </w:r>
      <w:r w:rsidR="002D7B12">
        <w:rPr>
          <w:rFonts w:ascii="Times New Roman" w:eastAsia="MS Mincho" w:hAnsi="Times New Roman" w:cs="Times New Roman"/>
          <w:sz w:val="24"/>
          <w:szCs w:val="24"/>
        </w:rPr>
        <w:t>,</w:t>
      </w:r>
      <w:r w:rsidRPr="00E378F7">
        <w:rPr>
          <w:rFonts w:ascii="Times New Roman" w:eastAsia="MS Mincho" w:hAnsi="Times New Roman" w:cs="Times New Roman"/>
          <w:sz w:val="24"/>
          <w:szCs w:val="24"/>
        </w:rPr>
        <w:t xml:space="preserve"> and profitable sector. It has very strong financial depth</w:t>
      </w:r>
      <w:r w:rsidR="002D7B12">
        <w:rPr>
          <w:rFonts w:ascii="Times New Roman" w:eastAsia="MS Mincho" w:hAnsi="Times New Roman" w:cs="Times New Roman"/>
          <w:sz w:val="24"/>
          <w:szCs w:val="24"/>
        </w:rPr>
        <w:t>,</w:t>
      </w:r>
      <w:r w:rsidRPr="00E378F7">
        <w:rPr>
          <w:rFonts w:ascii="Times New Roman" w:eastAsia="MS Mincho" w:hAnsi="Times New Roman" w:cs="Times New Roman"/>
          <w:sz w:val="24"/>
          <w:szCs w:val="24"/>
        </w:rPr>
        <w:t xml:space="preserve"> which makes the cost of funds to be low resulting in a boost in the private and public investments</w:t>
      </w:r>
      <w:r w:rsidR="002D7B12">
        <w:rPr>
          <w:rFonts w:ascii="Times New Roman" w:eastAsia="MS Mincho" w:hAnsi="Times New Roman" w:cs="Times New Roman"/>
          <w:sz w:val="24"/>
          <w:szCs w:val="24"/>
        </w:rPr>
        <w:t>,</w:t>
      </w:r>
      <w:r w:rsidRPr="00E378F7">
        <w:rPr>
          <w:rFonts w:ascii="Times New Roman" w:eastAsia="MS Mincho" w:hAnsi="Times New Roman" w:cs="Times New Roman"/>
          <w:sz w:val="24"/>
          <w:szCs w:val="24"/>
        </w:rPr>
        <w:t xml:space="preserve"> including support to economic growth and infrastructure. The Security Commission of Malaysia (SCM) together with Bank Negara Malaysia (BNM) made a concerted multi-year effort to bring reforms into Malaysia’s financial system. Today, non-bank financial institutions, conventional and Islamic bank comprise Malaysia’s financial sector. The banks still dominate with assets of 20% of GDP. The non-bank sector (including insurance companies, development financial institutions, and intermediaries in the capital market) is substantially growing and </w:t>
      </w:r>
      <w:r w:rsidR="002D7B12" w:rsidRPr="00E378F7">
        <w:rPr>
          <w:rFonts w:ascii="Times New Roman" w:eastAsia="MS Mincho" w:hAnsi="Times New Roman" w:cs="Times New Roman"/>
          <w:sz w:val="24"/>
          <w:szCs w:val="24"/>
        </w:rPr>
        <w:t>mak</w:t>
      </w:r>
      <w:r w:rsidR="002D7B12">
        <w:rPr>
          <w:rFonts w:ascii="Times New Roman" w:eastAsia="MS Mincho" w:hAnsi="Times New Roman" w:cs="Times New Roman"/>
          <w:sz w:val="24"/>
          <w:szCs w:val="24"/>
        </w:rPr>
        <w:t>e</w:t>
      </w:r>
      <w:r w:rsidR="002D7B12" w:rsidRPr="00E378F7">
        <w:rPr>
          <w:rFonts w:ascii="Times New Roman" w:eastAsia="MS Mincho" w:hAnsi="Times New Roman" w:cs="Times New Roman"/>
          <w:sz w:val="24"/>
          <w:szCs w:val="24"/>
        </w:rPr>
        <w:t xml:space="preserve"> </w:t>
      </w:r>
      <w:r w:rsidRPr="00E378F7">
        <w:rPr>
          <w:rFonts w:ascii="Times New Roman" w:eastAsia="MS Mincho" w:hAnsi="Times New Roman" w:cs="Times New Roman"/>
          <w:sz w:val="24"/>
          <w:szCs w:val="24"/>
        </w:rPr>
        <w:t>60% of GDP. Financial development in Malaysia has been boosted by the development of liquid and deep domestic currency that helps buffer the Malaysian economy against external shock (Islam, Shahbaz, Ahmed, &amp; Alam, 2013).</w:t>
      </w:r>
    </w:p>
    <w:p w14:paraId="12B66DFF" w14:textId="4819B7EE" w:rsidR="00360EB4" w:rsidRPr="00E378F7" w:rsidRDefault="00360EB4" w:rsidP="008E4E1C">
      <w:pPr>
        <w:tabs>
          <w:tab w:val="left" w:pos="3270"/>
        </w:tabs>
        <w:spacing w:after="240" w:line="360" w:lineRule="auto"/>
        <w:jc w:val="both"/>
        <w:rPr>
          <w:rFonts w:ascii="Times New Roman" w:eastAsia="MS Mincho" w:hAnsi="Times New Roman" w:cs="Times New Roman"/>
          <w:sz w:val="24"/>
          <w:szCs w:val="24"/>
        </w:rPr>
      </w:pPr>
      <w:r w:rsidRPr="00E378F7">
        <w:rPr>
          <w:rFonts w:ascii="Times New Roman" w:eastAsia="MS Mincho" w:hAnsi="Times New Roman" w:cs="Times New Roman"/>
          <w:sz w:val="24"/>
          <w:szCs w:val="24"/>
        </w:rPr>
        <w:lastRenderedPageBreak/>
        <w:t xml:space="preserve">Russia adopted financial reforms in order to promote good economic growth against the threat of oil price decrease as well as minimize the </w:t>
      </w:r>
      <w:r w:rsidR="002D7B12" w:rsidRPr="00E378F7">
        <w:rPr>
          <w:rFonts w:ascii="Times New Roman" w:eastAsia="MS Mincho" w:hAnsi="Times New Roman" w:cs="Times New Roman"/>
          <w:sz w:val="24"/>
          <w:szCs w:val="24"/>
        </w:rPr>
        <w:t>dependenc</w:t>
      </w:r>
      <w:r w:rsidR="002D7B12">
        <w:rPr>
          <w:rFonts w:ascii="Times New Roman" w:eastAsia="MS Mincho" w:hAnsi="Times New Roman" w:cs="Times New Roman"/>
          <w:sz w:val="24"/>
          <w:szCs w:val="24"/>
        </w:rPr>
        <w:t>e</w:t>
      </w:r>
      <w:r w:rsidR="002D7B12" w:rsidRPr="00E378F7">
        <w:rPr>
          <w:rFonts w:ascii="Times New Roman" w:eastAsia="MS Mincho" w:hAnsi="Times New Roman" w:cs="Times New Roman"/>
          <w:sz w:val="24"/>
          <w:szCs w:val="24"/>
        </w:rPr>
        <w:t xml:space="preserve"> </w:t>
      </w:r>
      <w:r w:rsidRPr="00E378F7">
        <w:rPr>
          <w:rFonts w:ascii="Times New Roman" w:eastAsia="MS Mincho" w:hAnsi="Times New Roman" w:cs="Times New Roman"/>
          <w:sz w:val="24"/>
          <w:szCs w:val="24"/>
        </w:rPr>
        <w:t>on basic commodities. The private banks were promoted through proper bank supervision and issuance of deposits. State Bank(s)</w:t>
      </w:r>
      <w:r w:rsidR="002D7B12">
        <w:rPr>
          <w:rFonts w:ascii="Times New Roman" w:eastAsia="MS Mincho" w:hAnsi="Times New Roman" w:cs="Times New Roman"/>
          <w:sz w:val="24"/>
          <w:szCs w:val="24"/>
        </w:rPr>
        <w:t>’</w:t>
      </w:r>
      <w:r w:rsidRPr="00E378F7">
        <w:rPr>
          <w:rFonts w:ascii="Times New Roman" w:eastAsia="MS Mincho" w:hAnsi="Times New Roman" w:cs="Times New Roman"/>
          <w:sz w:val="24"/>
          <w:szCs w:val="24"/>
        </w:rPr>
        <w:t xml:space="preserve"> role</w:t>
      </w:r>
      <w:r w:rsidR="002D7B12">
        <w:rPr>
          <w:rFonts w:ascii="Times New Roman" w:eastAsia="MS Mincho" w:hAnsi="Times New Roman" w:cs="Times New Roman"/>
          <w:sz w:val="24"/>
          <w:szCs w:val="24"/>
        </w:rPr>
        <w:t>s</w:t>
      </w:r>
      <w:r w:rsidRPr="00E378F7">
        <w:rPr>
          <w:rFonts w:ascii="Times New Roman" w:eastAsia="MS Mincho" w:hAnsi="Times New Roman" w:cs="Times New Roman"/>
          <w:sz w:val="24"/>
          <w:szCs w:val="24"/>
        </w:rPr>
        <w:t xml:space="preserve"> were minimized to cut </w:t>
      </w:r>
      <w:r w:rsidR="002D7B12">
        <w:rPr>
          <w:rFonts w:ascii="Times New Roman" w:eastAsia="MS Mincho" w:hAnsi="Times New Roman" w:cs="Times New Roman"/>
          <w:sz w:val="24"/>
          <w:szCs w:val="24"/>
        </w:rPr>
        <w:t xml:space="preserve">the </w:t>
      </w:r>
      <w:r w:rsidRPr="00E378F7">
        <w:rPr>
          <w:rFonts w:ascii="Times New Roman" w:eastAsia="MS Mincho" w:hAnsi="Times New Roman" w:cs="Times New Roman"/>
          <w:sz w:val="24"/>
          <w:szCs w:val="24"/>
        </w:rPr>
        <w:t xml:space="preserve">intervention of the government and boost the private banks. The International Accounting Standards (IAS) has been applied by Russian banks since 2004 and has seen </w:t>
      </w:r>
      <w:r w:rsidR="002D7B12">
        <w:rPr>
          <w:rFonts w:ascii="Times New Roman" w:eastAsia="MS Mincho" w:hAnsi="Times New Roman" w:cs="Times New Roman"/>
          <w:sz w:val="24"/>
          <w:szCs w:val="24"/>
        </w:rPr>
        <w:t xml:space="preserve">an </w:t>
      </w:r>
      <w:r w:rsidRPr="00E378F7">
        <w:rPr>
          <w:rFonts w:ascii="Times New Roman" w:eastAsia="MS Mincho" w:hAnsi="Times New Roman" w:cs="Times New Roman"/>
          <w:sz w:val="24"/>
          <w:szCs w:val="24"/>
        </w:rPr>
        <w:t>improve</w:t>
      </w:r>
      <w:r w:rsidR="002D7B12">
        <w:rPr>
          <w:rFonts w:ascii="Times New Roman" w:eastAsia="MS Mincho" w:hAnsi="Times New Roman" w:cs="Times New Roman"/>
          <w:sz w:val="24"/>
          <w:szCs w:val="24"/>
        </w:rPr>
        <w:t>ment in the</w:t>
      </w:r>
      <w:r w:rsidRPr="00E378F7">
        <w:rPr>
          <w:rFonts w:ascii="Times New Roman" w:eastAsia="MS Mincho" w:hAnsi="Times New Roman" w:cs="Times New Roman"/>
          <w:sz w:val="24"/>
          <w:szCs w:val="24"/>
        </w:rPr>
        <w:t xml:space="preserve"> transparency </w:t>
      </w:r>
      <w:r w:rsidR="00E34A5D">
        <w:rPr>
          <w:rFonts w:ascii="Times New Roman" w:eastAsia="MS Mincho" w:hAnsi="Times New Roman" w:cs="Times New Roman"/>
          <w:sz w:val="24"/>
          <w:szCs w:val="24"/>
        </w:rPr>
        <w:t>in</w:t>
      </w:r>
      <w:r w:rsidR="00E34A5D" w:rsidRPr="008937B5">
        <w:rPr>
          <w:rFonts w:ascii="Times New Roman" w:eastAsia="MS Mincho" w:hAnsi="Times New Roman" w:cs="Times New Roman"/>
          <w:sz w:val="24"/>
          <w:szCs w:val="24"/>
        </w:rPr>
        <w:t xml:space="preserve"> banks </w:t>
      </w:r>
      <w:r w:rsidRPr="00E378F7">
        <w:rPr>
          <w:rFonts w:ascii="Times New Roman" w:eastAsia="MS Mincho" w:hAnsi="Times New Roman" w:cs="Times New Roman"/>
          <w:sz w:val="24"/>
          <w:szCs w:val="24"/>
        </w:rPr>
        <w:t>(Beck, 2015).</w:t>
      </w:r>
    </w:p>
    <w:p w14:paraId="06E775B7" w14:textId="6D87EAA2" w:rsidR="0082755D" w:rsidRDefault="00360EB4" w:rsidP="004D3814">
      <w:pPr>
        <w:tabs>
          <w:tab w:val="left" w:pos="3270"/>
        </w:tabs>
        <w:spacing w:after="240" w:line="360" w:lineRule="auto"/>
        <w:jc w:val="both"/>
        <w:rPr>
          <w:rFonts w:ascii="Times New Roman" w:eastAsia="MS Mincho" w:hAnsi="Times New Roman" w:cs="Times New Roman"/>
          <w:sz w:val="24"/>
          <w:szCs w:val="24"/>
        </w:rPr>
      </w:pPr>
      <w:r w:rsidRPr="00E378F7">
        <w:rPr>
          <w:rFonts w:ascii="Times New Roman" w:eastAsia="MS Mincho" w:hAnsi="Times New Roman" w:cs="Times New Roman"/>
          <w:sz w:val="24"/>
          <w:szCs w:val="24"/>
        </w:rPr>
        <w:t>Since 1991, India has gone through several financial and monetary reforms. One of these reforms was the reduction of cash reserve and statutory liquidity ratio to make more credit to trade, industry</w:t>
      </w:r>
      <w:r w:rsidR="00E34A5D">
        <w:rPr>
          <w:rFonts w:ascii="Times New Roman" w:eastAsia="MS Mincho" w:hAnsi="Times New Roman" w:cs="Times New Roman"/>
          <w:sz w:val="24"/>
          <w:szCs w:val="24"/>
        </w:rPr>
        <w:t>,</w:t>
      </w:r>
      <w:r w:rsidRPr="00E378F7">
        <w:rPr>
          <w:rFonts w:ascii="Times New Roman" w:eastAsia="MS Mincho" w:hAnsi="Times New Roman" w:cs="Times New Roman"/>
          <w:sz w:val="24"/>
          <w:szCs w:val="24"/>
        </w:rPr>
        <w:t xml:space="preserve"> and agriculture</w:t>
      </w:r>
      <w:r w:rsidR="00E34A5D" w:rsidRPr="00E34A5D">
        <w:rPr>
          <w:rFonts w:ascii="Times New Roman" w:eastAsia="MS Mincho" w:hAnsi="Times New Roman" w:cs="Times New Roman"/>
          <w:sz w:val="24"/>
          <w:szCs w:val="24"/>
        </w:rPr>
        <w:t xml:space="preserve"> </w:t>
      </w:r>
      <w:r w:rsidR="00E34A5D" w:rsidRPr="008937B5">
        <w:rPr>
          <w:rFonts w:ascii="Times New Roman" w:eastAsia="MS Mincho" w:hAnsi="Times New Roman" w:cs="Times New Roman"/>
          <w:sz w:val="24"/>
          <w:szCs w:val="24"/>
        </w:rPr>
        <w:t>available</w:t>
      </w:r>
      <w:r w:rsidRPr="00E378F7">
        <w:rPr>
          <w:rFonts w:ascii="Times New Roman" w:eastAsia="MS Mincho" w:hAnsi="Times New Roman" w:cs="Times New Roman"/>
          <w:sz w:val="24"/>
          <w:szCs w:val="24"/>
        </w:rPr>
        <w:t xml:space="preserve">. Other reforms made after 1991 </w:t>
      </w:r>
      <w:r w:rsidR="00E34A5D">
        <w:rPr>
          <w:rFonts w:ascii="Times New Roman" w:eastAsia="MS Mincho" w:hAnsi="Times New Roman" w:cs="Times New Roman"/>
          <w:sz w:val="24"/>
          <w:szCs w:val="24"/>
        </w:rPr>
        <w:t>included</w:t>
      </w:r>
      <w:r w:rsidRPr="00E378F7">
        <w:rPr>
          <w:rFonts w:ascii="Times New Roman" w:eastAsia="MS Mincho" w:hAnsi="Times New Roman" w:cs="Times New Roman"/>
          <w:sz w:val="24"/>
          <w:szCs w:val="24"/>
        </w:rPr>
        <w:t xml:space="preserve"> </w:t>
      </w:r>
      <w:r w:rsidR="00E34A5D">
        <w:rPr>
          <w:rFonts w:ascii="Times New Roman" w:eastAsia="MS Mincho" w:hAnsi="Times New Roman" w:cs="Times New Roman"/>
          <w:sz w:val="24"/>
          <w:szCs w:val="24"/>
        </w:rPr>
        <w:t xml:space="preserve">the </w:t>
      </w:r>
      <w:r w:rsidRPr="00E378F7">
        <w:rPr>
          <w:rFonts w:ascii="Times New Roman" w:eastAsia="MS Mincho" w:hAnsi="Times New Roman" w:cs="Times New Roman"/>
          <w:sz w:val="24"/>
          <w:szCs w:val="24"/>
        </w:rPr>
        <w:t>abolishment of administered interest rate regime together with the introduction of prudential Norms especially with high capital adequacy in 1993.</w:t>
      </w:r>
      <w:r w:rsidR="00E34A5D">
        <w:rPr>
          <w:rFonts w:ascii="Times New Roman" w:eastAsia="MS Mincho" w:hAnsi="Times New Roman" w:cs="Times New Roman"/>
          <w:sz w:val="24"/>
          <w:szCs w:val="24"/>
        </w:rPr>
        <w:t xml:space="preserve"> </w:t>
      </w:r>
      <w:r w:rsidRPr="00E378F7">
        <w:rPr>
          <w:rFonts w:ascii="Times New Roman" w:eastAsia="MS Mincho" w:hAnsi="Times New Roman" w:cs="Times New Roman"/>
          <w:sz w:val="24"/>
          <w:szCs w:val="24"/>
        </w:rPr>
        <w:t>Liberalization in banks for direct foreign investment was authorized to increase competition in the financial systems in 2003. Elimination of direct credit control, financial inclusion promotions to boost micro-finance</w:t>
      </w:r>
      <w:r w:rsidR="00E34A5D">
        <w:rPr>
          <w:rFonts w:ascii="Times New Roman" w:eastAsia="MS Mincho" w:hAnsi="Times New Roman" w:cs="Times New Roman"/>
          <w:sz w:val="24"/>
          <w:szCs w:val="24"/>
        </w:rPr>
        <w:t>,</w:t>
      </w:r>
      <w:r w:rsidRPr="00E378F7">
        <w:rPr>
          <w:rFonts w:ascii="Times New Roman" w:eastAsia="MS Mincho" w:hAnsi="Times New Roman" w:cs="Times New Roman"/>
          <w:sz w:val="24"/>
          <w:szCs w:val="24"/>
        </w:rPr>
        <w:t xml:space="preserve"> and termination of automatic budget deficit monetization are </w:t>
      </w:r>
      <w:r w:rsidR="00E34A5D">
        <w:rPr>
          <w:rFonts w:ascii="Times New Roman" w:eastAsia="MS Mincho" w:hAnsi="Times New Roman" w:cs="Times New Roman"/>
          <w:sz w:val="24"/>
          <w:szCs w:val="24"/>
        </w:rPr>
        <w:t xml:space="preserve">the </w:t>
      </w:r>
      <w:r w:rsidRPr="00E378F7">
        <w:rPr>
          <w:rFonts w:ascii="Times New Roman" w:eastAsia="MS Mincho" w:hAnsi="Times New Roman" w:cs="Times New Roman"/>
          <w:sz w:val="24"/>
          <w:szCs w:val="24"/>
        </w:rPr>
        <w:t>other financial and monetary reforms made in India (Dabla-Norris, Kochhar, Kyobe, &amp; Tchaidze, 2014)</w:t>
      </w:r>
      <w:r w:rsidR="00E34A5D">
        <w:rPr>
          <w:rFonts w:ascii="Times New Roman" w:eastAsia="MS Mincho" w:hAnsi="Times New Roman" w:cs="Times New Roman"/>
          <w:sz w:val="24"/>
          <w:szCs w:val="24"/>
        </w:rPr>
        <w:t>.</w:t>
      </w:r>
    </w:p>
    <w:p w14:paraId="124149BB" w14:textId="1F6C952D" w:rsidR="00EC79BA" w:rsidRDefault="00EC79BA" w:rsidP="004D3814">
      <w:pPr>
        <w:tabs>
          <w:tab w:val="left" w:pos="3270"/>
        </w:tabs>
        <w:spacing w:after="240" w:line="360" w:lineRule="auto"/>
        <w:jc w:val="both"/>
        <w:rPr>
          <w:rFonts w:ascii="Times New Roman" w:eastAsia="MS Mincho" w:hAnsi="Times New Roman" w:cs="Times New Roman"/>
          <w:sz w:val="24"/>
          <w:szCs w:val="24"/>
        </w:rPr>
      </w:pPr>
    </w:p>
    <w:p w14:paraId="23A395E6" w14:textId="72688D81" w:rsidR="00EC79BA" w:rsidRDefault="00EC79BA" w:rsidP="004D3814">
      <w:pPr>
        <w:tabs>
          <w:tab w:val="left" w:pos="3270"/>
        </w:tabs>
        <w:spacing w:after="240" w:line="360" w:lineRule="auto"/>
        <w:jc w:val="both"/>
        <w:rPr>
          <w:rFonts w:ascii="Times New Roman" w:eastAsia="MS Mincho" w:hAnsi="Times New Roman" w:cs="Times New Roman"/>
          <w:sz w:val="24"/>
          <w:szCs w:val="24"/>
        </w:rPr>
      </w:pPr>
    </w:p>
    <w:p w14:paraId="3009952F" w14:textId="38847058" w:rsidR="00EC79BA" w:rsidRDefault="00EC79BA" w:rsidP="004D3814">
      <w:pPr>
        <w:tabs>
          <w:tab w:val="left" w:pos="3270"/>
        </w:tabs>
        <w:spacing w:after="240" w:line="360" w:lineRule="auto"/>
        <w:jc w:val="both"/>
        <w:rPr>
          <w:rFonts w:ascii="Times New Roman" w:eastAsia="MS Mincho" w:hAnsi="Times New Roman" w:cs="Times New Roman"/>
          <w:sz w:val="24"/>
          <w:szCs w:val="24"/>
        </w:rPr>
      </w:pPr>
    </w:p>
    <w:p w14:paraId="4BD6A99F" w14:textId="5524B59E" w:rsidR="00EC79BA" w:rsidRDefault="00EC79BA" w:rsidP="004D3814">
      <w:pPr>
        <w:tabs>
          <w:tab w:val="left" w:pos="3270"/>
        </w:tabs>
        <w:spacing w:after="240" w:line="360" w:lineRule="auto"/>
        <w:jc w:val="both"/>
        <w:rPr>
          <w:rFonts w:ascii="Times New Roman" w:eastAsia="MS Mincho" w:hAnsi="Times New Roman" w:cs="Times New Roman"/>
          <w:sz w:val="24"/>
          <w:szCs w:val="24"/>
        </w:rPr>
      </w:pPr>
    </w:p>
    <w:p w14:paraId="7C58562C" w14:textId="6774DE6E" w:rsidR="00EC79BA" w:rsidRDefault="00EC79BA" w:rsidP="004D3814">
      <w:pPr>
        <w:tabs>
          <w:tab w:val="left" w:pos="3270"/>
        </w:tabs>
        <w:spacing w:after="240" w:line="360" w:lineRule="auto"/>
        <w:jc w:val="both"/>
        <w:rPr>
          <w:rFonts w:ascii="Times New Roman" w:eastAsia="MS Mincho" w:hAnsi="Times New Roman" w:cs="Times New Roman"/>
          <w:sz w:val="24"/>
          <w:szCs w:val="24"/>
        </w:rPr>
      </w:pPr>
    </w:p>
    <w:p w14:paraId="09861175" w14:textId="4067D919" w:rsidR="00EC79BA" w:rsidRDefault="00EC79BA" w:rsidP="004D3814">
      <w:pPr>
        <w:tabs>
          <w:tab w:val="left" w:pos="3270"/>
        </w:tabs>
        <w:spacing w:after="240" w:line="360" w:lineRule="auto"/>
        <w:jc w:val="both"/>
        <w:rPr>
          <w:rFonts w:ascii="Times New Roman" w:eastAsia="MS Mincho" w:hAnsi="Times New Roman" w:cs="Times New Roman"/>
          <w:sz w:val="24"/>
          <w:szCs w:val="24"/>
        </w:rPr>
      </w:pPr>
    </w:p>
    <w:p w14:paraId="6B0066A7" w14:textId="0BD2908F" w:rsidR="00EC79BA" w:rsidRDefault="00EC79BA" w:rsidP="004D3814">
      <w:pPr>
        <w:tabs>
          <w:tab w:val="left" w:pos="3270"/>
        </w:tabs>
        <w:spacing w:after="240" w:line="360" w:lineRule="auto"/>
        <w:jc w:val="both"/>
        <w:rPr>
          <w:rFonts w:ascii="Times New Roman" w:eastAsia="MS Mincho" w:hAnsi="Times New Roman" w:cs="Times New Roman"/>
          <w:sz w:val="24"/>
          <w:szCs w:val="24"/>
        </w:rPr>
      </w:pPr>
    </w:p>
    <w:p w14:paraId="28007F70" w14:textId="6EED7A89" w:rsidR="00EC79BA" w:rsidRDefault="00EC79BA" w:rsidP="004D3814">
      <w:pPr>
        <w:tabs>
          <w:tab w:val="left" w:pos="3270"/>
        </w:tabs>
        <w:spacing w:after="240" w:line="360" w:lineRule="auto"/>
        <w:jc w:val="both"/>
        <w:rPr>
          <w:rFonts w:ascii="Times New Roman" w:eastAsia="MS Mincho" w:hAnsi="Times New Roman" w:cs="Times New Roman"/>
          <w:sz w:val="24"/>
          <w:szCs w:val="24"/>
        </w:rPr>
      </w:pPr>
    </w:p>
    <w:p w14:paraId="2782D182" w14:textId="77777777" w:rsidR="00EC79BA" w:rsidRDefault="00EC79BA" w:rsidP="004D3814">
      <w:pPr>
        <w:tabs>
          <w:tab w:val="left" w:pos="3270"/>
        </w:tabs>
        <w:spacing w:after="240" w:line="360" w:lineRule="auto"/>
        <w:jc w:val="both"/>
        <w:rPr>
          <w:rFonts w:ascii="Times New Roman" w:eastAsia="MS Mincho" w:hAnsi="Times New Roman" w:cs="Times New Roman"/>
          <w:sz w:val="24"/>
          <w:szCs w:val="24"/>
        </w:rPr>
      </w:pPr>
    </w:p>
    <w:p w14:paraId="7882F87C" w14:textId="77777777" w:rsidR="00146409" w:rsidRPr="00E378F7" w:rsidRDefault="00466785" w:rsidP="006C1DD4">
      <w:pPr>
        <w:pStyle w:val="Heading1"/>
      </w:pPr>
      <w:bookmarkStart w:id="36" w:name="_Toc501031480"/>
      <w:r w:rsidRPr="00E378F7">
        <w:lastRenderedPageBreak/>
        <w:t>CHAPTER FIVE</w:t>
      </w:r>
      <w:bookmarkEnd w:id="36"/>
    </w:p>
    <w:p w14:paraId="5383A59B" w14:textId="1DB1F57D" w:rsidR="00146409" w:rsidRPr="00E378F7" w:rsidRDefault="00146409" w:rsidP="006C1DD4">
      <w:pPr>
        <w:pStyle w:val="Heading1"/>
      </w:pPr>
      <w:bookmarkStart w:id="37" w:name="_Toc501031481"/>
      <w:r w:rsidRPr="00E378F7">
        <w:t>ANALYSIS OF RESULTS</w:t>
      </w:r>
      <w:bookmarkEnd w:id="37"/>
    </w:p>
    <w:p w14:paraId="7C750F2F" w14:textId="77777777" w:rsidR="00146409" w:rsidRPr="00E378F7" w:rsidRDefault="00854FF0" w:rsidP="006C1DD4">
      <w:pPr>
        <w:pStyle w:val="Heading2"/>
      </w:pPr>
      <w:bookmarkStart w:id="38" w:name="_Toc501031482"/>
      <w:r w:rsidRPr="00E378F7">
        <w:t>5</w:t>
      </w:r>
      <w:r w:rsidR="00146409" w:rsidRPr="00E378F7">
        <w:t>.0 Introduction</w:t>
      </w:r>
      <w:bookmarkEnd w:id="38"/>
    </w:p>
    <w:p w14:paraId="31D48326" w14:textId="4F236F96" w:rsidR="00146409" w:rsidRPr="00E378F7" w:rsidRDefault="00146409" w:rsidP="008E4E1C">
      <w:pPr>
        <w:pStyle w:val="NoSpacing"/>
        <w:spacing w:line="360" w:lineRule="auto"/>
        <w:jc w:val="both"/>
        <w:rPr>
          <w:rFonts w:ascii="Times New Roman" w:hAnsi="Times New Roman" w:cs="Times New Roman"/>
          <w:sz w:val="24"/>
          <w:szCs w:val="24"/>
        </w:rPr>
      </w:pPr>
      <w:r w:rsidRPr="00E378F7">
        <w:rPr>
          <w:rFonts w:ascii="Times New Roman" w:hAnsi="Times New Roman" w:cs="Times New Roman"/>
          <w:sz w:val="24"/>
          <w:szCs w:val="24"/>
        </w:rPr>
        <w:t xml:space="preserve">This chapter presents both </w:t>
      </w:r>
      <w:r w:rsidR="00E34A5D">
        <w:rPr>
          <w:rFonts w:ascii="Times New Roman" w:hAnsi="Times New Roman" w:cs="Times New Roman"/>
          <w:sz w:val="24"/>
          <w:szCs w:val="24"/>
        </w:rPr>
        <w:t xml:space="preserve">a </w:t>
      </w:r>
      <w:r w:rsidRPr="00E378F7">
        <w:rPr>
          <w:rFonts w:ascii="Times New Roman" w:hAnsi="Times New Roman" w:cs="Times New Roman"/>
          <w:sz w:val="24"/>
          <w:szCs w:val="24"/>
        </w:rPr>
        <w:t>descriptive and econometric analysis of the data. It begins with some assessment of the patterns in the data using basic descriptive statistics, correlations</w:t>
      </w:r>
      <w:r w:rsidR="00E34A5D">
        <w:rPr>
          <w:rFonts w:ascii="Times New Roman" w:hAnsi="Times New Roman" w:cs="Times New Roman"/>
          <w:sz w:val="24"/>
          <w:szCs w:val="24"/>
        </w:rPr>
        <w:t>,</w:t>
      </w:r>
      <w:r w:rsidRPr="00E378F7">
        <w:rPr>
          <w:rFonts w:ascii="Times New Roman" w:hAnsi="Times New Roman" w:cs="Times New Roman"/>
          <w:sz w:val="24"/>
          <w:szCs w:val="24"/>
        </w:rPr>
        <w:t xml:space="preserve"> and graphs in order to provide some insights into the relationship between increasing financial depth and TFP growth. This analysis is complemented by regression analysis using the pooled OLS and the Panel Smooth Transition Regression (PSTR) approach.</w:t>
      </w:r>
    </w:p>
    <w:p w14:paraId="40B8130F" w14:textId="77777777" w:rsidR="00146409" w:rsidRPr="00E378F7" w:rsidRDefault="00146409" w:rsidP="008E4E1C">
      <w:pPr>
        <w:pStyle w:val="NoSpacing"/>
        <w:spacing w:line="360" w:lineRule="auto"/>
        <w:jc w:val="both"/>
        <w:rPr>
          <w:rFonts w:ascii="Times New Roman" w:hAnsi="Times New Roman" w:cs="Times New Roman"/>
          <w:sz w:val="16"/>
          <w:szCs w:val="16"/>
        </w:rPr>
      </w:pPr>
    </w:p>
    <w:p w14:paraId="70C00083" w14:textId="1D7CA9A8" w:rsidR="00146409" w:rsidRPr="00E378F7" w:rsidRDefault="00854FF0" w:rsidP="006C1DD4">
      <w:pPr>
        <w:pStyle w:val="Heading2"/>
      </w:pPr>
      <w:bookmarkStart w:id="39" w:name="_Toc501031483"/>
      <w:r w:rsidRPr="00E378F7">
        <w:t>5</w:t>
      </w:r>
      <w:r w:rsidR="00146409" w:rsidRPr="00E378F7">
        <w:t>.1 Descriptive analysis</w:t>
      </w:r>
      <w:bookmarkEnd w:id="39"/>
    </w:p>
    <w:p w14:paraId="4D205631" w14:textId="5E0352B9" w:rsidR="00B07290" w:rsidRDefault="00146409" w:rsidP="008E4E1C">
      <w:pPr>
        <w:pStyle w:val="NoSpacing"/>
        <w:spacing w:line="360" w:lineRule="auto"/>
        <w:jc w:val="both"/>
        <w:rPr>
          <w:rFonts w:ascii="Times New Roman" w:hAnsi="Times New Roman"/>
          <w:sz w:val="24"/>
          <w:szCs w:val="24"/>
        </w:rPr>
      </w:pPr>
      <w:r w:rsidRPr="00E378F7">
        <w:rPr>
          <w:rFonts w:ascii="Times New Roman" w:hAnsi="Times New Roman" w:cs="Times New Roman"/>
          <w:sz w:val="24"/>
          <w:szCs w:val="24"/>
        </w:rPr>
        <w:t xml:space="preserve">A useful starting point </w:t>
      </w:r>
      <w:r w:rsidR="00E34A5D">
        <w:rPr>
          <w:rFonts w:ascii="Times New Roman" w:hAnsi="Times New Roman" w:cs="Times New Roman"/>
          <w:sz w:val="24"/>
          <w:szCs w:val="24"/>
        </w:rPr>
        <w:t xml:space="preserve">to </w:t>
      </w:r>
      <w:r w:rsidRPr="00E378F7">
        <w:rPr>
          <w:rFonts w:ascii="Times New Roman" w:hAnsi="Times New Roman" w:cs="Times New Roman"/>
          <w:sz w:val="24"/>
          <w:szCs w:val="24"/>
        </w:rPr>
        <w:t xml:space="preserve">empirically </w:t>
      </w:r>
      <w:r w:rsidR="00E34A5D" w:rsidRPr="00E378F7">
        <w:rPr>
          <w:rFonts w:ascii="Times New Roman" w:hAnsi="Times New Roman" w:cs="Times New Roman"/>
          <w:sz w:val="24"/>
          <w:szCs w:val="24"/>
        </w:rPr>
        <w:t>analyz</w:t>
      </w:r>
      <w:r w:rsidR="00E34A5D">
        <w:rPr>
          <w:rFonts w:ascii="Times New Roman" w:hAnsi="Times New Roman" w:cs="Times New Roman"/>
          <w:sz w:val="24"/>
          <w:szCs w:val="24"/>
        </w:rPr>
        <w:t>e</w:t>
      </w:r>
      <w:r w:rsidR="00E34A5D" w:rsidRPr="00E378F7">
        <w:rPr>
          <w:rFonts w:ascii="Times New Roman" w:hAnsi="Times New Roman" w:cs="Times New Roman"/>
          <w:sz w:val="24"/>
          <w:szCs w:val="24"/>
        </w:rPr>
        <w:t xml:space="preserve"> </w:t>
      </w:r>
      <w:r w:rsidRPr="00E378F7">
        <w:rPr>
          <w:rFonts w:ascii="Times New Roman" w:hAnsi="Times New Roman" w:cs="Times New Roman"/>
          <w:sz w:val="24"/>
          <w:szCs w:val="24"/>
        </w:rPr>
        <w:t>the underlying relationship is to establish so</w:t>
      </w:r>
      <w:r w:rsidR="000745DF" w:rsidRPr="00E378F7">
        <w:rPr>
          <w:rFonts w:ascii="Times New Roman" w:hAnsi="Times New Roman" w:cs="Times New Roman"/>
          <w:sz w:val="24"/>
          <w:szCs w:val="24"/>
        </w:rPr>
        <w:t>me patterns in the data. Table 5</w:t>
      </w:r>
      <w:r w:rsidRPr="00E378F7">
        <w:rPr>
          <w:rFonts w:ascii="Times New Roman" w:hAnsi="Times New Roman" w:cs="Times New Roman"/>
          <w:sz w:val="24"/>
          <w:szCs w:val="24"/>
        </w:rPr>
        <w:t xml:space="preserve">.1 displays the descriptive statistics of indicators of financial deepening (ratio of private credit to GDP and </w:t>
      </w:r>
      <w:r w:rsidR="00E34A5D">
        <w:rPr>
          <w:rFonts w:ascii="Times New Roman" w:hAnsi="Times New Roman" w:cs="Times New Roman"/>
          <w:sz w:val="24"/>
          <w:szCs w:val="24"/>
        </w:rPr>
        <w:t xml:space="preserve">the </w:t>
      </w:r>
      <w:r w:rsidRPr="00E378F7">
        <w:rPr>
          <w:rFonts w:ascii="Times New Roman" w:hAnsi="Times New Roman" w:cs="Times New Roman"/>
          <w:sz w:val="24"/>
          <w:szCs w:val="24"/>
        </w:rPr>
        <w:t>ratio of stock market capitalization to GDP), TFP growth</w:t>
      </w:r>
      <w:r w:rsidR="002A7A00">
        <w:rPr>
          <w:rFonts w:ascii="Times New Roman" w:hAnsi="Times New Roman" w:cs="Times New Roman"/>
          <w:sz w:val="24"/>
          <w:szCs w:val="24"/>
        </w:rPr>
        <w:t>,</w:t>
      </w:r>
      <w:r w:rsidRPr="00E378F7">
        <w:rPr>
          <w:rFonts w:ascii="Times New Roman" w:hAnsi="Times New Roman" w:cs="Times New Roman"/>
          <w:sz w:val="24"/>
          <w:szCs w:val="24"/>
        </w:rPr>
        <w:t xml:space="preserve"> and other explanatory variables. It is clear that there is significant variation in the indicators of financial deepening cross countries, with a standard deviation of 37.87 for the </w:t>
      </w:r>
      <w:r w:rsidRPr="00E378F7">
        <w:rPr>
          <w:rFonts w:ascii="Times New Roman" w:hAnsi="Times New Roman"/>
          <w:sz w:val="24"/>
          <w:szCs w:val="24"/>
        </w:rPr>
        <w:t xml:space="preserve">ratio of private credit by deposit money banks and other financial institutions to GDP (%), ranging from 7.75 percent in Russia in 1996 to 166 percent in Thailand in 1998. In a similar vein, there is </w:t>
      </w:r>
      <w:r w:rsidR="002A7A00">
        <w:rPr>
          <w:rFonts w:ascii="Times New Roman" w:hAnsi="Times New Roman"/>
          <w:sz w:val="24"/>
          <w:szCs w:val="24"/>
        </w:rPr>
        <w:t xml:space="preserve">a </w:t>
      </w:r>
      <w:r w:rsidRPr="00E378F7">
        <w:rPr>
          <w:rFonts w:ascii="Times New Roman" w:hAnsi="Times New Roman"/>
          <w:sz w:val="24"/>
          <w:szCs w:val="24"/>
        </w:rPr>
        <w:t>wide variation in the ratio of stock market capitalization to GDP (%) across countries, with a standard deviation of 45.35 and ranging from 3.92 percent in Nigeria in 2002 to 258 percent in Malaysia in 1996. Additionally, there are wide differences in TFP growth across countries, showing a standard deviation of 0.10 and ranging from 0.66 percent in Nigeria in 1999 to 1.21 percent in Greece in 2007. Such a wide difference in TFP growth and financial deepening is helpful for determining how the variations in financial deepening explain the differences in TFP growth across countries using the PSTR approach.</w:t>
      </w:r>
    </w:p>
    <w:p w14:paraId="40896FC7" w14:textId="388A8028" w:rsidR="004D3814" w:rsidRDefault="004D3814" w:rsidP="008E4E1C">
      <w:pPr>
        <w:pStyle w:val="NoSpacing"/>
        <w:spacing w:line="360" w:lineRule="auto"/>
        <w:jc w:val="both"/>
        <w:rPr>
          <w:rFonts w:ascii="Times New Roman" w:hAnsi="Times New Roman"/>
          <w:sz w:val="24"/>
          <w:szCs w:val="24"/>
        </w:rPr>
      </w:pPr>
    </w:p>
    <w:p w14:paraId="34635C44" w14:textId="0ACAD2E4" w:rsidR="004D3814" w:rsidRDefault="004D3814" w:rsidP="008E4E1C">
      <w:pPr>
        <w:pStyle w:val="NoSpacing"/>
        <w:spacing w:line="360" w:lineRule="auto"/>
        <w:jc w:val="both"/>
        <w:rPr>
          <w:rFonts w:ascii="Times New Roman" w:hAnsi="Times New Roman"/>
          <w:sz w:val="24"/>
          <w:szCs w:val="24"/>
        </w:rPr>
      </w:pPr>
    </w:p>
    <w:p w14:paraId="22093DF6" w14:textId="6DAEE855" w:rsidR="004D3814" w:rsidRDefault="004D3814" w:rsidP="008E4E1C">
      <w:pPr>
        <w:pStyle w:val="NoSpacing"/>
        <w:spacing w:line="360" w:lineRule="auto"/>
        <w:jc w:val="both"/>
        <w:rPr>
          <w:rFonts w:ascii="Times New Roman" w:hAnsi="Times New Roman"/>
          <w:sz w:val="24"/>
          <w:szCs w:val="24"/>
        </w:rPr>
      </w:pPr>
    </w:p>
    <w:p w14:paraId="6A13FEA3" w14:textId="737F8A82" w:rsidR="004D3814" w:rsidRDefault="004D3814" w:rsidP="008E4E1C">
      <w:pPr>
        <w:pStyle w:val="NoSpacing"/>
        <w:spacing w:line="360" w:lineRule="auto"/>
        <w:jc w:val="both"/>
        <w:rPr>
          <w:rFonts w:ascii="Times New Roman" w:hAnsi="Times New Roman"/>
          <w:sz w:val="24"/>
          <w:szCs w:val="24"/>
        </w:rPr>
      </w:pPr>
    </w:p>
    <w:p w14:paraId="2CAFA970" w14:textId="77777777" w:rsidR="004D3814" w:rsidRPr="00E378F7" w:rsidRDefault="004D3814" w:rsidP="008E4E1C">
      <w:pPr>
        <w:pStyle w:val="NoSpacing"/>
        <w:spacing w:line="360" w:lineRule="auto"/>
        <w:jc w:val="both"/>
        <w:rPr>
          <w:rFonts w:ascii="Times New Roman" w:hAnsi="Times New Roman"/>
          <w:sz w:val="24"/>
          <w:szCs w:val="24"/>
        </w:rPr>
      </w:pPr>
    </w:p>
    <w:p w14:paraId="10D4A6BA" w14:textId="77777777" w:rsidR="00146409" w:rsidRPr="006C1DD4" w:rsidRDefault="00146409" w:rsidP="006C1DD4">
      <w:pPr>
        <w:pStyle w:val="Heading2"/>
        <w:jc w:val="center"/>
        <w:rPr>
          <w:i/>
          <w:sz w:val="22"/>
        </w:rPr>
      </w:pPr>
      <w:bookmarkStart w:id="40" w:name="_Toc501031484"/>
      <w:r w:rsidRPr="006C1DD4">
        <w:rPr>
          <w:i/>
          <w:sz w:val="22"/>
        </w:rPr>
        <w:lastRenderedPageBreak/>
        <w:t xml:space="preserve">Table </w:t>
      </w:r>
      <w:r w:rsidR="00854FF0" w:rsidRPr="006C1DD4">
        <w:rPr>
          <w:i/>
          <w:sz w:val="22"/>
        </w:rPr>
        <w:t>5</w:t>
      </w:r>
      <w:r w:rsidRPr="006C1DD4">
        <w:rPr>
          <w:i/>
          <w:sz w:val="22"/>
        </w:rPr>
        <w:t>.1: Summary descriptive statistics</w:t>
      </w:r>
      <w:bookmarkEnd w:id="40"/>
    </w:p>
    <w:tbl>
      <w:tblPr>
        <w:tblW w:w="0" w:type="auto"/>
        <w:jc w:val="center"/>
        <w:tblLayout w:type="fixed"/>
        <w:tblCellMar>
          <w:left w:w="75" w:type="dxa"/>
          <w:right w:w="75" w:type="dxa"/>
        </w:tblCellMar>
        <w:tblLook w:val="0000" w:firstRow="0" w:lastRow="0" w:firstColumn="0" w:lastColumn="0" w:noHBand="0" w:noVBand="0"/>
      </w:tblPr>
      <w:tblGrid>
        <w:gridCol w:w="3915"/>
        <w:gridCol w:w="567"/>
        <w:gridCol w:w="850"/>
        <w:gridCol w:w="851"/>
        <w:gridCol w:w="709"/>
        <w:gridCol w:w="658"/>
      </w:tblGrid>
      <w:tr w:rsidR="00146409" w:rsidRPr="00E378F7" w14:paraId="275B7B2A" w14:textId="77777777" w:rsidTr="00C2374E">
        <w:trPr>
          <w:jc w:val="center"/>
        </w:trPr>
        <w:tc>
          <w:tcPr>
            <w:tcW w:w="3915" w:type="dxa"/>
            <w:tcBorders>
              <w:top w:val="single" w:sz="6" w:space="0" w:color="auto"/>
              <w:left w:val="nil"/>
              <w:bottom w:val="single" w:sz="4" w:space="0" w:color="auto"/>
              <w:right w:val="nil"/>
            </w:tcBorders>
          </w:tcPr>
          <w:p w14:paraId="490CDD86"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Variable</w:t>
            </w:r>
          </w:p>
        </w:tc>
        <w:tc>
          <w:tcPr>
            <w:tcW w:w="567" w:type="dxa"/>
            <w:tcBorders>
              <w:top w:val="single" w:sz="6" w:space="0" w:color="auto"/>
              <w:left w:val="nil"/>
              <w:bottom w:val="single" w:sz="4" w:space="0" w:color="auto"/>
              <w:right w:val="nil"/>
            </w:tcBorders>
          </w:tcPr>
          <w:p w14:paraId="0D9B411D" w14:textId="26DB970F"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Obs</w:t>
            </w:r>
            <w:r w:rsidR="00AC0D70">
              <w:rPr>
                <w:rFonts w:ascii="Times New Roman" w:hAnsi="Times New Roman" w:cs="Times New Roman"/>
                <w:sz w:val="20"/>
                <w:szCs w:val="20"/>
              </w:rPr>
              <w:t>.</w:t>
            </w:r>
          </w:p>
        </w:tc>
        <w:tc>
          <w:tcPr>
            <w:tcW w:w="850" w:type="dxa"/>
            <w:tcBorders>
              <w:top w:val="single" w:sz="6" w:space="0" w:color="auto"/>
              <w:left w:val="nil"/>
              <w:bottom w:val="single" w:sz="4" w:space="0" w:color="auto"/>
              <w:right w:val="nil"/>
            </w:tcBorders>
          </w:tcPr>
          <w:p w14:paraId="181DAA70"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Mean</w:t>
            </w:r>
          </w:p>
        </w:tc>
        <w:tc>
          <w:tcPr>
            <w:tcW w:w="851" w:type="dxa"/>
            <w:tcBorders>
              <w:top w:val="single" w:sz="6" w:space="0" w:color="auto"/>
              <w:left w:val="nil"/>
              <w:bottom w:val="single" w:sz="4" w:space="0" w:color="auto"/>
              <w:right w:val="nil"/>
            </w:tcBorders>
          </w:tcPr>
          <w:p w14:paraId="4520474E"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Std.Dev.</w:t>
            </w:r>
          </w:p>
        </w:tc>
        <w:tc>
          <w:tcPr>
            <w:tcW w:w="709" w:type="dxa"/>
            <w:tcBorders>
              <w:top w:val="single" w:sz="6" w:space="0" w:color="auto"/>
              <w:left w:val="nil"/>
              <w:bottom w:val="single" w:sz="4" w:space="0" w:color="auto"/>
              <w:right w:val="nil"/>
            </w:tcBorders>
          </w:tcPr>
          <w:p w14:paraId="025C5328"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Min</w:t>
            </w:r>
          </w:p>
        </w:tc>
        <w:tc>
          <w:tcPr>
            <w:tcW w:w="658" w:type="dxa"/>
            <w:tcBorders>
              <w:top w:val="single" w:sz="6" w:space="0" w:color="auto"/>
              <w:left w:val="nil"/>
              <w:bottom w:val="single" w:sz="4" w:space="0" w:color="auto"/>
              <w:right w:val="nil"/>
            </w:tcBorders>
          </w:tcPr>
          <w:p w14:paraId="2AEED483"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Max</w:t>
            </w:r>
          </w:p>
        </w:tc>
      </w:tr>
      <w:tr w:rsidR="00146409" w:rsidRPr="00E378F7" w14:paraId="1316C0CF" w14:textId="77777777" w:rsidTr="00C2374E">
        <w:trPr>
          <w:jc w:val="center"/>
        </w:trPr>
        <w:tc>
          <w:tcPr>
            <w:tcW w:w="3915" w:type="dxa"/>
            <w:tcBorders>
              <w:top w:val="single" w:sz="4" w:space="0" w:color="auto"/>
              <w:left w:val="nil"/>
              <w:right w:val="nil"/>
            </w:tcBorders>
          </w:tcPr>
          <w:p w14:paraId="7B90AF01"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Total factor productivity growth (%)</w:t>
            </w:r>
          </w:p>
        </w:tc>
        <w:tc>
          <w:tcPr>
            <w:tcW w:w="567" w:type="dxa"/>
            <w:tcBorders>
              <w:top w:val="single" w:sz="4" w:space="0" w:color="auto"/>
              <w:left w:val="nil"/>
              <w:right w:val="nil"/>
            </w:tcBorders>
          </w:tcPr>
          <w:p w14:paraId="7896B4C4"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418</w:t>
            </w:r>
          </w:p>
        </w:tc>
        <w:tc>
          <w:tcPr>
            <w:tcW w:w="850" w:type="dxa"/>
            <w:tcBorders>
              <w:top w:val="single" w:sz="4" w:space="0" w:color="auto"/>
              <w:left w:val="nil"/>
              <w:right w:val="nil"/>
            </w:tcBorders>
          </w:tcPr>
          <w:p w14:paraId="48A1C9B3"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0.960</w:t>
            </w:r>
          </w:p>
        </w:tc>
        <w:tc>
          <w:tcPr>
            <w:tcW w:w="851" w:type="dxa"/>
            <w:tcBorders>
              <w:top w:val="single" w:sz="4" w:space="0" w:color="auto"/>
              <w:left w:val="nil"/>
              <w:right w:val="nil"/>
            </w:tcBorders>
          </w:tcPr>
          <w:p w14:paraId="01C3B3AB"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0.104</w:t>
            </w:r>
          </w:p>
        </w:tc>
        <w:tc>
          <w:tcPr>
            <w:tcW w:w="709" w:type="dxa"/>
            <w:tcBorders>
              <w:top w:val="single" w:sz="4" w:space="0" w:color="auto"/>
              <w:left w:val="nil"/>
              <w:right w:val="nil"/>
            </w:tcBorders>
          </w:tcPr>
          <w:p w14:paraId="4BD06037"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0.661</w:t>
            </w:r>
          </w:p>
        </w:tc>
        <w:tc>
          <w:tcPr>
            <w:tcW w:w="658" w:type="dxa"/>
            <w:tcBorders>
              <w:top w:val="single" w:sz="4" w:space="0" w:color="auto"/>
              <w:left w:val="nil"/>
              <w:right w:val="nil"/>
            </w:tcBorders>
          </w:tcPr>
          <w:p w14:paraId="1408078F"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1.212</w:t>
            </w:r>
          </w:p>
        </w:tc>
      </w:tr>
      <w:tr w:rsidR="00146409" w:rsidRPr="00E378F7" w14:paraId="7C0475F3" w14:textId="77777777" w:rsidTr="00C2374E">
        <w:trPr>
          <w:jc w:val="center"/>
        </w:trPr>
        <w:tc>
          <w:tcPr>
            <w:tcW w:w="3915" w:type="dxa"/>
            <w:tcBorders>
              <w:left w:val="nil"/>
              <w:bottom w:val="nil"/>
              <w:right w:val="nil"/>
            </w:tcBorders>
          </w:tcPr>
          <w:p w14:paraId="6AEF8017"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Ratio of private sector (% GDP)</w:t>
            </w:r>
          </w:p>
        </w:tc>
        <w:tc>
          <w:tcPr>
            <w:tcW w:w="567" w:type="dxa"/>
            <w:tcBorders>
              <w:left w:val="nil"/>
              <w:bottom w:val="nil"/>
              <w:right w:val="nil"/>
            </w:tcBorders>
          </w:tcPr>
          <w:p w14:paraId="0111E9B8"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418</w:t>
            </w:r>
          </w:p>
        </w:tc>
        <w:tc>
          <w:tcPr>
            <w:tcW w:w="850" w:type="dxa"/>
            <w:tcBorders>
              <w:left w:val="nil"/>
              <w:bottom w:val="nil"/>
              <w:right w:val="nil"/>
            </w:tcBorders>
          </w:tcPr>
          <w:p w14:paraId="273FF8F5"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55.38</w:t>
            </w:r>
          </w:p>
        </w:tc>
        <w:tc>
          <w:tcPr>
            <w:tcW w:w="851" w:type="dxa"/>
            <w:tcBorders>
              <w:left w:val="nil"/>
              <w:bottom w:val="nil"/>
              <w:right w:val="nil"/>
            </w:tcBorders>
          </w:tcPr>
          <w:p w14:paraId="5C3EA2EC"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37.87</w:t>
            </w:r>
          </w:p>
        </w:tc>
        <w:tc>
          <w:tcPr>
            <w:tcW w:w="709" w:type="dxa"/>
            <w:tcBorders>
              <w:left w:val="nil"/>
              <w:bottom w:val="nil"/>
              <w:right w:val="nil"/>
            </w:tcBorders>
          </w:tcPr>
          <w:p w14:paraId="69FD2DDB"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7.748</w:t>
            </w:r>
          </w:p>
        </w:tc>
        <w:tc>
          <w:tcPr>
            <w:tcW w:w="658" w:type="dxa"/>
            <w:tcBorders>
              <w:left w:val="nil"/>
              <w:bottom w:val="nil"/>
              <w:right w:val="nil"/>
            </w:tcBorders>
          </w:tcPr>
          <w:p w14:paraId="30D5254B"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165.9</w:t>
            </w:r>
          </w:p>
        </w:tc>
      </w:tr>
      <w:tr w:rsidR="00146409" w:rsidRPr="00E378F7" w14:paraId="087CA9D3" w14:textId="77777777" w:rsidTr="00C2374E">
        <w:trPr>
          <w:jc w:val="center"/>
        </w:trPr>
        <w:tc>
          <w:tcPr>
            <w:tcW w:w="3915" w:type="dxa"/>
            <w:tcBorders>
              <w:top w:val="nil"/>
              <w:left w:val="nil"/>
              <w:bottom w:val="nil"/>
              <w:right w:val="nil"/>
            </w:tcBorders>
          </w:tcPr>
          <w:p w14:paraId="522DE4F6"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Ratio of stock market capitalization (%GDP)</w:t>
            </w:r>
          </w:p>
        </w:tc>
        <w:tc>
          <w:tcPr>
            <w:tcW w:w="567" w:type="dxa"/>
            <w:tcBorders>
              <w:top w:val="nil"/>
              <w:left w:val="nil"/>
              <w:bottom w:val="nil"/>
              <w:right w:val="nil"/>
            </w:tcBorders>
          </w:tcPr>
          <w:p w14:paraId="45B58A9B"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418</w:t>
            </w:r>
          </w:p>
        </w:tc>
        <w:tc>
          <w:tcPr>
            <w:tcW w:w="850" w:type="dxa"/>
            <w:tcBorders>
              <w:top w:val="nil"/>
              <w:left w:val="nil"/>
              <w:bottom w:val="nil"/>
              <w:right w:val="nil"/>
            </w:tcBorders>
          </w:tcPr>
          <w:p w14:paraId="609342F5"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51.92</w:t>
            </w:r>
          </w:p>
        </w:tc>
        <w:tc>
          <w:tcPr>
            <w:tcW w:w="851" w:type="dxa"/>
            <w:tcBorders>
              <w:top w:val="nil"/>
              <w:left w:val="nil"/>
              <w:bottom w:val="nil"/>
              <w:right w:val="nil"/>
            </w:tcBorders>
          </w:tcPr>
          <w:p w14:paraId="0C7CAB5E"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45.35</w:t>
            </w:r>
          </w:p>
        </w:tc>
        <w:tc>
          <w:tcPr>
            <w:tcW w:w="709" w:type="dxa"/>
            <w:tcBorders>
              <w:top w:val="nil"/>
              <w:left w:val="nil"/>
              <w:bottom w:val="nil"/>
              <w:right w:val="nil"/>
            </w:tcBorders>
          </w:tcPr>
          <w:p w14:paraId="25C6DA04"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3.918</w:t>
            </w:r>
          </w:p>
        </w:tc>
        <w:tc>
          <w:tcPr>
            <w:tcW w:w="658" w:type="dxa"/>
            <w:tcBorders>
              <w:top w:val="nil"/>
              <w:left w:val="nil"/>
              <w:bottom w:val="nil"/>
              <w:right w:val="nil"/>
            </w:tcBorders>
          </w:tcPr>
          <w:p w14:paraId="58A68D04"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257.7</w:t>
            </w:r>
          </w:p>
        </w:tc>
      </w:tr>
      <w:tr w:rsidR="00146409" w:rsidRPr="00E378F7" w14:paraId="02F7594D" w14:textId="77777777" w:rsidTr="00C2374E">
        <w:trPr>
          <w:jc w:val="center"/>
        </w:trPr>
        <w:tc>
          <w:tcPr>
            <w:tcW w:w="3915" w:type="dxa"/>
            <w:tcBorders>
              <w:top w:val="nil"/>
              <w:left w:val="nil"/>
              <w:bottom w:val="nil"/>
              <w:right w:val="nil"/>
            </w:tcBorders>
          </w:tcPr>
          <w:p w14:paraId="318BAF30"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Human capital</w:t>
            </w:r>
          </w:p>
        </w:tc>
        <w:tc>
          <w:tcPr>
            <w:tcW w:w="567" w:type="dxa"/>
            <w:tcBorders>
              <w:top w:val="nil"/>
              <w:left w:val="nil"/>
              <w:bottom w:val="nil"/>
              <w:right w:val="nil"/>
            </w:tcBorders>
          </w:tcPr>
          <w:p w14:paraId="56CC8C5E"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418</w:t>
            </w:r>
          </w:p>
        </w:tc>
        <w:tc>
          <w:tcPr>
            <w:tcW w:w="850" w:type="dxa"/>
            <w:tcBorders>
              <w:top w:val="nil"/>
              <w:left w:val="nil"/>
              <w:bottom w:val="nil"/>
              <w:right w:val="nil"/>
            </w:tcBorders>
          </w:tcPr>
          <w:p w14:paraId="0031DA61"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2.53</w:t>
            </w:r>
          </w:p>
        </w:tc>
        <w:tc>
          <w:tcPr>
            <w:tcW w:w="851" w:type="dxa"/>
            <w:tcBorders>
              <w:top w:val="nil"/>
              <w:left w:val="nil"/>
              <w:bottom w:val="nil"/>
              <w:right w:val="nil"/>
            </w:tcBorders>
          </w:tcPr>
          <w:p w14:paraId="139361C1"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0.54</w:t>
            </w:r>
          </w:p>
        </w:tc>
        <w:tc>
          <w:tcPr>
            <w:tcW w:w="709" w:type="dxa"/>
            <w:tcBorders>
              <w:top w:val="nil"/>
              <w:left w:val="nil"/>
              <w:bottom w:val="nil"/>
              <w:right w:val="nil"/>
            </w:tcBorders>
          </w:tcPr>
          <w:p w14:paraId="1819EA88"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1.360</w:t>
            </w:r>
          </w:p>
        </w:tc>
        <w:tc>
          <w:tcPr>
            <w:tcW w:w="658" w:type="dxa"/>
            <w:tcBorders>
              <w:top w:val="nil"/>
              <w:left w:val="nil"/>
              <w:bottom w:val="nil"/>
              <w:right w:val="nil"/>
            </w:tcBorders>
          </w:tcPr>
          <w:p w14:paraId="354714D7"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3.653</w:t>
            </w:r>
          </w:p>
        </w:tc>
      </w:tr>
      <w:tr w:rsidR="00146409" w:rsidRPr="00E378F7" w14:paraId="7764D8E2" w14:textId="77777777" w:rsidTr="00C2374E">
        <w:trPr>
          <w:jc w:val="center"/>
        </w:trPr>
        <w:tc>
          <w:tcPr>
            <w:tcW w:w="3915" w:type="dxa"/>
            <w:tcBorders>
              <w:top w:val="nil"/>
              <w:left w:val="nil"/>
              <w:bottom w:val="nil"/>
              <w:right w:val="nil"/>
            </w:tcBorders>
          </w:tcPr>
          <w:p w14:paraId="662998D1"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Initial real GDP per capita (US$)</w:t>
            </w:r>
          </w:p>
        </w:tc>
        <w:tc>
          <w:tcPr>
            <w:tcW w:w="567" w:type="dxa"/>
            <w:tcBorders>
              <w:top w:val="nil"/>
              <w:left w:val="nil"/>
              <w:bottom w:val="nil"/>
              <w:right w:val="nil"/>
            </w:tcBorders>
          </w:tcPr>
          <w:p w14:paraId="64D86C75"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418</w:t>
            </w:r>
          </w:p>
        </w:tc>
        <w:tc>
          <w:tcPr>
            <w:tcW w:w="850" w:type="dxa"/>
            <w:tcBorders>
              <w:top w:val="nil"/>
              <w:left w:val="nil"/>
              <w:bottom w:val="nil"/>
              <w:right w:val="nil"/>
            </w:tcBorders>
          </w:tcPr>
          <w:p w14:paraId="5DC5AFE0"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7659</w:t>
            </w:r>
          </w:p>
        </w:tc>
        <w:tc>
          <w:tcPr>
            <w:tcW w:w="851" w:type="dxa"/>
            <w:tcBorders>
              <w:top w:val="nil"/>
              <w:left w:val="nil"/>
              <w:bottom w:val="nil"/>
              <w:right w:val="nil"/>
            </w:tcBorders>
          </w:tcPr>
          <w:p w14:paraId="03F90962"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6104</w:t>
            </w:r>
          </w:p>
        </w:tc>
        <w:tc>
          <w:tcPr>
            <w:tcW w:w="709" w:type="dxa"/>
            <w:tcBorders>
              <w:top w:val="nil"/>
              <w:left w:val="nil"/>
              <w:bottom w:val="nil"/>
              <w:right w:val="nil"/>
            </w:tcBorders>
          </w:tcPr>
          <w:p w14:paraId="03E9A263"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656.7</w:t>
            </w:r>
          </w:p>
        </w:tc>
        <w:tc>
          <w:tcPr>
            <w:tcW w:w="658" w:type="dxa"/>
            <w:tcBorders>
              <w:top w:val="nil"/>
              <w:left w:val="nil"/>
              <w:bottom w:val="nil"/>
              <w:right w:val="nil"/>
            </w:tcBorders>
          </w:tcPr>
          <w:p w14:paraId="350762C4"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29176</w:t>
            </w:r>
          </w:p>
        </w:tc>
      </w:tr>
      <w:tr w:rsidR="00146409" w:rsidRPr="00E378F7" w14:paraId="703D69AD" w14:textId="77777777" w:rsidTr="00C2374E">
        <w:trPr>
          <w:trHeight w:val="148"/>
          <w:jc w:val="center"/>
        </w:trPr>
        <w:tc>
          <w:tcPr>
            <w:tcW w:w="3915" w:type="dxa"/>
            <w:tcBorders>
              <w:top w:val="nil"/>
              <w:left w:val="nil"/>
              <w:bottom w:val="nil"/>
              <w:right w:val="nil"/>
            </w:tcBorders>
          </w:tcPr>
          <w:p w14:paraId="72E15494"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Ratio of net FDI inflows to GDP (%)</w:t>
            </w:r>
          </w:p>
        </w:tc>
        <w:tc>
          <w:tcPr>
            <w:tcW w:w="567" w:type="dxa"/>
            <w:tcBorders>
              <w:top w:val="nil"/>
              <w:left w:val="nil"/>
              <w:bottom w:val="nil"/>
              <w:right w:val="nil"/>
            </w:tcBorders>
          </w:tcPr>
          <w:p w14:paraId="4976A2FB"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418</w:t>
            </w:r>
          </w:p>
        </w:tc>
        <w:tc>
          <w:tcPr>
            <w:tcW w:w="850" w:type="dxa"/>
            <w:tcBorders>
              <w:top w:val="nil"/>
              <w:left w:val="nil"/>
              <w:bottom w:val="nil"/>
              <w:right w:val="nil"/>
            </w:tcBorders>
          </w:tcPr>
          <w:p w14:paraId="675762B4"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3.089</w:t>
            </w:r>
          </w:p>
        </w:tc>
        <w:tc>
          <w:tcPr>
            <w:tcW w:w="851" w:type="dxa"/>
            <w:tcBorders>
              <w:top w:val="nil"/>
              <w:left w:val="nil"/>
              <w:bottom w:val="nil"/>
              <w:right w:val="nil"/>
            </w:tcBorders>
          </w:tcPr>
          <w:p w14:paraId="1E728655"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4.070</w:t>
            </w:r>
          </w:p>
        </w:tc>
        <w:tc>
          <w:tcPr>
            <w:tcW w:w="709" w:type="dxa"/>
            <w:tcBorders>
              <w:top w:val="nil"/>
              <w:left w:val="nil"/>
              <w:bottom w:val="nil"/>
              <w:right w:val="nil"/>
            </w:tcBorders>
          </w:tcPr>
          <w:p w14:paraId="2A9836C8"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-16.07</w:t>
            </w:r>
          </w:p>
        </w:tc>
        <w:tc>
          <w:tcPr>
            <w:tcW w:w="658" w:type="dxa"/>
            <w:tcBorders>
              <w:top w:val="nil"/>
              <w:left w:val="nil"/>
              <w:bottom w:val="nil"/>
              <w:right w:val="nil"/>
            </w:tcBorders>
          </w:tcPr>
          <w:p w14:paraId="2C7A7092"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50.74</w:t>
            </w:r>
          </w:p>
        </w:tc>
      </w:tr>
      <w:tr w:rsidR="00146409" w:rsidRPr="00E378F7" w14:paraId="3F74C30F" w14:textId="77777777" w:rsidTr="00C2374E">
        <w:trPr>
          <w:jc w:val="center"/>
        </w:trPr>
        <w:tc>
          <w:tcPr>
            <w:tcW w:w="3915" w:type="dxa"/>
            <w:tcBorders>
              <w:top w:val="nil"/>
              <w:left w:val="nil"/>
              <w:bottom w:val="nil"/>
              <w:right w:val="nil"/>
            </w:tcBorders>
          </w:tcPr>
          <w:p w14:paraId="7F0C0D7A"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Trade openness (%)</w:t>
            </w:r>
          </w:p>
        </w:tc>
        <w:tc>
          <w:tcPr>
            <w:tcW w:w="567" w:type="dxa"/>
            <w:tcBorders>
              <w:top w:val="nil"/>
              <w:left w:val="nil"/>
              <w:bottom w:val="nil"/>
              <w:right w:val="nil"/>
            </w:tcBorders>
          </w:tcPr>
          <w:p w14:paraId="0C6DF670"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418</w:t>
            </w:r>
          </w:p>
        </w:tc>
        <w:tc>
          <w:tcPr>
            <w:tcW w:w="850" w:type="dxa"/>
            <w:tcBorders>
              <w:top w:val="nil"/>
              <w:left w:val="nil"/>
              <w:bottom w:val="nil"/>
              <w:right w:val="nil"/>
            </w:tcBorders>
          </w:tcPr>
          <w:p w14:paraId="7193D690"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70.43</w:t>
            </w:r>
          </w:p>
        </w:tc>
        <w:tc>
          <w:tcPr>
            <w:tcW w:w="851" w:type="dxa"/>
            <w:tcBorders>
              <w:top w:val="nil"/>
              <w:left w:val="nil"/>
              <w:bottom w:val="nil"/>
              <w:right w:val="nil"/>
            </w:tcBorders>
          </w:tcPr>
          <w:p w14:paraId="4F9B5523"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39.50</w:t>
            </w:r>
          </w:p>
        </w:tc>
        <w:tc>
          <w:tcPr>
            <w:tcW w:w="709" w:type="dxa"/>
            <w:tcBorders>
              <w:top w:val="nil"/>
              <w:left w:val="nil"/>
              <w:bottom w:val="nil"/>
              <w:right w:val="nil"/>
            </w:tcBorders>
          </w:tcPr>
          <w:p w14:paraId="151DFF40"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15.64</w:t>
            </w:r>
          </w:p>
        </w:tc>
        <w:tc>
          <w:tcPr>
            <w:tcW w:w="658" w:type="dxa"/>
            <w:tcBorders>
              <w:top w:val="nil"/>
              <w:left w:val="nil"/>
              <w:bottom w:val="nil"/>
              <w:right w:val="nil"/>
            </w:tcBorders>
          </w:tcPr>
          <w:p w14:paraId="3AD6046E"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220.4</w:t>
            </w:r>
          </w:p>
        </w:tc>
      </w:tr>
      <w:tr w:rsidR="00146409" w:rsidRPr="00E378F7" w14:paraId="776BEA61" w14:textId="77777777" w:rsidTr="00C2374E">
        <w:trPr>
          <w:jc w:val="center"/>
        </w:trPr>
        <w:tc>
          <w:tcPr>
            <w:tcW w:w="3915" w:type="dxa"/>
            <w:tcBorders>
              <w:top w:val="nil"/>
              <w:left w:val="nil"/>
              <w:bottom w:val="nil"/>
              <w:right w:val="nil"/>
            </w:tcBorders>
          </w:tcPr>
          <w:p w14:paraId="7D6BDAC8"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Rule of law index</w:t>
            </w:r>
          </w:p>
        </w:tc>
        <w:tc>
          <w:tcPr>
            <w:tcW w:w="567" w:type="dxa"/>
            <w:tcBorders>
              <w:top w:val="nil"/>
              <w:left w:val="nil"/>
              <w:bottom w:val="nil"/>
              <w:right w:val="nil"/>
            </w:tcBorders>
          </w:tcPr>
          <w:p w14:paraId="2DB51DAC"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418</w:t>
            </w:r>
          </w:p>
        </w:tc>
        <w:tc>
          <w:tcPr>
            <w:tcW w:w="850" w:type="dxa"/>
            <w:tcBorders>
              <w:top w:val="nil"/>
              <w:left w:val="nil"/>
              <w:bottom w:val="nil"/>
              <w:right w:val="nil"/>
            </w:tcBorders>
          </w:tcPr>
          <w:p w14:paraId="1840226F"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0.00402</w:t>
            </w:r>
          </w:p>
        </w:tc>
        <w:tc>
          <w:tcPr>
            <w:tcW w:w="851" w:type="dxa"/>
            <w:tcBorders>
              <w:top w:val="nil"/>
              <w:left w:val="nil"/>
              <w:bottom w:val="nil"/>
              <w:right w:val="nil"/>
            </w:tcBorders>
          </w:tcPr>
          <w:p w14:paraId="6F75B2B8"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0.666</w:t>
            </w:r>
          </w:p>
        </w:tc>
        <w:tc>
          <w:tcPr>
            <w:tcW w:w="709" w:type="dxa"/>
            <w:tcBorders>
              <w:top w:val="nil"/>
              <w:left w:val="nil"/>
              <w:bottom w:val="nil"/>
              <w:right w:val="nil"/>
            </w:tcBorders>
          </w:tcPr>
          <w:p w14:paraId="1156381B"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-1.523</w:t>
            </w:r>
          </w:p>
        </w:tc>
        <w:tc>
          <w:tcPr>
            <w:tcW w:w="658" w:type="dxa"/>
            <w:tcBorders>
              <w:top w:val="nil"/>
              <w:left w:val="nil"/>
              <w:bottom w:val="nil"/>
              <w:right w:val="nil"/>
            </w:tcBorders>
          </w:tcPr>
          <w:p w14:paraId="33B30FA5"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1.419</w:t>
            </w:r>
          </w:p>
        </w:tc>
      </w:tr>
      <w:tr w:rsidR="00146409" w:rsidRPr="00E378F7" w14:paraId="0499E344" w14:textId="77777777" w:rsidTr="00C2374E">
        <w:tblPrEx>
          <w:tblBorders>
            <w:bottom w:val="single" w:sz="6" w:space="0" w:color="auto"/>
          </w:tblBorders>
        </w:tblPrEx>
        <w:trPr>
          <w:jc w:val="center"/>
        </w:trPr>
        <w:tc>
          <w:tcPr>
            <w:tcW w:w="3915" w:type="dxa"/>
            <w:tcBorders>
              <w:top w:val="nil"/>
              <w:left w:val="nil"/>
              <w:bottom w:val="single" w:sz="6" w:space="0" w:color="auto"/>
              <w:right w:val="nil"/>
            </w:tcBorders>
          </w:tcPr>
          <w:p w14:paraId="020B8959"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Government consumption growth rate (%)</w:t>
            </w:r>
          </w:p>
        </w:tc>
        <w:tc>
          <w:tcPr>
            <w:tcW w:w="567" w:type="dxa"/>
            <w:tcBorders>
              <w:top w:val="nil"/>
              <w:left w:val="nil"/>
              <w:bottom w:val="single" w:sz="6" w:space="0" w:color="auto"/>
              <w:right w:val="nil"/>
            </w:tcBorders>
          </w:tcPr>
          <w:p w14:paraId="0FA0C36C"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418</w:t>
            </w:r>
          </w:p>
        </w:tc>
        <w:tc>
          <w:tcPr>
            <w:tcW w:w="850" w:type="dxa"/>
            <w:tcBorders>
              <w:top w:val="nil"/>
              <w:left w:val="nil"/>
              <w:bottom w:val="single" w:sz="6" w:space="0" w:color="auto"/>
              <w:right w:val="nil"/>
            </w:tcBorders>
          </w:tcPr>
          <w:p w14:paraId="2575C088"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5.412</w:t>
            </w:r>
          </w:p>
        </w:tc>
        <w:tc>
          <w:tcPr>
            <w:tcW w:w="851" w:type="dxa"/>
            <w:tcBorders>
              <w:top w:val="nil"/>
              <w:left w:val="nil"/>
              <w:bottom w:val="single" w:sz="6" w:space="0" w:color="auto"/>
              <w:right w:val="nil"/>
            </w:tcBorders>
          </w:tcPr>
          <w:p w14:paraId="3167F806"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28.02</w:t>
            </w:r>
          </w:p>
        </w:tc>
        <w:tc>
          <w:tcPr>
            <w:tcW w:w="709" w:type="dxa"/>
            <w:tcBorders>
              <w:top w:val="nil"/>
              <w:left w:val="nil"/>
              <w:bottom w:val="single" w:sz="6" w:space="0" w:color="auto"/>
              <w:right w:val="nil"/>
            </w:tcBorders>
          </w:tcPr>
          <w:p w14:paraId="7CA2D71E"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-23.93</w:t>
            </w:r>
          </w:p>
        </w:tc>
        <w:tc>
          <w:tcPr>
            <w:tcW w:w="658" w:type="dxa"/>
            <w:tcBorders>
              <w:top w:val="nil"/>
              <w:left w:val="nil"/>
              <w:bottom w:val="single" w:sz="6" w:space="0" w:color="auto"/>
              <w:right w:val="nil"/>
            </w:tcBorders>
          </w:tcPr>
          <w:p w14:paraId="0E238B0B"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565.5</w:t>
            </w:r>
          </w:p>
        </w:tc>
      </w:tr>
    </w:tbl>
    <w:p w14:paraId="1EB05902" w14:textId="602F8239" w:rsidR="00146409" w:rsidRPr="00E378F7" w:rsidRDefault="00146409" w:rsidP="008E4E1C">
      <w:pPr>
        <w:pStyle w:val="NoSpacing"/>
        <w:spacing w:line="360" w:lineRule="auto"/>
        <w:jc w:val="both"/>
        <w:rPr>
          <w:rFonts w:ascii="Times New Roman" w:hAnsi="Times New Roman" w:cs="Times New Roman"/>
          <w:sz w:val="16"/>
          <w:szCs w:val="16"/>
        </w:rPr>
      </w:pPr>
    </w:p>
    <w:p w14:paraId="4C47AC56" w14:textId="42004AF9" w:rsidR="004D3814" w:rsidRDefault="00146409" w:rsidP="008E4E1C">
      <w:pPr>
        <w:pStyle w:val="NoSpacing"/>
        <w:spacing w:line="360" w:lineRule="auto"/>
        <w:jc w:val="both"/>
        <w:rPr>
          <w:rFonts w:ascii="Times New Roman" w:hAnsi="Times New Roman" w:cs="Times New Roman"/>
          <w:sz w:val="24"/>
          <w:szCs w:val="24"/>
        </w:rPr>
      </w:pPr>
      <w:r w:rsidRPr="00E378F7">
        <w:rPr>
          <w:rFonts w:ascii="Times New Roman" w:hAnsi="Times New Roman" w:cs="Times New Roman"/>
          <w:sz w:val="24"/>
          <w:szCs w:val="24"/>
        </w:rPr>
        <w:t xml:space="preserve">As discussed previously, increasing financial deepening may dampen TFP growth beyond a certain threshold of financial depth. It is useful to extend the description of the patterns of the data by looking at the plots of TFP growth and indicators </w:t>
      </w:r>
      <w:r w:rsidR="000745DF" w:rsidRPr="00E378F7">
        <w:rPr>
          <w:rFonts w:ascii="Times New Roman" w:hAnsi="Times New Roman" w:cs="Times New Roman"/>
          <w:sz w:val="24"/>
          <w:szCs w:val="24"/>
        </w:rPr>
        <w:t>of financial deepening. Figure 5</w:t>
      </w:r>
      <w:r w:rsidRPr="00E378F7">
        <w:rPr>
          <w:rFonts w:ascii="Times New Roman" w:hAnsi="Times New Roman" w:cs="Times New Roman"/>
          <w:sz w:val="24"/>
          <w:szCs w:val="24"/>
        </w:rPr>
        <w:t xml:space="preserve">.2 shows the association between average TFP growth and ratio of private credit to GDP </w:t>
      </w:r>
      <w:r w:rsidR="002A7A00">
        <w:rPr>
          <w:rFonts w:ascii="Times New Roman" w:hAnsi="Times New Roman" w:cs="Times New Roman"/>
          <w:sz w:val="24"/>
          <w:szCs w:val="24"/>
        </w:rPr>
        <w:t>during</w:t>
      </w:r>
      <w:r w:rsidR="002A7A00" w:rsidRPr="00E378F7">
        <w:rPr>
          <w:rFonts w:ascii="Times New Roman" w:hAnsi="Times New Roman" w:cs="Times New Roman"/>
          <w:sz w:val="24"/>
          <w:szCs w:val="24"/>
        </w:rPr>
        <w:t xml:space="preserve"> </w:t>
      </w:r>
      <w:r w:rsidRPr="00E378F7">
        <w:rPr>
          <w:rFonts w:ascii="Times New Roman" w:hAnsi="Times New Roman" w:cs="Times New Roman"/>
          <w:sz w:val="24"/>
          <w:szCs w:val="24"/>
        </w:rPr>
        <w:t>the period 1996</w:t>
      </w:r>
      <w:r w:rsidR="002A7A00">
        <w:rPr>
          <w:rFonts w:ascii="Times New Roman" w:hAnsi="Times New Roman" w:cs="Times New Roman"/>
          <w:sz w:val="24"/>
          <w:szCs w:val="24"/>
        </w:rPr>
        <w:t>–</w:t>
      </w:r>
      <w:r w:rsidRPr="00E378F7">
        <w:rPr>
          <w:rFonts w:ascii="Times New Roman" w:hAnsi="Times New Roman" w:cs="Times New Roman"/>
          <w:sz w:val="24"/>
          <w:szCs w:val="24"/>
        </w:rPr>
        <w:t xml:space="preserve">2014. The pattern of this plot is remarkably consistent with predictions in the literature that increasing financial deepening beyond a certain threshold can weaken </w:t>
      </w:r>
      <w:r w:rsidR="004367A6" w:rsidRPr="00E378F7">
        <w:rPr>
          <w:rFonts w:ascii="Times New Roman" w:hAnsi="Times New Roman" w:cs="Times New Roman"/>
          <w:sz w:val="24"/>
          <w:szCs w:val="24"/>
        </w:rPr>
        <w:t>lh</w:t>
      </w:r>
      <w:r w:rsidRPr="00E378F7">
        <w:rPr>
          <w:rFonts w:ascii="Times New Roman" w:hAnsi="Times New Roman" w:cs="Times New Roman"/>
          <w:sz w:val="24"/>
          <w:szCs w:val="24"/>
        </w:rPr>
        <w:t xml:space="preserve"> growth. The perceived dampening pattern appears to hold for the sample of emerging market economies considered in this analysis. To further analyze the patterns in the data, the plot of the association between TFP growth and the ratio of stock market capitalizatio</w:t>
      </w:r>
      <w:r w:rsidR="000745DF" w:rsidRPr="00E378F7">
        <w:rPr>
          <w:rFonts w:ascii="Times New Roman" w:hAnsi="Times New Roman" w:cs="Times New Roman"/>
          <w:sz w:val="24"/>
          <w:szCs w:val="24"/>
        </w:rPr>
        <w:t>n to GDP is considered. Figure 5</w:t>
      </w:r>
      <w:r w:rsidRPr="00E378F7">
        <w:rPr>
          <w:rFonts w:ascii="Times New Roman" w:hAnsi="Times New Roman" w:cs="Times New Roman"/>
          <w:sz w:val="24"/>
          <w:szCs w:val="24"/>
        </w:rPr>
        <w:t xml:space="preserve">.3 shows this plot, which appears to suggest </w:t>
      </w:r>
      <w:r w:rsidR="004C54A2">
        <w:rPr>
          <w:rFonts w:ascii="Times New Roman" w:hAnsi="Times New Roman" w:cs="Times New Roman"/>
          <w:sz w:val="24"/>
          <w:szCs w:val="24"/>
        </w:rPr>
        <w:t xml:space="preserve">that </w:t>
      </w:r>
      <w:r w:rsidRPr="00E378F7">
        <w:rPr>
          <w:rFonts w:ascii="Times New Roman" w:hAnsi="Times New Roman" w:cs="Times New Roman"/>
          <w:sz w:val="24"/>
          <w:szCs w:val="24"/>
        </w:rPr>
        <w:t xml:space="preserve">the dampening effect of </w:t>
      </w:r>
      <w:r w:rsidR="004C54A2">
        <w:rPr>
          <w:rFonts w:ascii="Times New Roman" w:hAnsi="Times New Roman" w:cs="Times New Roman"/>
          <w:sz w:val="24"/>
          <w:szCs w:val="24"/>
        </w:rPr>
        <w:t xml:space="preserve">an </w:t>
      </w:r>
      <w:r w:rsidRPr="00E378F7">
        <w:rPr>
          <w:rFonts w:ascii="Times New Roman" w:hAnsi="Times New Roman" w:cs="Times New Roman"/>
          <w:sz w:val="24"/>
          <w:szCs w:val="24"/>
        </w:rPr>
        <w:t>increasing depth of financial markets on productivity growth is not conclusive. Such an inclusive pattern in the relationship between financial deepening and productivity growth raises the question of whether the underlying relationship is nonlinear empirically.</w:t>
      </w:r>
    </w:p>
    <w:p w14:paraId="4104B78F" w14:textId="77777777" w:rsidR="006C1DD4" w:rsidRDefault="006C1DD4" w:rsidP="006817FF">
      <w:pPr>
        <w:pStyle w:val="NoSpacing"/>
        <w:spacing w:line="360" w:lineRule="auto"/>
        <w:jc w:val="center"/>
        <w:rPr>
          <w:rFonts w:ascii="Times New Roman" w:hAnsi="Times New Roman" w:cs="Times New Roman"/>
          <w:sz w:val="18"/>
          <w:szCs w:val="18"/>
        </w:rPr>
      </w:pPr>
    </w:p>
    <w:p w14:paraId="227D0EB3" w14:textId="77777777" w:rsidR="006C1DD4" w:rsidRDefault="006C1DD4" w:rsidP="006817FF">
      <w:pPr>
        <w:pStyle w:val="NoSpacing"/>
        <w:spacing w:line="360" w:lineRule="auto"/>
        <w:jc w:val="center"/>
        <w:rPr>
          <w:rFonts w:ascii="Times New Roman" w:hAnsi="Times New Roman" w:cs="Times New Roman"/>
          <w:sz w:val="18"/>
          <w:szCs w:val="18"/>
        </w:rPr>
      </w:pPr>
    </w:p>
    <w:p w14:paraId="7A9FCBE5" w14:textId="77777777" w:rsidR="006C1DD4" w:rsidRDefault="006C1DD4" w:rsidP="006817FF">
      <w:pPr>
        <w:pStyle w:val="NoSpacing"/>
        <w:spacing w:line="360" w:lineRule="auto"/>
        <w:jc w:val="center"/>
        <w:rPr>
          <w:rFonts w:ascii="Times New Roman" w:hAnsi="Times New Roman" w:cs="Times New Roman"/>
          <w:sz w:val="18"/>
          <w:szCs w:val="18"/>
        </w:rPr>
      </w:pPr>
    </w:p>
    <w:p w14:paraId="0E50A227" w14:textId="77777777" w:rsidR="006C1DD4" w:rsidRDefault="006C1DD4" w:rsidP="006817FF">
      <w:pPr>
        <w:pStyle w:val="NoSpacing"/>
        <w:spacing w:line="360" w:lineRule="auto"/>
        <w:jc w:val="center"/>
        <w:rPr>
          <w:rFonts w:ascii="Times New Roman" w:hAnsi="Times New Roman" w:cs="Times New Roman"/>
          <w:sz w:val="18"/>
          <w:szCs w:val="18"/>
        </w:rPr>
      </w:pPr>
    </w:p>
    <w:p w14:paraId="15DDB810" w14:textId="77777777" w:rsidR="006C1DD4" w:rsidRDefault="006C1DD4" w:rsidP="006817FF">
      <w:pPr>
        <w:pStyle w:val="NoSpacing"/>
        <w:spacing w:line="360" w:lineRule="auto"/>
        <w:jc w:val="center"/>
        <w:rPr>
          <w:rFonts w:ascii="Times New Roman" w:hAnsi="Times New Roman" w:cs="Times New Roman"/>
          <w:sz w:val="18"/>
          <w:szCs w:val="18"/>
        </w:rPr>
      </w:pPr>
    </w:p>
    <w:p w14:paraId="469C7674" w14:textId="77777777" w:rsidR="006C1DD4" w:rsidRDefault="006C1DD4" w:rsidP="006817FF">
      <w:pPr>
        <w:pStyle w:val="NoSpacing"/>
        <w:spacing w:line="360" w:lineRule="auto"/>
        <w:jc w:val="center"/>
        <w:rPr>
          <w:rFonts w:ascii="Times New Roman" w:hAnsi="Times New Roman" w:cs="Times New Roman"/>
          <w:sz w:val="18"/>
          <w:szCs w:val="18"/>
        </w:rPr>
      </w:pPr>
    </w:p>
    <w:p w14:paraId="6CC70B80" w14:textId="77777777" w:rsidR="006C1DD4" w:rsidRDefault="006C1DD4" w:rsidP="006817FF">
      <w:pPr>
        <w:pStyle w:val="NoSpacing"/>
        <w:spacing w:line="360" w:lineRule="auto"/>
        <w:jc w:val="center"/>
        <w:rPr>
          <w:rFonts w:ascii="Times New Roman" w:hAnsi="Times New Roman" w:cs="Times New Roman"/>
          <w:sz w:val="18"/>
          <w:szCs w:val="18"/>
        </w:rPr>
      </w:pPr>
    </w:p>
    <w:p w14:paraId="2024D0F6" w14:textId="77777777" w:rsidR="006C1DD4" w:rsidRDefault="006C1DD4" w:rsidP="006817FF">
      <w:pPr>
        <w:pStyle w:val="NoSpacing"/>
        <w:spacing w:line="360" w:lineRule="auto"/>
        <w:jc w:val="center"/>
        <w:rPr>
          <w:rFonts w:ascii="Times New Roman" w:hAnsi="Times New Roman" w:cs="Times New Roman"/>
          <w:sz w:val="18"/>
          <w:szCs w:val="18"/>
        </w:rPr>
      </w:pPr>
    </w:p>
    <w:p w14:paraId="2281119D" w14:textId="77777777" w:rsidR="006C1DD4" w:rsidRDefault="006C1DD4" w:rsidP="006817FF">
      <w:pPr>
        <w:pStyle w:val="NoSpacing"/>
        <w:spacing w:line="360" w:lineRule="auto"/>
        <w:jc w:val="center"/>
        <w:rPr>
          <w:rFonts w:ascii="Times New Roman" w:hAnsi="Times New Roman" w:cs="Times New Roman"/>
          <w:sz w:val="18"/>
          <w:szCs w:val="18"/>
        </w:rPr>
      </w:pPr>
    </w:p>
    <w:p w14:paraId="0F7907CB" w14:textId="77777777" w:rsidR="006C1DD4" w:rsidRDefault="006C1DD4" w:rsidP="006817FF">
      <w:pPr>
        <w:pStyle w:val="NoSpacing"/>
        <w:spacing w:line="360" w:lineRule="auto"/>
        <w:jc w:val="center"/>
        <w:rPr>
          <w:rFonts w:ascii="Times New Roman" w:hAnsi="Times New Roman" w:cs="Times New Roman"/>
          <w:sz w:val="18"/>
          <w:szCs w:val="18"/>
        </w:rPr>
      </w:pPr>
    </w:p>
    <w:p w14:paraId="1EC051BC" w14:textId="77777777" w:rsidR="006C1DD4" w:rsidRDefault="006C1DD4" w:rsidP="006817FF">
      <w:pPr>
        <w:pStyle w:val="NoSpacing"/>
        <w:spacing w:line="360" w:lineRule="auto"/>
        <w:jc w:val="center"/>
        <w:rPr>
          <w:rFonts w:ascii="Times New Roman" w:hAnsi="Times New Roman" w:cs="Times New Roman"/>
          <w:sz w:val="18"/>
          <w:szCs w:val="18"/>
        </w:rPr>
      </w:pPr>
    </w:p>
    <w:p w14:paraId="204905DB" w14:textId="14A52670" w:rsidR="006817FF" w:rsidRPr="006C1DD4" w:rsidRDefault="00B32DC9" w:rsidP="006C1DD4">
      <w:pPr>
        <w:pStyle w:val="Heading2"/>
        <w:jc w:val="center"/>
        <w:rPr>
          <w:i/>
          <w:sz w:val="20"/>
        </w:rPr>
      </w:pPr>
      <w:bookmarkStart w:id="41" w:name="_Toc501031485"/>
      <w:r w:rsidRPr="006C1DD4">
        <w:rPr>
          <w:i/>
          <w:sz w:val="20"/>
        </w:rPr>
        <w:lastRenderedPageBreak/>
        <w:t>Figure 5.1</w:t>
      </w:r>
      <w:r w:rsidR="006817FF" w:rsidRPr="006C1DD4">
        <w:rPr>
          <w:i/>
          <w:sz w:val="20"/>
        </w:rPr>
        <w:t>: Average TFP growth and ratio of private credit to GDP</w:t>
      </w:r>
      <w:bookmarkEnd w:id="41"/>
    </w:p>
    <w:p w14:paraId="2E4904A1" w14:textId="0165C182" w:rsidR="004D3814" w:rsidRDefault="00146409" w:rsidP="008E4E1C">
      <w:pPr>
        <w:pStyle w:val="NoSpacing"/>
        <w:spacing w:line="360" w:lineRule="auto"/>
        <w:jc w:val="both"/>
        <w:rPr>
          <w:rFonts w:ascii="Times New Roman" w:hAnsi="Times New Roman" w:cs="Times New Roman"/>
          <w:sz w:val="18"/>
          <w:szCs w:val="18"/>
        </w:rPr>
      </w:pPr>
      <w:r w:rsidRPr="00AB1527">
        <w:rPr>
          <w:noProof/>
        </w:rPr>
        <w:drawing>
          <wp:inline distT="0" distB="0" distL="0" distR="0" wp14:anchorId="20B38687" wp14:editId="129FFD32">
            <wp:extent cx="5224780" cy="215265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247277" cy="2161919"/>
                    </a:xfrm>
                    <a:prstGeom prst="rect">
                      <a:avLst/>
                    </a:prstGeom>
                    <a:noFill/>
                    <a:ln>
                      <a:noFill/>
                    </a:ln>
                  </pic:spPr>
                </pic:pic>
              </a:graphicData>
            </a:graphic>
          </wp:inline>
        </w:drawing>
      </w:r>
    </w:p>
    <w:p w14:paraId="37BD5645" w14:textId="23DC871D" w:rsidR="006817FF" w:rsidRDefault="006817FF" w:rsidP="008E4E1C">
      <w:pPr>
        <w:pStyle w:val="NoSpacing"/>
        <w:spacing w:line="360" w:lineRule="auto"/>
        <w:jc w:val="both"/>
        <w:rPr>
          <w:rFonts w:ascii="Times New Roman" w:hAnsi="Times New Roman" w:cs="Times New Roman"/>
          <w:sz w:val="18"/>
          <w:szCs w:val="18"/>
        </w:rPr>
      </w:pPr>
    </w:p>
    <w:p w14:paraId="5E3835CE" w14:textId="77257FA6" w:rsidR="006817FF" w:rsidRPr="006C1DD4" w:rsidRDefault="002D7A44" w:rsidP="006C1DD4">
      <w:pPr>
        <w:pStyle w:val="Heading2"/>
        <w:jc w:val="center"/>
        <w:rPr>
          <w:i/>
          <w:sz w:val="22"/>
          <w:szCs w:val="24"/>
        </w:rPr>
      </w:pPr>
      <w:bookmarkStart w:id="42" w:name="_Toc501031486"/>
      <w:r w:rsidRPr="006C1DD4">
        <w:rPr>
          <w:i/>
          <w:sz w:val="22"/>
        </w:rPr>
        <w:t>Figure 5.2</w:t>
      </w:r>
      <w:r w:rsidR="006817FF" w:rsidRPr="006C1DD4">
        <w:rPr>
          <w:i/>
          <w:sz w:val="22"/>
        </w:rPr>
        <w:t>: Average TFP growth and ratio of stock market capitalization to GDP</w:t>
      </w:r>
      <w:bookmarkEnd w:id="42"/>
    </w:p>
    <w:p w14:paraId="3D44924E" w14:textId="53083C7C" w:rsidR="00146409" w:rsidRPr="00E378F7" w:rsidRDefault="00146409" w:rsidP="008E4E1C">
      <w:pPr>
        <w:pStyle w:val="NoSpacing"/>
        <w:spacing w:line="360" w:lineRule="auto"/>
        <w:jc w:val="both"/>
        <w:rPr>
          <w:rFonts w:ascii="Times New Roman" w:hAnsi="Times New Roman" w:cs="Times New Roman"/>
          <w:sz w:val="24"/>
          <w:szCs w:val="24"/>
        </w:rPr>
      </w:pPr>
      <w:r w:rsidRPr="00AB1527">
        <w:rPr>
          <w:noProof/>
        </w:rPr>
        <w:drawing>
          <wp:inline distT="0" distB="0" distL="0" distR="0" wp14:anchorId="0F46D2B3" wp14:editId="2B7121D2">
            <wp:extent cx="5232400" cy="2214245"/>
            <wp:effectExtent l="0" t="0" r="635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232400" cy="2214245"/>
                    </a:xfrm>
                    <a:prstGeom prst="rect">
                      <a:avLst/>
                    </a:prstGeom>
                    <a:noFill/>
                    <a:ln>
                      <a:noFill/>
                    </a:ln>
                  </pic:spPr>
                </pic:pic>
              </a:graphicData>
            </a:graphic>
          </wp:inline>
        </w:drawing>
      </w:r>
    </w:p>
    <w:p w14:paraId="3EC44369" w14:textId="77777777" w:rsidR="00146409" w:rsidRPr="00E378F7" w:rsidRDefault="00146409" w:rsidP="004D3814">
      <w:pPr>
        <w:pStyle w:val="NoSpacing"/>
        <w:spacing w:line="360" w:lineRule="auto"/>
        <w:jc w:val="center"/>
        <w:rPr>
          <w:rFonts w:ascii="Times New Roman" w:hAnsi="Times New Roman" w:cs="Times New Roman"/>
          <w:sz w:val="16"/>
          <w:szCs w:val="16"/>
        </w:rPr>
      </w:pPr>
    </w:p>
    <w:p w14:paraId="0A5AE438" w14:textId="795430E2" w:rsidR="00146409" w:rsidRDefault="00146409" w:rsidP="008E4E1C">
      <w:pPr>
        <w:pStyle w:val="NoSpacing"/>
        <w:spacing w:line="360" w:lineRule="auto"/>
        <w:jc w:val="both"/>
        <w:rPr>
          <w:rFonts w:ascii="Times New Roman" w:hAnsi="Times New Roman" w:cs="Times New Roman"/>
          <w:sz w:val="24"/>
          <w:szCs w:val="24"/>
        </w:rPr>
      </w:pPr>
      <w:r w:rsidRPr="00E378F7">
        <w:rPr>
          <w:rFonts w:ascii="Times New Roman" w:hAnsi="Times New Roman" w:cs="Times New Roman"/>
          <w:sz w:val="24"/>
          <w:szCs w:val="24"/>
        </w:rPr>
        <w:t xml:space="preserve">In order to provide further insights into the relationship between financial depth and TFP </w:t>
      </w:r>
      <w:r w:rsidR="002D7A44" w:rsidRPr="00E378F7">
        <w:rPr>
          <w:rFonts w:ascii="Times New Roman" w:hAnsi="Times New Roman" w:cs="Times New Roman"/>
          <w:sz w:val="24"/>
          <w:szCs w:val="24"/>
        </w:rPr>
        <w:t>growth</w:t>
      </w:r>
      <w:r w:rsidRPr="00E378F7">
        <w:rPr>
          <w:rFonts w:ascii="Times New Roman" w:hAnsi="Times New Roman" w:cs="Times New Roman"/>
          <w:sz w:val="24"/>
          <w:szCs w:val="24"/>
        </w:rPr>
        <w:t xml:space="preserve"> it is important to analyze the correlations between TFP growth and </w:t>
      </w:r>
      <w:r w:rsidR="000745DF" w:rsidRPr="00E378F7">
        <w:rPr>
          <w:rFonts w:ascii="Times New Roman" w:hAnsi="Times New Roman" w:cs="Times New Roman"/>
          <w:sz w:val="24"/>
          <w:szCs w:val="24"/>
        </w:rPr>
        <w:t>the financial deepening. Table 5</w:t>
      </w:r>
      <w:r w:rsidRPr="00E378F7">
        <w:rPr>
          <w:rFonts w:ascii="Times New Roman" w:hAnsi="Times New Roman" w:cs="Times New Roman"/>
          <w:sz w:val="24"/>
          <w:szCs w:val="24"/>
        </w:rPr>
        <w:t xml:space="preserve">.2 displays the correlations between TFP growth and the explanatory variables. The matrix shows a clear significant positive association between financial depth and TFP growth, using both the depth of financial institutions and markets in emerging market economies. Given these correlation results, a useful extension of the analysis is to determine empirically whether there exists a significant relationship between financial deepening and productivity growth </w:t>
      </w:r>
      <w:r w:rsidR="004C54A2">
        <w:rPr>
          <w:rFonts w:ascii="Times New Roman" w:hAnsi="Times New Roman" w:cs="Times New Roman"/>
          <w:sz w:val="24"/>
          <w:szCs w:val="24"/>
        </w:rPr>
        <w:t>that</w:t>
      </w:r>
      <w:r w:rsidR="004C54A2" w:rsidRPr="00E378F7">
        <w:rPr>
          <w:rFonts w:ascii="Times New Roman" w:hAnsi="Times New Roman" w:cs="Times New Roman"/>
          <w:sz w:val="24"/>
          <w:szCs w:val="24"/>
        </w:rPr>
        <w:t xml:space="preserve"> </w:t>
      </w:r>
      <w:r w:rsidRPr="00E378F7">
        <w:rPr>
          <w:rFonts w:ascii="Times New Roman" w:hAnsi="Times New Roman" w:cs="Times New Roman"/>
          <w:sz w:val="24"/>
          <w:szCs w:val="24"/>
        </w:rPr>
        <w:t>may be nonlinear.</w:t>
      </w:r>
    </w:p>
    <w:p w14:paraId="2DE44F34" w14:textId="77777777" w:rsidR="006C1DD4" w:rsidRPr="00E378F7" w:rsidRDefault="006C1DD4" w:rsidP="008E4E1C">
      <w:pPr>
        <w:pStyle w:val="NoSpacing"/>
        <w:spacing w:line="360" w:lineRule="auto"/>
        <w:jc w:val="both"/>
        <w:rPr>
          <w:rFonts w:ascii="Times New Roman" w:hAnsi="Times New Roman" w:cs="Times New Roman"/>
          <w:sz w:val="24"/>
          <w:szCs w:val="24"/>
        </w:rPr>
      </w:pPr>
    </w:p>
    <w:p w14:paraId="5BF20059" w14:textId="77777777" w:rsidR="00146409" w:rsidRPr="00E378F7" w:rsidRDefault="00146409" w:rsidP="008E4E1C">
      <w:pPr>
        <w:pStyle w:val="NoSpacing"/>
        <w:spacing w:line="360" w:lineRule="auto"/>
        <w:jc w:val="both"/>
        <w:rPr>
          <w:rFonts w:ascii="Times New Roman" w:hAnsi="Times New Roman" w:cs="Times New Roman"/>
          <w:sz w:val="16"/>
          <w:szCs w:val="16"/>
        </w:rPr>
      </w:pPr>
    </w:p>
    <w:p w14:paraId="6E044586" w14:textId="77777777" w:rsidR="00146409" w:rsidRPr="006C1DD4" w:rsidRDefault="00854FF0" w:rsidP="006C1DD4">
      <w:pPr>
        <w:pStyle w:val="Heading2"/>
        <w:jc w:val="center"/>
        <w:rPr>
          <w:i/>
          <w:sz w:val="22"/>
        </w:rPr>
      </w:pPr>
      <w:bookmarkStart w:id="43" w:name="_Toc501031487"/>
      <w:r w:rsidRPr="006C1DD4">
        <w:rPr>
          <w:i/>
          <w:sz w:val="22"/>
        </w:rPr>
        <w:lastRenderedPageBreak/>
        <w:t>Table 5</w:t>
      </w:r>
      <w:r w:rsidR="00146409" w:rsidRPr="006C1DD4">
        <w:rPr>
          <w:i/>
          <w:sz w:val="22"/>
        </w:rPr>
        <w:t>.2: Correlation matrix</w:t>
      </w:r>
      <w:bookmarkEnd w:id="43"/>
    </w:p>
    <w:tbl>
      <w:tblPr>
        <w:tblW w:w="9766" w:type="dxa"/>
        <w:jc w:val="center"/>
        <w:tblLayout w:type="fixed"/>
        <w:tblCellMar>
          <w:left w:w="75" w:type="dxa"/>
          <w:right w:w="75" w:type="dxa"/>
        </w:tblCellMar>
        <w:tblLook w:val="0000" w:firstRow="0" w:lastRow="0" w:firstColumn="0" w:lastColumn="0" w:noHBand="0" w:noVBand="0"/>
      </w:tblPr>
      <w:tblGrid>
        <w:gridCol w:w="2819"/>
        <w:gridCol w:w="709"/>
        <w:gridCol w:w="992"/>
        <w:gridCol w:w="883"/>
        <w:gridCol w:w="960"/>
        <w:gridCol w:w="851"/>
        <w:gridCol w:w="850"/>
        <w:gridCol w:w="851"/>
        <w:gridCol w:w="851"/>
      </w:tblGrid>
      <w:tr w:rsidR="00146409" w:rsidRPr="00E378F7" w14:paraId="1D48A137" w14:textId="77777777" w:rsidTr="00C2374E">
        <w:trPr>
          <w:trHeight w:val="205"/>
          <w:jc w:val="center"/>
        </w:trPr>
        <w:tc>
          <w:tcPr>
            <w:tcW w:w="2819" w:type="dxa"/>
            <w:tcBorders>
              <w:top w:val="double" w:sz="4" w:space="0" w:color="auto"/>
              <w:bottom w:val="dashSmallGap" w:sz="4" w:space="0" w:color="auto"/>
            </w:tcBorders>
          </w:tcPr>
          <w:p w14:paraId="34EC14CD" w14:textId="1B3312FF"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p>
        </w:tc>
        <w:tc>
          <w:tcPr>
            <w:tcW w:w="709" w:type="dxa"/>
            <w:tcBorders>
              <w:top w:val="double" w:sz="4" w:space="0" w:color="auto"/>
              <w:bottom w:val="dashSmallGap" w:sz="4" w:space="0" w:color="auto"/>
            </w:tcBorders>
          </w:tcPr>
          <w:p w14:paraId="5FE6BE55" w14:textId="116C8C9E"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1</w:t>
            </w:r>
          </w:p>
        </w:tc>
        <w:tc>
          <w:tcPr>
            <w:tcW w:w="992" w:type="dxa"/>
            <w:tcBorders>
              <w:top w:val="double" w:sz="4" w:space="0" w:color="auto"/>
              <w:bottom w:val="dashSmallGap" w:sz="4" w:space="0" w:color="auto"/>
            </w:tcBorders>
          </w:tcPr>
          <w:p w14:paraId="3220B61F"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2</w:t>
            </w:r>
          </w:p>
        </w:tc>
        <w:tc>
          <w:tcPr>
            <w:tcW w:w="883" w:type="dxa"/>
            <w:tcBorders>
              <w:top w:val="double" w:sz="4" w:space="0" w:color="auto"/>
              <w:bottom w:val="dashSmallGap" w:sz="4" w:space="0" w:color="auto"/>
            </w:tcBorders>
          </w:tcPr>
          <w:p w14:paraId="2BF784AD"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3</w:t>
            </w:r>
          </w:p>
        </w:tc>
        <w:tc>
          <w:tcPr>
            <w:tcW w:w="960" w:type="dxa"/>
            <w:tcBorders>
              <w:top w:val="double" w:sz="4" w:space="0" w:color="auto"/>
              <w:bottom w:val="dashSmallGap" w:sz="4" w:space="0" w:color="auto"/>
            </w:tcBorders>
          </w:tcPr>
          <w:p w14:paraId="51A9AA47"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4</w:t>
            </w:r>
          </w:p>
        </w:tc>
        <w:tc>
          <w:tcPr>
            <w:tcW w:w="851" w:type="dxa"/>
            <w:tcBorders>
              <w:top w:val="double" w:sz="4" w:space="0" w:color="auto"/>
              <w:bottom w:val="dashSmallGap" w:sz="4" w:space="0" w:color="auto"/>
            </w:tcBorders>
          </w:tcPr>
          <w:p w14:paraId="74F63FEE"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5</w:t>
            </w:r>
          </w:p>
        </w:tc>
        <w:tc>
          <w:tcPr>
            <w:tcW w:w="850" w:type="dxa"/>
            <w:tcBorders>
              <w:top w:val="double" w:sz="4" w:space="0" w:color="auto"/>
              <w:bottom w:val="dashSmallGap" w:sz="4" w:space="0" w:color="auto"/>
            </w:tcBorders>
          </w:tcPr>
          <w:p w14:paraId="25FF7B02"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6</w:t>
            </w:r>
          </w:p>
        </w:tc>
        <w:tc>
          <w:tcPr>
            <w:tcW w:w="851" w:type="dxa"/>
            <w:tcBorders>
              <w:top w:val="double" w:sz="4" w:space="0" w:color="auto"/>
              <w:bottom w:val="dashSmallGap" w:sz="4" w:space="0" w:color="auto"/>
            </w:tcBorders>
          </w:tcPr>
          <w:p w14:paraId="551EC4C8" w14:textId="0C5B43EC"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7</w:t>
            </w:r>
          </w:p>
        </w:tc>
        <w:tc>
          <w:tcPr>
            <w:tcW w:w="851" w:type="dxa"/>
            <w:tcBorders>
              <w:top w:val="double" w:sz="4" w:space="0" w:color="auto"/>
              <w:bottom w:val="dashSmallGap" w:sz="4" w:space="0" w:color="auto"/>
            </w:tcBorders>
          </w:tcPr>
          <w:p w14:paraId="18700A52"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8</w:t>
            </w:r>
          </w:p>
        </w:tc>
      </w:tr>
      <w:tr w:rsidR="00146409" w:rsidRPr="00E378F7" w14:paraId="2CDDE0AF" w14:textId="77777777" w:rsidTr="00C2374E">
        <w:trPr>
          <w:trHeight w:val="21"/>
          <w:jc w:val="center"/>
        </w:trPr>
        <w:tc>
          <w:tcPr>
            <w:tcW w:w="2819" w:type="dxa"/>
            <w:tcBorders>
              <w:top w:val="dashSmallGap" w:sz="4" w:space="0" w:color="auto"/>
            </w:tcBorders>
          </w:tcPr>
          <w:p w14:paraId="065D8204" w14:textId="244962E4"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p>
        </w:tc>
        <w:tc>
          <w:tcPr>
            <w:tcW w:w="709" w:type="dxa"/>
            <w:tcBorders>
              <w:top w:val="dashSmallGap" w:sz="4" w:space="0" w:color="auto"/>
            </w:tcBorders>
          </w:tcPr>
          <w:p w14:paraId="4C518E6C"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p>
        </w:tc>
        <w:tc>
          <w:tcPr>
            <w:tcW w:w="992" w:type="dxa"/>
            <w:tcBorders>
              <w:top w:val="dashSmallGap" w:sz="4" w:space="0" w:color="auto"/>
            </w:tcBorders>
          </w:tcPr>
          <w:p w14:paraId="6FD19D33"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p>
        </w:tc>
        <w:tc>
          <w:tcPr>
            <w:tcW w:w="883" w:type="dxa"/>
            <w:tcBorders>
              <w:top w:val="dashSmallGap" w:sz="4" w:space="0" w:color="auto"/>
            </w:tcBorders>
          </w:tcPr>
          <w:p w14:paraId="578890CE"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p>
        </w:tc>
        <w:tc>
          <w:tcPr>
            <w:tcW w:w="960" w:type="dxa"/>
            <w:tcBorders>
              <w:top w:val="dashSmallGap" w:sz="4" w:space="0" w:color="auto"/>
            </w:tcBorders>
          </w:tcPr>
          <w:p w14:paraId="2D28229A"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p>
        </w:tc>
        <w:tc>
          <w:tcPr>
            <w:tcW w:w="851" w:type="dxa"/>
            <w:tcBorders>
              <w:top w:val="dashSmallGap" w:sz="4" w:space="0" w:color="auto"/>
            </w:tcBorders>
          </w:tcPr>
          <w:p w14:paraId="77C439C5"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p>
        </w:tc>
        <w:tc>
          <w:tcPr>
            <w:tcW w:w="850" w:type="dxa"/>
            <w:tcBorders>
              <w:top w:val="dashSmallGap" w:sz="4" w:space="0" w:color="auto"/>
            </w:tcBorders>
          </w:tcPr>
          <w:p w14:paraId="3DE933E0"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p>
        </w:tc>
        <w:tc>
          <w:tcPr>
            <w:tcW w:w="851" w:type="dxa"/>
            <w:tcBorders>
              <w:top w:val="dashSmallGap" w:sz="4" w:space="0" w:color="auto"/>
            </w:tcBorders>
          </w:tcPr>
          <w:p w14:paraId="3677F536"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p>
        </w:tc>
        <w:tc>
          <w:tcPr>
            <w:tcW w:w="851" w:type="dxa"/>
            <w:tcBorders>
              <w:top w:val="dashSmallGap" w:sz="4" w:space="0" w:color="auto"/>
            </w:tcBorders>
          </w:tcPr>
          <w:p w14:paraId="3306F47B"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p>
        </w:tc>
      </w:tr>
      <w:tr w:rsidR="00146409" w:rsidRPr="00E378F7" w14:paraId="5ACAAB19" w14:textId="77777777" w:rsidTr="00C2374E">
        <w:trPr>
          <w:jc w:val="center"/>
        </w:trPr>
        <w:tc>
          <w:tcPr>
            <w:tcW w:w="2819" w:type="dxa"/>
          </w:tcPr>
          <w:p w14:paraId="570176C9"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1. TFP growth</w:t>
            </w:r>
          </w:p>
        </w:tc>
        <w:tc>
          <w:tcPr>
            <w:tcW w:w="709" w:type="dxa"/>
          </w:tcPr>
          <w:p w14:paraId="6E36D55C"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1</w:t>
            </w:r>
          </w:p>
        </w:tc>
        <w:tc>
          <w:tcPr>
            <w:tcW w:w="992" w:type="dxa"/>
          </w:tcPr>
          <w:p w14:paraId="48A40A2E"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p>
        </w:tc>
        <w:tc>
          <w:tcPr>
            <w:tcW w:w="883" w:type="dxa"/>
          </w:tcPr>
          <w:p w14:paraId="582765F2"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p>
        </w:tc>
        <w:tc>
          <w:tcPr>
            <w:tcW w:w="960" w:type="dxa"/>
          </w:tcPr>
          <w:p w14:paraId="7A7EC994"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p>
        </w:tc>
        <w:tc>
          <w:tcPr>
            <w:tcW w:w="851" w:type="dxa"/>
          </w:tcPr>
          <w:p w14:paraId="6D083CB5"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p>
        </w:tc>
        <w:tc>
          <w:tcPr>
            <w:tcW w:w="850" w:type="dxa"/>
          </w:tcPr>
          <w:p w14:paraId="700DD507"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p>
        </w:tc>
        <w:tc>
          <w:tcPr>
            <w:tcW w:w="851" w:type="dxa"/>
          </w:tcPr>
          <w:p w14:paraId="5DB24F53"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p>
        </w:tc>
        <w:tc>
          <w:tcPr>
            <w:tcW w:w="851" w:type="dxa"/>
          </w:tcPr>
          <w:p w14:paraId="1C99FEA4"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p>
        </w:tc>
      </w:tr>
      <w:tr w:rsidR="00146409" w:rsidRPr="00E378F7" w14:paraId="3C29460D" w14:textId="77777777" w:rsidTr="00C2374E">
        <w:trPr>
          <w:jc w:val="center"/>
        </w:trPr>
        <w:tc>
          <w:tcPr>
            <w:tcW w:w="2819" w:type="dxa"/>
          </w:tcPr>
          <w:p w14:paraId="2C12CFE6"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2. Private credit (% GDP)</w:t>
            </w:r>
          </w:p>
        </w:tc>
        <w:tc>
          <w:tcPr>
            <w:tcW w:w="709" w:type="dxa"/>
          </w:tcPr>
          <w:p w14:paraId="68BE8105"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0.128*</w:t>
            </w:r>
          </w:p>
        </w:tc>
        <w:tc>
          <w:tcPr>
            <w:tcW w:w="992" w:type="dxa"/>
          </w:tcPr>
          <w:p w14:paraId="6F688E2E"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1</w:t>
            </w:r>
          </w:p>
        </w:tc>
        <w:tc>
          <w:tcPr>
            <w:tcW w:w="883" w:type="dxa"/>
          </w:tcPr>
          <w:p w14:paraId="19237419"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p>
        </w:tc>
        <w:tc>
          <w:tcPr>
            <w:tcW w:w="960" w:type="dxa"/>
          </w:tcPr>
          <w:p w14:paraId="0029A074"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p>
        </w:tc>
        <w:tc>
          <w:tcPr>
            <w:tcW w:w="851" w:type="dxa"/>
          </w:tcPr>
          <w:p w14:paraId="57FD2C8D"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p>
        </w:tc>
        <w:tc>
          <w:tcPr>
            <w:tcW w:w="850" w:type="dxa"/>
          </w:tcPr>
          <w:p w14:paraId="26A2EFB9"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p>
        </w:tc>
        <w:tc>
          <w:tcPr>
            <w:tcW w:w="851" w:type="dxa"/>
          </w:tcPr>
          <w:p w14:paraId="53D34D8B"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p>
        </w:tc>
        <w:tc>
          <w:tcPr>
            <w:tcW w:w="851" w:type="dxa"/>
          </w:tcPr>
          <w:p w14:paraId="6C52B652"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p>
        </w:tc>
      </w:tr>
      <w:tr w:rsidR="00146409" w:rsidRPr="00E378F7" w14:paraId="5FC9E521" w14:textId="77777777" w:rsidTr="00C2374E">
        <w:trPr>
          <w:jc w:val="center"/>
        </w:trPr>
        <w:tc>
          <w:tcPr>
            <w:tcW w:w="2819" w:type="dxa"/>
          </w:tcPr>
          <w:p w14:paraId="167127AF"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3. Stock capitalization (% GDP)</w:t>
            </w:r>
          </w:p>
        </w:tc>
        <w:tc>
          <w:tcPr>
            <w:tcW w:w="709" w:type="dxa"/>
          </w:tcPr>
          <w:p w14:paraId="0E0C1894"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0.248*</w:t>
            </w:r>
          </w:p>
        </w:tc>
        <w:tc>
          <w:tcPr>
            <w:tcW w:w="992" w:type="dxa"/>
          </w:tcPr>
          <w:p w14:paraId="01179B7E"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0.670*</w:t>
            </w:r>
          </w:p>
        </w:tc>
        <w:tc>
          <w:tcPr>
            <w:tcW w:w="883" w:type="dxa"/>
          </w:tcPr>
          <w:p w14:paraId="01B4ED52"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1</w:t>
            </w:r>
          </w:p>
        </w:tc>
        <w:tc>
          <w:tcPr>
            <w:tcW w:w="960" w:type="dxa"/>
          </w:tcPr>
          <w:p w14:paraId="15010D47"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p>
        </w:tc>
        <w:tc>
          <w:tcPr>
            <w:tcW w:w="851" w:type="dxa"/>
          </w:tcPr>
          <w:p w14:paraId="64671B64"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p>
        </w:tc>
        <w:tc>
          <w:tcPr>
            <w:tcW w:w="850" w:type="dxa"/>
          </w:tcPr>
          <w:p w14:paraId="6292BE87"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p>
        </w:tc>
        <w:tc>
          <w:tcPr>
            <w:tcW w:w="851" w:type="dxa"/>
          </w:tcPr>
          <w:p w14:paraId="32A4387B"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p>
        </w:tc>
        <w:tc>
          <w:tcPr>
            <w:tcW w:w="851" w:type="dxa"/>
          </w:tcPr>
          <w:p w14:paraId="61178EB0"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p>
        </w:tc>
      </w:tr>
      <w:tr w:rsidR="00146409" w:rsidRPr="00E378F7" w14:paraId="00965695" w14:textId="77777777" w:rsidTr="00C2374E">
        <w:trPr>
          <w:jc w:val="center"/>
        </w:trPr>
        <w:tc>
          <w:tcPr>
            <w:tcW w:w="2819" w:type="dxa"/>
          </w:tcPr>
          <w:p w14:paraId="5F68121B"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4. Initial real GDP per capita</w:t>
            </w:r>
          </w:p>
        </w:tc>
        <w:tc>
          <w:tcPr>
            <w:tcW w:w="709" w:type="dxa"/>
          </w:tcPr>
          <w:p w14:paraId="368B7DF6"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0.264*</w:t>
            </w:r>
          </w:p>
        </w:tc>
        <w:tc>
          <w:tcPr>
            <w:tcW w:w="992" w:type="dxa"/>
          </w:tcPr>
          <w:p w14:paraId="206C0C47"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0.184*</w:t>
            </w:r>
          </w:p>
        </w:tc>
        <w:tc>
          <w:tcPr>
            <w:tcW w:w="883" w:type="dxa"/>
          </w:tcPr>
          <w:p w14:paraId="6C1FC553"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0.036</w:t>
            </w:r>
          </w:p>
        </w:tc>
        <w:tc>
          <w:tcPr>
            <w:tcW w:w="960" w:type="dxa"/>
          </w:tcPr>
          <w:p w14:paraId="19E1F093"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1</w:t>
            </w:r>
          </w:p>
        </w:tc>
        <w:tc>
          <w:tcPr>
            <w:tcW w:w="851" w:type="dxa"/>
          </w:tcPr>
          <w:p w14:paraId="0BD6EEC7"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p>
        </w:tc>
        <w:tc>
          <w:tcPr>
            <w:tcW w:w="850" w:type="dxa"/>
          </w:tcPr>
          <w:p w14:paraId="4F9304AF"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p>
        </w:tc>
        <w:tc>
          <w:tcPr>
            <w:tcW w:w="851" w:type="dxa"/>
          </w:tcPr>
          <w:p w14:paraId="562796D9"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p>
        </w:tc>
        <w:tc>
          <w:tcPr>
            <w:tcW w:w="851" w:type="dxa"/>
          </w:tcPr>
          <w:p w14:paraId="47D2E48A"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p>
        </w:tc>
      </w:tr>
      <w:tr w:rsidR="00146409" w:rsidRPr="00E378F7" w14:paraId="5AA59008" w14:textId="77777777" w:rsidTr="00C2374E">
        <w:trPr>
          <w:jc w:val="center"/>
        </w:trPr>
        <w:tc>
          <w:tcPr>
            <w:tcW w:w="2819" w:type="dxa"/>
          </w:tcPr>
          <w:p w14:paraId="22843A71"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5 Net FDI inflows (% GDP)</w:t>
            </w:r>
          </w:p>
        </w:tc>
        <w:tc>
          <w:tcPr>
            <w:tcW w:w="709" w:type="dxa"/>
          </w:tcPr>
          <w:p w14:paraId="45C2D040"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0.042</w:t>
            </w:r>
          </w:p>
        </w:tc>
        <w:tc>
          <w:tcPr>
            <w:tcW w:w="992" w:type="dxa"/>
          </w:tcPr>
          <w:p w14:paraId="5DBC0C5D"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0.036</w:t>
            </w:r>
          </w:p>
        </w:tc>
        <w:tc>
          <w:tcPr>
            <w:tcW w:w="883" w:type="dxa"/>
          </w:tcPr>
          <w:p w14:paraId="12333D88"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0.013</w:t>
            </w:r>
          </w:p>
        </w:tc>
        <w:tc>
          <w:tcPr>
            <w:tcW w:w="960" w:type="dxa"/>
          </w:tcPr>
          <w:p w14:paraId="52CC338B"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0.073</w:t>
            </w:r>
          </w:p>
        </w:tc>
        <w:tc>
          <w:tcPr>
            <w:tcW w:w="851" w:type="dxa"/>
          </w:tcPr>
          <w:p w14:paraId="7EE22A9E"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1</w:t>
            </w:r>
          </w:p>
        </w:tc>
        <w:tc>
          <w:tcPr>
            <w:tcW w:w="850" w:type="dxa"/>
          </w:tcPr>
          <w:p w14:paraId="4589E868"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p>
        </w:tc>
        <w:tc>
          <w:tcPr>
            <w:tcW w:w="851" w:type="dxa"/>
          </w:tcPr>
          <w:p w14:paraId="56A5C51B"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p>
        </w:tc>
        <w:tc>
          <w:tcPr>
            <w:tcW w:w="851" w:type="dxa"/>
          </w:tcPr>
          <w:p w14:paraId="30878928"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p>
        </w:tc>
      </w:tr>
      <w:tr w:rsidR="00146409" w:rsidRPr="00E378F7" w14:paraId="3332F4A4" w14:textId="77777777" w:rsidTr="00C2374E">
        <w:trPr>
          <w:jc w:val="center"/>
        </w:trPr>
        <w:tc>
          <w:tcPr>
            <w:tcW w:w="2819" w:type="dxa"/>
          </w:tcPr>
          <w:p w14:paraId="1C936E35"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6. Trade Openness (%)</w:t>
            </w:r>
          </w:p>
        </w:tc>
        <w:tc>
          <w:tcPr>
            <w:tcW w:w="709" w:type="dxa"/>
          </w:tcPr>
          <w:p w14:paraId="5EF79EED"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0.008</w:t>
            </w:r>
          </w:p>
        </w:tc>
        <w:tc>
          <w:tcPr>
            <w:tcW w:w="992" w:type="dxa"/>
          </w:tcPr>
          <w:p w14:paraId="5C98C25D"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0.396*</w:t>
            </w:r>
          </w:p>
        </w:tc>
        <w:tc>
          <w:tcPr>
            <w:tcW w:w="883" w:type="dxa"/>
          </w:tcPr>
          <w:p w14:paraId="6B654293"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0.270*</w:t>
            </w:r>
          </w:p>
        </w:tc>
        <w:tc>
          <w:tcPr>
            <w:tcW w:w="960" w:type="dxa"/>
          </w:tcPr>
          <w:p w14:paraId="26B7E49C"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0.194*</w:t>
            </w:r>
          </w:p>
        </w:tc>
        <w:tc>
          <w:tcPr>
            <w:tcW w:w="851" w:type="dxa"/>
          </w:tcPr>
          <w:p w14:paraId="77C9FB07"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0.223*</w:t>
            </w:r>
          </w:p>
        </w:tc>
        <w:tc>
          <w:tcPr>
            <w:tcW w:w="850" w:type="dxa"/>
          </w:tcPr>
          <w:p w14:paraId="1AB02AE4"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1</w:t>
            </w:r>
          </w:p>
        </w:tc>
        <w:tc>
          <w:tcPr>
            <w:tcW w:w="851" w:type="dxa"/>
          </w:tcPr>
          <w:p w14:paraId="736A1D4E"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p>
        </w:tc>
        <w:tc>
          <w:tcPr>
            <w:tcW w:w="851" w:type="dxa"/>
          </w:tcPr>
          <w:p w14:paraId="48F3272E"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p>
        </w:tc>
      </w:tr>
      <w:tr w:rsidR="00146409" w:rsidRPr="00E378F7" w14:paraId="5DDF1050" w14:textId="77777777" w:rsidTr="00C2374E">
        <w:trPr>
          <w:jc w:val="center"/>
        </w:trPr>
        <w:tc>
          <w:tcPr>
            <w:tcW w:w="2819" w:type="dxa"/>
          </w:tcPr>
          <w:p w14:paraId="44E004C1"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7. Rule of Law index</w:t>
            </w:r>
          </w:p>
        </w:tc>
        <w:tc>
          <w:tcPr>
            <w:tcW w:w="709" w:type="dxa"/>
          </w:tcPr>
          <w:p w14:paraId="61233D66"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0.204*</w:t>
            </w:r>
          </w:p>
        </w:tc>
        <w:tc>
          <w:tcPr>
            <w:tcW w:w="992" w:type="dxa"/>
          </w:tcPr>
          <w:p w14:paraId="1FF7515E"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0.399*</w:t>
            </w:r>
          </w:p>
        </w:tc>
        <w:tc>
          <w:tcPr>
            <w:tcW w:w="883" w:type="dxa"/>
          </w:tcPr>
          <w:p w14:paraId="6DF9386C"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0.252*</w:t>
            </w:r>
          </w:p>
        </w:tc>
        <w:tc>
          <w:tcPr>
            <w:tcW w:w="960" w:type="dxa"/>
          </w:tcPr>
          <w:p w14:paraId="0CF666B2"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0.626*</w:t>
            </w:r>
          </w:p>
        </w:tc>
        <w:tc>
          <w:tcPr>
            <w:tcW w:w="851" w:type="dxa"/>
          </w:tcPr>
          <w:p w14:paraId="63CE7E06"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0.202*</w:t>
            </w:r>
          </w:p>
        </w:tc>
        <w:tc>
          <w:tcPr>
            <w:tcW w:w="850" w:type="dxa"/>
          </w:tcPr>
          <w:p w14:paraId="03C59156"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0.409*</w:t>
            </w:r>
          </w:p>
        </w:tc>
        <w:tc>
          <w:tcPr>
            <w:tcW w:w="851" w:type="dxa"/>
          </w:tcPr>
          <w:p w14:paraId="4D654BF6"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1</w:t>
            </w:r>
          </w:p>
        </w:tc>
        <w:tc>
          <w:tcPr>
            <w:tcW w:w="851" w:type="dxa"/>
          </w:tcPr>
          <w:p w14:paraId="421FED4A"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p>
        </w:tc>
      </w:tr>
      <w:tr w:rsidR="00146409" w:rsidRPr="00E378F7" w14:paraId="11D77B42" w14:textId="77777777" w:rsidTr="00C2374E">
        <w:trPr>
          <w:jc w:val="center"/>
        </w:trPr>
        <w:tc>
          <w:tcPr>
            <w:tcW w:w="2819" w:type="dxa"/>
            <w:tcBorders>
              <w:bottom w:val="double" w:sz="4" w:space="0" w:color="auto"/>
            </w:tcBorders>
          </w:tcPr>
          <w:p w14:paraId="5181C47F"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8 Govt. consumption growth (%)</w:t>
            </w:r>
          </w:p>
        </w:tc>
        <w:tc>
          <w:tcPr>
            <w:tcW w:w="709" w:type="dxa"/>
            <w:tcBorders>
              <w:bottom w:val="double" w:sz="4" w:space="0" w:color="auto"/>
            </w:tcBorders>
          </w:tcPr>
          <w:p w14:paraId="7A5C2A81"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-0.052</w:t>
            </w:r>
          </w:p>
        </w:tc>
        <w:tc>
          <w:tcPr>
            <w:tcW w:w="992" w:type="dxa"/>
            <w:tcBorders>
              <w:bottom w:val="double" w:sz="4" w:space="0" w:color="auto"/>
            </w:tcBorders>
          </w:tcPr>
          <w:p w14:paraId="3CD7860F"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-0.039</w:t>
            </w:r>
          </w:p>
        </w:tc>
        <w:tc>
          <w:tcPr>
            <w:tcW w:w="883" w:type="dxa"/>
            <w:tcBorders>
              <w:bottom w:val="double" w:sz="4" w:space="0" w:color="auto"/>
            </w:tcBorders>
          </w:tcPr>
          <w:p w14:paraId="333EB635"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-0.020</w:t>
            </w:r>
          </w:p>
        </w:tc>
        <w:tc>
          <w:tcPr>
            <w:tcW w:w="960" w:type="dxa"/>
            <w:tcBorders>
              <w:bottom w:val="double" w:sz="4" w:space="0" w:color="auto"/>
            </w:tcBorders>
          </w:tcPr>
          <w:p w14:paraId="07E0D10B"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-0.093</w:t>
            </w:r>
          </w:p>
        </w:tc>
        <w:tc>
          <w:tcPr>
            <w:tcW w:w="851" w:type="dxa"/>
            <w:tcBorders>
              <w:bottom w:val="double" w:sz="4" w:space="0" w:color="auto"/>
            </w:tcBorders>
          </w:tcPr>
          <w:p w14:paraId="56C058E7"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-0.016</w:t>
            </w:r>
          </w:p>
        </w:tc>
        <w:tc>
          <w:tcPr>
            <w:tcW w:w="850" w:type="dxa"/>
            <w:tcBorders>
              <w:bottom w:val="double" w:sz="4" w:space="0" w:color="auto"/>
            </w:tcBorders>
          </w:tcPr>
          <w:p w14:paraId="2C1F81D1"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-0.035</w:t>
            </w:r>
          </w:p>
        </w:tc>
        <w:tc>
          <w:tcPr>
            <w:tcW w:w="851" w:type="dxa"/>
            <w:tcBorders>
              <w:bottom w:val="double" w:sz="4" w:space="0" w:color="auto"/>
            </w:tcBorders>
          </w:tcPr>
          <w:p w14:paraId="4FC3F7FB"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-0.126*</w:t>
            </w:r>
          </w:p>
        </w:tc>
        <w:tc>
          <w:tcPr>
            <w:tcW w:w="851" w:type="dxa"/>
            <w:tcBorders>
              <w:bottom w:val="double" w:sz="4" w:space="0" w:color="auto"/>
            </w:tcBorders>
          </w:tcPr>
          <w:p w14:paraId="2C0D35D8"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20"/>
                <w:szCs w:val="20"/>
              </w:rPr>
            </w:pPr>
            <w:r w:rsidRPr="00E378F7">
              <w:rPr>
                <w:rFonts w:ascii="Times New Roman" w:hAnsi="Times New Roman" w:cs="Times New Roman"/>
                <w:sz w:val="20"/>
                <w:szCs w:val="20"/>
              </w:rPr>
              <w:t>1</w:t>
            </w:r>
          </w:p>
        </w:tc>
      </w:tr>
    </w:tbl>
    <w:p w14:paraId="12A05A03" w14:textId="2E639A79" w:rsidR="00146409" w:rsidRPr="00E378F7" w:rsidRDefault="00146409" w:rsidP="008E4E1C">
      <w:pPr>
        <w:pStyle w:val="NoSpacing"/>
        <w:spacing w:line="360" w:lineRule="auto"/>
        <w:jc w:val="both"/>
        <w:rPr>
          <w:rFonts w:ascii="Times New Roman" w:hAnsi="Times New Roman" w:cs="Times New Roman"/>
          <w:sz w:val="18"/>
          <w:szCs w:val="18"/>
        </w:rPr>
      </w:pPr>
      <w:r w:rsidRPr="00E378F7">
        <w:rPr>
          <w:rFonts w:ascii="Times New Roman" w:hAnsi="Times New Roman" w:cs="Times New Roman"/>
          <w:sz w:val="18"/>
          <w:szCs w:val="18"/>
        </w:rPr>
        <w:t>Note: ‘*’ denotes significant at 5 percent</w:t>
      </w:r>
    </w:p>
    <w:p w14:paraId="2CA9E00F" w14:textId="3E29DF09" w:rsidR="00146409" w:rsidRDefault="00146409" w:rsidP="008E4E1C">
      <w:pPr>
        <w:spacing w:line="360" w:lineRule="auto"/>
        <w:ind w:left="-851"/>
        <w:jc w:val="both"/>
        <w:rPr>
          <w:rFonts w:ascii="Times New Roman" w:hAnsi="Times New Roman" w:cs="Times New Roman"/>
          <w:sz w:val="24"/>
          <w:szCs w:val="24"/>
        </w:rPr>
      </w:pPr>
    </w:p>
    <w:p w14:paraId="0C05776B" w14:textId="77777777" w:rsidR="00146409" w:rsidRPr="00E378F7" w:rsidRDefault="00854FF0" w:rsidP="006C1DD4">
      <w:pPr>
        <w:pStyle w:val="Heading2"/>
      </w:pPr>
      <w:bookmarkStart w:id="44" w:name="_Toc501031488"/>
      <w:r w:rsidRPr="00E378F7">
        <w:t>5</w:t>
      </w:r>
      <w:r w:rsidR="00146409" w:rsidRPr="00E378F7">
        <w:t>.2 Empirical Analysis</w:t>
      </w:r>
      <w:bookmarkEnd w:id="44"/>
    </w:p>
    <w:p w14:paraId="48C300CA" w14:textId="675E3642" w:rsidR="00146409" w:rsidRPr="00E378F7" w:rsidRDefault="004A7C75" w:rsidP="008E4E1C">
      <w:pPr>
        <w:pStyle w:val="NoSpacing"/>
        <w:spacing w:line="360" w:lineRule="auto"/>
        <w:jc w:val="both"/>
        <w:rPr>
          <w:rFonts w:ascii="Times New Roman" w:hAnsi="Times New Roman" w:cs="Times New Roman"/>
          <w:sz w:val="24"/>
          <w:szCs w:val="24"/>
        </w:rPr>
      </w:pPr>
      <w:r w:rsidRPr="00E378F7">
        <w:rPr>
          <w:rFonts w:ascii="Times New Roman" w:hAnsi="Times New Roman" w:cs="Times New Roman"/>
          <w:sz w:val="24"/>
          <w:szCs w:val="24"/>
        </w:rPr>
        <w:t>It is clear from the plot</w:t>
      </w:r>
      <w:r w:rsidR="00146409" w:rsidRPr="00E378F7">
        <w:rPr>
          <w:rFonts w:ascii="Times New Roman" w:hAnsi="Times New Roman" w:cs="Times New Roman"/>
          <w:sz w:val="24"/>
          <w:szCs w:val="24"/>
        </w:rPr>
        <w:t xml:space="preserve"> of TFP growth and the ratio of private credit to GDP analyzed above that there is a potential dampening effect of financial deepening on </w:t>
      </w:r>
      <w:r w:rsidR="004C54A2">
        <w:rPr>
          <w:rFonts w:ascii="Times New Roman" w:hAnsi="Times New Roman" w:cs="Times New Roman"/>
          <w:sz w:val="24"/>
          <w:szCs w:val="24"/>
        </w:rPr>
        <w:t xml:space="preserve">the </w:t>
      </w:r>
      <w:r w:rsidR="00146409" w:rsidRPr="00E378F7">
        <w:rPr>
          <w:rFonts w:ascii="Times New Roman" w:hAnsi="Times New Roman" w:cs="Times New Roman"/>
          <w:sz w:val="24"/>
          <w:szCs w:val="24"/>
        </w:rPr>
        <w:t xml:space="preserve">TFP growth beyond a certain threshold of financial depth. The correlation matrix also reveals a significant positive association between financial deepening and TFP growth. Given these patterns and </w:t>
      </w:r>
      <w:r w:rsidRPr="00E378F7">
        <w:rPr>
          <w:rFonts w:ascii="Times New Roman" w:hAnsi="Times New Roman" w:cs="Times New Roman"/>
          <w:sz w:val="24"/>
          <w:szCs w:val="24"/>
        </w:rPr>
        <w:t>to achieve</w:t>
      </w:r>
      <w:r w:rsidR="00146409" w:rsidRPr="00E378F7">
        <w:rPr>
          <w:rFonts w:ascii="Times New Roman" w:hAnsi="Times New Roman" w:cs="Times New Roman"/>
          <w:sz w:val="24"/>
          <w:szCs w:val="24"/>
        </w:rPr>
        <w:t xml:space="preserve"> the objectives of the study, the empirical analysis aims at determining empirically whether there is a significant relationship between financial deepening and TFP growth. Additionally, the analysis seeks to ascertain whether there is a weakening effect of financial deepening after a threshold of financial deepening.</w:t>
      </w:r>
    </w:p>
    <w:p w14:paraId="7C0212B5" w14:textId="77777777" w:rsidR="00146409" w:rsidRPr="00E378F7" w:rsidRDefault="00146409" w:rsidP="008E4E1C">
      <w:pPr>
        <w:pStyle w:val="NoSpacing"/>
        <w:spacing w:line="360" w:lineRule="auto"/>
        <w:jc w:val="both"/>
        <w:rPr>
          <w:rFonts w:ascii="Times New Roman" w:hAnsi="Times New Roman" w:cs="Times New Roman"/>
          <w:sz w:val="16"/>
          <w:szCs w:val="16"/>
        </w:rPr>
      </w:pPr>
    </w:p>
    <w:p w14:paraId="064E62D6" w14:textId="41A6633E" w:rsidR="00AC0D70" w:rsidRDefault="004C54A2" w:rsidP="008E4E1C">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While</w:t>
      </w:r>
      <w:r w:rsidRPr="00E378F7">
        <w:rPr>
          <w:rFonts w:ascii="Times New Roman" w:hAnsi="Times New Roman" w:cs="Times New Roman"/>
          <w:sz w:val="24"/>
          <w:szCs w:val="24"/>
        </w:rPr>
        <w:t xml:space="preserve"> </w:t>
      </w:r>
      <w:r w:rsidR="00146409" w:rsidRPr="00E378F7">
        <w:rPr>
          <w:rFonts w:ascii="Times New Roman" w:hAnsi="Times New Roman" w:cs="Times New Roman"/>
          <w:sz w:val="24"/>
          <w:szCs w:val="24"/>
        </w:rPr>
        <w:t>trying to establish these relationships, it is useful to begin the analysis by estimating the equation (3.1) using 5-year averages of the series and the pooled OLS estimation technique. The results of this baseline e</w:t>
      </w:r>
      <w:r w:rsidR="000745DF" w:rsidRPr="00E378F7">
        <w:rPr>
          <w:rFonts w:ascii="Times New Roman" w:hAnsi="Times New Roman" w:cs="Times New Roman"/>
          <w:sz w:val="24"/>
          <w:szCs w:val="24"/>
        </w:rPr>
        <w:t xml:space="preserve">stimation as reported in </w:t>
      </w:r>
      <w:r>
        <w:rPr>
          <w:rFonts w:ascii="Times New Roman" w:hAnsi="Times New Roman" w:cs="Times New Roman"/>
          <w:sz w:val="24"/>
          <w:szCs w:val="24"/>
        </w:rPr>
        <w:t>T</w:t>
      </w:r>
      <w:r w:rsidRPr="00E378F7">
        <w:rPr>
          <w:rFonts w:ascii="Times New Roman" w:hAnsi="Times New Roman" w:cs="Times New Roman"/>
          <w:sz w:val="24"/>
          <w:szCs w:val="24"/>
        </w:rPr>
        <w:t xml:space="preserve">able </w:t>
      </w:r>
      <w:r w:rsidR="000745DF" w:rsidRPr="00E378F7">
        <w:rPr>
          <w:rFonts w:ascii="Times New Roman" w:hAnsi="Times New Roman" w:cs="Times New Roman"/>
          <w:sz w:val="24"/>
          <w:szCs w:val="24"/>
        </w:rPr>
        <w:t>5</w:t>
      </w:r>
      <w:r w:rsidR="00146409" w:rsidRPr="00E378F7">
        <w:rPr>
          <w:rFonts w:ascii="Times New Roman" w:hAnsi="Times New Roman" w:cs="Times New Roman"/>
          <w:sz w:val="24"/>
          <w:szCs w:val="24"/>
        </w:rPr>
        <w:t>.3 shows no significant positive relationship between the ratio of private credit to GDP and TFP growth (column 1). On the contrary, column (2) clearly suggests a strong positive effect of increasing depth of financial markets, proxied by the ratio of stock market capitalization to GDP</w:t>
      </w:r>
      <w:r>
        <w:rPr>
          <w:rFonts w:ascii="Times New Roman" w:hAnsi="Times New Roman" w:cs="Times New Roman"/>
          <w:sz w:val="24"/>
          <w:szCs w:val="24"/>
        </w:rPr>
        <w:t xml:space="preserve"> and</w:t>
      </w:r>
      <w:r w:rsidRPr="00E378F7">
        <w:rPr>
          <w:rFonts w:ascii="Times New Roman" w:hAnsi="Times New Roman" w:cs="Times New Roman"/>
          <w:sz w:val="24"/>
          <w:szCs w:val="24"/>
        </w:rPr>
        <w:t xml:space="preserve"> </w:t>
      </w:r>
      <w:r w:rsidR="00146409" w:rsidRPr="00E378F7">
        <w:rPr>
          <w:rFonts w:ascii="Times New Roman" w:hAnsi="Times New Roman" w:cs="Times New Roman"/>
          <w:sz w:val="24"/>
          <w:szCs w:val="24"/>
        </w:rPr>
        <w:t xml:space="preserve">on TFP growth in emerging market economies. </w:t>
      </w:r>
      <w:r w:rsidR="004A7C75" w:rsidRPr="00E378F7">
        <w:rPr>
          <w:rFonts w:ascii="Times New Roman" w:hAnsi="Times New Roman" w:cs="Times New Roman"/>
          <w:sz w:val="24"/>
          <w:szCs w:val="24"/>
        </w:rPr>
        <w:t>It is clear</w:t>
      </w:r>
      <w:r w:rsidR="00146409" w:rsidRPr="00E378F7">
        <w:rPr>
          <w:rFonts w:ascii="Times New Roman" w:hAnsi="Times New Roman" w:cs="Times New Roman"/>
          <w:sz w:val="24"/>
          <w:szCs w:val="24"/>
        </w:rPr>
        <w:t xml:space="preserve"> </w:t>
      </w:r>
      <w:r w:rsidR="00581890" w:rsidRPr="00E378F7">
        <w:rPr>
          <w:rFonts w:ascii="Times New Roman" w:hAnsi="Times New Roman" w:cs="Times New Roman"/>
          <w:sz w:val="24"/>
          <w:szCs w:val="24"/>
        </w:rPr>
        <w:t xml:space="preserve">from these findings </w:t>
      </w:r>
      <w:r w:rsidR="004A7C75" w:rsidRPr="00E378F7">
        <w:rPr>
          <w:rFonts w:ascii="Times New Roman" w:hAnsi="Times New Roman" w:cs="Times New Roman"/>
          <w:sz w:val="24"/>
          <w:szCs w:val="24"/>
        </w:rPr>
        <w:t>that the</w:t>
      </w:r>
      <w:r w:rsidR="00146409" w:rsidRPr="00E378F7">
        <w:rPr>
          <w:rFonts w:ascii="Times New Roman" w:hAnsi="Times New Roman" w:cs="Times New Roman"/>
          <w:sz w:val="24"/>
          <w:szCs w:val="24"/>
        </w:rPr>
        <w:t xml:space="preserve"> relationship between financial deepening and productivity growth</w:t>
      </w:r>
      <w:r w:rsidR="004A7C75" w:rsidRPr="00E378F7">
        <w:rPr>
          <w:rFonts w:ascii="Times New Roman" w:hAnsi="Times New Roman" w:cs="Times New Roman"/>
          <w:sz w:val="24"/>
          <w:szCs w:val="24"/>
        </w:rPr>
        <w:t xml:space="preserve"> </w:t>
      </w:r>
      <w:r w:rsidR="00146409" w:rsidRPr="00E378F7">
        <w:rPr>
          <w:rFonts w:ascii="Times New Roman" w:hAnsi="Times New Roman" w:cs="Times New Roman"/>
          <w:sz w:val="24"/>
          <w:szCs w:val="24"/>
        </w:rPr>
        <w:t xml:space="preserve">depends on the measure of financial deepening used. The apparent inconclusive results may be attributed to the existence of nonlinearities in the </w:t>
      </w:r>
      <w:r w:rsidR="00146409" w:rsidRPr="00E378F7">
        <w:rPr>
          <w:rFonts w:ascii="Times New Roman" w:hAnsi="Times New Roman" w:cs="Times New Roman"/>
          <w:sz w:val="24"/>
          <w:szCs w:val="24"/>
        </w:rPr>
        <w:lastRenderedPageBreak/>
        <w:t>relationship between financial deepening and TFP growth</w:t>
      </w:r>
      <w:r w:rsidR="004A7C75" w:rsidRPr="00E378F7">
        <w:rPr>
          <w:rFonts w:ascii="Times New Roman" w:hAnsi="Times New Roman" w:cs="Times New Roman"/>
          <w:sz w:val="24"/>
          <w:szCs w:val="24"/>
        </w:rPr>
        <w:t>,</w:t>
      </w:r>
      <w:r w:rsidR="00146409" w:rsidRPr="00E378F7">
        <w:rPr>
          <w:rFonts w:ascii="Times New Roman" w:hAnsi="Times New Roman" w:cs="Times New Roman"/>
          <w:sz w:val="24"/>
          <w:szCs w:val="24"/>
        </w:rPr>
        <w:t xml:space="preserve"> which are not captured through the OLS estimation techniques.</w:t>
      </w:r>
    </w:p>
    <w:p w14:paraId="3D2411F6" w14:textId="77777777" w:rsidR="00146409" w:rsidRPr="00E378F7" w:rsidRDefault="00146409" w:rsidP="008E4E1C">
      <w:pPr>
        <w:pStyle w:val="NoSpacing"/>
        <w:spacing w:line="360" w:lineRule="auto"/>
        <w:jc w:val="both"/>
        <w:rPr>
          <w:rFonts w:ascii="Times New Roman" w:hAnsi="Times New Roman" w:cs="Times New Roman"/>
          <w:sz w:val="16"/>
          <w:szCs w:val="16"/>
        </w:rPr>
      </w:pPr>
    </w:p>
    <w:p w14:paraId="2BD1EDCC" w14:textId="0C46AEDD" w:rsidR="00146409" w:rsidRPr="006C1DD4" w:rsidRDefault="00854FF0" w:rsidP="006C1DD4">
      <w:pPr>
        <w:pStyle w:val="Heading2"/>
        <w:jc w:val="center"/>
        <w:rPr>
          <w:i/>
          <w:sz w:val="20"/>
        </w:rPr>
      </w:pPr>
      <w:bookmarkStart w:id="45" w:name="_Toc501031489"/>
      <w:r w:rsidRPr="006C1DD4">
        <w:rPr>
          <w:i/>
          <w:sz w:val="20"/>
        </w:rPr>
        <w:t>Table 5</w:t>
      </w:r>
      <w:r w:rsidR="00146409" w:rsidRPr="006C1DD4">
        <w:rPr>
          <w:i/>
          <w:sz w:val="20"/>
        </w:rPr>
        <w:t>.3: Pooled OLS estimation (5-year averages over 1996</w:t>
      </w:r>
      <w:r w:rsidR="004C54A2" w:rsidRPr="006C1DD4">
        <w:rPr>
          <w:i/>
          <w:sz w:val="20"/>
        </w:rPr>
        <w:t>–</w:t>
      </w:r>
      <w:r w:rsidR="00146409" w:rsidRPr="006C1DD4">
        <w:rPr>
          <w:i/>
          <w:sz w:val="20"/>
        </w:rPr>
        <w:t>2014)</w:t>
      </w:r>
      <w:bookmarkEnd w:id="45"/>
    </w:p>
    <w:tbl>
      <w:tblPr>
        <w:tblW w:w="0" w:type="auto"/>
        <w:jc w:val="center"/>
        <w:tblLayout w:type="fixed"/>
        <w:tblCellMar>
          <w:left w:w="75" w:type="dxa"/>
          <w:right w:w="75" w:type="dxa"/>
        </w:tblCellMar>
        <w:tblLook w:val="0000" w:firstRow="0" w:lastRow="0" w:firstColumn="0" w:lastColumn="0" w:noHBand="0" w:noVBand="0"/>
      </w:tblPr>
      <w:tblGrid>
        <w:gridCol w:w="4123"/>
        <w:gridCol w:w="992"/>
        <w:gridCol w:w="992"/>
      </w:tblGrid>
      <w:tr w:rsidR="00146409" w:rsidRPr="00E378F7" w14:paraId="430CA033" w14:textId="77777777" w:rsidTr="00C2374E">
        <w:trPr>
          <w:jc w:val="center"/>
        </w:trPr>
        <w:tc>
          <w:tcPr>
            <w:tcW w:w="4123" w:type="dxa"/>
            <w:tcBorders>
              <w:top w:val="double" w:sz="4" w:space="0" w:color="auto"/>
              <w:left w:val="nil"/>
              <w:bottom w:val="nil"/>
              <w:right w:val="nil"/>
            </w:tcBorders>
          </w:tcPr>
          <w:p w14:paraId="2F9C8660"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p>
        </w:tc>
        <w:tc>
          <w:tcPr>
            <w:tcW w:w="992" w:type="dxa"/>
            <w:tcBorders>
              <w:top w:val="double" w:sz="4" w:space="0" w:color="auto"/>
              <w:left w:val="nil"/>
              <w:bottom w:val="nil"/>
              <w:right w:val="nil"/>
            </w:tcBorders>
          </w:tcPr>
          <w:p w14:paraId="22DBCD7E"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r w:rsidRPr="00E378F7">
              <w:rPr>
                <w:rFonts w:ascii="Times New Roman" w:hAnsi="Times New Roman" w:cs="Times New Roman"/>
                <w:sz w:val="18"/>
                <w:szCs w:val="18"/>
              </w:rPr>
              <w:t>(1)</w:t>
            </w:r>
          </w:p>
        </w:tc>
        <w:tc>
          <w:tcPr>
            <w:tcW w:w="992" w:type="dxa"/>
            <w:tcBorders>
              <w:top w:val="double" w:sz="4" w:space="0" w:color="auto"/>
              <w:left w:val="nil"/>
              <w:bottom w:val="nil"/>
              <w:right w:val="nil"/>
            </w:tcBorders>
          </w:tcPr>
          <w:p w14:paraId="65673296"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r w:rsidRPr="00E378F7">
              <w:rPr>
                <w:rFonts w:ascii="Times New Roman" w:hAnsi="Times New Roman" w:cs="Times New Roman"/>
                <w:sz w:val="18"/>
                <w:szCs w:val="18"/>
              </w:rPr>
              <w:t>(2)</w:t>
            </w:r>
          </w:p>
        </w:tc>
      </w:tr>
      <w:tr w:rsidR="00146409" w:rsidRPr="00E378F7" w14:paraId="0577E7E2" w14:textId="77777777" w:rsidTr="00C2374E">
        <w:trPr>
          <w:jc w:val="center"/>
        </w:trPr>
        <w:tc>
          <w:tcPr>
            <w:tcW w:w="4123" w:type="dxa"/>
            <w:tcBorders>
              <w:top w:val="nil"/>
              <w:left w:val="nil"/>
              <w:bottom w:val="double" w:sz="4" w:space="0" w:color="auto"/>
              <w:right w:val="nil"/>
            </w:tcBorders>
          </w:tcPr>
          <w:p w14:paraId="566A9A18"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r w:rsidRPr="00E378F7">
              <w:rPr>
                <w:rFonts w:ascii="Times New Roman" w:hAnsi="Times New Roman" w:cs="Times New Roman"/>
                <w:sz w:val="18"/>
                <w:szCs w:val="18"/>
              </w:rPr>
              <w:t>Variables</w:t>
            </w:r>
          </w:p>
        </w:tc>
        <w:tc>
          <w:tcPr>
            <w:tcW w:w="992" w:type="dxa"/>
            <w:tcBorders>
              <w:top w:val="nil"/>
              <w:left w:val="nil"/>
              <w:bottom w:val="double" w:sz="4" w:space="0" w:color="auto"/>
              <w:right w:val="nil"/>
            </w:tcBorders>
          </w:tcPr>
          <w:p w14:paraId="52A67531"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r w:rsidRPr="00E378F7">
              <w:rPr>
                <w:rFonts w:ascii="Times New Roman" w:hAnsi="Times New Roman" w:cs="Times New Roman"/>
                <w:sz w:val="18"/>
                <w:szCs w:val="18"/>
              </w:rPr>
              <w:t>Pols</w:t>
            </w:r>
          </w:p>
        </w:tc>
        <w:tc>
          <w:tcPr>
            <w:tcW w:w="992" w:type="dxa"/>
            <w:tcBorders>
              <w:top w:val="nil"/>
              <w:left w:val="nil"/>
              <w:bottom w:val="double" w:sz="4" w:space="0" w:color="auto"/>
              <w:right w:val="nil"/>
            </w:tcBorders>
          </w:tcPr>
          <w:p w14:paraId="56EAB6E9"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r w:rsidRPr="00E378F7">
              <w:rPr>
                <w:rFonts w:ascii="Times New Roman" w:hAnsi="Times New Roman" w:cs="Times New Roman"/>
                <w:sz w:val="18"/>
                <w:szCs w:val="18"/>
              </w:rPr>
              <w:t>pols</w:t>
            </w:r>
          </w:p>
        </w:tc>
      </w:tr>
      <w:tr w:rsidR="00146409" w:rsidRPr="00E378F7" w14:paraId="5E10AC80" w14:textId="77777777" w:rsidTr="00C2374E">
        <w:trPr>
          <w:jc w:val="center"/>
        </w:trPr>
        <w:tc>
          <w:tcPr>
            <w:tcW w:w="4123" w:type="dxa"/>
            <w:tcBorders>
              <w:top w:val="double" w:sz="4" w:space="0" w:color="auto"/>
              <w:left w:val="nil"/>
              <w:bottom w:val="nil"/>
              <w:right w:val="nil"/>
            </w:tcBorders>
          </w:tcPr>
          <w:p w14:paraId="64077768" w14:textId="543088A3"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r w:rsidRPr="00E378F7">
              <w:rPr>
                <w:rFonts w:ascii="Times New Roman" w:hAnsi="Times New Roman" w:cs="Times New Roman"/>
                <w:sz w:val="18"/>
                <w:szCs w:val="18"/>
              </w:rPr>
              <w:t>Ratio of private credit by DMB &amp; OFI to GDP</w:t>
            </w:r>
          </w:p>
        </w:tc>
        <w:tc>
          <w:tcPr>
            <w:tcW w:w="992" w:type="dxa"/>
            <w:tcBorders>
              <w:top w:val="double" w:sz="4" w:space="0" w:color="auto"/>
              <w:left w:val="nil"/>
              <w:bottom w:val="nil"/>
              <w:right w:val="nil"/>
            </w:tcBorders>
          </w:tcPr>
          <w:p w14:paraId="0D7CB45D"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r w:rsidRPr="00E378F7">
              <w:rPr>
                <w:rFonts w:ascii="Times New Roman" w:hAnsi="Times New Roman" w:cs="Times New Roman"/>
                <w:sz w:val="18"/>
                <w:szCs w:val="18"/>
              </w:rPr>
              <w:t>0.004</w:t>
            </w:r>
          </w:p>
        </w:tc>
        <w:tc>
          <w:tcPr>
            <w:tcW w:w="992" w:type="dxa"/>
            <w:tcBorders>
              <w:top w:val="double" w:sz="4" w:space="0" w:color="auto"/>
              <w:left w:val="nil"/>
              <w:bottom w:val="nil"/>
              <w:right w:val="nil"/>
            </w:tcBorders>
          </w:tcPr>
          <w:p w14:paraId="042016A0"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p>
        </w:tc>
      </w:tr>
      <w:tr w:rsidR="00146409" w:rsidRPr="00E378F7" w14:paraId="20C575DB" w14:textId="77777777" w:rsidTr="00C2374E">
        <w:trPr>
          <w:jc w:val="center"/>
        </w:trPr>
        <w:tc>
          <w:tcPr>
            <w:tcW w:w="4123" w:type="dxa"/>
            <w:tcBorders>
              <w:top w:val="nil"/>
              <w:left w:val="nil"/>
              <w:bottom w:val="nil"/>
              <w:right w:val="nil"/>
            </w:tcBorders>
          </w:tcPr>
          <w:p w14:paraId="40B68311"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p>
        </w:tc>
        <w:tc>
          <w:tcPr>
            <w:tcW w:w="992" w:type="dxa"/>
            <w:tcBorders>
              <w:top w:val="nil"/>
              <w:left w:val="nil"/>
              <w:bottom w:val="nil"/>
              <w:right w:val="nil"/>
            </w:tcBorders>
          </w:tcPr>
          <w:p w14:paraId="34CEF17A"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r w:rsidRPr="00E378F7">
              <w:rPr>
                <w:rFonts w:ascii="Times New Roman" w:hAnsi="Times New Roman" w:cs="Times New Roman"/>
                <w:sz w:val="18"/>
                <w:szCs w:val="18"/>
              </w:rPr>
              <w:t>(0.029)</w:t>
            </w:r>
          </w:p>
        </w:tc>
        <w:tc>
          <w:tcPr>
            <w:tcW w:w="992" w:type="dxa"/>
            <w:tcBorders>
              <w:top w:val="nil"/>
              <w:left w:val="nil"/>
              <w:bottom w:val="nil"/>
              <w:right w:val="nil"/>
            </w:tcBorders>
          </w:tcPr>
          <w:p w14:paraId="0212A80C"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p>
        </w:tc>
      </w:tr>
      <w:tr w:rsidR="00146409" w:rsidRPr="00E378F7" w14:paraId="58A66248" w14:textId="77777777" w:rsidTr="00C2374E">
        <w:trPr>
          <w:jc w:val="center"/>
        </w:trPr>
        <w:tc>
          <w:tcPr>
            <w:tcW w:w="4123" w:type="dxa"/>
            <w:tcBorders>
              <w:top w:val="nil"/>
              <w:left w:val="nil"/>
              <w:bottom w:val="nil"/>
              <w:right w:val="nil"/>
            </w:tcBorders>
          </w:tcPr>
          <w:p w14:paraId="52470D74" w14:textId="72E442E8"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r w:rsidRPr="00E378F7">
              <w:rPr>
                <w:rFonts w:ascii="Times New Roman" w:hAnsi="Times New Roman" w:cs="Times New Roman"/>
                <w:sz w:val="18"/>
                <w:szCs w:val="18"/>
              </w:rPr>
              <w:t xml:space="preserve">Ratio </w:t>
            </w:r>
            <w:r w:rsidR="00AC0D70" w:rsidRPr="00E378F7">
              <w:rPr>
                <w:rFonts w:ascii="Times New Roman" w:hAnsi="Times New Roman" w:cs="Times New Roman"/>
                <w:sz w:val="18"/>
                <w:szCs w:val="18"/>
              </w:rPr>
              <w:t>of stock</w:t>
            </w:r>
            <w:r w:rsidRPr="00E378F7">
              <w:rPr>
                <w:rFonts w:ascii="Times New Roman" w:hAnsi="Times New Roman" w:cs="Times New Roman"/>
                <w:sz w:val="18"/>
                <w:szCs w:val="18"/>
              </w:rPr>
              <w:t xml:space="preserve"> market capitalization to GDP</w:t>
            </w:r>
          </w:p>
        </w:tc>
        <w:tc>
          <w:tcPr>
            <w:tcW w:w="992" w:type="dxa"/>
            <w:tcBorders>
              <w:top w:val="nil"/>
              <w:left w:val="nil"/>
              <w:bottom w:val="nil"/>
              <w:right w:val="nil"/>
            </w:tcBorders>
          </w:tcPr>
          <w:p w14:paraId="0ADC0325"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p>
        </w:tc>
        <w:tc>
          <w:tcPr>
            <w:tcW w:w="992" w:type="dxa"/>
            <w:tcBorders>
              <w:top w:val="nil"/>
              <w:left w:val="nil"/>
              <w:bottom w:val="nil"/>
              <w:right w:val="nil"/>
            </w:tcBorders>
          </w:tcPr>
          <w:p w14:paraId="35715A6A"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r w:rsidRPr="00E378F7">
              <w:rPr>
                <w:rFonts w:ascii="Times New Roman" w:hAnsi="Times New Roman" w:cs="Times New Roman"/>
                <w:sz w:val="18"/>
                <w:szCs w:val="18"/>
              </w:rPr>
              <w:t>0.038**</w:t>
            </w:r>
          </w:p>
        </w:tc>
      </w:tr>
      <w:tr w:rsidR="00146409" w:rsidRPr="00E378F7" w14:paraId="1B12D8F2" w14:textId="77777777" w:rsidTr="00C2374E">
        <w:trPr>
          <w:jc w:val="center"/>
        </w:trPr>
        <w:tc>
          <w:tcPr>
            <w:tcW w:w="4123" w:type="dxa"/>
            <w:tcBorders>
              <w:top w:val="nil"/>
              <w:left w:val="nil"/>
              <w:bottom w:val="nil"/>
              <w:right w:val="nil"/>
            </w:tcBorders>
          </w:tcPr>
          <w:p w14:paraId="021552D4"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p>
        </w:tc>
        <w:tc>
          <w:tcPr>
            <w:tcW w:w="992" w:type="dxa"/>
            <w:tcBorders>
              <w:top w:val="nil"/>
              <w:left w:val="nil"/>
              <w:bottom w:val="nil"/>
              <w:right w:val="nil"/>
            </w:tcBorders>
          </w:tcPr>
          <w:p w14:paraId="07174D5C"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p>
        </w:tc>
        <w:tc>
          <w:tcPr>
            <w:tcW w:w="992" w:type="dxa"/>
            <w:tcBorders>
              <w:top w:val="nil"/>
              <w:left w:val="nil"/>
              <w:bottom w:val="nil"/>
              <w:right w:val="nil"/>
            </w:tcBorders>
          </w:tcPr>
          <w:p w14:paraId="23FF7AB3"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r w:rsidRPr="00E378F7">
              <w:rPr>
                <w:rFonts w:ascii="Times New Roman" w:hAnsi="Times New Roman" w:cs="Times New Roman"/>
                <w:sz w:val="18"/>
                <w:szCs w:val="18"/>
              </w:rPr>
              <w:t>(0.018)</w:t>
            </w:r>
          </w:p>
        </w:tc>
      </w:tr>
      <w:tr w:rsidR="00146409" w:rsidRPr="00E378F7" w14:paraId="4FCC0265" w14:textId="77777777" w:rsidTr="00C2374E">
        <w:trPr>
          <w:jc w:val="center"/>
        </w:trPr>
        <w:tc>
          <w:tcPr>
            <w:tcW w:w="4123" w:type="dxa"/>
            <w:tcBorders>
              <w:top w:val="nil"/>
              <w:left w:val="nil"/>
              <w:bottom w:val="nil"/>
              <w:right w:val="nil"/>
            </w:tcBorders>
          </w:tcPr>
          <w:p w14:paraId="3D1981C9"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r w:rsidRPr="00E378F7">
              <w:rPr>
                <w:rFonts w:ascii="Times New Roman" w:hAnsi="Times New Roman" w:cs="Times New Roman"/>
                <w:sz w:val="18"/>
                <w:szCs w:val="18"/>
              </w:rPr>
              <w:t>Log initial real GDP per capita</w:t>
            </w:r>
          </w:p>
        </w:tc>
        <w:tc>
          <w:tcPr>
            <w:tcW w:w="992" w:type="dxa"/>
            <w:tcBorders>
              <w:top w:val="nil"/>
              <w:left w:val="nil"/>
              <w:bottom w:val="nil"/>
              <w:right w:val="nil"/>
            </w:tcBorders>
          </w:tcPr>
          <w:p w14:paraId="1694D141"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r w:rsidRPr="00E378F7">
              <w:rPr>
                <w:rFonts w:ascii="Times New Roman" w:hAnsi="Times New Roman" w:cs="Times New Roman"/>
                <w:sz w:val="18"/>
                <w:szCs w:val="18"/>
              </w:rPr>
              <w:t>0.159***</w:t>
            </w:r>
          </w:p>
        </w:tc>
        <w:tc>
          <w:tcPr>
            <w:tcW w:w="992" w:type="dxa"/>
            <w:tcBorders>
              <w:top w:val="nil"/>
              <w:left w:val="nil"/>
              <w:bottom w:val="nil"/>
              <w:right w:val="nil"/>
            </w:tcBorders>
          </w:tcPr>
          <w:p w14:paraId="662C6282"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r w:rsidRPr="00E378F7">
              <w:rPr>
                <w:rFonts w:ascii="Times New Roman" w:hAnsi="Times New Roman" w:cs="Times New Roman"/>
                <w:sz w:val="18"/>
                <w:szCs w:val="18"/>
              </w:rPr>
              <w:t>0.154***</w:t>
            </w:r>
          </w:p>
        </w:tc>
      </w:tr>
      <w:tr w:rsidR="00146409" w:rsidRPr="00E378F7" w14:paraId="03BB5FC8" w14:textId="77777777" w:rsidTr="00C2374E">
        <w:trPr>
          <w:jc w:val="center"/>
        </w:trPr>
        <w:tc>
          <w:tcPr>
            <w:tcW w:w="4123" w:type="dxa"/>
            <w:tcBorders>
              <w:top w:val="nil"/>
              <w:left w:val="nil"/>
              <w:bottom w:val="nil"/>
              <w:right w:val="nil"/>
            </w:tcBorders>
          </w:tcPr>
          <w:p w14:paraId="6084CF7B"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p>
        </w:tc>
        <w:tc>
          <w:tcPr>
            <w:tcW w:w="992" w:type="dxa"/>
            <w:tcBorders>
              <w:top w:val="nil"/>
              <w:left w:val="nil"/>
              <w:bottom w:val="nil"/>
              <w:right w:val="nil"/>
            </w:tcBorders>
          </w:tcPr>
          <w:p w14:paraId="62188603"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r w:rsidRPr="00E378F7">
              <w:rPr>
                <w:rFonts w:ascii="Times New Roman" w:hAnsi="Times New Roman" w:cs="Times New Roman"/>
                <w:sz w:val="18"/>
                <w:szCs w:val="18"/>
              </w:rPr>
              <w:t>(0.046)</w:t>
            </w:r>
          </w:p>
        </w:tc>
        <w:tc>
          <w:tcPr>
            <w:tcW w:w="992" w:type="dxa"/>
            <w:tcBorders>
              <w:top w:val="nil"/>
              <w:left w:val="nil"/>
              <w:bottom w:val="nil"/>
              <w:right w:val="nil"/>
            </w:tcBorders>
          </w:tcPr>
          <w:p w14:paraId="61DA033F"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r w:rsidRPr="00E378F7">
              <w:rPr>
                <w:rFonts w:ascii="Times New Roman" w:hAnsi="Times New Roman" w:cs="Times New Roman"/>
                <w:sz w:val="18"/>
                <w:szCs w:val="18"/>
              </w:rPr>
              <w:t>(0.043)</w:t>
            </w:r>
          </w:p>
        </w:tc>
      </w:tr>
      <w:tr w:rsidR="00146409" w:rsidRPr="00E378F7" w14:paraId="688B0E1A" w14:textId="77777777" w:rsidTr="00C2374E">
        <w:trPr>
          <w:jc w:val="center"/>
        </w:trPr>
        <w:tc>
          <w:tcPr>
            <w:tcW w:w="4123" w:type="dxa"/>
            <w:tcBorders>
              <w:top w:val="nil"/>
              <w:left w:val="nil"/>
              <w:bottom w:val="nil"/>
              <w:right w:val="nil"/>
            </w:tcBorders>
          </w:tcPr>
          <w:p w14:paraId="4656319B"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r w:rsidRPr="00E378F7">
              <w:rPr>
                <w:rFonts w:ascii="Times New Roman" w:hAnsi="Times New Roman" w:cs="Times New Roman"/>
                <w:sz w:val="18"/>
                <w:szCs w:val="18"/>
              </w:rPr>
              <w:t>Human capital</w:t>
            </w:r>
          </w:p>
        </w:tc>
        <w:tc>
          <w:tcPr>
            <w:tcW w:w="992" w:type="dxa"/>
            <w:tcBorders>
              <w:top w:val="nil"/>
              <w:left w:val="nil"/>
              <w:bottom w:val="nil"/>
              <w:right w:val="nil"/>
            </w:tcBorders>
          </w:tcPr>
          <w:p w14:paraId="73B9D8C1"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r w:rsidRPr="00E378F7">
              <w:rPr>
                <w:rFonts w:ascii="Times New Roman" w:hAnsi="Times New Roman" w:cs="Times New Roman"/>
                <w:sz w:val="18"/>
                <w:szCs w:val="18"/>
              </w:rPr>
              <w:t>-0.108***</w:t>
            </w:r>
          </w:p>
        </w:tc>
        <w:tc>
          <w:tcPr>
            <w:tcW w:w="992" w:type="dxa"/>
            <w:tcBorders>
              <w:top w:val="nil"/>
              <w:left w:val="nil"/>
              <w:bottom w:val="nil"/>
              <w:right w:val="nil"/>
            </w:tcBorders>
          </w:tcPr>
          <w:p w14:paraId="3BBD4EF6"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r w:rsidRPr="00E378F7">
              <w:rPr>
                <w:rFonts w:ascii="Times New Roman" w:hAnsi="Times New Roman" w:cs="Times New Roman"/>
                <w:sz w:val="18"/>
                <w:szCs w:val="18"/>
              </w:rPr>
              <w:t>-0.101***</w:t>
            </w:r>
          </w:p>
        </w:tc>
      </w:tr>
      <w:tr w:rsidR="00146409" w:rsidRPr="00E378F7" w14:paraId="74D48264" w14:textId="77777777" w:rsidTr="00C2374E">
        <w:trPr>
          <w:jc w:val="center"/>
        </w:trPr>
        <w:tc>
          <w:tcPr>
            <w:tcW w:w="4123" w:type="dxa"/>
            <w:tcBorders>
              <w:top w:val="nil"/>
              <w:left w:val="nil"/>
              <w:bottom w:val="nil"/>
              <w:right w:val="nil"/>
            </w:tcBorders>
          </w:tcPr>
          <w:p w14:paraId="39A8FA60"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p>
        </w:tc>
        <w:tc>
          <w:tcPr>
            <w:tcW w:w="992" w:type="dxa"/>
            <w:tcBorders>
              <w:top w:val="nil"/>
              <w:left w:val="nil"/>
              <w:bottom w:val="nil"/>
              <w:right w:val="nil"/>
            </w:tcBorders>
          </w:tcPr>
          <w:p w14:paraId="229A032D"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r w:rsidRPr="00E378F7">
              <w:rPr>
                <w:rFonts w:ascii="Times New Roman" w:hAnsi="Times New Roman" w:cs="Times New Roman"/>
                <w:sz w:val="18"/>
                <w:szCs w:val="18"/>
              </w:rPr>
              <w:t>(0.036)</w:t>
            </w:r>
          </w:p>
        </w:tc>
        <w:tc>
          <w:tcPr>
            <w:tcW w:w="992" w:type="dxa"/>
            <w:tcBorders>
              <w:top w:val="nil"/>
              <w:left w:val="nil"/>
              <w:bottom w:val="nil"/>
              <w:right w:val="nil"/>
            </w:tcBorders>
          </w:tcPr>
          <w:p w14:paraId="0978A812"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r w:rsidRPr="00E378F7">
              <w:rPr>
                <w:rFonts w:ascii="Times New Roman" w:hAnsi="Times New Roman" w:cs="Times New Roman"/>
                <w:sz w:val="18"/>
                <w:szCs w:val="18"/>
              </w:rPr>
              <w:t>(0.034)</w:t>
            </w:r>
          </w:p>
        </w:tc>
      </w:tr>
      <w:tr w:rsidR="00146409" w:rsidRPr="00E378F7" w14:paraId="03F7641E" w14:textId="77777777" w:rsidTr="00C2374E">
        <w:trPr>
          <w:jc w:val="center"/>
        </w:trPr>
        <w:tc>
          <w:tcPr>
            <w:tcW w:w="4123" w:type="dxa"/>
            <w:tcBorders>
              <w:top w:val="nil"/>
              <w:left w:val="nil"/>
              <w:bottom w:val="nil"/>
              <w:right w:val="nil"/>
            </w:tcBorders>
          </w:tcPr>
          <w:p w14:paraId="179B3DF3"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r w:rsidRPr="00E378F7">
              <w:rPr>
                <w:rFonts w:ascii="Times New Roman" w:hAnsi="Times New Roman" w:cs="Times New Roman"/>
                <w:sz w:val="18"/>
                <w:szCs w:val="18"/>
              </w:rPr>
              <w:t>Share of net FDI inflows in GDP</w:t>
            </w:r>
          </w:p>
        </w:tc>
        <w:tc>
          <w:tcPr>
            <w:tcW w:w="992" w:type="dxa"/>
            <w:tcBorders>
              <w:top w:val="nil"/>
              <w:left w:val="nil"/>
              <w:bottom w:val="nil"/>
              <w:right w:val="nil"/>
            </w:tcBorders>
          </w:tcPr>
          <w:p w14:paraId="39A4646D"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r w:rsidRPr="00E378F7">
              <w:rPr>
                <w:rFonts w:ascii="Times New Roman" w:hAnsi="Times New Roman" w:cs="Times New Roman"/>
                <w:sz w:val="18"/>
                <w:szCs w:val="18"/>
              </w:rPr>
              <w:t>0.062</w:t>
            </w:r>
          </w:p>
        </w:tc>
        <w:tc>
          <w:tcPr>
            <w:tcW w:w="992" w:type="dxa"/>
            <w:tcBorders>
              <w:top w:val="nil"/>
              <w:left w:val="nil"/>
              <w:bottom w:val="nil"/>
              <w:right w:val="nil"/>
            </w:tcBorders>
          </w:tcPr>
          <w:p w14:paraId="72AD7892"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r w:rsidRPr="00E378F7">
              <w:rPr>
                <w:rFonts w:ascii="Times New Roman" w:hAnsi="Times New Roman" w:cs="Times New Roman"/>
                <w:sz w:val="18"/>
                <w:szCs w:val="18"/>
              </w:rPr>
              <w:t>0.133</w:t>
            </w:r>
          </w:p>
        </w:tc>
      </w:tr>
      <w:tr w:rsidR="00146409" w:rsidRPr="00E378F7" w14:paraId="3C054E76" w14:textId="77777777" w:rsidTr="00C2374E">
        <w:trPr>
          <w:jc w:val="center"/>
        </w:trPr>
        <w:tc>
          <w:tcPr>
            <w:tcW w:w="4123" w:type="dxa"/>
            <w:tcBorders>
              <w:top w:val="nil"/>
              <w:left w:val="nil"/>
              <w:bottom w:val="nil"/>
              <w:right w:val="nil"/>
            </w:tcBorders>
          </w:tcPr>
          <w:p w14:paraId="44C875BD"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p>
        </w:tc>
        <w:tc>
          <w:tcPr>
            <w:tcW w:w="992" w:type="dxa"/>
            <w:tcBorders>
              <w:top w:val="nil"/>
              <w:left w:val="nil"/>
              <w:bottom w:val="nil"/>
              <w:right w:val="nil"/>
            </w:tcBorders>
          </w:tcPr>
          <w:p w14:paraId="5959BF42"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r w:rsidRPr="00E378F7">
              <w:rPr>
                <w:rFonts w:ascii="Times New Roman" w:hAnsi="Times New Roman" w:cs="Times New Roman"/>
                <w:sz w:val="18"/>
                <w:szCs w:val="18"/>
              </w:rPr>
              <w:t>(0.343)</w:t>
            </w:r>
          </w:p>
        </w:tc>
        <w:tc>
          <w:tcPr>
            <w:tcW w:w="992" w:type="dxa"/>
            <w:tcBorders>
              <w:top w:val="nil"/>
              <w:left w:val="nil"/>
              <w:bottom w:val="nil"/>
              <w:right w:val="nil"/>
            </w:tcBorders>
          </w:tcPr>
          <w:p w14:paraId="630B1A85"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r w:rsidRPr="00E378F7">
              <w:rPr>
                <w:rFonts w:ascii="Times New Roman" w:hAnsi="Times New Roman" w:cs="Times New Roman"/>
                <w:sz w:val="18"/>
                <w:szCs w:val="18"/>
              </w:rPr>
              <w:t>(0.340)</w:t>
            </w:r>
          </w:p>
        </w:tc>
      </w:tr>
      <w:tr w:rsidR="00146409" w:rsidRPr="00E378F7" w14:paraId="5842DE5A" w14:textId="77777777" w:rsidTr="00C2374E">
        <w:trPr>
          <w:jc w:val="center"/>
        </w:trPr>
        <w:tc>
          <w:tcPr>
            <w:tcW w:w="4123" w:type="dxa"/>
            <w:tcBorders>
              <w:top w:val="nil"/>
              <w:left w:val="nil"/>
              <w:bottom w:val="nil"/>
              <w:right w:val="nil"/>
            </w:tcBorders>
          </w:tcPr>
          <w:p w14:paraId="329FDF28" w14:textId="64F6CA8D"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r w:rsidRPr="00E378F7">
              <w:rPr>
                <w:rFonts w:ascii="Times New Roman" w:hAnsi="Times New Roman" w:cs="Times New Roman"/>
                <w:sz w:val="18"/>
                <w:szCs w:val="18"/>
              </w:rPr>
              <w:t>Trade openness</w:t>
            </w:r>
          </w:p>
        </w:tc>
        <w:tc>
          <w:tcPr>
            <w:tcW w:w="992" w:type="dxa"/>
            <w:tcBorders>
              <w:top w:val="nil"/>
              <w:left w:val="nil"/>
              <w:bottom w:val="nil"/>
              <w:right w:val="nil"/>
            </w:tcBorders>
          </w:tcPr>
          <w:p w14:paraId="3A40D6A7"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r w:rsidRPr="00E378F7">
              <w:rPr>
                <w:rFonts w:ascii="Times New Roman" w:hAnsi="Times New Roman" w:cs="Times New Roman"/>
                <w:sz w:val="18"/>
                <w:szCs w:val="18"/>
              </w:rPr>
              <w:t>0.012</w:t>
            </w:r>
          </w:p>
        </w:tc>
        <w:tc>
          <w:tcPr>
            <w:tcW w:w="992" w:type="dxa"/>
            <w:tcBorders>
              <w:top w:val="nil"/>
              <w:left w:val="nil"/>
              <w:bottom w:val="nil"/>
              <w:right w:val="nil"/>
            </w:tcBorders>
          </w:tcPr>
          <w:p w14:paraId="64778554"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r w:rsidRPr="00E378F7">
              <w:rPr>
                <w:rFonts w:ascii="Times New Roman" w:hAnsi="Times New Roman" w:cs="Times New Roman"/>
                <w:sz w:val="18"/>
                <w:szCs w:val="18"/>
              </w:rPr>
              <w:t>0.001</w:t>
            </w:r>
          </w:p>
        </w:tc>
      </w:tr>
      <w:tr w:rsidR="00146409" w:rsidRPr="00E378F7" w14:paraId="70A55ACA" w14:textId="77777777" w:rsidTr="00C2374E">
        <w:trPr>
          <w:jc w:val="center"/>
        </w:trPr>
        <w:tc>
          <w:tcPr>
            <w:tcW w:w="4123" w:type="dxa"/>
            <w:tcBorders>
              <w:top w:val="nil"/>
              <w:left w:val="nil"/>
              <w:bottom w:val="nil"/>
              <w:right w:val="nil"/>
            </w:tcBorders>
          </w:tcPr>
          <w:p w14:paraId="1858FFAF"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p>
        </w:tc>
        <w:tc>
          <w:tcPr>
            <w:tcW w:w="992" w:type="dxa"/>
            <w:tcBorders>
              <w:top w:val="nil"/>
              <w:left w:val="nil"/>
              <w:bottom w:val="nil"/>
              <w:right w:val="nil"/>
            </w:tcBorders>
          </w:tcPr>
          <w:p w14:paraId="2955A003"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r w:rsidRPr="00E378F7">
              <w:rPr>
                <w:rFonts w:ascii="Times New Roman" w:hAnsi="Times New Roman" w:cs="Times New Roman"/>
                <w:sz w:val="18"/>
                <w:szCs w:val="18"/>
              </w:rPr>
              <w:t>(0.029)</w:t>
            </w:r>
          </w:p>
        </w:tc>
        <w:tc>
          <w:tcPr>
            <w:tcW w:w="992" w:type="dxa"/>
            <w:tcBorders>
              <w:top w:val="nil"/>
              <w:left w:val="nil"/>
              <w:bottom w:val="nil"/>
              <w:right w:val="nil"/>
            </w:tcBorders>
          </w:tcPr>
          <w:p w14:paraId="54E858D9"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r w:rsidRPr="00E378F7">
              <w:rPr>
                <w:rFonts w:ascii="Times New Roman" w:hAnsi="Times New Roman" w:cs="Times New Roman"/>
                <w:sz w:val="18"/>
                <w:szCs w:val="18"/>
              </w:rPr>
              <w:t>(0.027)</w:t>
            </w:r>
          </w:p>
        </w:tc>
      </w:tr>
      <w:tr w:rsidR="00146409" w:rsidRPr="00E378F7" w14:paraId="4383F44E" w14:textId="77777777" w:rsidTr="00C2374E">
        <w:trPr>
          <w:jc w:val="center"/>
        </w:trPr>
        <w:tc>
          <w:tcPr>
            <w:tcW w:w="4123" w:type="dxa"/>
            <w:tcBorders>
              <w:top w:val="nil"/>
              <w:left w:val="nil"/>
              <w:bottom w:val="nil"/>
              <w:right w:val="nil"/>
            </w:tcBorders>
          </w:tcPr>
          <w:p w14:paraId="1298EF0C"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r w:rsidRPr="00E378F7">
              <w:rPr>
                <w:rFonts w:ascii="Times New Roman" w:hAnsi="Times New Roman" w:cs="Times New Roman"/>
                <w:sz w:val="18"/>
                <w:szCs w:val="18"/>
              </w:rPr>
              <w:t>Growth in government consumption</w:t>
            </w:r>
          </w:p>
        </w:tc>
        <w:tc>
          <w:tcPr>
            <w:tcW w:w="992" w:type="dxa"/>
            <w:tcBorders>
              <w:top w:val="nil"/>
              <w:left w:val="nil"/>
              <w:bottom w:val="nil"/>
              <w:right w:val="nil"/>
            </w:tcBorders>
          </w:tcPr>
          <w:p w14:paraId="101755FC"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r w:rsidRPr="00E378F7">
              <w:rPr>
                <w:rFonts w:ascii="Times New Roman" w:hAnsi="Times New Roman" w:cs="Times New Roman"/>
                <w:sz w:val="18"/>
                <w:szCs w:val="18"/>
              </w:rPr>
              <w:t>-0.001**</w:t>
            </w:r>
          </w:p>
        </w:tc>
        <w:tc>
          <w:tcPr>
            <w:tcW w:w="992" w:type="dxa"/>
            <w:tcBorders>
              <w:top w:val="nil"/>
              <w:left w:val="nil"/>
              <w:bottom w:val="nil"/>
              <w:right w:val="nil"/>
            </w:tcBorders>
          </w:tcPr>
          <w:p w14:paraId="6A4A67FB"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r w:rsidRPr="00E378F7">
              <w:rPr>
                <w:rFonts w:ascii="Times New Roman" w:hAnsi="Times New Roman" w:cs="Times New Roman"/>
                <w:sz w:val="18"/>
                <w:szCs w:val="18"/>
              </w:rPr>
              <w:t>-0.001**</w:t>
            </w:r>
          </w:p>
        </w:tc>
      </w:tr>
      <w:tr w:rsidR="00146409" w:rsidRPr="00E378F7" w14:paraId="73FD85A1" w14:textId="77777777" w:rsidTr="00C2374E">
        <w:trPr>
          <w:jc w:val="center"/>
        </w:trPr>
        <w:tc>
          <w:tcPr>
            <w:tcW w:w="4123" w:type="dxa"/>
            <w:tcBorders>
              <w:top w:val="nil"/>
              <w:left w:val="nil"/>
              <w:bottom w:val="nil"/>
              <w:right w:val="nil"/>
            </w:tcBorders>
          </w:tcPr>
          <w:p w14:paraId="3840324C"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p>
        </w:tc>
        <w:tc>
          <w:tcPr>
            <w:tcW w:w="992" w:type="dxa"/>
            <w:tcBorders>
              <w:top w:val="nil"/>
              <w:left w:val="nil"/>
              <w:bottom w:val="nil"/>
              <w:right w:val="nil"/>
            </w:tcBorders>
          </w:tcPr>
          <w:p w14:paraId="11D65EE9"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r w:rsidRPr="00E378F7">
              <w:rPr>
                <w:rFonts w:ascii="Times New Roman" w:hAnsi="Times New Roman" w:cs="Times New Roman"/>
                <w:sz w:val="18"/>
                <w:szCs w:val="18"/>
              </w:rPr>
              <w:t>(0.001)</w:t>
            </w:r>
          </w:p>
        </w:tc>
        <w:tc>
          <w:tcPr>
            <w:tcW w:w="992" w:type="dxa"/>
            <w:tcBorders>
              <w:top w:val="nil"/>
              <w:left w:val="nil"/>
              <w:bottom w:val="nil"/>
              <w:right w:val="nil"/>
            </w:tcBorders>
          </w:tcPr>
          <w:p w14:paraId="6803C731"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r w:rsidRPr="00E378F7">
              <w:rPr>
                <w:rFonts w:ascii="Times New Roman" w:hAnsi="Times New Roman" w:cs="Times New Roman"/>
                <w:sz w:val="18"/>
                <w:szCs w:val="18"/>
              </w:rPr>
              <w:t>(0.001)</w:t>
            </w:r>
          </w:p>
        </w:tc>
      </w:tr>
      <w:tr w:rsidR="00146409" w:rsidRPr="00E378F7" w14:paraId="0DDED4CD" w14:textId="77777777" w:rsidTr="00C2374E">
        <w:trPr>
          <w:jc w:val="center"/>
        </w:trPr>
        <w:tc>
          <w:tcPr>
            <w:tcW w:w="4123" w:type="dxa"/>
            <w:tcBorders>
              <w:top w:val="nil"/>
              <w:left w:val="nil"/>
              <w:bottom w:val="nil"/>
              <w:right w:val="nil"/>
            </w:tcBorders>
          </w:tcPr>
          <w:p w14:paraId="5FFC61BB"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r w:rsidRPr="00E378F7">
              <w:rPr>
                <w:rFonts w:ascii="Times New Roman" w:hAnsi="Times New Roman" w:cs="Times New Roman"/>
                <w:sz w:val="18"/>
                <w:szCs w:val="18"/>
              </w:rPr>
              <w:t>Rule of Law</w:t>
            </w:r>
          </w:p>
        </w:tc>
        <w:tc>
          <w:tcPr>
            <w:tcW w:w="992" w:type="dxa"/>
            <w:tcBorders>
              <w:top w:val="nil"/>
              <w:left w:val="nil"/>
              <w:bottom w:val="nil"/>
              <w:right w:val="nil"/>
            </w:tcBorders>
          </w:tcPr>
          <w:p w14:paraId="703E20AB"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r w:rsidRPr="00E378F7">
              <w:rPr>
                <w:rFonts w:ascii="Times New Roman" w:hAnsi="Times New Roman" w:cs="Times New Roman"/>
                <w:sz w:val="18"/>
                <w:szCs w:val="18"/>
              </w:rPr>
              <w:t>0.012</w:t>
            </w:r>
          </w:p>
        </w:tc>
        <w:tc>
          <w:tcPr>
            <w:tcW w:w="992" w:type="dxa"/>
            <w:tcBorders>
              <w:top w:val="nil"/>
              <w:left w:val="nil"/>
              <w:bottom w:val="nil"/>
              <w:right w:val="nil"/>
            </w:tcBorders>
          </w:tcPr>
          <w:p w14:paraId="1A7822E1"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r w:rsidRPr="00E378F7">
              <w:rPr>
                <w:rFonts w:ascii="Times New Roman" w:hAnsi="Times New Roman" w:cs="Times New Roman"/>
                <w:sz w:val="18"/>
                <w:szCs w:val="18"/>
              </w:rPr>
              <w:t>0.007</w:t>
            </w:r>
          </w:p>
        </w:tc>
      </w:tr>
      <w:tr w:rsidR="00146409" w:rsidRPr="00E378F7" w14:paraId="619B6E5A" w14:textId="77777777" w:rsidTr="00C2374E">
        <w:trPr>
          <w:jc w:val="center"/>
        </w:trPr>
        <w:tc>
          <w:tcPr>
            <w:tcW w:w="4123" w:type="dxa"/>
            <w:tcBorders>
              <w:top w:val="nil"/>
              <w:left w:val="nil"/>
              <w:bottom w:val="nil"/>
              <w:right w:val="nil"/>
            </w:tcBorders>
          </w:tcPr>
          <w:p w14:paraId="389685C1"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p>
        </w:tc>
        <w:tc>
          <w:tcPr>
            <w:tcW w:w="992" w:type="dxa"/>
            <w:tcBorders>
              <w:top w:val="nil"/>
              <w:left w:val="nil"/>
              <w:bottom w:val="nil"/>
              <w:right w:val="nil"/>
            </w:tcBorders>
          </w:tcPr>
          <w:p w14:paraId="01960952"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r w:rsidRPr="00E378F7">
              <w:rPr>
                <w:rFonts w:ascii="Times New Roman" w:hAnsi="Times New Roman" w:cs="Times New Roman"/>
                <w:sz w:val="18"/>
                <w:szCs w:val="18"/>
              </w:rPr>
              <w:t>(0.022)</w:t>
            </w:r>
          </w:p>
        </w:tc>
        <w:tc>
          <w:tcPr>
            <w:tcW w:w="992" w:type="dxa"/>
            <w:tcBorders>
              <w:top w:val="nil"/>
              <w:left w:val="nil"/>
              <w:bottom w:val="nil"/>
              <w:right w:val="nil"/>
            </w:tcBorders>
          </w:tcPr>
          <w:p w14:paraId="73F037D9"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r w:rsidRPr="00E378F7">
              <w:rPr>
                <w:rFonts w:ascii="Times New Roman" w:hAnsi="Times New Roman" w:cs="Times New Roman"/>
                <w:sz w:val="18"/>
                <w:szCs w:val="18"/>
              </w:rPr>
              <w:t>(0.022)</w:t>
            </w:r>
          </w:p>
        </w:tc>
      </w:tr>
      <w:tr w:rsidR="00146409" w:rsidRPr="00E378F7" w14:paraId="21597965" w14:textId="77777777" w:rsidTr="00C2374E">
        <w:trPr>
          <w:jc w:val="center"/>
        </w:trPr>
        <w:tc>
          <w:tcPr>
            <w:tcW w:w="4123" w:type="dxa"/>
            <w:tcBorders>
              <w:top w:val="nil"/>
              <w:left w:val="nil"/>
              <w:bottom w:val="nil"/>
              <w:right w:val="nil"/>
            </w:tcBorders>
          </w:tcPr>
          <w:p w14:paraId="22E55514"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r w:rsidRPr="00E378F7">
              <w:rPr>
                <w:rFonts w:ascii="Times New Roman" w:hAnsi="Times New Roman" w:cs="Times New Roman"/>
                <w:sz w:val="18"/>
                <w:szCs w:val="18"/>
              </w:rPr>
              <w:t>Constant</w:t>
            </w:r>
          </w:p>
        </w:tc>
        <w:tc>
          <w:tcPr>
            <w:tcW w:w="992" w:type="dxa"/>
            <w:tcBorders>
              <w:top w:val="nil"/>
              <w:left w:val="nil"/>
              <w:bottom w:val="nil"/>
              <w:right w:val="nil"/>
            </w:tcBorders>
          </w:tcPr>
          <w:p w14:paraId="52FDA6B3"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r w:rsidRPr="00E378F7">
              <w:rPr>
                <w:rFonts w:ascii="Times New Roman" w:hAnsi="Times New Roman" w:cs="Times New Roman"/>
                <w:sz w:val="18"/>
                <w:szCs w:val="18"/>
              </w:rPr>
              <w:t>0.637***</w:t>
            </w:r>
          </w:p>
        </w:tc>
        <w:tc>
          <w:tcPr>
            <w:tcW w:w="992" w:type="dxa"/>
            <w:tcBorders>
              <w:top w:val="nil"/>
              <w:left w:val="nil"/>
              <w:bottom w:val="nil"/>
              <w:right w:val="nil"/>
            </w:tcBorders>
          </w:tcPr>
          <w:p w14:paraId="67F0F0F9"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r w:rsidRPr="00E378F7">
              <w:rPr>
                <w:rFonts w:ascii="Times New Roman" w:hAnsi="Times New Roman" w:cs="Times New Roman"/>
                <w:sz w:val="18"/>
                <w:szCs w:val="18"/>
              </w:rPr>
              <w:t>0.625***</w:t>
            </w:r>
          </w:p>
        </w:tc>
      </w:tr>
      <w:tr w:rsidR="00146409" w:rsidRPr="00E378F7" w14:paraId="1BD8C862" w14:textId="77777777" w:rsidTr="00C2374E">
        <w:trPr>
          <w:jc w:val="center"/>
        </w:trPr>
        <w:tc>
          <w:tcPr>
            <w:tcW w:w="4123" w:type="dxa"/>
            <w:tcBorders>
              <w:top w:val="nil"/>
              <w:left w:val="nil"/>
              <w:bottom w:val="nil"/>
              <w:right w:val="nil"/>
            </w:tcBorders>
          </w:tcPr>
          <w:p w14:paraId="0092D19D"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p>
        </w:tc>
        <w:tc>
          <w:tcPr>
            <w:tcW w:w="992" w:type="dxa"/>
            <w:tcBorders>
              <w:top w:val="nil"/>
              <w:left w:val="nil"/>
              <w:bottom w:val="nil"/>
              <w:right w:val="nil"/>
            </w:tcBorders>
          </w:tcPr>
          <w:p w14:paraId="1B80372C"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r w:rsidRPr="00E378F7">
              <w:rPr>
                <w:rFonts w:ascii="Times New Roman" w:hAnsi="Times New Roman" w:cs="Times New Roman"/>
                <w:sz w:val="18"/>
                <w:szCs w:val="18"/>
              </w:rPr>
              <w:t>(0.140)</w:t>
            </w:r>
          </w:p>
        </w:tc>
        <w:tc>
          <w:tcPr>
            <w:tcW w:w="992" w:type="dxa"/>
            <w:tcBorders>
              <w:top w:val="nil"/>
              <w:left w:val="nil"/>
              <w:bottom w:val="nil"/>
              <w:right w:val="nil"/>
            </w:tcBorders>
          </w:tcPr>
          <w:p w14:paraId="20D1633C"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r w:rsidRPr="00E378F7">
              <w:rPr>
                <w:rFonts w:ascii="Times New Roman" w:hAnsi="Times New Roman" w:cs="Times New Roman"/>
                <w:sz w:val="18"/>
                <w:szCs w:val="18"/>
              </w:rPr>
              <w:t>(0.139)</w:t>
            </w:r>
          </w:p>
        </w:tc>
      </w:tr>
      <w:tr w:rsidR="00146409" w:rsidRPr="00E378F7" w14:paraId="5BE0E786" w14:textId="77777777" w:rsidTr="00C2374E">
        <w:trPr>
          <w:jc w:val="center"/>
        </w:trPr>
        <w:tc>
          <w:tcPr>
            <w:tcW w:w="4123" w:type="dxa"/>
            <w:tcBorders>
              <w:top w:val="nil"/>
              <w:left w:val="nil"/>
              <w:bottom w:val="nil"/>
              <w:right w:val="nil"/>
            </w:tcBorders>
          </w:tcPr>
          <w:p w14:paraId="668C0FAF"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r w:rsidRPr="00E378F7">
              <w:rPr>
                <w:rFonts w:ascii="Times New Roman" w:hAnsi="Times New Roman" w:cs="Times New Roman"/>
                <w:sz w:val="18"/>
                <w:szCs w:val="18"/>
              </w:rPr>
              <w:t>Observations</w:t>
            </w:r>
          </w:p>
        </w:tc>
        <w:tc>
          <w:tcPr>
            <w:tcW w:w="992" w:type="dxa"/>
            <w:tcBorders>
              <w:top w:val="nil"/>
              <w:left w:val="nil"/>
              <w:bottom w:val="nil"/>
              <w:right w:val="nil"/>
            </w:tcBorders>
          </w:tcPr>
          <w:p w14:paraId="264297FC"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r w:rsidRPr="00E378F7">
              <w:rPr>
                <w:rFonts w:ascii="Times New Roman" w:hAnsi="Times New Roman" w:cs="Times New Roman"/>
                <w:sz w:val="18"/>
                <w:szCs w:val="18"/>
              </w:rPr>
              <w:t>88</w:t>
            </w:r>
          </w:p>
        </w:tc>
        <w:tc>
          <w:tcPr>
            <w:tcW w:w="992" w:type="dxa"/>
            <w:tcBorders>
              <w:top w:val="nil"/>
              <w:left w:val="nil"/>
              <w:bottom w:val="nil"/>
              <w:right w:val="nil"/>
            </w:tcBorders>
          </w:tcPr>
          <w:p w14:paraId="63CD73D0"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r w:rsidRPr="00E378F7">
              <w:rPr>
                <w:rFonts w:ascii="Times New Roman" w:hAnsi="Times New Roman" w:cs="Times New Roman"/>
                <w:sz w:val="18"/>
                <w:szCs w:val="18"/>
              </w:rPr>
              <w:t>88</w:t>
            </w:r>
          </w:p>
        </w:tc>
      </w:tr>
      <w:tr w:rsidR="00146409" w:rsidRPr="00E378F7" w14:paraId="5CE92B5D" w14:textId="77777777" w:rsidTr="00C2374E">
        <w:tblPrEx>
          <w:tblBorders>
            <w:bottom w:val="single" w:sz="6" w:space="0" w:color="auto"/>
          </w:tblBorders>
        </w:tblPrEx>
        <w:trPr>
          <w:jc w:val="center"/>
        </w:trPr>
        <w:tc>
          <w:tcPr>
            <w:tcW w:w="4123" w:type="dxa"/>
            <w:tcBorders>
              <w:top w:val="nil"/>
              <w:left w:val="nil"/>
              <w:bottom w:val="double" w:sz="4" w:space="0" w:color="auto"/>
              <w:right w:val="nil"/>
            </w:tcBorders>
          </w:tcPr>
          <w:p w14:paraId="5E1EEE46"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r w:rsidRPr="00E378F7">
              <w:rPr>
                <w:rFonts w:ascii="Times New Roman" w:hAnsi="Times New Roman" w:cs="Times New Roman"/>
                <w:sz w:val="18"/>
                <w:szCs w:val="18"/>
              </w:rPr>
              <w:t>R-squared</w:t>
            </w:r>
          </w:p>
        </w:tc>
        <w:tc>
          <w:tcPr>
            <w:tcW w:w="992" w:type="dxa"/>
            <w:tcBorders>
              <w:top w:val="nil"/>
              <w:left w:val="nil"/>
              <w:bottom w:val="double" w:sz="4" w:space="0" w:color="auto"/>
              <w:right w:val="nil"/>
            </w:tcBorders>
          </w:tcPr>
          <w:p w14:paraId="63A7D12A"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r w:rsidRPr="00E378F7">
              <w:rPr>
                <w:rFonts w:ascii="Times New Roman" w:hAnsi="Times New Roman" w:cs="Times New Roman"/>
                <w:sz w:val="18"/>
                <w:szCs w:val="18"/>
              </w:rPr>
              <w:t>0.235</w:t>
            </w:r>
          </w:p>
        </w:tc>
        <w:tc>
          <w:tcPr>
            <w:tcW w:w="992" w:type="dxa"/>
            <w:tcBorders>
              <w:top w:val="nil"/>
              <w:left w:val="nil"/>
              <w:bottom w:val="double" w:sz="4" w:space="0" w:color="auto"/>
              <w:right w:val="nil"/>
            </w:tcBorders>
          </w:tcPr>
          <w:p w14:paraId="38101B04" w14:textId="77777777" w:rsidR="00146409" w:rsidRPr="00E378F7" w:rsidRDefault="00146409" w:rsidP="008E4E1C">
            <w:pPr>
              <w:widowControl w:val="0"/>
              <w:autoSpaceDE w:val="0"/>
              <w:autoSpaceDN w:val="0"/>
              <w:adjustRightInd w:val="0"/>
              <w:spacing w:after="0" w:line="360" w:lineRule="auto"/>
              <w:jc w:val="both"/>
              <w:rPr>
                <w:rFonts w:ascii="Times New Roman" w:hAnsi="Times New Roman" w:cs="Times New Roman"/>
                <w:sz w:val="18"/>
                <w:szCs w:val="18"/>
              </w:rPr>
            </w:pPr>
            <w:r w:rsidRPr="00E378F7">
              <w:rPr>
                <w:rFonts w:ascii="Times New Roman" w:hAnsi="Times New Roman" w:cs="Times New Roman"/>
                <w:sz w:val="18"/>
                <w:szCs w:val="18"/>
              </w:rPr>
              <w:t>0.261</w:t>
            </w:r>
          </w:p>
        </w:tc>
      </w:tr>
    </w:tbl>
    <w:p w14:paraId="7831707D" w14:textId="77777777" w:rsidR="00146409" w:rsidRPr="00E378F7" w:rsidRDefault="00146409" w:rsidP="008E4E1C">
      <w:pPr>
        <w:widowControl w:val="0"/>
        <w:autoSpaceDE w:val="0"/>
        <w:autoSpaceDN w:val="0"/>
        <w:adjustRightInd w:val="0"/>
        <w:spacing w:after="0" w:line="360" w:lineRule="auto"/>
        <w:ind w:left="1440"/>
        <w:jc w:val="both"/>
        <w:rPr>
          <w:rFonts w:ascii="Times New Roman" w:hAnsi="Times New Roman" w:cs="Times New Roman"/>
          <w:sz w:val="16"/>
          <w:szCs w:val="16"/>
        </w:rPr>
      </w:pPr>
      <w:r w:rsidRPr="00E378F7">
        <w:rPr>
          <w:rFonts w:ascii="Times New Roman" w:hAnsi="Times New Roman" w:cs="Times New Roman"/>
          <w:sz w:val="16"/>
          <w:szCs w:val="16"/>
        </w:rPr>
        <w:t>Note: Dependent variable is TFP growth. ‘***’, ‘**’, ‘*’ denote 1%, 5% and 10% respectively.</w:t>
      </w:r>
    </w:p>
    <w:p w14:paraId="1BB56638" w14:textId="332522BE" w:rsidR="00146409" w:rsidRPr="00E378F7" w:rsidRDefault="00146409" w:rsidP="008E4E1C">
      <w:pPr>
        <w:widowControl w:val="0"/>
        <w:autoSpaceDE w:val="0"/>
        <w:autoSpaceDN w:val="0"/>
        <w:adjustRightInd w:val="0"/>
        <w:spacing w:after="0" w:line="360" w:lineRule="auto"/>
        <w:ind w:left="1440"/>
        <w:jc w:val="both"/>
        <w:rPr>
          <w:rFonts w:ascii="Times New Roman" w:hAnsi="Times New Roman" w:cs="Times New Roman"/>
          <w:sz w:val="16"/>
          <w:szCs w:val="16"/>
        </w:rPr>
      </w:pPr>
      <w:r w:rsidRPr="00E378F7">
        <w:rPr>
          <w:rFonts w:ascii="Times New Roman" w:hAnsi="Times New Roman" w:cs="Times New Roman"/>
          <w:sz w:val="16"/>
          <w:szCs w:val="16"/>
        </w:rPr>
        <w:t>Robust standard errors in parentheses. DMB implies deposit money banks and OFI means other financial institutions.</w:t>
      </w:r>
    </w:p>
    <w:p w14:paraId="191F4119" w14:textId="77777777" w:rsidR="00146409" w:rsidRPr="00E378F7" w:rsidRDefault="00146409" w:rsidP="008E4E1C">
      <w:pPr>
        <w:pStyle w:val="NoSpacing"/>
        <w:spacing w:line="360" w:lineRule="auto"/>
        <w:jc w:val="both"/>
        <w:rPr>
          <w:rFonts w:ascii="Times New Roman" w:hAnsi="Times New Roman" w:cs="Times New Roman"/>
          <w:sz w:val="16"/>
          <w:szCs w:val="16"/>
        </w:rPr>
      </w:pPr>
    </w:p>
    <w:p w14:paraId="5F110BE2" w14:textId="32B2914A" w:rsidR="00146409" w:rsidRPr="00E378F7" w:rsidRDefault="00146409" w:rsidP="008E4E1C">
      <w:pPr>
        <w:pStyle w:val="NoSpacing"/>
        <w:spacing w:line="360" w:lineRule="auto"/>
        <w:jc w:val="both"/>
        <w:rPr>
          <w:rFonts w:ascii="Times New Roman" w:hAnsi="Times New Roman" w:cs="Times New Roman"/>
          <w:sz w:val="24"/>
          <w:szCs w:val="24"/>
        </w:rPr>
      </w:pPr>
      <w:r w:rsidRPr="00E378F7">
        <w:rPr>
          <w:rFonts w:ascii="Times New Roman" w:hAnsi="Times New Roman" w:cs="Times New Roman"/>
          <w:sz w:val="24"/>
          <w:szCs w:val="24"/>
        </w:rPr>
        <w:t xml:space="preserve">To explore these nonlinearities, equation (3.1) is estimated using the panel smooth transition regression (PSTR) approach. </w:t>
      </w:r>
      <w:r w:rsidR="006458A6" w:rsidRPr="00E378F7">
        <w:rPr>
          <w:rFonts w:ascii="Times New Roman" w:hAnsi="Times New Roman" w:cs="Times New Roman"/>
          <w:sz w:val="24"/>
          <w:szCs w:val="24"/>
        </w:rPr>
        <w:t>The</w:t>
      </w:r>
      <w:r w:rsidRPr="00E378F7">
        <w:rPr>
          <w:rFonts w:ascii="Times New Roman" w:hAnsi="Times New Roman" w:cs="Times New Roman"/>
          <w:sz w:val="24"/>
          <w:szCs w:val="24"/>
        </w:rPr>
        <w:t xml:space="preserve"> PSTR model allows for variations in the effect of financial deepening on TFP growth across countries and over time. The descriptive statistics analyzed above shows that there is considerable variation in the indicators of financial deepening across countries as well as in TFP growth. Given these patterns in the data, it is useful to further explore the relationship using the PSTR approach.</w:t>
      </w:r>
    </w:p>
    <w:p w14:paraId="2C01D8F6" w14:textId="77777777" w:rsidR="00146409" w:rsidRPr="00E378F7" w:rsidRDefault="00146409" w:rsidP="008E4E1C">
      <w:pPr>
        <w:pStyle w:val="NoSpacing"/>
        <w:spacing w:line="360" w:lineRule="auto"/>
        <w:jc w:val="both"/>
        <w:rPr>
          <w:rFonts w:ascii="Times New Roman" w:hAnsi="Times New Roman" w:cs="Times New Roman"/>
          <w:sz w:val="16"/>
          <w:szCs w:val="16"/>
        </w:rPr>
      </w:pPr>
    </w:p>
    <w:p w14:paraId="5DED1282" w14:textId="70AB4839" w:rsidR="009E486E" w:rsidRPr="00E378F7" w:rsidRDefault="00146409" w:rsidP="008E4E1C">
      <w:pPr>
        <w:pStyle w:val="NoSpacing"/>
        <w:spacing w:line="360" w:lineRule="auto"/>
        <w:jc w:val="both"/>
        <w:rPr>
          <w:rFonts w:ascii="Times New Roman" w:hAnsi="Times New Roman" w:cs="Times New Roman"/>
          <w:sz w:val="24"/>
          <w:szCs w:val="24"/>
        </w:rPr>
      </w:pPr>
      <w:r w:rsidRPr="00E378F7">
        <w:rPr>
          <w:rFonts w:ascii="Times New Roman" w:hAnsi="Times New Roman" w:cs="Times New Roman"/>
          <w:sz w:val="24"/>
          <w:szCs w:val="24"/>
        </w:rPr>
        <w:t>As discussed in chapter 3, the first step in the estimation of the PSTR model is to determine whether the underlying relationship is nonl</w:t>
      </w:r>
      <w:r w:rsidR="00581890" w:rsidRPr="00E378F7">
        <w:rPr>
          <w:rFonts w:ascii="Times New Roman" w:hAnsi="Times New Roman" w:cs="Times New Roman"/>
          <w:sz w:val="24"/>
          <w:szCs w:val="24"/>
        </w:rPr>
        <w:t>inear. Table 5</w:t>
      </w:r>
      <w:r w:rsidRPr="00E378F7">
        <w:rPr>
          <w:rFonts w:ascii="Times New Roman" w:hAnsi="Times New Roman" w:cs="Times New Roman"/>
          <w:sz w:val="24"/>
          <w:szCs w:val="24"/>
        </w:rPr>
        <w:t xml:space="preserve">.4 reports the results of the test for nonlinearity between the ratio of private credit to GDP and TFP growth </w:t>
      </w:r>
      <w:r w:rsidRPr="00E378F7">
        <w:rPr>
          <w:rFonts w:ascii="Times New Roman" w:hAnsi="Times New Roman" w:cs="Times New Roman"/>
          <w:sz w:val="24"/>
          <w:szCs w:val="24"/>
        </w:rPr>
        <w:lastRenderedPageBreak/>
        <w:t>in emerging market economies</w:t>
      </w:r>
      <w:r w:rsidR="006458A6" w:rsidRPr="00E378F7">
        <w:rPr>
          <w:rStyle w:val="FootnoteReference"/>
          <w:rFonts w:ascii="Times New Roman" w:hAnsi="Times New Roman" w:cs="Times New Roman"/>
          <w:sz w:val="24"/>
          <w:szCs w:val="24"/>
        </w:rPr>
        <w:footnoteReference w:id="8"/>
      </w:r>
      <w:r w:rsidR="004C54A2">
        <w:rPr>
          <w:rFonts w:ascii="Times New Roman" w:hAnsi="Times New Roman" w:cs="Times New Roman"/>
          <w:sz w:val="24"/>
          <w:szCs w:val="24"/>
        </w:rPr>
        <w:t>.</w:t>
      </w:r>
      <w:r w:rsidRPr="00E378F7">
        <w:rPr>
          <w:rFonts w:ascii="Times New Roman" w:hAnsi="Times New Roman" w:cs="Times New Roman"/>
          <w:sz w:val="24"/>
          <w:szCs w:val="24"/>
        </w:rPr>
        <w:t xml:space="preserve"> The probability values of all three statistics show strong rejection of the null hypothesis of linearity against the alternative hypothesis of a PSTR model with at least one threshold. </w:t>
      </w:r>
      <w:r w:rsidR="00857AFF" w:rsidRPr="00E378F7">
        <w:rPr>
          <w:rFonts w:ascii="Times New Roman" w:hAnsi="Times New Roman" w:cs="Times New Roman"/>
          <w:sz w:val="24"/>
          <w:szCs w:val="24"/>
        </w:rPr>
        <w:t>This is an indication</w:t>
      </w:r>
      <w:r w:rsidRPr="00E378F7">
        <w:rPr>
          <w:rFonts w:ascii="Times New Roman" w:hAnsi="Times New Roman" w:cs="Times New Roman"/>
          <w:sz w:val="24"/>
          <w:szCs w:val="24"/>
        </w:rPr>
        <w:t xml:space="preserve"> that the relationship between financial deepening and productivity growth is nonlinear</w:t>
      </w:r>
      <w:r w:rsidR="00857AFF" w:rsidRPr="00E378F7">
        <w:rPr>
          <w:rFonts w:ascii="Times New Roman" w:hAnsi="Times New Roman" w:cs="Times New Roman"/>
          <w:sz w:val="24"/>
          <w:szCs w:val="24"/>
        </w:rPr>
        <w:t xml:space="preserve"> and suggests the fact that any linear estimation of such a relationship will lead to misspecification of </w:t>
      </w:r>
      <w:r w:rsidR="004C54A2">
        <w:rPr>
          <w:rFonts w:ascii="Times New Roman" w:hAnsi="Times New Roman" w:cs="Times New Roman"/>
          <w:sz w:val="24"/>
          <w:szCs w:val="24"/>
        </w:rPr>
        <w:t xml:space="preserve">the </w:t>
      </w:r>
      <w:r w:rsidR="00857AFF" w:rsidRPr="00E378F7">
        <w:rPr>
          <w:rFonts w:ascii="Times New Roman" w:hAnsi="Times New Roman" w:cs="Times New Roman"/>
          <w:sz w:val="24"/>
          <w:szCs w:val="24"/>
        </w:rPr>
        <w:t>functional form of the model</w:t>
      </w:r>
      <w:r w:rsidRPr="00E378F7">
        <w:rPr>
          <w:rFonts w:ascii="Times New Roman" w:hAnsi="Times New Roman" w:cs="Times New Roman"/>
          <w:sz w:val="24"/>
          <w:szCs w:val="24"/>
        </w:rPr>
        <w:t>.</w:t>
      </w:r>
      <w:r w:rsidR="00361BD4" w:rsidRPr="00E378F7">
        <w:rPr>
          <w:rFonts w:ascii="Times New Roman" w:hAnsi="Times New Roman" w:cs="Times New Roman"/>
          <w:sz w:val="24"/>
          <w:szCs w:val="24"/>
        </w:rPr>
        <w:t xml:space="preserve"> Th</w:t>
      </w:r>
      <w:r w:rsidR="00857AFF" w:rsidRPr="00E378F7">
        <w:rPr>
          <w:rFonts w:ascii="Times New Roman" w:hAnsi="Times New Roman" w:cs="Times New Roman"/>
          <w:sz w:val="24"/>
          <w:szCs w:val="24"/>
        </w:rPr>
        <w:t>e</w:t>
      </w:r>
      <w:r w:rsidR="00361BD4" w:rsidRPr="00E378F7">
        <w:rPr>
          <w:rFonts w:ascii="Times New Roman" w:hAnsi="Times New Roman" w:cs="Times New Roman"/>
          <w:sz w:val="24"/>
          <w:szCs w:val="24"/>
        </w:rPr>
        <w:t xml:space="preserve"> evidence is consistent with the first hypothesis of the study, which </w:t>
      </w:r>
      <w:r w:rsidR="00857AFF" w:rsidRPr="00E378F7">
        <w:rPr>
          <w:rFonts w:ascii="Times New Roman" w:hAnsi="Times New Roman" w:cs="Times New Roman"/>
          <w:sz w:val="24"/>
          <w:szCs w:val="24"/>
        </w:rPr>
        <w:t xml:space="preserve">points to the existence of a </w:t>
      </w:r>
      <w:r w:rsidR="00361BD4" w:rsidRPr="00E378F7">
        <w:rPr>
          <w:rFonts w:ascii="Times New Roman" w:hAnsi="Times New Roman" w:cs="Times New Roman"/>
          <w:sz w:val="24"/>
          <w:szCs w:val="24"/>
        </w:rPr>
        <w:t xml:space="preserve">nonlinear relationship between financial deepening and TFP growth in emerging market economies. </w:t>
      </w:r>
      <w:r w:rsidR="007321DA" w:rsidRPr="00E378F7">
        <w:rPr>
          <w:rFonts w:ascii="Times New Roman" w:hAnsi="Times New Roman" w:cs="Times New Roman"/>
          <w:sz w:val="24"/>
          <w:szCs w:val="24"/>
        </w:rPr>
        <w:t xml:space="preserve">Along these lines, it is helpful for the estimation approach to take into account nonlinearities in the data, which capture the heterogeneous effect of financial deepening on productivity growth. This finding is consistent with previous empirical studies that suggest the </w:t>
      </w:r>
      <w:r w:rsidR="00581890" w:rsidRPr="00E378F7">
        <w:rPr>
          <w:rFonts w:ascii="Times New Roman" w:hAnsi="Times New Roman" w:cs="Times New Roman"/>
          <w:sz w:val="24"/>
          <w:szCs w:val="24"/>
        </w:rPr>
        <w:t>existence of a nonlinear relationship</w:t>
      </w:r>
      <w:r w:rsidR="007321DA" w:rsidRPr="00E378F7">
        <w:rPr>
          <w:rFonts w:ascii="Times New Roman" w:hAnsi="Times New Roman" w:cs="Times New Roman"/>
          <w:sz w:val="24"/>
          <w:szCs w:val="24"/>
        </w:rPr>
        <w:t xml:space="preserve"> between financial deepening and economic growth (Shen and Lee, 2006; Huang and Lin, 2009; Jude, 2010; Arcand et al., 2012; Law and Singh, 2014; Sahey et al</w:t>
      </w:r>
      <w:r w:rsidR="004C54A2">
        <w:rPr>
          <w:rFonts w:ascii="Times New Roman" w:hAnsi="Times New Roman" w:cs="Times New Roman"/>
          <w:sz w:val="24"/>
          <w:szCs w:val="24"/>
        </w:rPr>
        <w:t>.</w:t>
      </w:r>
      <w:r w:rsidR="007321DA" w:rsidRPr="00E378F7">
        <w:rPr>
          <w:rFonts w:ascii="Times New Roman" w:hAnsi="Times New Roman" w:cs="Times New Roman"/>
          <w:sz w:val="24"/>
          <w:szCs w:val="24"/>
        </w:rPr>
        <w:t>, 2015).</w:t>
      </w:r>
    </w:p>
    <w:p w14:paraId="6AEBE775" w14:textId="77777777" w:rsidR="007321DA" w:rsidRPr="00E378F7" w:rsidRDefault="007321DA" w:rsidP="008E4E1C">
      <w:pPr>
        <w:pStyle w:val="NoSpacing"/>
        <w:spacing w:line="360" w:lineRule="auto"/>
        <w:jc w:val="both"/>
        <w:rPr>
          <w:rFonts w:ascii="Times New Roman" w:hAnsi="Times New Roman" w:cs="Times New Roman"/>
          <w:sz w:val="16"/>
          <w:szCs w:val="16"/>
        </w:rPr>
      </w:pPr>
    </w:p>
    <w:p w14:paraId="771B525C" w14:textId="077C9B8D" w:rsidR="009E486E" w:rsidRPr="00EC79BA" w:rsidRDefault="00D74E6E" w:rsidP="00EC79BA">
      <w:pPr>
        <w:pStyle w:val="Heading2"/>
        <w:rPr>
          <w:b w:val="0"/>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bookmarkStart w:id="46" w:name="_Toc480131586"/>
      <w:bookmarkStart w:id="47" w:name="_Toc501031490"/>
      <w:r w:rsidRPr="00EC79BA">
        <w:rPr>
          <w:b w:val="0"/>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Table 5</w:t>
      </w:r>
      <w:r w:rsidR="009E486E" w:rsidRPr="00EC79BA">
        <w:rPr>
          <w:b w:val="0"/>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r w:rsidR="00046620" w:rsidRPr="00EC79BA">
        <w:rPr>
          <w:b w:val="0"/>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4</w:t>
      </w:r>
      <w:r w:rsidR="009E486E" w:rsidRPr="00EC79BA">
        <w:rPr>
          <w:b w:val="0"/>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Linearity tests</w:t>
      </w:r>
      <w:bookmarkEnd w:id="46"/>
      <w:bookmarkEnd w:id="47"/>
    </w:p>
    <w:tbl>
      <w:tblPr>
        <w:tblW w:w="0" w:type="auto"/>
        <w:tblLook w:val="04A0" w:firstRow="1" w:lastRow="0" w:firstColumn="1" w:lastColumn="0" w:noHBand="0" w:noVBand="1"/>
      </w:tblPr>
      <w:tblGrid>
        <w:gridCol w:w="3116"/>
        <w:gridCol w:w="3263"/>
        <w:gridCol w:w="846"/>
      </w:tblGrid>
      <w:tr w:rsidR="009E486E" w:rsidRPr="00E378F7" w14:paraId="21B7236F" w14:textId="77777777" w:rsidTr="00C2374E">
        <w:tc>
          <w:tcPr>
            <w:tcW w:w="3116" w:type="dxa"/>
            <w:tcBorders>
              <w:top w:val="double" w:sz="4" w:space="0" w:color="auto"/>
              <w:bottom w:val="single" w:sz="4" w:space="0" w:color="auto"/>
            </w:tcBorders>
            <w:shd w:val="clear" w:color="auto" w:fill="auto"/>
          </w:tcPr>
          <w:p w14:paraId="6E339220" w14:textId="77777777" w:rsidR="009E486E" w:rsidRPr="00E378F7" w:rsidRDefault="009E486E" w:rsidP="008E4E1C">
            <w:pPr>
              <w:spacing w:line="360" w:lineRule="auto"/>
              <w:jc w:val="both"/>
              <w:rPr>
                <w:rFonts w:ascii="Times New Roman" w:hAnsi="Times New Roman"/>
                <w:sz w:val="18"/>
                <w:szCs w:val="18"/>
              </w:rPr>
            </w:pPr>
            <w:r w:rsidRPr="00E378F7">
              <w:rPr>
                <w:rFonts w:ascii="Times New Roman" w:hAnsi="Times New Roman"/>
                <w:sz w:val="18"/>
                <w:szCs w:val="18"/>
              </w:rPr>
              <w:t>Test</w:t>
            </w:r>
          </w:p>
        </w:tc>
        <w:tc>
          <w:tcPr>
            <w:tcW w:w="3263" w:type="dxa"/>
            <w:tcBorders>
              <w:top w:val="double" w:sz="4" w:space="0" w:color="auto"/>
              <w:bottom w:val="single" w:sz="4" w:space="0" w:color="auto"/>
            </w:tcBorders>
            <w:shd w:val="clear" w:color="auto" w:fill="auto"/>
          </w:tcPr>
          <w:p w14:paraId="4B79B575" w14:textId="77777777" w:rsidR="009E486E" w:rsidRPr="00E378F7" w:rsidRDefault="009E486E" w:rsidP="008E4E1C">
            <w:pPr>
              <w:spacing w:line="360" w:lineRule="auto"/>
              <w:jc w:val="both"/>
              <w:rPr>
                <w:rFonts w:ascii="Times New Roman" w:hAnsi="Times New Roman"/>
                <w:sz w:val="18"/>
                <w:szCs w:val="18"/>
              </w:rPr>
            </w:pPr>
            <w:r w:rsidRPr="00E378F7">
              <w:rPr>
                <w:rFonts w:ascii="Times New Roman" w:hAnsi="Times New Roman"/>
                <w:sz w:val="18"/>
                <w:szCs w:val="18"/>
              </w:rPr>
              <w:t>Statistic</w:t>
            </w:r>
          </w:p>
        </w:tc>
        <w:tc>
          <w:tcPr>
            <w:tcW w:w="846" w:type="dxa"/>
            <w:tcBorders>
              <w:top w:val="double" w:sz="4" w:space="0" w:color="auto"/>
              <w:bottom w:val="single" w:sz="4" w:space="0" w:color="auto"/>
            </w:tcBorders>
            <w:shd w:val="clear" w:color="auto" w:fill="auto"/>
          </w:tcPr>
          <w:p w14:paraId="17332FA2" w14:textId="77777777" w:rsidR="009E486E" w:rsidRPr="00E378F7" w:rsidRDefault="009E486E" w:rsidP="008E4E1C">
            <w:pPr>
              <w:spacing w:line="360" w:lineRule="auto"/>
              <w:jc w:val="both"/>
              <w:rPr>
                <w:rFonts w:ascii="Times New Roman" w:hAnsi="Times New Roman"/>
                <w:sz w:val="18"/>
                <w:szCs w:val="18"/>
              </w:rPr>
            </w:pPr>
            <w:r w:rsidRPr="00E378F7">
              <w:rPr>
                <w:rFonts w:ascii="Times New Roman" w:hAnsi="Times New Roman"/>
                <w:sz w:val="18"/>
                <w:szCs w:val="18"/>
              </w:rPr>
              <w:t>P-value</w:t>
            </w:r>
          </w:p>
        </w:tc>
      </w:tr>
      <w:tr w:rsidR="009E486E" w:rsidRPr="00E378F7" w14:paraId="24FB2A22" w14:textId="77777777" w:rsidTr="00C2374E">
        <w:tc>
          <w:tcPr>
            <w:tcW w:w="3116" w:type="dxa"/>
            <w:tcBorders>
              <w:top w:val="single" w:sz="4" w:space="0" w:color="auto"/>
            </w:tcBorders>
            <w:shd w:val="clear" w:color="auto" w:fill="auto"/>
          </w:tcPr>
          <w:p w14:paraId="09D71B0A" w14:textId="77777777" w:rsidR="009E486E" w:rsidRPr="00E378F7" w:rsidRDefault="009E486E" w:rsidP="008E4E1C">
            <w:pPr>
              <w:spacing w:line="360" w:lineRule="auto"/>
              <w:jc w:val="both"/>
              <w:rPr>
                <w:rFonts w:ascii="Times New Roman" w:hAnsi="Times New Roman"/>
                <w:sz w:val="18"/>
                <w:szCs w:val="18"/>
              </w:rPr>
            </w:pPr>
            <w:r w:rsidRPr="00E378F7">
              <w:rPr>
                <w:rFonts w:ascii="Times New Roman" w:hAnsi="Times New Roman"/>
                <w:sz w:val="18"/>
                <w:szCs w:val="18"/>
              </w:rPr>
              <w:t>Wald Test (LM)</w:t>
            </w:r>
          </w:p>
        </w:tc>
        <w:tc>
          <w:tcPr>
            <w:tcW w:w="3263" w:type="dxa"/>
            <w:tcBorders>
              <w:top w:val="single" w:sz="4" w:space="0" w:color="auto"/>
            </w:tcBorders>
            <w:shd w:val="clear" w:color="auto" w:fill="auto"/>
          </w:tcPr>
          <w:p w14:paraId="1C350D93" w14:textId="77777777" w:rsidR="009E486E" w:rsidRPr="00E378F7" w:rsidRDefault="006458A6" w:rsidP="008E4E1C">
            <w:pPr>
              <w:spacing w:line="360" w:lineRule="auto"/>
              <w:jc w:val="both"/>
              <w:rPr>
                <w:rFonts w:ascii="Times New Roman" w:hAnsi="Times New Roman"/>
                <w:sz w:val="18"/>
                <w:szCs w:val="18"/>
              </w:rPr>
            </w:pPr>
            <w:r w:rsidRPr="00E378F7">
              <w:rPr>
                <w:rFonts w:ascii="Times New Roman" w:hAnsi="Times New Roman"/>
                <w:sz w:val="18"/>
                <w:szCs w:val="18"/>
              </w:rPr>
              <w:t>49.942</w:t>
            </w:r>
          </w:p>
        </w:tc>
        <w:tc>
          <w:tcPr>
            <w:tcW w:w="846" w:type="dxa"/>
            <w:tcBorders>
              <w:top w:val="single" w:sz="4" w:space="0" w:color="auto"/>
            </w:tcBorders>
            <w:shd w:val="clear" w:color="auto" w:fill="auto"/>
          </w:tcPr>
          <w:p w14:paraId="3A568A0F" w14:textId="77777777" w:rsidR="009E486E" w:rsidRPr="00E378F7" w:rsidRDefault="009E486E" w:rsidP="008E4E1C">
            <w:pPr>
              <w:spacing w:line="360" w:lineRule="auto"/>
              <w:jc w:val="both"/>
              <w:rPr>
                <w:rFonts w:ascii="Times New Roman" w:hAnsi="Times New Roman"/>
                <w:sz w:val="18"/>
                <w:szCs w:val="18"/>
              </w:rPr>
            </w:pPr>
            <w:r w:rsidRPr="00E378F7">
              <w:rPr>
                <w:rFonts w:ascii="Times New Roman" w:hAnsi="Times New Roman"/>
                <w:sz w:val="18"/>
                <w:szCs w:val="18"/>
              </w:rPr>
              <w:t>0.000</w:t>
            </w:r>
          </w:p>
        </w:tc>
      </w:tr>
      <w:tr w:rsidR="009E486E" w:rsidRPr="00E378F7" w14:paraId="76A9D49C" w14:textId="77777777" w:rsidTr="00C2374E">
        <w:tc>
          <w:tcPr>
            <w:tcW w:w="3116" w:type="dxa"/>
            <w:shd w:val="clear" w:color="auto" w:fill="auto"/>
          </w:tcPr>
          <w:p w14:paraId="528C152B" w14:textId="77777777" w:rsidR="009E486E" w:rsidRPr="00E378F7" w:rsidRDefault="009E486E" w:rsidP="008E4E1C">
            <w:pPr>
              <w:spacing w:line="360" w:lineRule="auto"/>
              <w:jc w:val="both"/>
              <w:rPr>
                <w:rFonts w:ascii="Times New Roman" w:hAnsi="Times New Roman"/>
                <w:sz w:val="18"/>
                <w:szCs w:val="18"/>
              </w:rPr>
            </w:pPr>
            <w:r w:rsidRPr="00E378F7">
              <w:rPr>
                <w:rFonts w:ascii="Times New Roman" w:hAnsi="Times New Roman"/>
                <w:sz w:val="18"/>
                <w:szCs w:val="18"/>
              </w:rPr>
              <w:t>Fisher Test (LMF)</w:t>
            </w:r>
          </w:p>
        </w:tc>
        <w:tc>
          <w:tcPr>
            <w:tcW w:w="3263" w:type="dxa"/>
            <w:shd w:val="clear" w:color="auto" w:fill="auto"/>
          </w:tcPr>
          <w:p w14:paraId="63150303" w14:textId="77777777" w:rsidR="009E486E" w:rsidRPr="00E378F7" w:rsidRDefault="001F1EC6" w:rsidP="008E4E1C">
            <w:pPr>
              <w:spacing w:line="360" w:lineRule="auto"/>
              <w:jc w:val="both"/>
              <w:rPr>
                <w:rFonts w:ascii="Times New Roman" w:hAnsi="Times New Roman"/>
                <w:sz w:val="18"/>
                <w:szCs w:val="18"/>
              </w:rPr>
            </w:pPr>
            <w:r w:rsidRPr="00E378F7">
              <w:rPr>
                <w:rFonts w:ascii="Times New Roman" w:hAnsi="Times New Roman"/>
                <w:sz w:val="18"/>
                <w:szCs w:val="18"/>
              </w:rPr>
              <w:t>7.612</w:t>
            </w:r>
          </w:p>
        </w:tc>
        <w:tc>
          <w:tcPr>
            <w:tcW w:w="846" w:type="dxa"/>
            <w:shd w:val="clear" w:color="auto" w:fill="auto"/>
          </w:tcPr>
          <w:p w14:paraId="3821759D" w14:textId="77777777" w:rsidR="009E486E" w:rsidRPr="00E378F7" w:rsidRDefault="009E486E" w:rsidP="008E4E1C">
            <w:pPr>
              <w:spacing w:line="360" w:lineRule="auto"/>
              <w:jc w:val="both"/>
              <w:rPr>
                <w:rFonts w:ascii="Times New Roman" w:hAnsi="Times New Roman"/>
                <w:sz w:val="18"/>
                <w:szCs w:val="18"/>
              </w:rPr>
            </w:pPr>
            <w:r w:rsidRPr="00E378F7">
              <w:rPr>
                <w:rFonts w:ascii="Times New Roman" w:hAnsi="Times New Roman"/>
                <w:sz w:val="18"/>
                <w:szCs w:val="18"/>
              </w:rPr>
              <w:t>0.000</w:t>
            </w:r>
          </w:p>
        </w:tc>
      </w:tr>
      <w:tr w:rsidR="009E486E" w:rsidRPr="00E378F7" w14:paraId="5FFB3805" w14:textId="77777777" w:rsidTr="00C2374E">
        <w:tc>
          <w:tcPr>
            <w:tcW w:w="3116" w:type="dxa"/>
            <w:tcBorders>
              <w:bottom w:val="double" w:sz="4" w:space="0" w:color="auto"/>
            </w:tcBorders>
            <w:shd w:val="clear" w:color="auto" w:fill="auto"/>
          </w:tcPr>
          <w:p w14:paraId="6C4E56EF" w14:textId="77777777" w:rsidR="009E486E" w:rsidRPr="00E378F7" w:rsidRDefault="009E486E" w:rsidP="008E4E1C">
            <w:pPr>
              <w:spacing w:line="360" w:lineRule="auto"/>
              <w:jc w:val="both"/>
              <w:rPr>
                <w:rFonts w:ascii="Times New Roman" w:hAnsi="Times New Roman"/>
                <w:sz w:val="18"/>
                <w:szCs w:val="18"/>
              </w:rPr>
            </w:pPr>
            <w:r w:rsidRPr="00E378F7">
              <w:rPr>
                <w:rFonts w:ascii="Times New Roman" w:hAnsi="Times New Roman"/>
                <w:sz w:val="18"/>
                <w:szCs w:val="18"/>
              </w:rPr>
              <w:t>LRT Tests (LRT)</w:t>
            </w:r>
          </w:p>
        </w:tc>
        <w:tc>
          <w:tcPr>
            <w:tcW w:w="3263" w:type="dxa"/>
            <w:tcBorders>
              <w:bottom w:val="double" w:sz="4" w:space="0" w:color="auto"/>
            </w:tcBorders>
            <w:shd w:val="clear" w:color="auto" w:fill="auto"/>
          </w:tcPr>
          <w:p w14:paraId="146A0F2E" w14:textId="77777777" w:rsidR="009E486E" w:rsidRPr="00E378F7" w:rsidRDefault="001F1EC6" w:rsidP="008E4E1C">
            <w:pPr>
              <w:spacing w:line="360" w:lineRule="auto"/>
              <w:jc w:val="both"/>
              <w:rPr>
                <w:rFonts w:ascii="Times New Roman" w:hAnsi="Times New Roman"/>
                <w:sz w:val="18"/>
                <w:szCs w:val="18"/>
              </w:rPr>
            </w:pPr>
            <w:r w:rsidRPr="00E378F7">
              <w:rPr>
                <w:rFonts w:ascii="Times New Roman" w:hAnsi="Times New Roman"/>
                <w:sz w:val="18"/>
                <w:szCs w:val="18"/>
              </w:rPr>
              <w:t>53.563</w:t>
            </w:r>
          </w:p>
        </w:tc>
        <w:tc>
          <w:tcPr>
            <w:tcW w:w="846" w:type="dxa"/>
            <w:tcBorders>
              <w:bottom w:val="double" w:sz="4" w:space="0" w:color="auto"/>
            </w:tcBorders>
            <w:shd w:val="clear" w:color="auto" w:fill="auto"/>
          </w:tcPr>
          <w:p w14:paraId="43D51108" w14:textId="77777777" w:rsidR="009E486E" w:rsidRPr="00E378F7" w:rsidRDefault="009E486E" w:rsidP="008E4E1C">
            <w:pPr>
              <w:spacing w:line="360" w:lineRule="auto"/>
              <w:jc w:val="both"/>
              <w:rPr>
                <w:rFonts w:ascii="Times New Roman" w:hAnsi="Times New Roman"/>
                <w:sz w:val="18"/>
                <w:szCs w:val="18"/>
              </w:rPr>
            </w:pPr>
            <w:r w:rsidRPr="00E378F7">
              <w:rPr>
                <w:rFonts w:ascii="Times New Roman" w:hAnsi="Times New Roman"/>
                <w:sz w:val="18"/>
                <w:szCs w:val="18"/>
              </w:rPr>
              <w:t>0.000</w:t>
            </w:r>
          </w:p>
        </w:tc>
      </w:tr>
    </w:tbl>
    <w:p w14:paraId="43A10908" w14:textId="77777777" w:rsidR="00046620" w:rsidRPr="00E378F7" w:rsidRDefault="009E486E" w:rsidP="008E4E1C">
      <w:pPr>
        <w:spacing w:line="360" w:lineRule="auto"/>
        <w:jc w:val="both"/>
        <w:rPr>
          <w:rFonts w:ascii="Times New Roman" w:hAnsi="Times New Roman"/>
          <w:sz w:val="16"/>
          <w:szCs w:val="16"/>
        </w:rPr>
      </w:pPr>
      <w:r w:rsidRPr="00E378F7">
        <w:rPr>
          <w:rFonts w:eastAsia="Times New Roman"/>
          <w:sz w:val="18"/>
          <w:szCs w:val="18"/>
        </w:rPr>
        <w:t xml:space="preserve">Note: </w:t>
      </w:r>
      <m:oMath>
        <m:sSub>
          <m:sSubPr>
            <m:ctrlPr>
              <w:rPr>
                <w:rFonts w:ascii="Cambria Math" w:hAnsi="Cambria Math"/>
                <w:sz w:val="18"/>
                <w:szCs w:val="18"/>
              </w:rPr>
            </m:ctrlPr>
          </m:sSubPr>
          <m:e>
            <m:r>
              <w:rPr>
                <w:rFonts w:ascii="Cambria Math" w:hAnsi="Cambria Math"/>
                <w:sz w:val="18"/>
                <w:szCs w:val="18"/>
              </w:rPr>
              <m:t>H</m:t>
            </m:r>
          </m:e>
          <m:sub>
            <m:r>
              <m:rPr>
                <m:sty m:val="p"/>
              </m:rPr>
              <w:rPr>
                <w:rFonts w:ascii="Cambria Math" w:hAnsi="Cambria Math"/>
                <w:sz w:val="18"/>
                <w:szCs w:val="18"/>
              </w:rPr>
              <m:t>0</m:t>
            </m:r>
          </m:sub>
        </m:sSub>
        <m:r>
          <m:rPr>
            <m:sty m:val="p"/>
          </m:rPr>
          <w:rPr>
            <w:rFonts w:ascii="Cambria Math" w:hAnsi="Cambria Math"/>
            <w:sz w:val="18"/>
            <w:szCs w:val="18"/>
          </w:rPr>
          <m:t xml:space="preserve">: </m:t>
        </m:r>
      </m:oMath>
      <w:r w:rsidRPr="00E378F7">
        <w:rPr>
          <w:rFonts w:ascii="Times New Roman" w:hAnsi="Times New Roman"/>
          <w:sz w:val="18"/>
          <w:szCs w:val="18"/>
        </w:rPr>
        <w:t xml:space="preserve"> linear model </w:t>
      </w:r>
      <m:oMath>
        <m:d>
          <m:dPr>
            <m:ctrlPr>
              <w:rPr>
                <w:rFonts w:ascii="Cambria Math" w:hAnsi="Cambria Math"/>
                <w:sz w:val="18"/>
                <w:szCs w:val="18"/>
              </w:rPr>
            </m:ctrlPr>
          </m:dPr>
          <m:e>
            <m:r>
              <w:rPr>
                <w:rFonts w:ascii="Cambria Math" w:hAnsi="Cambria Math"/>
                <w:sz w:val="18"/>
                <w:szCs w:val="18"/>
              </w:rPr>
              <m:t>r</m:t>
            </m:r>
            <m:r>
              <m:rPr>
                <m:sty m:val="p"/>
              </m:rPr>
              <w:rPr>
                <w:rFonts w:ascii="Cambria Math" w:hAnsi="Cambria Math"/>
                <w:sz w:val="18"/>
                <w:szCs w:val="18"/>
              </w:rPr>
              <m:t>=0</m:t>
            </m:r>
          </m:e>
        </m:d>
      </m:oMath>
      <w:r w:rsidRPr="00E378F7">
        <w:rPr>
          <w:rFonts w:ascii="Times New Roman" w:hAnsi="Times New Roman"/>
          <w:sz w:val="18"/>
          <w:szCs w:val="18"/>
        </w:rPr>
        <w:t xml:space="preserve"> vs </w:t>
      </w:r>
      <m:oMath>
        <m:sSub>
          <m:sSubPr>
            <m:ctrlPr>
              <w:rPr>
                <w:rFonts w:ascii="Cambria Math" w:hAnsi="Cambria Math"/>
                <w:sz w:val="18"/>
                <w:szCs w:val="18"/>
              </w:rPr>
            </m:ctrlPr>
          </m:sSubPr>
          <m:e>
            <m:r>
              <w:rPr>
                <w:rFonts w:ascii="Cambria Math" w:hAnsi="Cambria Math"/>
                <w:sz w:val="18"/>
                <w:szCs w:val="18"/>
              </w:rPr>
              <m:t>H</m:t>
            </m:r>
          </m:e>
          <m:sub>
            <m:r>
              <m:rPr>
                <m:sty m:val="p"/>
              </m:rPr>
              <w:rPr>
                <w:rFonts w:ascii="Cambria Math" w:hAnsi="Cambria Math"/>
                <w:sz w:val="18"/>
                <w:szCs w:val="18"/>
              </w:rPr>
              <m:t>1</m:t>
            </m:r>
          </m:sub>
        </m:sSub>
        <m:r>
          <m:rPr>
            <m:sty m:val="p"/>
          </m:rPr>
          <w:rPr>
            <w:rFonts w:ascii="Cambria Math" w:hAnsi="Cambria Math"/>
            <w:sz w:val="18"/>
            <w:szCs w:val="18"/>
          </w:rPr>
          <m:t xml:space="preserve">: </m:t>
        </m:r>
      </m:oMath>
      <w:r w:rsidRPr="00E378F7">
        <w:rPr>
          <w:rFonts w:ascii="Times New Roman" w:hAnsi="Times New Roman"/>
          <w:sz w:val="18"/>
          <w:szCs w:val="18"/>
        </w:rPr>
        <w:t xml:space="preserve">PSTR model with at least 1 threshold  </w:t>
      </w:r>
      <m:oMath>
        <m:d>
          <m:dPr>
            <m:ctrlPr>
              <w:rPr>
                <w:rFonts w:ascii="Cambria Math" w:hAnsi="Cambria Math"/>
                <w:sz w:val="18"/>
                <w:szCs w:val="18"/>
              </w:rPr>
            </m:ctrlPr>
          </m:dPr>
          <m:e>
            <m:r>
              <w:rPr>
                <w:rFonts w:ascii="Cambria Math" w:hAnsi="Cambria Math"/>
                <w:sz w:val="18"/>
                <w:szCs w:val="18"/>
              </w:rPr>
              <m:t>r</m:t>
            </m:r>
            <m:r>
              <m:rPr>
                <m:sty m:val="p"/>
              </m:rPr>
              <w:rPr>
                <w:rFonts w:ascii="Cambria Math" w:hAnsi="Cambria Math"/>
                <w:sz w:val="18"/>
                <w:szCs w:val="18"/>
              </w:rPr>
              <m:t>=1</m:t>
            </m:r>
          </m:e>
        </m:d>
      </m:oMath>
    </w:p>
    <w:p w14:paraId="13E4635B" w14:textId="1BE61317" w:rsidR="00F11614" w:rsidRPr="00E378F7" w:rsidRDefault="007321DA" w:rsidP="008E4E1C">
      <w:pPr>
        <w:pStyle w:val="NoSpacing"/>
        <w:spacing w:line="360" w:lineRule="auto"/>
        <w:jc w:val="both"/>
        <w:rPr>
          <w:rFonts w:ascii="Times New Roman" w:hAnsi="Times New Roman"/>
          <w:sz w:val="24"/>
          <w:szCs w:val="24"/>
        </w:rPr>
      </w:pPr>
      <w:r w:rsidRPr="00E378F7">
        <w:rPr>
          <w:rFonts w:ascii="Times New Roman" w:hAnsi="Times New Roman" w:cs="Times New Roman"/>
          <w:sz w:val="24"/>
          <w:szCs w:val="24"/>
        </w:rPr>
        <w:t xml:space="preserve">Given the underlying relationship, a useful </w:t>
      </w:r>
      <w:r w:rsidR="006458A6" w:rsidRPr="00E378F7">
        <w:rPr>
          <w:rFonts w:ascii="Times New Roman" w:hAnsi="Times New Roman" w:cs="Times New Roman"/>
          <w:sz w:val="24"/>
          <w:szCs w:val="24"/>
        </w:rPr>
        <w:t xml:space="preserve">extension of the analysis </w:t>
      </w:r>
      <w:r w:rsidR="009E486E" w:rsidRPr="00E378F7">
        <w:rPr>
          <w:rFonts w:ascii="Times New Roman" w:hAnsi="Times New Roman" w:cs="Times New Roman"/>
          <w:sz w:val="24"/>
          <w:szCs w:val="24"/>
        </w:rPr>
        <w:t>is to determine whether there are no remaining non</w:t>
      </w:r>
      <w:r w:rsidR="00046620" w:rsidRPr="00E378F7">
        <w:rPr>
          <w:rFonts w:ascii="Times New Roman" w:hAnsi="Times New Roman" w:cs="Times New Roman"/>
          <w:sz w:val="24"/>
          <w:szCs w:val="24"/>
        </w:rPr>
        <w:t>linearities</w:t>
      </w:r>
      <w:r w:rsidR="009E486E" w:rsidRPr="00E378F7">
        <w:rPr>
          <w:rFonts w:ascii="Times New Roman" w:hAnsi="Times New Roman" w:cs="Times New Roman"/>
          <w:sz w:val="24"/>
          <w:szCs w:val="24"/>
        </w:rPr>
        <w:t xml:space="preserve"> in the data</w:t>
      </w:r>
      <w:r w:rsidR="001F1EC6" w:rsidRPr="00E378F7">
        <w:rPr>
          <w:rFonts w:ascii="Times New Roman" w:hAnsi="Times New Roman" w:cs="Times New Roman"/>
          <w:sz w:val="24"/>
          <w:szCs w:val="24"/>
        </w:rPr>
        <w:t xml:space="preserve"> in order to determine the appropriate number of transition functions that capture such nonlinearities. </w:t>
      </w:r>
      <w:r w:rsidR="009E486E" w:rsidRPr="00E378F7">
        <w:rPr>
          <w:rFonts w:ascii="Times New Roman" w:hAnsi="Times New Roman" w:cs="Times New Roman"/>
          <w:sz w:val="24"/>
          <w:szCs w:val="24"/>
        </w:rPr>
        <w:t xml:space="preserve">The </w:t>
      </w:r>
      <w:r w:rsidR="00046620" w:rsidRPr="00E378F7">
        <w:rPr>
          <w:rFonts w:ascii="Times New Roman" w:hAnsi="Times New Roman" w:cs="Times New Roman"/>
          <w:sz w:val="24"/>
          <w:szCs w:val="24"/>
        </w:rPr>
        <w:t>results of</w:t>
      </w:r>
      <w:r w:rsidR="001F1EC6" w:rsidRPr="00E378F7">
        <w:rPr>
          <w:rFonts w:ascii="Times New Roman" w:hAnsi="Times New Roman" w:cs="Times New Roman"/>
          <w:sz w:val="24"/>
          <w:szCs w:val="24"/>
        </w:rPr>
        <w:t xml:space="preserve"> the tests for no remaining non</w:t>
      </w:r>
      <w:r w:rsidR="00046620" w:rsidRPr="00E378F7">
        <w:rPr>
          <w:rFonts w:ascii="Times New Roman" w:hAnsi="Times New Roman" w:cs="Times New Roman"/>
          <w:sz w:val="24"/>
          <w:szCs w:val="24"/>
        </w:rPr>
        <w:t>li</w:t>
      </w:r>
      <w:r w:rsidR="00E22D31" w:rsidRPr="00E378F7">
        <w:rPr>
          <w:rFonts w:ascii="Times New Roman" w:hAnsi="Times New Roman" w:cs="Times New Roman"/>
          <w:sz w:val="24"/>
          <w:szCs w:val="24"/>
        </w:rPr>
        <w:t xml:space="preserve">nearity are displayed in </w:t>
      </w:r>
      <w:r w:rsidR="004C54A2">
        <w:rPr>
          <w:rFonts w:ascii="Times New Roman" w:hAnsi="Times New Roman" w:cs="Times New Roman"/>
          <w:sz w:val="24"/>
          <w:szCs w:val="24"/>
        </w:rPr>
        <w:t>T</w:t>
      </w:r>
      <w:r w:rsidR="004C54A2" w:rsidRPr="00E378F7">
        <w:rPr>
          <w:rFonts w:ascii="Times New Roman" w:hAnsi="Times New Roman" w:cs="Times New Roman"/>
          <w:sz w:val="24"/>
          <w:szCs w:val="24"/>
        </w:rPr>
        <w:t xml:space="preserve">able </w:t>
      </w:r>
      <w:r w:rsidR="00E22D31" w:rsidRPr="00E378F7">
        <w:rPr>
          <w:rFonts w:ascii="Times New Roman" w:hAnsi="Times New Roman" w:cs="Times New Roman"/>
          <w:sz w:val="24"/>
          <w:szCs w:val="24"/>
        </w:rPr>
        <w:t>5</w:t>
      </w:r>
      <w:r w:rsidR="00046620" w:rsidRPr="00E378F7">
        <w:rPr>
          <w:rFonts w:ascii="Times New Roman" w:hAnsi="Times New Roman" w:cs="Times New Roman"/>
          <w:sz w:val="24"/>
          <w:szCs w:val="24"/>
        </w:rPr>
        <w:t>.5.</w:t>
      </w:r>
      <w:r w:rsidR="009E486E" w:rsidRPr="00E378F7">
        <w:rPr>
          <w:rFonts w:ascii="Times New Roman" w:hAnsi="Times New Roman" w:cs="Times New Roman"/>
          <w:sz w:val="24"/>
          <w:szCs w:val="24"/>
        </w:rPr>
        <w:t xml:space="preserve"> </w:t>
      </w:r>
      <w:r w:rsidR="00BE6E3D" w:rsidRPr="00E378F7">
        <w:rPr>
          <w:rFonts w:ascii="Times New Roman" w:hAnsi="Times New Roman" w:cs="Times New Roman"/>
          <w:sz w:val="24"/>
          <w:szCs w:val="24"/>
        </w:rPr>
        <w:t xml:space="preserve">All the tests suggest rejection of the null hypothesis of </w:t>
      </w:r>
      <w:r w:rsidR="00B91D10" w:rsidRPr="00E378F7">
        <w:rPr>
          <w:rFonts w:ascii="Times New Roman" w:hAnsi="Times New Roman" w:cs="Times New Roman"/>
          <w:sz w:val="24"/>
          <w:szCs w:val="24"/>
        </w:rPr>
        <w:t>1</w:t>
      </w:r>
      <w:r w:rsidR="00BE6E3D" w:rsidRPr="00E378F7">
        <w:rPr>
          <w:rFonts w:ascii="Times New Roman" w:hAnsi="Times New Roman" w:cs="Times New Roman"/>
          <w:sz w:val="24"/>
          <w:szCs w:val="24"/>
        </w:rPr>
        <w:t xml:space="preserve"> tr</w:t>
      </w:r>
      <w:r w:rsidR="00B91D10" w:rsidRPr="00E378F7">
        <w:rPr>
          <w:rFonts w:ascii="Times New Roman" w:hAnsi="Times New Roman" w:cs="Times New Roman"/>
          <w:sz w:val="24"/>
          <w:szCs w:val="24"/>
        </w:rPr>
        <w:t>ansition function</w:t>
      </w:r>
      <w:r w:rsidR="00BE6E3D" w:rsidRPr="00E378F7">
        <w:rPr>
          <w:rFonts w:ascii="Times New Roman" w:hAnsi="Times New Roman" w:cs="Times New Roman"/>
          <w:sz w:val="24"/>
          <w:szCs w:val="24"/>
        </w:rPr>
        <w:t xml:space="preserve"> </w:t>
      </w:r>
      <m:oMath>
        <m:d>
          <m:dPr>
            <m:ctrlPr>
              <w:rPr>
                <w:rFonts w:ascii="Cambria Math" w:hAnsi="Cambria Math"/>
                <w:sz w:val="24"/>
                <w:szCs w:val="24"/>
              </w:rPr>
            </m:ctrlPr>
          </m:dPr>
          <m:e>
            <m:sSub>
              <m:sSubPr>
                <m:ctrlPr>
                  <w:rPr>
                    <w:rFonts w:ascii="Cambria Math" w:hAnsi="Cambria Math"/>
                    <w:sz w:val="24"/>
                    <w:szCs w:val="24"/>
                  </w:rPr>
                </m:ctrlPr>
              </m:sSubPr>
              <m:e>
                <m:r>
                  <w:rPr>
                    <w:rFonts w:ascii="Cambria Math" w:hAnsi="Cambria Math"/>
                    <w:sz w:val="24"/>
                    <w:szCs w:val="24"/>
                  </w:rPr>
                  <m:t>H</m:t>
                </m:r>
              </m:e>
              <m:sub>
                <m:r>
                  <m:rPr>
                    <m:sty m:val="p"/>
                  </m:rPr>
                  <w:rPr>
                    <w:rFonts w:ascii="Cambria Math" w:hAnsi="Cambria Math"/>
                    <w:sz w:val="24"/>
                    <w:szCs w:val="24"/>
                  </w:rPr>
                  <m:t>1</m:t>
                </m:r>
              </m:sub>
            </m:sSub>
            <m:r>
              <m:rPr>
                <m:sty m:val="p"/>
              </m:rPr>
              <w:rPr>
                <w:rFonts w:ascii="Cambria Math" w:hAnsi="Cambria Math"/>
                <w:sz w:val="24"/>
                <w:szCs w:val="24"/>
              </w:rPr>
              <m:t>:</m:t>
            </m:r>
            <m:r>
              <w:rPr>
                <w:rFonts w:ascii="Cambria Math" w:hAnsi="Cambria Math"/>
                <w:sz w:val="24"/>
                <w:szCs w:val="24"/>
              </w:rPr>
              <m:t>r</m:t>
            </m:r>
            <m:r>
              <m:rPr>
                <m:sty m:val="p"/>
              </m:rPr>
              <w:rPr>
                <w:rFonts w:ascii="Cambria Math" w:hAnsi="Cambria Math"/>
                <w:sz w:val="24"/>
                <w:szCs w:val="24"/>
              </w:rPr>
              <m:t>=1</m:t>
            </m:r>
          </m:e>
        </m:d>
      </m:oMath>
      <w:r w:rsidR="00BE6E3D" w:rsidRPr="00E378F7">
        <w:rPr>
          <w:rFonts w:ascii="Times New Roman" w:hAnsi="Times New Roman"/>
          <w:sz w:val="24"/>
          <w:szCs w:val="24"/>
        </w:rPr>
        <w:t xml:space="preserve"> or </w:t>
      </w:r>
      <w:r w:rsidR="00B91D10" w:rsidRPr="00E378F7">
        <w:rPr>
          <w:rFonts w:ascii="Times New Roman" w:hAnsi="Times New Roman"/>
          <w:sz w:val="24"/>
          <w:szCs w:val="24"/>
        </w:rPr>
        <w:t>two</w:t>
      </w:r>
      <w:r w:rsidR="00BE6E3D" w:rsidRPr="00E378F7">
        <w:rPr>
          <w:rFonts w:ascii="Times New Roman" w:hAnsi="Times New Roman"/>
          <w:sz w:val="24"/>
          <w:szCs w:val="24"/>
        </w:rPr>
        <w:t xml:space="preserve"> regimes</w:t>
      </w:r>
      <w:r w:rsidR="00BE6E3D" w:rsidRPr="00E378F7">
        <w:rPr>
          <w:rFonts w:ascii="Times New Roman" w:hAnsi="Times New Roman" w:cs="Times New Roman"/>
          <w:sz w:val="24"/>
          <w:szCs w:val="24"/>
        </w:rPr>
        <w:t xml:space="preserve">. </w:t>
      </w:r>
      <w:r w:rsidR="00F41D11" w:rsidRPr="00E378F7">
        <w:rPr>
          <w:rFonts w:ascii="Times New Roman" w:hAnsi="Times New Roman" w:cs="Times New Roman"/>
          <w:sz w:val="24"/>
          <w:szCs w:val="24"/>
        </w:rPr>
        <w:t>While this finding may suggest</w:t>
      </w:r>
      <w:r w:rsidR="003E6773" w:rsidRPr="00E378F7">
        <w:rPr>
          <w:rFonts w:ascii="Times New Roman" w:hAnsi="Times New Roman" w:cs="Times New Roman"/>
          <w:sz w:val="24"/>
          <w:szCs w:val="24"/>
        </w:rPr>
        <w:t xml:space="preserve"> that the number of transaction functions associated with the estimated PSTR model may be further assessed</w:t>
      </w:r>
      <w:r w:rsidR="00F41D11" w:rsidRPr="00E378F7">
        <w:rPr>
          <w:rFonts w:ascii="Times New Roman" w:hAnsi="Times New Roman" w:cs="Times New Roman"/>
          <w:sz w:val="24"/>
          <w:szCs w:val="24"/>
        </w:rPr>
        <w:t xml:space="preserve">, </w:t>
      </w:r>
      <w:r w:rsidR="003E6773" w:rsidRPr="00E378F7">
        <w:rPr>
          <w:rFonts w:ascii="Times New Roman" w:hAnsi="Times New Roman" w:cs="Times New Roman"/>
          <w:sz w:val="24"/>
          <w:szCs w:val="24"/>
        </w:rPr>
        <w:t xml:space="preserve">for simplicity we assume that the PSTR model </w:t>
      </w:r>
      <w:r w:rsidR="00F41D11" w:rsidRPr="00E378F7">
        <w:rPr>
          <w:rFonts w:ascii="Times New Roman" w:hAnsi="Times New Roman" w:cs="Times New Roman"/>
          <w:sz w:val="24"/>
          <w:szCs w:val="24"/>
        </w:rPr>
        <w:t xml:space="preserve">with one transition function and one threshold or location parameter </w:t>
      </w:r>
      <m:oMath>
        <m:d>
          <m:dPr>
            <m:ctrlPr>
              <w:rPr>
                <w:rFonts w:ascii="Cambria Math" w:hAnsi="Cambria Math" w:cs="Times New Roman"/>
                <w:i/>
                <w:sz w:val="24"/>
                <w:szCs w:val="24"/>
              </w:rPr>
            </m:ctrlPr>
          </m:dPr>
          <m:e>
            <m:r>
              <w:rPr>
                <w:rFonts w:ascii="Cambria Math" w:hAnsi="Cambria Math" w:cs="Times New Roman"/>
                <w:sz w:val="24"/>
                <w:szCs w:val="24"/>
              </w:rPr>
              <m:t>r=1, m=1</m:t>
            </m:r>
          </m:e>
        </m:d>
      </m:oMath>
      <w:r w:rsidR="003E6773" w:rsidRPr="00E378F7">
        <w:rPr>
          <w:rFonts w:ascii="Times New Roman" w:hAnsi="Times New Roman" w:cs="Times New Roman"/>
          <w:sz w:val="24"/>
          <w:szCs w:val="24"/>
        </w:rPr>
        <w:t xml:space="preserve"> </w:t>
      </w:r>
      <w:r w:rsidR="00FA1280">
        <w:rPr>
          <w:rFonts w:ascii="Times New Roman" w:hAnsi="Times New Roman" w:cs="Times New Roman"/>
          <w:sz w:val="24"/>
          <w:szCs w:val="24"/>
        </w:rPr>
        <w:t xml:space="preserve">is </w:t>
      </w:r>
      <w:r w:rsidR="00F41D11" w:rsidRPr="00E378F7">
        <w:rPr>
          <w:rFonts w:ascii="Times New Roman" w:hAnsi="Times New Roman" w:cs="Times New Roman"/>
          <w:sz w:val="24"/>
          <w:szCs w:val="24"/>
        </w:rPr>
        <w:t>based on the Fisher Test (LMF criterion) that fails to reject the null hypothesis at the conventional 5 percent level</w:t>
      </w:r>
      <w:r w:rsidR="003E6773" w:rsidRPr="00E378F7">
        <w:rPr>
          <w:rStyle w:val="FootnoteReference"/>
          <w:rFonts w:ascii="Times New Roman" w:hAnsi="Times New Roman"/>
          <w:sz w:val="24"/>
          <w:szCs w:val="24"/>
        </w:rPr>
        <w:footnoteReference w:id="9"/>
      </w:r>
      <w:r w:rsidR="00FA1280">
        <w:rPr>
          <w:rFonts w:ascii="Times New Roman" w:hAnsi="Times New Roman"/>
          <w:sz w:val="24"/>
          <w:szCs w:val="24"/>
        </w:rPr>
        <w:t>.</w:t>
      </w:r>
    </w:p>
    <w:p w14:paraId="3BC45FAB" w14:textId="77777777" w:rsidR="00F41D11" w:rsidRPr="00E378F7" w:rsidRDefault="00F41D11" w:rsidP="008E4E1C">
      <w:pPr>
        <w:pStyle w:val="NoSpacing"/>
        <w:spacing w:line="360" w:lineRule="auto"/>
        <w:jc w:val="both"/>
        <w:rPr>
          <w:rFonts w:ascii="Times New Roman" w:hAnsi="Times New Roman"/>
          <w:sz w:val="16"/>
          <w:szCs w:val="16"/>
        </w:rPr>
      </w:pPr>
      <w:bookmarkStart w:id="48" w:name="_Toc480131590"/>
    </w:p>
    <w:p w14:paraId="7796F324" w14:textId="77777777" w:rsidR="009E486E" w:rsidRPr="00EC79BA" w:rsidRDefault="00854FF0" w:rsidP="00EC79BA">
      <w:pPr>
        <w:pStyle w:val="Heading2"/>
        <w:rPr>
          <w:b w:val="0"/>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bookmarkStart w:id="49" w:name="_Toc501031491"/>
      <w:r w:rsidRPr="00EC79BA">
        <w:rPr>
          <w:b w:val="0"/>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Table 5</w:t>
      </w:r>
      <w:r w:rsidR="00046620" w:rsidRPr="00EC79BA">
        <w:rPr>
          <w:b w:val="0"/>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.5: Test for remaining nonlinearity</w:t>
      </w:r>
      <w:bookmarkEnd w:id="48"/>
      <w:bookmarkEnd w:id="49"/>
    </w:p>
    <w:tbl>
      <w:tblPr>
        <w:tblW w:w="0" w:type="auto"/>
        <w:tblLook w:val="04A0" w:firstRow="1" w:lastRow="0" w:firstColumn="1" w:lastColumn="0" w:noHBand="0" w:noVBand="1"/>
      </w:tblPr>
      <w:tblGrid>
        <w:gridCol w:w="2405"/>
        <w:gridCol w:w="1559"/>
        <w:gridCol w:w="1646"/>
        <w:gridCol w:w="1870"/>
      </w:tblGrid>
      <w:tr w:rsidR="009E486E" w:rsidRPr="00E378F7" w14:paraId="405B4A3F" w14:textId="77777777" w:rsidTr="00C2374E">
        <w:tc>
          <w:tcPr>
            <w:tcW w:w="2405" w:type="dxa"/>
            <w:tcBorders>
              <w:top w:val="double" w:sz="4" w:space="0" w:color="auto"/>
              <w:bottom w:val="single" w:sz="4" w:space="0" w:color="auto"/>
            </w:tcBorders>
            <w:shd w:val="clear" w:color="auto" w:fill="auto"/>
          </w:tcPr>
          <w:p w14:paraId="74FAABFA" w14:textId="77777777" w:rsidR="009E486E" w:rsidRPr="00E378F7" w:rsidRDefault="009E486E" w:rsidP="008E4E1C">
            <w:pPr>
              <w:spacing w:line="360" w:lineRule="auto"/>
              <w:jc w:val="both"/>
              <w:rPr>
                <w:rFonts w:ascii="Times New Roman" w:hAnsi="Times New Roman"/>
                <w:sz w:val="18"/>
                <w:szCs w:val="18"/>
                <w:lang w:val="en-GB" w:eastAsia="en-GB"/>
              </w:rPr>
            </w:pPr>
            <w:r w:rsidRPr="00E378F7">
              <w:rPr>
                <w:rFonts w:ascii="Times New Roman" w:hAnsi="Times New Roman"/>
                <w:sz w:val="18"/>
                <w:szCs w:val="18"/>
                <w:lang w:val="en-GB" w:eastAsia="en-GB"/>
              </w:rPr>
              <w:t>Hypothesis</w:t>
            </w:r>
          </w:p>
        </w:tc>
        <w:tc>
          <w:tcPr>
            <w:tcW w:w="1559" w:type="dxa"/>
            <w:tcBorders>
              <w:top w:val="double" w:sz="4" w:space="0" w:color="auto"/>
              <w:bottom w:val="single" w:sz="4" w:space="0" w:color="auto"/>
            </w:tcBorders>
            <w:shd w:val="clear" w:color="auto" w:fill="auto"/>
          </w:tcPr>
          <w:p w14:paraId="4FA4986B" w14:textId="77777777" w:rsidR="009E486E" w:rsidRPr="00E378F7" w:rsidRDefault="009E486E" w:rsidP="008E4E1C">
            <w:pPr>
              <w:spacing w:line="360" w:lineRule="auto"/>
              <w:jc w:val="both"/>
              <w:rPr>
                <w:rFonts w:ascii="Times New Roman" w:hAnsi="Times New Roman"/>
                <w:sz w:val="18"/>
                <w:szCs w:val="18"/>
                <w:lang w:val="en-GB" w:eastAsia="en-GB"/>
              </w:rPr>
            </w:pPr>
            <w:r w:rsidRPr="00E378F7">
              <w:rPr>
                <w:rFonts w:ascii="Times New Roman" w:hAnsi="Times New Roman"/>
                <w:sz w:val="18"/>
                <w:szCs w:val="18"/>
                <w:lang w:val="en-GB" w:eastAsia="en-GB"/>
              </w:rPr>
              <w:t>Test</w:t>
            </w:r>
          </w:p>
        </w:tc>
        <w:tc>
          <w:tcPr>
            <w:tcW w:w="1646" w:type="dxa"/>
            <w:tcBorders>
              <w:top w:val="double" w:sz="4" w:space="0" w:color="auto"/>
              <w:bottom w:val="single" w:sz="4" w:space="0" w:color="auto"/>
            </w:tcBorders>
            <w:shd w:val="clear" w:color="auto" w:fill="auto"/>
          </w:tcPr>
          <w:p w14:paraId="787831C9" w14:textId="77777777" w:rsidR="009E486E" w:rsidRPr="00E378F7" w:rsidRDefault="009E486E" w:rsidP="008E4E1C">
            <w:pPr>
              <w:spacing w:line="360" w:lineRule="auto"/>
              <w:jc w:val="both"/>
              <w:rPr>
                <w:rFonts w:ascii="Times New Roman" w:hAnsi="Times New Roman"/>
                <w:sz w:val="18"/>
                <w:szCs w:val="18"/>
                <w:lang w:val="en-GB" w:eastAsia="en-GB"/>
              </w:rPr>
            </w:pPr>
            <w:r w:rsidRPr="00E378F7">
              <w:rPr>
                <w:rFonts w:ascii="Times New Roman" w:hAnsi="Times New Roman"/>
                <w:sz w:val="18"/>
                <w:szCs w:val="18"/>
                <w:lang w:val="en-GB" w:eastAsia="en-GB"/>
              </w:rPr>
              <w:t>Statistics</w:t>
            </w:r>
          </w:p>
        </w:tc>
        <w:tc>
          <w:tcPr>
            <w:tcW w:w="1870" w:type="dxa"/>
            <w:tcBorders>
              <w:top w:val="double" w:sz="4" w:space="0" w:color="auto"/>
              <w:bottom w:val="single" w:sz="4" w:space="0" w:color="auto"/>
            </w:tcBorders>
            <w:shd w:val="clear" w:color="auto" w:fill="auto"/>
          </w:tcPr>
          <w:p w14:paraId="361AE1F5" w14:textId="4D055A3E" w:rsidR="009E486E" w:rsidRPr="00E378F7" w:rsidRDefault="009E486E" w:rsidP="008E4E1C">
            <w:pPr>
              <w:spacing w:line="360" w:lineRule="auto"/>
              <w:jc w:val="both"/>
              <w:rPr>
                <w:rFonts w:ascii="Times New Roman" w:hAnsi="Times New Roman"/>
                <w:sz w:val="18"/>
                <w:szCs w:val="18"/>
                <w:lang w:val="en-GB" w:eastAsia="en-GB"/>
              </w:rPr>
            </w:pPr>
            <w:r w:rsidRPr="00E378F7">
              <w:rPr>
                <w:rFonts w:ascii="Times New Roman" w:hAnsi="Times New Roman"/>
                <w:sz w:val="18"/>
                <w:szCs w:val="18"/>
                <w:lang w:val="en-GB" w:eastAsia="en-GB"/>
              </w:rPr>
              <w:t>P-value</w:t>
            </w:r>
          </w:p>
        </w:tc>
      </w:tr>
      <w:tr w:rsidR="009E486E" w:rsidRPr="00E378F7" w14:paraId="2CB11A77" w14:textId="77777777" w:rsidTr="00C2374E">
        <w:tc>
          <w:tcPr>
            <w:tcW w:w="2405" w:type="dxa"/>
            <w:tcBorders>
              <w:top w:val="single" w:sz="4" w:space="0" w:color="auto"/>
            </w:tcBorders>
            <w:shd w:val="clear" w:color="auto" w:fill="auto"/>
          </w:tcPr>
          <w:p w14:paraId="093C2F5A" w14:textId="77777777" w:rsidR="009E486E" w:rsidRPr="00E378F7" w:rsidRDefault="007835DC" w:rsidP="008E4E1C">
            <w:pPr>
              <w:spacing w:line="360" w:lineRule="auto"/>
              <w:jc w:val="both"/>
              <w:rPr>
                <w:rFonts w:ascii="Times New Roman" w:hAnsi="Times New Roman"/>
                <w:sz w:val="18"/>
                <w:szCs w:val="18"/>
                <w:lang w:val="en-GB" w:eastAsia="en-GB"/>
              </w:rPr>
            </w:pPr>
            <m:oMathPara>
              <m:oMath>
                <m:sSub>
                  <m:sSubPr>
                    <m:ctrlPr>
                      <w:rPr>
                        <w:rFonts w:ascii="Cambria Math" w:hAnsi="Cambria Math"/>
                        <w:sz w:val="18"/>
                        <w:szCs w:val="18"/>
                      </w:rPr>
                    </m:ctrlPr>
                  </m:sSubPr>
                  <m:e>
                    <m:r>
                      <w:rPr>
                        <w:rFonts w:ascii="Cambria Math" w:hAnsi="Cambria Math"/>
                        <w:sz w:val="18"/>
                        <w:szCs w:val="18"/>
                      </w:rPr>
                      <m:t>H</m:t>
                    </m:r>
                  </m:e>
                  <m:sub>
                    <m:r>
                      <m:rPr>
                        <m:sty m:val="p"/>
                      </m:rPr>
                      <w:rPr>
                        <w:rFonts w:ascii="Cambria Math" w:hAnsi="Cambria Math"/>
                        <w:sz w:val="18"/>
                        <w:szCs w:val="18"/>
                      </w:rPr>
                      <m:t>0</m:t>
                    </m:r>
                  </m:sub>
                </m:sSub>
                <m:r>
                  <m:rPr>
                    <m:sty m:val="p"/>
                  </m:rPr>
                  <w:rPr>
                    <w:rFonts w:ascii="Cambria Math" w:hAnsi="Cambria Math"/>
                    <w:sz w:val="18"/>
                    <w:szCs w:val="18"/>
                  </w:rPr>
                  <m:t xml:space="preserve">: </m:t>
                </m:r>
                <m:d>
                  <m:dPr>
                    <m:ctrlPr>
                      <w:rPr>
                        <w:rFonts w:ascii="Cambria Math" w:hAnsi="Cambria Math"/>
                        <w:sz w:val="18"/>
                        <w:szCs w:val="18"/>
                      </w:rPr>
                    </m:ctrlPr>
                  </m:dPr>
                  <m:e>
                    <m:r>
                      <w:rPr>
                        <w:rFonts w:ascii="Cambria Math" w:hAnsi="Cambria Math"/>
                        <w:sz w:val="18"/>
                        <w:szCs w:val="18"/>
                      </w:rPr>
                      <m:t>r</m:t>
                    </m:r>
                    <m:r>
                      <m:rPr>
                        <m:sty m:val="p"/>
                      </m:rPr>
                      <w:rPr>
                        <w:rFonts w:ascii="Cambria Math" w:hAnsi="Cambria Math"/>
                        <w:sz w:val="18"/>
                        <w:szCs w:val="18"/>
                      </w:rPr>
                      <m:t>=1</m:t>
                    </m:r>
                  </m:e>
                </m:d>
                <m:r>
                  <w:rPr>
                    <w:rFonts w:ascii="Cambria Math" w:hAnsi="Cambria Math"/>
                    <w:sz w:val="18"/>
                    <w:szCs w:val="18"/>
                  </w:rPr>
                  <m:t xml:space="preserve">; </m:t>
                </m:r>
                <m:sSub>
                  <m:sSubPr>
                    <m:ctrlPr>
                      <w:rPr>
                        <w:rFonts w:ascii="Cambria Math" w:hAnsi="Cambria Math"/>
                        <w:sz w:val="18"/>
                        <w:szCs w:val="18"/>
                      </w:rPr>
                    </m:ctrlPr>
                  </m:sSubPr>
                  <m:e>
                    <m:r>
                      <w:rPr>
                        <w:rFonts w:ascii="Cambria Math" w:hAnsi="Cambria Math"/>
                        <w:sz w:val="18"/>
                        <w:szCs w:val="18"/>
                      </w:rPr>
                      <m:t>H</m:t>
                    </m:r>
                  </m:e>
                  <m:sub>
                    <m:r>
                      <m:rPr>
                        <m:sty m:val="p"/>
                      </m:rPr>
                      <w:rPr>
                        <w:rFonts w:ascii="Cambria Math" w:hAnsi="Cambria Math"/>
                        <w:sz w:val="18"/>
                        <w:szCs w:val="18"/>
                      </w:rPr>
                      <m:t>1</m:t>
                    </m:r>
                  </m:sub>
                </m:sSub>
                <m:r>
                  <m:rPr>
                    <m:sty m:val="p"/>
                  </m:rPr>
                  <w:rPr>
                    <w:rFonts w:ascii="Cambria Math" w:hAnsi="Cambria Math"/>
                    <w:sz w:val="18"/>
                    <w:szCs w:val="18"/>
                  </w:rPr>
                  <m:t xml:space="preserve">: </m:t>
                </m:r>
                <m:d>
                  <m:dPr>
                    <m:ctrlPr>
                      <w:rPr>
                        <w:rFonts w:ascii="Cambria Math" w:hAnsi="Cambria Math"/>
                        <w:sz w:val="18"/>
                        <w:szCs w:val="18"/>
                      </w:rPr>
                    </m:ctrlPr>
                  </m:dPr>
                  <m:e>
                    <m:r>
                      <w:rPr>
                        <w:rFonts w:ascii="Cambria Math" w:hAnsi="Cambria Math"/>
                        <w:sz w:val="18"/>
                        <w:szCs w:val="18"/>
                      </w:rPr>
                      <m:t>r</m:t>
                    </m:r>
                    <m:r>
                      <m:rPr>
                        <m:sty m:val="p"/>
                      </m:rPr>
                      <w:rPr>
                        <w:rFonts w:ascii="Cambria Math" w:hAnsi="Cambria Math"/>
                        <w:sz w:val="18"/>
                        <w:szCs w:val="18"/>
                      </w:rPr>
                      <m:t>=2</m:t>
                    </m:r>
                  </m:e>
                </m:d>
              </m:oMath>
            </m:oMathPara>
          </w:p>
        </w:tc>
        <w:tc>
          <w:tcPr>
            <w:tcW w:w="1559" w:type="dxa"/>
            <w:tcBorders>
              <w:top w:val="single" w:sz="4" w:space="0" w:color="auto"/>
            </w:tcBorders>
            <w:shd w:val="clear" w:color="auto" w:fill="auto"/>
          </w:tcPr>
          <w:p w14:paraId="64F148B7" w14:textId="6163E0C7" w:rsidR="009E486E" w:rsidRPr="00E378F7" w:rsidRDefault="009E486E" w:rsidP="008E4E1C">
            <w:pPr>
              <w:spacing w:line="360" w:lineRule="auto"/>
              <w:jc w:val="both"/>
              <w:rPr>
                <w:rFonts w:ascii="Times New Roman" w:hAnsi="Times New Roman"/>
                <w:sz w:val="18"/>
                <w:szCs w:val="18"/>
              </w:rPr>
            </w:pPr>
            <w:r w:rsidRPr="00E378F7">
              <w:rPr>
                <w:rFonts w:ascii="Times New Roman" w:hAnsi="Times New Roman"/>
                <w:sz w:val="18"/>
                <w:szCs w:val="18"/>
              </w:rPr>
              <w:t>Wald Test (LM)</w:t>
            </w:r>
          </w:p>
        </w:tc>
        <w:tc>
          <w:tcPr>
            <w:tcW w:w="1646" w:type="dxa"/>
            <w:tcBorders>
              <w:top w:val="single" w:sz="4" w:space="0" w:color="auto"/>
            </w:tcBorders>
            <w:shd w:val="clear" w:color="auto" w:fill="auto"/>
          </w:tcPr>
          <w:p w14:paraId="177F7717" w14:textId="77777777" w:rsidR="009E486E" w:rsidRPr="00E378F7" w:rsidRDefault="00F41D11" w:rsidP="008E4E1C">
            <w:pPr>
              <w:spacing w:line="360" w:lineRule="auto"/>
              <w:jc w:val="both"/>
              <w:rPr>
                <w:rFonts w:ascii="Times New Roman" w:hAnsi="Times New Roman"/>
                <w:sz w:val="18"/>
                <w:szCs w:val="18"/>
              </w:rPr>
            </w:pPr>
            <w:r w:rsidRPr="00E378F7">
              <w:rPr>
                <w:rFonts w:ascii="Times New Roman" w:hAnsi="Times New Roman"/>
                <w:sz w:val="18"/>
                <w:szCs w:val="18"/>
              </w:rPr>
              <w:t>14.692</w:t>
            </w:r>
          </w:p>
        </w:tc>
        <w:tc>
          <w:tcPr>
            <w:tcW w:w="1870" w:type="dxa"/>
            <w:tcBorders>
              <w:top w:val="single" w:sz="4" w:space="0" w:color="auto"/>
            </w:tcBorders>
            <w:shd w:val="clear" w:color="auto" w:fill="auto"/>
          </w:tcPr>
          <w:p w14:paraId="10086255" w14:textId="77777777" w:rsidR="009E486E" w:rsidRPr="00E378F7" w:rsidRDefault="00F41D11" w:rsidP="008E4E1C">
            <w:pPr>
              <w:spacing w:line="360" w:lineRule="auto"/>
              <w:jc w:val="both"/>
              <w:rPr>
                <w:rFonts w:ascii="Times New Roman" w:hAnsi="Times New Roman"/>
                <w:sz w:val="18"/>
                <w:szCs w:val="18"/>
              </w:rPr>
            </w:pPr>
            <w:r w:rsidRPr="00E378F7">
              <w:rPr>
                <w:rFonts w:ascii="Times New Roman" w:hAnsi="Times New Roman"/>
                <w:sz w:val="18"/>
                <w:szCs w:val="18"/>
              </w:rPr>
              <w:t>0.040</w:t>
            </w:r>
          </w:p>
        </w:tc>
      </w:tr>
      <w:tr w:rsidR="009E486E" w:rsidRPr="00E378F7" w14:paraId="33999023" w14:textId="77777777" w:rsidTr="00C2374E">
        <w:tc>
          <w:tcPr>
            <w:tcW w:w="2405" w:type="dxa"/>
            <w:shd w:val="clear" w:color="auto" w:fill="auto"/>
          </w:tcPr>
          <w:p w14:paraId="21511AED" w14:textId="77777777" w:rsidR="009E486E" w:rsidRPr="00E378F7" w:rsidRDefault="009E486E" w:rsidP="008E4E1C">
            <w:pPr>
              <w:spacing w:line="360" w:lineRule="auto"/>
              <w:jc w:val="both"/>
              <w:rPr>
                <w:rFonts w:ascii="Times New Roman" w:hAnsi="Times New Roman"/>
                <w:sz w:val="18"/>
                <w:szCs w:val="18"/>
                <w:lang w:val="en-GB" w:eastAsia="en-GB"/>
              </w:rPr>
            </w:pPr>
          </w:p>
        </w:tc>
        <w:tc>
          <w:tcPr>
            <w:tcW w:w="1559" w:type="dxa"/>
            <w:shd w:val="clear" w:color="auto" w:fill="auto"/>
          </w:tcPr>
          <w:p w14:paraId="3F82CBD1" w14:textId="77777777" w:rsidR="009E486E" w:rsidRPr="00E378F7" w:rsidRDefault="009E486E" w:rsidP="008E4E1C">
            <w:pPr>
              <w:spacing w:line="360" w:lineRule="auto"/>
              <w:jc w:val="both"/>
              <w:rPr>
                <w:rFonts w:ascii="Times New Roman" w:hAnsi="Times New Roman"/>
                <w:sz w:val="18"/>
                <w:szCs w:val="18"/>
              </w:rPr>
            </w:pPr>
            <w:r w:rsidRPr="00E378F7">
              <w:rPr>
                <w:rFonts w:ascii="Times New Roman" w:hAnsi="Times New Roman"/>
                <w:sz w:val="18"/>
                <w:szCs w:val="18"/>
              </w:rPr>
              <w:t>Fisher Test (LMF)</w:t>
            </w:r>
          </w:p>
        </w:tc>
        <w:tc>
          <w:tcPr>
            <w:tcW w:w="1646" w:type="dxa"/>
            <w:shd w:val="clear" w:color="auto" w:fill="auto"/>
          </w:tcPr>
          <w:p w14:paraId="17D1E2FA" w14:textId="77777777" w:rsidR="009E486E" w:rsidRPr="00E378F7" w:rsidRDefault="00F41D11" w:rsidP="008E4E1C">
            <w:pPr>
              <w:spacing w:line="360" w:lineRule="auto"/>
              <w:jc w:val="both"/>
              <w:rPr>
                <w:rFonts w:ascii="Times New Roman" w:hAnsi="Times New Roman"/>
                <w:sz w:val="18"/>
                <w:szCs w:val="18"/>
              </w:rPr>
            </w:pPr>
            <w:r w:rsidRPr="00E378F7">
              <w:rPr>
                <w:rFonts w:ascii="Times New Roman" w:hAnsi="Times New Roman"/>
                <w:sz w:val="18"/>
                <w:szCs w:val="18"/>
              </w:rPr>
              <w:t>1.941</w:t>
            </w:r>
          </w:p>
        </w:tc>
        <w:tc>
          <w:tcPr>
            <w:tcW w:w="1870" w:type="dxa"/>
            <w:shd w:val="clear" w:color="auto" w:fill="auto"/>
          </w:tcPr>
          <w:p w14:paraId="69FD4053" w14:textId="77777777" w:rsidR="009E486E" w:rsidRPr="00E378F7" w:rsidRDefault="00F41D11" w:rsidP="008E4E1C">
            <w:pPr>
              <w:spacing w:line="360" w:lineRule="auto"/>
              <w:jc w:val="both"/>
              <w:rPr>
                <w:rFonts w:ascii="Times New Roman" w:hAnsi="Times New Roman"/>
                <w:sz w:val="18"/>
                <w:szCs w:val="18"/>
              </w:rPr>
            </w:pPr>
            <w:r w:rsidRPr="00E378F7">
              <w:rPr>
                <w:rFonts w:ascii="Times New Roman" w:hAnsi="Times New Roman"/>
                <w:sz w:val="18"/>
                <w:szCs w:val="18"/>
              </w:rPr>
              <w:t>0.063</w:t>
            </w:r>
          </w:p>
        </w:tc>
      </w:tr>
      <w:tr w:rsidR="009E486E" w:rsidRPr="00E378F7" w14:paraId="5D426B4C" w14:textId="77777777" w:rsidTr="001F1EC6">
        <w:tc>
          <w:tcPr>
            <w:tcW w:w="2405" w:type="dxa"/>
            <w:tcBorders>
              <w:bottom w:val="double" w:sz="4" w:space="0" w:color="auto"/>
            </w:tcBorders>
            <w:shd w:val="clear" w:color="auto" w:fill="auto"/>
          </w:tcPr>
          <w:p w14:paraId="253B5C58" w14:textId="77777777" w:rsidR="009E486E" w:rsidRPr="00E378F7" w:rsidRDefault="009E486E" w:rsidP="008E4E1C">
            <w:pPr>
              <w:spacing w:line="360" w:lineRule="auto"/>
              <w:jc w:val="both"/>
              <w:rPr>
                <w:rFonts w:ascii="Times New Roman" w:hAnsi="Times New Roman"/>
                <w:sz w:val="18"/>
                <w:szCs w:val="18"/>
                <w:lang w:val="en-GB" w:eastAsia="en-GB"/>
              </w:rPr>
            </w:pPr>
          </w:p>
        </w:tc>
        <w:tc>
          <w:tcPr>
            <w:tcW w:w="1559" w:type="dxa"/>
            <w:tcBorders>
              <w:bottom w:val="double" w:sz="4" w:space="0" w:color="auto"/>
            </w:tcBorders>
            <w:shd w:val="clear" w:color="auto" w:fill="auto"/>
          </w:tcPr>
          <w:p w14:paraId="71525656" w14:textId="77777777" w:rsidR="009E486E" w:rsidRPr="00E378F7" w:rsidRDefault="009E486E" w:rsidP="008E4E1C">
            <w:pPr>
              <w:spacing w:line="360" w:lineRule="auto"/>
              <w:jc w:val="both"/>
              <w:rPr>
                <w:rFonts w:ascii="Times New Roman" w:hAnsi="Times New Roman"/>
                <w:sz w:val="18"/>
                <w:szCs w:val="18"/>
              </w:rPr>
            </w:pPr>
            <w:r w:rsidRPr="00E378F7">
              <w:rPr>
                <w:rFonts w:ascii="Times New Roman" w:hAnsi="Times New Roman"/>
                <w:sz w:val="18"/>
                <w:szCs w:val="18"/>
              </w:rPr>
              <w:t>LRT Tests (LRT)</w:t>
            </w:r>
          </w:p>
        </w:tc>
        <w:tc>
          <w:tcPr>
            <w:tcW w:w="1646" w:type="dxa"/>
            <w:tcBorders>
              <w:bottom w:val="double" w:sz="4" w:space="0" w:color="auto"/>
            </w:tcBorders>
            <w:shd w:val="clear" w:color="auto" w:fill="auto"/>
          </w:tcPr>
          <w:p w14:paraId="7EC70E2F" w14:textId="77777777" w:rsidR="009E486E" w:rsidRPr="00E378F7" w:rsidRDefault="00F41D11" w:rsidP="008E4E1C">
            <w:pPr>
              <w:spacing w:line="360" w:lineRule="auto"/>
              <w:jc w:val="both"/>
              <w:rPr>
                <w:rFonts w:ascii="Times New Roman" w:hAnsi="Times New Roman"/>
                <w:sz w:val="18"/>
                <w:szCs w:val="18"/>
              </w:rPr>
            </w:pPr>
            <w:r w:rsidRPr="00E378F7">
              <w:rPr>
                <w:rFonts w:ascii="Times New Roman" w:hAnsi="Times New Roman"/>
                <w:sz w:val="18"/>
                <w:szCs w:val="18"/>
              </w:rPr>
              <w:t>14.985</w:t>
            </w:r>
          </w:p>
        </w:tc>
        <w:tc>
          <w:tcPr>
            <w:tcW w:w="1870" w:type="dxa"/>
            <w:tcBorders>
              <w:bottom w:val="double" w:sz="4" w:space="0" w:color="auto"/>
            </w:tcBorders>
            <w:shd w:val="clear" w:color="auto" w:fill="auto"/>
          </w:tcPr>
          <w:p w14:paraId="35782579" w14:textId="77777777" w:rsidR="009E486E" w:rsidRPr="00E378F7" w:rsidRDefault="00F41D11" w:rsidP="008E4E1C">
            <w:pPr>
              <w:spacing w:line="360" w:lineRule="auto"/>
              <w:jc w:val="both"/>
              <w:rPr>
                <w:rFonts w:ascii="Times New Roman" w:hAnsi="Times New Roman"/>
                <w:sz w:val="18"/>
                <w:szCs w:val="18"/>
              </w:rPr>
            </w:pPr>
            <w:r w:rsidRPr="00E378F7">
              <w:rPr>
                <w:rFonts w:ascii="Times New Roman" w:hAnsi="Times New Roman"/>
                <w:sz w:val="18"/>
                <w:szCs w:val="18"/>
              </w:rPr>
              <w:t>0.036</w:t>
            </w:r>
          </w:p>
        </w:tc>
      </w:tr>
    </w:tbl>
    <w:p w14:paraId="581B225E" w14:textId="77777777" w:rsidR="00146409" w:rsidRPr="00E378F7" w:rsidRDefault="00146409" w:rsidP="008E4E1C">
      <w:pPr>
        <w:pStyle w:val="NoSpacing"/>
        <w:spacing w:line="360" w:lineRule="auto"/>
        <w:jc w:val="both"/>
        <w:rPr>
          <w:rFonts w:ascii="Times New Roman" w:hAnsi="Times New Roman" w:cs="Times New Roman"/>
          <w:sz w:val="24"/>
          <w:szCs w:val="24"/>
        </w:rPr>
      </w:pPr>
    </w:p>
    <w:p w14:paraId="24024F3C" w14:textId="325EA539" w:rsidR="003E6773" w:rsidRPr="00E378F7" w:rsidRDefault="00F11614" w:rsidP="008E4E1C">
      <w:pPr>
        <w:pStyle w:val="NoSpacing"/>
        <w:spacing w:line="360" w:lineRule="auto"/>
        <w:jc w:val="both"/>
        <w:rPr>
          <w:rFonts w:ascii="Times New Roman" w:hAnsi="Times New Roman" w:cs="Times New Roman"/>
          <w:sz w:val="24"/>
          <w:szCs w:val="24"/>
        </w:rPr>
      </w:pPr>
      <w:r w:rsidRPr="00E378F7">
        <w:rPr>
          <w:rFonts w:ascii="Times New Roman" w:hAnsi="Times New Roman" w:cs="Times New Roman"/>
          <w:sz w:val="24"/>
          <w:szCs w:val="24"/>
        </w:rPr>
        <w:t xml:space="preserve">Following the determination of the number of transition function, the empirical PSTR model is estimated using nonlinear estimation techniques to obtain the parameter estimates of the model. The parameter estimates of the PSTR model are </w:t>
      </w:r>
      <w:r w:rsidR="00E22D31" w:rsidRPr="00E378F7">
        <w:rPr>
          <w:rFonts w:ascii="Times New Roman" w:hAnsi="Times New Roman"/>
          <w:sz w:val="24"/>
          <w:szCs w:val="24"/>
        </w:rPr>
        <w:t xml:space="preserve">reported in </w:t>
      </w:r>
      <w:r w:rsidR="00FA1280">
        <w:rPr>
          <w:rFonts w:ascii="Times New Roman" w:hAnsi="Times New Roman"/>
          <w:sz w:val="24"/>
          <w:szCs w:val="24"/>
        </w:rPr>
        <w:t>T</w:t>
      </w:r>
      <w:r w:rsidR="00FA1280" w:rsidRPr="00E378F7">
        <w:rPr>
          <w:rFonts w:ascii="Times New Roman" w:hAnsi="Times New Roman"/>
          <w:sz w:val="24"/>
          <w:szCs w:val="24"/>
        </w:rPr>
        <w:t xml:space="preserve">able </w:t>
      </w:r>
      <w:r w:rsidR="00E22D31" w:rsidRPr="00E378F7">
        <w:rPr>
          <w:rFonts w:ascii="Times New Roman" w:hAnsi="Times New Roman"/>
          <w:sz w:val="24"/>
          <w:szCs w:val="24"/>
        </w:rPr>
        <w:t>5</w:t>
      </w:r>
      <w:r w:rsidR="003E6773" w:rsidRPr="00E378F7">
        <w:rPr>
          <w:rFonts w:ascii="Times New Roman" w:hAnsi="Times New Roman"/>
          <w:sz w:val="24"/>
          <w:szCs w:val="24"/>
        </w:rPr>
        <w:t>.6.</w:t>
      </w:r>
    </w:p>
    <w:p w14:paraId="07A67788" w14:textId="77777777" w:rsidR="001A701B" w:rsidRPr="00E378F7" w:rsidRDefault="001A701B" w:rsidP="008E4E1C">
      <w:pPr>
        <w:pStyle w:val="NoSpacing"/>
        <w:spacing w:line="360" w:lineRule="auto"/>
        <w:jc w:val="both"/>
        <w:rPr>
          <w:rFonts w:ascii="Times New Roman" w:hAnsi="Times New Roman"/>
          <w:sz w:val="20"/>
          <w:szCs w:val="20"/>
        </w:rPr>
      </w:pPr>
    </w:p>
    <w:p w14:paraId="184461DE" w14:textId="77777777" w:rsidR="001A701B" w:rsidRPr="00EC79BA" w:rsidRDefault="00854FF0" w:rsidP="00EC79BA">
      <w:pPr>
        <w:pStyle w:val="Heading2"/>
        <w:rPr>
          <w:b w:val="0"/>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bookmarkStart w:id="50" w:name="_Toc501031492"/>
      <w:r w:rsidRPr="00EC79BA">
        <w:rPr>
          <w:b w:val="0"/>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Table 5</w:t>
      </w:r>
      <w:r w:rsidR="001A701B" w:rsidRPr="00EC79BA">
        <w:rPr>
          <w:b w:val="0"/>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.6: PSTR model estimation</w:t>
      </w:r>
      <w:bookmarkEnd w:id="50"/>
    </w:p>
    <w:tbl>
      <w:tblPr>
        <w:tblW w:w="0" w:type="auto"/>
        <w:tblLook w:val="04A0" w:firstRow="1" w:lastRow="0" w:firstColumn="1" w:lastColumn="0" w:noHBand="0" w:noVBand="1"/>
      </w:tblPr>
      <w:tblGrid>
        <w:gridCol w:w="3510"/>
        <w:gridCol w:w="1985"/>
        <w:gridCol w:w="1021"/>
      </w:tblGrid>
      <w:tr w:rsidR="00AA4763" w:rsidRPr="00E378F7" w14:paraId="40475CC4" w14:textId="77777777" w:rsidTr="001A701B">
        <w:tc>
          <w:tcPr>
            <w:tcW w:w="3510" w:type="dxa"/>
            <w:tcBorders>
              <w:top w:val="double" w:sz="4" w:space="0" w:color="auto"/>
              <w:bottom w:val="double" w:sz="4" w:space="0" w:color="auto"/>
            </w:tcBorders>
            <w:shd w:val="clear" w:color="auto" w:fill="auto"/>
          </w:tcPr>
          <w:p w14:paraId="126B43BD" w14:textId="77777777" w:rsidR="00AA4763" w:rsidRPr="00E378F7" w:rsidRDefault="00AA4763" w:rsidP="008E4E1C">
            <w:pPr>
              <w:pStyle w:val="NoSpacing"/>
              <w:spacing w:line="360" w:lineRule="auto"/>
              <w:jc w:val="both"/>
              <w:rPr>
                <w:rFonts w:ascii="Times New Roman" w:hAnsi="Times New Roman" w:cs="Times New Roman"/>
                <w:sz w:val="18"/>
                <w:szCs w:val="18"/>
              </w:rPr>
            </w:pPr>
          </w:p>
        </w:tc>
        <w:tc>
          <w:tcPr>
            <w:tcW w:w="1985" w:type="dxa"/>
            <w:tcBorders>
              <w:top w:val="double" w:sz="4" w:space="0" w:color="auto"/>
              <w:bottom w:val="double" w:sz="4" w:space="0" w:color="auto"/>
            </w:tcBorders>
            <w:shd w:val="clear" w:color="auto" w:fill="auto"/>
          </w:tcPr>
          <w:p w14:paraId="38126514" w14:textId="77777777" w:rsidR="00AA4763" w:rsidRPr="00E378F7" w:rsidRDefault="007835DC" w:rsidP="008E4E1C">
            <w:pPr>
              <w:pStyle w:val="NoSpacing"/>
              <w:spacing w:line="360" w:lineRule="auto"/>
              <w:jc w:val="both"/>
              <w:rPr>
                <w:rFonts w:ascii="Times New Roman" w:hAnsi="Times New Roman" w:cs="Times New Roman"/>
                <w:sz w:val="18"/>
                <w:szCs w:val="18"/>
              </w:rPr>
            </w:pPr>
            <m:oMathPara>
              <m:oMath>
                <m:sSub>
                  <m:sSubPr>
                    <m:ctrlPr>
                      <w:rPr>
                        <w:rFonts w:ascii="Cambria Math" w:hAnsi="Cambria Math" w:cs="Times New Roman"/>
                        <w:sz w:val="18"/>
                        <w:szCs w:val="18"/>
                      </w:rPr>
                    </m:ctrlPr>
                  </m:sSubPr>
                  <m:e>
                    <m:r>
                      <w:rPr>
                        <w:rFonts w:ascii="Cambria Math" w:hAnsi="Cambria Math" w:cs="Times New Roman"/>
                        <w:sz w:val="18"/>
                        <w:szCs w:val="18"/>
                      </w:rPr>
                      <m:t>β</m:t>
                    </m:r>
                  </m:e>
                  <m:sub>
                    <m:r>
                      <m:rPr>
                        <m:sty m:val="p"/>
                      </m:rPr>
                      <w:rPr>
                        <w:rFonts w:ascii="Cambria Math" w:hAnsi="Cambria Math" w:cs="Times New Roman"/>
                        <w:sz w:val="18"/>
                        <w:szCs w:val="18"/>
                      </w:rPr>
                      <m:t>0</m:t>
                    </m:r>
                  </m:sub>
                </m:sSub>
              </m:oMath>
            </m:oMathPara>
          </w:p>
        </w:tc>
        <w:tc>
          <w:tcPr>
            <w:tcW w:w="1021" w:type="dxa"/>
            <w:tcBorders>
              <w:top w:val="double" w:sz="4" w:space="0" w:color="auto"/>
              <w:bottom w:val="double" w:sz="4" w:space="0" w:color="auto"/>
            </w:tcBorders>
            <w:shd w:val="clear" w:color="auto" w:fill="auto"/>
          </w:tcPr>
          <w:p w14:paraId="34BC8BAE" w14:textId="77777777" w:rsidR="00AA4763" w:rsidRPr="00E378F7" w:rsidRDefault="007835DC" w:rsidP="008E4E1C">
            <w:pPr>
              <w:pStyle w:val="NoSpacing"/>
              <w:spacing w:line="360" w:lineRule="auto"/>
              <w:jc w:val="both"/>
              <w:rPr>
                <w:rFonts w:ascii="Times New Roman" w:hAnsi="Times New Roman" w:cs="Times New Roman"/>
                <w:sz w:val="18"/>
                <w:szCs w:val="18"/>
              </w:rPr>
            </w:pPr>
            <m:oMathPara>
              <m:oMath>
                <m:sSub>
                  <m:sSubPr>
                    <m:ctrlPr>
                      <w:rPr>
                        <w:rFonts w:ascii="Cambria Math" w:hAnsi="Cambria Math" w:cs="Times New Roman"/>
                        <w:sz w:val="18"/>
                        <w:szCs w:val="18"/>
                      </w:rPr>
                    </m:ctrlPr>
                  </m:sSubPr>
                  <m:e>
                    <m:r>
                      <w:rPr>
                        <w:rFonts w:ascii="Cambria Math" w:hAnsi="Cambria Math" w:cs="Times New Roman"/>
                        <w:sz w:val="18"/>
                        <w:szCs w:val="18"/>
                      </w:rPr>
                      <m:t>β</m:t>
                    </m:r>
                  </m:e>
                  <m:sub>
                    <m:r>
                      <m:rPr>
                        <m:sty m:val="p"/>
                      </m:rPr>
                      <w:rPr>
                        <w:rFonts w:ascii="Cambria Math" w:hAnsi="Cambria Math" w:cs="Times New Roman"/>
                        <w:sz w:val="18"/>
                        <w:szCs w:val="18"/>
                      </w:rPr>
                      <m:t>1</m:t>
                    </m:r>
                  </m:sub>
                </m:sSub>
              </m:oMath>
            </m:oMathPara>
          </w:p>
        </w:tc>
      </w:tr>
      <w:tr w:rsidR="00AA4763" w:rsidRPr="00E378F7" w14:paraId="4F112109" w14:textId="77777777" w:rsidTr="001A701B">
        <w:tc>
          <w:tcPr>
            <w:tcW w:w="3510" w:type="dxa"/>
            <w:tcBorders>
              <w:top w:val="double" w:sz="4" w:space="0" w:color="auto"/>
              <w:bottom w:val="single" w:sz="4" w:space="0" w:color="auto"/>
            </w:tcBorders>
            <w:shd w:val="clear" w:color="auto" w:fill="auto"/>
          </w:tcPr>
          <w:p w14:paraId="0CBE9AC8" w14:textId="77777777" w:rsidR="00AA4763" w:rsidRPr="00E378F7" w:rsidRDefault="00AA4763" w:rsidP="008E4E1C">
            <w:pPr>
              <w:pStyle w:val="NoSpacing"/>
              <w:spacing w:line="360" w:lineRule="auto"/>
              <w:jc w:val="both"/>
              <w:rPr>
                <w:rFonts w:ascii="Times New Roman" w:hAnsi="Times New Roman" w:cs="Times New Roman"/>
                <w:sz w:val="18"/>
                <w:szCs w:val="18"/>
              </w:rPr>
            </w:pPr>
            <w:r w:rsidRPr="00E378F7">
              <w:rPr>
                <w:rFonts w:ascii="Times New Roman" w:hAnsi="Times New Roman" w:cs="Times New Roman"/>
                <w:sz w:val="18"/>
                <w:szCs w:val="18"/>
              </w:rPr>
              <w:t>Location (threshold) parameter (</w:t>
            </w:r>
            <m:oMath>
              <m:r>
                <w:rPr>
                  <w:rFonts w:ascii="Cambria Math" w:hAnsi="Cambria Math" w:cs="Times New Roman"/>
                  <w:sz w:val="18"/>
                  <w:szCs w:val="18"/>
                </w:rPr>
                <m:t>ϑ</m:t>
              </m:r>
              <m:r>
                <m:rPr>
                  <m:sty m:val="p"/>
                </m:rPr>
                <w:rPr>
                  <w:rFonts w:ascii="Cambria Math" w:hAnsi="Cambria Math" w:cs="Times New Roman"/>
                  <w:sz w:val="18"/>
                  <w:szCs w:val="18"/>
                </w:rPr>
                <m:t>)</m:t>
              </m:r>
            </m:oMath>
          </w:p>
        </w:tc>
        <w:tc>
          <w:tcPr>
            <w:tcW w:w="1985" w:type="dxa"/>
            <w:tcBorders>
              <w:top w:val="double" w:sz="4" w:space="0" w:color="auto"/>
              <w:bottom w:val="single" w:sz="4" w:space="0" w:color="auto"/>
            </w:tcBorders>
            <w:shd w:val="clear" w:color="auto" w:fill="auto"/>
          </w:tcPr>
          <w:p w14:paraId="07449A64" w14:textId="231903B3" w:rsidR="00AA4763" w:rsidRPr="00E378F7" w:rsidRDefault="001A701B" w:rsidP="008E4E1C">
            <w:pPr>
              <w:pStyle w:val="NoSpacing"/>
              <w:spacing w:line="360" w:lineRule="auto"/>
              <w:jc w:val="both"/>
              <w:rPr>
                <w:rFonts w:ascii="Times New Roman" w:hAnsi="Times New Roman" w:cs="Times New Roman"/>
                <w:sz w:val="18"/>
                <w:szCs w:val="18"/>
              </w:rPr>
            </w:pPr>
            <w:r w:rsidRPr="00E378F7">
              <w:rPr>
                <w:rFonts w:ascii="Times New Roman" w:hAnsi="Times New Roman" w:cs="Times New Roman"/>
                <w:sz w:val="18"/>
                <w:szCs w:val="18"/>
              </w:rPr>
              <w:t>0.683</w:t>
            </w:r>
          </w:p>
        </w:tc>
        <w:tc>
          <w:tcPr>
            <w:tcW w:w="1021" w:type="dxa"/>
            <w:tcBorders>
              <w:top w:val="double" w:sz="4" w:space="0" w:color="auto"/>
              <w:bottom w:val="single" w:sz="4" w:space="0" w:color="auto"/>
            </w:tcBorders>
            <w:shd w:val="clear" w:color="auto" w:fill="auto"/>
          </w:tcPr>
          <w:p w14:paraId="6DE3967D" w14:textId="77777777" w:rsidR="00AA4763" w:rsidRPr="00E378F7" w:rsidRDefault="00AA4763" w:rsidP="008E4E1C">
            <w:pPr>
              <w:pStyle w:val="NoSpacing"/>
              <w:spacing w:line="360" w:lineRule="auto"/>
              <w:jc w:val="both"/>
              <w:rPr>
                <w:rFonts w:ascii="Times New Roman" w:hAnsi="Times New Roman" w:cs="Times New Roman"/>
                <w:sz w:val="18"/>
                <w:szCs w:val="18"/>
              </w:rPr>
            </w:pPr>
          </w:p>
        </w:tc>
      </w:tr>
      <w:tr w:rsidR="00AA4763" w:rsidRPr="00E378F7" w14:paraId="5AEAE20B" w14:textId="77777777" w:rsidTr="001A701B">
        <w:tc>
          <w:tcPr>
            <w:tcW w:w="3510" w:type="dxa"/>
            <w:tcBorders>
              <w:top w:val="single" w:sz="4" w:space="0" w:color="auto"/>
              <w:bottom w:val="single" w:sz="4" w:space="0" w:color="auto"/>
            </w:tcBorders>
            <w:shd w:val="clear" w:color="auto" w:fill="auto"/>
          </w:tcPr>
          <w:p w14:paraId="5F2D3833" w14:textId="77777777" w:rsidR="00AA4763" w:rsidRPr="00E378F7" w:rsidRDefault="00AA4763" w:rsidP="008E4E1C">
            <w:pPr>
              <w:pStyle w:val="NoSpacing"/>
              <w:spacing w:line="360" w:lineRule="auto"/>
              <w:jc w:val="both"/>
              <w:rPr>
                <w:rFonts w:ascii="Times New Roman" w:hAnsi="Times New Roman" w:cs="Times New Roman"/>
                <w:sz w:val="18"/>
                <w:szCs w:val="18"/>
              </w:rPr>
            </w:pPr>
            <w:r w:rsidRPr="00E378F7">
              <w:rPr>
                <w:rFonts w:ascii="Times New Roman" w:hAnsi="Times New Roman" w:cs="Times New Roman"/>
                <w:sz w:val="18"/>
                <w:szCs w:val="18"/>
              </w:rPr>
              <w:t>Slope parameter (</w:t>
            </w:r>
            <m:oMath>
              <m:r>
                <w:rPr>
                  <w:rFonts w:ascii="Cambria Math" w:hAnsi="Cambria Math" w:cs="Times New Roman"/>
                  <w:sz w:val="18"/>
                  <w:szCs w:val="18"/>
                </w:rPr>
                <m:t>γ</m:t>
              </m:r>
              <m:r>
                <m:rPr>
                  <m:sty m:val="p"/>
                </m:rPr>
                <w:rPr>
                  <w:rFonts w:ascii="Cambria Math" w:hAnsi="Cambria Math" w:cs="Times New Roman"/>
                  <w:sz w:val="18"/>
                  <w:szCs w:val="18"/>
                </w:rPr>
                <m:t>)</m:t>
              </m:r>
            </m:oMath>
          </w:p>
        </w:tc>
        <w:tc>
          <w:tcPr>
            <w:tcW w:w="1985" w:type="dxa"/>
            <w:tcBorders>
              <w:top w:val="single" w:sz="4" w:space="0" w:color="auto"/>
              <w:bottom w:val="single" w:sz="4" w:space="0" w:color="auto"/>
            </w:tcBorders>
            <w:shd w:val="clear" w:color="auto" w:fill="auto"/>
          </w:tcPr>
          <w:p w14:paraId="64D1E5E0" w14:textId="198AABEB" w:rsidR="00AA4763" w:rsidRPr="00E378F7" w:rsidRDefault="001A701B" w:rsidP="008E4E1C">
            <w:pPr>
              <w:pStyle w:val="NoSpacing"/>
              <w:spacing w:line="360" w:lineRule="auto"/>
              <w:jc w:val="both"/>
              <w:rPr>
                <w:rFonts w:ascii="Times New Roman" w:hAnsi="Times New Roman" w:cs="Times New Roman"/>
                <w:sz w:val="18"/>
                <w:szCs w:val="18"/>
              </w:rPr>
            </w:pPr>
            <w:r w:rsidRPr="00E378F7">
              <w:rPr>
                <w:rFonts w:ascii="Times New Roman" w:hAnsi="Times New Roman" w:cs="Times New Roman"/>
                <w:sz w:val="18"/>
                <w:szCs w:val="18"/>
              </w:rPr>
              <w:t>15.75</w:t>
            </w:r>
          </w:p>
        </w:tc>
        <w:tc>
          <w:tcPr>
            <w:tcW w:w="1021" w:type="dxa"/>
            <w:tcBorders>
              <w:top w:val="single" w:sz="4" w:space="0" w:color="auto"/>
              <w:bottom w:val="single" w:sz="4" w:space="0" w:color="auto"/>
            </w:tcBorders>
            <w:shd w:val="clear" w:color="auto" w:fill="auto"/>
          </w:tcPr>
          <w:p w14:paraId="636CAB0C" w14:textId="77777777" w:rsidR="00AA4763" w:rsidRPr="00E378F7" w:rsidRDefault="00AA4763" w:rsidP="008E4E1C">
            <w:pPr>
              <w:pStyle w:val="NoSpacing"/>
              <w:spacing w:line="360" w:lineRule="auto"/>
              <w:jc w:val="both"/>
              <w:rPr>
                <w:rFonts w:ascii="Times New Roman" w:hAnsi="Times New Roman" w:cs="Times New Roman"/>
                <w:sz w:val="18"/>
                <w:szCs w:val="18"/>
              </w:rPr>
            </w:pPr>
          </w:p>
        </w:tc>
      </w:tr>
      <w:tr w:rsidR="00AA4763" w:rsidRPr="00E378F7" w14:paraId="0546561A" w14:textId="77777777" w:rsidTr="001A701B">
        <w:tc>
          <w:tcPr>
            <w:tcW w:w="3510" w:type="dxa"/>
            <w:tcBorders>
              <w:top w:val="single" w:sz="4" w:space="0" w:color="auto"/>
            </w:tcBorders>
            <w:shd w:val="clear" w:color="auto" w:fill="auto"/>
          </w:tcPr>
          <w:p w14:paraId="7FEEB568" w14:textId="77777777" w:rsidR="00AA4763" w:rsidRPr="00E378F7" w:rsidRDefault="00AA4763" w:rsidP="008E4E1C">
            <w:pPr>
              <w:pStyle w:val="NoSpacing"/>
              <w:spacing w:line="360" w:lineRule="auto"/>
              <w:jc w:val="both"/>
              <w:rPr>
                <w:rFonts w:ascii="Times New Roman" w:hAnsi="Times New Roman" w:cs="Times New Roman"/>
                <w:sz w:val="18"/>
                <w:szCs w:val="18"/>
              </w:rPr>
            </w:pPr>
            <w:r w:rsidRPr="00E378F7">
              <w:rPr>
                <w:rFonts w:ascii="Times New Roman" w:hAnsi="Times New Roman" w:cs="Times New Roman"/>
                <w:sz w:val="18"/>
                <w:szCs w:val="18"/>
              </w:rPr>
              <w:t>Lagged private sector credit to GDP</w:t>
            </w:r>
          </w:p>
        </w:tc>
        <w:tc>
          <w:tcPr>
            <w:tcW w:w="1985" w:type="dxa"/>
            <w:tcBorders>
              <w:top w:val="single" w:sz="4" w:space="0" w:color="auto"/>
            </w:tcBorders>
            <w:shd w:val="clear" w:color="auto" w:fill="auto"/>
          </w:tcPr>
          <w:p w14:paraId="03B248D3" w14:textId="77F20918" w:rsidR="00AA4763" w:rsidRPr="00E378F7" w:rsidRDefault="007C16AF" w:rsidP="008E4E1C">
            <w:pPr>
              <w:pStyle w:val="NoSpacing"/>
              <w:spacing w:line="360" w:lineRule="auto"/>
              <w:jc w:val="both"/>
              <w:rPr>
                <w:rFonts w:ascii="Times New Roman" w:hAnsi="Times New Roman" w:cs="Times New Roman"/>
                <w:sz w:val="18"/>
                <w:szCs w:val="18"/>
                <w:lang w:val="en-GB" w:eastAsia="en-GB"/>
              </w:rPr>
            </w:pPr>
            <w:r w:rsidRPr="00E378F7">
              <w:rPr>
                <w:rFonts w:ascii="Times New Roman" w:hAnsi="Times New Roman" w:cs="Times New Roman"/>
                <w:sz w:val="18"/>
                <w:szCs w:val="18"/>
                <w:lang w:val="en-GB" w:eastAsia="en-GB"/>
              </w:rPr>
              <w:t>0.110**</w:t>
            </w:r>
          </w:p>
          <w:p w14:paraId="69A08BCF" w14:textId="77777777" w:rsidR="00AA4763" w:rsidRPr="00E378F7" w:rsidRDefault="00AA4763" w:rsidP="008E4E1C">
            <w:pPr>
              <w:pStyle w:val="NoSpacing"/>
              <w:spacing w:line="360" w:lineRule="auto"/>
              <w:jc w:val="both"/>
              <w:rPr>
                <w:rFonts w:ascii="Times New Roman" w:hAnsi="Times New Roman" w:cs="Times New Roman"/>
                <w:sz w:val="18"/>
                <w:szCs w:val="18"/>
              </w:rPr>
            </w:pPr>
            <w:r w:rsidRPr="00E378F7">
              <w:rPr>
                <w:rFonts w:ascii="Times New Roman" w:hAnsi="Times New Roman" w:cs="Times New Roman"/>
                <w:sz w:val="18"/>
                <w:szCs w:val="18"/>
              </w:rPr>
              <w:t>(</w:t>
            </w:r>
            <w:r w:rsidR="007C16AF" w:rsidRPr="00E378F7">
              <w:rPr>
                <w:rFonts w:ascii="Times New Roman" w:hAnsi="Times New Roman" w:cs="Times New Roman"/>
                <w:sz w:val="18"/>
                <w:szCs w:val="18"/>
                <w:lang w:val="en-GB" w:eastAsia="en-GB"/>
              </w:rPr>
              <w:t>0.045</w:t>
            </w:r>
            <w:r w:rsidRPr="00E378F7">
              <w:rPr>
                <w:rFonts w:ascii="Times New Roman" w:hAnsi="Times New Roman" w:cs="Times New Roman"/>
                <w:sz w:val="18"/>
                <w:szCs w:val="18"/>
              </w:rPr>
              <w:t>)</w:t>
            </w:r>
          </w:p>
        </w:tc>
        <w:tc>
          <w:tcPr>
            <w:tcW w:w="1021" w:type="dxa"/>
            <w:tcBorders>
              <w:top w:val="single" w:sz="4" w:space="0" w:color="auto"/>
            </w:tcBorders>
            <w:shd w:val="clear" w:color="auto" w:fill="auto"/>
          </w:tcPr>
          <w:p w14:paraId="4F207723" w14:textId="1B53DCCD" w:rsidR="00AA4763" w:rsidRPr="00E378F7" w:rsidRDefault="00980670" w:rsidP="008E4E1C">
            <w:pPr>
              <w:pStyle w:val="NoSpacing"/>
              <w:spacing w:line="360" w:lineRule="auto"/>
              <w:jc w:val="both"/>
              <w:rPr>
                <w:rFonts w:ascii="Times New Roman" w:hAnsi="Times New Roman" w:cs="Times New Roman"/>
                <w:sz w:val="18"/>
                <w:szCs w:val="18"/>
              </w:rPr>
            </w:pPr>
            <w:r w:rsidRPr="00E378F7">
              <w:rPr>
                <w:rFonts w:ascii="Times New Roman" w:hAnsi="Times New Roman" w:cs="Times New Roman"/>
                <w:sz w:val="18"/>
                <w:szCs w:val="18"/>
                <w:lang w:val="en-GB" w:eastAsia="en-GB"/>
              </w:rPr>
              <w:t>-0.264</w:t>
            </w:r>
            <w:r w:rsidR="00AA4763" w:rsidRPr="00E378F7">
              <w:rPr>
                <w:rFonts w:ascii="Times New Roman" w:hAnsi="Times New Roman" w:cs="Times New Roman"/>
                <w:sz w:val="18"/>
                <w:szCs w:val="18"/>
              </w:rPr>
              <w:t>**</w:t>
            </w:r>
            <w:r w:rsidRPr="00E378F7">
              <w:rPr>
                <w:rFonts w:ascii="Times New Roman" w:hAnsi="Times New Roman" w:cs="Times New Roman"/>
                <w:sz w:val="18"/>
                <w:szCs w:val="18"/>
              </w:rPr>
              <w:t>*</w:t>
            </w:r>
          </w:p>
          <w:p w14:paraId="2B876BFB" w14:textId="77777777" w:rsidR="00AA4763" w:rsidRPr="00E378F7" w:rsidRDefault="00AA4763" w:rsidP="008E4E1C">
            <w:pPr>
              <w:pStyle w:val="NoSpacing"/>
              <w:spacing w:line="360" w:lineRule="auto"/>
              <w:jc w:val="both"/>
              <w:rPr>
                <w:rFonts w:ascii="Times New Roman" w:hAnsi="Times New Roman" w:cs="Times New Roman"/>
                <w:sz w:val="18"/>
                <w:szCs w:val="18"/>
              </w:rPr>
            </w:pPr>
            <w:r w:rsidRPr="00E378F7">
              <w:rPr>
                <w:rFonts w:ascii="Times New Roman" w:hAnsi="Times New Roman" w:cs="Times New Roman"/>
                <w:sz w:val="18"/>
                <w:szCs w:val="18"/>
              </w:rPr>
              <w:t>(</w:t>
            </w:r>
            <w:r w:rsidR="00980670" w:rsidRPr="00E378F7">
              <w:rPr>
                <w:rFonts w:ascii="Times New Roman" w:hAnsi="Times New Roman" w:cs="Times New Roman"/>
                <w:sz w:val="18"/>
                <w:szCs w:val="18"/>
                <w:lang w:val="en-GB" w:eastAsia="en-GB"/>
              </w:rPr>
              <w:t>0.048</w:t>
            </w:r>
            <w:r w:rsidRPr="00E378F7">
              <w:rPr>
                <w:rFonts w:ascii="Times New Roman" w:hAnsi="Times New Roman" w:cs="Times New Roman"/>
                <w:sz w:val="18"/>
                <w:szCs w:val="18"/>
              </w:rPr>
              <w:t>)</w:t>
            </w:r>
          </w:p>
        </w:tc>
      </w:tr>
      <w:tr w:rsidR="00AA4763" w:rsidRPr="00E378F7" w14:paraId="5061AF64" w14:textId="77777777" w:rsidTr="001A701B">
        <w:tc>
          <w:tcPr>
            <w:tcW w:w="3510" w:type="dxa"/>
            <w:shd w:val="clear" w:color="auto" w:fill="auto"/>
          </w:tcPr>
          <w:p w14:paraId="7661D5B8" w14:textId="77777777" w:rsidR="00AA4763" w:rsidRPr="00E378F7" w:rsidRDefault="00AA4763" w:rsidP="008E4E1C">
            <w:pPr>
              <w:pStyle w:val="NoSpacing"/>
              <w:spacing w:line="360" w:lineRule="auto"/>
              <w:jc w:val="both"/>
              <w:rPr>
                <w:rFonts w:ascii="Times New Roman" w:hAnsi="Times New Roman" w:cs="Times New Roman"/>
                <w:sz w:val="18"/>
                <w:szCs w:val="18"/>
              </w:rPr>
            </w:pPr>
            <w:r w:rsidRPr="00E378F7">
              <w:rPr>
                <w:rFonts w:ascii="Times New Roman" w:hAnsi="Times New Roman" w:cs="Times New Roman"/>
                <w:sz w:val="18"/>
                <w:szCs w:val="18"/>
              </w:rPr>
              <w:t>Lagged log initial real GDP per capita</w:t>
            </w:r>
          </w:p>
        </w:tc>
        <w:tc>
          <w:tcPr>
            <w:tcW w:w="1985" w:type="dxa"/>
            <w:shd w:val="clear" w:color="auto" w:fill="auto"/>
          </w:tcPr>
          <w:p w14:paraId="2250EF7A" w14:textId="7B4A5A58" w:rsidR="00AA4763" w:rsidRPr="00E378F7" w:rsidRDefault="007C16AF" w:rsidP="008E4E1C">
            <w:pPr>
              <w:pStyle w:val="NoSpacing"/>
              <w:spacing w:line="360" w:lineRule="auto"/>
              <w:jc w:val="both"/>
              <w:rPr>
                <w:rFonts w:ascii="Times New Roman" w:hAnsi="Times New Roman" w:cs="Times New Roman"/>
                <w:sz w:val="18"/>
                <w:szCs w:val="18"/>
              </w:rPr>
            </w:pPr>
            <w:r w:rsidRPr="00E378F7">
              <w:rPr>
                <w:rFonts w:ascii="Times New Roman" w:hAnsi="Times New Roman" w:cs="Times New Roman"/>
                <w:sz w:val="18"/>
                <w:szCs w:val="18"/>
              </w:rPr>
              <w:t>0.737</w:t>
            </w:r>
            <w:r w:rsidR="00AA4763" w:rsidRPr="00E378F7">
              <w:rPr>
                <w:rFonts w:ascii="Times New Roman" w:hAnsi="Times New Roman" w:cs="Times New Roman"/>
                <w:sz w:val="18"/>
                <w:szCs w:val="18"/>
              </w:rPr>
              <w:t>***</w:t>
            </w:r>
          </w:p>
          <w:p w14:paraId="15FFEA13" w14:textId="77777777" w:rsidR="00AA4763" w:rsidRPr="00E378F7" w:rsidRDefault="007C16AF" w:rsidP="008E4E1C">
            <w:pPr>
              <w:pStyle w:val="NoSpacing"/>
              <w:spacing w:line="360" w:lineRule="auto"/>
              <w:jc w:val="both"/>
              <w:rPr>
                <w:rFonts w:ascii="Times New Roman" w:hAnsi="Times New Roman" w:cs="Times New Roman"/>
                <w:sz w:val="18"/>
                <w:szCs w:val="18"/>
              </w:rPr>
            </w:pPr>
            <w:r w:rsidRPr="00E378F7">
              <w:rPr>
                <w:rFonts w:ascii="Times New Roman" w:hAnsi="Times New Roman" w:cs="Times New Roman"/>
                <w:sz w:val="18"/>
                <w:szCs w:val="18"/>
              </w:rPr>
              <w:t>(0.042</w:t>
            </w:r>
            <w:r w:rsidR="00AA4763" w:rsidRPr="00E378F7">
              <w:rPr>
                <w:rFonts w:ascii="Times New Roman" w:hAnsi="Times New Roman" w:cs="Times New Roman"/>
                <w:sz w:val="18"/>
                <w:szCs w:val="18"/>
              </w:rPr>
              <w:t>)</w:t>
            </w:r>
          </w:p>
        </w:tc>
        <w:tc>
          <w:tcPr>
            <w:tcW w:w="1021" w:type="dxa"/>
            <w:shd w:val="clear" w:color="auto" w:fill="auto"/>
          </w:tcPr>
          <w:p w14:paraId="15C38AB6" w14:textId="77777777" w:rsidR="00AA4763" w:rsidRPr="00E378F7" w:rsidRDefault="00980670" w:rsidP="008E4E1C">
            <w:pPr>
              <w:pStyle w:val="NoSpacing"/>
              <w:spacing w:line="360" w:lineRule="auto"/>
              <w:jc w:val="both"/>
              <w:rPr>
                <w:rFonts w:ascii="Times New Roman" w:hAnsi="Times New Roman" w:cs="Times New Roman"/>
                <w:sz w:val="18"/>
                <w:szCs w:val="18"/>
              </w:rPr>
            </w:pPr>
            <w:r w:rsidRPr="00E378F7">
              <w:rPr>
                <w:rFonts w:ascii="Times New Roman" w:hAnsi="Times New Roman" w:cs="Times New Roman"/>
                <w:sz w:val="18"/>
                <w:szCs w:val="18"/>
                <w:lang w:val="en-GB" w:eastAsia="en-GB"/>
              </w:rPr>
              <w:t>-0.107</w:t>
            </w:r>
            <w:r w:rsidR="00AA4763" w:rsidRPr="00E378F7">
              <w:rPr>
                <w:rFonts w:ascii="Times New Roman" w:hAnsi="Times New Roman" w:cs="Times New Roman"/>
                <w:sz w:val="18"/>
                <w:szCs w:val="18"/>
              </w:rPr>
              <w:t>*</w:t>
            </w:r>
            <w:r w:rsidR="00866053" w:rsidRPr="00E378F7">
              <w:rPr>
                <w:rFonts w:ascii="Times New Roman" w:hAnsi="Times New Roman" w:cs="Times New Roman"/>
                <w:sz w:val="18"/>
                <w:szCs w:val="18"/>
              </w:rPr>
              <w:t>**</w:t>
            </w:r>
          </w:p>
          <w:p w14:paraId="09AD1740" w14:textId="6E78D2CF" w:rsidR="00AA4763" w:rsidRPr="00E378F7" w:rsidRDefault="00AA4763" w:rsidP="008E4E1C">
            <w:pPr>
              <w:pStyle w:val="NoSpacing"/>
              <w:spacing w:line="360" w:lineRule="auto"/>
              <w:jc w:val="both"/>
              <w:rPr>
                <w:rFonts w:ascii="Times New Roman" w:hAnsi="Times New Roman" w:cs="Times New Roman"/>
                <w:sz w:val="18"/>
                <w:szCs w:val="18"/>
              </w:rPr>
            </w:pPr>
            <w:r w:rsidRPr="00E378F7">
              <w:rPr>
                <w:rFonts w:ascii="Times New Roman" w:hAnsi="Times New Roman" w:cs="Times New Roman"/>
                <w:sz w:val="18"/>
                <w:szCs w:val="18"/>
              </w:rPr>
              <w:t>(</w:t>
            </w:r>
            <w:r w:rsidR="00980670" w:rsidRPr="00E378F7">
              <w:rPr>
                <w:rFonts w:ascii="Times New Roman" w:hAnsi="Times New Roman" w:cs="Times New Roman"/>
                <w:sz w:val="18"/>
                <w:szCs w:val="18"/>
                <w:lang w:val="en-GB" w:eastAsia="en-GB"/>
              </w:rPr>
              <w:t>0.026</w:t>
            </w:r>
            <w:r w:rsidRPr="00E378F7">
              <w:rPr>
                <w:rFonts w:ascii="Times New Roman" w:hAnsi="Times New Roman" w:cs="Times New Roman"/>
                <w:sz w:val="18"/>
                <w:szCs w:val="18"/>
              </w:rPr>
              <w:t>)</w:t>
            </w:r>
          </w:p>
        </w:tc>
      </w:tr>
      <w:tr w:rsidR="00AA4763" w:rsidRPr="00E378F7" w14:paraId="331A2B56" w14:textId="77777777" w:rsidTr="001A701B">
        <w:trPr>
          <w:trHeight w:val="427"/>
        </w:trPr>
        <w:tc>
          <w:tcPr>
            <w:tcW w:w="3510" w:type="dxa"/>
            <w:shd w:val="clear" w:color="auto" w:fill="auto"/>
          </w:tcPr>
          <w:p w14:paraId="4E92718F" w14:textId="77777777" w:rsidR="00AA4763" w:rsidRPr="00E378F7" w:rsidRDefault="00AA4763" w:rsidP="008E4E1C">
            <w:pPr>
              <w:pStyle w:val="NoSpacing"/>
              <w:spacing w:line="360" w:lineRule="auto"/>
              <w:jc w:val="both"/>
              <w:rPr>
                <w:rFonts w:ascii="Times New Roman" w:hAnsi="Times New Roman" w:cs="Times New Roman"/>
                <w:sz w:val="18"/>
                <w:szCs w:val="18"/>
              </w:rPr>
            </w:pPr>
            <w:r w:rsidRPr="00E378F7">
              <w:rPr>
                <w:rFonts w:ascii="Times New Roman" w:hAnsi="Times New Roman" w:cs="Times New Roman"/>
                <w:sz w:val="18"/>
                <w:szCs w:val="18"/>
              </w:rPr>
              <w:t>Lagged human capital</w:t>
            </w:r>
          </w:p>
        </w:tc>
        <w:tc>
          <w:tcPr>
            <w:tcW w:w="1985" w:type="dxa"/>
            <w:shd w:val="clear" w:color="auto" w:fill="auto"/>
          </w:tcPr>
          <w:p w14:paraId="631B59CE" w14:textId="77777777" w:rsidR="00AA4763" w:rsidRPr="00E378F7" w:rsidRDefault="00980670" w:rsidP="008E4E1C">
            <w:pPr>
              <w:pStyle w:val="NoSpacing"/>
              <w:spacing w:line="360" w:lineRule="auto"/>
              <w:jc w:val="both"/>
              <w:rPr>
                <w:rFonts w:ascii="Times New Roman" w:hAnsi="Times New Roman" w:cs="Times New Roman"/>
                <w:sz w:val="18"/>
                <w:szCs w:val="18"/>
              </w:rPr>
            </w:pPr>
            <w:r w:rsidRPr="00E378F7">
              <w:rPr>
                <w:rFonts w:ascii="Times New Roman" w:hAnsi="Times New Roman" w:cs="Times New Roman"/>
                <w:sz w:val="18"/>
                <w:szCs w:val="18"/>
                <w:lang w:val="en-GB" w:eastAsia="en-GB"/>
              </w:rPr>
              <w:t>-0.1</w:t>
            </w:r>
            <w:r w:rsidR="007C16AF" w:rsidRPr="00E378F7">
              <w:rPr>
                <w:rFonts w:ascii="Times New Roman" w:hAnsi="Times New Roman" w:cs="Times New Roman"/>
                <w:sz w:val="18"/>
                <w:szCs w:val="18"/>
                <w:lang w:val="en-GB" w:eastAsia="en-GB"/>
              </w:rPr>
              <w:t>13</w:t>
            </w:r>
            <w:r w:rsidR="00AA4763" w:rsidRPr="00E378F7">
              <w:rPr>
                <w:rFonts w:ascii="Times New Roman" w:hAnsi="Times New Roman" w:cs="Times New Roman"/>
                <w:sz w:val="18"/>
                <w:szCs w:val="18"/>
              </w:rPr>
              <w:t>*</w:t>
            </w:r>
            <w:r w:rsidR="007C16AF" w:rsidRPr="00E378F7">
              <w:rPr>
                <w:rFonts w:ascii="Times New Roman" w:hAnsi="Times New Roman" w:cs="Times New Roman"/>
                <w:sz w:val="18"/>
                <w:szCs w:val="18"/>
              </w:rPr>
              <w:t>*</w:t>
            </w:r>
          </w:p>
          <w:p w14:paraId="2B513264" w14:textId="2C3C3E52" w:rsidR="00AA4763" w:rsidRPr="00E378F7" w:rsidRDefault="00AA4763" w:rsidP="008E4E1C">
            <w:pPr>
              <w:pStyle w:val="NoSpacing"/>
              <w:spacing w:line="360" w:lineRule="auto"/>
              <w:jc w:val="both"/>
              <w:rPr>
                <w:rFonts w:ascii="Times New Roman" w:hAnsi="Times New Roman" w:cs="Times New Roman"/>
                <w:sz w:val="18"/>
                <w:szCs w:val="18"/>
              </w:rPr>
            </w:pPr>
            <w:r w:rsidRPr="00E378F7">
              <w:rPr>
                <w:rFonts w:ascii="Times New Roman" w:hAnsi="Times New Roman" w:cs="Times New Roman"/>
                <w:sz w:val="18"/>
                <w:szCs w:val="18"/>
              </w:rPr>
              <w:t>(</w:t>
            </w:r>
            <w:r w:rsidR="007C16AF" w:rsidRPr="00E378F7">
              <w:rPr>
                <w:rFonts w:ascii="Times New Roman" w:hAnsi="Times New Roman" w:cs="Times New Roman"/>
                <w:sz w:val="18"/>
                <w:szCs w:val="18"/>
                <w:lang w:val="en-GB" w:eastAsia="en-GB"/>
              </w:rPr>
              <w:t>0.045</w:t>
            </w:r>
            <w:r w:rsidRPr="00E378F7">
              <w:rPr>
                <w:rFonts w:ascii="Times New Roman" w:hAnsi="Times New Roman" w:cs="Times New Roman"/>
                <w:sz w:val="18"/>
                <w:szCs w:val="18"/>
              </w:rPr>
              <w:t>)</w:t>
            </w:r>
          </w:p>
        </w:tc>
        <w:tc>
          <w:tcPr>
            <w:tcW w:w="1021" w:type="dxa"/>
            <w:shd w:val="clear" w:color="auto" w:fill="auto"/>
          </w:tcPr>
          <w:p w14:paraId="6506F826" w14:textId="77777777" w:rsidR="00AA4763" w:rsidRPr="00E378F7" w:rsidRDefault="00866053" w:rsidP="008E4E1C">
            <w:pPr>
              <w:pStyle w:val="NoSpacing"/>
              <w:spacing w:line="360" w:lineRule="auto"/>
              <w:jc w:val="both"/>
              <w:rPr>
                <w:rFonts w:ascii="Times New Roman" w:hAnsi="Times New Roman" w:cs="Times New Roman"/>
                <w:sz w:val="18"/>
                <w:szCs w:val="18"/>
              </w:rPr>
            </w:pPr>
            <w:r w:rsidRPr="00E378F7">
              <w:rPr>
                <w:rFonts w:ascii="Times New Roman" w:hAnsi="Times New Roman" w:cs="Times New Roman"/>
                <w:sz w:val="18"/>
                <w:szCs w:val="18"/>
                <w:lang w:val="en-GB" w:eastAsia="en-GB"/>
              </w:rPr>
              <w:t>0.156</w:t>
            </w:r>
            <w:r w:rsidR="00AA4763" w:rsidRPr="00E378F7">
              <w:rPr>
                <w:rFonts w:ascii="Times New Roman" w:hAnsi="Times New Roman" w:cs="Times New Roman"/>
                <w:sz w:val="18"/>
                <w:szCs w:val="18"/>
              </w:rPr>
              <w:t>***</w:t>
            </w:r>
          </w:p>
          <w:p w14:paraId="576AB121" w14:textId="77777777" w:rsidR="00AA4763" w:rsidRPr="00E378F7" w:rsidRDefault="00AA4763" w:rsidP="008E4E1C">
            <w:pPr>
              <w:pStyle w:val="NoSpacing"/>
              <w:spacing w:line="360" w:lineRule="auto"/>
              <w:jc w:val="both"/>
              <w:rPr>
                <w:rFonts w:ascii="Times New Roman" w:hAnsi="Times New Roman" w:cs="Times New Roman"/>
                <w:sz w:val="18"/>
                <w:szCs w:val="18"/>
              </w:rPr>
            </w:pPr>
            <w:r w:rsidRPr="00E378F7">
              <w:rPr>
                <w:rFonts w:ascii="Times New Roman" w:hAnsi="Times New Roman" w:cs="Times New Roman"/>
                <w:sz w:val="18"/>
                <w:szCs w:val="18"/>
              </w:rPr>
              <w:t>(</w:t>
            </w:r>
            <w:r w:rsidR="00866053" w:rsidRPr="00E378F7">
              <w:rPr>
                <w:rFonts w:ascii="Times New Roman" w:hAnsi="Times New Roman" w:cs="Times New Roman"/>
                <w:sz w:val="18"/>
                <w:szCs w:val="18"/>
                <w:lang w:val="en-GB" w:eastAsia="en-GB"/>
              </w:rPr>
              <w:t>0.044</w:t>
            </w:r>
            <w:r w:rsidRPr="00E378F7">
              <w:rPr>
                <w:rFonts w:ascii="Times New Roman" w:hAnsi="Times New Roman" w:cs="Times New Roman"/>
                <w:sz w:val="18"/>
                <w:szCs w:val="18"/>
              </w:rPr>
              <w:t>)</w:t>
            </w:r>
          </w:p>
        </w:tc>
      </w:tr>
      <w:tr w:rsidR="00AA4763" w:rsidRPr="00E378F7" w14:paraId="74B51B19" w14:textId="77777777" w:rsidTr="001A701B">
        <w:tc>
          <w:tcPr>
            <w:tcW w:w="3510" w:type="dxa"/>
            <w:shd w:val="clear" w:color="auto" w:fill="auto"/>
          </w:tcPr>
          <w:p w14:paraId="0DFD4EBF" w14:textId="77777777" w:rsidR="00AA4763" w:rsidRPr="00E378F7" w:rsidRDefault="00AA4763" w:rsidP="008E4E1C">
            <w:pPr>
              <w:pStyle w:val="NoSpacing"/>
              <w:spacing w:line="360" w:lineRule="auto"/>
              <w:jc w:val="both"/>
              <w:rPr>
                <w:rFonts w:ascii="Times New Roman" w:hAnsi="Times New Roman" w:cs="Times New Roman"/>
                <w:sz w:val="18"/>
                <w:szCs w:val="18"/>
              </w:rPr>
            </w:pPr>
            <w:r w:rsidRPr="00E378F7">
              <w:rPr>
                <w:rFonts w:ascii="Times New Roman" w:hAnsi="Times New Roman" w:cs="Times New Roman"/>
                <w:sz w:val="18"/>
                <w:szCs w:val="18"/>
              </w:rPr>
              <w:t>Lagged net FDI inflows to GDP</w:t>
            </w:r>
          </w:p>
        </w:tc>
        <w:tc>
          <w:tcPr>
            <w:tcW w:w="1985" w:type="dxa"/>
            <w:shd w:val="clear" w:color="auto" w:fill="auto"/>
          </w:tcPr>
          <w:p w14:paraId="49C2BA52" w14:textId="1E2F91A7" w:rsidR="00AA4763" w:rsidRPr="00E378F7" w:rsidRDefault="007C16AF" w:rsidP="008E4E1C">
            <w:pPr>
              <w:pStyle w:val="NoSpacing"/>
              <w:spacing w:line="360" w:lineRule="auto"/>
              <w:jc w:val="both"/>
              <w:rPr>
                <w:rFonts w:ascii="Times New Roman" w:hAnsi="Times New Roman" w:cs="Times New Roman"/>
                <w:sz w:val="18"/>
                <w:szCs w:val="18"/>
              </w:rPr>
            </w:pPr>
            <w:r w:rsidRPr="00E378F7">
              <w:rPr>
                <w:rFonts w:ascii="Times New Roman" w:hAnsi="Times New Roman" w:cs="Times New Roman"/>
                <w:sz w:val="18"/>
                <w:szCs w:val="18"/>
                <w:lang w:val="en-GB" w:eastAsia="en-GB"/>
              </w:rPr>
              <w:t>0.207</w:t>
            </w:r>
            <w:r w:rsidRPr="00E378F7">
              <w:rPr>
                <w:rFonts w:ascii="Times New Roman" w:hAnsi="Times New Roman" w:cs="Times New Roman"/>
                <w:sz w:val="18"/>
                <w:szCs w:val="18"/>
              </w:rPr>
              <w:t>**</w:t>
            </w:r>
          </w:p>
          <w:p w14:paraId="4E72B9D3" w14:textId="15973C46" w:rsidR="00AA4763" w:rsidRPr="00E378F7" w:rsidRDefault="00AA4763" w:rsidP="008E4E1C">
            <w:pPr>
              <w:pStyle w:val="NoSpacing"/>
              <w:spacing w:line="360" w:lineRule="auto"/>
              <w:jc w:val="both"/>
              <w:rPr>
                <w:rFonts w:ascii="Times New Roman" w:hAnsi="Times New Roman" w:cs="Times New Roman"/>
                <w:sz w:val="18"/>
                <w:szCs w:val="18"/>
              </w:rPr>
            </w:pPr>
            <w:r w:rsidRPr="00E378F7">
              <w:rPr>
                <w:rFonts w:ascii="Times New Roman" w:hAnsi="Times New Roman" w:cs="Times New Roman"/>
                <w:sz w:val="18"/>
                <w:szCs w:val="18"/>
              </w:rPr>
              <w:t>(</w:t>
            </w:r>
            <w:r w:rsidR="007C16AF" w:rsidRPr="00E378F7">
              <w:rPr>
                <w:rFonts w:ascii="Times New Roman" w:hAnsi="Times New Roman" w:cs="Times New Roman"/>
                <w:sz w:val="18"/>
                <w:szCs w:val="18"/>
                <w:lang w:val="en-GB" w:eastAsia="en-GB"/>
              </w:rPr>
              <w:t>0.078</w:t>
            </w:r>
            <w:r w:rsidRPr="00E378F7">
              <w:rPr>
                <w:rFonts w:ascii="Times New Roman" w:hAnsi="Times New Roman" w:cs="Times New Roman"/>
                <w:sz w:val="18"/>
                <w:szCs w:val="18"/>
              </w:rPr>
              <w:t>)</w:t>
            </w:r>
          </w:p>
        </w:tc>
        <w:tc>
          <w:tcPr>
            <w:tcW w:w="1021" w:type="dxa"/>
            <w:shd w:val="clear" w:color="auto" w:fill="auto"/>
          </w:tcPr>
          <w:p w14:paraId="224FABEC" w14:textId="77777777" w:rsidR="00AA4763" w:rsidRPr="00E378F7" w:rsidRDefault="00866053" w:rsidP="008E4E1C">
            <w:pPr>
              <w:pStyle w:val="NoSpacing"/>
              <w:spacing w:line="360" w:lineRule="auto"/>
              <w:jc w:val="both"/>
              <w:rPr>
                <w:rFonts w:ascii="Times New Roman" w:hAnsi="Times New Roman" w:cs="Times New Roman"/>
                <w:sz w:val="18"/>
                <w:szCs w:val="18"/>
              </w:rPr>
            </w:pPr>
            <w:r w:rsidRPr="00E378F7">
              <w:rPr>
                <w:rFonts w:ascii="Times New Roman" w:hAnsi="Times New Roman" w:cs="Times New Roman"/>
                <w:sz w:val="18"/>
                <w:szCs w:val="18"/>
              </w:rPr>
              <w:t>-</w:t>
            </w:r>
            <w:r w:rsidR="00AA4763" w:rsidRPr="00E378F7">
              <w:rPr>
                <w:rFonts w:ascii="Times New Roman" w:hAnsi="Times New Roman" w:cs="Times New Roman"/>
                <w:sz w:val="18"/>
                <w:szCs w:val="18"/>
              </w:rPr>
              <w:t>0.</w:t>
            </w:r>
            <w:r w:rsidRPr="00E378F7">
              <w:rPr>
                <w:rFonts w:ascii="Times New Roman" w:hAnsi="Times New Roman" w:cs="Times New Roman"/>
                <w:sz w:val="18"/>
                <w:szCs w:val="18"/>
              </w:rPr>
              <w:t>856</w:t>
            </w:r>
            <w:r w:rsidR="00AA4763" w:rsidRPr="00E378F7">
              <w:rPr>
                <w:rFonts w:ascii="Times New Roman" w:hAnsi="Times New Roman" w:cs="Times New Roman"/>
                <w:sz w:val="18"/>
                <w:szCs w:val="18"/>
              </w:rPr>
              <w:t xml:space="preserve"> ***</w:t>
            </w:r>
          </w:p>
          <w:p w14:paraId="65832F29" w14:textId="77777777" w:rsidR="00AA4763" w:rsidRPr="00E378F7" w:rsidRDefault="00866053" w:rsidP="008E4E1C">
            <w:pPr>
              <w:pStyle w:val="NoSpacing"/>
              <w:spacing w:line="360" w:lineRule="auto"/>
              <w:jc w:val="both"/>
              <w:rPr>
                <w:rFonts w:ascii="Times New Roman" w:hAnsi="Times New Roman" w:cs="Times New Roman"/>
                <w:sz w:val="18"/>
                <w:szCs w:val="18"/>
              </w:rPr>
            </w:pPr>
            <w:r w:rsidRPr="00E378F7">
              <w:rPr>
                <w:rFonts w:ascii="Times New Roman" w:hAnsi="Times New Roman" w:cs="Times New Roman"/>
                <w:sz w:val="18"/>
                <w:szCs w:val="18"/>
              </w:rPr>
              <w:t>(0.242)</w:t>
            </w:r>
          </w:p>
        </w:tc>
      </w:tr>
      <w:tr w:rsidR="00AA4763" w:rsidRPr="00E378F7" w14:paraId="56592E48" w14:textId="77777777" w:rsidTr="001A701B">
        <w:tc>
          <w:tcPr>
            <w:tcW w:w="3510" w:type="dxa"/>
            <w:shd w:val="clear" w:color="auto" w:fill="auto"/>
          </w:tcPr>
          <w:p w14:paraId="62DD7ACD" w14:textId="77777777" w:rsidR="00AA4763" w:rsidRPr="00E378F7" w:rsidRDefault="00AA4763" w:rsidP="008E4E1C">
            <w:pPr>
              <w:pStyle w:val="NoSpacing"/>
              <w:spacing w:line="360" w:lineRule="auto"/>
              <w:jc w:val="both"/>
              <w:rPr>
                <w:rFonts w:ascii="Times New Roman" w:hAnsi="Times New Roman" w:cs="Times New Roman"/>
                <w:sz w:val="18"/>
                <w:szCs w:val="18"/>
              </w:rPr>
            </w:pPr>
            <w:r w:rsidRPr="00E378F7">
              <w:rPr>
                <w:rFonts w:ascii="Times New Roman" w:hAnsi="Times New Roman" w:cs="Times New Roman"/>
                <w:sz w:val="18"/>
                <w:szCs w:val="18"/>
              </w:rPr>
              <w:t>Lagged trade openness</w:t>
            </w:r>
          </w:p>
        </w:tc>
        <w:tc>
          <w:tcPr>
            <w:tcW w:w="1985" w:type="dxa"/>
            <w:shd w:val="clear" w:color="auto" w:fill="auto"/>
          </w:tcPr>
          <w:p w14:paraId="65BCF9E4" w14:textId="65F012DC" w:rsidR="00AA4763" w:rsidRPr="00E378F7" w:rsidRDefault="007C16AF" w:rsidP="008E4E1C">
            <w:pPr>
              <w:pStyle w:val="NoSpacing"/>
              <w:spacing w:line="360" w:lineRule="auto"/>
              <w:jc w:val="both"/>
              <w:rPr>
                <w:rFonts w:ascii="Times New Roman" w:hAnsi="Times New Roman" w:cs="Times New Roman"/>
                <w:sz w:val="18"/>
                <w:szCs w:val="18"/>
                <w:lang w:val="en-GB" w:eastAsia="en-GB"/>
              </w:rPr>
            </w:pPr>
            <w:r w:rsidRPr="00E378F7">
              <w:rPr>
                <w:rFonts w:ascii="Times New Roman" w:hAnsi="Times New Roman" w:cs="Times New Roman"/>
                <w:sz w:val="18"/>
                <w:szCs w:val="18"/>
                <w:lang w:val="en-GB" w:eastAsia="en-GB"/>
              </w:rPr>
              <w:t>-</w:t>
            </w:r>
            <w:r w:rsidR="00AA4763" w:rsidRPr="00E378F7">
              <w:rPr>
                <w:rFonts w:ascii="Times New Roman" w:hAnsi="Times New Roman" w:cs="Times New Roman"/>
                <w:sz w:val="18"/>
                <w:szCs w:val="18"/>
                <w:lang w:val="en-GB" w:eastAsia="en-GB"/>
              </w:rPr>
              <w:t>0.1</w:t>
            </w:r>
            <w:r w:rsidRPr="00E378F7">
              <w:rPr>
                <w:rFonts w:ascii="Times New Roman" w:hAnsi="Times New Roman" w:cs="Times New Roman"/>
                <w:sz w:val="18"/>
                <w:szCs w:val="18"/>
                <w:lang w:val="en-GB" w:eastAsia="en-GB"/>
              </w:rPr>
              <w:t>08</w:t>
            </w:r>
            <w:r w:rsidR="00980670" w:rsidRPr="00E378F7">
              <w:rPr>
                <w:rFonts w:ascii="Times New Roman" w:hAnsi="Times New Roman" w:cs="Times New Roman"/>
                <w:sz w:val="18"/>
                <w:szCs w:val="18"/>
                <w:lang w:val="en-GB" w:eastAsia="en-GB"/>
              </w:rPr>
              <w:t>**</w:t>
            </w:r>
          </w:p>
          <w:p w14:paraId="1DCB7D7E" w14:textId="46105C10" w:rsidR="00AA4763" w:rsidRPr="00E378F7" w:rsidRDefault="00AA4763" w:rsidP="008E4E1C">
            <w:pPr>
              <w:pStyle w:val="NoSpacing"/>
              <w:spacing w:line="360" w:lineRule="auto"/>
              <w:jc w:val="both"/>
              <w:rPr>
                <w:rFonts w:ascii="Times New Roman" w:hAnsi="Times New Roman" w:cs="Times New Roman"/>
                <w:sz w:val="18"/>
                <w:szCs w:val="18"/>
              </w:rPr>
            </w:pPr>
            <w:r w:rsidRPr="00E378F7">
              <w:rPr>
                <w:rFonts w:ascii="Times New Roman" w:hAnsi="Times New Roman" w:cs="Times New Roman"/>
                <w:sz w:val="18"/>
                <w:szCs w:val="18"/>
              </w:rPr>
              <w:t>(</w:t>
            </w:r>
            <w:r w:rsidR="00980670" w:rsidRPr="00E378F7">
              <w:rPr>
                <w:rFonts w:ascii="Times New Roman" w:hAnsi="Times New Roman" w:cs="Times New Roman"/>
                <w:sz w:val="18"/>
                <w:szCs w:val="18"/>
                <w:lang w:val="en-GB" w:eastAsia="en-GB"/>
              </w:rPr>
              <w:t>0.040</w:t>
            </w:r>
            <w:r w:rsidRPr="00E378F7">
              <w:rPr>
                <w:rFonts w:ascii="Times New Roman" w:hAnsi="Times New Roman" w:cs="Times New Roman"/>
                <w:sz w:val="18"/>
                <w:szCs w:val="18"/>
              </w:rPr>
              <w:t>)</w:t>
            </w:r>
          </w:p>
        </w:tc>
        <w:tc>
          <w:tcPr>
            <w:tcW w:w="1021" w:type="dxa"/>
            <w:shd w:val="clear" w:color="auto" w:fill="auto"/>
          </w:tcPr>
          <w:p w14:paraId="229A0033" w14:textId="77777777" w:rsidR="00AA4763" w:rsidRPr="00E378F7" w:rsidRDefault="00AA4763" w:rsidP="008E4E1C">
            <w:pPr>
              <w:pStyle w:val="NoSpacing"/>
              <w:spacing w:line="360" w:lineRule="auto"/>
              <w:jc w:val="both"/>
              <w:rPr>
                <w:rFonts w:ascii="Times New Roman" w:hAnsi="Times New Roman" w:cs="Times New Roman"/>
                <w:sz w:val="18"/>
                <w:szCs w:val="18"/>
              </w:rPr>
            </w:pPr>
            <w:r w:rsidRPr="00E378F7">
              <w:rPr>
                <w:rFonts w:ascii="Times New Roman" w:hAnsi="Times New Roman" w:cs="Times New Roman"/>
                <w:sz w:val="18"/>
                <w:szCs w:val="18"/>
                <w:lang w:val="en-GB" w:eastAsia="en-GB"/>
              </w:rPr>
              <w:t>0.</w:t>
            </w:r>
            <w:r w:rsidR="00866053" w:rsidRPr="00E378F7">
              <w:rPr>
                <w:rFonts w:ascii="Times New Roman" w:hAnsi="Times New Roman" w:cs="Times New Roman"/>
                <w:sz w:val="18"/>
                <w:szCs w:val="18"/>
                <w:lang w:val="en-GB" w:eastAsia="en-GB"/>
              </w:rPr>
              <w:t>172</w:t>
            </w:r>
            <w:r w:rsidRPr="00E378F7">
              <w:rPr>
                <w:rFonts w:ascii="Times New Roman" w:hAnsi="Times New Roman" w:cs="Times New Roman"/>
                <w:sz w:val="18"/>
                <w:szCs w:val="18"/>
              </w:rPr>
              <w:t>***</w:t>
            </w:r>
          </w:p>
          <w:p w14:paraId="09066B90" w14:textId="77777777" w:rsidR="00AA4763" w:rsidRPr="00E378F7" w:rsidRDefault="00AA4763" w:rsidP="008E4E1C">
            <w:pPr>
              <w:pStyle w:val="NoSpacing"/>
              <w:spacing w:line="360" w:lineRule="auto"/>
              <w:jc w:val="both"/>
              <w:rPr>
                <w:rFonts w:ascii="Times New Roman" w:hAnsi="Times New Roman" w:cs="Times New Roman"/>
                <w:sz w:val="18"/>
                <w:szCs w:val="18"/>
              </w:rPr>
            </w:pPr>
            <w:r w:rsidRPr="00E378F7">
              <w:rPr>
                <w:rFonts w:ascii="Times New Roman" w:hAnsi="Times New Roman" w:cs="Times New Roman"/>
                <w:sz w:val="18"/>
                <w:szCs w:val="18"/>
              </w:rPr>
              <w:t>(</w:t>
            </w:r>
            <w:r w:rsidR="00866053" w:rsidRPr="00E378F7">
              <w:rPr>
                <w:rFonts w:ascii="Times New Roman" w:hAnsi="Times New Roman" w:cs="Times New Roman"/>
                <w:sz w:val="18"/>
                <w:szCs w:val="18"/>
                <w:lang w:val="en-GB" w:eastAsia="en-GB"/>
              </w:rPr>
              <w:t>0.045</w:t>
            </w:r>
            <w:r w:rsidRPr="00E378F7">
              <w:rPr>
                <w:rFonts w:ascii="Times New Roman" w:hAnsi="Times New Roman" w:cs="Times New Roman"/>
                <w:sz w:val="18"/>
                <w:szCs w:val="18"/>
              </w:rPr>
              <w:t>)</w:t>
            </w:r>
          </w:p>
        </w:tc>
      </w:tr>
      <w:tr w:rsidR="00AA4763" w:rsidRPr="00E378F7" w14:paraId="3D19016B" w14:textId="77777777" w:rsidTr="001A701B">
        <w:tc>
          <w:tcPr>
            <w:tcW w:w="3510" w:type="dxa"/>
            <w:shd w:val="clear" w:color="auto" w:fill="auto"/>
          </w:tcPr>
          <w:p w14:paraId="3651581F" w14:textId="77777777" w:rsidR="00AA4763" w:rsidRPr="00E378F7" w:rsidRDefault="00AA4763" w:rsidP="008E4E1C">
            <w:pPr>
              <w:pStyle w:val="NoSpacing"/>
              <w:spacing w:line="360" w:lineRule="auto"/>
              <w:jc w:val="both"/>
              <w:rPr>
                <w:rFonts w:ascii="Times New Roman" w:hAnsi="Times New Roman" w:cs="Times New Roman"/>
                <w:sz w:val="18"/>
                <w:szCs w:val="18"/>
              </w:rPr>
            </w:pPr>
            <w:r w:rsidRPr="00E378F7">
              <w:rPr>
                <w:rFonts w:ascii="Times New Roman" w:hAnsi="Times New Roman" w:cs="Times New Roman"/>
                <w:sz w:val="18"/>
                <w:szCs w:val="18"/>
              </w:rPr>
              <w:t>Lagged Growth in government consumption</w:t>
            </w:r>
          </w:p>
        </w:tc>
        <w:tc>
          <w:tcPr>
            <w:tcW w:w="1985" w:type="dxa"/>
            <w:shd w:val="clear" w:color="auto" w:fill="auto"/>
          </w:tcPr>
          <w:p w14:paraId="69AE808A" w14:textId="7CA898FE" w:rsidR="00AA4763" w:rsidRPr="00E378F7" w:rsidRDefault="00980670" w:rsidP="008E4E1C">
            <w:pPr>
              <w:pStyle w:val="NoSpacing"/>
              <w:spacing w:line="360" w:lineRule="auto"/>
              <w:jc w:val="both"/>
              <w:rPr>
                <w:rFonts w:ascii="Times New Roman" w:hAnsi="Times New Roman" w:cs="Times New Roman"/>
                <w:sz w:val="18"/>
                <w:szCs w:val="18"/>
                <w:lang w:val="en-GB" w:eastAsia="en-GB"/>
              </w:rPr>
            </w:pPr>
            <w:r w:rsidRPr="00E378F7">
              <w:rPr>
                <w:rFonts w:ascii="Times New Roman" w:hAnsi="Times New Roman" w:cs="Times New Roman"/>
                <w:sz w:val="18"/>
                <w:szCs w:val="18"/>
                <w:lang w:val="en-GB" w:eastAsia="en-GB"/>
              </w:rPr>
              <w:t>0.0002***</w:t>
            </w:r>
          </w:p>
          <w:p w14:paraId="668621D2" w14:textId="4F199F4B" w:rsidR="00AA4763" w:rsidRPr="00E378F7" w:rsidRDefault="00980670" w:rsidP="008E4E1C">
            <w:pPr>
              <w:pStyle w:val="NoSpacing"/>
              <w:spacing w:line="360" w:lineRule="auto"/>
              <w:jc w:val="both"/>
              <w:rPr>
                <w:rFonts w:ascii="Times New Roman" w:hAnsi="Times New Roman" w:cs="Times New Roman"/>
                <w:sz w:val="18"/>
                <w:szCs w:val="18"/>
              </w:rPr>
            </w:pPr>
            <w:r w:rsidRPr="00E378F7">
              <w:rPr>
                <w:rFonts w:ascii="Times New Roman" w:hAnsi="Times New Roman" w:cs="Times New Roman"/>
                <w:sz w:val="18"/>
                <w:szCs w:val="18"/>
              </w:rPr>
              <w:t>(0.0001</w:t>
            </w:r>
            <w:r w:rsidR="00AA4763" w:rsidRPr="00E378F7">
              <w:rPr>
                <w:rFonts w:ascii="Times New Roman" w:hAnsi="Times New Roman" w:cs="Times New Roman"/>
                <w:sz w:val="18"/>
                <w:szCs w:val="18"/>
              </w:rPr>
              <w:t>)</w:t>
            </w:r>
          </w:p>
        </w:tc>
        <w:tc>
          <w:tcPr>
            <w:tcW w:w="1021" w:type="dxa"/>
            <w:shd w:val="clear" w:color="auto" w:fill="auto"/>
          </w:tcPr>
          <w:p w14:paraId="42CC6083" w14:textId="77777777" w:rsidR="00AA4763" w:rsidRPr="00E378F7" w:rsidRDefault="00866053" w:rsidP="008E4E1C">
            <w:pPr>
              <w:pStyle w:val="NoSpacing"/>
              <w:spacing w:line="360" w:lineRule="auto"/>
              <w:jc w:val="both"/>
              <w:rPr>
                <w:rFonts w:ascii="Times New Roman" w:hAnsi="Times New Roman" w:cs="Times New Roman"/>
                <w:sz w:val="18"/>
                <w:szCs w:val="18"/>
                <w:lang w:val="en-GB" w:eastAsia="en-GB"/>
              </w:rPr>
            </w:pPr>
            <w:r w:rsidRPr="00E378F7">
              <w:rPr>
                <w:rFonts w:ascii="Times New Roman" w:hAnsi="Times New Roman" w:cs="Times New Roman"/>
                <w:sz w:val="18"/>
                <w:szCs w:val="18"/>
                <w:lang w:val="en-GB" w:eastAsia="en-GB"/>
              </w:rPr>
              <w:t>0.001</w:t>
            </w:r>
          </w:p>
          <w:p w14:paraId="359F58A8" w14:textId="2500EB52" w:rsidR="00AA4763" w:rsidRPr="00E378F7" w:rsidRDefault="00866053" w:rsidP="008E4E1C">
            <w:pPr>
              <w:pStyle w:val="NoSpacing"/>
              <w:spacing w:line="360" w:lineRule="auto"/>
              <w:jc w:val="both"/>
              <w:rPr>
                <w:rFonts w:ascii="Times New Roman" w:hAnsi="Times New Roman" w:cs="Times New Roman"/>
                <w:sz w:val="18"/>
                <w:szCs w:val="18"/>
              </w:rPr>
            </w:pPr>
            <w:r w:rsidRPr="00E378F7">
              <w:rPr>
                <w:rFonts w:ascii="Times New Roman" w:hAnsi="Times New Roman" w:cs="Times New Roman"/>
                <w:sz w:val="18"/>
                <w:szCs w:val="18"/>
              </w:rPr>
              <w:t>(0.001</w:t>
            </w:r>
            <w:r w:rsidR="00AA4763" w:rsidRPr="00E378F7">
              <w:rPr>
                <w:rFonts w:ascii="Times New Roman" w:hAnsi="Times New Roman" w:cs="Times New Roman"/>
                <w:sz w:val="18"/>
                <w:szCs w:val="18"/>
              </w:rPr>
              <w:t>)</w:t>
            </w:r>
          </w:p>
        </w:tc>
      </w:tr>
      <w:tr w:rsidR="001A701B" w:rsidRPr="00E378F7" w14:paraId="4582750E" w14:textId="77777777" w:rsidTr="001A701B">
        <w:tc>
          <w:tcPr>
            <w:tcW w:w="3510" w:type="dxa"/>
            <w:tcBorders>
              <w:bottom w:val="double" w:sz="4" w:space="0" w:color="auto"/>
            </w:tcBorders>
            <w:shd w:val="clear" w:color="auto" w:fill="auto"/>
          </w:tcPr>
          <w:p w14:paraId="03583E4A" w14:textId="77777777" w:rsidR="001A701B" w:rsidRPr="00E378F7" w:rsidRDefault="001A701B" w:rsidP="008E4E1C">
            <w:pPr>
              <w:pStyle w:val="NoSpacing"/>
              <w:spacing w:line="360" w:lineRule="auto"/>
              <w:jc w:val="both"/>
              <w:rPr>
                <w:rFonts w:ascii="Times New Roman" w:hAnsi="Times New Roman" w:cs="Times New Roman"/>
                <w:sz w:val="18"/>
                <w:szCs w:val="18"/>
              </w:rPr>
            </w:pPr>
            <w:r w:rsidRPr="00E378F7">
              <w:rPr>
                <w:rFonts w:ascii="Times New Roman" w:hAnsi="Times New Roman" w:cs="Times New Roman"/>
                <w:sz w:val="18"/>
                <w:szCs w:val="18"/>
              </w:rPr>
              <w:t>Lagged net FDI inflows to GDP</w:t>
            </w:r>
          </w:p>
        </w:tc>
        <w:tc>
          <w:tcPr>
            <w:tcW w:w="1985" w:type="dxa"/>
            <w:tcBorders>
              <w:bottom w:val="double" w:sz="4" w:space="0" w:color="auto"/>
            </w:tcBorders>
            <w:shd w:val="clear" w:color="auto" w:fill="auto"/>
          </w:tcPr>
          <w:p w14:paraId="6B5A5D3E" w14:textId="77777777" w:rsidR="001A701B" w:rsidRPr="00E378F7" w:rsidRDefault="00980670" w:rsidP="008E4E1C">
            <w:pPr>
              <w:pStyle w:val="NoSpacing"/>
              <w:spacing w:line="360" w:lineRule="auto"/>
              <w:jc w:val="both"/>
              <w:rPr>
                <w:rFonts w:ascii="Times New Roman" w:hAnsi="Times New Roman" w:cs="Times New Roman"/>
                <w:sz w:val="18"/>
                <w:szCs w:val="18"/>
              </w:rPr>
            </w:pPr>
            <w:r w:rsidRPr="00E378F7">
              <w:rPr>
                <w:rFonts w:ascii="Times New Roman" w:hAnsi="Times New Roman" w:cs="Times New Roman"/>
                <w:sz w:val="18"/>
                <w:szCs w:val="18"/>
                <w:lang w:val="en-GB" w:eastAsia="en-GB"/>
              </w:rPr>
              <w:t>0.033</w:t>
            </w:r>
          </w:p>
          <w:p w14:paraId="04B814DB" w14:textId="3C2F2900" w:rsidR="001A701B" w:rsidRPr="00E378F7" w:rsidRDefault="001A701B" w:rsidP="008E4E1C">
            <w:pPr>
              <w:pStyle w:val="NoSpacing"/>
              <w:spacing w:line="360" w:lineRule="auto"/>
              <w:jc w:val="both"/>
              <w:rPr>
                <w:rFonts w:ascii="Times New Roman" w:hAnsi="Times New Roman" w:cs="Times New Roman"/>
                <w:sz w:val="18"/>
                <w:szCs w:val="18"/>
              </w:rPr>
            </w:pPr>
            <w:r w:rsidRPr="00E378F7">
              <w:rPr>
                <w:rFonts w:ascii="Times New Roman" w:hAnsi="Times New Roman" w:cs="Times New Roman"/>
                <w:sz w:val="18"/>
                <w:szCs w:val="18"/>
              </w:rPr>
              <w:t>(</w:t>
            </w:r>
            <w:r w:rsidR="00980670" w:rsidRPr="00E378F7">
              <w:rPr>
                <w:rFonts w:ascii="Times New Roman" w:hAnsi="Times New Roman" w:cs="Times New Roman"/>
                <w:sz w:val="18"/>
                <w:szCs w:val="18"/>
                <w:lang w:val="en-GB" w:eastAsia="en-GB"/>
              </w:rPr>
              <w:t>0.026</w:t>
            </w:r>
            <w:r w:rsidRPr="00E378F7">
              <w:rPr>
                <w:rFonts w:ascii="Times New Roman" w:hAnsi="Times New Roman" w:cs="Times New Roman"/>
                <w:sz w:val="18"/>
                <w:szCs w:val="18"/>
              </w:rPr>
              <w:t>)</w:t>
            </w:r>
          </w:p>
        </w:tc>
        <w:tc>
          <w:tcPr>
            <w:tcW w:w="1021" w:type="dxa"/>
            <w:tcBorders>
              <w:bottom w:val="double" w:sz="4" w:space="0" w:color="auto"/>
            </w:tcBorders>
            <w:shd w:val="clear" w:color="auto" w:fill="auto"/>
          </w:tcPr>
          <w:p w14:paraId="2504B674" w14:textId="7844BCAA" w:rsidR="001A701B" w:rsidRPr="00E378F7" w:rsidRDefault="00866053" w:rsidP="008E4E1C">
            <w:pPr>
              <w:pStyle w:val="NoSpacing"/>
              <w:spacing w:line="360" w:lineRule="auto"/>
              <w:jc w:val="both"/>
              <w:rPr>
                <w:rFonts w:ascii="Times New Roman" w:hAnsi="Times New Roman" w:cs="Times New Roman"/>
                <w:sz w:val="18"/>
                <w:szCs w:val="18"/>
              </w:rPr>
            </w:pPr>
            <w:r w:rsidRPr="00E378F7">
              <w:rPr>
                <w:rFonts w:ascii="Times New Roman" w:hAnsi="Times New Roman" w:cs="Times New Roman"/>
                <w:sz w:val="18"/>
                <w:szCs w:val="18"/>
              </w:rPr>
              <w:t>0.013</w:t>
            </w:r>
          </w:p>
          <w:p w14:paraId="40D85004" w14:textId="77777777" w:rsidR="001A701B" w:rsidRPr="00E378F7" w:rsidRDefault="00866053" w:rsidP="008E4E1C">
            <w:pPr>
              <w:pStyle w:val="NoSpacing"/>
              <w:spacing w:line="360" w:lineRule="auto"/>
              <w:jc w:val="both"/>
              <w:rPr>
                <w:rFonts w:ascii="Times New Roman" w:hAnsi="Times New Roman" w:cs="Times New Roman"/>
                <w:sz w:val="18"/>
                <w:szCs w:val="18"/>
              </w:rPr>
            </w:pPr>
            <w:r w:rsidRPr="00E378F7">
              <w:rPr>
                <w:rFonts w:ascii="Times New Roman" w:hAnsi="Times New Roman" w:cs="Times New Roman"/>
                <w:sz w:val="18"/>
                <w:szCs w:val="18"/>
              </w:rPr>
              <w:t>(0.031</w:t>
            </w:r>
            <w:r w:rsidR="001A701B" w:rsidRPr="00E378F7">
              <w:rPr>
                <w:rFonts w:ascii="Times New Roman" w:hAnsi="Times New Roman" w:cs="Times New Roman"/>
                <w:sz w:val="18"/>
                <w:szCs w:val="18"/>
              </w:rPr>
              <w:t>)</w:t>
            </w:r>
          </w:p>
        </w:tc>
      </w:tr>
    </w:tbl>
    <w:p w14:paraId="38D17E7E" w14:textId="0006B388" w:rsidR="001A701B" w:rsidRPr="00E378F7" w:rsidRDefault="001A701B" w:rsidP="008E4E1C">
      <w:pPr>
        <w:spacing w:line="360" w:lineRule="auto"/>
        <w:jc w:val="both"/>
        <w:rPr>
          <w:rFonts w:ascii="Times New Roman" w:hAnsi="Times New Roman"/>
          <w:sz w:val="16"/>
          <w:szCs w:val="16"/>
        </w:rPr>
      </w:pPr>
      <w:r w:rsidRPr="00E378F7">
        <w:rPr>
          <w:rFonts w:ascii="Times New Roman" w:hAnsi="Times New Roman"/>
          <w:sz w:val="16"/>
          <w:szCs w:val="16"/>
        </w:rPr>
        <w:t>Note: ***, **,* denote 1%, 5% and 10 % respectively. Standard errors in parentheses are corrected for heteroscedasticity.</w:t>
      </w:r>
    </w:p>
    <w:p w14:paraId="57EE6A89" w14:textId="77777777" w:rsidR="00F11614" w:rsidRPr="00E378F7" w:rsidRDefault="00F11614" w:rsidP="008E4E1C">
      <w:pPr>
        <w:pStyle w:val="NoSpacing"/>
        <w:spacing w:line="360" w:lineRule="auto"/>
        <w:jc w:val="both"/>
        <w:rPr>
          <w:rFonts w:ascii="Times New Roman" w:hAnsi="Times New Roman"/>
          <w:sz w:val="16"/>
          <w:szCs w:val="16"/>
        </w:rPr>
      </w:pPr>
    </w:p>
    <w:p w14:paraId="7079DD89" w14:textId="4E9A1BD7" w:rsidR="00866053" w:rsidRPr="00E378F7" w:rsidRDefault="00FA1280" w:rsidP="008E4E1C">
      <w:pPr>
        <w:pStyle w:val="NoSpacing"/>
        <w:spacing w:line="360" w:lineRule="auto"/>
        <w:jc w:val="both"/>
        <w:rPr>
          <w:rFonts w:ascii="Times New Roman" w:eastAsiaTheme="minorEastAsia" w:hAnsi="Times New Roman"/>
          <w:sz w:val="24"/>
          <w:szCs w:val="24"/>
        </w:rPr>
      </w:pPr>
      <w:r>
        <w:rPr>
          <w:rFonts w:ascii="Times New Roman" w:hAnsi="Times New Roman"/>
          <w:sz w:val="24"/>
          <w:szCs w:val="24"/>
        </w:rPr>
        <w:t>While</w:t>
      </w:r>
      <w:r w:rsidRPr="00E378F7">
        <w:rPr>
          <w:rFonts w:ascii="Times New Roman" w:hAnsi="Times New Roman"/>
          <w:sz w:val="24"/>
          <w:szCs w:val="24"/>
        </w:rPr>
        <w:t xml:space="preserve"> </w:t>
      </w:r>
      <w:r w:rsidR="00B91D10" w:rsidRPr="00E378F7">
        <w:rPr>
          <w:rFonts w:ascii="Times New Roman" w:hAnsi="Times New Roman"/>
          <w:sz w:val="24"/>
          <w:szCs w:val="24"/>
        </w:rPr>
        <w:t xml:space="preserve">analyzing the results </w:t>
      </w:r>
      <w:r w:rsidR="004E306D" w:rsidRPr="00E378F7">
        <w:rPr>
          <w:rFonts w:ascii="Times New Roman" w:hAnsi="Times New Roman"/>
          <w:sz w:val="24"/>
          <w:szCs w:val="24"/>
        </w:rPr>
        <w:t xml:space="preserve">of the PSTR model, it is important to note that the coefficients </w:t>
      </w:r>
      <w:r w:rsidRPr="00E378F7">
        <w:rPr>
          <w:rFonts w:ascii="Times New Roman" w:hAnsi="Times New Roman"/>
          <w:sz w:val="24"/>
          <w:szCs w:val="24"/>
        </w:rPr>
        <w:t>o</w:t>
      </w:r>
      <w:r>
        <w:rPr>
          <w:rFonts w:ascii="Times New Roman" w:hAnsi="Times New Roman"/>
          <w:sz w:val="24"/>
          <w:szCs w:val="24"/>
        </w:rPr>
        <w:t>f</w:t>
      </w:r>
      <w:r w:rsidRPr="00E378F7">
        <w:rPr>
          <w:rFonts w:ascii="Times New Roman" w:hAnsi="Times New Roman"/>
          <w:sz w:val="24"/>
          <w:szCs w:val="24"/>
        </w:rPr>
        <w:t xml:space="preserve"> </w:t>
      </w:r>
      <w:r w:rsidR="004E306D" w:rsidRPr="00E378F7">
        <w:rPr>
          <w:rFonts w:ascii="Times New Roman" w:hAnsi="Times New Roman"/>
          <w:sz w:val="24"/>
          <w:szCs w:val="24"/>
        </w:rPr>
        <w:t xml:space="preserve">the </w:t>
      </w:r>
      <w:r w:rsidR="009D3363" w:rsidRPr="00E378F7">
        <w:rPr>
          <w:rFonts w:ascii="Times New Roman" w:hAnsi="Times New Roman"/>
          <w:sz w:val="24"/>
          <w:szCs w:val="24"/>
        </w:rPr>
        <w:t>explanatory variables are not directly interpreted as showing the impact of the respective variable</w:t>
      </w:r>
      <w:r w:rsidR="00E22D31" w:rsidRPr="00E378F7">
        <w:rPr>
          <w:rFonts w:ascii="Times New Roman" w:hAnsi="Times New Roman"/>
          <w:sz w:val="24"/>
          <w:szCs w:val="24"/>
        </w:rPr>
        <w:t>s</w:t>
      </w:r>
      <w:r w:rsidR="009D3363" w:rsidRPr="00E378F7">
        <w:rPr>
          <w:rFonts w:ascii="Times New Roman" w:hAnsi="Times New Roman"/>
          <w:sz w:val="24"/>
          <w:szCs w:val="24"/>
        </w:rPr>
        <w:t xml:space="preserve"> on </w:t>
      </w:r>
      <w:r>
        <w:rPr>
          <w:rFonts w:ascii="Times New Roman" w:hAnsi="Times New Roman"/>
          <w:sz w:val="24"/>
          <w:szCs w:val="24"/>
        </w:rPr>
        <w:t xml:space="preserve">the </w:t>
      </w:r>
      <w:r w:rsidR="009D3363" w:rsidRPr="00E378F7">
        <w:rPr>
          <w:rFonts w:ascii="Times New Roman" w:hAnsi="Times New Roman"/>
          <w:sz w:val="24"/>
          <w:szCs w:val="24"/>
        </w:rPr>
        <w:t>total factor productivity growth (see Jude, 2010)</w:t>
      </w:r>
      <w:r w:rsidR="004E306D" w:rsidRPr="00E378F7">
        <w:rPr>
          <w:rFonts w:ascii="Times New Roman" w:hAnsi="Times New Roman"/>
          <w:sz w:val="24"/>
          <w:szCs w:val="24"/>
        </w:rPr>
        <w:t>.</w:t>
      </w:r>
      <w:r w:rsidR="009D3363" w:rsidRPr="00E378F7">
        <w:rPr>
          <w:rFonts w:ascii="Times New Roman" w:hAnsi="Times New Roman"/>
          <w:sz w:val="24"/>
          <w:szCs w:val="24"/>
        </w:rPr>
        <w:t xml:space="preserve"> The analysis relies on the interpretation of the sign on the coefficient of the explanatory variable. For a PSTR model with one transition </w:t>
      </w:r>
      <w:r w:rsidR="002D7A44" w:rsidRPr="00E378F7">
        <w:rPr>
          <w:rFonts w:ascii="Times New Roman" w:hAnsi="Times New Roman"/>
          <w:sz w:val="24"/>
          <w:szCs w:val="24"/>
        </w:rPr>
        <w:t>function</w:t>
      </w:r>
      <m:oMath>
        <m:r>
          <w:rPr>
            <w:rFonts w:ascii="Cambria Math" w:hAnsi="Cambria Math"/>
            <w:sz w:val="24"/>
            <w:szCs w:val="24"/>
          </w:rPr>
          <m:t>(r=1)</m:t>
        </m:r>
      </m:oMath>
      <w:r>
        <w:rPr>
          <w:rFonts w:ascii="Times New Roman" w:eastAsiaTheme="minorEastAsia" w:hAnsi="Times New Roman"/>
          <w:sz w:val="24"/>
          <w:szCs w:val="24"/>
        </w:rPr>
        <w:t>,</w:t>
      </w:r>
      <w:r w:rsidR="009D3363" w:rsidRPr="00E378F7">
        <w:rPr>
          <w:rFonts w:ascii="Times New Roman" w:hAnsi="Times New Roman"/>
          <w:sz w:val="24"/>
          <w:szCs w:val="24"/>
        </w:rPr>
        <w:t xml:space="preserve"> a positive (</w:t>
      </w:r>
      <w:r w:rsidR="00866053" w:rsidRPr="00E378F7">
        <w:rPr>
          <w:rFonts w:ascii="Times New Roman" w:hAnsi="Times New Roman"/>
          <w:sz w:val="24"/>
          <w:szCs w:val="24"/>
        </w:rPr>
        <w:t>negative)</w:t>
      </w:r>
      <w:r w:rsidR="009D3363" w:rsidRPr="00E378F7">
        <w:rPr>
          <w:rFonts w:ascii="Times New Roman" w:hAnsi="Times New Roman"/>
          <w:sz w:val="24"/>
          <w:szCs w:val="24"/>
        </w:rPr>
        <w:t xml:space="preserve"> sign on the </w:t>
      </w:r>
      <w:r w:rsidR="00866053" w:rsidRPr="00E378F7">
        <w:rPr>
          <w:rFonts w:ascii="Times New Roman" w:hAnsi="Times New Roman"/>
          <w:sz w:val="24"/>
          <w:szCs w:val="24"/>
        </w:rPr>
        <w:t>coefficient denotes</w:t>
      </w:r>
      <w:r w:rsidR="009D3363" w:rsidRPr="00E378F7">
        <w:rPr>
          <w:rFonts w:ascii="Times New Roman" w:hAnsi="Times New Roman"/>
          <w:sz w:val="24"/>
          <w:szCs w:val="24"/>
        </w:rPr>
        <w:t xml:space="preserve"> that an increase in the transition variable is associated with an increase (decrease) </w:t>
      </w:r>
      <w:r w:rsidR="000965A8" w:rsidRPr="00E378F7">
        <w:rPr>
          <w:rFonts w:ascii="Times New Roman" w:hAnsi="Times New Roman"/>
          <w:sz w:val="24"/>
          <w:szCs w:val="24"/>
        </w:rPr>
        <w:t xml:space="preserve">of the coefficient on the explanatory variable on TFP growth. </w:t>
      </w:r>
      <w:r w:rsidR="00866053" w:rsidRPr="00E378F7">
        <w:rPr>
          <w:rFonts w:ascii="Times New Roman" w:hAnsi="Times New Roman"/>
          <w:sz w:val="24"/>
          <w:szCs w:val="24"/>
        </w:rPr>
        <w:t>In the case of two (2) transition functions, the interpretation is slightly different and relies on whether increasing the threshold variable has the same effect on TFP growth i.e.</w:t>
      </w:r>
      <w:r>
        <w:rPr>
          <w:rFonts w:ascii="Times New Roman" w:hAnsi="Times New Roman"/>
          <w:sz w:val="24"/>
          <w:szCs w:val="24"/>
        </w:rPr>
        <w:t>,</w:t>
      </w:r>
      <w:r w:rsidR="00866053" w:rsidRPr="00E378F7">
        <w:rPr>
          <w:rFonts w:ascii="Times New Roman" w:hAnsi="Times New Roman"/>
          <w:sz w:val="24"/>
          <w:szCs w:val="24"/>
        </w:rPr>
        <w:t xml:space="preserve"> when </w:t>
      </w:r>
      <m:oMath>
        <m:sSub>
          <m:sSubPr>
            <m:ctrlPr>
              <w:rPr>
                <w:rFonts w:ascii="Cambria Math" w:hAnsi="Cambria Math"/>
                <w:i/>
                <w:sz w:val="24"/>
                <w:szCs w:val="24"/>
              </w:rPr>
            </m:ctrlPr>
          </m:sSubPr>
          <m:e>
            <m:r>
              <w:rPr>
                <w:rFonts w:ascii="Cambria Math" w:hAnsi="Cambria Math"/>
                <w:sz w:val="24"/>
                <w:szCs w:val="24"/>
              </w:rPr>
              <m:t>β</m:t>
            </m:r>
          </m:e>
          <m:sub>
            <m:r>
              <w:rPr>
                <w:rFonts w:ascii="Cambria Math" w:hAnsi="Cambria Math"/>
                <w:sz w:val="24"/>
                <w:szCs w:val="24"/>
              </w:rPr>
              <m:t>1</m:t>
            </m:r>
          </m:sub>
        </m:sSub>
      </m:oMath>
      <w:r w:rsidR="00866053" w:rsidRPr="00E378F7">
        <w:rPr>
          <w:rFonts w:ascii="Times New Roman" w:eastAsiaTheme="minorEastAsia" w:hAnsi="Times New Roman"/>
          <w:sz w:val="24"/>
          <w:szCs w:val="24"/>
        </w:rPr>
        <w:t xml:space="preserve"> and </w:t>
      </w:r>
      <m:oMath>
        <m:sSub>
          <m:sSubPr>
            <m:ctrlPr>
              <w:rPr>
                <w:rFonts w:ascii="Cambria Math" w:hAnsi="Cambria Math"/>
                <w:i/>
                <w:sz w:val="24"/>
                <w:szCs w:val="24"/>
              </w:rPr>
            </m:ctrlPr>
          </m:sSubPr>
          <m:e>
            <m:r>
              <w:rPr>
                <w:rFonts w:ascii="Cambria Math" w:hAnsi="Cambria Math"/>
                <w:sz w:val="24"/>
                <w:szCs w:val="24"/>
              </w:rPr>
              <m:t>β</m:t>
            </m:r>
          </m:e>
          <m:sub>
            <m:r>
              <w:rPr>
                <w:rFonts w:ascii="Cambria Math" w:hAnsi="Cambria Math"/>
                <w:sz w:val="24"/>
                <w:szCs w:val="24"/>
              </w:rPr>
              <m:t>2</m:t>
            </m:r>
          </m:sub>
        </m:sSub>
      </m:oMath>
      <w:r w:rsidR="00866053" w:rsidRPr="00E378F7">
        <w:rPr>
          <w:rFonts w:ascii="Times New Roman" w:eastAsiaTheme="minorEastAsia" w:hAnsi="Times New Roman"/>
          <w:sz w:val="24"/>
          <w:szCs w:val="24"/>
        </w:rPr>
        <w:t xml:space="preserve"> have the same sign or opposite effects on TFP growth when</w:t>
      </w:r>
      <w:r w:rsidR="00866053" w:rsidRPr="00E378F7">
        <w:rPr>
          <w:rFonts w:ascii="Times New Roman" w:hAnsi="Times New Roman"/>
          <w:sz w:val="24"/>
          <w:szCs w:val="24"/>
        </w:rPr>
        <w:t xml:space="preserve"> </w:t>
      </w:r>
      <m:oMath>
        <m:sSub>
          <m:sSubPr>
            <m:ctrlPr>
              <w:rPr>
                <w:rFonts w:ascii="Cambria Math" w:hAnsi="Cambria Math"/>
                <w:i/>
                <w:sz w:val="24"/>
                <w:szCs w:val="24"/>
              </w:rPr>
            </m:ctrlPr>
          </m:sSubPr>
          <m:e>
            <m:r>
              <w:rPr>
                <w:rFonts w:ascii="Cambria Math" w:hAnsi="Cambria Math"/>
                <w:sz w:val="24"/>
                <w:szCs w:val="24"/>
              </w:rPr>
              <m:t>β</m:t>
            </m:r>
          </m:e>
          <m:sub>
            <m:r>
              <w:rPr>
                <w:rFonts w:ascii="Cambria Math" w:hAnsi="Cambria Math"/>
                <w:sz w:val="24"/>
                <w:szCs w:val="24"/>
              </w:rPr>
              <m:t>1</m:t>
            </m:r>
          </m:sub>
        </m:sSub>
      </m:oMath>
      <w:r w:rsidR="00866053" w:rsidRPr="00E378F7">
        <w:rPr>
          <w:rFonts w:ascii="Times New Roman" w:eastAsiaTheme="minorEastAsia" w:hAnsi="Times New Roman"/>
          <w:sz w:val="24"/>
          <w:szCs w:val="24"/>
        </w:rPr>
        <w:t xml:space="preserve"> and </w:t>
      </w:r>
      <m:oMath>
        <m:sSub>
          <m:sSubPr>
            <m:ctrlPr>
              <w:rPr>
                <w:rFonts w:ascii="Cambria Math" w:hAnsi="Cambria Math"/>
                <w:i/>
                <w:sz w:val="24"/>
                <w:szCs w:val="24"/>
              </w:rPr>
            </m:ctrlPr>
          </m:sSubPr>
          <m:e>
            <m:r>
              <w:rPr>
                <w:rFonts w:ascii="Cambria Math" w:hAnsi="Cambria Math"/>
                <w:sz w:val="24"/>
                <w:szCs w:val="24"/>
              </w:rPr>
              <m:t>β</m:t>
            </m:r>
          </m:e>
          <m:sub>
            <m:r>
              <w:rPr>
                <w:rFonts w:ascii="Cambria Math" w:hAnsi="Cambria Math"/>
                <w:sz w:val="24"/>
                <w:szCs w:val="24"/>
              </w:rPr>
              <m:t>2</m:t>
            </m:r>
          </m:sub>
        </m:sSub>
      </m:oMath>
      <w:r w:rsidR="00866053" w:rsidRPr="00E378F7">
        <w:rPr>
          <w:rFonts w:ascii="Times New Roman" w:eastAsiaTheme="minorEastAsia" w:hAnsi="Times New Roman"/>
          <w:sz w:val="24"/>
          <w:szCs w:val="24"/>
        </w:rPr>
        <w:t xml:space="preserve"> show opposite signs.</w:t>
      </w:r>
    </w:p>
    <w:p w14:paraId="0E34D3D3" w14:textId="77777777" w:rsidR="00866053" w:rsidRPr="00E378F7" w:rsidRDefault="00866053" w:rsidP="008E4E1C">
      <w:pPr>
        <w:pStyle w:val="NoSpacing"/>
        <w:spacing w:line="360" w:lineRule="auto"/>
        <w:jc w:val="both"/>
        <w:rPr>
          <w:rFonts w:ascii="Times New Roman" w:eastAsiaTheme="minorEastAsia" w:hAnsi="Times New Roman"/>
          <w:sz w:val="16"/>
          <w:szCs w:val="16"/>
        </w:rPr>
      </w:pPr>
    </w:p>
    <w:p w14:paraId="1BAEED4B" w14:textId="25E2ECB0" w:rsidR="00173C18" w:rsidRPr="00E378F7" w:rsidRDefault="006A2879" w:rsidP="008E4E1C">
      <w:pPr>
        <w:pStyle w:val="NoSpacing"/>
        <w:spacing w:line="360" w:lineRule="auto"/>
        <w:jc w:val="both"/>
        <w:rPr>
          <w:rFonts w:ascii="Times New Roman" w:hAnsi="Times New Roman" w:cs="Times New Roman"/>
          <w:sz w:val="24"/>
          <w:szCs w:val="24"/>
        </w:rPr>
      </w:pPr>
      <w:r w:rsidRPr="00E378F7">
        <w:rPr>
          <w:rFonts w:ascii="Times New Roman" w:hAnsi="Times New Roman"/>
          <w:sz w:val="24"/>
          <w:szCs w:val="24"/>
        </w:rPr>
        <w:t>Table 5</w:t>
      </w:r>
      <w:r w:rsidR="00173C18" w:rsidRPr="00E378F7">
        <w:rPr>
          <w:rFonts w:ascii="Times New Roman" w:hAnsi="Times New Roman"/>
          <w:sz w:val="24"/>
          <w:szCs w:val="24"/>
        </w:rPr>
        <w:t xml:space="preserve">.6 shows that </w:t>
      </w:r>
      <w:r w:rsidR="00866053" w:rsidRPr="00E378F7">
        <w:rPr>
          <w:rFonts w:ascii="Times New Roman" w:hAnsi="Times New Roman"/>
          <w:sz w:val="24"/>
          <w:szCs w:val="24"/>
        </w:rPr>
        <w:t>the estimated PSTR model has one transition function</w:t>
      </w:r>
      <w:r w:rsidR="000965A8" w:rsidRPr="00E378F7">
        <w:rPr>
          <w:rFonts w:ascii="Times New Roman" w:hAnsi="Times New Roman"/>
          <w:sz w:val="24"/>
          <w:szCs w:val="24"/>
        </w:rPr>
        <w:t xml:space="preserve"> </w:t>
      </w:r>
      <w:r w:rsidR="00866053" w:rsidRPr="00E378F7">
        <w:rPr>
          <w:rFonts w:ascii="Times New Roman" w:hAnsi="Times New Roman"/>
          <w:sz w:val="24"/>
          <w:szCs w:val="24"/>
        </w:rPr>
        <w:t>and one</w:t>
      </w:r>
      <w:r w:rsidR="000965A8" w:rsidRPr="00E378F7">
        <w:rPr>
          <w:rFonts w:ascii="Times New Roman" w:hAnsi="Times New Roman"/>
          <w:sz w:val="24"/>
          <w:szCs w:val="24"/>
        </w:rPr>
        <w:t xml:space="preserve"> threshold </w:t>
      </w:r>
      <w:r w:rsidR="003E6773" w:rsidRPr="00E378F7">
        <w:rPr>
          <w:rFonts w:ascii="Times New Roman" w:hAnsi="Times New Roman"/>
          <w:sz w:val="24"/>
          <w:szCs w:val="24"/>
        </w:rPr>
        <w:t xml:space="preserve">or location </w:t>
      </w:r>
      <w:r w:rsidR="00866053" w:rsidRPr="00E378F7">
        <w:rPr>
          <w:rFonts w:ascii="Times New Roman" w:hAnsi="Times New Roman"/>
          <w:sz w:val="24"/>
          <w:szCs w:val="24"/>
        </w:rPr>
        <w:t>parameter</w:t>
      </w:r>
      <m:oMath>
        <m:r>
          <w:rPr>
            <w:rFonts w:ascii="Cambria Math" w:hAnsi="Cambria Math"/>
            <w:sz w:val="24"/>
            <w:szCs w:val="24"/>
          </w:rPr>
          <m:t xml:space="preserve"> </m:t>
        </m:r>
        <m:d>
          <m:dPr>
            <m:ctrlPr>
              <w:rPr>
                <w:rFonts w:ascii="Cambria Math" w:hAnsi="Cambria Math"/>
                <w:i/>
                <w:sz w:val="24"/>
                <w:szCs w:val="24"/>
              </w:rPr>
            </m:ctrlPr>
          </m:dPr>
          <m:e>
            <m:r>
              <w:rPr>
                <w:rFonts w:ascii="Cambria Math" w:hAnsi="Cambria Math"/>
                <w:sz w:val="24"/>
                <w:szCs w:val="24"/>
              </w:rPr>
              <m:t>r=1 and m=1</m:t>
            </m:r>
          </m:e>
        </m:d>
      </m:oMath>
      <w:r w:rsidR="000965A8" w:rsidRPr="00E378F7">
        <w:rPr>
          <w:rFonts w:ascii="Times New Roman" w:hAnsi="Times New Roman"/>
          <w:sz w:val="24"/>
          <w:szCs w:val="24"/>
        </w:rPr>
        <w:t xml:space="preserve">. </w:t>
      </w:r>
      <w:r w:rsidR="000E4E90" w:rsidRPr="00E378F7">
        <w:rPr>
          <w:rFonts w:ascii="Times New Roman" w:hAnsi="Times New Roman" w:cs="Times New Roman"/>
          <w:sz w:val="24"/>
          <w:szCs w:val="24"/>
        </w:rPr>
        <w:t>It is clear from column</w:t>
      </w:r>
      <w:r w:rsidR="00755EDC" w:rsidRPr="00E378F7">
        <w:rPr>
          <w:rFonts w:ascii="Times New Roman" w:hAnsi="Times New Roman" w:cs="Times New Roman"/>
          <w:sz w:val="24"/>
          <w:szCs w:val="24"/>
        </w:rPr>
        <w:t xml:space="preserve"> (</w:t>
      </w:r>
      <w:r w:rsidR="000E4E90" w:rsidRPr="00E378F7">
        <w:rPr>
          <w:rFonts w:ascii="Times New Roman" w:hAnsi="Times New Roman" w:cs="Times New Roman"/>
          <w:sz w:val="24"/>
          <w:szCs w:val="24"/>
        </w:rPr>
        <w:t>1</w:t>
      </w:r>
      <w:r w:rsidR="00755EDC" w:rsidRPr="00E378F7">
        <w:rPr>
          <w:rFonts w:ascii="Times New Roman" w:hAnsi="Times New Roman" w:cs="Times New Roman"/>
          <w:sz w:val="24"/>
          <w:szCs w:val="24"/>
        </w:rPr>
        <w:t>)</w:t>
      </w:r>
      <w:r w:rsidR="000E4E90" w:rsidRPr="00E378F7">
        <w:rPr>
          <w:rFonts w:ascii="Times New Roman" w:hAnsi="Times New Roman" w:cs="Times New Roman"/>
          <w:sz w:val="24"/>
          <w:szCs w:val="24"/>
        </w:rPr>
        <w:t xml:space="preserve"> </w:t>
      </w:r>
      <w:r w:rsidR="00755EDC" w:rsidRPr="00E378F7">
        <w:rPr>
          <w:rFonts w:ascii="Times New Roman" w:eastAsiaTheme="minorEastAsia" w:hAnsi="Times New Roman"/>
          <w:sz w:val="24"/>
          <w:szCs w:val="24"/>
        </w:rPr>
        <w:t xml:space="preserve">that </w:t>
      </w:r>
      <w:r w:rsidR="000E4E90" w:rsidRPr="00E378F7">
        <w:rPr>
          <w:rFonts w:ascii="Times New Roman" w:eastAsiaTheme="minorEastAsia" w:hAnsi="Times New Roman"/>
          <w:sz w:val="24"/>
          <w:szCs w:val="24"/>
        </w:rPr>
        <w:t xml:space="preserve">the coefficient on the </w:t>
      </w:r>
      <w:r w:rsidR="00755EDC" w:rsidRPr="00E378F7">
        <w:rPr>
          <w:rFonts w:ascii="Times New Roman" w:eastAsiaTheme="minorEastAsia" w:hAnsi="Times New Roman"/>
          <w:sz w:val="24"/>
          <w:szCs w:val="24"/>
        </w:rPr>
        <w:t xml:space="preserve">ratio of private sector credit to GDP </w:t>
      </w:r>
      <w:r w:rsidR="000E4E90" w:rsidRPr="00E378F7">
        <w:rPr>
          <w:rFonts w:ascii="Times New Roman" w:eastAsiaTheme="minorEastAsia" w:hAnsi="Times New Roman"/>
          <w:sz w:val="24"/>
          <w:szCs w:val="24"/>
        </w:rPr>
        <w:t xml:space="preserve">is positive in the low regime of financial deepening and becomes negative </w:t>
      </w:r>
      <w:r w:rsidR="00A552FB" w:rsidRPr="00E378F7">
        <w:rPr>
          <w:rFonts w:ascii="Times New Roman" w:eastAsiaTheme="minorEastAsia" w:hAnsi="Times New Roman"/>
          <w:sz w:val="24"/>
          <w:szCs w:val="24"/>
        </w:rPr>
        <w:t xml:space="preserve">at high levels of financial deepening </w:t>
      </w:r>
      <w:r w:rsidR="000E4E90" w:rsidRPr="00E378F7">
        <w:rPr>
          <w:rFonts w:ascii="Times New Roman" w:eastAsiaTheme="minorEastAsia" w:hAnsi="Times New Roman"/>
          <w:sz w:val="24"/>
          <w:szCs w:val="24"/>
        </w:rPr>
        <w:t>after a threshold of 68.3 percent</w:t>
      </w:r>
      <w:r w:rsidR="00A552FB" w:rsidRPr="00E378F7">
        <w:rPr>
          <w:rFonts w:ascii="Times New Roman" w:eastAsiaTheme="minorEastAsia" w:hAnsi="Times New Roman"/>
          <w:sz w:val="24"/>
          <w:szCs w:val="24"/>
        </w:rPr>
        <w:t xml:space="preserve"> is exceeded</w:t>
      </w:r>
      <w:r w:rsidR="000E4E90" w:rsidRPr="00E378F7">
        <w:rPr>
          <w:rFonts w:ascii="Times New Roman" w:eastAsiaTheme="minorEastAsia" w:hAnsi="Times New Roman"/>
          <w:sz w:val="24"/>
          <w:szCs w:val="24"/>
        </w:rPr>
        <w:t xml:space="preserve">. </w:t>
      </w:r>
      <w:r w:rsidR="00A552FB" w:rsidRPr="00E378F7">
        <w:rPr>
          <w:rFonts w:ascii="Times New Roman" w:eastAsiaTheme="minorEastAsia" w:hAnsi="Times New Roman"/>
          <w:sz w:val="24"/>
          <w:szCs w:val="24"/>
        </w:rPr>
        <w:t>The result</w:t>
      </w:r>
      <w:r w:rsidR="000E4E90" w:rsidRPr="00E378F7">
        <w:rPr>
          <w:rFonts w:ascii="Times New Roman" w:eastAsiaTheme="minorEastAsia" w:hAnsi="Times New Roman"/>
          <w:sz w:val="24"/>
          <w:szCs w:val="24"/>
        </w:rPr>
        <w:t xml:space="preserve"> suggests that </w:t>
      </w:r>
      <w:r w:rsidR="00755EDC" w:rsidRPr="00E378F7">
        <w:rPr>
          <w:rFonts w:ascii="Times New Roman" w:eastAsiaTheme="minorEastAsia" w:hAnsi="Times New Roman"/>
          <w:sz w:val="24"/>
          <w:szCs w:val="24"/>
        </w:rPr>
        <w:t xml:space="preserve">financial deepening </w:t>
      </w:r>
      <w:r w:rsidR="004C1867" w:rsidRPr="00E378F7">
        <w:rPr>
          <w:rFonts w:ascii="Times New Roman" w:eastAsiaTheme="minorEastAsia" w:hAnsi="Times New Roman"/>
          <w:sz w:val="24"/>
          <w:szCs w:val="24"/>
        </w:rPr>
        <w:t>enhances</w:t>
      </w:r>
      <w:r w:rsidR="00755EDC" w:rsidRPr="00E378F7">
        <w:rPr>
          <w:rFonts w:ascii="Times New Roman" w:eastAsiaTheme="minorEastAsia" w:hAnsi="Times New Roman"/>
          <w:sz w:val="24"/>
          <w:szCs w:val="24"/>
        </w:rPr>
        <w:t xml:space="preserve"> </w:t>
      </w:r>
      <w:r w:rsidR="00CF283B" w:rsidRPr="00E378F7">
        <w:rPr>
          <w:rFonts w:ascii="Times New Roman" w:eastAsiaTheme="minorEastAsia" w:hAnsi="Times New Roman"/>
          <w:sz w:val="24"/>
          <w:szCs w:val="24"/>
        </w:rPr>
        <w:t>TFP growth</w:t>
      </w:r>
      <w:r w:rsidR="007A409A" w:rsidRPr="00E378F7">
        <w:rPr>
          <w:rFonts w:ascii="Times New Roman" w:eastAsiaTheme="minorEastAsia" w:hAnsi="Times New Roman"/>
          <w:sz w:val="24"/>
          <w:szCs w:val="24"/>
        </w:rPr>
        <w:t xml:space="preserve"> up</w:t>
      </w:r>
      <w:r w:rsidR="00755EDC" w:rsidRPr="00E378F7">
        <w:rPr>
          <w:rFonts w:ascii="Times New Roman" w:eastAsiaTheme="minorEastAsia" w:hAnsi="Times New Roman"/>
          <w:sz w:val="24"/>
          <w:szCs w:val="24"/>
        </w:rPr>
        <w:t xml:space="preserve"> to </w:t>
      </w:r>
      <w:r w:rsidR="00A552FB" w:rsidRPr="00E378F7">
        <w:rPr>
          <w:rFonts w:ascii="Times New Roman" w:eastAsiaTheme="minorEastAsia" w:hAnsi="Times New Roman"/>
          <w:sz w:val="24"/>
          <w:szCs w:val="24"/>
        </w:rPr>
        <w:t>this</w:t>
      </w:r>
      <w:r w:rsidR="00755EDC" w:rsidRPr="00E378F7">
        <w:rPr>
          <w:rFonts w:ascii="Times New Roman" w:eastAsiaTheme="minorEastAsia" w:hAnsi="Times New Roman"/>
          <w:sz w:val="24"/>
          <w:szCs w:val="24"/>
        </w:rPr>
        <w:t xml:space="preserve"> </w:t>
      </w:r>
      <w:r w:rsidR="000E4E90" w:rsidRPr="00E378F7">
        <w:rPr>
          <w:rFonts w:ascii="Times New Roman" w:eastAsiaTheme="minorEastAsia" w:hAnsi="Times New Roman"/>
          <w:sz w:val="24"/>
          <w:szCs w:val="24"/>
        </w:rPr>
        <w:t xml:space="preserve">threshold </w:t>
      </w:r>
      <w:r w:rsidR="007A409A" w:rsidRPr="00E378F7">
        <w:rPr>
          <w:rFonts w:ascii="Times New Roman" w:eastAsiaTheme="minorEastAsia" w:hAnsi="Times New Roman"/>
          <w:sz w:val="24"/>
          <w:szCs w:val="24"/>
        </w:rPr>
        <w:t>(</w:t>
      </w:r>
      <w:r w:rsidR="002D7A44" w:rsidRPr="00E378F7">
        <w:rPr>
          <w:rFonts w:ascii="Times New Roman" w:eastAsiaTheme="minorEastAsia" w:hAnsi="Times New Roman"/>
          <w:sz w:val="24"/>
          <w:szCs w:val="24"/>
        </w:rPr>
        <w:t>column</w:t>
      </w:r>
      <m:oMath>
        <m:sSub>
          <m:sSubPr>
            <m:ctrlPr>
              <w:rPr>
                <w:rFonts w:ascii="Cambria Math" w:hAnsi="Cambria Math"/>
                <w:i/>
                <w:sz w:val="24"/>
                <w:szCs w:val="24"/>
              </w:rPr>
            </m:ctrlPr>
          </m:sSubPr>
          <m:e>
            <m:r>
              <w:rPr>
                <w:rFonts w:ascii="Cambria Math" w:hAnsi="Cambria Math"/>
                <w:sz w:val="24"/>
                <w:szCs w:val="24"/>
              </w:rPr>
              <m:t>β</m:t>
            </m:r>
          </m:e>
          <m:sub>
            <m:r>
              <w:rPr>
                <w:rFonts w:ascii="Cambria Math" w:hAnsi="Cambria Math"/>
                <w:sz w:val="24"/>
                <w:szCs w:val="24"/>
              </w:rPr>
              <m:t>1</m:t>
            </m:r>
          </m:sub>
        </m:sSub>
      </m:oMath>
      <w:r w:rsidR="007A409A" w:rsidRPr="00E378F7">
        <w:rPr>
          <w:rFonts w:ascii="Times New Roman" w:eastAsiaTheme="minorEastAsia" w:hAnsi="Times New Roman"/>
          <w:sz w:val="24"/>
          <w:szCs w:val="24"/>
        </w:rPr>
        <w:t>)</w:t>
      </w:r>
      <w:r w:rsidR="00361BD4" w:rsidRPr="00E378F7">
        <w:rPr>
          <w:rFonts w:ascii="Times New Roman" w:eastAsiaTheme="minorEastAsia" w:hAnsi="Times New Roman"/>
          <w:sz w:val="24"/>
          <w:szCs w:val="24"/>
        </w:rPr>
        <w:t>,</w:t>
      </w:r>
      <w:r w:rsidR="00755EDC" w:rsidRPr="00E378F7">
        <w:rPr>
          <w:rFonts w:ascii="Times New Roman" w:eastAsiaTheme="minorEastAsia" w:hAnsi="Times New Roman"/>
          <w:sz w:val="24"/>
          <w:szCs w:val="24"/>
        </w:rPr>
        <w:t xml:space="preserve"> beyond which </w:t>
      </w:r>
      <w:r w:rsidR="004C1867" w:rsidRPr="00E378F7">
        <w:rPr>
          <w:rFonts w:ascii="Times New Roman" w:eastAsiaTheme="minorEastAsia" w:hAnsi="Times New Roman"/>
          <w:sz w:val="24"/>
          <w:szCs w:val="24"/>
        </w:rPr>
        <w:t>its</w:t>
      </w:r>
      <w:r w:rsidR="00755EDC" w:rsidRPr="00E378F7">
        <w:rPr>
          <w:rFonts w:ascii="Times New Roman" w:eastAsiaTheme="minorEastAsia" w:hAnsi="Times New Roman"/>
          <w:sz w:val="24"/>
          <w:szCs w:val="24"/>
        </w:rPr>
        <w:t xml:space="preserve"> direct effect on TFP growth </w:t>
      </w:r>
      <w:r w:rsidR="00835338" w:rsidRPr="00E378F7">
        <w:rPr>
          <w:rFonts w:ascii="Times New Roman" w:eastAsiaTheme="minorEastAsia" w:hAnsi="Times New Roman"/>
          <w:sz w:val="24"/>
          <w:szCs w:val="24"/>
        </w:rPr>
        <w:t>is</w:t>
      </w:r>
      <w:r w:rsidR="00755EDC" w:rsidRPr="00E378F7">
        <w:rPr>
          <w:rFonts w:ascii="Times New Roman" w:eastAsiaTheme="minorEastAsia" w:hAnsi="Times New Roman"/>
          <w:sz w:val="24"/>
          <w:szCs w:val="24"/>
        </w:rPr>
        <w:t xml:space="preserve"> significantly reduced (</w:t>
      </w:r>
      <m:oMath>
        <m:sSub>
          <m:sSubPr>
            <m:ctrlPr>
              <w:rPr>
                <w:rFonts w:ascii="Cambria Math" w:hAnsi="Cambria Math"/>
                <w:i/>
                <w:sz w:val="24"/>
                <w:szCs w:val="24"/>
              </w:rPr>
            </m:ctrlPr>
          </m:sSubPr>
          <m:e>
            <m:r>
              <w:rPr>
                <w:rFonts w:ascii="Cambria Math" w:hAnsi="Cambria Math"/>
                <w:sz w:val="24"/>
                <w:szCs w:val="24"/>
              </w:rPr>
              <m:t>β</m:t>
            </m:r>
          </m:e>
          <m:sub>
            <m:r>
              <w:rPr>
                <w:rFonts w:ascii="Cambria Math" w:hAnsi="Cambria Math"/>
                <w:sz w:val="24"/>
                <w:szCs w:val="24"/>
              </w:rPr>
              <m:t>2</m:t>
            </m:r>
          </m:sub>
        </m:sSub>
        <m:r>
          <w:rPr>
            <w:rFonts w:ascii="Cambria Math" w:hAnsi="Cambria Math"/>
            <w:sz w:val="24"/>
            <w:szCs w:val="24"/>
          </w:rPr>
          <m:t>)</m:t>
        </m:r>
      </m:oMath>
      <w:r w:rsidR="00755EDC" w:rsidRPr="00E378F7">
        <w:rPr>
          <w:rFonts w:ascii="Times New Roman" w:eastAsiaTheme="minorEastAsia" w:hAnsi="Times New Roman"/>
          <w:sz w:val="24"/>
          <w:szCs w:val="24"/>
        </w:rPr>
        <w:t xml:space="preserve">. </w:t>
      </w:r>
      <w:r w:rsidR="00361BD4" w:rsidRPr="00E378F7">
        <w:rPr>
          <w:rFonts w:ascii="Times New Roman" w:eastAsiaTheme="minorEastAsia" w:hAnsi="Times New Roman"/>
          <w:sz w:val="24"/>
          <w:szCs w:val="24"/>
        </w:rPr>
        <w:t>This finding</w:t>
      </w:r>
      <w:r w:rsidR="00755EDC" w:rsidRPr="00E378F7">
        <w:rPr>
          <w:rFonts w:ascii="Times New Roman" w:eastAsiaTheme="minorEastAsia" w:hAnsi="Times New Roman"/>
          <w:sz w:val="24"/>
          <w:szCs w:val="24"/>
        </w:rPr>
        <w:t xml:space="preserve"> supports the </w:t>
      </w:r>
      <w:r w:rsidR="00361BD4" w:rsidRPr="00E378F7">
        <w:rPr>
          <w:rFonts w:ascii="Times New Roman" w:eastAsiaTheme="minorEastAsia" w:hAnsi="Times New Roman"/>
          <w:sz w:val="24"/>
          <w:szCs w:val="24"/>
        </w:rPr>
        <w:t xml:space="preserve">second </w:t>
      </w:r>
      <w:r w:rsidR="00755EDC" w:rsidRPr="00E378F7">
        <w:rPr>
          <w:rFonts w:ascii="Times New Roman" w:eastAsiaTheme="minorEastAsia" w:hAnsi="Times New Roman"/>
          <w:sz w:val="24"/>
          <w:szCs w:val="24"/>
        </w:rPr>
        <w:t xml:space="preserve">hypothesis of the </w:t>
      </w:r>
      <w:r w:rsidR="00361BD4" w:rsidRPr="00E378F7">
        <w:rPr>
          <w:rFonts w:ascii="Times New Roman" w:eastAsiaTheme="minorEastAsia" w:hAnsi="Times New Roman"/>
          <w:sz w:val="24"/>
          <w:szCs w:val="24"/>
        </w:rPr>
        <w:t xml:space="preserve">study, which suggests that increasing financial deepening </w:t>
      </w:r>
      <w:r w:rsidR="004C1867" w:rsidRPr="00E378F7">
        <w:rPr>
          <w:rFonts w:ascii="Times New Roman" w:eastAsiaTheme="minorEastAsia" w:hAnsi="Times New Roman"/>
          <w:sz w:val="24"/>
          <w:szCs w:val="24"/>
        </w:rPr>
        <w:t xml:space="preserve">after a threshold </w:t>
      </w:r>
      <w:r w:rsidR="00361BD4" w:rsidRPr="00E378F7">
        <w:rPr>
          <w:rFonts w:ascii="Times New Roman" w:eastAsiaTheme="minorEastAsia" w:hAnsi="Times New Roman"/>
          <w:sz w:val="24"/>
          <w:szCs w:val="24"/>
        </w:rPr>
        <w:t xml:space="preserve">weakens TFP growth in emerging markets. </w:t>
      </w:r>
      <w:r w:rsidR="00A552FB" w:rsidRPr="00E378F7">
        <w:rPr>
          <w:rFonts w:ascii="Times New Roman" w:eastAsiaTheme="minorEastAsia" w:hAnsi="Times New Roman"/>
          <w:sz w:val="24"/>
          <w:szCs w:val="24"/>
        </w:rPr>
        <w:t xml:space="preserve">It confirms that there is heterogeneity in the effect of financial deepening on TFP growth </w:t>
      </w:r>
      <w:r w:rsidR="00FA1280">
        <w:rPr>
          <w:rFonts w:ascii="Times New Roman" w:eastAsiaTheme="minorEastAsia" w:hAnsi="Times New Roman"/>
          <w:sz w:val="24"/>
          <w:szCs w:val="24"/>
        </w:rPr>
        <w:t>that</w:t>
      </w:r>
      <w:r w:rsidR="00FA1280" w:rsidRPr="00E378F7">
        <w:rPr>
          <w:rFonts w:ascii="Times New Roman" w:eastAsiaTheme="minorEastAsia" w:hAnsi="Times New Roman"/>
          <w:sz w:val="24"/>
          <w:szCs w:val="24"/>
        </w:rPr>
        <w:t xml:space="preserve"> </w:t>
      </w:r>
      <w:r w:rsidR="00A552FB" w:rsidRPr="00E378F7">
        <w:rPr>
          <w:rFonts w:ascii="Times New Roman" w:eastAsiaTheme="minorEastAsia" w:hAnsi="Times New Roman"/>
          <w:sz w:val="24"/>
          <w:szCs w:val="24"/>
        </w:rPr>
        <w:t xml:space="preserve">should be explored through the nonlinear estimation of the parameters of the model. </w:t>
      </w:r>
      <w:r w:rsidR="0074421A" w:rsidRPr="00E378F7">
        <w:rPr>
          <w:rFonts w:ascii="Times New Roman" w:eastAsiaTheme="minorEastAsia" w:hAnsi="Times New Roman"/>
          <w:sz w:val="24"/>
          <w:szCs w:val="24"/>
        </w:rPr>
        <w:t xml:space="preserve">As discussed in </w:t>
      </w:r>
      <w:r w:rsidR="00DB7C0B" w:rsidRPr="00E378F7">
        <w:rPr>
          <w:rFonts w:ascii="Times New Roman" w:eastAsiaTheme="minorEastAsia" w:hAnsi="Times New Roman"/>
          <w:sz w:val="24"/>
          <w:szCs w:val="24"/>
        </w:rPr>
        <w:t>chapter two (2)</w:t>
      </w:r>
      <w:r w:rsidR="0074421A" w:rsidRPr="00E378F7">
        <w:rPr>
          <w:rFonts w:ascii="Times New Roman" w:eastAsiaTheme="minorEastAsia" w:hAnsi="Times New Roman"/>
          <w:sz w:val="24"/>
          <w:szCs w:val="24"/>
        </w:rPr>
        <w:t>, t</w:t>
      </w:r>
      <w:r w:rsidR="00DB7C0B" w:rsidRPr="00E378F7">
        <w:rPr>
          <w:rFonts w:ascii="Times New Roman" w:eastAsiaTheme="minorEastAsia" w:hAnsi="Times New Roman"/>
          <w:sz w:val="24"/>
          <w:szCs w:val="24"/>
        </w:rPr>
        <w:t>he dampening effect of increasing</w:t>
      </w:r>
      <w:r w:rsidR="0074421A" w:rsidRPr="00E378F7">
        <w:rPr>
          <w:rFonts w:ascii="Times New Roman" w:eastAsiaTheme="minorEastAsia" w:hAnsi="Times New Roman"/>
          <w:sz w:val="24"/>
          <w:szCs w:val="24"/>
        </w:rPr>
        <w:t xml:space="preserve"> financial deepening on TFP growth </w:t>
      </w:r>
      <w:r w:rsidR="00DB7C0B" w:rsidRPr="00E378F7">
        <w:rPr>
          <w:rFonts w:ascii="Times New Roman" w:eastAsiaTheme="minorEastAsia" w:hAnsi="Times New Roman"/>
          <w:sz w:val="24"/>
          <w:szCs w:val="24"/>
        </w:rPr>
        <w:t>is partly explained by the</w:t>
      </w:r>
      <w:r w:rsidR="007A409A" w:rsidRPr="00E378F7">
        <w:rPr>
          <w:rFonts w:ascii="Times New Roman" w:eastAsiaTheme="minorEastAsia" w:hAnsi="Times New Roman"/>
          <w:sz w:val="24"/>
          <w:szCs w:val="24"/>
        </w:rPr>
        <w:t xml:space="preserve"> reduction in</w:t>
      </w:r>
      <w:r w:rsidR="0074421A" w:rsidRPr="00E378F7">
        <w:rPr>
          <w:rFonts w:ascii="Times New Roman" w:eastAsiaTheme="minorEastAsia" w:hAnsi="Times New Roman"/>
          <w:sz w:val="24"/>
          <w:szCs w:val="24"/>
        </w:rPr>
        <w:t xml:space="preserve"> the efficiency of investment at higher levels of financial development (see Cecchetti </w:t>
      </w:r>
      <w:r w:rsidR="00FA1280">
        <w:rPr>
          <w:rFonts w:ascii="Times New Roman" w:eastAsiaTheme="minorEastAsia" w:hAnsi="Times New Roman"/>
          <w:sz w:val="24"/>
          <w:szCs w:val="24"/>
        </w:rPr>
        <w:t>&amp;</w:t>
      </w:r>
      <w:r w:rsidR="00FA1280" w:rsidRPr="00E378F7">
        <w:rPr>
          <w:rFonts w:ascii="Times New Roman" w:eastAsiaTheme="minorEastAsia" w:hAnsi="Times New Roman"/>
          <w:sz w:val="24"/>
          <w:szCs w:val="24"/>
        </w:rPr>
        <w:t xml:space="preserve"> </w:t>
      </w:r>
      <w:r w:rsidR="0074421A" w:rsidRPr="00E378F7">
        <w:rPr>
          <w:rFonts w:ascii="Times New Roman" w:eastAsiaTheme="minorEastAsia" w:hAnsi="Times New Roman"/>
          <w:sz w:val="24"/>
          <w:szCs w:val="24"/>
        </w:rPr>
        <w:t>Kharroubi, 2012; Sahay et al</w:t>
      </w:r>
      <w:r w:rsidR="00FA1280">
        <w:rPr>
          <w:rFonts w:ascii="Times New Roman" w:eastAsiaTheme="minorEastAsia" w:hAnsi="Times New Roman"/>
          <w:sz w:val="24"/>
          <w:szCs w:val="24"/>
        </w:rPr>
        <w:t>.</w:t>
      </w:r>
      <w:r w:rsidR="0074421A" w:rsidRPr="00E378F7">
        <w:rPr>
          <w:rFonts w:ascii="Times New Roman" w:eastAsiaTheme="minorEastAsia" w:hAnsi="Times New Roman"/>
          <w:sz w:val="24"/>
          <w:szCs w:val="24"/>
        </w:rPr>
        <w:t>, 2015).</w:t>
      </w:r>
    </w:p>
    <w:p w14:paraId="20D20D19" w14:textId="77777777" w:rsidR="00146409" w:rsidRPr="00E378F7" w:rsidRDefault="00146409" w:rsidP="008E4E1C">
      <w:pPr>
        <w:pStyle w:val="NoSpacing"/>
        <w:spacing w:line="360" w:lineRule="auto"/>
        <w:jc w:val="both"/>
        <w:rPr>
          <w:rFonts w:ascii="Times New Roman" w:hAnsi="Times New Roman" w:cs="Times New Roman"/>
          <w:sz w:val="16"/>
          <w:szCs w:val="16"/>
        </w:rPr>
      </w:pPr>
    </w:p>
    <w:p w14:paraId="354D2A0F" w14:textId="642FB7CA" w:rsidR="00F205F1" w:rsidRPr="00E378F7" w:rsidRDefault="00844AF0" w:rsidP="008E4E1C">
      <w:pPr>
        <w:spacing w:after="0" w:line="360" w:lineRule="auto"/>
        <w:jc w:val="both"/>
        <w:rPr>
          <w:rFonts w:ascii="Times New Roman" w:eastAsiaTheme="minorEastAsia" w:hAnsi="Times New Roman"/>
          <w:sz w:val="24"/>
          <w:szCs w:val="24"/>
        </w:rPr>
      </w:pPr>
      <w:r w:rsidRPr="00E378F7">
        <w:rPr>
          <w:rFonts w:ascii="Times New Roman" w:eastAsiaTheme="minorEastAsia" w:hAnsi="Times New Roman"/>
          <w:sz w:val="24"/>
          <w:szCs w:val="24"/>
        </w:rPr>
        <w:t xml:space="preserve">To further analyze such a </w:t>
      </w:r>
      <w:r w:rsidR="00CF283B" w:rsidRPr="00E378F7">
        <w:rPr>
          <w:rFonts w:ascii="Times New Roman" w:eastAsiaTheme="minorEastAsia" w:hAnsi="Times New Roman"/>
          <w:sz w:val="24"/>
          <w:szCs w:val="24"/>
        </w:rPr>
        <w:t>weakening</w:t>
      </w:r>
      <w:r w:rsidRPr="00E378F7">
        <w:rPr>
          <w:rFonts w:ascii="Times New Roman" w:eastAsiaTheme="minorEastAsia" w:hAnsi="Times New Roman"/>
          <w:sz w:val="24"/>
          <w:szCs w:val="24"/>
        </w:rPr>
        <w:t xml:space="preserve"> effect on </w:t>
      </w:r>
      <w:r w:rsidR="00FA1280">
        <w:rPr>
          <w:rFonts w:ascii="Times New Roman" w:eastAsiaTheme="minorEastAsia" w:hAnsi="Times New Roman"/>
          <w:sz w:val="24"/>
          <w:szCs w:val="24"/>
        </w:rPr>
        <w:t xml:space="preserve">the </w:t>
      </w:r>
      <w:r w:rsidRPr="00E378F7">
        <w:rPr>
          <w:rFonts w:ascii="Times New Roman" w:eastAsiaTheme="minorEastAsia" w:hAnsi="Times New Roman"/>
          <w:sz w:val="24"/>
          <w:szCs w:val="24"/>
        </w:rPr>
        <w:t xml:space="preserve">TFP growth, it is useful to evaluate the elasticity of TFP growth with respect to </w:t>
      </w:r>
      <w:r w:rsidR="00A11287" w:rsidRPr="00E378F7">
        <w:rPr>
          <w:rFonts w:ascii="Times New Roman" w:eastAsiaTheme="minorEastAsia" w:hAnsi="Times New Roman"/>
          <w:sz w:val="24"/>
          <w:szCs w:val="24"/>
        </w:rPr>
        <w:t>private sector credit</w:t>
      </w:r>
      <w:r w:rsidR="00A552FB" w:rsidRPr="00E378F7">
        <w:rPr>
          <w:rFonts w:ascii="Times New Roman" w:eastAsiaTheme="minorEastAsia" w:hAnsi="Times New Roman"/>
          <w:sz w:val="24"/>
          <w:szCs w:val="24"/>
        </w:rPr>
        <w:t xml:space="preserve"> </w:t>
      </w:r>
      <w:r w:rsidR="00FA1280">
        <w:rPr>
          <w:rFonts w:ascii="Times New Roman" w:eastAsiaTheme="minorEastAsia" w:hAnsi="Times New Roman"/>
          <w:sz w:val="24"/>
          <w:szCs w:val="24"/>
        </w:rPr>
        <w:t>that</w:t>
      </w:r>
      <w:r w:rsidR="00FA1280" w:rsidRPr="00E378F7">
        <w:rPr>
          <w:rFonts w:ascii="Times New Roman" w:eastAsiaTheme="minorEastAsia" w:hAnsi="Times New Roman"/>
          <w:sz w:val="24"/>
          <w:szCs w:val="24"/>
        </w:rPr>
        <w:t xml:space="preserve"> </w:t>
      </w:r>
      <w:r w:rsidR="00A552FB" w:rsidRPr="00E378F7">
        <w:rPr>
          <w:rFonts w:ascii="Times New Roman" w:eastAsiaTheme="minorEastAsia" w:hAnsi="Times New Roman"/>
          <w:sz w:val="24"/>
          <w:szCs w:val="24"/>
        </w:rPr>
        <w:t>clearly show</w:t>
      </w:r>
      <w:r w:rsidR="00CF283B" w:rsidRPr="00E378F7">
        <w:rPr>
          <w:rFonts w:ascii="Times New Roman" w:eastAsiaTheme="minorEastAsia" w:hAnsi="Times New Roman"/>
          <w:sz w:val="24"/>
          <w:szCs w:val="24"/>
        </w:rPr>
        <w:t>s</w:t>
      </w:r>
      <w:r w:rsidR="00A552FB" w:rsidRPr="00E378F7">
        <w:rPr>
          <w:rFonts w:ascii="Times New Roman" w:eastAsiaTheme="minorEastAsia" w:hAnsi="Times New Roman"/>
          <w:sz w:val="24"/>
          <w:szCs w:val="24"/>
        </w:rPr>
        <w:t xml:space="preserve"> whether the hypothesized U-shaped relationship between financial deepening and TFP growth exists in emerging market economies</w:t>
      </w:r>
      <w:r w:rsidRPr="00E378F7">
        <w:rPr>
          <w:rFonts w:ascii="Times New Roman" w:eastAsiaTheme="minorEastAsia" w:hAnsi="Times New Roman"/>
          <w:sz w:val="24"/>
          <w:szCs w:val="24"/>
        </w:rPr>
        <w:t xml:space="preserve">. </w:t>
      </w:r>
      <w:r w:rsidR="003D0838" w:rsidRPr="00E378F7">
        <w:rPr>
          <w:rFonts w:ascii="Times New Roman" w:eastAsiaTheme="minorEastAsia" w:hAnsi="Times New Roman"/>
          <w:sz w:val="24"/>
          <w:szCs w:val="24"/>
        </w:rPr>
        <w:t>The</w:t>
      </w:r>
      <w:r w:rsidR="002A1470" w:rsidRPr="00E378F7">
        <w:rPr>
          <w:rFonts w:ascii="Times New Roman" w:eastAsiaTheme="minorEastAsia" w:hAnsi="Times New Roman"/>
          <w:sz w:val="24"/>
          <w:szCs w:val="24"/>
        </w:rPr>
        <w:t xml:space="preserve"> </w:t>
      </w:r>
      <w:r w:rsidR="003D0838" w:rsidRPr="00E378F7">
        <w:rPr>
          <w:rFonts w:ascii="Times New Roman" w:eastAsiaTheme="minorEastAsia" w:hAnsi="Times New Roman"/>
          <w:sz w:val="24"/>
          <w:szCs w:val="24"/>
        </w:rPr>
        <w:t xml:space="preserve">plot of the elasticity of TFP growth with respect to private sector credit </w:t>
      </w:r>
      <w:r w:rsidR="00A552FB" w:rsidRPr="00E378F7">
        <w:rPr>
          <w:rFonts w:ascii="Times New Roman" w:eastAsiaTheme="minorEastAsia" w:hAnsi="Times New Roman"/>
          <w:sz w:val="24"/>
          <w:szCs w:val="24"/>
        </w:rPr>
        <w:t xml:space="preserve">shows a remarkably </w:t>
      </w:r>
      <w:r w:rsidR="003D0838" w:rsidRPr="00E378F7">
        <w:rPr>
          <w:rFonts w:ascii="Times New Roman" w:eastAsiaTheme="minorEastAsia" w:hAnsi="Times New Roman"/>
          <w:sz w:val="24"/>
          <w:szCs w:val="24"/>
        </w:rPr>
        <w:t>inverted-U curve</w:t>
      </w:r>
      <w:r w:rsidR="00FA1280">
        <w:rPr>
          <w:rFonts w:ascii="Times New Roman" w:eastAsiaTheme="minorEastAsia" w:hAnsi="Times New Roman"/>
          <w:sz w:val="24"/>
          <w:szCs w:val="24"/>
        </w:rPr>
        <w:t>,</w:t>
      </w:r>
      <w:r w:rsidR="003D0838" w:rsidRPr="00E378F7">
        <w:rPr>
          <w:rFonts w:ascii="Times New Roman" w:eastAsiaTheme="minorEastAsia" w:hAnsi="Times New Roman"/>
          <w:sz w:val="24"/>
          <w:szCs w:val="24"/>
        </w:rPr>
        <w:t xml:space="preserve"> as</w:t>
      </w:r>
      <w:r w:rsidR="00A11287" w:rsidRPr="00E378F7">
        <w:rPr>
          <w:rFonts w:ascii="Times New Roman" w:eastAsiaTheme="minorEastAsia" w:hAnsi="Times New Roman"/>
          <w:sz w:val="24"/>
          <w:szCs w:val="24"/>
        </w:rPr>
        <w:t xml:space="preserve"> displayed in </w:t>
      </w:r>
      <w:r w:rsidR="000A7C09" w:rsidRPr="00E378F7">
        <w:rPr>
          <w:rFonts w:ascii="Times New Roman" w:eastAsiaTheme="minorEastAsia" w:hAnsi="Times New Roman"/>
          <w:sz w:val="24"/>
          <w:szCs w:val="24"/>
        </w:rPr>
        <w:t>Figure 4.3</w:t>
      </w:r>
      <w:r w:rsidR="00A11287" w:rsidRPr="00E378F7">
        <w:rPr>
          <w:rFonts w:ascii="Times New Roman" w:eastAsiaTheme="minorEastAsia" w:hAnsi="Times New Roman"/>
          <w:sz w:val="24"/>
          <w:szCs w:val="24"/>
        </w:rPr>
        <w:t>.</w:t>
      </w:r>
    </w:p>
    <w:p w14:paraId="6C536135" w14:textId="77777777" w:rsidR="00F205F1" w:rsidRPr="00E378F7" w:rsidRDefault="00F205F1" w:rsidP="008E4E1C">
      <w:pPr>
        <w:spacing w:after="0" w:line="360" w:lineRule="auto"/>
        <w:jc w:val="both"/>
        <w:rPr>
          <w:rFonts w:ascii="Times New Roman" w:eastAsiaTheme="minorEastAsia" w:hAnsi="Times New Roman"/>
          <w:i/>
          <w:sz w:val="16"/>
          <w:szCs w:val="16"/>
        </w:rPr>
      </w:pPr>
    </w:p>
    <w:p w14:paraId="55C50D56" w14:textId="15AAAF0E" w:rsidR="00F205F1" w:rsidRPr="00EC79BA" w:rsidRDefault="00854FF0" w:rsidP="00EC79BA">
      <w:pPr>
        <w:pStyle w:val="Heading2"/>
        <w:rPr>
          <w:rFonts w:eastAsiaTheme="minorEastAsia"/>
          <w:b w:val="0"/>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bookmarkStart w:id="51" w:name="_Toc501031493"/>
      <w:r w:rsidRPr="00EC79BA">
        <w:rPr>
          <w:rFonts w:eastAsiaTheme="minorEastAsia"/>
          <w:b w:val="0"/>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lastRenderedPageBreak/>
        <w:t>Figure 5</w:t>
      </w:r>
      <w:r w:rsidR="00F205F1" w:rsidRPr="00EC79BA">
        <w:rPr>
          <w:rFonts w:eastAsiaTheme="minorEastAsia"/>
          <w:b w:val="0"/>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.3: Elasticity of TFP growth with respect </w:t>
      </w:r>
      <w:r w:rsidR="00A518EE" w:rsidRPr="00EC79BA">
        <w:rPr>
          <w:rFonts w:eastAsiaTheme="minorEastAsia"/>
          <w:b w:val="0"/>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to private sector credit</w:t>
      </w:r>
      <w:bookmarkEnd w:id="51"/>
    </w:p>
    <w:p w14:paraId="039D896B" w14:textId="77777777" w:rsidR="00F205F1" w:rsidRPr="00E378F7" w:rsidRDefault="00CF283B" w:rsidP="008E4E1C">
      <w:pPr>
        <w:spacing w:after="0" w:line="360" w:lineRule="auto"/>
        <w:jc w:val="both"/>
        <w:rPr>
          <w:rFonts w:ascii="Times New Roman" w:eastAsiaTheme="minorEastAsia" w:hAnsi="Times New Roman"/>
          <w:sz w:val="24"/>
          <w:szCs w:val="24"/>
        </w:rPr>
      </w:pPr>
      <w:r w:rsidRPr="00AB1527">
        <w:rPr>
          <w:b/>
          <w:noProof/>
        </w:rPr>
        <w:drawing>
          <wp:inline distT="0" distB="0" distL="0" distR="0" wp14:anchorId="4E51FC06" wp14:editId="3A3E4ABF">
            <wp:extent cx="5723334" cy="27241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27700" cy="2726228"/>
                    </a:xfrm>
                    <a:prstGeom prst="rect">
                      <a:avLst/>
                    </a:prstGeom>
                    <a:noFill/>
                    <a:ln>
                      <a:noFill/>
                    </a:ln>
                  </pic:spPr>
                </pic:pic>
              </a:graphicData>
            </a:graphic>
          </wp:inline>
        </w:drawing>
      </w:r>
    </w:p>
    <w:p w14:paraId="4DAD73EF" w14:textId="77777777" w:rsidR="00F205F1" w:rsidRPr="00E378F7" w:rsidRDefault="00F205F1" w:rsidP="008E4E1C">
      <w:pPr>
        <w:spacing w:after="0" w:line="360" w:lineRule="auto"/>
        <w:jc w:val="both"/>
        <w:rPr>
          <w:rFonts w:ascii="Times New Roman" w:eastAsiaTheme="minorEastAsia" w:hAnsi="Times New Roman"/>
          <w:sz w:val="16"/>
          <w:szCs w:val="16"/>
        </w:rPr>
      </w:pPr>
    </w:p>
    <w:p w14:paraId="12457C28" w14:textId="500A6A6D" w:rsidR="0028318F" w:rsidRDefault="00F205F1" w:rsidP="008E4E1C">
      <w:pPr>
        <w:spacing w:after="0" w:line="360" w:lineRule="auto"/>
        <w:jc w:val="both"/>
        <w:rPr>
          <w:rFonts w:ascii="Times New Roman" w:eastAsiaTheme="minorEastAsia" w:hAnsi="Times New Roman"/>
          <w:sz w:val="24"/>
          <w:szCs w:val="24"/>
        </w:rPr>
      </w:pPr>
      <w:r w:rsidRPr="00E378F7">
        <w:rPr>
          <w:rFonts w:ascii="Times New Roman" w:eastAsiaTheme="minorEastAsia" w:hAnsi="Times New Roman"/>
          <w:sz w:val="24"/>
          <w:szCs w:val="24"/>
        </w:rPr>
        <w:t xml:space="preserve">The plot clearly illustrates </w:t>
      </w:r>
      <w:r w:rsidR="00A11287" w:rsidRPr="00E378F7">
        <w:rPr>
          <w:rFonts w:ascii="Times New Roman" w:eastAsiaTheme="minorEastAsia" w:hAnsi="Times New Roman"/>
          <w:sz w:val="24"/>
          <w:szCs w:val="24"/>
        </w:rPr>
        <w:t xml:space="preserve">the existence of nonlinearity between financial deepening and productivity growth in emerging markets economies. It shows a </w:t>
      </w:r>
      <w:r w:rsidRPr="00E378F7">
        <w:rPr>
          <w:rFonts w:ascii="Times New Roman" w:eastAsiaTheme="minorEastAsia" w:hAnsi="Times New Roman"/>
          <w:sz w:val="24"/>
          <w:szCs w:val="24"/>
        </w:rPr>
        <w:t xml:space="preserve">weakening effect of financial deepening on productivity growth after the threshold of private sector credit to GDP about </w:t>
      </w:r>
      <w:r w:rsidR="00CF283B" w:rsidRPr="00E378F7">
        <w:rPr>
          <w:rFonts w:ascii="Times New Roman" w:eastAsiaTheme="minorEastAsia" w:hAnsi="Times New Roman"/>
          <w:sz w:val="24"/>
          <w:szCs w:val="24"/>
        </w:rPr>
        <w:t>68</w:t>
      </w:r>
      <w:r w:rsidRPr="00E378F7">
        <w:rPr>
          <w:rFonts w:ascii="Times New Roman" w:eastAsiaTheme="minorEastAsia" w:hAnsi="Times New Roman"/>
          <w:sz w:val="24"/>
          <w:szCs w:val="24"/>
        </w:rPr>
        <w:t xml:space="preserve"> percent. </w:t>
      </w:r>
      <w:r w:rsidR="00A11287" w:rsidRPr="00E378F7">
        <w:rPr>
          <w:rFonts w:ascii="Times New Roman" w:eastAsiaTheme="minorEastAsia" w:hAnsi="Times New Roman"/>
          <w:sz w:val="24"/>
          <w:szCs w:val="24"/>
        </w:rPr>
        <w:t>The plot reveals</w:t>
      </w:r>
      <w:r w:rsidRPr="00E378F7">
        <w:rPr>
          <w:rFonts w:ascii="Times New Roman" w:eastAsiaTheme="minorEastAsia" w:hAnsi="Times New Roman"/>
          <w:sz w:val="24"/>
          <w:szCs w:val="24"/>
        </w:rPr>
        <w:t xml:space="preserve"> that for private sector credit (% GDP) below </w:t>
      </w:r>
      <w:r w:rsidR="00CF283B" w:rsidRPr="00E378F7">
        <w:rPr>
          <w:rFonts w:ascii="Times New Roman" w:eastAsiaTheme="minorEastAsia" w:hAnsi="Times New Roman"/>
          <w:sz w:val="24"/>
          <w:szCs w:val="24"/>
        </w:rPr>
        <w:t xml:space="preserve">68 </w:t>
      </w:r>
      <w:r w:rsidRPr="00E378F7">
        <w:rPr>
          <w:rFonts w:ascii="Times New Roman" w:eastAsiaTheme="minorEastAsia" w:hAnsi="Times New Roman"/>
          <w:sz w:val="24"/>
          <w:szCs w:val="24"/>
        </w:rPr>
        <w:t>percent, the elasticity of TFP growth with respect to private sector credit is increasing</w:t>
      </w:r>
      <w:r w:rsidR="00FA1280">
        <w:rPr>
          <w:rFonts w:ascii="Times New Roman" w:eastAsiaTheme="minorEastAsia" w:hAnsi="Times New Roman"/>
          <w:sz w:val="24"/>
          <w:szCs w:val="24"/>
        </w:rPr>
        <w:t>,</w:t>
      </w:r>
      <w:r w:rsidRPr="00E378F7">
        <w:rPr>
          <w:rFonts w:ascii="Times New Roman" w:eastAsiaTheme="minorEastAsia" w:hAnsi="Times New Roman"/>
          <w:sz w:val="24"/>
          <w:szCs w:val="24"/>
        </w:rPr>
        <w:t xml:space="preserve"> </w:t>
      </w:r>
      <w:r w:rsidR="00EE454F" w:rsidRPr="00E378F7">
        <w:rPr>
          <w:rFonts w:ascii="Times New Roman" w:eastAsiaTheme="minorEastAsia" w:hAnsi="Times New Roman"/>
          <w:sz w:val="24"/>
          <w:szCs w:val="24"/>
        </w:rPr>
        <w:t>but</w:t>
      </w:r>
      <w:r w:rsidRPr="00E378F7">
        <w:rPr>
          <w:rFonts w:ascii="Times New Roman" w:eastAsiaTheme="minorEastAsia" w:hAnsi="Times New Roman"/>
          <w:sz w:val="24"/>
          <w:szCs w:val="24"/>
        </w:rPr>
        <w:t xml:space="preserve"> dampens </w:t>
      </w:r>
      <w:r w:rsidR="00332CFE" w:rsidRPr="00E378F7">
        <w:rPr>
          <w:rFonts w:ascii="Times New Roman" w:eastAsiaTheme="minorEastAsia" w:hAnsi="Times New Roman"/>
          <w:sz w:val="24"/>
          <w:szCs w:val="24"/>
        </w:rPr>
        <w:t>at higher levels of private sector credit to GDP</w:t>
      </w:r>
      <w:r w:rsidRPr="00E378F7">
        <w:rPr>
          <w:rFonts w:ascii="Times New Roman" w:eastAsiaTheme="minorEastAsia" w:hAnsi="Times New Roman"/>
          <w:sz w:val="24"/>
          <w:szCs w:val="24"/>
        </w:rPr>
        <w:t xml:space="preserve">. </w:t>
      </w:r>
      <w:r w:rsidR="00D21B4F" w:rsidRPr="00E378F7">
        <w:rPr>
          <w:rFonts w:ascii="Times New Roman" w:eastAsiaTheme="minorEastAsia" w:hAnsi="Times New Roman"/>
          <w:sz w:val="24"/>
          <w:szCs w:val="24"/>
        </w:rPr>
        <w:t xml:space="preserve">The </w:t>
      </w:r>
      <w:r w:rsidR="00EE454F" w:rsidRPr="00E378F7">
        <w:rPr>
          <w:rFonts w:ascii="Times New Roman" w:eastAsiaTheme="minorEastAsia" w:hAnsi="Times New Roman"/>
          <w:sz w:val="24"/>
          <w:szCs w:val="24"/>
        </w:rPr>
        <w:t>existence of such a</w:t>
      </w:r>
      <w:r w:rsidR="00D21B4F" w:rsidRPr="00E378F7">
        <w:rPr>
          <w:rFonts w:ascii="Times New Roman" w:eastAsiaTheme="minorEastAsia" w:hAnsi="Times New Roman"/>
          <w:sz w:val="24"/>
          <w:szCs w:val="24"/>
        </w:rPr>
        <w:t xml:space="preserve"> </w:t>
      </w:r>
      <w:r w:rsidR="00EE454F" w:rsidRPr="00E378F7">
        <w:rPr>
          <w:rFonts w:ascii="Times New Roman" w:eastAsiaTheme="minorEastAsia" w:hAnsi="Times New Roman"/>
          <w:sz w:val="24"/>
          <w:szCs w:val="24"/>
        </w:rPr>
        <w:t>nonlinear relationship</w:t>
      </w:r>
      <w:r w:rsidR="00D21B4F" w:rsidRPr="00E378F7">
        <w:rPr>
          <w:rFonts w:ascii="Times New Roman" w:eastAsiaTheme="minorEastAsia" w:hAnsi="Times New Roman"/>
          <w:sz w:val="24"/>
          <w:szCs w:val="24"/>
        </w:rPr>
        <w:t xml:space="preserve"> between financial development and growth is qualitatively similar to previous empirical evidence </w:t>
      </w:r>
      <w:r w:rsidR="00EE454F" w:rsidRPr="00E378F7">
        <w:rPr>
          <w:rFonts w:ascii="Times New Roman" w:eastAsiaTheme="minorEastAsia" w:hAnsi="Times New Roman"/>
          <w:sz w:val="24"/>
          <w:szCs w:val="24"/>
        </w:rPr>
        <w:t>in</w:t>
      </w:r>
      <w:r w:rsidR="00D21B4F" w:rsidRPr="00E378F7">
        <w:rPr>
          <w:rFonts w:ascii="Times New Roman" w:eastAsiaTheme="minorEastAsia" w:hAnsi="Times New Roman"/>
          <w:sz w:val="24"/>
          <w:szCs w:val="24"/>
        </w:rPr>
        <w:t xml:space="preserve"> emerging market economies (see Sahay et al., 2015).</w:t>
      </w:r>
      <w:r w:rsidR="004C19AD" w:rsidRPr="00E378F7">
        <w:rPr>
          <w:rFonts w:ascii="Times New Roman" w:eastAsiaTheme="minorEastAsia" w:hAnsi="Times New Roman"/>
          <w:sz w:val="24"/>
          <w:szCs w:val="24"/>
        </w:rPr>
        <w:t xml:space="preserve"> </w:t>
      </w:r>
      <w:r w:rsidR="00B928D4" w:rsidRPr="00E378F7">
        <w:rPr>
          <w:rFonts w:ascii="Times New Roman" w:eastAsiaTheme="minorEastAsia" w:hAnsi="Times New Roman"/>
          <w:sz w:val="24"/>
          <w:szCs w:val="24"/>
        </w:rPr>
        <w:t>The estimated threshold is below the threshold value of 80</w:t>
      </w:r>
      <w:r w:rsidR="00FA1280">
        <w:rPr>
          <w:rFonts w:ascii="Times New Roman" w:eastAsiaTheme="minorEastAsia" w:hAnsi="Times New Roman"/>
          <w:sz w:val="24"/>
          <w:szCs w:val="24"/>
        </w:rPr>
        <w:t>–</w:t>
      </w:r>
      <w:r w:rsidR="00B928D4" w:rsidRPr="00E378F7">
        <w:rPr>
          <w:rFonts w:ascii="Times New Roman" w:eastAsiaTheme="minorEastAsia" w:hAnsi="Times New Roman"/>
          <w:sz w:val="24"/>
          <w:szCs w:val="24"/>
        </w:rPr>
        <w:t>100 percent</w:t>
      </w:r>
      <w:r w:rsidR="00FA1280">
        <w:rPr>
          <w:rFonts w:ascii="Times New Roman" w:eastAsiaTheme="minorEastAsia" w:hAnsi="Times New Roman"/>
          <w:sz w:val="24"/>
          <w:szCs w:val="24"/>
        </w:rPr>
        <w:t>, as</w:t>
      </w:r>
      <w:r w:rsidR="00B928D4" w:rsidRPr="00E378F7">
        <w:rPr>
          <w:rFonts w:ascii="Times New Roman" w:eastAsiaTheme="minorEastAsia" w:hAnsi="Times New Roman"/>
          <w:sz w:val="24"/>
          <w:szCs w:val="24"/>
        </w:rPr>
        <w:t xml:space="preserve"> reported </w:t>
      </w:r>
      <w:r w:rsidR="00FA1280">
        <w:rPr>
          <w:rFonts w:ascii="Times New Roman" w:eastAsiaTheme="minorEastAsia" w:hAnsi="Times New Roman"/>
          <w:sz w:val="24"/>
          <w:szCs w:val="24"/>
        </w:rPr>
        <w:t xml:space="preserve">by </w:t>
      </w:r>
      <w:r w:rsidR="00B928D4" w:rsidRPr="00E378F7">
        <w:rPr>
          <w:rFonts w:ascii="Times New Roman" w:eastAsiaTheme="minorEastAsia" w:hAnsi="Times New Roman"/>
          <w:sz w:val="24"/>
          <w:szCs w:val="24"/>
        </w:rPr>
        <w:t>Arcand et al. (2012)</w:t>
      </w:r>
      <w:r w:rsidR="00FA1280">
        <w:rPr>
          <w:rFonts w:ascii="Times New Roman" w:eastAsiaTheme="minorEastAsia" w:hAnsi="Times New Roman"/>
          <w:sz w:val="24"/>
          <w:szCs w:val="24"/>
        </w:rPr>
        <w:t>,</w:t>
      </w:r>
      <w:r w:rsidR="00B928D4" w:rsidRPr="00E378F7">
        <w:rPr>
          <w:rFonts w:ascii="Times New Roman" w:eastAsiaTheme="minorEastAsia" w:hAnsi="Times New Roman"/>
          <w:sz w:val="24"/>
          <w:szCs w:val="24"/>
        </w:rPr>
        <w:t xml:space="preserve"> for credit to the private sector to exert a weakening effect on economic growth. However, the threshold value established here cannot be compared with those found by Arcand et al. (2012) since </w:t>
      </w:r>
      <w:r w:rsidR="00FA1280">
        <w:rPr>
          <w:rFonts w:ascii="Times New Roman" w:eastAsiaTheme="minorEastAsia" w:hAnsi="Times New Roman"/>
          <w:sz w:val="24"/>
          <w:szCs w:val="24"/>
        </w:rPr>
        <w:t xml:space="preserve">the </w:t>
      </w:r>
      <w:r w:rsidR="00B928D4" w:rsidRPr="00E378F7">
        <w:rPr>
          <w:rFonts w:ascii="Times New Roman" w:eastAsiaTheme="minorEastAsia" w:hAnsi="Times New Roman"/>
          <w:sz w:val="24"/>
          <w:szCs w:val="24"/>
        </w:rPr>
        <w:t xml:space="preserve">TFP growth </w:t>
      </w:r>
      <w:r w:rsidR="00407734" w:rsidRPr="00E378F7">
        <w:rPr>
          <w:rFonts w:ascii="Times New Roman" w:eastAsiaTheme="minorEastAsia" w:hAnsi="Times New Roman"/>
          <w:sz w:val="24"/>
          <w:szCs w:val="24"/>
        </w:rPr>
        <w:t xml:space="preserve">is the dependent variable used in this thesis while economic growth is </w:t>
      </w:r>
      <w:r w:rsidR="00B928D4" w:rsidRPr="00E378F7">
        <w:rPr>
          <w:rFonts w:ascii="Times New Roman" w:eastAsiaTheme="minorEastAsia" w:hAnsi="Times New Roman"/>
          <w:sz w:val="24"/>
          <w:szCs w:val="24"/>
        </w:rPr>
        <w:t>considered</w:t>
      </w:r>
      <w:r w:rsidR="00407734" w:rsidRPr="00E378F7">
        <w:rPr>
          <w:rFonts w:ascii="Times New Roman" w:eastAsiaTheme="minorEastAsia" w:hAnsi="Times New Roman"/>
          <w:sz w:val="24"/>
          <w:szCs w:val="24"/>
        </w:rPr>
        <w:t xml:space="preserve"> in the study by Arcand et al. (2012)</w:t>
      </w:r>
      <w:r w:rsidR="00B928D4" w:rsidRPr="00E378F7">
        <w:rPr>
          <w:rFonts w:ascii="Times New Roman" w:eastAsiaTheme="minorEastAsia" w:hAnsi="Times New Roman"/>
          <w:sz w:val="24"/>
          <w:szCs w:val="24"/>
        </w:rPr>
        <w:t xml:space="preserve">. </w:t>
      </w:r>
      <w:r w:rsidRPr="00E378F7">
        <w:rPr>
          <w:rFonts w:ascii="Times New Roman" w:eastAsiaTheme="minorEastAsia" w:hAnsi="Times New Roman"/>
          <w:sz w:val="24"/>
          <w:szCs w:val="24"/>
        </w:rPr>
        <w:t>The s</w:t>
      </w:r>
      <w:r w:rsidR="00EE454F" w:rsidRPr="00E378F7">
        <w:rPr>
          <w:rFonts w:ascii="Times New Roman" w:eastAsiaTheme="minorEastAsia" w:hAnsi="Times New Roman"/>
          <w:sz w:val="24"/>
          <w:szCs w:val="24"/>
        </w:rPr>
        <w:t>lope of the transition function</w:t>
      </w:r>
      <w:r w:rsidRPr="00E378F7">
        <w:rPr>
          <w:rFonts w:ascii="Times New Roman" w:eastAsiaTheme="minorEastAsia" w:hAnsi="Times New Roman"/>
          <w:sz w:val="24"/>
          <w:szCs w:val="24"/>
        </w:rPr>
        <w:t xml:space="preserve"> is </w:t>
      </w:r>
      <w:r w:rsidR="00332CFE" w:rsidRPr="00E378F7">
        <w:rPr>
          <w:rFonts w:ascii="Times New Roman" w:eastAsiaTheme="minorEastAsia" w:hAnsi="Times New Roman"/>
          <w:sz w:val="24"/>
          <w:szCs w:val="24"/>
        </w:rPr>
        <w:t xml:space="preserve">relatively </w:t>
      </w:r>
      <w:r w:rsidRPr="00E378F7">
        <w:rPr>
          <w:rFonts w:ascii="Times New Roman" w:eastAsiaTheme="minorEastAsia" w:hAnsi="Times New Roman"/>
          <w:sz w:val="24"/>
          <w:szCs w:val="24"/>
        </w:rPr>
        <w:t xml:space="preserve">smooth, defined by </w:t>
      </w:r>
      <w:r w:rsidR="00D21B4F" w:rsidRPr="00E378F7">
        <w:rPr>
          <w:rFonts w:ascii="Times New Roman" w:eastAsiaTheme="minorEastAsia" w:hAnsi="Times New Roman"/>
          <w:sz w:val="24"/>
          <w:szCs w:val="24"/>
        </w:rPr>
        <w:t>a relatively</w:t>
      </w:r>
      <w:r w:rsidRPr="00E378F7">
        <w:rPr>
          <w:rFonts w:ascii="Times New Roman" w:eastAsiaTheme="minorEastAsia" w:hAnsi="Times New Roman"/>
          <w:sz w:val="24"/>
          <w:szCs w:val="24"/>
        </w:rPr>
        <w:t xml:space="preserve"> low value of </w:t>
      </w:r>
      <w:r w:rsidR="00332CFE" w:rsidRPr="00E378F7">
        <w:rPr>
          <w:rFonts w:ascii="Times New Roman" w:eastAsiaTheme="minorEastAsia" w:hAnsi="Times New Roman"/>
          <w:sz w:val="24"/>
          <w:szCs w:val="24"/>
        </w:rPr>
        <w:t xml:space="preserve">15.75 </w:t>
      </w:r>
      <w:r w:rsidRPr="00E378F7">
        <w:rPr>
          <w:rFonts w:ascii="Times New Roman" w:eastAsiaTheme="minorEastAsia" w:hAnsi="Times New Roman"/>
          <w:sz w:val="24"/>
          <w:szCs w:val="24"/>
        </w:rPr>
        <w:t>of the smoothness parameter.</w:t>
      </w:r>
    </w:p>
    <w:p w14:paraId="039EF465" w14:textId="77777777" w:rsidR="00AB1527" w:rsidRPr="00E378F7" w:rsidRDefault="00AB1527" w:rsidP="008E4E1C">
      <w:pPr>
        <w:spacing w:after="0" w:line="360" w:lineRule="auto"/>
        <w:jc w:val="both"/>
        <w:rPr>
          <w:rFonts w:ascii="Times New Roman" w:eastAsiaTheme="minorEastAsia" w:hAnsi="Times New Roman"/>
          <w:sz w:val="24"/>
          <w:szCs w:val="24"/>
        </w:rPr>
      </w:pPr>
    </w:p>
    <w:p w14:paraId="527FCDEE" w14:textId="77777777" w:rsidR="00AB1527" w:rsidRDefault="00AB1527" w:rsidP="00EC79BA">
      <w:pPr>
        <w:pStyle w:val="Heading2"/>
        <w:rPr>
          <w:rFonts w:eastAsiaTheme="minorEastAsia"/>
        </w:rPr>
      </w:pPr>
      <w:bookmarkStart w:id="52" w:name="_Toc501031494"/>
      <w:r>
        <w:rPr>
          <w:rFonts w:eastAsiaTheme="minorEastAsia"/>
        </w:rPr>
        <w:t xml:space="preserve">5.2.1 </w:t>
      </w:r>
      <w:r w:rsidRPr="0028318F">
        <w:rPr>
          <w:rFonts w:eastAsiaTheme="minorEastAsia"/>
        </w:rPr>
        <w:t>Robustness</w:t>
      </w:r>
      <w:bookmarkEnd w:id="52"/>
    </w:p>
    <w:p w14:paraId="4573E874" w14:textId="46E36425" w:rsidR="00AB1527" w:rsidRDefault="00AB1527" w:rsidP="00EC79BA">
      <w:pPr>
        <w:spacing w:after="0" w:line="360" w:lineRule="auto"/>
        <w:jc w:val="both"/>
        <w:rPr>
          <w:rFonts w:ascii="Times New Roman" w:eastAsiaTheme="minorEastAsia" w:hAnsi="Times New Roman"/>
          <w:sz w:val="24"/>
          <w:szCs w:val="24"/>
        </w:rPr>
      </w:pPr>
      <w:r w:rsidRPr="0028318F">
        <w:rPr>
          <w:rFonts w:ascii="Times New Roman" w:eastAsiaTheme="minorEastAsia" w:hAnsi="Times New Roman"/>
          <w:sz w:val="24"/>
          <w:szCs w:val="24"/>
        </w:rPr>
        <w:t xml:space="preserve">This </w:t>
      </w:r>
      <w:r>
        <w:rPr>
          <w:rFonts w:ascii="Times New Roman" w:eastAsiaTheme="minorEastAsia" w:hAnsi="Times New Roman"/>
          <w:sz w:val="24"/>
          <w:szCs w:val="24"/>
        </w:rPr>
        <w:t xml:space="preserve">section considers whether the finding of the nonlinearity between financial deepening and productivity growth is robust for the use of alternative measures of financial depth. To assess these results’ robustness, the PSTR model is estimated to use </w:t>
      </w:r>
      <w:r>
        <w:rPr>
          <w:rFonts w:ascii="Times New Roman" w:eastAsiaTheme="minorEastAsia" w:hAnsi="Times New Roman"/>
          <w:sz w:val="24"/>
          <w:szCs w:val="24"/>
        </w:rPr>
        <w:lastRenderedPageBreak/>
        <w:t>two (2) alternative measures of the depth of financial markets, i.e., the ratio of stock market capitalization to GDP and share of the stocks traded to GDP. The results presented in Table 5.7 show the outcome of the linearity. A look at the results of all the three (3) tests shows strong rejection of the null hypothesis of linearity. This finding confirms the existence of a nonlinear relationship between financial deepening and productivity growth, which is insensitive to the measure of financial deepening used. The results, therefore, confirm our arguments that the financial development and productivity growth should be estimated using nonlinear estimations. Therefore, such a relationship should not be assumed to be characterized by a linear relationship. However, further tests of no remaining nonlinearity to determine the number of transition functions were not carried out, as one of the location parameters associated with this measure of financial deepening was outside the trimming of the observed values of the threshold variable, i.e., the ratio of stock market capitalization to GDP.</w:t>
      </w:r>
    </w:p>
    <w:p w14:paraId="1C85C8F1" w14:textId="77777777" w:rsidR="00EC79BA" w:rsidRPr="00EC79BA" w:rsidRDefault="00EC79BA" w:rsidP="00EC79BA">
      <w:pPr>
        <w:spacing w:after="0" w:line="360" w:lineRule="auto"/>
        <w:jc w:val="both"/>
        <w:rPr>
          <w:rFonts w:ascii="Times New Roman" w:eastAsiaTheme="minorEastAsia" w:hAnsi="Times New Roman"/>
          <w:sz w:val="24"/>
          <w:szCs w:val="24"/>
        </w:rPr>
      </w:pPr>
    </w:p>
    <w:p w14:paraId="0AA97380" w14:textId="77777777" w:rsidR="00AB1527" w:rsidRPr="00EC79BA" w:rsidRDefault="00AB1527" w:rsidP="00EC79BA">
      <w:pPr>
        <w:pStyle w:val="Heading2"/>
        <w:rPr>
          <w:rFonts w:eastAsiaTheme="minorEastAsia"/>
          <w:b w:val="0"/>
          <w:color w:val="000000" w:themeColor="text1"/>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bookmarkStart w:id="53" w:name="_Toc501031495"/>
      <w:r w:rsidRPr="00EC79BA">
        <w:rPr>
          <w:b w:val="0"/>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Table 5.7: </w:t>
      </w:r>
      <w:r w:rsidRPr="00EC79BA">
        <w:rPr>
          <w:b w:val="0"/>
          <w:i/>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Linearity tests</w:t>
      </w:r>
      <w:bookmarkEnd w:id="53"/>
    </w:p>
    <w:tbl>
      <w:tblPr>
        <w:tblW w:w="0" w:type="auto"/>
        <w:tblLook w:val="04A0" w:firstRow="1" w:lastRow="0" w:firstColumn="1" w:lastColumn="0" w:noHBand="0" w:noVBand="1"/>
      </w:tblPr>
      <w:tblGrid>
        <w:gridCol w:w="3116"/>
        <w:gridCol w:w="3263"/>
        <w:gridCol w:w="846"/>
      </w:tblGrid>
      <w:tr w:rsidR="00AB1527" w:rsidRPr="00EB0C40" w14:paraId="5B79F66F" w14:textId="77777777" w:rsidTr="00616D42">
        <w:tc>
          <w:tcPr>
            <w:tcW w:w="3116" w:type="dxa"/>
            <w:tcBorders>
              <w:top w:val="double" w:sz="4" w:space="0" w:color="auto"/>
              <w:bottom w:val="single" w:sz="4" w:space="0" w:color="auto"/>
            </w:tcBorders>
            <w:shd w:val="clear" w:color="auto" w:fill="auto"/>
          </w:tcPr>
          <w:p w14:paraId="21C0A24F" w14:textId="77777777" w:rsidR="00AB1527" w:rsidRPr="00EB0C40" w:rsidRDefault="00AB1527" w:rsidP="008E4E1C">
            <w:pPr>
              <w:spacing w:line="360" w:lineRule="auto"/>
              <w:jc w:val="both"/>
              <w:rPr>
                <w:rFonts w:ascii="Times New Roman" w:hAnsi="Times New Roman"/>
                <w:sz w:val="18"/>
                <w:szCs w:val="18"/>
              </w:rPr>
            </w:pPr>
            <w:r w:rsidRPr="00EB0C40">
              <w:rPr>
                <w:rFonts w:ascii="Times New Roman" w:hAnsi="Times New Roman"/>
                <w:sz w:val="18"/>
                <w:szCs w:val="18"/>
              </w:rPr>
              <w:t>Test</w:t>
            </w:r>
          </w:p>
        </w:tc>
        <w:tc>
          <w:tcPr>
            <w:tcW w:w="3263" w:type="dxa"/>
            <w:tcBorders>
              <w:top w:val="double" w:sz="4" w:space="0" w:color="auto"/>
              <w:bottom w:val="single" w:sz="4" w:space="0" w:color="auto"/>
            </w:tcBorders>
            <w:shd w:val="clear" w:color="auto" w:fill="auto"/>
          </w:tcPr>
          <w:p w14:paraId="761F7C00" w14:textId="77777777" w:rsidR="00AB1527" w:rsidRPr="00EB0C40" w:rsidRDefault="00AB1527" w:rsidP="008E4E1C">
            <w:pPr>
              <w:spacing w:line="360" w:lineRule="auto"/>
              <w:jc w:val="both"/>
              <w:rPr>
                <w:rFonts w:ascii="Times New Roman" w:hAnsi="Times New Roman"/>
                <w:sz w:val="18"/>
                <w:szCs w:val="18"/>
              </w:rPr>
            </w:pPr>
            <w:r w:rsidRPr="00EB0C40">
              <w:rPr>
                <w:rFonts w:ascii="Times New Roman" w:hAnsi="Times New Roman"/>
                <w:sz w:val="18"/>
                <w:szCs w:val="18"/>
              </w:rPr>
              <w:t>Statistic</w:t>
            </w:r>
          </w:p>
        </w:tc>
        <w:tc>
          <w:tcPr>
            <w:tcW w:w="846" w:type="dxa"/>
            <w:tcBorders>
              <w:top w:val="double" w:sz="4" w:space="0" w:color="auto"/>
              <w:bottom w:val="single" w:sz="4" w:space="0" w:color="auto"/>
            </w:tcBorders>
            <w:shd w:val="clear" w:color="auto" w:fill="auto"/>
          </w:tcPr>
          <w:p w14:paraId="30E4FAE5" w14:textId="77777777" w:rsidR="00AB1527" w:rsidRPr="00EB0C40" w:rsidRDefault="00AB1527" w:rsidP="008E4E1C">
            <w:pPr>
              <w:spacing w:line="360" w:lineRule="auto"/>
              <w:jc w:val="both"/>
              <w:rPr>
                <w:rFonts w:ascii="Times New Roman" w:hAnsi="Times New Roman"/>
                <w:sz w:val="18"/>
                <w:szCs w:val="18"/>
              </w:rPr>
            </w:pPr>
            <w:r w:rsidRPr="00EB0C40">
              <w:rPr>
                <w:rFonts w:ascii="Times New Roman" w:hAnsi="Times New Roman"/>
                <w:sz w:val="18"/>
                <w:szCs w:val="18"/>
              </w:rPr>
              <w:t>P-value</w:t>
            </w:r>
          </w:p>
        </w:tc>
      </w:tr>
      <w:tr w:rsidR="00AB1527" w:rsidRPr="00EB0C40" w14:paraId="0172F1A2" w14:textId="77777777" w:rsidTr="00616D42">
        <w:tc>
          <w:tcPr>
            <w:tcW w:w="3116" w:type="dxa"/>
            <w:tcBorders>
              <w:top w:val="single" w:sz="4" w:space="0" w:color="auto"/>
            </w:tcBorders>
            <w:shd w:val="clear" w:color="auto" w:fill="auto"/>
          </w:tcPr>
          <w:p w14:paraId="70EFF8F5" w14:textId="77777777" w:rsidR="00AB1527" w:rsidRPr="00EB0C40" w:rsidRDefault="00AB1527" w:rsidP="008E4E1C">
            <w:pPr>
              <w:spacing w:line="360" w:lineRule="auto"/>
              <w:jc w:val="both"/>
              <w:rPr>
                <w:rFonts w:ascii="Times New Roman" w:hAnsi="Times New Roman"/>
                <w:sz w:val="18"/>
                <w:szCs w:val="18"/>
              </w:rPr>
            </w:pPr>
            <w:r w:rsidRPr="00EB0C40">
              <w:rPr>
                <w:rFonts w:ascii="Times New Roman" w:hAnsi="Times New Roman"/>
                <w:sz w:val="18"/>
                <w:szCs w:val="18"/>
              </w:rPr>
              <w:t>Wald Test (LM)</w:t>
            </w:r>
          </w:p>
        </w:tc>
        <w:tc>
          <w:tcPr>
            <w:tcW w:w="3263" w:type="dxa"/>
            <w:tcBorders>
              <w:top w:val="single" w:sz="4" w:space="0" w:color="auto"/>
            </w:tcBorders>
            <w:shd w:val="clear" w:color="auto" w:fill="auto"/>
          </w:tcPr>
          <w:p w14:paraId="412EB9C7" w14:textId="77777777" w:rsidR="00AB1527" w:rsidRPr="00EB0C40" w:rsidRDefault="00AB1527" w:rsidP="008E4E1C">
            <w:pPr>
              <w:spacing w:line="360" w:lineRule="auto"/>
              <w:jc w:val="both"/>
              <w:rPr>
                <w:rFonts w:ascii="Times New Roman" w:hAnsi="Times New Roman"/>
                <w:sz w:val="18"/>
                <w:szCs w:val="18"/>
              </w:rPr>
            </w:pPr>
            <w:r>
              <w:rPr>
                <w:rFonts w:ascii="Times New Roman" w:hAnsi="Times New Roman"/>
                <w:sz w:val="18"/>
                <w:szCs w:val="18"/>
              </w:rPr>
              <w:t>34.267</w:t>
            </w:r>
          </w:p>
        </w:tc>
        <w:tc>
          <w:tcPr>
            <w:tcW w:w="846" w:type="dxa"/>
            <w:tcBorders>
              <w:top w:val="single" w:sz="4" w:space="0" w:color="auto"/>
            </w:tcBorders>
            <w:shd w:val="clear" w:color="auto" w:fill="auto"/>
          </w:tcPr>
          <w:p w14:paraId="3899DAFD" w14:textId="77777777" w:rsidR="00AB1527" w:rsidRPr="00EB0C40" w:rsidRDefault="00AB1527" w:rsidP="008E4E1C">
            <w:pPr>
              <w:spacing w:line="360" w:lineRule="auto"/>
              <w:jc w:val="both"/>
              <w:rPr>
                <w:rFonts w:ascii="Times New Roman" w:hAnsi="Times New Roman"/>
                <w:sz w:val="18"/>
                <w:szCs w:val="18"/>
              </w:rPr>
            </w:pPr>
            <w:r w:rsidRPr="00EB0C40">
              <w:rPr>
                <w:rFonts w:ascii="Times New Roman" w:hAnsi="Times New Roman"/>
                <w:sz w:val="18"/>
                <w:szCs w:val="18"/>
              </w:rPr>
              <w:t>0.000</w:t>
            </w:r>
          </w:p>
        </w:tc>
      </w:tr>
      <w:tr w:rsidR="00AB1527" w:rsidRPr="00EB0C40" w14:paraId="3D3A2757" w14:textId="77777777" w:rsidTr="00616D42">
        <w:tc>
          <w:tcPr>
            <w:tcW w:w="3116" w:type="dxa"/>
            <w:shd w:val="clear" w:color="auto" w:fill="auto"/>
          </w:tcPr>
          <w:p w14:paraId="31AC7F89" w14:textId="77777777" w:rsidR="00AB1527" w:rsidRPr="00EB0C40" w:rsidRDefault="00AB1527" w:rsidP="008E4E1C">
            <w:pPr>
              <w:spacing w:line="360" w:lineRule="auto"/>
              <w:jc w:val="both"/>
              <w:rPr>
                <w:rFonts w:ascii="Times New Roman" w:hAnsi="Times New Roman"/>
                <w:sz w:val="18"/>
                <w:szCs w:val="18"/>
              </w:rPr>
            </w:pPr>
            <w:r w:rsidRPr="00EB0C40">
              <w:rPr>
                <w:rFonts w:ascii="Times New Roman" w:hAnsi="Times New Roman"/>
                <w:sz w:val="18"/>
                <w:szCs w:val="18"/>
              </w:rPr>
              <w:t>Fisher Test (LMF)</w:t>
            </w:r>
          </w:p>
        </w:tc>
        <w:tc>
          <w:tcPr>
            <w:tcW w:w="3263" w:type="dxa"/>
            <w:shd w:val="clear" w:color="auto" w:fill="auto"/>
          </w:tcPr>
          <w:p w14:paraId="41A580A4" w14:textId="77777777" w:rsidR="00AB1527" w:rsidRPr="00EB0C40" w:rsidRDefault="00AB1527" w:rsidP="008E4E1C">
            <w:pPr>
              <w:spacing w:line="360" w:lineRule="auto"/>
              <w:jc w:val="both"/>
              <w:rPr>
                <w:rFonts w:ascii="Times New Roman" w:hAnsi="Times New Roman"/>
                <w:sz w:val="18"/>
                <w:szCs w:val="18"/>
              </w:rPr>
            </w:pPr>
            <w:r>
              <w:rPr>
                <w:rFonts w:ascii="Times New Roman" w:hAnsi="Times New Roman"/>
                <w:sz w:val="18"/>
                <w:szCs w:val="18"/>
              </w:rPr>
              <w:t>4.966</w:t>
            </w:r>
          </w:p>
        </w:tc>
        <w:tc>
          <w:tcPr>
            <w:tcW w:w="846" w:type="dxa"/>
            <w:shd w:val="clear" w:color="auto" w:fill="auto"/>
          </w:tcPr>
          <w:p w14:paraId="0544D8B4" w14:textId="77777777" w:rsidR="00AB1527" w:rsidRPr="00EB0C40" w:rsidRDefault="00AB1527" w:rsidP="008E4E1C">
            <w:pPr>
              <w:spacing w:line="360" w:lineRule="auto"/>
              <w:jc w:val="both"/>
              <w:rPr>
                <w:rFonts w:ascii="Times New Roman" w:hAnsi="Times New Roman"/>
                <w:sz w:val="18"/>
                <w:szCs w:val="18"/>
              </w:rPr>
            </w:pPr>
            <w:r w:rsidRPr="00EB0C40">
              <w:rPr>
                <w:rFonts w:ascii="Times New Roman" w:hAnsi="Times New Roman"/>
                <w:sz w:val="18"/>
                <w:szCs w:val="18"/>
              </w:rPr>
              <w:t>0.000</w:t>
            </w:r>
          </w:p>
        </w:tc>
      </w:tr>
      <w:tr w:rsidR="00AB1527" w:rsidRPr="00EB0C40" w14:paraId="37233CDC" w14:textId="77777777" w:rsidTr="00616D42">
        <w:tc>
          <w:tcPr>
            <w:tcW w:w="3116" w:type="dxa"/>
            <w:tcBorders>
              <w:bottom w:val="double" w:sz="4" w:space="0" w:color="auto"/>
            </w:tcBorders>
            <w:shd w:val="clear" w:color="auto" w:fill="auto"/>
          </w:tcPr>
          <w:p w14:paraId="7B04060D" w14:textId="77777777" w:rsidR="00AB1527" w:rsidRPr="00EB0C40" w:rsidRDefault="00AB1527" w:rsidP="008E4E1C">
            <w:pPr>
              <w:spacing w:line="360" w:lineRule="auto"/>
              <w:jc w:val="both"/>
              <w:rPr>
                <w:rFonts w:ascii="Times New Roman" w:hAnsi="Times New Roman"/>
                <w:sz w:val="18"/>
                <w:szCs w:val="18"/>
              </w:rPr>
            </w:pPr>
            <w:r w:rsidRPr="00EB0C40">
              <w:rPr>
                <w:rFonts w:ascii="Times New Roman" w:hAnsi="Times New Roman"/>
                <w:sz w:val="18"/>
                <w:szCs w:val="18"/>
              </w:rPr>
              <w:t>LRT Tests (LRT)</w:t>
            </w:r>
          </w:p>
        </w:tc>
        <w:tc>
          <w:tcPr>
            <w:tcW w:w="3263" w:type="dxa"/>
            <w:tcBorders>
              <w:bottom w:val="double" w:sz="4" w:space="0" w:color="auto"/>
            </w:tcBorders>
            <w:shd w:val="clear" w:color="auto" w:fill="auto"/>
          </w:tcPr>
          <w:p w14:paraId="64690B92" w14:textId="77777777" w:rsidR="00AB1527" w:rsidRPr="00EB0C40" w:rsidRDefault="00AB1527" w:rsidP="008E4E1C">
            <w:pPr>
              <w:spacing w:line="360" w:lineRule="auto"/>
              <w:jc w:val="both"/>
              <w:rPr>
                <w:rFonts w:ascii="Times New Roman" w:hAnsi="Times New Roman"/>
                <w:sz w:val="18"/>
                <w:szCs w:val="18"/>
              </w:rPr>
            </w:pPr>
            <w:r>
              <w:rPr>
                <w:rFonts w:ascii="Times New Roman" w:hAnsi="Times New Roman"/>
                <w:sz w:val="18"/>
                <w:szCs w:val="18"/>
              </w:rPr>
              <w:t>35.841</w:t>
            </w:r>
          </w:p>
        </w:tc>
        <w:tc>
          <w:tcPr>
            <w:tcW w:w="846" w:type="dxa"/>
            <w:tcBorders>
              <w:bottom w:val="double" w:sz="4" w:space="0" w:color="auto"/>
            </w:tcBorders>
            <w:shd w:val="clear" w:color="auto" w:fill="auto"/>
          </w:tcPr>
          <w:p w14:paraId="2CEDBAC7" w14:textId="77777777" w:rsidR="00AB1527" w:rsidRPr="00EB0C40" w:rsidRDefault="00AB1527" w:rsidP="008E4E1C">
            <w:pPr>
              <w:spacing w:line="360" w:lineRule="auto"/>
              <w:jc w:val="both"/>
              <w:rPr>
                <w:rFonts w:ascii="Times New Roman" w:hAnsi="Times New Roman"/>
                <w:sz w:val="18"/>
                <w:szCs w:val="18"/>
              </w:rPr>
            </w:pPr>
            <w:r w:rsidRPr="00EB0C40">
              <w:rPr>
                <w:rFonts w:ascii="Times New Roman" w:hAnsi="Times New Roman"/>
                <w:sz w:val="18"/>
                <w:szCs w:val="18"/>
              </w:rPr>
              <w:t>0.000</w:t>
            </w:r>
          </w:p>
        </w:tc>
      </w:tr>
    </w:tbl>
    <w:p w14:paraId="5DE29238" w14:textId="7EB57EA0" w:rsidR="00AB1527" w:rsidRPr="00674EFD" w:rsidRDefault="00AB1527" w:rsidP="008E4E1C">
      <w:pPr>
        <w:spacing w:line="360" w:lineRule="auto"/>
        <w:jc w:val="both"/>
        <w:rPr>
          <w:rFonts w:ascii="Times New Roman" w:hAnsi="Times New Roman"/>
          <w:sz w:val="16"/>
          <w:szCs w:val="16"/>
        </w:rPr>
      </w:pPr>
      <w:r w:rsidRPr="00EB0C40">
        <w:rPr>
          <w:rFonts w:eastAsia="Times New Roman"/>
          <w:sz w:val="18"/>
          <w:szCs w:val="18"/>
        </w:rPr>
        <w:t xml:space="preserve">Note: </w:t>
      </w:r>
      <m:oMath>
        <m:sSub>
          <m:sSubPr>
            <m:ctrlPr>
              <w:rPr>
                <w:rFonts w:ascii="Cambria Math" w:hAnsi="Cambria Math"/>
                <w:sz w:val="18"/>
                <w:szCs w:val="18"/>
              </w:rPr>
            </m:ctrlPr>
          </m:sSubPr>
          <m:e>
            <m:r>
              <w:rPr>
                <w:rFonts w:ascii="Cambria Math" w:hAnsi="Cambria Math"/>
                <w:sz w:val="18"/>
                <w:szCs w:val="18"/>
              </w:rPr>
              <m:t>H</m:t>
            </m:r>
          </m:e>
          <m:sub>
            <m:r>
              <m:rPr>
                <m:sty m:val="p"/>
              </m:rPr>
              <w:rPr>
                <w:rFonts w:ascii="Cambria Math" w:hAnsi="Cambria Math"/>
                <w:sz w:val="18"/>
                <w:szCs w:val="18"/>
              </w:rPr>
              <m:t>0</m:t>
            </m:r>
          </m:sub>
        </m:sSub>
        <m:r>
          <m:rPr>
            <m:sty m:val="p"/>
          </m:rPr>
          <w:rPr>
            <w:rFonts w:ascii="Cambria Math" w:hAnsi="Cambria Math"/>
            <w:sz w:val="18"/>
            <w:szCs w:val="18"/>
          </w:rPr>
          <m:t xml:space="preserve">: </m:t>
        </m:r>
      </m:oMath>
      <w:r w:rsidRPr="00F22904">
        <w:rPr>
          <w:rFonts w:ascii="Times New Roman" w:hAnsi="Times New Roman"/>
          <w:sz w:val="18"/>
          <w:szCs w:val="18"/>
        </w:rPr>
        <w:t xml:space="preserve"> linear model </w:t>
      </w:r>
      <m:oMath>
        <m:d>
          <m:dPr>
            <m:ctrlPr>
              <w:rPr>
                <w:rFonts w:ascii="Cambria Math" w:hAnsi="Cambria Math"/>
                <w:sz w:val="18"/>
                <w:szCs w:val="18"/>
              </w:rPr>
            </m:ctrlPr>
          </m:dPr>
          <m:e>
            <m:r>
              <w:rPr>
                <w:rFonts w:ascii="Cambria Math" w:hAnsi="Cambria Math"/>
                <w:sz w:val="18"/>
                <w:szCs w:val="18"/>
              </w:rPr>
              <m:t>r</m:t>
            </m:r>
            <m:r>
              <m:rPr>
                <m:sty m:val="p"/>
              </m:rPr>
              <w:rPr>
                <w:rFonts w:ascii="Cambria Math" w:hAnsi="Cambria Math"/>
                <w:sz w:val="18"/>
                <w:szCs w:val="18"/>
              </w:rPr>
              <m:t>=0</m:t>
            </m:r>
          </m:e>
        </m:d>
      </m:oMath>
      <w:r w:rsidRPr="00F22904">
        <w:rPr>
          <w:rFonts w:ascii="Times New Roman" w:hAnsi="Times New Roman"/>
          <w:sz w:val="18"/>
          <w:szCs w:val="18"/>
        </w:rPr>
        <w:t xml:space="preserve"> vs</w:t>
      </w:r>
      <w:r>
        <w:rPr>
          <w:rFonts w:ascii="Times New Roman" w:hAnsi="Times New Roman"/>
          <w:sz w:val="18"/>
          <w:szCs w:val="18"/>
        </w:rPr>
        <w:t>.</w:t>
      </w:r>
      <w:r w:rsidRPr="00F22904">
        <w:rPr>
          <w:rFonts w:ascii="Times New Roman" w:hAnsi="Times New Roman"/>
          <w:sz w:val="18"/>
          <w:szCs w:val="18"/>
        </w:rPr>
        <w:t xml:space="preserve"> </w:t>
      </w:r>
      <m:oMath>
        <m:sSub>
          <m:sSubPr>
            <m:ctrlPr>
              <w:rPr>
                <w:rFonts w:ascii="Cambria Math" w:hAnsi="Cambria Math"/>
                <w:sz w:val="18"/>
                <w:szCs w:val="18"/>
              </w:rPr>
            </m:ctrlPr>
          </m:sSubPr>
          <m:e>
            <m:r>
              <w:rPr>
                <w:rFonts w:ascii="Cambria Math" w:hAnsi="Cambria Math"/>
                <w:sz w:val="18"/>
                <w:szCs w:val="18"/>
              </w:rPr>
              <m:t>H</m:t>
            </m:r>
          </m:e>
          <m:sub>
            <m:r>
              <m:rPr>
                <m:sty m:val="p"/>
              </m:rPr>
              <w:rPr>
                <w:rFonts w:ascii="Cambria Math" w:hAnsi="Cambria Math"/>
                <w:sz w:val="18"/>
                <w:szCs w:val="18"/>
              </w:rPr>
              <m:t>1</m:t>
            </m:r>
          </m:sub>
        </m:sSub>
        <m:r>
          <m:rPr>
            <m:sty m:val="p"/>
          </m:rPr>
          <w:rPr>
            <w:rFonts w:ascii="Cambria Math" w:hAnsi="Cambria Math"/>
            <w:sz w:val="18"/>
            <w:szCs w:val="18"/>
          </w:rPr>
          <m:t xml:space="preserve">: </m:t>
        </m:r>
      </m:oMath>
      <w:r w:rsidRPr="00F22904">
        <w:rPr>
          <w:rFonts w:ascii="Times New Roman" w:hAnsi="Times New Roman"/>
          <w:sz w:val="18"/>
          <w:szCs w:val="18"/>
        </w:rPr>
        <w:t xml:space="preserve">PSTR model with at least 1 </w:t>
      </w:r>
      <w:r w:rsidR="002D7A44" w:rsidRPr="00F22904">
        <w:rPr>
          <w:rFonts w:ascii="Times New Roman" w:hAnsi="Times New Roman"/>
          <w:sz w:val="18"/>
          <w:szCs w:val="18"/>
        </w:rPr>
        <w:t>threshold</w:t>
      </w:r>
      <m:oMath>
        <m:d>
          <m:dPr>
            <m:ctrlPr>
              <w:rPr>
                <w:rFonts w:ascii="Cambria Math" w:hAnsi="Cambria Math"/>
                <w:sz w:val="18"/>
                <w:szCs w:val="18"/>
              </w:rPr>
            </m:ctrlPr>
          </m:dPr>
          <m:e>
            <m:r>
              <w:rPr>
                <w:rFonts w:ascii="Cambria Math" w:hAnsi="Cambria Math"/>
                <w:sz w:val="18"/>
                <w:szCs w:val="18"/>
              </w:rPr>
              <m:t>r</m:t>
            </m:r>
            <m:r>
              <m:rPr>
                <m:sty m:val="p"/>
              </m:rPr>
              <w:rPr>
                <w:rFonts w:ascii="Cambria Math" w:hAnsi="Cambria Math"/>
                <w:sz w:val="18"/>
                <w:szCs w:val="18"/>
              </w:rPr>
              <m:t>=1</m:t>
            </m:r>
          </m:e>
        </m:d>
      </m:oMath>
      <w:r>
        <w:rPr>
          <w:rFonts w:ascii="Times New Roman" w:eastAsiaTheme="minorEastAsia" w:hAnsi="Times New Roman"/>
          <w:sz w:val="18"/>
          <w:szCs w:val="18"/>
        </w:rPr>
        <w:t>.</w:t>
      </w:r>
    </w:p>
    <w:p w14:paraId="085CAED2" w14:textId="68D8DF15" w:rsidR="00AB1527" w:rsidRDefault="00AB1527" w:rsidP="008E4E1C">
      <w:pPr>
        <w:spacing w:after="0" w:line="360" w:lineRule="auto"/>
        <w:jc w:val="both"/>
        <w:rPr>
          <w:rFonts w:ascii="Times New Roman" w:eastAsiaTheme="minorEastAsia" w:hAnsi="Times New Roman"/>
          <w:sz w:val="24"/>
          <w:szCs w:val="24"/>
        </w:rPr>
      </w:pPr>
      <w:r>
        <w:rPr>
          <w:rFonts w:ascii="Times New Roman" w:eastAsiaTheme="minorEastAsia" w:hAnsi="Times New Roman"/>
          <w:sz w:val="24"/>
          <w:szCs w:val="24"/>
        </w:rPr>
        <w:t>To extend this analysis, an alternative measure of the depth of financial markets is considered, i.e., the ratio of stocks traded to GDP. As shown in Table 5.8, the results are remarkably consistent with the above analysis and show that there is a nonlinear relationship between financial deepening and productivity growth in emerging market economies.</w:t>
      </w:r>
    </w:p>
    <w:p w14:paraId="0FCC863D" w14:textId="77777777" w:rsidR="00AC0D70" w:rsidRDefault="00AC0D70" w:rsidP="008E4E1C">
      <w:pPr>
        <w:spacing w:after="0" w:line="360" w:lineRule="auto"/>
        <w:jc w:val="both"/>
        <w:rPr>
          <w:rFonts w:ascii="Times New Roman" w:eastAsiaTheme="minorEastAsia" w:hAnsi="Times New Roman"/>
          <w:sz w:val="24"/>
          <w:szCs w:val="24"/>
        </w:rPr>
      </w:pPr>
    </w:p>
    <w:p w14:paraId="58EF0112" w14:textId="0A70C3C9" w:rsidR="00AB1527" w:rsidRPr="00EC79BA" w:rsidRDefault="00AB1527" w:rsidP="00EC79BA">
      <w:pPr>
        <w:pStyle w:val="Heading2"/>
        <w:rPr>
          <w:rFonts w:eastAsiaTheme="minorHAnsi"/>
          <w:b w:val="0"/>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bookmarkStart w:id="54" w:name="_Toc501031496"/>
      <w:r w:rsidRPr="00EC79BA">
        <w:rPr>
          <w:b w:val="0"/>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Table 5.</w:t>
      </w:r>
      <w:r w:rsidR="00D01DAE" w:rsidRPr="00EC79BA">
        <w:rPr>
          <w:b w:val="0"/>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8</w:t>
      </w:r>
      <w:r w:rsidR="00EC79BA" w:rsidRPr="00EC79BA">
        <w:rPr>
          <w:b w:val="0"/>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EC79BA">
        <w:rPr>
          <w:b w:val="0"/>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Linearity Tests</w:t>
      </w:r>
      <w:bookmarkEnd w:id="54"/>
    </w:p>
    <w:tbl>
      <w:tblPr>
        <w:tblW w:w="0" w:type="auto"/>
        <w:tblLook w:val="04A0" w:firstRow="1" w:lastRow="0" w:firstColumn="1" w:lastColumn="0" w:noHBand="0" w:noVBand="1"/>
      </w:tblPr>
      <w:tblGrid>
        <w:gridCol w:w="3116"/>
        <w:gridCol w:w="3263"/>
        <w:gridCol w:w="846"/>
      </w:tblGrid>
      <w:tr w:rsidR="00AB1527" w:rsidRPr="00EB0C40" w14:paraId="7C954731" w14:textId="77777777" w:rsidTr="003D2875">
        <w:tc>
          <w:tcPr>
            <w:tcW w:w="3116" w:type="dxa"/>
            <w:tcBorders>
              <w:top w:val="double" w:sz="4" w:space="0" w:color="auto"/>
              <w:bottom w:val="single" w:sz="4" w:space="0" w:color="auto"/>
            </w:tcBorders>
            <w:shd w:val="clear" w:color="auto" w:fill="auto"/>
          </w:tcPr>
          <w:p w14:paraId="6408F6F0" w14:textId="77777777" w:rsidR="00AB1527" w:rsidRPr="00EB0C40" w:rsidRDefault="00AB1527" w:rsidP="008E4E1C">
            <w:pPr>
              <w:spacing w:line="360" w:lineRule="auto"/>
              <w:jc w:val="both"/>
              <w:rPr>
                <w:rFonts w:ascii="Times New Roman" w:hAnsi="Times New Roman"/>
                <w:sz w:val="18"/>
                <w:szCs w:val="18"/>
              </w:rPr>
            </w:pPr>
            <w:r>
              <w:rPr>
                <w:rFonts w:ascii="Times New Roman" w:hAnsi="Times New Roman"/>
                <w:sz w:val="18"/>
                <w:szCs w:val="18"/>
              </w:rPr>
              <w:t>T</w:t>
            </w:r>
            <w:r w:rsidRPr="00EB0C40">
              <w:rPr>
                <w:rFonts w:ascii="Times New Roman" w:hAnsi="Times New Roman"/>
                <w:sz w:val="18"/>
                <w:szCs w:val="18"/>
              </w:rPr>
              <w:t>est</w:t>
            </w:r>
          </w:p>
        </w:tc>
        <w:tc>
          <w:tcPr>
            <w:tcW w:w="3263" w:type="dxa"/>
            <w:tcBorders>
              <w:top w:val="double" w:sz="4" w:space="0" w:color="auto"/>
              <w:bottom w:val="single" w:sz="4" w:space="0" w:color="auto"/>
            </w:tcBorders>
            <w:shd w:val="clear" w:color="auto" w:fill="auto"/>
          </w:tcPr>
          <w:p w14:paraId="46F64881" w14:textId="77777777" w:rsidR="00AB1527" w:rsidRPr="00EB0C40" w:rsidRDefault="00AB1527" w:rsidP="008E4E1C">
            <w:pPr>
              <w:spacing w:line="360" w:lineRule="auto"/>
              <w:jc w:val="both"/>
              <w:rPr>
                <w:rFonts w:ascii="Times New Roman" w:hAnsi="Times New Roman"/>
                <w:sz w:val="18"/>
                <w:szCs w:val="18"/>
              </w:rPr>
            </w:pPr>
            <w:r w:rsidRPr="00EB0C40">
              <w:rPr>
                <w:rFonts w:ascii="Times New Roman" w:hAnsi="Times New Roman"/>
                <w:sz w:val="18"/>
                <w:szCs w:val="18"/>
              </w:rPr>
              <w:t>Statistic</w:t>
            </w:r>
          </w:p>
        </w:tc>
        <w:tc>
          <w:tcPr>
            <w:tcW w:w="846" w:type="dxa"/>
            <w:tcBorders>
              <w:top w:val="double" w:sz="4" w:space="0" w:color="auto"/>
              <w:bottom w:val="single" w:sz="4" w:space="0" w:color="auto"/>
            </w:tcBorders>
            <w:shd w:val="clear" w:color="auto" w:fill="auto"/>
          </w:tcPr>
          <w:p w14:paraId="7148453E" w14:textId="77777777" w:rsidR="00AB1527" w:rsidRPr="00EB0C40" w:rsidRDefault="00AB1527" w:rsidP="008E4E1C">
            <w:pPr>
              <w:spacing w:line="360" w:lineRule="auto"/>
              <w:jc w:val="both"/>
              <w:rPr>
                <w:rFonts w:ascii="Times New Roman" w:hAnsi="Times New Roman"/>
                <w:sz w:val="18"/>
                <w:szCs w:val="18"/>
              </w:rPr>
            </w:pPr>
            <w:r w:rsidRPr="00EB0C40">
              <w:rPr>
                <w:rFonts w:ascii="Times New Roman" w:hAnsi="Times New Roman"/>
                <w:sz w:val="18"/>
                <w:szCs w:val="18"/>
              </w:rPr>
              <w:t>P-value</w:t>
            </w:r>
          </w:p>
        </w:tc>
      </w:tr>
      <w:tr w:rsidR="00AB1527" w:rsidRPr="00EB0C40" w14:paraId="0BD83E8B" w14:textId="77777777" w:rsidTr="003D2875">
        <w:tc>
          <w:tcPr>
            <w:tcW w:w="3116" w:type="dxa"/>
            <w:tcBorders>
              <w:top w:val="single" w:sz="4" w:space="0" w:color="auto"/>
            </w:tcBorders>
            <w:shd w:val="clear" w:color="auto" w:fill="auto"/>
          </w:tcPr>
          <w:p w14:paraId="05D923C2" w14:textId="77777777" w:rsidR="00AB1527" w:rsidRPr="00EB0C40" w:rsidRDefault="00AB1527" w:rsidP="008E4E1C">
            <w:pPr>
              <w:spacing w:line="360" w:lineRule="auto"/>
              <w:jc w:val="both"/>
              <w:rPr>
                <w:rFonts w:ascii="Times New Roman" w:hAnsi="Times New Roman"/>
                <w:sz w:val="18"/>
                <w:szCs w:val="18"/>
              </w:rPr>
            </w:pPr>
            <w:r w:rsidRPr="00EB0C40">
              <w:rPr>
                <w:rFonts w:ascii="Times New Roman" w:hAnsi="Times New Roman"/>
                <w:sz w:val="18"/>
                <w:szCs w:val="18"/>
              </w:rPr>
              <w:t>Wald Test (LM)</w:t>
            </w:r>
          </w:p>
        </w:tc>
        <w:tc>
          <w:tcPr>
            <w:tcW w:w="3263" w:type="dxa"/>
            <w:tcBorders>
              <w:top w:val="single" w:sz="4" w:space="0" w:color="auto"/>
            </w:tcBorders>
            <w:shd w:val="clear" w:color="auto" w:fill="auto"/>
          </w:tcPr>
          <w:p w14:paraId="763D6DD0" w14:textId="77777777" w:rsidR="00AB1527" w:rsidRPr="00EB0C40" w:rsidRDefault="00AB1527" w:rsidP="008E4E1C">
            <w:pPr>
              <w:spacing w:line="360" w:lineRule="auto"/>
              <w:jc w:val="both"/>
              <w:rPr>
                <w:rFonts w:ascii="Times New Roman" w:hAnsi="Times New Roman"/>
                <w:sz w:val="18"/>
                <w:szCs w:val="18"/>
              </w:rPr>
            </w:pPr>
            <w:r>
              <w:rPr>
                <w:rFonts w:ascii="Times New Roman" w:hAnsi="Times New Roman"/>
                <w:sz w:val="18"/>
                <w:szCs w:val="18"/>
              </w:rPr>
              <w:t>16.122</w:t>
            </w:r>
          </w:p>
        </w:tc>
        <w:tc>
          <w:tcPr>
            <w:tcW w:w="846" w:type="dxa"/>
            <w:tcBorders>
              <w:top w:val="single" w:sz="4" w:space="0" w:color="auto"/>
            </w:tcBorders>
            <w:shd w:val="clear" w:color="auto" w:fill="auto"/>
          </w:tcPr>
          <w:p w14:paraId="2DAAC870" w14:textId="77777777" w:rsidR="00AB1527" w:rsidRPr="00EB0C40" w:rsidRDefault="00AB1527" w:rsidP="008E4E1C">
            <w:pPr>
              <w:spacing w:line="360" w:lineRule="auto"/>
              <w:jc w:val="both"/>
              <w:rPr>
                <w:rFonts w:ascii="Times New Roman" w:hAnsi="Times New Roman"/>
                <w:sz w:val="18"/>
                <w:szCs w:val="18"/>
              </w:rPr>
            </w:pPr>
            <w:r>
              <w:rPr>
                <w:rFonts w:ascii="Times New Roman" w:hAnsi="Times New Roman"/>
                <w:sz w:val="18"/>
                <w:szCs w:val="18"/>
              </w:rPr>
              <w:t>0.024</w:t>
            </w:r>
          </w:p>
        </w:tc>
      </w:tr>
      <w:tr w:rsidR="00AB1527" w:rsidRPr="00EB0C40" w14:paraId="69BEF3E0" w14:textId="77777777" w:rsidTr="003D2875">
        <w:tc>
          <w:tcPr>
            <w:tcW w:w="3116" w:type="dxa"/>
            <w:shd w:val="clear" w:color="auto" w:fill="auto"/>
          </w:tcPr>
          <w:p w14:paraId="01E40369" w14:textId="77777777" w:rsidR="00AB1527" w:rsidRPr="00EB0C40" w:rsidRDefault="00AB1527" w:rsidP="008E4E1C">
            <w:pPr>
              <w:spacing w:line="360" w:lineRule="auto"/>
              <w:jc w:val="both"/>
              <w:rPr>
                <w:rFonts w:ascii="Times New Roman" w:hAnsi="Times New Roman"/>
                <w:sz w:val="18"/>
                <w:szCs w:val="18"/>
              </w:rPr>
            </w:pPr>
            <w:r w:rsidRPr="00EB0C40">
              <w:rPr>
                <w:rFonts w:ascii="Times New Roman" w:hAnsi="Times New Roman"/>
                <w:sz w:val="18"/>
                <w:szCs w:val="18"/>
              </w:rPr>
              <w:t>Fisher Test (LMF)</w:t>
            </w:r>
          </w:p>
        </w:tc>
        <w:tc>
          <w:tcPr>
            <w:tcW w:w="3263" w:type="dxa"/>
            <w:shd w:val="clear" w:color="auto" w:fill="auto"/>
          </w:tcPr>
          <w:p w14:paraId="23638D5E" w14:textId="77777777" w:rsidR="00AB1527" w:rsidRPr="00EB0C40" w:rsidRDefault="00AB1527" w:rsidP="008E4E1C">
            <w:pPr>
              <w:spacing w:line="360" w:lineRule="auto"/>
              <w:jc w:val="both"/>
              <w:rPr>
                <w:rFonts w:ascii="Times New Roman" w:hAnsi="Times New Roman"/>
                <w:sz w:val="18"/>
                <w:szCs w:val="18"/>
              </w:rPr>
            </w:pPr>
            <w:r>
              <w:rPr>
                <w:rFonts w:ascii="Times New Roman" w:hAnsi="Times New Roman"/>
                <w:sz w:val="18"/>
                <w:szCs w:val="18"/>
              </w:rPr>
              <w:t>2.228</w:t>
            </w:r>
          </w:p>
        </w:tc>
        <w:tc>
          <w:tcPr>
            <w:tcW w:w="846" w:type="dxa"/>
            <w:shd w:val="clear" w:color="auto" w:fill="auto"/>
          </w:tcPr>
          <w:p w14:paraId="3D3307CC" w14:textId="77777777" w:rsidR="00AB1527" w:rsidRPr="00EB0C40" w:rsidRDefault="00AB1527" w:rsidP="008E4E1C">
            <w:pPr>
              <w:spacing w:line="360" w:lineRule="auto"/>
              <w:jc w:val="both"/>
              <w:rPr>
                <w:rFonts w:ascii="Times New Roman" w:hAnsi="Times New Roman"/>
                <w:sz w:val="18"/>
                <w:szCs w:val="18"/>
              </w:rPr>
            </w:pPr>
            <w:r>
              <w:rPr>
                <w:rFonts w:ascii="Times New Roman" w:hAnsi="Times New Roman"/>
                <w:sz w:val="18"/>
                <w:szCs w:val="18"/>
              </w:rPr>
              <w:t>0.032</w:t>
            </w:r>
          </w:p>
        </w:tc>
      </w:tr>
      <w:tr w:rsidR="00AB1527" w:rsidRPr="00EB0C40" w14:paraId="5AB531F4" w14:textId="77777777" w:rsidTr="003D2875">
        <w:tc>
          <w:tcPr>
            <w:tcW w:w="3116" w:type="dxa"/>
            <w:tcBorders>
              <w:bottom w:val="double" w:sz="4" w:space="0" w:color="auto"/>
            </w:tcBorders>
            <w:shd w:val="clear" w:color="auto" w:fill="auto"/>
          </w:tcPr>
          <w:p w14:paraId="5D9EBF40" w14:textId="77777777" w:rsidR="00AB1527" w:rsidRPr="00EB0C40" w:rsidRDefault="00AB1527" w:rsidP="008E4E1C">
            <w:pPr>
              <w:spacing w:line="360" w:lineRule="auto"/>
              <w:jc w:val="both"/>
              <w:rPr>
                <w:rFonts w:ascii="Times New Roman" w:hAnsi="Times New Roman"/>
                <w:sz w:val="18"/>
                <w:szCs w:val="18"/>
              </w:rPr>
            </w:pPr>
            <w:r w:rsidRPr="00EB0C40">
              <w:rPr>
                <w:rFonts w:ascii="Times New Roman" w:hAnsi="Times New Roman"/>
                <w:sz w:val="18"/>
                <w:szCs w:val="18"/>
              </w:rPr>
              <w:t>LRT Tests (LRT)</w:t>
            </w:r>
          </w:p>
        </w:tc>
        <w:tc>
          <w:tcPr>
            <w:tcW w:w="3263" w:type="dxa"/>
            <w:tcBorders>
              <w:bottom w:val="double" w:sz="4" w:space="0" w:color="auto"/>
            </w:tcBorders>
            <w:shd w:val="clear" w:color="auto" w:fill="auto"/>
          </w:tcPr>
          <w:p w14:paraId="2E1BE327" w14:textId="77777777" w:rsidR="00AB1527" w:rsidRPr="00EB0C40" w:rsidRDefault="00AB1527" w:rsidP="008E4E1C">
            <w:pPr>
              <w:spacing w:line="360" w:lineRule="auto"/>
              <w:jc w:val="both"/>
              <w:rPr>
                <w:rFonts w:ascii="Times New Roman" w:hAnsi="Times New Roman"/>
                <w:sz w:val="18"/>
                <w:szCs w:val="18"/>
              </w:rPr>
            </w:pPr>
            <w:r>
              <w:rPr>
                <w:rFonts w:ascii="Times New Roman" w:hAnsi="Times New Roman"/>
                <w:sz w:val="18"/>
                <w:szCs w:val="18"/>
              </w:rPr>
              <w:t>16.476</w:t>
            </w:r>
          </w:p>
        </w:tc>
        <w:tc>
          <w:tcPr>
            <w:tcW w:w="846" w:type="dxa"/>
            <w:tcBorders>
              <w:bottom w:val="double" w:sz="4" w:space="0" w:color="auto"/>
            </w:tcBorders>
            <w:shd w:val="clear" w:color="auto" w:fill="auto"/>
          </w:tcPr>
          <w:p w14:paraId="7EE60E07" w14:textId="77777777" w:rsidR="00AB1527" w:rsidRPr="00EB0C40" w:rsidRDefault="00AB1527" w:rsidP="008E4E1C">
            <w:pPr>
              <w:spacing w:line="360" w:lineRule="auto"/>
              <w:jc w:val="both"/>
              <w:rPr>
                <w:rFonts w:ascii="Times New Roman" w:hAnsi="Times New Roman"/>
                <w:sz w:val="18"/>
                <w:szCs w:val="18"/>
              </w:rPr>
            </w:pPr>
            <w:r w:rsidRPr="00EB0C40">
              <w:rPr>
                <w:rFonts w:ascii="Times New Roman" w:hAnsi="Times New Roman"/>
                <w:sz w:val="18"/>
                <w:szCs w:val="18"/>
              </w:rPr>
              <w:t>0.000</w:t>
            </w:r>
          </w:p>
        </w:tc>
      </w:tr>
    </w:tbl>
    <w:p w14:paraId="744A50F4" w14:textId="77777777" w:rsidR="00AB1527" w:rsidRPr="00674EFD" w:rsidRDefault="00AB1527" w:rsidP="008E4E1C">
      <w:pPr>
        <w:spacing w:line="360" w:lineRule="auto"/>
        <w:jc w:val="both"/>
        <w:rPr>
          <w:rFonts w:ascii="Times New Roman" w:hAnsi="Times New Roman"/>
          <w:sz w:val="16"/>
          <w:szCs w:val="16"/>
        </w:rPr>
      </w:pPr>
      <w:r w:rsidRPr="00EB0C40">
        <w:rPr>
          <w:rFonts w:eastAsia="Times New Roman"/>
          <w:sz w:val="18"/>
          <w:szCs w:val="18"/>
        </w:rPr>
        <w:lastRenderedPageBreak/>
        <w:t xml:space="preserve">Note: </w:t>
      </w:r>
      <m:oMath>
        <m:sSub>
          <m:sSubPr>
            <m:ctrlPr>
              <w:rPr>
                <w:rFonts w:ascii="Cambria Math" w:hAnsi="Cambria Math"/>
                <w:sz w:val="18"/>
                <w:szCs w:val="18"/>
              </w:rPr>
            </m:ctrlPr>
          </m:sSubPr>
          <m:e>
            <m:r>
              <w:rPr>
                <w:rFonts w:ascii="Cambria Math" w:hAnsi="Cambria Math"/>
                <w:sz w:val="18"/>
                <w:szCs w:val="18"/>
              </w:rPr>
              <m:t>H</m:t>
            </m:r>
          </m:e>
          <m:sub>
            <m:r>
              <m:rPr>
                <m:sty m:val="p"/>
              </m:rPr>
              <w:rPr>
                <w:rFonts w:ascii="Cambria Math" w:hAnsi="Cambria Math"/>
                <w:sz w:val="18"/>
                <w:szCs w:val="18"/>
              </w:rPr>
              <m:t>0</m:t>
            </m:r>
          </m:sub>
        </m:sSub>
        <m:r>
          <m:rPr>
            <m:sty m:val="p"/>
          </m:rPr>
          <w:rPr>
            <w:rFonts w:ascii="Cambria Math" w:hAnsi="Cambria Math"/>
            <w:sz w:val="18"/>
            <w:szCs w:val="18"/>
          </w:rPr>
          <m:t xml:space="preserve">: </m:t>
        </m:r>
      </m:oMath>
      <w:r w:rsidRPr="00F22904">
        <w:rPr>
          <w:rFonts w:ascii="Times New Roman" w:hAnsi="Times New Roman"/>
          <w:sz w:val="18"/>
          <w:szCs w:val="18"/>
        </w:rPr>
        <w:t xml:space="preserve"> linear model </w:t>
      </w:r>
      <m:oMath>
        <m:d>
          <m:dPr>
            <m:ctrlPr>
              <w:rPr>
                <w:rFonts w:ascii="Cambria Math" w:hAnsi="Cambria Math"/>
                <w:sz w:val="18"/>
                <w:szCs w:val="18"/>
              </w:rPr>
            </m:ctrlPr>
          </m:dPr>
          <m:e>
            <m:r>
              <w:rPr>
                <w:rFonts w:ascii="Cambria Math" w:hAnsi="Cambria Math"/>
                <w:sz w:val="18"/>
                <w:szCs w:val="18"/>
              </w:rPr>
              <m:t>r</m:t>
            </m:r>
            <m:r>
              <m:rPr>
                <m:sty m:val="p"/>
              </m:rPr>
              <w:rPr>
                <w:rFonts w:ascii="Cambria Math" w:hAnsi="Cambria Math"/>
                <w:sz w:val="18"/>
                <w:szCs w:val="18"/>
              </w:rPr>
              <m:t>=0</m:t>
            </m:r>
          </m:e>
        </m:d>
      </m:oMath>
      <w:r w:rsidRPr="00F22904">
        <w:rPr>
          <w:rFonts w:ascii="Times New Roman" w:hAnsi="Times New Roman"/>
          <w:sz w:val="18"/>
          <w:szCs w:val="18"/>
        </w:rPr>
        <w:t xml:space="preserve"> vs</w:t>
      </w:r>
      <w:r>
        <w:rPr>
          <w:rFonts w:ascii="Times New Roman" w:hAnsi="Times New Roman"/>
          <w:sz w:val="18"/>
          <w:szCs w:val="18"/>
        </w:rPr>
        <w:t>.</w:t>
      </w:r>
      <w:r w:rsidRPr="00F22904">
        <w:rPr>
          <w:rFonts w:ascii="Times New Roman" w:hAnsi="Times New Roman"/>
          <w:sz w:val="18"/>
          <w:szCs w:val="18"/>
        </w:rPr>
        <w:t xml:space="preserve"> </w:t>
      </w:r>
      <m:oMath>
        <m:sSub>
          <m:sSubPr>
            <m:ctrlPr>
              <w:rPr>
                <w:rFonts w:ascii="Cambria Math" w:hAnsi="Cambria Math"/>
                <w:sz w:val="18"/>
                <w:szCs w:val="18"/>
              </w:rPr>
            </m:ctrlPr>
          </m:sSubPr>
          <m:e>
            <m:r>
              <w:rPr>
                <w:rFonts w:ascii="Cambria Math" w:hAnsi="Cambria Math"/>
                <w:sz w:val="18"/>
                <w:szCs w:val="18"/>
              </w:rPr>
              <m:t>H</m:t>
            </m:r>
          </m:e>
          <m:sub>
            <m:r>
              <m:rPr>
                <m:sty m:val="p"/>
              </m:rPr>
              <w:rPr>
                <w:rFonts w:ascii="Cambria Math" w:hAnsi="Cambria Math"/>
                <w:sz w:val="18"/>
                <w:szCs w:val="18"/>
              </w:rPr>
              <m:t>1</m:t>
            </m:r>
          </m:sub>
        </m:sSub>
        <m:r>
          <m:rPr>
            <m:sty m:val="p"/>
          </m:rPr>
          <w:rPr>
            <w:rFonts w:ascii="Cambria Math" w:hAnsi="Cambria Math"/>
            <w:sz w:val="18"/>
            <w:szCs w:val="18"/>
          </w:rPr>
          <m:t xml:space="preserve">: </m:t>
        </m:r>
      </m:oMath>
      <w:r w:rsidRPr="00F22904">
        <w:rPr>
          <w:rFonts w:ascii="Times New Roman" w:hAnsi="Times New Roman"/>
          <w:sz w:val="18"/>
          <w:szCs w:val="18"/>
        </w:rPr>
        <w:t xml:space="preserve">PSTR model with at least 1 threshold </w:t>
      </w:r>
      <m:oMath>
        <m:d>
          <m:dPr>
            <m:ctrlPr>
              <w:rPr>
                <w:rFonts w:ascii="Cambria Math" w:hAnsi="Cambria Math"/>
                <w:sz w:val="18"/>
                <w:szCs w:val="18"/>
              </w:rPr>
            </m:ctrlPr>
          </m:dPr>
          <m:e>
            <m:r>
              <w:rPr>
                <w:rFonts w:ascii="Cambria Math" w:hAnsi="Cambria Math"/>
                <w:sz w:val="18"/>
                <w:szCs w:val="18"/>
              </w:rPr>
              <m:t>r</m:t>
            </m:r>
            <m:r>
              <m:rPr>
                <m:sty m:val="p"/>
              </m:rPr>
              <w:rPr>
                <w:rFonts w:ascii="Cambria Math" w:hAnsi="Cambria Math"/>
                <w:sz w:val="18"/>
                <w:szCs w:val="18"/>
              </w:rPr>
              <m:t>=1</m:t>
            </m:r>
          </m:e>
        </m:d>
      </m:oMath>
      <w:r>
        <w:rPr>
          <w:rFonts w:ascii="Times New Roman" w:eastAsiaTheme="minorEastAsia" w:hAnsi="Times New Roman"/>
          <w:sz w:val="18"/>
          <w:szCs w:val="18"/>
        </w:rPr>
        <w:t>.</w:t>
      </w:r>
    </w:p>
    <w:p w14:paraId="62108F62" w14:textId="7FD59935" w:rsidR="00AB1527" w:rsidRDefault="00AB1527" w:rsidP="008E4E1C">
      <w:pPr>
        <w:spacing w:after="0" w:line="360" w:lineRule="auto"/>
        <w:jc w:val="both"/>
        <w:rPr>
          <w:rFonts w:ascii="Times New Roman" w:eastAsiaTheme="minorEastAsia" w:hAnsi="Times New Roman"/>
          <w:sz w:val="24"/>
          <w:szCs w:val="24"/>
        </w:rPr>
      </w:pPr>
      <w:r>
        <w:rPr>
          <w:rFonts w:ascii="Times New Roman" w:eastAsiaTheme="minorEastAsia" w:hAnsi="Times New Roman"/>
          <w:sz w:val="24"/>
          <w:szCs w:val="24"/>
        </w:rPr>
        <w:t>Given the confirmation of such a nonlinear relationship, the next step is to test for the number of no remaining nonlinearity to determine the number of transition functions or regimes that characterizes the PSTR model estimation. Table 5.8 presents the results of no remaining nonlinearity test, which clearly shows that the null hypothesis of no remaining heterogeneity in the data is not rejected. This finding indicates that the PSTR model is characterized by the presence of one transition function or two regimes. Overall, there is compelling evidence of the nonlinear relationship between financial deepening and TFP growth emerging market economies.</w:t>
      </w:r>
    </w:p>
    <w:p w14:paraId="30598E6D" w14:textId="77777777" w:rsidR="00AB1527" w:rsidRPr="004774C9" w:rsidRDefault="00AB1527" w:rsidP="008E4E1C">
      <w:pPr>
        <w:pStyle w:val="NoSpacing"/>
        <w:spacing w:line="360" w:lineRule="auto"/>
        <w:jc w:val="both"/>
        <w:rPr>
          <w:rFonts w:ascii="Times New Roman" w:hAnsi="Times New Roman"/>
          <w:sz w:val="16"/>
          <w:szCs w:val="16"/>
        </w:rPr>
      </w:pPr>
    </w:p>
    <w:p w14:paraId="4C48F45B" w14:textId="6320150B" w:rsidR="00AB1527" w:rsidRPr="00EC79BA" w:rsidRDefault="00D01DAE" w:rsidP="00EC79BA">
      <w:pPr>
        <w:pStyle w:val="Heading2"/>
        <w:rPr>
          <w:b w:val="0"/>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bookmarkStart w:id="55" w:name="_Toc501031497"/>
      <w:r w:rsidRPr="00EC79BA">
        <w:rPr>
          <w:b w:val="0"/>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Table 5.9</w:t>
      </w:r>
      <w:r w:rsidR="00EC79BA" w:rsidRPr="00EC79BA">
        <w:rPr>
          <w:b w:val="0"/>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00AB1527" w:rsidRPr="00EC79BA">
        <w:rPr>
          <w:b w:val="0"/>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Test for remaining nonlinearity</w:t>
      </w:r>
      <w:bookmarkEnd w:id="55"/>
    </w:p>
    <w:tbl>
      <w:tblPr>
        <w:tblW w:w="0" w:type="auto"/>
        <w:tblLook w:val="04A0" w:firstRow="1" w:lastRow="0" w:firstColumn="1" w:lastColumn="0" w:noHBand="0" w:noVBand="1"/>
      </w:tblPr>
      <w:tblGrid>
        <w:gridCol w:w="2405"/>
        <w:gridCol w:w="1559"/>
        <w:gridCol w:w="1646"/>
        <w:gridCol w:w="1870"/>
      </w:tblGrid>
      <w:tr w:rsidR="00AB1527" w:rsidRPr="00EB0C40" w14:paraId="258136BE" w14:textId="77777777" w:rsidTr="00616D42">
        <w:tc>
          <w:tcPr>
            <w:tcW w:w="2405" w:type="dxa"/>
            <w:tcBorders>
              <w:top w:val="double" w:sz="4" w:space="0" w:color="auto"/>
              <w:bottom w:val="single" w:sz="4" w:space="0" w:color="auto"/>
            </w:tcBorders>
            <w:shd w:val="clear" w:color="auto" w:fill="auto"/>
          </w:tcPr>
          <w:p w14:paraId="25D3228C" w14:textId="77777777" w:rsidR="00AB1527" w:rsidRPr="00EB0C40" w:rsidRDefault="00AB1527" w:rsidP="008E4E1C">
            <w:pPr>
              <w:spacing w:line="360" w:lineRule="auto"/>
              <w:jc w:val="both"/>
              <w:rPr>
                <w:rFonts w:ascii="Times New Roman" w:hAnsi="Times New Roman"/>
                <w:sz w:val="18"/>
                <w:szCs w:val="18"/>
                <w:lang w:val="en-GB" w:eastAsia="en-GB"/>
              </w:rPr>
            </w:pPr>
            <w:r w:rsidRPr="00EB0C40">
              <w:rPr>
                <w:rFonts w:ascii="Times New Roman" w:hAnsi="Times New Roman"/>
                <w:sz w:val="18"/>
                <w:szCs w:val="18"/>
                <w:lang w:val="en-GB" w:eastAsia="en-GB"/>
              </w:rPr>
              <w:t>Hypothesis</w:t>
            </w:r>
          </w:p>
        </w:tc>
        <w:tc>
          <w:tcPr>
            <w:tcW w:w="1559" w:type="dxa"/>
            <w:tcBorders>
              <w:top w:val="double" w:sz="4" w:space="0" w:color="auto"/>
              <w:bottom w:val="single" w:sz="4" w:space="0" w:color="auto"/>
            </w:tcBorders>
            <w:shd w:val="clear" w:color="auto" w:fill="auto"/>
          </w:tcPr>
          <w:p w14:paraId="2FE12662" w14:textId="77777777" w:rsidR="00AB1527" w:rsidRPr="00EB0C40" w:rsidRDefault="00AB1527" w:rsidP="008E4E1C">
            <w:pPr>
              <w:spacing w:line="360" w:lineRule="auto"/>
              <w:jc w:val="both"/>
              <w:rPr>
                <w:rFonts w:ascii="Times New Roman" w:hAnsi="Times New Roman"/>
                <w:sz w:val="18"/>
                <w:szCs w:val="18"/>
                <w:lang w:val="en-GB" w:eastAsia="en-GB"/>
              </w:rPr>
            </w:pPr>
            <w:r w:rsidRPr="00EB0C40">
              <w:rPr>
                <w:rFonts w:ascii="Times New Roman" w:hAnsi="Times New Roman"/>
                <w:sz w:val="18"/>
                <w:szCs w:val="18"/>
                <w:lang w:val="en-GB" w:eastAsia="en-GB"/>
              </w:rPr>
              <w:t>Test</w:t>
            </w:r>
          </w:p>
        </w:tc>
        <w:tc>
          <w:tcPr>
            <w:tcW w:w="1646" w:type="dxa"/>
            <w:tcBorders>
              <w:top w:val="double" w:sz="4" w:space="0" w:color="auto"/>
              <w:bottom w:val="single" w:sz="4" w:space="0" w:color="auto"/>
            </w:tcBorders>
            <w:shd w:val="clear" w:color="auto" w:fill="auto"/>
          </w:tcPr>
          <w:p w14:paraId="6B8A490D" w14:textId="77777777" w:rsidR="00AB1527" w:rsidRPr="00EB0C40" w:rsidRDefault="00AB1527" w:rsidP="008E4E1C">
            <w:pPr>
              <w:spacing w:line="360" w:lineRule="auto"/>
              <w:jc w:val="both"/>
              <w:rPr>
                <w:rFonts w:ascii="Times New Roman" w:hAnsi="Times New Roman"/>
                <w:sz w:val="18"/>
                <w:szCs w:val="18"/>
                <w:lang w:val="en-GB" w:eastAsia="en-GB"/>
              </w:rPr>
            </w:pPr>
            <w:r w:rsidRPr="00EB0C40">
              <w:rPr>
                <w:rFonts w:ascii="Times New Roman" w:hAnsi="Times New Roman"/>
                <w:sz w:val="18"/>
                <w:szCs w:val="18"/>
                <w:lang w:val="en-GB" w:eastAsia="en-GB"/>
              </w:rPr>
              <w:t>Statistics</w:t>
            </w:r>
          </w:p>
        </w:tc>
        <w:tc>
          <w:tcPr>
            <w:tcW w:w="1870" w:type="dxa"/>
            <w:tcBorders>
              <w:top w:val="double" w:sz="4" w:space="0" w:color="auto"/>
              <w:bottom w:val="single" w:sz="4" w:space="0" w:color="auto"/>
            </w:tcBorders>
            <w:shd w:val="clear" w:color="auto" w:fill="auto"/>
          </w:tcPr>
          <w:p w14:paraId="3321748E" w14:textId="62F306D0" w:rsidR="00AB1527" w:rsidRPr="00EB0C40" w:rsidRDefault="00AB1527" w:rsidP="008E4E1C">
            <w:pPr>
              <w:spacing w:line="360" w:lineRule="auto"/>
              <w:jc w:val="both"/>
              <w:rPr>
                <w:rFonts w:ascii="Times New Roman" w:hAnsi="Times New Roman"/>
                <w:sz w:val="18"/>
                <w:szCs w:val="18"/>
                <w:lang w:val="en-GB" w:eastAsia="en-GB"/>
              </w:rPr>
            </w:pPr>
            <w:r w:rsidRPr="00EB0C40">
              <w:rPr>
                <w:rFonts w:ascii="Times New Roman" w:hAnsi="Times New Roman"/>
                <w:sz w:val="18"/>
                <w:szCs w:val="18"/>
                <w:lang w:val="en-GB" w:eastAsia="en-GB"/>
              </w:rPr>
              <w:t>P-value</w:t>
            </w:r>
          </w:p>
        </w:tc>
      </w:tr>
      <w:tr w:rsidR="00AB1527" w:rsidRPr="00EB0C40" w14:paraId="73D00D40" w14:textId="77777777" w:rsidTr="00616D42">
        <w:tc>
          <w:tcPr>
            <w:tcW w:w="2405" w:type="dxa"/>
            <w:tcBorders>
              <w:top w:val="single" w:sz="4" w:space="0" w:color="auto"/>
            </w:tcBorders>
            <w:shd w:val="clear" w:color="auto" w:fill="auto"/>
          </w:tcPr>
          <w:p w14:paraId="691DD19D" w14:textId="77777777" w:rsidR="00AB1527" w:rsidRPr="00447D8F" w:rsidRDefault="007835DC" w:rsidP="008E4E1C">
            <w:pPr>
              <w:spacing w:line="360" w:lineRule="auto"/>
              <w:jc w:val="both"/>
              <w:rPr>
                <w:rFonts w:ascii="Times New Roman" w:hAnsi="Times New Roman"/>
                <w:sz w:val="18"/>
                <w:szCs w:val="18"/>
                <w:lang w:val="en-GB" w:eastAsia="en-GB"/>
              </w:rPr>
            </w:pPr>
            <m:oMathPara>
              <m:oMath>
                <m:sSub>
                  <m:sSubPr>
                    <m:ctrlPr>
                      <w:rPr>
                        <w:rFonts w:ascii="Cambria Math" w:hAnsi="Cambria Math"/>
                        <w:sz w:val="18"/>
                        <w:szCs w:val="18"/>
                      </w:rPr>
                    </m:ctrlPr>
                  </m:sSubPr>
                  <m:e>
                    <m:r>
                      <w:rPr>
                        <w:rFonts w:ascii="Cambria Math" w:hAnsi="Cambria Math"/>
                        <w:sz w:val="18"/>
                        <w:szCs w:val="18"/>
                      </w:rPr>
                      <m:t>H</m:t>
                    </m:r>
                  </m:e>
                  <m:sub>
                    <m:r>
                      <m:rPr>
                        <m:sty m:val="p"/>
                      </m:rPr>
                      <w:rPr>
                        <w:rFonts w:ascii="Cambria Math" w:hAnsi="Cambria Math"/>
                        <w:sz w:val="18"/>
                        <w:szCs w:val="18"/>
                      </w:rPr>
                      <m:t>0</m:t>
                    </m:r>
                  </m:sub>
                </m:sSub>
                <m:r>
                  <m:rPr>
                    <m:sty m:val="p"/>
                  </m:rPr>
                  <w:rPr>
                    <w:rFonts w:ascii="Cambria Math" w:hAnsi="Cambria Math"/>
                    <w:sz w:val="18"/>
                    <w:szCs w:val="18"/>
                  </w:rPr>
                  <m:t xml:space="preserve">: </m:t>
                </m:r>
                <m:d>
                  <m:dPr>
                    <m:ctrlPr>
                      <w:rPr>
                        <w:rFonts w:ascii="Cambria Math" w:hAnsi="Cambria Math"/>
                        <w:sz w:val="18"/>
                        <w:szCs w:val="18"/>
                      </w:rPr>
                    </m:ctrlPr>
                  </m:dPr>
                  <m:e>
                    <m:r>
                      <w:rPr>
                        <w:rFonts w:ascii="Cambria Math" w:hAnsi="Cambria Math"/>
                        <w:sz w:val="18"/>
                        <w:szCs w:val="18"/>
                      </w:rPr>
                      <m:t>r</m:t>
                    </m:r>
                    <m:r>
                      <m:rPr>
                        <m:sty m:val="p"/>
                      </m:rPr>
                      <w:rPr>
                        <w:rFonts w:ascii="Cambria Math" w:hAnsi="Cambria Math"/>
                        <w:sz w:val="18"/>
                        <w:szCs w:val="18"/>
                      </w:rPr>
                      <m:t>=1</m:t>
                    </m:r>
                  </m:e>
                </m:d>
                <m:r>
                  <w:rPr>
                    <w:rFonts w:ascii="Cambria Math" w:hAnsi="Cambria Math"/>
                    <w:sz w:val="18"/>
                    <w:szCs w:val="18"/>
                  </w:rPr>
                  <m:t xml:space="preserve">; </m:t>
                </m:r>
                <m:sSub>
                  <m:sSubPr>
                    <m:ctrlPr>
                      <w:rPr>
                        <w:rFonts w:ascii="Cambria Math" w:hAnsi="Cambria Math"/>
                        <w:sz w:val="18"/>
                        <w:szCs w:val="18"/>
                      </w:rPr>
                    </m:ctrlPr>
                  </m:sSubPr>
                  <m:e>
                    <m:r>
                      <w:rPr>
                        <w:rFonts w:ascii="Cambria Math" w:hAnsi="Cambria Math"/>
                        <w:sz w:val="18"/>
                        <w:szCs w:val="18"/>
                      </w:rPr>
                      <m:t>H</m:t>
                    </m:r>
                  </m:e>
                  <m:sub>
                    <m:r>
                      <m:rPr>
                        <m:sty m:val="p"/>
                      </m:rPr>
                      <w:rPr>
                        <w:rFonts w:ascii="Cambria Math" w:hAnsi="Cambria Math"/>
                        <w:sz w:val="18"/>
                        <w:szCs w:val="18"/>
                      </w:rPr>
                      <m:t>1</m:t>
                    </m:r>
                  </m:sub>
                </m:sSub>
                <m:r>
                  <m:rPr>
                    <m:sty m:val="p"/>
                  </m:rPr>
                  <w:rPr>
                    <w:rFonts w:ascii="Cambria Math" w:hAnsi="Cambria Math"/>
                    <w:sz w:val="18"/>
                    <w:szCs w:val="18"/>
                  </w:rPr>
                  <m:t xml:space="preserve">: </m:t>
                </m:r>
                <m:d>
                  <m:dPr>
                    <m:ctrlPr>
                      <w:rPr>
                        <w:rFonts w:ascii="Cambria Math" w:hAnsi="Cambria Math"/>
                        <w:sz w:val="18"/>
                        <w:szCs w:val="18"/>
                      </w:rPr>
                    </m:ctrlPr>
                  </m:dPr>
                  <m:e>
                    <m:r>
                      <w:rPr>
                        <w:rFonts w:ascii="Cambria Math" w:hAnsi="Cambria Math"/>
                        <w:sz w:val="18"/>
                        <w:szCs w:val="18"/>
                      </w:rPr>
                      <m:t>r</m:t>
                    </m:r>
                    <m:r>
                      <m:rPr>
                        <m:sty m:val="p"/>
                      </m:rPr>
                      <w:rPr>
                        <w:rFonts w:ascii="Cambria Math" w:hAnsi="Cambria Math"/>
                        <w:sz w:val="18"/>
                        <w:szCs w:val="18"/>
                      </w:rPr>
                      <m:t>=2</m:t>
                    </m:r>
                  </m:e>
                </m:d>
              </m:oMath>
            </m:oMathPara>
          </w:p>
        </w:tc>
        <w:tc>
          <w:tcPr>
            <w:tcW w:w="1559" w:type="dxa"/>
            <w:tcBorders>
              <w:top w:val="single" w:sz="4" w:space="0" w:color="auto"/>
            </w:tcBorders>
            <w:shd w:val="clear" w:color="auto" w:fill="auto"/>
          </w:tcPr>
          <w:p w14:paraId="37FF75E3" w14:textId="20593FC4" w:rsidR="00AB1527" w:rsidRPr="00EB0C40" w:rsidRDefault="00AB1527" w:rsidP="008E4E1C">
            <w:pPr>
              <w:spacing w:line="360" w:lineRule="auto"/>
              <w:jc w:val="both"/>
              <w:rPr>
                <w:rFonts w:ascii="Times New Roman" w:hAnsi="Times New Roman"/>
                <w:sz w:val="18"/>
                <w:szCs w:val="18"/>
              </w:rPr>
            </w:pPr>
            <w:r w:rsidRPr="00EB0C40">
              <w:rPr>
                <w:rFonts w:ascii="Times New Roman" w:hAnsi="Times New Roman"/>
                <w:sz w:val="18"/>
                <w:szCs w:val="18"/>
              </w:rPr>
              <w:t>Wald Test (LM)</w:t>
            </w:r>
          </w:p>
        </w:tc>
        <w:tc>
          <w:tcPr>
            <w:tcW w:w="1646" w:type="dxa"/>
            <w:tcBorders>
              <w:top w:val="single" w:sz="4" w:space="0" w:color="auto"/>
            </w:tcBorders>
            <w:shd w:val="clear" w:color="auto" w:fill="auto"/>
          </w:tcPr>
          <w:p w14:paraId="5E5A56FC" w14:textId="77777777" w:rsidR="00AB1527" w:rsidRPr="00EB0C40" w:rsidRDefault="00AB1527" w:rsidP="008E4E1C">
            <w:pPr>
              <w:spacing w:line="360" w:lineRule="auto"/>
              <w:jc w:val="both"/>
              <w:rPr>
                <w:rFonts w:ascii="Times New Roman" w:hAnsi="Times New Roman"/>
                <w:sz w:val="18"/>
                <w:szCs w:val="18"/>
              </w:rPr>
            </w:pPr>
            <w:r>
              <w:rPr>
                <w:rFonts w:ascii="Times New Roman" w:hAnsi="Times New Roman"/>
                <w:sz w:val="18"/>
                <w:szCs w:val="18"/>
              </w:rPr>
              <w:t>9.019</w:t>
            </w:r>
          </w:p>
        </w:tc>
        <w:tc>
          <w:tcPr>
            <w:tcW w:w="1870" w:type="dxa"/>
            <w:tcBorders>
              <w:top w:val="single" w:sz="4" w:space="0" w:color="auto"/>
            </w:tcBorders>
            <w:shd w:val="clear" w:color="auto" w:fill="auto"/>
          </w:tcPr>
          <w:p w14:paraId="4AC7F35D" w14:textId="77777777" w:rsidR="00AB1527" w:rsidRPr="00EB0C40" w:rsidRDefault="00AB1527" w:rsidP="008E4E1C">
            <w:pPr>
              <w:spacing w:line="360" w:lineRule="auto"/>
              <w:jc w:val="both"/>
              <w:rPr>
                <w:rFonts w:ascii="Times New Roman" w:hAnsi="Times New Roman"/>
                <w:sz w:val="18"/>
                <w:szCs w:val="18"/>
              </w:rPr>
            </w:pPr>
            <w:r>
              <w:rPr>
                <w:rFonts w:ascii="Times New Roman" w:hAnsi="Times New Roman"/>
                <w:sz w:val="18"/>
                <w:szCs w:val="18"/>
              </w:rPr>
              <w:t>0.251</w:t>
            </w:r>
          </w:p>
        </w:tc>
      </w:tr>
      <w:tr w:rsidR="00AB1527" w:rsidRPr="00EB0C40" w14:paraId="1743668C" w14:textId="77777777" w:rsidTr="00616D42">
        <w:tc>
          <w:tcPr>
            <w:tcW w:w="2405" w:type="dxa"/>
            <w:shd w:val="clear" w:color="auto" w:fill="auto"/>
          </w:tcPr>
          <w:p w14:paraId="0F99419F" w14:textId="77777777" w:rsidR="00AB1527" w:rsidRPr="00EB0C40" w:rsidRDefault="00AB1527" w:rsidP="008E4E1C">
            <w:pPr>
              <w:spacing w:line="360" w:lineRule="auto"/>
              <w:jc w:val="both"/>
              <w:rPr>
                <w:rFonts w:ascii="Times New Roman" w:hAnsi="Times New Roman"/>
                <w:sz w:val="18"/>
                <w:szCs w:val="18"/>
                <w:lang w:val="en-GB" w:eastAsia="en-GB"/>
              </w:rPr>
            </w:pPr>
          </w:p>
        </w:tc>
        <w:tc>
          <w:tcPr>
            <w:tcW w:w="1559" w:type="dxa"/>
            <w:shd w:val="clear" w:color="auto" w:fill="auto"/>
          </w:tcPr>
          <w:p w14:paraId="05771D7F" w14:textId="77777777" w:rsidR="00AB1527" w:rsidRPr="00EB0C40" w:rsidRDefault="00AB1527" w:rsidP="008E4E1C">
            <w:pPr>
              <w:spacing w:line="360" w:lineRule="auto"/>
              <w:jc w:val="both"/>
              <w:rPr>
                <w:rFonts w:ascii="Times New Roman" w:hAnsi="Times New Roman"/>
                <w:sz w:val="18"/>
                <w:szCs w:val="18"/>
              </w:rPr>
            </w:pPr>
            <w:r w:rsidRPr="00EB0C40">
              <w:rPr>
                <w:rFonts w:ascii="Times New Roman" w:hAnsi="Times New Roman"/>
                <w:sz w:val="18"/>
                <w:szCs w:val="18"/>
              </w:rPr>
              <w:t>Fisher Test (LMF)</w:t>
            </w:r>
          </w:p>
        </w:tc>
        <w:tc>
          <w:tcPr>
            <w:tcW w:w="1646" w:type="dxa"/>
            <w:shd w:val="clear" w:color="auto" w:fill="auto"/>
          </w:tcPr>
          <w:p w14:paraId="45B35579" w14:textId="77777777" w:rsidR="00AB1527" w:rsidRPr="00EB0C40" w:rsidRDefault="00AB1527" w:rsidP="008E4E1C">
            <w:pPr>
              <w:spacing w:line="360" w:lineRule="auto"/>
              <w:jc w:val="both"/>
              <w:rPr>
                <w:rFonts w:ascii="Times New Roman" w:hAnsi="Times New Roman"/>
                <w:sz w:val="18"/>
                <w:szCs w:val="18"/>
              </w:rPr>
            </w:pPr>
            <w:r>
              <w:rPr>
                <w:rFonts w:ascii="Times New Roman" w:hAnsi="Times New Roman"/>
                <w:sz w:val="18"/>
                <w:szCs w:val="18"/>
              </w:rPr>
              <w:t>1.173</w:t>
            </w:r>
          </w:p>
        </w:tc>
        <w:tc>
          <w:tcPr>
            <w:tcW w:w="1870" w:type="dxa"/>
            <w:shd w:val="clear" w:color="auto" w:fill="auto"/>
          </w:tcPr>
          <w:p w14:paraId="0BE2CF9D" w14:textId="77777777" w:rsidR="00AB1527" w:rsidRPr="00EB0C40" w:rsidRDefault="00AB1527" w:rsidP="008E4E1C">
            <w:pPr>
              <w:spacing w:line="360" w:lineRule="auto"/>
              <w:jc w:val="both"/>
              <w:rPr>
                <w:rFonts w:ascii="Times New Roman" w:hAnsi="Times New Roman"/>
                <w:sz w:val="18"/>
                <w:szCs w:val="18"/>
              </w:rPr>
            </w:pPr>
            <w:r>
              <w:rPr>
                <w:rFonts w:ascii="Times New Roman" w:hAnsi="Times New Roman"/>
                <w:sz w:val="18"/>
                <w:szCs w:val="18"/>
              </w:rPr>
              <w:t>0.318</w:t>
            </w:r>
          </w:p>
        </w:tc>
      </w:tr>
      <w:tr w:rsidR="00AB1527" w:rsidRPr="00EB0C40" w14:paraId="50183CFB" w14:textId="77777777" w:rsidTr="00543728">
        <w:tc>
          <w:tcPr>
            <w:tcW w:w="2405" w:type="dxa"/>
            <w:tcBorders>
              <w:bottom w:val="double" w:sz="4" w:space="0" w:color="auto"/>
            </w:tcBorders>
            <w:shd w:val="clear" w:color="auto" w:fill="auto"/>
          </w:tcPr>
          <w:p w14:paraId="0FC1B84B" w14:textId="77777777" w:rsidR="00AB1527" w:rsidRPr="00EB0C40" w:rsidRDefault="00AB1527" w:rsidP="008E4E1C">
            <w:pPr>
              <w:spacing w:line="360" w:lineRule="auto"/>
              <w:jc w:val="both"/>
              <w:rPr>
                <w:rFonts w:ascii="Times New Roman" w:hAnsi="Times New Roman"/>
                <w:sz w:val="18"/>
                <w:szCs w:val="18"/>
                <w:lang w:val="en-GB" w:eastAsia="en-GB"/>
              </w:rPr>
            </w:pPr>
          </w:p>
        </w:tc>
        <w:tc>
          <w:tcPr>
            <w:tcW w:w="1559" w:type="dxa"/>
            <w:tcBorders>
              <w:bottom w:val="double" w:sz="4" w:space="0" w:color="auto"/>
            </w:tcBorders>
            <w:shd w:val="clear" w:color="auto" w:fill="auto"/>
          </w:tcPr>
          <w:p w14:paraId="15C7C7E7" w14:textId="77777777" w:rsidR="00AB1527" w:rsidRPr="00EB0C40" w:rsidRDefault="00AB1527" w:rsidP="008E4E1C">
            <w:pPr>
              <w:spacing w:line="360" w:lineRule="auto"/>
              <w:jc w:val="both"/>
              <w:rPr>
                <w:rFonts w:ascii="Times New Roman" w:hAnsi="Times New Roman"/>
                <w:sz w:val="18"/>
                <w:szCs w:val="18"/>
              </w:rPr>
            </w:pPr>
            <w:r w:rsidRPr="00EB0C40">
              <w:rPr>
                <w:rFonts w:ascii="Times New Roman" w:hAnsi="Times New Roman"/>
                <w:sz w:val="18"/>
                <w:szCs w:val="18"/>
              </w:rPr>
              <w:t>LRT Tests (LRT)</w:t>
            </w:r>
          </w:p>
        </w:tc>
        <w:tc>
          <w:tcPr>
            <w:tcW w:w="1646" w:type="dxa"/>
            <w:tcBorders>
              <w:bottom w:val="double" w:sz="4" w:space="0" w:color="auto"/>
            </w:tcBorders>
            <w:shd w:val="clear" w:color="auto" w:fill="auto"/>
          </w:tcPr>
          <w:p w14:paraId="2C4C944E" w14:textId="77777777" w:rsidR="00AB1527" w:rsidRPr="00EB0C40" w:rsidRDefault="00AB1527" w:rsidP="008E4E1C">
            <w:pPr>
              <w:spacing w:line="360" w:lineRule="auto"/>
              <w:jc w:val="both"/>
              <w:rPr>
                <w:rFonts w:ascii="Times New Roman" w:hAnsi="Times New Roman"/>
                <w:sz w:val="18"/>
                <w:szCs w:val="18"/>
              </w:rPr>
            </w:pPr>
            <w:r>
              <w:rPr>
                <w:rFonts w:ascii="Times New Roman" w:hAnsi="Times New Roman"/>
                <w:sz w:val="18"/>
                <w:szCs w:val="18"/>
              </w:rPr>
              <w:t>9.128</w:t>
            </w:r>
          </w:p>
        </w:tc>
        <w:tc>
          <w:tcPr>
            <w:tcW w:w="1870" w:type="dxa"/>
            <w:tcBorders>
              <w:bottom w:val="double" w:sz="4" w:space="0" w:color="auto"/>
            </w:tcBorders>
            <w:shd w:val="clear" w:color="auto" w:fill="auto"/>
          </w:tcPr>
          <w:p w14:paraId="10E22E55" w14:textId="77777777" w:rsidR="00AB1527" w:rsidRPr="00EB0C40" w:rsidRDefault="00AB1527" w:rsidP="008E4E1C">
            <w:pPr>
              <w:spacing w:line="360" w:lineRule="auto"/>
              <w:jc w:val="both"/>
              <w:rPr>
                <w:rFonts w:ascii="Times New Roman" w:hAnsi="Times New Roman"/>
                <w:sz w:val="18"/>
                <w:szCs w:val="18"/>
              </w:rPr>
            </w:pPr>
            <w:r>
              <w:rPr>
                <w:rFonts w:ascii="Times New Roman" w:hAnsi="Times New Roman"/>
                <w:sz w:val="18"/>
                <w:szCs w:val="18"/>
              </w:rPr>
              <w:t>0.244</w:t>
            </w:r>
          </w:p>
        </w:tc>
      </w:tr>
    </w:tbl>
    <w:p w14:paraId="4CE85BAC" w14:textId="77777777" w:rsidR="00AB1527" w:rsidRPr="00407734" w:rsidRDefault="00AB1527" w:rsidP="008E4E1C">
      <w:pPr>
        <w:spacing w:after="0" w:line="360" w:lineRule="auto"/>
        <w:jc w:val="both"/>
        <w:rPr>
          <w:rFonts w:ascii="Times New Roman" w:eastAsiaTheme="minorEastAsia" w:hAnsi="Times New Roman"/>
          <w:sz w:val="16"/>
          <w:szCs w:val="16"/>
        </w:rPr>
      </w:pPr>
    </w:p>
    <w:p w14:paraId="0911C44F" w14:textId="37BE6B57" w:rsidR="00AB1527" w:rsidRDefault="00AB1527" w:rsidP="008E4E1C">
      <w:pPr>
        <w:spacing w:after="0" w:line="360" w:lineRule="auto"/>
        <w:jc w:val="both"/>
        <w:rPr>
          <w:rFonts w:ascii="Times New Roman" w:eastAsiaTheme="minorEastAsia" w:hAnsi="Times New Roman"/>
          <w:sz w:val="24"/>
          <w:szCs w:val="24"/>
        </w:rPr>
      </w:pPr>
      <w:r>
        <w:rPr>
          <w:rFonts w:ascii="Times New Roman" w:eastAsiaTheme="minorEastAsia" w:hAnsi="Times New Roman"/>
          <w:sz w:val="24"/>
          <w:szCs w:val="24"/>
        </w:rPr>
        <w:t xml:space="preserve">As shown in the parameter estimates reported in Table 5.8, the coefficient of stocks traded to GDP is significantly positive in the low financial deepening regime. This suggests that increasing financial deepening has a positive impact on the TFP growth. However, the effect of financial deepening weakens at high financial depth regime. The results are qualitatively </w:t>
      </w:r>
      <w:r w:rsidR="00AC0D70">
        <w:rPr>
          <w:rFonts w:ascii="Times New Roman" w:eastAsiaTheme="minorEastAsia" w:hAnsi="Times New Roman"/>
          <w:sz w:val="24"/>
          <w:szCs w:val="24"/>
        </w:rPr>
        <w:t>like</w:t>
      </w:r>
      <w:r>
        <w:rPr>
          <w:rFonts w:ascii="Times New Roman" w:eastAsiaTheme="minorEastAsia" w:hAnsi="Times New Roman"/>
          <w:sz w:val="24"/>
          <w:szCs w:val="24"/>
        </w:rPr>
        <w:t xml:space="preserve"> those obtained using private sector credit to GDP as a proxy for depth of financial institutions. The estimated PSTR establishes a threshold of 7.33 percent, suggesting that TFP growth begins to dampen when stocks traded exceed the threshold of 7.33 percent of GDP. The estimated slope parameter of 384.09 is very high, indicating a very sharp transition function. Overall, the results show strong evidence suggesting the existence of a nonlinear relationship between financial deepening and productivity growth. Growth in TFP is enhanced when financial depth is below the threshold and dampens after the established thresholds. The confirmation of nonlinearity in the underlying relationship is an indication that the effect of financial deepening on TFP growth varies across countries and over periods of time.</w:t>
      </w:r>
    </w:p>
    <w:p w14:paraId="1F28BF73" w14:textId="54020662" w:rsidR="00AC0D70" w:rsidRDefault="00AC0D70" w:rsidP="008E4E1C">
      <w:pPr>
        <w:spacing w:after="0" w:line="360" w:lineRule="auto"/>
        <w:jc w:val="both"/>
        <w:rPr>
          <w:rFonts w:ascii="Times New Roman" w:eastAsiaTheme="minorEastAsia" w:hAnsi="Times New Roman"/>
          <w:sz w:val="24"/>
          <w:szCs w:val="24"/>
        </w:rPr>
      </w:pPr>
    </w:p>
    <w:p w14:paraId="6CBBC66D" w14:textId="6F38D7EF" w:rsidR="00AC0D70" w:rsidRDefault="00AC0D70" w:rsidP="008E4E1C">
      <w:pPr>
        <w:spacing w:after="0" w:line="360" w:lineRule="auto"/>
        <w:jc w:val="both"/>
        <w:rPr>
          <w:rFonts w:ascii="Times New Roman" w:eastAsiaTheme="minorEastAsia" w:hAnsi="Times New Roman"/>
          <w:sz w:val="24"/>
          <w:szCs w:val="24"/>
        </w:rPr>
      </w:pPr>
    </w:p>
    <w:p w14:paraId="3DFFF94B" w14:textId="6BEED6E4" w:rsidR="00AC0D70" w:rsidRDefault="00AC0D70" w:rsidP="008E4E1C">
      <w:pPr>
        <w:spacing w:after="0" w:line="360" w:lineRule="auto"/>
        <w:jc w:val="both"/>
        <w:rPr>
          <w:rFonts w:ascii="Times New Roman" w:eastAsiaTheme="minorEastAsia" w:hAnsi="Times New Roman"/>
          <w:sz w:val="24"/>
          <w:szCs w:val="24"/>
        </w:rPr>
      </w:pPr>
    </w:p>
    <w:p w14:paraId="44B6E2F6" w14:textId="77777777" w:rsidR="00AC0D70" w:rsidRDefault="00AC0D70" w:rsidP="008E4E1C">
      <w:pPr>
        <w:spacing w:after="0" w:line="360" w:lineRule="auto"/>
        <w:jc w:val="both"/>
        <w:rPr>
          <w:rFonts w:ascii="Times New Roman" w:eastAsiaTheme="minorEastAsia" w:hAnsi="Times New Roman"/>
          <w:sz w:val="24"/>
          <w:szCs w:val="24"/>
        </w:rPr>
      </w:pPr>
    </w:p>
    <w:p w14:paraId="0E184D6E" w14:textId="09088374" w:rsidR="00AB1527" w:rsidRPr="00EC79BA" w:rsidRDefault="00AB1527" w:rsidP="00EC79BA">
      <w:pPr>
        <w:pStyle w:val="Heading2"/>
        <w:rPr>
          <w:b w:val="0"/>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bookmarkStart w:id="56" w:name="_Toc501031498"/>
      <w:r w:rsidRPr="00EC79BA">
        <w:rPr>
          <w:b w:val="0"/>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Table 5.</w:t>
      </w:r>
      <w:r w:rsidR="00D01DAE" w:rsidRPr="00EC79BA">
        <w:rPr>
          <w:b w:val="0"/>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10</w:t>
      </w:r>
      <w:r w:rsidR="00EC79BA" w:rsidRPr="00EC79BA">
        <w:rPr>
          <w:b w:val="0"/>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EC79BA">
        <w:rPr>
          <w:b w:val="0"/>
          <w:i/>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PSTR Model Estimation</w:t>
      </w:r>
      <w:bookmarkEnd w:id="56"/>
    </w:p>
    <w:tbl>
      <w:tblPr>
        <w:tblW w:w="0" w:type="auto"/>
        <w:tblLook w:val="04A0" w:firstRow="1" w:lastRow="0" w:firstColumn="1" w:lastColumn="0" w:noHBand="0" w:noVBand="1"/>
      </w:tblPr>
      <w:tblGrid>
        <w:gridCol w:w="3510"/>
        <w:gridCol w:w="1985"/>
        <w:gridCol w:w="1021"/>
      </w:tblGrid>
      <w:tr w:rsidR="00AB1527" w:rsidRPr="00AA4763" w14:paraId="45D1C299" w14:textId="77777777" w:rsidTr="003D2875">
        <w:tc>
          <w:tcPr>
            <w:tcW w:w="3510" w:type="dxa"/>
            <w:tcBorders>
              <w:top w:val="double" w:sz="4" w:space="0" w:color="auto"/>
              <w:bottom w:val="double" w:sz="4" w:space="0" w:color="auto"/>
            </w:tcBorders>
            <w:shd w:val="clear" w:color="auto" w:fill="auto"/>
          </w:tcPr>
          <w:p w14:paraId="555F38FF" w14:textId="77777777" w:rsidR="00AB1527" w:rsidRPr="00AA4763" w:rsidRDefault="00AB1527" w:rsidP="008E4E1C">
            <w:pPr>
              <w:pStyle w:val="NoSpacing"/>
              <w:spacing w:line="360" w:lineRule="auto"/>
              <w:jc w:val="both"/>
              <w:rPr>
                <w:rFonts w:ascii="Times New Roman" w:hAnsi="Times New Roman" w:cs="Times New Roman"/>
                <w:sz w:val="18"/>
                <w:szCs w:val="18"/>
              </w:rPr>
            </w:pPr>
          </w:p>
        </w:tc>
        <w:tc>
          <w:tcPr>
            <w:tcW w:w="1985" w:type="dxa"/>
            <w:tcBorders>
              <w:top w:val="double" w:sz="4" w:space="0" w:color="auto"/>
              <w:bottom w:val="double" w:sz="4" w:space="0" w:color="auto"/>
            </w:tcBorders>
            <w:shd w:val="clear" w:color="auto" w:fill="auto"/>
          </w:tcPr>
          <w:p w14:paraId="411A65C7" w14:textId="77777777" w:rsidR="00AB1527" w:rsidRPr="00AA4763" w:rsidRDefault="007835DC" w:rsidP="008E4E1C">
            <w:pPr>
              <w:pStyle w:val="NoSpacing"/>
              <w:spacing w:line="360" w:lineRule="auto"/>
              <w:jc w:val="both"/>
              <w:rPr>
                <w:rFonts w:ascii="Times New Roman" w:hAnsi="Times New Roman" w:cs="Times New Roman"/>
                <w:sz w:val="18"/>
                <w:szCs w:val="18"/>
              </w:rPr>
            </w:pPr>
            <m:oMathPara>
              <m:oMath>
                <m:sSub>
                  <m:sSubPr>
                    <m:ctrlPr>
                      <w:rPr>
                        <w:rFonts w:ascii="Cambria Math" w:hAnsi="Cambria Math" w:cs="Times New Roman"/>
                        <w:sz w:val="18"/>
                        <w:szCs w:val="18"/>
                      </w:rPr>
                    </m:ctrlPr>
                  </m:sSubPr>
                  <m:e>
                    <m:r>
                      <w:rPr>
                        <w:rFonts w:ascii="Cambria Math" w:hAnsi="Cambria Math" w:cs="Times New Roman"/>
                        <w:sz w:val="18"/>
                        <w:szCs w:val="18"/>
                      </w:rPr>
                      <m:t>β</m:t>
                    </m:r>
                  </m:e>
                  <m:sub>
                    <m:r>
                      <m:rPr>
                        <m:sty m:val="p"/>
                      </m:rPr>
                      <w:rPr>
                        <w:rFonts w:ascii="Cambria Math" w:hAnsi="Cambria Math" w:cs="Times New Roman"/>
                        <w:sz w:val="18"/>
                        <w:szCs w:val="18"/>
                      </w:rPr>
                      <m:t>0</m:t>
                    </m:r>
                  </m:sub>
                </m:sSub>
              </m:oMath>
            </m:oMathPara>
          </w:p>
        </w:tc>
        <w:tc>
          <w:tcPr>
            <w:tcW w:w="1021" w:type="dxa"/>
            <w:tcBorders>
              <w:top w:val="double" w:sz="4" w:space="0" w:color="auto"/>
              <w:bottom w:val="double" w:sz="4" w:space="0" w:color="auto"/>
            </w:tcBorders>
            <w:shd w:val="clear" w:color="auto" w:fill="auto"/>
          </w:tcPr>
          <w:p w14:paraId="2CBF66A6" w14:textId="77777777" w:rsidR="00AB1527" w:rsidRPr="00AA4763" w:rsidRDefault="007835DC" w:rsidP="008E4E1C">
            <w:pPr>
              <w:pStyle w:val="NoSpacing"/>
              <w:spacing w:line="360" w:lineRule="auto"/>
              <w:jc w:val="both"/>
              <w:rPr>
                <w:rFonts w:ascii="Times New Roman" w:hAnsi="Times New Roman" w:cs="Times New Roman"/>
                <w:sz w:val="18"/>
                <w:szCs w:val="18"/>
              </w:rPr>
            </w:pPr>
            <m:oMathPara>
              <m:oMath>
                <m:sSub>
                  <m:sSubPr>
                    <m:ctrlPr>
                      <w:rPr>
                        <w:rFonts w:ascii="Cambria Math" w:hAnsi="Cambria Math" w:cs="Times New Roman"/>
                        <w:sz w:val="18"/>
                        <w:szCs w:val="18"/>
                      </w:rPr>
                    </m:ctrlPr>
                  </m:sSubPr>
                  <m:e>
                    <m:r>
                      <w:rPr>
                        <w:rFonts w:ascii="Cambria Math" w:hAnsi="Cambria Math" w:cs="Times New Roman"/>
                        <w:sz w:val="18"/>
                        <w:szCs w:val="18"/>
                      </w:rPr>
                      <m:t>β</m:t>
                    </m:r>
                  </m:e>
                  <m:sub>
                    <m:r>
                      <m:rPr>
                        <m:sty m:val="p"/>
                      </m:rPr>
                      <w:rPr>
                        <w:rFonts w:ascii="Cambria Math" w:hAnsi="Cambria Math" w:cs="Times New Roman"/>
                        <w:sz w:val="18"/>
                        <w:szCs w:val="18"/>
                      </w:rPr>
                      <m:t>1</m:t>
                    </m:r>
                  </m:sub>
                </m:sSub>
              </m:oMath>
            </m:oMathPara>
          </w:p>
        </w:tc>
      </w:tr>
      <w:tr w:rsidR="00AB1527" w:rsidRPr="00AA4763" w14:paraId="2CC1569A" w14:textId="77777777" w:rsidTr="003D2875">
        <w:tc>
          <w:tcPr>
            <w:tcW w:w="3510" w:type="dxa"/>
            <w:tcBorders>
              <w:top w:val="double" w:sz="4" w:space="0" w:color="auto"/>
              <w:bottom w:val="single" w:sz="4" w:space="0" w:color="auto"/>
            </w:tcBorders>
            <w:shd w:val="clear" w:color="auto" w:fill="auto"/>
          </w:tcPr>
          <w:p w14:paraId="1B234EB0" w14:textId="77777777" w:rsidR="00AB1527" w:rsidRPr="00AA4763" w:rsidRDefault="00AB1527" w:rsidP="008E4E1C">
            <w:pPr>
              <w:pStyle w:val="NoSpacing"/>
              <w:spacing w:line="360" w:lineRule="auto"/>
              <w:jc w:val="both"/>
              <w:rPr>
                <w:rFonts w:ascii="Times New Roman" w:hAnsi="Times New Roman" w:cs="Times New Roman"/>
                <w:sz w:val="18"/>
                <w:szCs w:val="18"/>
              </w:rPr>
            </w:pPr>
            <w:r w:rsidRPr="00AA4763">
              <w:rPr>
                <w:rFonts w:ascii="Times New Roman" w:hAnsi="Times New Roman" w:cs="Times New Roman"/>
                <w:sz w:val="18"/>
                <w:szCs w:val="18"/>
              </w:rPr>
              <w:t>Location (threshold) parameter (</w:t>
            </w:r>
            <m:oMath>
              <m:r>
                <w:rPr>
                  <w:rFonts w:ascii="Cambria Math" w:hAnsi="Cambria Math" w:cs="Times New Roman"/>
                  <w:sz w:val="18"/>
                  <w:szCs w:val="18"/>
                </w:rPr>
                <m:t>ϑ</m:t>
              </m:r>
              <m:r>
                <m:rPr>
                  <m:sty m:val="p"/>
                </m:rPr>
                <w:rPr>
                  <w:rFonts w:ascii="Cambria Math" w:hAnsi="Cambria Math" w:cs="Times New Roman"/>
                  <w:sz w:val="18"/>
                  <w:szCs w:val="18"/>
                </w:rPr>
                <m:t>)</m:t>
              </m:r>
            </m:oMath>
          </w:p>
        </w:tc>
        <w:tc>
          <w:tcPr>
            <w:tcW w:w="1985" w:type="dxa"/>
            <w:tcBorders>
              <w:top w:val="double" w:sz="4" w:space="0" w:color="auto"/>
              <w:bottom w:val="single" w:sz="4" w:space="0" w:color="auto"/>
            </w:tcBorders>
            <w:shd w:val="clear" w:color="auto" w:fill="auto"/>
          </w:tcPr>
          <w:p w14:paraId="348E6704" w14:textId="070C33B5" w:rsidR="00AB1527" w:rsidRPr="00AA4763" w:rsidRDefault="00AB1527" w:rsidP="008E4E1C">
            <w:pPr>
              <w:pStyle w:val="NoSpacing"/>
              <w:spacing w:line="360" w:lineRule="auto"/>
              <w:jc w:val="both"/>
              <w:rPr>
                <w:rFonts w:ascii="Times New Roman" w:hAnsi="Times New Roman" w:cs="Times New Roman"/>
                <w:sz w:val="18"/>
                <w:szCs w:val="18"/>
              </w:rPr>
            </w:pPr>
            <w:r>
              <w:rPr>
                <w:rFonts w:ascii="Times New Roman" w:hAnsi="Times New Roman" w:cs="Times New Roman"/>
                <w:sz w:val="18"/>
                <w:szCs w:val="18"/>
              </w:rPr>
              <w:t>0.0733</w:t>
            </w:r>
          </w:p>
        </w:tc>
        <w:tc>
          <w:tcPr>
            <w:tcW w:w="1021" w:type="dxa"/>
            <w:tcBorders>
              <w:top w:val="double" w:sz="4" w:space="0" w:color="auto"/>
              <w:bottom w:val="single" w:sz="4" w:space="0" w:color="auto"/>
            </w:tcBorders>
            <w:shd w:val="clear" w:color="auto" w:fill="auto"/>
          </w:tcPr>
          <w:p w14:paraId="5612DD51" w14:textId="77777777" w:rsidR="00AB1527" w:rsidRPr="00AA4763" w:rsidRDefault="00AB1527" w:rsidP="008E4E1C">
            <w:pPr>
              <w:pStyle w:val="NoSpacing"/>
              <w:spacing w:line="360" w:lineRule="auto"/>
              <w:jc w:val="both"/>
              <w:rPr>
                <w:rFonts w:ascii="Times New Roman" w:hAnsi="Times New Roman" w:cs="Times New Roman"/>
                <w:sz w:val="18"/>
                <w:szCs w:val="18"/>
              </w:rPr>
            </w:pPr>
          </w:p>
        </w:tc>
      </w:tr>
      <w:tr w:rsidR="00AB1527" w:rsidRPr="00AA4763" w14:paraId="5CDB6EA7" w14:textId="77777777" w:rsidTr="003D2875">
        <w:tc>
          <w:tcPr>
            <w:tcW w:w="3510" w:type="dxa"/>
            <w:tcBorders>
              <w:top w:val="single" w:sz="4" w:space="0" w:color="auto"/>
              <w:bottom w:val="single" w:sz="4" w:space="0" w:color="auto"/>
            </w:tcBorders>
            <w:shd w:val="clear" w:color="auto" w:fill="auto"/>
          </w:tcPr>
          <w:p w14:paraId="1024142F" w14:textId="77777777" w:rsidR="00AB1527" w:rsidRPr="00AA4763" w:rsidRDefault="00AB1527" w:rsidP="008E4E1C">
            <w:pPr>
              <w:pStyle w:val="NoSpacing"/>
              <w:spacing w:line="360" w:lineRule="auto"/>
              <w:jc w:val="both"/>
              <w:rPr>
                <w:rFonts w:ascii="Times New Roman" w:hAnsi="Times New Roman" w:cs="Times New Roman"/>
                <w:sz w:val="18"/>
                <w:szCs w:val="18"/>
              </w:rPr>
            </w:pPr>
            <w:r w:rsidRPr="00AA4763">
              <w:rPr>
                <w:rFonts w:ascii="Times New Roman" w:hAnsi="Times New Roman" w:cs="Times New Roman"/>
                <w:sz w:val="18"/>
                <w:szCs w:val="18"/>
              </w:rPr>
              <w:t>Slope parameter (</w:t>
            </w:r>
            <m:oMath>
              <m:r>
                <w:rPr>
                  <w:rFonts w:ascii="Cambria Math" w:hAnsi="Cambria Math" w:cs="Times New Roman"/>
                  <w:sz w:val="18"/>
                  <w:szCs w:val="18"/>
                </w:rPr>
                <m:t>γ</m:t>
              </m:r>
              <m:r>
                <m:rPr>
                  <m:sty m:val="p"/>
                </m:rPr>
                <w:rPr>
                  <w:rFonts w:ascii="Cambria Math" w:hAnsi="Cambria Math" w:cs="Times New Roman"/>
                  <w:sz w:val="18"/>
                  <w:szCs w:val="18"/>
                </w:rPr>
                <m:t>)</m:t>
              </m:r>
            </m:oMath>
          </w:p>
        </w:tc>
        <w:tc>
          <w:tcPr>
            <w:tcW w:w="1985" w:type="dxa"/>
            <w:tcBorders>
              <w:top w:val="single" w:sz="4" w:space="0" w:color="auto"/>
              <w:bottom w:val="single" w:sz="4" w:space="0" w:color="auto"/>
            </w:tcBorders>
            <w:shd w:val="clear" w:color="auto" w:fill="auto"/>
          </w:tcPr>
          <w:p w14:paraId="5327186E" w14:textId="7A286611" w:rsidR="00AB1527" w:rsidRPr="00AA4763" w:rsidRDefault="00AB1527" w:rsidP="008E4E1C">
            <w:pPr>
              <w:pStyle w:val="NoSpacing"/>
              <w:spacing w:line="360" w:lineRule="auto"/>
              <w:jc w:val="both"/>
              <w:rPr>
                <w:rFonts w:ascii="Times New Roman" w:hAnsi="Times New Roman" w:cs="Times New Roman"/>
                <w:sz w:val="18"/>
                <w:szCs w:val="18"/>
              </w:rPr>
            </w:pPr>
            <w:r>
              <w:rPr>
                <w:rFonts w:ascii="Times New Roman" w:hAnsi="Times New Roman" w:cs="Times New Roman"/>
                <w:sz w:val="18"/>
                <w:szCs w:val="18"/>
              </w:rPr>
              <w:t>384.09</w:t>
            </w:r>
          </w:p>
        </w:tc>
        <w:tc>
          <w:tcPr>
            <w:tcW w:w="1021" w:type="dxa"/>
            <w:tcBorders>
              <w:top w:val="single" w:sz="4" w:space="0" w:color="auto"/>
              <w:bottom w:val="single" w:sz="4" w:space="0" w:color="auto"/>
            </w:tcBorders>
            <w:shd w:val="clear" w:color="auto" w:fill="auto"/>
          </w:tcPr>
          <w:p w14:paraId="1DE10722" w14:textId="77777777" w:rsidR="00AB1527" w:rsidRPr="00AA4763" w:rsidRDefault="00AB1527" w:rsidP="008E4E1C">
            <w:pPr>
              <w:pStyle w:val="NoSpacing"/>
              <w:spacing w:line="360" w:lineRule="auto"/>
              <w:jc w:val="both"/>
              <w:rPr>
                <w:rFonts w:ascii="Times New Roman" w:hAnsi="Times New Roman" w:cs="Times New Roman"/>
                <w:sz w:val="18"/>
                <w:szCs w:val="18"/>
              </w:rPr>
            </w:pPr>
          </w:p>
        </w:tc>
      </w:tr>
      <w:tr w:rsidR="00AB1527" w:rsidRPr="00AA4763" w14:paraId="63B57410" w14:textId="77777777" w:rsidTr="003D2875">
        <w:tc>
          <w:tcPr>
            <w:tcW w:w="3510" w:type="dxa"/>
            <w:tcBorders>
              <w:top w:val="single" w:sz="4" w:space="0" w:color="auto"/>
            </w:tcBorders>
            <w:shd w:val="clear" w:color="auto" w:fill="auto"/>
          </w:tcPr>
          <w:p w14:paraId="6930EB8F" w14:textId="77777777" w:rsidR="00AB1527" w:rsidRPr="00AA4763" w:rsidRDefault="00AB1527" w:rsidP="008E4E1C">
            <w:pPr>
              <w:pStyle w:val="NoSpacing"/>
              <w:spacing w:line="360" w:lineRule="auto"/>
              <w:jc w:val="both"/>
              <w:rPr>
                <w:rFonts w:ascii="Times New Roman" w:hAnsi="Times New Roman" w:cs="Times New Roman"/>
                <w:sz w:val="18"/>
                <w:szCs w:val="18"/>
              </w:rPr>
            </w:pPr>
            <w:r w:rsidRPr="00023145">
              <w:rPr>
                <w:rFonts w:ascii="Times New Roman" w:hAnsi="Times New Roman" w:cs="Times New Roman"/>
                <w:sz w:val="18"/>
                <w:szCs w:val="18"/>
              </w:rPr>
              <w:t xml:space="preserve">Lagged </w:t>
            </w:r>
            <w:r>
              <w:rPr>
                <w:rFonts w:ascii="Times New Roman" w:hAnsi="Times New Roman" w:cs="Times New Roman"/>
                <w:sz w:val="18"/>
                <w:szCs w:val="18"/>
              </w:rPr>
              <w:t>private sector credit to GDP</w:t>
            </w:r>
          </w:p>
        </w:tc>
        <w:tc>
          <w:tcPr>
            <w:tcW w:w="1985" w:type="dxa"/>
            <w:tcBorders>
              <w:top w:val="single" w:sz="4" w:space="0" w:color="auto"/>
            </w:tcBorders>
            <w:shd w:val="clear" w:color="auto" w:fill="auto"/>
          </w:tcPr>
          <w:p w14:paraId="14C9C690" w14:textId="7AE086AB" w:rsidR="00AB1527" w:rsidRPr="00AA4763" w:rsidRDefault="00AB1527" w:rsidP="008E4E1C">
            <w:pPr>
              <w:pStyle w:val="NoSpacing"/>
              <w:spacing w:line="360" w:lineRule="auto"/>
              <w:jc w:val="both"/>
              <w:rPr>
                <w:rFonts w:ascii="Times New Roman" w:hAnsi="Times New Roman" w:cs="Times New Roman"/>
                <w:sz w:val="18"/>
                <w:szCs w:val="18"/>
                <w:lang w:val="en-GB" w:eastAsia="en-GB"/>
              </w:rPr>
            </w:pPr>
            <w:r>
              <w:rPr>
                <w:rFonts w:ascii="Times New Roman" w:hAnsi="Times New Roman" w:cs="Times New Roman"/>
                <w:sz w:val="18"/>
                <w:szCs w:val="18"/>
                <w:lang w:val="en-GB" w:eastAsia="en-GB"/>
              </w:rPr>
              <w:t>0.850***</w:t>
            </w:r>
          </w:p>
          <w:p w14:paraId="1BD32E39" w14:textId="77777777" w:rsidR="00AB1527" w:rsidRPr="00AA4763" w:rsidRDefault="00AB1527" w:rsidP="008E4E1C">
            <w:pPr>
              <w:pStyle w:val="NoSpacing"/>
              <w:spacing w:line="360" w:lineRule="auto"/>
              <w:jc w:val="both"/>
              <w:rPr>
                <w:rFonts w:ascii="Times New Roman" w:hAnsi="Times New Roman" w:cs="Times New Roman"/>
                <w:sz w:val="18"/>
                <w:szCs w:val="18"/>
              </w:rPr>
            </w:pPr>
            <w:r w:rsidRPr="00AA4763">
              <w:rPr>
                <w:rFonts w:ascii="Times New Roman" w:hAnsi="Times New Roman" w:cs="Times New Roman"/>
                <w:sz w:val="18"/>
                <w:szCs w:val="18"/>
              </w:rPr>
              <w:t>(</w:t>
            </w:r>
            <w:r>
              <w:rPr>
                <w:rFonts w:ascii="Times New Roman" w:hAnsi="Times New Roman" w:cs="Times New Roman"/>
                <w:sz w:val="18"/>
                <w:szCs w:val="18"/>
                <w:lang w:val="en-GB" w:eastAsia="en-GB"/>
              </w:rPr>
              <w:t>0.301</w:t>
            </w:r>
            <w:r w:rsidRPr="00AA4763">
              <w:rPr>
                <w:rFonts w:ascii="Times New Roman" w:hAnsi="Times New Roman" w:cs="Times New Roman"/>
                <w:sz w:val="18"/>
                <w:szCs w:val="18"/>
              </w:rPr>
              <w:t>)</w:t>
            </w:r>
          </w:p>
        </w:tc>
        <w:tc>
          <w:tcPr>
            <w:tcW w:w="1021" w:type="dxa"/>
            <w:tcBorders>
              <w:top w:val="single" w:sz="4" w:space="0" w:color="auto"/>
            </w:tcBorders>
            <w:shd w:val="clear" w:color="auto" w:fill="auto"/>
          </w:tcPr>
          <w:p w14:paraId="0FA1051F" w14:textId="129B4EED" w:rsidR="00AB1527" w:rsidRPr="00AA4763" w:rsidRDefault="00AB1527" w:rsidP="008E4E1C">
            <w:pPr>
              <w:pStyle w:val="NoSpacing"/>
              <w:spacing w:line="360" w:lineRule="auto"/>
              <w:jc w:val="both"/>
              <w:rPr>
                <w:rFonts w:ascii="Times New Roman" w:hAnsi="Times New Roman" w:cs="Times New Roman"/>
                <w:sz w:val="18"/>
                <w:szCs w:val="18"/>
              </w:rPr>
            </w:pPr>
            <w:r>
              <w:rPr>
                <w:rFonts w:ascii="Times New Roman" w:hAnsi="Times New Roman" w:cs="Times New Roman"/>
                <w:sz w:val="18"/>
                <w:szCs w:val="18"/>
                <w:lang w:val="en-GB" w:eastAsia="en-GB"/>
              </w:rPr>
              <w:t>-0.792</w:t>
            </w:r>
            <w:r w:rsidRPr="00AA4763">
              <w:rPr>
                <w:rFonts w:ascii="Times New Roman" w:hAnsi="Times New Roman" w:cs="Times New Roman"/>
                <w:sz w:val="18"/>
                <w:szCs w:val="18"/>
              </w:rPr>
              <w:t>**</w:t>
            </w:r>
          </w:p>
          <w:p w14:paraId="2F4E2385" w14:textId="77777777" w:rsidR="00AB1527" w:rsidRPr="00AA4763" w:rsidRDefault="00AB1527" w:rsidP="008E4E1C">
            <w:pPr>
              <w:pStyle w:val="NoSpacing"/>
              <w:spacing w:line="360" w:lineRule="auto"/>
              <w:jc w:val="both"/>
              <w:rPr>
                <w:rFonts w:ascii="Times New Roman" w:hAnsi="Times New Roman" w:cs="Times New Roman"/>
                <w:sz w:val="18"/>
                <w:szCs w:val="18"/>
              </w:rPr>
            </w:pPr>
            <w:r w:rsidRPr="00AA4763">
              <w:rPr>
                <w:rFonts w:ascii="Times New Roman" w:hAnsi="Times New Roman" w:cs="Times New Roman"/>
                <w:sz w:val="18"/>
                <w:szCs w:val="18"/>
              </w:rPr>
              <w:t>(</w:t>
            </w:r>
            <w:r>
              <w:rPr>
                <w:rFonts w:ascii="Times New Roman" w:hAnsi="Times New Roman" w:cs="Times New Roman"/>
                <w:sz w:val="18"/>
                <w:szCs w:val="18"/>
                <w:lang w:val="en-GB" w:eastAsia="en-GB"/>
              </w:rPr>
              <w:t>0.302</w:t>
            </w:r>
            <w:r w:rsidRPr="00AA4763">
              <w:rPr>
                <w:rFonts w:ascii="Times New Roman" w:hAnsi="Times New Roman" w:cs="Times New Roman"/>
                <w:sz w:val="18"/>
                <w:szCs w:val="18"/>
              </w:rPr>
              <w:t>)</w:t>
            </w:r>
          </w:p>
        </w:tc>
      </w:tr>
      <w:tr w:rsidR="00AB1527" w:rsidRPr="00AA4763" w14:paraId="27A5DC72" w14:textId="77777777" w:rsidTr="003D2875">
        <w:tc>
          <w:tcPr>
            <w:tcW w:w="3510" w:type="dxa"/>
            <w:shd w:val="clear" w:color="auto" w:fill="auto"/>
          </w:tcPr>
          <w:p w14:paraId="43328658" w14:textId="77777777" w:rsidR="00AB1527" w:rsidRPr="00AA4763" w:rsidRDefault="00AB1527" w:rsidP="008E4E1C">
            <w:pPr>
              <w:pStyle w:val="NoSpacing"/>
              <w:spacing w:line="360" w:lineRule="auto"/>
              <w:jc w:val="both"/>
              <w:rPr>
                <w:rFonts w:ascii="Times New Roman" w:hAnsi="Times New Roman" w:cs="Times New Roman"/>
                <w:sz w:val="18"/>
                <w:szCs w:val="18"/>
              </w:rPr>
            </w:pPr>
            <w:r w:rsidRPr="00AA4763">
              <w:rPr>
                <w:rFonts w:ascii="Times New Roman" w:hAnsi="Times New Roman" w:cs="Times New Roman"/>
                <w:sz w:val="18"/>
                <w:szCs w:val="18"/>
              </w:rPr>
              <w:t>Lagged log initial real GDP per capita</w:t>
            </w:r>
          </w:p>
        </w:tc>
        <w:tc>
          <w:tcPr>
            <w:tcW w:w="1985" w:type="dxa"/>
            <w:shd w:val="clear" w:color="auto" w:fill="auto"/>
          </w:tcPr>
          <w:p w14:paraId="0458B377" w14:textId="6B2F96DD" w:rsidR="00AB1527" w:rsidRPr="00AA4763" w:rsidRDefault="00AB1527" w:rsidP="008E4E1C">
            <w:pPr>
              <w:pStyle w:val="NoSpacing"/>
              <w:spacing w:line="360" w:lineRule="auto"/>
              <w:jc w:val="both"/>
              <w:rPr>
                <w:rFonts w:ascii="Times New Roman" w:hAnsi="Times New Roman" w:cs="Times New Roman"/>
                <w:sz w:val="18"/>
                <w:szCs w:val="18"/>
              </w:rPr>
            </w:pPr>
            <w:r>
              <w:rPr>
                <w:rFonts w:ascii="Times New Roman" w:hAnsi="Times New Roman" w:cs="Times New Roman"/>
                <w:sz w:val="18"/>
                <w:szCs w:val="18"/>
              </w:rPr>
              <w:t>0.683</w:t>
            </w:r>
            <w:r w:rsidRPr="00AA4763">
              <w:rPr>
                <w:rFonts w:ascii="Times New Roman" w:hAnsi="Times New Roman" w:cs="Times New Roman"/>
                <w:sz w:val="18"/>
                <w:szCs w:val="18"/>
              </w:rPr>
              <w:t>***</w:t>
            </w:r>
          </w:p>
          <w:p w14:paraId="59E9995F" w14:textId="77777777" w:rsidR="00AB1527" w:rsidRPr="00AA4763" w:rsidRDefault="00AB1527" w:rsidP="008E4E1C">
            <w:pPr>
              <w:pStyle w:val="NoSpacing"/>
              <w:spacing w:line="360" w:lineRule="auto"/>
              <w:jc w:val="both"/>
              <w:rPr>
                <w:rFonts w:ascii="Times New Roman" w:hAnsi="Times New Roman" w:cs="Times New Roman"/>
                <w:sz w:val="18"/>
                <w:szCs w:val="18"/>
              </w:rPr>
            </w:pPr>
            <w:r>
              <w:rPr>
                <w:rFonts w:ascii="Times New Roman" w:hAnsi="Times New Roman" w:cs="Times New Roman"/>
                <w:sz w:val="18"/>
                <w:szCs w:val="18"/>
              </w:rPr>
              <w:t>(0.049</w:t>
            </w:r>
            <w:r w:rsidRPr="00AA4763">
              <w:rPr>
                <w:rFonts w:ascii="Times New Roman" w:hAnsi="Times New Roman" w:cs="Times New Roman"/>
                <w:sz w:val="18"/>
                <w:szCs w:val="18"/>
              </w:rPr>
              <w:t>)</w:t>
            </w:r>
          </w:p>
        </w:tc>
        <w:tc>
          <w:tcPr>
            <w:tcW w:w="1021" w:type="dxa"/>
            <w:shd w:val="clear" w:color="auto" w:fill="auto"/>
          </w:tcPr>
          <w:p w14:paraId="71ADB3BD" w14:textId="77777777" w:rsidR="00AB1527" w:rsidRPr="00AA4763" w:rsidRDefault="00AB1527" w:rsidP="008E4E1C">
            <w:pPr>
              <w:pStyle w:val="NoSpacing"/>
              <w:spacing w:line="360" w:lineRule="auto"/>
              <w:jc w:val="both"/>
              <w:rPr>
                <w:rFonts w:ascii="Times New Roman" w:hAnsi="Times New Roman" w:cs="Times New Roman"/>
                <w:sz w:val="18"/>
                <w:szCs w:val="18"/>
              </w:rPr>
            </w:pPr>
            <w:r>
              <w:rPr>
                <w:rFonts w:ascii="Times New Roman" w:hAnsi="Times New Roman" w:cs="Times New Roman"/>
                <w:sz w:val="18"/>
                <w:szCs w:val="18"/>
                <w:lang w:val="en-GB" w:eastAsia="en-GB"/>
              </w:rPr>
              <w:t>-0.043</w:t>
            </w:r>
            <w:r w:rsidRPr="00AA4763">
              <w:rPr>
                <w:rFonts w:ascii="Times New Roman" w:hAnsi="Times New Roman" w:cs="Times New Roman"/>
                <w:sz w:val="18"/>
                <w:szCs w:val="18"/>
              </w:rPr>
              <w:t>*</w:t>
            </w:r>
            <w:r>
              <w:rPr>
                <w:rFonts w:ascii="Times New Roman" w:hAnsi="Times New Roman" w:cs="Times New Roman"/>
                <w:sz w:val="18"/>
                <w:szCs w:val="18"/>
              </w:rPr>
              <w:t>*</w:t>
            </w:r>
          </w:p>
          <w:p w14:paraId="2FD55EE2" w14:textId="1BBB820A" w:rsidR="00AB1527" w:rsidRPr="00AA4763" w:rsidRDefault="00AB1527" w:rsidP="008E4E1C">
            <w:pPr>
              <w:pStyle w:val="NoSpacing"/>
              <w:spacing w:line="360" w:lineRule="auto"/>
              <w:jc w:val="both"/>
              <w:rPr>
                <w:rFonts w:ascii="Times New Roman" w:hAnsi="Times New Roman" w:cs="Times New Roman"/>
                <w:sz w:val="18"/>
                <w:szCs w:val="18"/>
              </w:rPr>
            </w:pPr>
            <w:r w:rsidRPr="00AA4763">
              <w:rPr>
                <w:rFonts w:ascii="Times New Roman" w:hAnsi="Times New Roman" w:cs="Times New Roman"/>
                <w:sz w:val="18"/>
                <w:szCs w:val="18"/>
              </w:rPr>
              <w:t>(</w:t>
            </w:r>
            <w:r>
              <w:rPr>
                <w:rFonts w:ascii="Times New Roman" w:hAnsi="Times New Roman" w:cs="Times New Roman"/>
                <w:sz w:val="18"/>
                <w:szCs w:val="18"/>
                <w:lang w:val="en-GB" w:eastAsia="en-GB"/>
              </w:rPr>
              <w:t>0.016</w:t>
            </w:r>
            <w:r w:rsidRPr="00AA4763">
              <w:rPr>
                <w:rFonts w:ascii="Times New Roman" w:hAnsi="Times New Roman" w:cs="Times New Roman"/>
                <w:sz w:val="18"/>
                <w:szCs w:val="18"/>
              </w:rPr>
              <w:t>)</w:t>
            </w:r>
          </w:p>
        </w:tc>
      </w:tr>
      <w:tr w:rsidR="00AB1527" w:rsidRPr="00AA4763" w14:paraId="0BEF81B2" w14:textId="77777777" w:rsidTr="003D2875">
        <w:trPr>
          <w:trHeight w:val="427"/>
        </w:trPr>
        <w:tc>
          <w:tcPr>
            <w:tcW w:w="3510" w:type="dxa"/>
            <w:shd w:val="clear" w:color="auto" w:fill="auto"/>
          </w:tcPr>
          <w:p w14:paraId="2106BAD0" w14:textId="77777777" w:rsidR="00AB1527" w:rsidRPr="00AA4763" w:rsidRDefault="00AB1527" w:rsidP="008E4E1C">
            <w:pPr>
              <w:pStyle w:val="NoSpacing"/>
              <w:spacing w:line="360" w:lineRule="auto"/>
              <w:jc w:val="both"/>
              <w:rPr>
                <w:rFonts w:ascii="Times New Roman" w:hAnsi="Times New Roman" w:cs="Times New Roman"/>
                <w:sz w:val="18"/>
                <w:szCs w:val="18"/>
              </w:rPr>
            </w:pPr>
            <w:r>
              <w:rPr>
                <w:rFonts w:ascii="Times New Roman" w:hAnsi="Times New Roman" w:cs="Times New Roman"/>
                <w:sz w:val="18"/>
                <w:szCs w:val="18"/>
              </w:rPr>
              <w:t>Lagged human capital</w:t>
            </w:r>
          </w:p>
        </w:tc>
        <w:tc>
          <w:tcPr>
            <w:tcW w:w="1985" w:type="dxa"/>
            <w:shd w:val="clear" w:color="auto" w:fill="auto"/>
          </w:tcPr>
          <w:p w14:paraId="1A397649" w14:textId="77777777" w:rsidR="00AB1527" w:rsidRPr="00AA4763" w:rsidRDefault="00AB1527" w:rsidP="008E4E1C">
            <w:pPr>
              <w:pStyle w:val="NoSpacing"/>
              <w:spacing w:line="360" w:lineRule="auto"/>
              <w:jc w:val="both"/>
              <w:rPr>
                <w:rFonts w:ascii="Times New Roman" w:hAnsi="Times New Roman" w:cs="Times New Roman"/>
                <w:sz w:val="18"/>
                <w:szCs w:val="18"/>
              </w:rPr>
            </w:pPr>
            <w:r>
              <w:rPr>
                <w:rFonts w:ascii="Times New Roman" w:hAnsi="Times New Roman" w:cs="Times New Roman"/>
                <w:sz w:val="18"/>
                <w:szCs w:val="18"/>
                <w:lang w:val="en-GB" w:eastAsia="en-GB"/>
              </w:rPr>
              <w:t>-0.169</w:t>
            </w:r>
            <w:r w:rsidRPr="00AA4763">
              <w:rPr>
                <w:rFonts w:ascii="Times New Roman" w:hAnsi="Times New Roman" w:cs="Times New Roman"/>
                <w:sz w:val="18"/>
                <w:szCs w:val="18"/>
              </w:rPr>
              <w:t>*</w:t>
            </w:r>
            <w:r>
              <w:rPr>
                <w:rFonts w:ascii="Times New Roman" w:hAnsi="Times New Roman" w:cs="Times New Roman"/>
                <w:sz w:val="18"/>
                <w:szCs w:val="18"/>
              </w:rPr>
              <w:t>**</w:t>
            </w:r>
          </w:p>
          <w:p w14:paraId="297B9541" w14:textId="037886E3" w:rsidR="00AB1527" w:rsidRPr="00AA4763" w:rsidRDefault="00AB1527" w:rsidP="008E4E1C">
            <w:pPr>
              <w:pStyle w:val="NoSpacing"/>
              <w:spacing w:line="360" w:lineRule="auto"/>
              <w:jc w:val="both"/>
              <w:rPr>
                <w:rFonts w:ascii="Times New Roman" w:hAnsi="Times New Roman" w:cs="Times New Roman"/>
                <w:sz w:val="18"/>
                <w:szCs w:val="18"/>
              </w:rPr>
            </w:pPr>
            <w:r w:rsidRPr="00AA4763">
              <w:rPr>
                <w:rFonts w:ascii="Times New Roman" w:hAnsi="Times New Roman" w:cs="Times New Roman"/>
                <w:sz w:val="18"/>
                <w:szCs w:val="18"/>
              </w:rPr>
              <w:t>(</w:t>
            </w:r>
            <w:r>
              <w:rPr>
                <w:rFonts w:ascii="Times New Roman" w:hAnsi="Times New Roman" w:cs="Times New Roman"/>
                <w:sz w:val="18"/>
                <w:szCs w:val="18"/>
                <w:lang w:val="en-GB" w:eastAsia="en-GB"/>
              </w:rPr>
              <w:t>0.041</w:t>
            </w:r>
            <w:r w:rsidRPr="00AA4763">
              <w:rPr>
                <w:rFonts w:ascii="Times New Roman" w:hAnsi="Times New Roman" w:cs="Times New Roman"/>
                <w:sz w:val="18"/>
                <w:szCs w:val="18"/>
              </w:rPr>
              <w:t>)</w:t>
            </w:r>
          </w:p>
        </w:tc>
        <w:tc>
          <w:tcPr>
            <w:tcW w:w="1021" w:type="dxa"/>
            <w:shd w:val="clear" w:color="auto" w:fill="auto"/>
          </w:tcPr>
          <w:p w14:paraId="0519A413" w14:textId="77777777" w:rsidR="00AB1527" w:rsidRPr="00AA4763" w:rsidRDefault="00AB1527" w:rsidP="008E4E1C">
            <w:pPr>
              <w:pStyle w:val="NoSpacing"/>
              <w:spacing w:line="360" w:lineRule="auto"/>
              <w:jc w:val="both"/>
              <w:rPr>
                <w:rFonts w:ascii="Times New Roman" w:hAnsi="Times New Roman" w:cs="Times New Roman"/>
                <w:sz w:val="18"/>
                <w:szCs w:val="18"/>
              </w:rPr>
            </w:pPr>
            <w:r>
              <w:rPr>
                <w:rFonts w:ascii="Times New Roman" w:hAnsi="Times New Roman" w:cs="Times New Roman"/>
                <w:sz w:val="18"/>
                <w:szCs w:val="18"/>
                <w:lang w:val="en-GB" w:eastAsia="en-GB"/>
              </w:rPr>
              <w:t>0.063</w:t>
            </w:r>
            <w:r>
              <w:rPr>
                <w:rFonts w:ascii="Times New Roman" w:hAnsi="Times New Roman" w:cs="Times New Roman"/>
                <w:sz w:val="18"/>
                <w:szCs w:val="18"/>
              </w:rPr>
              <w:t>**</w:t>
            </w:r>
          </w:p>
          <w:p w14:paraId="43B82EFD" w14:textId="77777777" w:rsidR="00AB1527" w:rsidRPr="00AA4763" w:rsidRDefault="00AB1527" w:rsidP="008E4E1C">
            <w:pPr>
              <w:pStyle w:val="NoSpacing"/>
              <w:spacing w:line="360" w:lineRule="auto"/>
              <w:jc w:val="both"/>
              <w:rPr>
                <w:rFonts w:ascii="Times New Roman" w:hAnsi="Times New Roman" w:cs="Times New Roman"/>
                <w:sz w:val="18"/>
                <w:szCs w:val="18"/>
              </w:rPr>
            </w:pPr>
            <w:r w:rsidRPr="00AA4763">
              <w:rPr>
                <w:rFonts w:ascii="Times New Roman" w:hAnsi="Times New Roman" w:cs="Times New Roman"/>
                <w:sz w:val="18"/>
                <w:szCs w:val="18"/>
              </w:rPr>
              <w:t>(</w:t>
            </w:r>
            <w:r>
              <w:rPr>
                <w:rFonts w:ascii="Times New Roman" w:hAnsi="Times New Roman" w:cs="Times New Roman"/>
                <w:sz w:val="18"/>
                <w:szCs w:val="18"/>
                <w:lang w:val="en-GB" w:eastAsia="en-GB"/>
              </w:rPr>
              <w:t>0.026</w:t>
            </w:r>
            <w:r w:rsidRPr="00AA4763">
              <w:rPr>
                <w:rFonts w:ascii="Times New Roman" w:hAnsi="Times New Roman" w:cs="Times New Roman"/>
                <w:sz w:val="18"/>
                <w:szCs w:val="18"/>
              </w:rPr>
              <w:t>)</w:t>
            </w:r>
          </w:p>
        </w:tc>
      </w:tr>
      <w:tr w:rsidR="00AB1527" w:rsidRPr="00AA4763" w14:paraId="23C5CC93" w14:textId="77777777" w:rsidTr="003D2875">
        <w:tc>
          <w:tcPr>
            <w:tcW w:w="3510" w:type="dxa"/>
            <w:shd w:val="clear" w:color="auto" w:fill="auto"/>
          </w:tcPr>
          <w:p w14:paraId="7E4F3EB6" w14:textId="77777777" w:rsidR="00AB1527" w:rsidRPr="00AA4763" w:rsidRDefault="00AB1527" w:rsidP="008E4E1C">
            <w:pPr>
              <w:pStyle w:val="NoSpacing"/>
              <w:spacing w:line="360" w:lineRule="auto"/>
              <w:jc w:val="both"/>
              <w:rPr>
                <w:rFonts w:ascii="Times New Roman" w:hAnsi="Times New Roman" w:cs="Times New Roman"/>
                <w:sz w:val="18"/>
                <w:szCs w:val="18"/>
              </w:rPr>
            </w:pPr>
            <w:r w:rsidRPr="00023145">
              <w:rPr>
                <w:rFonts w:ascii="Times New Roman" w:hAnsi="Times New Roman" w:cs="Times New Roman"/>
                <w:sz w:val="18"/>
                <w:szCs w:val="18"/>
              </w:rPr>
              <w:t xml:space="preserve">Lagged </w:t>
            </w:r>
            <w:r>
              <w:rPr>
                <w:rFonts w:ascii="Times New Roman" w:hAnsi="Times New Roman" w:cs="Times New Roman"/>
                <w:sz w:val="18"/>
                <w:szCs w:val="18"/>
              </w:rPr>
              <w:t>net FDI inflows to GDP</w:t>
            </w:r>
          </w:p>
        </w:tc>
        <w:tc>
          <w:tcPr>
            <w:tcW w:w="1985" w:type="dxa"/>
            <w:shd w:val="clear" w:color="auto" w:fill="auto"/>
          </w:tcPr>
          <w:p w14:paraId="4125BD09" w14:textId="41DB705B" w:rsidR="00AB1527" w:rsidRPr="00AA4763" w:rsidRDefault="00AB1527" w:rsidP="008E4E1C">
            <w:pPr>
              <w:pStyle w:val="NoSpacing"/>
              <w:spacing w:line="360" w:lineRule="auto"/>
              <w:jc w:val="both"/>
              <w:rPr>
                <w:rFonts w:ascii="Times New Roman" w:hAnsi="Times New Roman" w:cs="Times New Roman"/>
                <w:sz w:val="18"/>
                <w:szCs w:val="18"/>
              </w:rPr>
            </w:pPr>
            <w:r>
              <w:rPr>
                <w:rFonts w:ascii="Times New Roman" w:hAnsi="Times New Roman" w:cs="Times New Roman"/>
                <w:sz w:val="18"/>
                <w:szCs w:val="18"/>
                <w:lang w:val="en-GB" w:eastAsia="en-GB"/>
              </w:rPr>
              <w:t>0.278</w:t>
            </w:r>
            <w:r>
              <w:rPr>
                <w:rFonts w:ascii="Times New Roman" w:hAnsi="Times New Roman" w:cs="Times New Roman"/>
                <w:sz w:val="18"/>
                <w:szCs w:val="18"/>
              </w:rPr>
              <w:t>**</w:t>
            </w:r>
          </w:p>
          <w:p w14:paraId="5FD1D1EB" w14:textId="296502E6" w:rsidR="00AB1527" w:rsidRPr="00AA4763" w:rsidRDefault="00AB1527" w:rsidP="008E4E1C">
            <w:pPr>
              <w:pStyle w:val="NoSpacing"/>
              <w:spacing w:line="360" w:lineRule="auto"/>
              <w:jc w:val="both"/>
              <w:rPr>
                <w:rFonts w:ascii="Times New Roman" w:hAnsi="Times New Roman" w:cs="Times New Roman"/>
                <w:sz w:val="18"/>
                <w:szCs w:val="18"/>
              </w:rPr>
            </w:pPr>
            <w:r w:rsidRPr="00AA4763">
              <w:rPr>
                <w:rFonts w:ascii="Times New Roman" w:hAnsi="Times New Roman" w:cs="Times New Roman"/>
                <w:sz w:val="18"/>
                <w:szCs w:val="18"/>
              </w:rPr>
              <w:t>(</w:t>
            </w:r>
            <w:r>
              <w:rPr>
                <w:rFonts w:ascii="Times New Roman" w:hAnsi="Times New Roman" w:cs="Times New Roman"/>
                <w:sz w:val="18"/>
                <w:szCs w:val="18"/>
                <w:lang w:val="en-GB" w:eastAsia="en-GB"/>
              </w:rPr>
              <w:t>0.324</w:t>
            </w:r>
            <w:r w:rsidRPr="00AA4763">
              <w:rPr>
                <w:rFonts w:ascii="Times New Roman" w:hAnsi="Times New Roman" w:cs="Times New Roman"/>
                <w:sz w:val="18"/>
                <w:szCs w:val="18"/>
              </w:rPr>
              <w:t>)</w:t>
            </w:r>
          </w:p>
        </w:tc>
        <w:tc>
          <w:tcPr>
            <w:tcW w:w="1021" w:type="dxa"/>
            <w:shd w:val="clear" w:color="auto" w:fill="auto"/>
          </w:tcPr>
          <w:p w14:paraId="0F6F016F" w14:textId="232D0D7E" w:rsidR="00AB1527" w:rsidRPr="00AA4763" w:rsidRDefault="00AB1527" w:rsidP="008E4E1C">
            <w:pPr>
              <w:pStyle w:val="NoSpacing"/>
              <w:spacing w:line="360" w:lineRule="auto"/>
              <w:jc w:val="both"/>
              <w:rPr>
                <w:rFonts w:ascii="Times New Roman" w:hAnsi="Times New Roman" w:cs="Times New Roman"/>
                <w:sz w:val="18"/>
                <w:szCs w:val="18"/>
              </w:rPr>
            </w:pPr>
            <w:r>
              <w:rPr>
                <w:rFonts w:ascii="Times New Roman" w:hAnsi="Times New Roman" w:cs="Times New Roman"/>
                <w:sz w:val="18"/>
                <w:szCs w:val="18"/>
              </w:rPr>
              <w:t>-</w:t>
            </w:r>
            <w:r w:rsidRPr="00AA4763">
              <w:rPr>
                <w:rFonts w:ascii="Times New Roman" w:hAnsi="Times New Roman" w:cs="Times New Roman"/>
                <w:sz w:val="18"/>
                <w:szCs w:val="18"/>
              </w:rPr>
              <w:t>0.</w:t>
            </w:r>
            <w:r>
              <w:rPr>
                <w:rFonts w:ascii="Times New Roman" w:hAnsi="Times New Roman" w:cs="Times New Roman"/>
                <w:sz w:val="18"/>
                <w:szCs w:val="18"/>
              </w:rPr>
              <w:t>290</w:t>
            </w:r>
          </w:p>
          <w:p w14:paraId="3096C9BB" w14:textId="77777777" w:rsidR="00AB1527" w:rsidRPr="00AA4763" w:rsidRDefault="00AB1527" w:rsidP="008E4E1C">
            <w:pPr>
              <w:pStyle w:val="NoSpacing"/>
              <w:spacing w:line="360" w:lineRule="auto"/>
              <w:jc w:val="both"/>
              <w:rPr>
                <w:rFonts w:ascii="Times New Roman" w:hAnsi="Times New Roman" w:cs="Times New Roman"/>
                <w:sz w:val="18"/>
                <w:szCs w:val="18"/>
              </w:rPr>
            </w:pPr>
            <w:r>
              <w:rPr>
                <w:rFonts w:ascii="Times New Roman" w:hAnsi="Times New Roman" w:cs="Times New Roman"/>
                <w:sz w:val="18"/>
                <w:szCs w:val="18"/>
              </w:rPr>
              <w:t>(0.330)</w:t>
            </w:r>
          </w:p>
        </w:tc>
      </w:tr>
      <w:tr w:rsidR="00AB1527" w:rsidRPr="00AA4763" w14:paraId="4095D7FD" w14:textId="77777777" w:rsidTr="003D2875">
        <w:tc>
          <w:tcPr>
            <w:tcW w:w="3510" w:type="dxa"/>
            <w:shd w:val="clear" w:color="auto" w:fill="auto"/>
          </w:tcPr>
          <w:p w14:paraId="7645DB5F" w14:textId="77777777" w:rsidR="00AB1527" w:rsidRPr="00AA4763" w:rsidRDefault="00AB1527" w:rsidP="008E4E1C">
            <w:pPr>
              <w:pStyle w:val="NoSpacing"/>
              <w:spacing w:line="360" w:lineRule="auto"/>
              <w:jc w:val="both"/>
              <w:rPr>
                <w:rFonts w:ascii="Times New Roman" w:hAnsi="Times New Roman" w:cs="Times New Roman"/>
                <w:sz w:val="18"/>
                <w:szCs w:val="18"/>
              </w:rPr>
            </w:pPr>
            <w:r w:rsidRPr="00023145">
              <w:rPr>
                <w:rFonts w:ascii="Times New Roman" w:hAnsi="Times New Roman" w:cs="Times New Roman"/>
                <w:sz w:val="18"/>
                <w:szCs w:val="18"/>
              </w:rPr>
              <w:t xml:space="preserve">Lagged </w:t>
            </w:r>
            <w:r>
              <w:rPr>
                <w:rFonts w:ascii="Times New Roman" w:hAnsi="Times New Roman" w:cs="Times New Roman"/>
                <w:sz w:val="18"/>
                <w:szCs w:val="18"/>
              </w:rPr>
              <w:t>trade openness</w:t>
            </w:r>
          </w:p>
        </w:tc>
        <w:tc>
          <w:tcPr>
            <w:tcW w:w="1985" w:type="dxa"/>
            <w:shd w:val="clear" w:color="auto" w:fill="auto"/>
          </w:tcPr>
          <w:p w14:paraId="70FDBFA6" w14:textId="126B6FBF" w:rsidR="00AB1527" w:rsidRPr="00AA4763" w:rsidRDefault="00AB1527" w:rsidP="008E4E1C">
            <w:pPr>
              <w:pStyle w:val="NoSpacing"/>
              <w:spacing w:line="360" w:lineRule="auto"/>
              <w:jc w:val="both"/>
              <w:rPr>
                <w:rFonts w:ascii="Times New Roman" w:hAnsi="Times New Roman" w:cs="Times New Roman"/>
                <w:sz w:val="18"/>
                <w:szCs w:val="18"/>
                <w:lang w:val="en-GB" w:eastAsia="en-GB"/>
              </w:rPr>
            </w:pPr>
            <w:r>
              <w:rPr>
                <w:rFonts w:ascii="Times New Roman" w:hAnsi="Times New Roman" w:cs="Times New Roman"/>
                <w:sz w:val="18"/>
                <w:szCs w:val="18"/>
                <w:lang w:val="en-GB" w:eastAsia="en-GB"/>
              </w:rPr>
              <w:t>-0.071</w:t>
            </w:r>
          </w:p>
          <w:p w14:paraId="51AE321F" w14:textId="3EAAA51D" w:rsidR="00AB1527" w:rsidRPr="00AA4763" w:rsidRDefault="00AB1527" w:rsidP="008E4E1C">
            <w:pPr>
              <w:pStyle w:val="NoSpacing"/>
              <w:spacing w:line="360" w:lineRule="auto"/>
              <w:jc w:val="both"/>
              <w:rPr>
                <w:rFonts w:ascii="Times New Roman" w:hAnsi="Times New Roman" w:cs="Times New Roman"/>
                <w:sz w:val="18"/>
                <w:szCs w:val="18"/>
              </w:rPr>
            </w:pPr>
            <w:r w:rsidRPr="00AA4763">
              <w:rPr>
                <w:rFonts w:ascii="Times New Roman" w:hAnsi="Times New Roman" w:cs="Times New Roman"/>
                <w:sz w:val="18"/>
                <w:szCs w:val="18"/>
              </w:rPr>
              <w:t>(</w:t>
            </w:r>
            <w:r>
              <w:rPr>
                <w:rFonts w:ascii="Times New Roman" w:hAnsi="Times New Roman" w:cs="Times New Roman"/>
                <w:sz w:val="18"/>
                <w:szCs w:val="18"/>
                <w:lang w:val="en-GB" w:eastAsia="en-GB"/>
              </w:rPr>
              <w:t>0.049</w:t>
            </w:r>
            <w:r w:rsidRPr="00AA4763">
              <w:rPr>
                <w:rFonts w:ascii="Times New Roman" w:hAnsi="Times New Roman" w:cs="Times New Roman"/>
                <w:sz w:val="18"/>
                <w:szCs w:val="18"/>
              </w:rPr>
              <w:t>)</w:t>
            </w:r>
          </w:p>
        </w:tc>
        <w:tc>
          <w:tcPr>
            <w:tcW w:w="1021" w:type="dxa"/>
            <w:shd w:val="clear" w:color="auto" w:fill="auto"/>
          </w:tcPr>
          <w:p w14:paraId="22C5C1FB" w14:textId="77777777" w:rsidR="00AB1527" w:rsidRPr="00AA4763" w:rsidRDefault="00AB1527" w:rsidP="008E4E1C">
            <w:pPr>
              <w:pStyle w:val="NoSpacing"/>
              <w:spacing w:line="360" w:lineRule="auto"/>
              <w:jc w:val="both"/>
              <w:rPr>
                <w:rFonts w:ascii="Times New Roman" w:hAnsi="Times New Roman" w:cs="Times New Roman"/>
                <w:sz w:val="18"/>
                <w:szCs w:val="18"/>
              </w:rPr>
            </w:pPr>
            <w:r w:rsidRPr="00AA4763">
              <w:rPr>
                <w:rFonts w:ascii="Times New Roman" w:hAnsi="Times New Roman" w:cs="Times New Roman"/>
                <w:sz w:val="18"/>
                <w:szCs w:val="18"/>
                <w:lang w:val="en-GB" w:eastAsia="en-GB"/>
              </w:rPr>
              <w:t>0.</w:t>
            </w:r>
            <w:r>
              <w:rPr>
                <w:rFonts w:ascii="Times New Roman" w:hAnsi="Times New Roman" w:cs="Times New Roman"/>
                <w:sz w:val="18"/>
                <w:szCs w:val="18"/>
                <w:lang w:val="en-GB" w:eastAsia="en-GB"/>
              </w:rPr>
              <w:t>055</w:t>
            </w:r>
          </w:p>
          <w:p w14:paraId="17AF712F" w14:textId="77777777" w:rsidR="00AB1527" w:rsidRPr="00AA4763" w:rsidRDefault="00AB1527" w:rsidP="008E4E1C">
            <w:pPr>
              <w:pStyle w:val="NoSpacing"/>
              <w:spacing w:line="360" w:lineRule="auto"/>
              <w:jc w:val="both"/>
              <w:rPr>
                <w:rFonts w:ascii="Times New Roman" w:hAnsi="Times New Roman" w:cs="Times New Roman"/>
                <w:sz w:val="18"/>
                <w:szCs w:val="18"/>
              </w:rPr>
            </w:pPr>
            <w:r w:rsidRPr="00AA4763">
              <w:rPr>
                <w:rFonts w:ascii="Times New Roman" w:hAnsi="Times New Roman" w:cs="Times New Roman"/>
                <w:sz w:val="18"/>
                <w:szCs w:val="18"/>
              </w:rPr>
              <w:t>(</w:t>
            </w:r>
            <w:r>
              <w:rPr>
                <w:rFonts w:ascii="Times New Roman" w:hAnsi="Times New Roman" w:cs="Times New Roman"/>
                <w:sz w:val="18"/>
                <w:szCs w:val="18"/>
                <w:lang w:val="en-GB" w:eastAsia="en-GB"/>
              </w:rPr>
              <w:t>0.046</w:t>
            </w:r>
            <w:r w:rsidRPr="00AA4763">
              <w:rPr>
                <w:rFonts w:ascii="Times New Roman" w:hAnsi="Times New Roman" w:cs="Times New Roman"/>
                <w:sz w:val="18"/>
                <w:szCs w:val="18"/>
              </w:rPr>
              <w:t>)</w:t>
            </w:r>
          </w:p>
        </w:tc>
      </w:tr>
      <w:tr w:rsidR="00AB1527" w:rsidRPr="00AA4763" w14:paraId="1B8C12A8" w14:textId="77777777" w:rsidTr="003D2875">
        <w:tc>
          <w:tcPr>
            <w:tcW w:w="3510" w:type="dxa"/>
            <w:shd w:val="clear" w:color="auto" w:fill="auto"/>
          </w:tcPr>
          <w:p w14:paraId="4F8BDC6D" w14:textId="77777777" w:rsidR="00AB1527" w:rsidRPr="00AA4763" w:rsidRDefault="00AB1527" w:rsidP="008E4E1C">
            <w:pPr>
              <w:pStyle w:val="NoSpacing"/>
              <w:spacing w:line="360" w:lineRule="auto"/>
              <w:jc w:val="both"/>
              <w:rPr>
                <w:rFonts w:ascii="Times New Roman" w:hAnsi="Times New Roman" w:cs="Times New Roman"/>
                <w:sz w:val="18"/>
                <w:szCs w:val="18"/>
              </w:rPr>
            </w:pPr>
            <w:r>
              <w:rPr>
                <w:rFonts w:ascii="Times New Roman" w:hAnsi="Times New Roman" w:cs="Times New Roman"/>
                <w:sz w:val="18"/>
                <w:szCs w:val="18"/>
              </w:rPr>
              <w:t xml:space="preserve">Lagged </w:t>
            </w:r>
            <w:r w:rsidRPr="00023145">
              <w:rPr>
                <w:rFonts w:ascii="Times New Roman" w:hAnsi="Times New Roman" w:cs="Times New Roman"/>
                <w:sz w:val="18"/>
                <w:szCs w:val="18"/>
              </w:rPr>
              <w:t>Growth in government consumption</w:t>
            </w:r>
          </w:p>
        </w:tc>
        <w:tc>
          <w:tcPr>
            <w:tcW w:w="1985" w:type="dxa"/>
            <w:shd w:val="clear" w:color="auto" w:fill="auto"/>
          </w:tcPr>
          <w:p w14:paraId="4394216E" w14:textId="338D2240" w:rsidR="00AB1527" w:rsidRPr="00AA4763" w:rsidRDefault="00AB1527" w:rsidP="008E4E1C">
            <w:pPr>
              <w:pStyle w:val="NoSpacing"/>
              <w:spacing w:line="360" w:lineRule="auto"/>
              <w:jc w:val="both"/>
              <w:rPr>
                <w:rFonts w:ascii="Times New Roman" w:hAnsi="Times New Roman" w:cs="Times New Roman"/>
                <w:sz w:val="18"/>
                <w:szCs w:val="18"/>
                <w:lang w:val="en-GB" w:eastAsia="en-GB"/>
              </w:rPr>
            </w:pPr>
            <w:r>
              <w:rPr>
                <w:rFonts w:ascii="Times New Roman" w:hAnsi="Times New Roman" w:cs="Times New Roman"/>
                <w:sz w:val="18"/>
                <w:szCs w:val="18"/>
                <w:lang w:val="en-GB" w:eastAsia="en-GB"/>
              </w:rPr>
              <w:t>0.0002***</w:t>
            </w:r>
          </w:p>
          <w:p w14:paraId="24D35F04" w14:textId="5142FEE3" w:rsidR="00AB1527" w:rsidRPr="00AA4763" w:rsidRDefault="00AB1527" w:rsidP="008E4E1C">
            <w:pPr>
              <w:pStyle w:val="NoSpacing"/>
              <w:spacing w:line="360" w:lineRule="auto"/>
              <w:jc w:val="both"/>
              <w:rPr>
                <w:rFonts w:ascii="Times New Roman" w:hAnsi="Times New Roman" w:cs="Times New Roman"/>
                <w:sz w:val="18"/>
                <w:szCs w:val="18"/>
              </w:rPr>
            </w:pPr>
            <w:r>
              <w:rPr>
                <w:rFonts w:ascii="Times New Roman" w:hAnsi="Times New Roman" w:cs="Times New Roman"/>
                <w:sz w:val="18"/>
                <w:szCs w:val="18"/>
              </w:rPr>
              <w:t>(0.000</w:t>
            </w:r>
            <w:r w:rsidRPr="00AA4763">
              <w:rPr>
                <w:rFonts w:ascii="Times New Roman" w:hAnsi="Times New Roman" w:cs="Times New Roman"/>
                <w:sz w:val="18"/>
                <w:szCs w:val="18"/>
              </w:rPr>
              <w:t>)</w:t>
            </w:r>
          </w:p>
        </w:tc>
        <w:tc>
          <w:tcPr>
            <w:tcW w:w="1021" w:type="dxa"/>
            <w:shd w:val="clear" w:color="auto" w:fill="auto"/>
          </w:tcPr>
          <w:p w14:paraId="5BF0DF10" w14:textId="77777777" w:rsidR="00AB1527" w:rsidRPr="00AA4763" w:rsidRDefault="00AB1527" w:rsidP="008E4E1C">
            <w:pPr>
              <w:pStyle w:val="NoSpacing"/>
              <w:spacing w:line="360" w:lineRule="auto"/>
              <w:jc w:val="both"/>
              <w:rPr>
                <w:rFonts w:ascii="Times New Roman" w:hAnsi="Times New Roman" w:cs="Times New Roman"/>
                <w:sz w:val="18"/>
                <w:szCs w:val="18"/>
                <w:lang w:val="en-GB" w:eastAsia="en-GB"/>
              </w:rPr>
            </w:pPr>
            <w:r>
              <w:rPr>
                <w:rFonts w:ascii="Times New Roman" w:hAnsi="Times New Roman" w:cs="Times New Roman"/>
                <w:sz w:val="18"/>
                <w:szCs w:val="18"/>
                <w:lang w:val="en-GB" w:eastAsia="en-GB"/>
              </w:rPr>
              <w:t>0.003***</w:t>
            </w:r>
          </w:p>
          <w:p w14:paraId="42AA5502" w14:textId="12393970" w:rsidR="00AB1527" w:rsidRPr="00AA4763" w:rsidRDefault="00AB1527" w:rsidP="008E4E1C">
            <w:pPr>
              <w:pStyle w:val="NoSpacing"/>
              <w:spacing w:line="360" w:lineRule="auto"/>
              <w:jc w:val="both"/>
              <w:rPr>
                <w:rFonts w:ascii="Times New Roman" w:hAnsi="Times New Roman" w:cs="Times New Roman"/>
                <w:sz w:val="18"/>
                <w:szCs w:val="18"/>
              </w:rPr>
            </w:pPr>
            <w:r>
              <w:rPr>
                <w:rFonts w:ascii="Times New Roman" w:hAnsi="Times New Roman" w:cs="Times New Roman"/>
                <w:sz w:val="18"/>
                <w:szCs w:val="18"/>
              </w:rPr>
              <w:t>(0.0008</w:t>
            </w:r>
            <w:r w:rsidRPr="00AA4763">
              <w:rPr>
                <w:rFonts w:ascii="Times New Roman" w:hAnsi="Times New Roman" w:cs="Times New Roman"/>
                <w:sz w:val="18"/>
                <w:szCs w:val="18"/>
              </w:rPr>
              <w:t>)</w:t>
            </w:r>
          </w:p>
        </w:tc>
      </w:tr>
      <w:tr w:rsidR="00AB1527" w:rsidRPr="00AA4763" w14:paraId="44F9AC44" w14:textId="77777777" w:rsidTr="003D2875">
        <w:tc>
          <w:tcPr>
            <w:tcW w:w="3510" w:type="dxa"/>
            <w:tcBorders>
              <w:bottom w:val="double" w:sz="4" w:space="0" w:color="auto"/>
            </w:tcBorders>
            <w:shd w:val="clear" w:color="auto" w:fill="auto"/>
          </w:tcPr>
          <w:p w14:paraId="67B48435" w14:textId="77777777" w:rsidR="00AB1527" w:rsidRPr="00AA4763" w:rsidRDefault="00AB1527" w:rsidP="008E4E1C">
            <w:pPr>
              <w:pStyle w:val="NoSpacing"/>
              <w:spacing w:line="360" w:lineRule="auto"/>
              <w:jc w:val="both"/>
              <w:rPr>
                <w:rFonts w:ascii="Times New Roman" w:hAnsi="Times New Roman" w:cs="Times New Roman"/>
                <w:sz w:val="18"/>
                <w:szCs w:val="18"/>
              </w:rPr>
            </w:pPr>
            <w:r w:rsidRPr="00023145">
              <w:rPr>
                <w:rFonts w:ascii="Times New Roman" w:hAnsi="Times New Roman" w:cs="Times New Roman"/>
                <w:sz w:val="18"/>
                <w:szCs w:val="18"/>
              </w:rPr>
              <w:t xml:space="preserve">Lagged </w:t>
            </w:r>
            <w:r>
              <w:rPr>
                <w:rFonts w:ascii="Times New Roman" w:hAnsi="Times New Roman" w:cs="Times New Roman"/>
                <w:sz w:val="18"/>
                <w:szCs w:val="18"/>
              </w:rPr>
              <w:t>net FDI inflows to GDP</w:t>
            </w:r>
          </w:p>
        </w:tc>
        <w:tc>
          <w:tcPr>
            <w:tcW w:w="1985" w:type="dxa"/>
            <w:tcBorders>
              <w:bottom w:val="double" w:sz="4" w:space="0" w:color="auto"/>
            </w:tcBorders>
            <w:shd w:val="clear" w:color="auto" w:fill="auto"/>
          </w:tcPr>
          <w:p w14:paraId="1340C28B" w14:textId="77777777" w:rsidR="00AB1527" w:rsidRPr="00AA4763" w:rsidRDefault="00AB1527" w:rsidP="008E4E1C">
            <w:pPr>
              <w:pStyle w:val="NoSpacing"/>
              <w:spacing w:line="360" w:lineRule="auto"/>
              <w:jc w:val="both"/>
              <w:rPr>
                <w:rFonts w:ascii="Times New Roman" w:hAnsi="Times New Roman" w:cs="Times New Roman"/>
                <w:sz w:val="18"/>
                <w:szCs w:val="18"/>
              </w:rPr>
            </w:pPr>
            <w:r>
              <w:rPr>
                <w:rFonts w:ascii="Times New Roman" w:hAnsi="Times New Roman" w:cs="Times New Roman"/>
                <w:sz w:val="18"/>
                <w:szCs w:val="18"/>
                <w:lang w:val="en-GB" w:eastAsia="en-GB"/>
              </w:rPr>
              <w:t>0.038</w:t>
            </w:r>
          </w:p>
          <w:p w14:paraId="36740771" w14:textId="6A424948" w:rsidR="00AB1527" w:rsidRPr="00AA4763" w:rsidRDefault="00AB1527" w:rsidP="008E4E1C">
            <w:pPr>
              <w:pStyle w:val="NoSpacing"/>
              <w:spacing w:line="360" w:lineRule="auto"/>
              <w:jc w:val="both"/>
              <w:rPr>
                <w:rFonts w:ascii="Times New Roman" w:hAnsi="Times New Roman" w:cs="Times New Roman"/>
                <w:sz w:val="18"/>
                <w:szCs w:val="18"/>
              </w:rPr>
            </w:pPr>
            <w:r w:rsidRPr="00AA4763">
              <w:rPr>
                <w:rFonts w:ascii="Times New Roman" w:hAnsi="Times New Roman" w:cs="Times New Roman"/>
                <w:sz w:val="18"/>
                <w:szCs w:val="18"/>
              </w:rPr>
              <w:t>(</w:t>
            </w:r>
            <w:r>
              <w:rPr>
                <w:rFonts w:ascii="Times New Roman" w:hAnsi="Times New Roman" w:cs="Times New Roman"/>
                <w:sz w:val="18"/>
                <w:szCs w:val="18"/>
                <w:lang w:val="en-GB" w:eastAsia="en-GB"/>
              </w:rPr>
              <w:t>0.024</w:t>
            </w:r>
            <w:r w:rsidRPr="00AA4763">
              <w:rPr>
                <w:rFonts w:ascii="Times New Roman" w:hAnsi="Times New Roman" w:cs="Times New Roman"/>
                <w:sz w:val="18"/>
                <w:szCs w:val="18"/>
              </w:rPr>
              <w:t>)</w:t>
            </w:r>
          </w:p>
        </w:tc>
        <w:tc>
          <w:tcPr>
            <w:tcW w:w="1021" w:type="dxa"/>
            <w:tcBorders>
              <w:bottom w:val="double" w:sz="4" w:space="0" w:color="auto"/>
            </w:tcBorders>
            <w:shd w:val="clear" w:color="auto" w:fill="auto"/>
          </w:tcPr>
          <w:p w14:paraId="1C4E55B1" w14:textId="0C023A4F" w:rsidR="00AB1527" w:rsidRPr="00AA4763" w:rsidRDefault="00AB1527" w:rsidP="008E4E1C">
            <w:pPr>
              <w:pStyle w:val="NoSpacing"/>
              <w:spacing w:line="360" w:lineRule="auto"/>
              <w:jc w:val="both"/>
              <w:rPr>
                <w:rFonts w:ascii="Times New Roman" w:hAnsi="Times New Roman" w:cs="Times New Roman"/>
                <w:sz w:val="18"/>
                <w:szCs w:val="18"/>
              </w:rPr>
            </w:pPr>
            <w:r>
              <w:rPr>
                <w:rFonts w:ascii="Times New Roman" w:hAnsi="Times New Roman" w:cs="Times New Roman"/>
                <w:sz w:val="18"/>
                <w:szCs w:val="18"/>
              </w:rPr>
              <w:t>-0.017</w:t>
            </w:r>
          </w:p>
          <w:p w14:paraId="043A2066" w14:textId="77777777" w:rsidR="00AB1527" w:rsidRPr="00AA4763" w:rsidRDefault="00AB1527" w:rsidP="008E4E1C">
            <w:pPr>
              <w:pStyle w:val="NoSpacing"/>
              <w:spacing w:line="360" w:lineRule="auto"/>
              <w:jc w:val="both"/>
              <w:rPr>
                <w:rFonts w:ascii="Times New Roman" w:hAnsi="Times New Roman" w:cs="Times New Roman"/>
                <w:sz w:val="18"/>
                <w:szCs w:val="18"/>
              </w:rPr>
            </w:pPr>
            <w:r>
              <w:rPr>
                <w:rFonts w:ascii="Times New Roman" w:hAnsi="Times New Roman" w:cs="Times New Roman"/>
                <w:sz w:val="18"/>
                <w:szCs w:val="18"/>
              </w:rPr>
              <w:t>(0.013</w:t>
            </w:r>
            <w:r w:rsidRPr="00AA4763">
              <w:rPr>
                <w:rFonts w:ascii="Times New Roman" w:hAnsi="Times New Roman" w:cs="Times New Roman"/>
                <w:sz w:val="18"/>
                <w:szCs w:val="18"/>
              </w:rPr>
              <w:t>)</w:t>
            </w:r>
          </w:p>
        </w:tc>
      </w:tr>
    </w:tbl>
    <w:p w14:paraId="395283EC" w14:textId="77777777" w:rsidR="00AB1527" w:rsidRDefault="00AB1527" w:rsidP="008E4E1C">
      <w:pPr>
        <w:spacing w:after="0" w:line="360" w:lineRule="auto"/>
        <w:jc w:val="both"/>
        <w:rPr>
          <w:rFonts w:ascii="Times New Roman" w:hAnsi="Times New Roman"/>
          <w:sz w:val="16"/>
          <w:szCs w:val="16"/>
        </w:rPr>
      </w:pPr>
      <w:r w:rsidRPr="00F22904">
        <w:rPr>
          <w:rFonts w:ascii="Times New Roman" w:hAnsi="Times New Roman"/>
          <w:sz w:val="16"/>
          <w:szCs w:val="16"/>
        </w:rPr>
        <w:t xml:space="preserve">Note: ***, **,* denote 1%, 5% and 10 % respectively. Standard errors in parentheses are corrected for </w:t>
      </w:r>
      <w:r>
        <w:rPr>
          <w:rFonts w:ascii="Times New Roman" w:hAnsi="Times New Roman"/>
          <w:sz w:val="16"/>
          <w:szCs w:val="16"/>
        </w:rPr>
        <w:t>heteroscedasticity</w:t>
      </w:r>
    </w:p>
    <w:p w14:paraId="2D9BB8B2" w14:textId="77777777" w:rsidR="00AB1527" w:rsidRDefault="00AB1527" w:rsidP="008E4E1C">
      <w:pPr>
        <w:spacing w:after="200" w:line="360" w:lineRule="auto"/>
        <w:jc w:val="both"/>
        <w:rPr>
          <w:rFonts w:ascii="Times New Roman" w:hAnsi="Times New Roman"/>
          <w:b/>
          <w:sz w:val="24"/>
          <w:szCs w:val="24"/>
        </w:rPr>
      </w:pPr>
      <w:r>
        <w:rPr>
          <w:rFonts w:ascii="Times New Roman" w:hAnsi="Times New Roman"/>
          <w:b/>
          <w:sz w:val="24"/>
          <w:szCs w:val="24"/>
        </w:rPr>
        <w:br w:type="page"/>
      </w:r>
    </w:p>
    <w:p w14:paraId="16A51780" w14:textId="72FA3D19" w:rsidR="00B07290" w:rsidRDefault="00B07290" w:rsidP="00EC79BA">
      <w:pPr>
        <w:pStyle w:val="Heading1"/>
      </w:pPr>
      <w:bookmarkStart w:id="57" w:name="_Toc501031499"/>
      <w:r>
        <w:lastRenderedPageBreak/>
        <w:t>CHAPTER SIX</w:t>
      </w:r>
      <w:bookmarkEnd w:id="57"/>
    </w:p>
    <w:p w14:paraId="57B8A143" w14:textId="77777777" w:rsidR="00AB1527" w:rsidRDefault="00AB1527" w:rsidP="00EC79BA">
      <w:pPr>
        <w:pStyle w:val="Heading1"/>
      </w:pPr>
      <w:bookmarkStart w:id="58" w:name="_Toc501031500"/>
      <w:r>
        <w:t>CONCLUSION</w:t>
      </w:r>
      <w:bookmarkEnd w:id="58"/>
    </w:p>
    <w:p w14:paraId="610F71F6" w14:textId="77777777" w:rsidR="00AB1527" w:rsidRDefault="00AB1527" w:rsidP="00EC79BA">
      <w:pPr>
        <w:pStyle w:val="Heading2"/>
      </w:pPr>
      <w:bookmarkStart w:id="59" w:name="_Toc501031501"/>
      <w:r>
        <w:t>6.1 Summary of Findings</w:t>
      </w:r>
      <w:bookmarkEnd w:id="59"/>
    </w:p>
    <w:p w14:paraId="2893D66A" w14:textId="4C83926F" w:rsidR="00AB1527" w:rsidRDefault="00AB1527" w:rsidP="008E4E1C">
      <w:pPr>
        <w:spacing w:after="0" w:line="360" w:lineRule="auto"/>
        <w:jc w:val="both"/>
        <w:rPr>
          <w:rFonts w:ascii="Times New Roman" w:hAnsi="Times New Roman"/>
          <w:sz w:val="24"/>
          <w:szCs w:val="24"/>
        </w:rPr>
      </w:pPr>
      <w:r w:rsidRPr="00473A9E">
        <w:rPr>
          <w:rFonts w:ascii="Times New Roman" w:hAnsi="Times New Roman"/>
          <w:sz w:val="24"/>
          <w:szCs w:val="24"/>
        </w:rPr>
        <w:t xml:space="preserve">Over the past few decades, </w:t>
      </w:r>
      <w:r>
        <w:rPr>
          <w:rFonts w:ascii="Times New Roman" w:hAnsi="Times New Roman"/>
          <w:sz w:val="24"/>
          <w:szCs w:val="24"/>
        </w:rPr>
        <w:t>policy makers in most developing and emerging market economies have pursued wide-ranging structural reforms to promote the development of financial sectors in these economies and stimulate economies. While there is a growing body of research on the relationship between financial development and economic growth, there is scarce literature on the impact of increasing financial deepening on TFP growth. This study has hypothesized that that is a nonlinear relationship between financial deepening and TFP growth, and financial deepening weakens TFP growth above a threshold level of financial depth. By exploring the nonlinearities in the underlying relationships, this thesis contributes to the empirical literature by establishing the threshold level of financial deepening beyond which increasing financial depth weakens its direct effect on the TFP growth.</w:t>
      </w:r>
    </w:p>
    <w:p w14:paraId="4A957780" w14:textId="77777777" w:rsidR="00AB1527" w:rsidRDefault="00AB1527" w:rsidP="008E4E1C">
      <w:pPr>
        <w:spacing w:after="0" w:line="360" w:lineRule="auto"/>
        <w:jc w:val="both"/>
        <w:rPr>
          <w:rFonts w:ascii="Times New Roman" w:hAnsi="Times New Roman"/>
          <w:sz w:val="24"/>
          <w:szCs w:val="24"/>
        </w:rPr>
      </w:pPr>
    </w:p>
    <w:p w14:paraId="63163EEB" w14:textId="7B12116E" w:rsidR="00AB1527" w:rsidRDefault="00AB1527" w:rsidP="008E4E1C">
      <w:pPr>
        <w:spacing w:after="0" w:line="360" w:lineRule="auto"/>
        <w:jc w:val="both"/>
        <w:rPr>
          <w:rFonts w:ascii="Times New Roman" w:hAnsi="Times New Roman"/>
          <w:sz w:val="24"/>
          <w:szCs w:val="24"/>
        </w:rPr>
      </w:pPr>
      <w:r>
        <w:rPr>
          <w:rFonts w:ascii="Times New Roman" w:hAnsi="Times New Roman"/>
          <w:sz w:val="24"/>
          <w:szCs w:val="24"/>
        </w:rPr>
        <w:t>To establish such a relationship, a Panel Smooth Transition regression model is estimated, which clearly captures the heterogeneity in the effect of financial deepening on TFP growth across countries and over periods of time. Considering a balanced sample of 21 emerging market economies over the period 1996–2014, the results showed strong support for the presence of a nonlinear relationship between a linear relationship between financial depth and TFP growth. The existence of such a nonlinear relationship indicates that the effect of financial deepening on TFP growth varies across countries and over periods of time. Given this finding, a Panel Smooth Transition Regression (PSTR) is estimated to capture such heterogeneity in the data.</w:t>
      </w:r>
    </w:p>
    <w:p w14:paraId="677899E8" w14:textId="77777777" w:rsidR="00AB1527" w:rsidRPr="00475189" w:rsidRDefault="00AB1527" w:rsidP="008E4E1C">
      <w:pPr>
        <w:spacing w:after="0" w:line="360" w:lineRule="auto"/>
        <w:jc w:val="both"/>
        <w:rPr>
          <w:rFonts w:ascii="Times New Roman" w:hAnsi="Times New Roman"/>
          <w:sz w:val="16"/>
          <w:szCs w:val="16"/>
        </w:rPr>
      </w:pPr>
    </w:p>
    <w:p w14:paraId="18B53FA3" w14:textId="77777777" w:rsidR="00AB1527" w:rsidRDefault="00AB1527" w:rsidP="008E4E1C">
      <w:pPr>
        <w:spacing w:after="0" w:line="360" w:lineRule="auto"/>
        <w:jc w:val="both"/>
        <w:rPr>
          <w:rFonts w:ascii="Times New Roman" w:hAnsi="Times New Roman"/>
          <w:sz w:val="24"/>
          <w:szCs w:val="24"/>
        </w:rPr>
      </w:pPr>
      <w:r>
        <w:rPr>
          <w:rFonts w:ascii="Times New Roman" w:hAnsi="Times New Roman"/>
          <w:sz w:val="24"/>
          <w:szCs w:val="24"/>
        </w:rPr>
        <w:t xml:space="preserve">The results reveal remarkably consistent finding that the relationship between financial deepening and TFP growth follows an inverted U-curve in the emerging markets economies. The study shows that financial depth enhances the TFP growth when credit to the private sector is below the threshold of 68.3 percent. TFP growth is significantly weakened when credit to the private sector exceeds this threshold. In the same vein, the effect of financial depth on TFP growth is positive when the ratio of stocks traded to GDP is below the threshold of 7.33 percent and dampens above the threshold. Overall, </w:t>
      </w:r>
      <w:r>
        <w:rPr>
          <w:rFonts w:ascii="Times New Roman" w:hAnsi="Times New Roman"/>
          <w:sz w:val="24"/>
          <w:szCs w:val="24"/>
        </w:rPr>
        <w:lastRenderedPageBreak/>
        <w:t>there is strong evidence in support of the hypothesis that the relationship between financial deepening and productivity growth follows an inverted U-shape.</w:t>
      </w:r>
    </w:p>
    <w:p w14:paraId="7C570855" w14:textId="77777777" w:rsidR="00AB1527" w:rsidRDefault="00AB1527" w:rsidP="008E4E1C">
      <w:pPr>
        <w:spacing w:after="0" w:line="360" w:lineRule="auto"/>
        <w:jc w:val="both"/>
        <w:rPr>
          <w:rFonts w:ascii="Times New Roman" w:hAnsi="Times New Roman"/>
          <w:sz w:val="24"/>
          <w:szCs w:val="24"/>
        </w:rPr>
      </w:pPr>
    </w:p>
    <w:p w14:paraId="31E7A6F5" w14:textId="77777777" w:rsidR="00AB1527" w:rsidRDefault="00AB1527" w:rsidP="00EC79BA">
      <w:pPr>
        <w:pStyle w:val="Heading2"/>
      </w:pPr>
      <w:bookmarkStart w:id="60" w:name="_Toc501031502"/>
      <w:r>
        <w:t>6.2 Policy Recommendations</w:t>
      </w:r>
      <w:bookmarkEnd w:id="60"/>
    </w:p>
    <w:p w14:paraId="1EFCC512" w14:textId="6E958CD4" w:rsidR="00AB1527" w:rsidRDefault="00AB1527" w:rsidP="008E4E1C">
      <w:pPr>
        <w:spacing w:after="0" w:line="360" w:lineRule="auto"/>
        <w:jc w:val="both"/>
        <w:rPr>
          <w:rFonts w:ascii="Times New Roman" w:hAnsi="Times New Roman"/>
          <w:sz w:val="24"/>
          <w:szCs w:val="24"/>
        </w:rPr>
      </w:pPr>
      <w:r w:rsidRPr="00CF755D">
        <w:rPr>
          <w:rFonts w:ascii="Times New Roman" w:hAnsi="Times New Roman"/>
          <w:sz w:val="24"/>
          <w:szCs w:val="24"/>
        </w:rPr>
        <w:t xml:space="preserve">There </w:t>
      </w:r>
      <w:r>
        <w:rPr>
          <w:rFonts w:ascii="Times New Roman" w:hAnsi="Times New Roman"/>
          <w:sz w:val="24"/>
          <w:szCs w:val="24"/>
        </w:rPr>
        <w:t>are important policy implications for emerging market economies. The results suggest that increasing financial deepening beyond certain thresholds will contribute to the dampening of productivity growth. This implies that at higher levels of financial developments, policy efforts should be directed towards improving other components of financial development, such as increasing access to financial services and improving efficiency in the delivery of financial services. Achieving these two policy objectives is important to facilitate inclusive finance and improve productivity for more sustainable growth of these economies.</w:t>
      </w:r>
    </w:p>
    <w:p w14:paraId="622102A0" w14:textId="77777777" w:rsidR="00AB1527" w:rsidRPr="00487CC3" w:rsidRDefault="00AB1527" w:rsidP="008E4E1C">
      <w:pPr>
        <w:spacing w:after="0" w:line="360" w:lineRule="auto"/>
        <w:jc w:val="both"/>
        <w:rPr>
          <w:rFonts w:ascii="Times New Roman" w:hAnsi="Times New Roman"/>
          <w:sz w:val="16"/>
          <w:szCs w:val="16"/>
        </w:rPr>
      </w:pPr>
    </w:p>
    <w:p w14:paraId="276EB215" w14:textId="4BFAC574" w:rsidR="00AB1527" w:rsidRDefault="00AB1527" w:rsidP="008E4E1C">
      <w:pPr>
        <w:spacing w:after="0" w:line="360" w:lineRule="auto"/>
        <w:jc w:val="both"/>
        <w:rPr>
          <w:rFonts w:ascii="Times New Roman" w:hAnsi="Times New Roman"/>
          <w:sz w:val="24"/>
          <w:szCs w:val="24"/>
        </w:rPr>
      </w:pPr>
      <w:r>
        <w:rPr>
          <w:rFonts w:ascii="Times New Roman" w:hAnsi="Times New Roman"/>
          <w:sz w:val="24"/>
          <w:szCs w:val="24"/>
        </w:rPr>
        <w:t>This study provides important directions for future research. This thesis has only considered the effect of financial deepening on TFP growth while the other components, such as access and efficiency were unexplored. A useful extension of this study is to explore the effect of these components of financial development on TFP growth in developing and emerging market economies.</w:t>
      </w:r>
      <w:r>
        <w:rPr>
          <w:rFonts w:ascii="Times New Roman" w:hAnsi="Times New Roman"/>
          <w:sz w:val="24"/>
          <w:szCs w:val="24"/>
        </w:rPr>
        <w:br w:type="page"/>
      </w:r>
    </w:p>
    <w:bookmarkStart w:id="61" w:name="_Toc501031503" w:displacedByCustomXml="next"/>
    <w:sdt>
      <w:sdtPr>
        <w:rPr>
          <w:rFonts w:asciiTheme="minorHAnsi" w:eastAsiaTheme="minorHAnsi" w:hAnsiTheme="minorHAnsi" w:cstheme="minorBidi"/>
          <w:b w:val="0"/>
          <w:bCs w:val="0"/>
          <w:sz w:val="22"/>
          <w:szCs w:val="22"/>
          <w:lang w:eastAsia="en-US"/>
        </w:rPr>
        <w:id w:val="-1031717511"/>
        <w:docPartObj>
          <w:docPartGallery w:val="Bibliographies"/>
          <w:docPartUnique/>
        </w:docPartObj>
      </w:sdtPr>
      <w:sdtEndPr/>
      <w:sdtContent>
        <w:p w14:paraId="5CB29011" w14:textId="6C8B7972" w:rsidR="00AB1527" w:rsidRPr="0061324E" w:rsidRDefault="00AC0D70" w:rsidP="008E4E1C">
          <w:pPr>
            <w:pStyle w:val="Heading1"/>
            <w:jc w:val="both"/>
            <w:rPr>
              <w:rFonts w:eastAsiaTheme="minorHAnsi" w:cs="Times New Roman"/>
              <w:bCs w:val="0"/>
              <w:noProof/>
              <w:szCs w:val="24"/>
              <w:lang w:eastAsia="en-US"/>
            </w:rPr>
          </w:pPr>
          <w:r>
            <w:rPr>
              <w:rFonts w:eastAsiaTheme="minorHAnsi" w:cs="Times New Roman"/>
              <w:bCs w:val="0"/>
              <w:noProof/>
              <w:szCs w:val="24"/>
              <w:lang w:eastAsia="en-US"/>
            </w:rPr>
            <w:t>References</w:t>
          </w:r>
          <w:bookmarkEnd w:id="61"/>
        </w:p>
        <w:sdt>
          <w:sdtPr>
            <w:id w:val="111145805"/>
            <w:bibliography/>
          </w:sdtPr>
          <w:sdtEndPr/>
          <w:sdtContent>
            <w:p w14:paraId="494DBE1B" w14:textId="6E75C20A" w:rsidR="00AB1527" w:rsidRDefault="00AB1527" w:rsidP="008E4E1C">
              <w:pPr>
                <w:pStyle w:val="Bibliography"/>
                <w:ind w:left="720" w:hanging="720"/>
                <w:jc w:val="both"/>
                <w:rPr>
                  <w:noProof/>
                </w:rPr>
              </w:pPr>
              <w:r>
                <w:fldChar w:fldCharType="begin"/>
              </w:r>
              <w:r>
                <w:instrText xml:space="preserve"> BIBLIOGRAPHY </w:instrText>
              </w:r>
              <w:r>
                <w:fldChar w:fldCharType="separate"/>
              </w:r>
              <w:r>
                <w:rPr>
                  <w:noProof/>
                </w:rPr>
                <w:t xml:space="preserve">Adu, G., Marabuah, G., &amp; Mensah, J. T. (2013). Financial development and economic growth in Ghana: Does the measure of financial development matter? </w:t>
              </w:r>
              <w:r>
                <w:rPr>
                  <w:i/>
                  <w:iCs/>
                  <w:noProof/>
                </w:rPr>
                <w:t>Review of Development Finance, 3</w:t>
              </w:r>
              <w:r>
                <w:rPr>
                  <w:noProof/>
                </w:rPr>
                <w:t>, 192–203.</w:t>
              </w:r>
            </w:p>
            <w:p w14:paraId="4682FB28" w14:textId="36A1DDBD" w:rsidR="00AB1527" w:rsidRDefault="00AB1527" w:rsidP="008E4E1C">
              <w:pPr>
                <w:pStyle w:val="Bibliography"/>
                <w:ind w:left="720" w:hanging="720"/>
                <w:jc w:val="both"/>
                <w:rPr>
                  <w:noProof/>
                </w:rPr>
              </w:pPr>
              <w:r>
                <w:rPr>
                  <w:noProof/>
                </w:rPr>
                <w:t>Aizenman, J., Jinjarak, Y., &amp; Park, D. (2015). Financial development and output growth in developing Asia and Latin America: A comparative sector analysis. (NBER Working Paper 20917).</w:t>
              </w:r>
              <w:r w:rsidRPr="00924340">
                <w:rPr>
                  <w:i/>
                  <w:iCs/>
                  <w:noProof/>
                </w:rPr>
                <w:t xml:space="preserve"> </w:t>
              </w:r>
              <w:r w:rsidRPr="00946B79">
                <w:rPr>
                  <w:iCs/>
                  <w:noProof/>
                </w:rPr>
                <w:t>National Bureau of Economic Research</w:t>
              </w:r>
              <w:r>
                <w:rPr>
                  <w:noProof/>
                </w:rPr>
                <w:t>.</w:t>
              </w:r>
            </w:p>
            <w:p w14:paraId="29EA1635" w14:textId="7AC468E8" w:rsidR="00AB1527" w:rsidRDefault="00AB1527" w:rsidP="008E4E1C">
              <w:pPr>
                <w:pStyle w:val="Bibliography"/>
                <w:ind w:left="720" w:hanging="720"/>
                <w:jc w:val="both"/>
                <w:rPr>
                  <w:noProof/>
                </w:rPr>
              </w:pPr>
              <w:r>
                <w:rPr>
                  <w:noProof/>
                </w:rPr>
                <w:t xml:space="preserve">Alfaro, L., Kalemli-Ozcan, S., &amp; Sayek, S. (2009). FDI, Productivity and Financial Development. </w:t>
              </w:r>
              <w:r>
                <w:rPr>
                  <w:i/>
                  <w:iCs/>
                  <w:noProof/>
                </w:rPr>
                <w:t>The World Economy, 32</w:t>
              </w:r>
              <w:r>
                <w:rPr>
                  <w:noProof/>
                </w:rPr>
                <w:t>(1), 111–135.</w:t>
              </w:r>
            </w:p>
            <w:p w14:paraId="1462BF94" w14:textId="5BF996E6" w:rsidR="00AB1527" w:rsidRDefault="00AB1527" w:rsidP="008E4E1C">
              <w:pPr>
                <w:pStyle w:val="Bibliography"/>
                <w:ind w:left="720" w:hanging="720"/>
                <w:jc w:val="both"/>
                <w:rPr>
                  <w:noProof/>
                </w:rPr>
              </w:pPr>
              <w:r>
                <w:rPr>
                  <w:noProof/>
                </w:rPr>
                <w:t>Arcand, J.-L., Berkes, E., &amp; Panizza, U. (2012). Too Much Finance. (IMF Working Paper WP/12/161).</w:t>
              </w:r>
              <w:r w:rsidRPr="000866EF">
                <w:rPr>
                  <w:i/>
                  <w:iCs/>
                  <w:noProof/>
                </w:rPr>
                <w:t xml:space="preserve"> </w:t>
              </w:r>
              <w:r w:rsidRPr="00946B79">
                <w:rPr>
                  <w:iCs/>
                  <w:noProof/>
                </w:rPr>
                <w:t>International Monetary Fund</w:t>
              </w:r>
              <w:r>
                <w:rPr>
                  <w:noProof/>
                </w:rPr>
                <w:t>.</w:t>
              </w:r>
            </w:p>
            <w:p w14:paraId="2B5C5FD1" w14:textId="111ED0E5" w:rsidR="00AB1527" w:rsidRDefault="00AB1527" w:rsidP="008E4E1C">
              <w:pPr>
                <w:pStyle w:val="Bibliography"/>
                <w:ind w:left="720" w:hanging="720"/>
                <w:jc w:val="both"/>
                <w:rPr>
                  <w:noProof/>
                </w:rPr>
              </w:pPr>
              <w:r>
                <w:rPr>
                  <w:noProof/>
                </w:rPr>
                <w:t>Cecchetti, G., &amp; Kharroubi, E. (2012). Reassessing the Impact of Finance on Growth. (BIS Working Papers No. 381)</w:t>
              </w:r>
              <w:r w:rsidRPr="00946B79">
                <w:rPr>
                  <w:iCs/>
                  <w:noProof/>
                </w:rPr>
                <w:t xml:space="preserve"> Bank for International Settlements</w:t>
              </w:r>
              <w:r>
                <w:rPr>
                  <w:noProof/>
                </w:rPr>
                <w:t>.</w:t>
              </w:r>
            </w:p>
            <w:p w14:paraId="11D4A09B" w14:textId="6640A4C6" w:rsidR="00AB1527" w:rsidRDefault="00AB1527" w:rsidP="008E4E1C">
              <w:pPr>
                <w:pStyle w:val="Bibliography"/>
                <w:ind w:left="720" w:hanging="720"/>
                <w:jc w:val="both"/>
                <w:rPr>
                  <w:noProof/>
                </w:rPr>
              </w:pPr>
              <w:r>
                <w:rPr>
                  <w:noProof/>
                </w:rPr>
                <w:t>Dabla-Noris, E., &amp; Ho, G. K. (2016). Structural Reforms and Productivity Growth in Emerging Market and Developing Economies. (IMF Working Paper WP/16/15)</w:t>
              </w:r>
              <w:r w:rsidRPr="002252E8">
                <w:rPr>
                  <w:iCs/>
                  <w:noProof/>
                </w:rPr>
                <w:t xml:space="preserve"> </w:t>
              </w:r>
              <w:r w:rsidRPr="00C1390E">
                <w:rPr>
                  <w:iCs/>
                  <w:noProof/>
                </w:rPr>
                <w:t>International Monetary Fund</w:t>
              </w:r>
              <w:r>
                <w:rPr>
                  <w:noProof/>
                </w:rPr>
                <w:t>.</w:t>
              </w:r>
            </w:p>
            <w:p w14:paraId="25221F52" w14:textId="77777777" w:rsidR="00AB1527" w:rsidRDefault="00AB1527" w:rsidP="008E4E1C">
              <w:pPr>
                <w:pStyle w:val="Bibliography"/>
                <w:ind w:left="720" w:hanging="720"/>
                <w:jc w:val="both"/>
                <w:rPr>
                  <w:noProof/>
                </w:rPr>
              </w:pPr>
              <w:r>
                <w:rPr>
                  <w:noProof/>
                </w:rPr>
                <w:t xml:space="preserve">Das, D. (2008). </w:t>
              </w:r>
              <w:r w:rsidRPr="00946B79">
                <w:rPr>
                  <w:i/>
                  <w:noProof/>
                </w:rPr>
                <w:t>The role of financial intermediaries in promoting productivity growth-evidence from India</w:t>
              </w:r>
              <w:r>
                <w:rPr>
                  <w:noProof/>
                </w:rPr>
                <w:t xml:space="preserve">. </w:t>
              </w:r>
              <w:r w:rsidRPr="00946B79">
                <w:rPr>
                  <w:iCs/>
                  <w:noProof/>
                </w:rPr>
                <w:t>Reserve Bank of India</w:t>
              </w:r>
              <w:r>
                <w:rPr>
                  <w:noProof/>
                </w:rPr>
                <w:t>.</w:t>
              </w:r>
            </w:p>
            <w:p w14:paraId="29184B6E" w14:textId="58FE39FD" w:rsidR="00AB1527" w:rsidRDefault="00AB1527" w:rsidP="008E4E1C">
              <w:pPr>
                <w:pStyle w:val="Bibliography"/>
                <w:ind w:left="720" w:hanging="720"/>
                <w:jc w:val="both"/>
                <w:rPr>
                  <w:noProof/>
                </w:rPr>
              </w:pPr>
              <w:r>
                <w:rPr>
                  <w:noProof/>
                </w:rPr>
                <w:t xml:space="preserve">Demetriades, P., &amp; Hussein, 1. (1996). Does financial development cause economic growth? Time-series evidence from 16 countries. </w:t>
              </w:r>
              <w:r>
                <w:rPr>
                  <w:i/>
                  <w:iCs/>
                  <w:noProof/>
                </w:rPr>
                <w:t>Journal of Development Economics, 51</w:t>
              </w:r>
              <w:r>
                <w:rPr>
                  <w:noProof/>
                </w:rPr>
                <w:t>(2), 387–411.</w:t>
              </w:r>
            </w:p>
            <w:p w14:paraId="24128F1C" w14:textId="77777777" w:rsidR="00AB1527" w:rsidRDefault="00AB1527" w:rsidP="008E4E1C">
              <w:pPr>
                <w:pStyle w:val="Bibliography"/>
                <w:ind w:left="720" w:hanging="720"/>
                <w:jc w:val="both"/>
                <w:rPr>
                  <w:noProof/>
                </w:rPr>
              </w:pPr>
              <w:r>
                <w:rPr>
                  <w:noProof/>
                </w:rPr>
                <w:t xml:space="preserve">Demirguc-Kunt, A., &amp; Levine, R. (2001). </w:t>
              </w:r>
              <w:r>
                <w:rPr>
                  <w:i/>
                  <w:iCs/>
                  <w:noProof/>
                </w:rPr>
                <w:t>Financial structures and economic growth: A cross-country comparison of banks, markets and development.</w:t>
              </w:r>
              <w:r>
                <w:rPr>
                  <w:noProof/>
                </w:rPr>
                <w:t xml:space="preserve"> Cambrdge, MA: MIT Press.</w:t>
              </w:r>
            </w:p>
            <w:p w14:paraId="7708D7F8" w14:textId="1B9E168A" w:rsidR="00AB1527" w:rsidRDefault="00AB1527" w:rsidP="008E4E1C">
              <w:pPr>
                <w:pStyle w:val="Bibliography"/>
                <w:ind w:left="720" w:hanging="720"/>
                <w:jc w:val="both"/>
                <w:rPr>
                  <w:noProof/>
                </w:rPr>
              </w:pPr>
              <w:r>
                <w:rPr>
                  <w:noProof/>
                </w:rPr>
                <w:t>Eschenbach, F. (2004). Finance and Growth: A Survey of the Theoretical and Empirical Literature. (Discussion Paper TI 2004-039/2).</w:t>
              </w:r>
              <w:r w:rsidRPr="009F058B">
                <w:rPr>
                  <w:iCs/>
                  <w:noProof/>
                </w:rPr>
                <w:t xml:space="preserve"> </w:t>
              </w:r>
              <w:r w:rsidRPr="00C1390E">
                <w:rPr>
                  <w:iCs/>
                  <w:noProof/>
                </w:rPr>
                <w:t>Tinbergen Institute</w:t>
              </w:r>
              <w:r>
                <w:rPr>
                  <w:iCs/>
                  <w:noProof/>
                </w:rPr>
                <w:t>.</w:t>
              </w:r>
            </w:p>
            <w:p w14:paraId="29524B24" w14:textId="1AD35BA4" w:rsidR="00AB1527" w:rsidRDefault="00AB1527" w:rsidP="008E4E1C">
              <w:pPr>
                <w:pStyle w:val="Bibliography"/>
                <w:ind w:left="720" w:hanging="720"/>
                <w:jc w:val="both"/>
                <w:rPr>
                  <w:noProof/>
                </w:rPr>
              </w:pPr>
              <w:r>
                <w:rPr>
                  <w:noProof/>
                </w:rPr>
                <w:t>Gonzalez, A., Terassvirta, T., &amp; van Dijk, D. (2005). Panel smooth transition regression models. (Research Paper).</w:t>
              </w:r>
              <w:r w:rsidRPr="00813C88">
                <w:rPr>
                  <w:iCs/>
                  <w:noProof/>
                </w:rPr>
                <w:t xml:space="preserve"> </w:t>
              </w:r>
              <w:r w:rsidRPr="00D40679">
                <w:rPr>
                  <w:iCs/>
                  <w:noProof/>
                </w:rPr>
                <w:t>Quantitative Finance Research Centra, University of Technology, S</w:t>
              </w:r>
              <w:r>
                <w:rPr>
                  <w:iCs/>
                  <w:noProof/>
                </w:rPr>
                <w:t>y</w:t>
              </w:r>
              <w:r w:rsidRPr="00D40679">
                <w:rPr>
                  <w:iCs/>
                  <w:noProof/>
                </w:rPr>
                <w:t>dney</w:t>
              </w:r>
              <w:r>
                <w:rPr>
                  <w:iCs/>
                  <w:noProof/>
                </w:rPr>
                <w:t>.</w:t>
              </w:r>
            </w:p>
            <w:p w14:paraId="55197C45" w14:textId="396F5C33" w:rsidR="00AB1527" w:rsidRDefault="00AB1527" w:rsidP="008E4E1C">
              <w:pPr>
                <w:pStyle w:val="Bibliography"/>
                <w:ind w:left="720" w:hanging="720"/>
                <w:jc w:val="both"/>
                <w:rPr>
                  <w:noProof/>
                </w:rPr>
              </w:pPr>
              <w:r>
                <w:rPr>
                  <w:noProof/>
                </w:rPr>
                <w:t xml:space="preserve">Greenwood, J., &amp; Javanovic, B. (1990). Financial development, growth and the distribution of income. </w:t>
              </w:r>
              <w:r>
                <w:rPr>
                  <w:i/>
                  <w:iCs/>
                  <w:noProof/>
                </w:rPr>
                <w:t>Journal of Political Economy, 98</w:t>
              </w:r>
              <w:r>
                <w:rPr>
                  <w:noProof/>
                </w:rPr>
                <w:t>, 1076–1107.</w:t>
              </w:r>
            </w:p>
            <w:p w14:paraId="4DC134E3" w14:textId="77777777" w:rsidR="00AB1527" w:rsidRDefault="00AB1527" w:rsidP="008E4E1C">
              <w:pPr>
                <w:pStyle w:val="Bibliography"/>
                <w:ind w:left="720" w:hanging="720"/>
                <w:jc w:val="both"/>
                <w:rPr>
                  <w:noProof/>
                </w:rPr>
              </w:pPr>
              <w:r>
                <w:rPr>
                  <w:noProof/>
                </w:rPr>
                <w:t>Guglielmo, M., Howells, P. G., &amp; Soliman, A. M. (2003). Endogenous growth models and stock market development: Evidence from four countries.</w:t>
              </w:r>
            </w:p>
            <w:p w14:paraId="0816CFCB" w14:textId="0030DE28" w:rsidR="00AB1527" w:rsidRDefault="00AB1527" w:rsidP="008E4E1C">
              <w:pPr>
                <w:pStyle w:val="Bibliography"/>
                <w:ind w:left="720" w:hanging="720"/>
                <w:jc w:val="both"/>
                <w:rPr>
                  <w:noProof/>
                </w:rPr>
              </w:pPr>
              <w:r>
                <w:rPr>
                  <w:noProof/>
                </w:rPr>
                <w:t xml:space="preserve">Hansen, B. E. (2000). Sample Splitting and threshold estimation. </w:t>
              </w:r>
              <w:r>
                <w:rPr>
                  <w:i/>
                  <w:iCs/>
                  <w:noProof/>
                </w:rPr>
                <w:t>Econometrica, 68</w:t>
              </w:r>
              <w:r>
                <w:rPr>
                  <w:noProof/>
                </w:rPr>
                <w:t>, 575–603.</w:t>
              </w:r>
            </w:p>
            <w:p w14:paraId="6E2E64BA" w14:textId="6DC75EE6" w:rsidR="00AB1527" w:rsidRDefault="00AB1527" w:rsidP="008E4E1C">
              <w:pPr>
                <w:pStyle w:val="Bibliography"/>
                <w:ind w:left="720" w:hanging="720"/>
                <w:jc w:val="both"/>
                <w:rPr>
                  <w:noProof/>
                </w:rPr>
              </w:pPr>
              <w:r>
                <w:rPr>
                  <w:noProof/>
                </w:rPr>
                <w:t>Heil, M. (2017). Finance and Prouctivity: A Literature Review. (Economics Department Working Paper No. 1374).</w:t>
              </w:r>
              <w:r w:rsidRPr="006C6819">
                <w:rPr>
                  <w:iCs/>
                  <w:noProof/>
                </w:rPr>
                <w:t xml:space="preserve"> </w:t>
              </w:r>
              <w:r w:rsidRPr="00C1390E">
                <w:rPr>
                  <w:iCs/>
                  <w:noProof/>
                </w:rPr>
                <w:t>Organization for Economic Co-operation and Development</w:t>
              </w:r>
              <w:r>
                <w:rPr>
                  <w:noProof/>
                </w:rPr>
                <w:t>.</w:t>
              </w:r>
            </w:p>
            <w:p w14:paraId="04DB2670" w14:textId="14908A81" w:rsidR="00AB1527" w:rsidRDefault="00AB1527" w:rsidP="008E4E1C">
              <w:pPr>
                <w:pStyle w:val="Bibliography"/>
                <w:ind w:left="720" w:hanging="720"/>
                <w:jc w:val="both"/>
                <w:rPr>
                  <w:noProof/>
                </w:rPr>
              </w:pPr>
              <w:r>
                <w:rPr>
                  <w:noProof/>
                </w:rPr>
                <w:t xml:space="preserve">Huang, H.-C., &amp; Lin, S.-C. (2009). Non-linear finance-growth nexus. </w:t>
              </w:r>
              <w:r>
                <w:rPr>
                  <w:i/>
                  <w:iCs/>
                  <w:noProof/>
                </w:rPr>
                <w:t>Economics of Transition, 17</w:t>
              </w:r>
              <w:r>
                <w:rPr>
                  <w:noProof/>
                </w:rPr>
                <w:t>(3), 439–466.</w:t>
              </w:r>
            </w:p>
            <w:p w14:paraId="665E5BB2" w14:textId="77777777" w:rsidR="00AB1527" w:rsidRDefault="00AB1527" w:rsidP="008E4E1C">
              <w:pPr>
                <w:pStyle w:val="Bibliography"/>
                <w:ind w:left="720" w:hanging="720"/>
                <w:jc w:val="both"/>
                <w:rPr>
                  <w:noProof/>
                </w:rPr>
              </w:pPr>
              <w:r>
                <w:rPr>
                  <w:noProof/>
                </w:rPr>
                <w:lastRenderedPageBreak/>
                <w:t xml:space="preserve">Ikhide, S. I. (2015). The finance and growth debate in Africa: What role for financial inclusion? </w:t>
              </w:r>
              <w:r>
                <w:rPr>
                  <w:i/>
                  <w:iCs/>
                  <w:noProof/>
                </w:rPr>
                <w:t>University of Stellenbosch Business School</w:t>
              </w:r>
              <w:r>
                <w:rPr>
                  <w:noProof/>
                </w:rPr>
                <w:t>(Inagural Lecture Delivered on November 26).</w:t>
              </w:r>
            </w:p>
            <w:p w14:paraId="4CF0A0AB" w14:textId="081E3CC6" w:rsidR="00AB1527" w:rsidRDefault="00AB1527" w:rsidP="008E4E1C">
              <w:pPr>
                <w:pStyle w:val="Bibliography"/>
                <w:ind w:left="720" w:hanging="720"/>
                <w:jc w:val="both"/>
                <w:rPr>
                  <w:noProof/>
                </w:rPr>
              </w:pPr>
              <w:r>
                <w:rPr>
                  <w:noProof/>
                </w:rPr>
                <w:t xml:space="preserve">Jude, E. C. (2010). Financial development and growth: A panel smooth regression approach. </w:t>
              </w:r>
              <w:r>
                <w:rPr>
                  <w:i/>
                  <w:iCs/>
                  <w:noProof/>
                </w:rPr>
                <w:t>Journal of Economic Development, 35</w:t>
              </w:r>
              <w:r>
                <w:rPr>
                  <w:noProof/>
                </w:rPr>
                <w:t>(1), 15–33.</w:t>
              </w:r>
            </w:p>
            <w:p w14:paraId="46509444" w14:textId="0B0E3D77" w:rsidR="00AB1527" w:rsidRDefault="00AB1527" w:rsidP="008E4E1C">
              <w:pPr>
                <w:pStyle w:val="Bibliography"/>
                <w:ind w:left="720" w:hanging="720"/>
                <w:jc w:val="both"/>
                <w:rPr>
                  <w:noProof/>
                </w:rPr>
              </w:pPr>
              <w:r>
                <w:rPr>
                  <w:noProof/>
                </w:rPr>
                <w:t xml:space="preserve">Kargbo, S. M., &amp; Adamu, P. A. (2009). Financial development and economic growth in Sierra Leone. </w:t>
              </w:r>
              <w:r>
                <w:rPr>
                  <w:i/>
                  <w:iCs/>
                  <w:noProof/>
                </w:rPr>
                <w:t>West African Journal of Monetary and Economic Integration, 9</w:t>
              </w:r>
              <w:r>
                <w:rPr>
                  <w:noProof/>
                </w:rPr>
                <w:t>(2), 30–61.</w:t>
              </w:r>
            </w:p>
            <w:p w14:paraId="1C54CDDF" w14:textId="3C58C749" w:rsidR="00AB1527" w:rsidRDefault="00AB1527" w:rsidP="008E4E1C">
              <w:pPr>
                <w:pStyle w:val="Bibliography"/>
                <w:ind w:left="720" w:hanging="720"/>
                <w:jc w:val="both"/>
                <w:rPr>
                  <w:noProof/>
                </w:rPr>
              </w:pPr>
              <w:r>
                <w:rPr>
                  <w:noProof/>
                </w:rPr>
                <w:t xml:space="preserve">King, R., &amp; Levine, R. (1993). Finance and growth: Schumpeter might be right. </w:t>
              </w:r>
              <w:r>
                <w:rPr>
                  <w:i/>
                  <w:iCs/>
                  <w:noProof/>
                </w:rPr>
                <w:t>The Quarterly Journal of Economics, 108</w:t>
              </w:r>
              <w:r>
                <w:rPr>
                  <w:noProof/>
                </w:rPr>
                <w:t>(3), 717–737.</w:t>
              </w:r>
            </w:p>
            <w:p w14:paraId="7C6A9D54" w14:textId="60ECD57F" w:rsidR="00AB1527" w:rsidRDefault="00AB1527" w:rsidP="008E4E1C">
              <w:pPr>
                <w:pStyle w:val="Bibliography"/>
                <w:ind w:left="720" w:hanging="720"/>
                <w:jc w:val="both"/>
                <w:rPr>
                  <w:noProof/>
                </w:rPr>
              </w:pPr>
              <w:r>
                <w:rPr>
                  <w:noProof/>
                </w:rPr>
                <w:t xml:space="preserve">Law, S. H., &amp; Singh, N. (2014). Does too much finance harm economic growth? </w:t>
              </w:r>
              <w:r>
                <w:rPr>
                  <w:i/>
                  <w:iCs/>
                  <w:noProof/>
                </w:rPr>
                <w:t>Journal of Banking and Finance, 41</w:t>
              </w:r>
              <w:r>
                <w:rPr>
                  <w:noProof/>
                </w:rPr>
                <w:t>, 36–44.</w:t>
              </w:r>
            </w:p>
            <w:p w14:paraId="21229DFF" w14:textId="78C75687" w:rsidR="00AB1527" w:rsidRDefault="00AB1527" w:rsidP="008E4E1C">
              <w:pPr>
                <w:pStyle w:val="Bibliography"/>
                <w:ind w:left="720" w:hanging="720"/>
                <w:jc w:val="both"/>
                <w:rPr>
                  <w:noProof/>
                </w:rPr>
              </w:pPr>
              <w:r>
                <w:rPr>
                  <w:noProof/>
                </w:rPr>
                <w:t xml:space="preserve">Levine, R. (1991). Stock markets, growth and tax policy. </w:t>
              </w:r>
              <w:r>
                <w:rPr>
                  <w:i/>
                  <w:iCs/>
                  <w:noProof/>
                </w:rPr>
                <w:t>Journal of Finance, 64</w:t>
              </w:r>
              <w:r>
                <w:rPr>
                  <w:noProof/>
                </w:rPr>
                <w:t>, 1445–1465.</w:t>
              </w:r>
            </w:p>
            <w:p w14:paraId="48140A7D" w14:textId="124F80BE" w:rsidR="00AB1527" w:rsidRDefault="00AB1527" w:rsidP="008E4E1C">
              <w:pPr>
                <w:pStyle w:val="Bibliography"/>
                <w:ind w:left="720" w:hanging="720"/>
                <w:jc w:val="both"/>
                <w:rPr>
                  <w:noProof/>
                </w:rPr>
              </w:pPr>
              <w:r>
                <w:rPr>
                  <w:noProof/>
                </w:rPr>
                <w:t xml:space="preserve">Levine, R. (2005). Finance and growth: Theory and evidence. In P. Aghion, &amp; S. Durlaf (Eds.), </w:t>
              </w:r>
              <w:r>
                <w:rPr>
                  <w:i/>
                  <w:iCs/>
                  <w:noProof/>
                </w:rPr>
                <w:t>Handbook of economic growth</w:t>
              </w:r>
              <w:r>
                <w:rPr>
                  <w:noProof/>
                </w:rPr>
                <w:t xml:space="preserve"> (pp. 865–934). New York: Elsevier.</w:t>
              </w:r>
            </w:p>
            <w:p w14:paraId="43E348DB" w14:textId="0F0AAAB4" w:rsidR="00AB1527" w:rsidRDefault="00AB1527" w:rsidP="008E4E1C">
              <w:pPr>
                <w:pStyle w:val="Bibliography"/>
                <w:ind w:left="720" w:hanging="720"/>
                <w:jc w:val="both"/>
                <w:rPr>
                  <w:noProof/>
                </w:rPr>
              </w:pPr>
              <w:r>
                <w:rPr>
                  <w:noProof/>
                </w:rPr>
                <w:t xml:space="preserve">Levine, R., Loayza, N., &amp; Beck, T. (2000). Financial Intermediation and growth: Causality and Causes. </w:t>
              </w:r>
              <w:r>
                <w:rPr>
                  <w:i/>
                  <w:iCs/>
                  <w:noProof/>
                </w:rPr>
                <w:t>Journal of Monetary Economics, 46</w:t>
              </w:r>
              <w:r>
                <w:rPr>
                  <w:noProof/>
                </w:rPr>
                <w:t>, 31–77.</w:t>
              </w:r>
            </w:p>
            <w:p w14:paraId="016EE589" w14:textId="27437F47" w:rsidR="00AB1527" w:rsidRDefault="00AB1527" w:rsidP="008E4E1C">
              <w:pPr>
                <w:pStyle w:val="Bibliography"/>
                <w:ind w:left="720" w:hanging="720"/>
                <w:jc w:val="both"/>
                <w:rPr>
                  <w:noProof/>
                </w:rPr>
              </w:pPr>
              <w:r>
                <w:rPr>
                  <w:noProof/>
                </w:rPr>
                <w:t xml:space="preserve">Luintel, K. B., &amp; Khan, M. (1999). A quantitative reassessment of the finance-growth nexus: Evidence from a multivariate VAR. </w:t>
              </w:r>
              <w:r>
                <w:rPr>
                  <w:i/>
                  <w:iCs/>
                  <w:noProof/>
                </w:rPr>
                <w:t>Journal of Development Economics, 60</w:t>
              </w:r>
              <w:r>
                <w:rPr>
                  <w:noProof/>
                </w:rPr>
                <w:t>(2), 381–405.</w:t>
              </w:r>
            </w:p>
            <w:p w14:paraId="1668626F" w14:textId="77777777" w:rsidR="00AB1527" w:rsidRDefault="00AB1527" w:rsidP="008E4E1C">
              <w:pPr>
                <w:pStyle w:val="Bibliography"/>
                <w:ind w:left="720" w:hanging="720"/>
                <w:jc w:val="both"/>
                <w:rPr>
                  <w:noProof/>
                </w:rPr>
              </w:pPr>
              <w:r>
                <w:rPr>
                  <w:noProof/>
                </w:rPr>
                <w:t xml:space="preserve">Mckinnon, R. I. (1973). </w:t>
              </w:r>
              <w:r>
                <w:rPr>
                  <w:i/>
                  <w:iCs/>
                  <w:noProof/>
                </w:rPr>
                <w:t>Money and capital in economic development.</w:t>
              </w:r>
              <w:r>
                <w:rPr>
                  <w:noProof/>
                </w:rPr>
                <w:t xml:space="preserve"> Washington, DC: Brookings Institution.</w:t>
              </w:r>
            </w:p>
            <w:p w14:paraId="3D94EF80" w14:textId="63768FFF" w:rsidR="00AB1527" w:rsidRDefault="00AB1527" w:rsidP="008E4E1C">
              <w:pPr>
                <w:pStyle w:val="Bibliography"/>
                <w:ind w:left="720" w:hanging="720"/>
                <w:jc w:val="both"/>
                <w:rPr>
                  <w:noProof/>
                </w:rPr>
              </w:pPr>
              <w:r>
                <w:rPr>
                  <w:noProof/>
                </w:rPr>
                <w:t xml:space="preserve">Odhiambo, N. M. (2005). Financial development and economic growth in Tanzania: A dynamic causality test. </w:t>
              </w:r>
              <w:r>
                <w:rPr>
                  <w:i/>
                  <w:iCs/>
                  <w:noProof/>
                </w:rPr>
                <w:t>African Finance Journal, 7</w:t>
              </w:r>
              <w:r>
                <w:rPr>
                  <w:noProof/>
                </w:rPr>
                <w:t>(1), 1–17.</w:t>
              </w:r>
            </w:p>
            <w:p w14:paraId="15B4E92B" w14:textId="567F153C" w:rsidR="00AB1527" w:rsidRDefault="00AB1527" w:rsidP="008E4E1C">
              <w:pPr>
                <w:pStyle w:val="Bibliography"/>
                <w:ind w:left="720" w:hanging="720"/>
                <w:jc w:val="both"/>
                <w:rPr>
                  <w:noProof/>
                </w:rPr>
              </w:pPr>
              <w:r>
                <w:rPr>
                  <w:noProof/>
                </w:rPr>
                <w:t xml:space="preserve">Odhiambo, N. M. (2007). Supply-leading versus demand -following hypothesis: Empirical evidence from three SSA countries. </w:t>
              </w:r>
              <w:r>
                <w:rPr>
                  <w:i/>
                  <w:iCs/>
                  <w:noProof/>
                </w:rPr>
                <w:t>African Development Review, 19</w:t>
              </w:r>
              <w:r>
                <w:rPr>
                  <w:noProof/>
                </w:rPr>
                <w:t>(2), 257–280.</w:t>
              </w:r>
            </w:p>
            <w:p w14:paraId="5861C261" w14:textId="645E7257" w:rsidR="00AB1527" w:rsidRDefault="00AB1527" w:rsidP="008E4E1C">
              <w:pPr>
                <w:pStyle w:val="Bibliography"/>
                <w:ind w:left="720" w:hanging="720"/>
                <w:jc w:val="both"/>
                <w:rPr>
                  <w:noProof/>
                </w:rPr>
              </w:pPr>
              <w:r>
                <w:rPr>
                  <w:noProof/>
                </w:rPr>
                <w:t xml:space="preserve">Odhiambo, N. M. (2008). Financial depth, savings and economic growth in Kenya: A dynamic causal linkage. </w:t>
              </w:r>
              <w:r>
                <w:rPr>
                  <w:i/>
                  <w:iCs/>
                  <w:noProof/>
                </w:rPr>
                <w:t>Economic modelling, 25</w:t>
              </w:r>
              <w:r>
                <w:rPr>
                  <w:noProof/>
                </w:rPr>
                <w:t>(4), 704–713.</w:t>
              </w:r>
            </w:p>
            <w:p w14:paraId="396AE013" w14:textId="165561C1" w:rsidR="00AB1527" w:rsidRDefault="00AB1527" w:rsidP="008E4E1C">
              <w:pPr>
                <w:pStyle w:val="Bibliography"/>
                <w:ind w:left="720" w:hanging="720"/>
                <w:jc w:val="both"/>
                <w:rPr>
                  <w:noProof/>
                </w:rPr>
              </w:pPr>
              <w:r>
                <w:rPr>
                  <w:noProof/>
                </w:rPr>
                <w:t xml:space="preserve">Patrick, H. T. (1966). Financial development and economic growth in underdeveloped countries. </w:t>
              </w:r>
              <w:r>
                <w:rPr>
                  <w:i/>
                  <w:iCs/>
                  <w:noProof/>
                </w:rPr>
                <w:t>Economic Growth and Cultural Change, 14</w:t>
              </w:r>
              <w:r>
                <w:rPr>
                  <w:noProof/>
                </w:rPr>
                <w:t>(1), 174–189.</w:t>
              </w:r>
            </w:p>
            <w:p w14:paraId="542314C3" w14:textId="6493DD09" w:rsidR="00AB1527" w:rsidRDefault="00AB1527" w:rsidP="008E4E1C">
              <w:pPr>
                <w:pStyle w:val="Bibliography"/>
                <w:ind w:left="720" w:hanging="720"/>
                <w:jc w:val="both"/>
                <w:rPr>
                  <w:noProof/>
                </w:rPr>
              </w:pPr>
              <w:r>
                <w:rPr>
                  <w:noProof/>
                </w:rPr>
                <w:t xml:space="preserve">Quartey, P., &amp; Prah, F. (2008). Financial development and economic growth in Ghana: Is there a causal link? </w:t>
              </w:r>
              <w:r>
                <w:rPr>
                  <w:i/>
                  <w:iCs/>
                  <w:noProof/>
                </w:rPr>
                <w:t>The African Finance Journal, 10</w:t>
              </w:r>
              <w:r>
                <w:rPr>
                  <w:noProof/>
                </w:rPr>
                <w:t>(1), 28–54.</w:t>
              </w:r>
            </w:p>
            <w:p w14:paraId="60E07134" w14:textId="1517B5C8" w:rsidR="00AB1527" w:rsidRDefault="00AB1527" w:rsidP="008E4E1C">
              <w:pPr>
                <w:pStyle w:val="Bibliography"/>
                <w:ind w:left="720" w:hanging="720"/>
                <w:jc w:val="both"/>
                <w:rPr>
                  <w:noProof/>
                </w:rPr>
              </w:pPr>
              <w:r>
                <w:rPr>
                  <w:noProof/>
                </w:rPr>
                <w:t xml:space="preserve">Rousseau, P., &amp; Wachtel, P. (2011). What is happening to the impact of financial deepening on economic growth? </w:t>
              </w:r>
              <w:r>
                <w:rPr>
                  <w:i/>
                  <w:iCs/>
                  <w:noProof/>
                </w:rPr>
                <w:t>Economic Inquiry, 49</w:t>
              </w:r>
              <w:r>
                <w:rPr>
                  <w:noProof/>
                </w:rPr>
                <w:t>(1), 276–288.</w:t>
              </w:r>
            </w:p>
            <w:p w14:paraId="1D63B51B" w14:textId="49A563C4" w:rsidR="00AB1527" w:rsidRDefault="00AB1527" w:rsidP="008E4E1C">
              <w:pPr>
                <w:pStyle w:val="Bibliography"/>
                <w:ind w:left="720" w:hanging="720"/>
                <w:jc w:val="both"/>
                <w:rPr>
                  <w:noProof/>
                </w:rPr>
              </w:pPr>
              <w:r>
                <w:rPr>
                  <w:noProof/>
                </w:rPr>
                <w:t>Sahay, R., Cihak, M., N'Diaye, P., Barajas, A., Bi, R., Ayala, D., et al. (2015). Rethinking financial deepening: Stability and growth in emerging markets. (IMF Staff Papers SDN/15/08).</w:t>
              </w:r>
              <w:r w:rsidRPr="00B7535E">
                <w:rPr>
                  <w:iCs/>
                  <w:noProof/>
                </w:rPr>
                <w:t xml:space="preserve"> </w:t>
              </w:r>
              <w:r w:rsidRPr="00D40679">
                <w:rPr>
                  <w:iCs/>
                  <w:noProof/>
                </w:rPr>
                <w:t>International Monetary Fund</w:t>
              </w:r>
              <w:r>
                <w:rPr>
                  <w:iCs/>
                  <w:noProof/>
                </w:rPr>
                <w:t>.</w:t>
              </w:r>
            </w:p>
            <w:p w14:paraId="15277ECA" w14:textId="77777777" w:rsidR="00AB1527" w:rsidRDefault="00AB1527" w:rsidP="008E4E1C">
              <w:pPr>
                <w:pStyle w:val="Bibliography"/>
                <w:ind w:left="720" w:hanging="720"/>
                <w:jc w:val="both"/>
                <w:rPr>
                  <w:noProof/>
                </w:rPr>
              </w:pPr>
              <w:r>
                <w:rPr>
                  <w:noProof/>
                </w:rPr>
                <w:t xml:space="preserve">Schumpeter, J. A. (1911). </w:t>
              </w:r>
              <w:r>
                <w:rPr>
                  <w:i/>
                  <w:iCs/>
                  <w:noProof/>
                </w:rPr>
                <w:t>The theory of economic development.</w:t>
              </w:r>
              <w:r>
                <w:rPr>
                  <w:noProof/>
                </w:rPr>
                <w:t xml:space="preserve"> Cambridge, M A: Havard University Press.</w:t>
              </w:r>
            </w:p>
            <w:p w14:paraId="2737C4C8" w14:textId="77777777" w:rsidR="00AB1527" w:rsidRDefault="00AB1527" w:rsidP="008E4E1C">
              <w:pPr>
                <w:pStyle w:val="Bibliography"/>
                <w:ind w:left="720" w:hanging="720"/>
                <w:jc w:val="both"/>
                <w:rPr>
                  <w:noProof/>
                </w:rPr>
              </w:pPr>
              <w:r>
                <w:rPr>
                  <w:noProof/>
                </w:rPr>
                <w:lastRenderedPageBreak/>
                <w:t xml:space="preserve">Shaw, E. S. (1973). </w:t>
              </w:r>
              <w:r>
                <w:rPr>
                  <w:i/>
                  <w:iCs/>
                  <w:noProof/>
                </w:rPr>
                <w:t>Financial deepening and economic development.</w:t>
              </w:r>
              <w:r>
                <w:rPr>
                  <w:noProof/>
                </w:rPr>
                <w:t xml:space="preserve"> London: Oxford University Press.</w:t>
              </w:r>
            </w:p>
            <w:p w14:paraId="2184E561" w14:textId="68F13330" w:rsidR="00AB1527" w:rsidRDefault="00AB1527" w:rsidP="008E4E1C">
              <w:pPr>
                <w:pStyle w:val="Bibliography"/>
                <w:ind w:left="720" w:hanging="720"/>
                <w:jc w:val="both"/>
                <w:rPr>
                  <w:noProof/>
                </w:rPr>
              </w:pPr>
              <w:r>
                <w:rPr>
                  <w:noProof/>
                </w:rPr>
                <w:t xml:space="preserve">Shen, C.-H., &amp; Lee, C.-C. (2006). Same financial development yet different economic growth: Why. </w:t>
              </w:r>
              <w:r>
                <w:rPr>
                  <w:i/>
                  <w:iCs/>
                  <w:noProof/>
                </w:rPr>
                <w:t>Journal of Money, Credit and Banking, 38</w:t>
              </w:r>
              <w:r>
                <w:rPr>
                  <w:noProof/>
                </w:rPr>
                <w:t>(7), 1907–1944.</w:t>
              </w:r>
            </w:p>
            <w:p w14:paraId="026080FA" w14:textId="7180CC51" w:rsidR="00AB1527" w:rsidRDefault="00AB1527" w:rsidP="008E4E1C">
              <w:pPr>
                <w:spacing w:line="360" w:lineRule="auto"/>
                <w:ind w:left="720" w:hanging="720"/>
                <w:jc w:val="both"/>
              </w:pPr>
              <w:r>
                <w:t>Gordon, J., &amp; Gupta, P. (2004). Understanding India’s Services Revolution (</w:t>
              </w:r>
              <w:r w:rsidRPr="00DA300B">
                <w:rPr>
                  <w:u w:val="single"/>
                </w:rPr>
                <w:t>IMF Working Paper WP/04/171</w:t>
              </w:r>
              <w:r>
                <w:rPr>
                  <w:u w:val="single"/>
                </w:rPr>
                <w:t>)</w:t>
              </w:r>
              <w:r>
                <w:t>. International Monetary Fund, Washington DC.</w:t>
              </w:r>
            </w:p>
            <w:p w14:paraId="4B4095EA" w14:textId="14497FEE" w:rsidR="00AB1527" w:rsidRDefault="00AB1527" w:rsidP="008E4E1C">
              <w:pPr>
                <w:spacing w:line="360" w:lineRule="auto"/>
                <w:ind w:left="720" w:hanging="720"/>
                <w:jc w:val="both"/>
              </w:pPr>
              <w:r>
                <w:t xml:space="preserve">Gupta, C. P. (1998). India (1) </w:t>
              </w:r>
              <w:r w:rsidRPr="004F2750">
                <w:t xml:space="preserve">in Improving Productivity in Service Sector. </w:t>
              </w:r>
              <w:r>
                <w:t>Asian Productivity Orangization, Tokyo.</w:t>
              </w:r>
            </w:p>
            <w:p w14:paraId="07C41A77" w14:textId="521B8818" w:rsidR="00AB1527" w:rsidRDefault="00AB1527" w:rsidP="008E4E1C">
              <w:pPr>
                <w:spacing w:line="360" w:lineRule="auto"/>
                <w:ind w:left="720" w:hanging="720"/>
                <w:jc w:val="both"/>
              </w:pPr>
              <w:r>
                <w:t>The World Bank. (2005).</w:t>
              </w:r>
              <w:r w:rsidRPr="004F2750">
                <w:t xml:space="preserve"> </w:t>
              </w:r>
              <w:r w:rsidRPr="00946B79">
                <w:rPr>
                  <w:i/>
                </w:rPr>
                <w:t>World Development Indicators 2005</w:t>
              </w:r>
              <w:r>
                <w:t>. Washington DC:</w:t>
              </w:r>
              <w:r w:rsidRPr="00AD1322">
                <w:t xml:space="preserve"> </w:t>
              </w:r>
              <w:r>
                <w:t>The World Bank.</w:t>
              </w:r>
            </w:p>
            <w:p w14:paraId="0937F34B" w14:textId="3FACA4C1" w:rsidR="00AB1527" w:rsidRPr="00AF36FF" w:rsidRDefault="00AB1527" w:rsidP="008E4E1C">
              <w:pPr>
                <w:spacing w:line="360" w:lineRule="auto"/>
                <w:ind w:left="720" w:hanging="720"/>
                <w:jc w:val="both"/>
              </w:pPr>
              <w:r>
                <w:t>Zhu, J.</w:t>
              </w:r>
              <w:r w:rsidRPr="00E057FF">
                <w:t xml:space="preserve"> </w:t>
              </w:r>
              <w:r>
                <w:t>(</w:t>
              </w:r>
              <w:r w:rsidRPr="00E057FF">
                <w:t>2005</w:t>
              </w:r>
              <w:r>
                <w:t>).</w:t>
              </w:r>
              <w:r w:rsidRPr="00E057FF">
                <w:t xml:space="preserve"> On economic aggregate and structural changes by the chief of the National Bureau of Statistics</w:t>
              </w:r>
              <w:r>
                <w:t>.</w:t>
              </w:r>
              <w:r w:rsidRPr="00E057FF">
                <w:t xml:space="preserve"> </w:t>
              </w:r>
              <w:r w:rsidRPr="00946B79">
                <w:rPr>
                  <w:i/>
                  <w:u w:val="single"/>
                </w:rPr>
                <w:t>People’s Daily</w:t>
              </w:r>
              <w:r w:rsidRPr="00E057FF">
                <w:t>, p.5.</w:t>
              </w:r>
            </w:p>
            <w:p w14:paraId="427D303B" w14:textId="77777777" w:rsidR="00AB1527" w:rsidRDefault="00AB1527" w:rsidP="008E4E1C">
              <w:pPr>
                <w:jc w:val="both"/>
              </w:pPr>
              <w:r>
                <w:rPr>
                  <w:b/>
                  <w:bCs/>
                  <w:noProof/>
                </w:rPr>
                <w:fldChar w:fldCharType="end"/>
              </w:r>
            </w:p>
          </w:sdtContent>
        </w:sdt>
      </w:sdtContent>
    </w:sdt>
    <w:p w14:paraId="7F16BC4A" w14:textId="4FB932D7" w:rsidR="00A92D99" w:rsidRPr="00E378F7" w:rsidRDefault="00A92D99" w:rsidP="008E4E1C">
      <w:pPr>
        <w:spacing w:after="0" w:line="360" w:lineRule="auto"/>
        <w:jc w:val="both"/>
      </w:pPr>
    </w:p>
    <w:sectPr w:rsidR="00A92D99" w:rsidRPr="00E378F7" w:rsidSect="00E11299">
      <w:headerReference w:type="first" r:id="rId25"/>
      <w:pgSz w:w="11906" w:h="16838"/>
      <w:pgMar w:top="1440" w:right="1440" w:bottom="1440" w:left="2160" w:header="708" w:footer="708" w:gutter="0"/>
      <w:pgNumType w:start="1" w:chapStyle="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1369383" w14:textId="77777777" w:rsidR="007835DC" w:rsidRDefault="007835DC" w:rsidP="003A604F">
      <w:pPr>
        <w:spacing w:after="0" w:line="240" w:lineRule="auto"/>
      </w:pPr>
      <w:r>
        <w:separator/>
      </w:r>
    </w:p>
  </w:endnote>
  <w:endnote w:type="continuationSeparator" w:id="0">
    <w:p w14:paraId="294F054A" w14:textId="77777777" w:rsidR="007835DC" w:rsidRDefault="007835DC" w:rsidP="003A60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CC7848" w14:textId="77777777" w:rsidR="0012700F" w:rsidRDefault="0012700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5E271F" w14:textId="79ACA713" w:rsidR="00EC79BA" w:rsidRPr="003247FB" w:rsidRDefault="00EC79BA" w:rsidP="003247FB">
    <w:pPr>
      <w:pStyle w:val="Header"/>
      <w:rPr>
        <w:b/>
        <w:sz w:val="16"/>
      </w:rPr>
    </w:pPr>
    <w:r>
      <w:rPr>
        <w:rFonts w:ascii="Helvetica" w:hAnsi="Helvetica" w:cs="Helvetica"/>
        <w:b/>
        <w:color w:val="222222"/>
        <w:sz w:val="14"/>
        <w:szCs w:val="20"/>
        <w:shd w:val="clear" w:color="auto" w:fill="FFFFFF"/>
      </w:rPr>
      <w:t xml:space="preserve">                                                                                                                                                                                           </w:t>
    </w:r>
    <w:r w:rsidRPr="004209A1">
      <w:rPr>
        <w:rFonts w:ascii="Helvetica" w:hAnsi="Helvetica" w:cs="Helvetica"/>
        <w:b/>
        <w:color w:val="222222"/>
        <w:sz w:val="14"/>
        <w:szCs w:val="20"/>
        <w:shd w:val="clear" w:color="auto" w:fill="FFFFFF"/>
      </w:rPr>
      <w:t xml:space="preserve"> </w:t>
    </w:r>
    <w:bookmarkStart w:id="3" w:name="_Hlk501026029"/>
    <w:r w:rsidRPr="004209A1">
      <w:rPr>
        <w:rFonts w:ascii="Helvetica" w:hAnsi="Helvetica" w:cs="Helvetica"/>
        <w:b/>
        <w:color w:val="222222"/>
        <w:sz w:val="14"/>
        <w:szCs w:val="20"/>
        <w:shd w:val="clear" w:color="auto" w:fill="FFFFFF"/>
      </w:rPr>
      <w:t>©2017 Sankoh</w:t>
    </w:r>
    <w:r>
      <w:rPr>
        <w:color w:val="548DD4" w:themeColor="text2" w:themeTint="99"/>
        <w:sz w:val="24"/>
        <w:szCs w:val="24"/>
      </w:rPr>
      <w:t xml:space="preserve"> </w:t>
    </w:r>
    <w:bookmarkEnd w:id="3"/>
    <w:r>
      <w:rPr>
        <w:color w:val="17365D" w:themeColor="text2" w:themeShade="BF"/>
        <w:sz w:val="24"/>
        <w:szCs w:val="24"/>
      </w:rPr>
      <w:fldChar w:fldCharType="begin"/>
    </w:r>
    <w:r>
      <w:rPr>
        <w:color w:val="17365D" w:themeColor="text2" w:themeShade="BF"/>
        <w:sz w:val="24"/>
        <w:szCs w:val="24"/>
      </w:rPr>
      <w:instrText xml:space="preserve"> PAGE   \* MERGEFORMAT </w:instrText>
    </w:r>
    <w:r>
      <w:rPr>
        <w:color w:val="17365D" w:themeColor="text2" w:themeShade="BF"/>
        <w:sz w:val="24"/>
        <w:szCs w:val="24"/>
      </w:rPr>
      <w:fldChar w:fldCharType="separate"/>
    </w:r>
    <w:r w:rsidR="005273CC">
      <w:rPr>
        <w:noProof/>
        <w:color w:val="17365D" w:themeColor="text2" w:themeShade="BF"/>
        <w:sz w:val="24"/>
        <w:szCs w:val="24"/>
      </w:rPr>
      <w:t>55</w:t>
    </w:r>
    <w:r>
      <w:rPr>
        <w:color w:val="17365D" w:themeColor="text2" w:themeShade="BF"/>
        <w:sz w:val="24"/>
        <w:szCs w:val="24"/>
      </w:rPr>
      <w:fldChar w:fldCharType="end"/>
    </w:r>
  </w:p>
  <w:p w14:paraId="21727B12" w14:textId="464A02D0" w:rsidR="00EC79BA" w:rsidRDefault="00EC79B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27212644"/>
      <w:docPartObj>
        <w:docPartGallery w:val="Page Numbers (Bottom of Page)"/>
        <w:docPartUnique/>
      </w:docPartObj>
    </w:sdtPr>
    <w:sdtEndPr>
      <w:rPr>
        <w:noProof/>
      </w:rPr>
    </w:sdtEndPr>
    <w:sdtContent>
      <w:p w14:paraId="1714FDF1" w14:textId="6DFAF3DC" w:rsidR="00EC79BA" w:rsidRDefault="00EC79BA">
        <w:pPr>
          <w:pStyle w:val="Footer"/>
        </w:pPr>
        <w:r>
          <w:fldChar w:fldCharType="begin"/>
        </w:r>
        <w:r>
          <w:instrText xml:space="preserve"> PAGE   \* MERGEFORMAT </w:instrText>
        </w:r>
        <w:r>
          <w:fldChar w:fldCharType="separate"/>
        </w:r>
        <w:r w:rsidR="005273CC">
          <w:rPr>
            <w:noProof/>
          </w:rPr>
          <w:t>1</w:t>
        </w:r>
        <w:r>
          <w:rPr>
            <w:noProof/>
          </w:rPr>
          <w:fldChar w:fldCharType="end"/>
        </w:r>
        <w:r>
          <w:rPr>
            <w:noProof/>
          </w:rPr>
          <w:t xml:space="preserve">                                                                                                                                                 </w:t>
        </w:r>
        <w:r w:rsidRPr="004209A1">
          <w:rPr>
            <w:rFonts w:ascii="Helvetica" w:hAnsi="Helvetica" w:cs="Helvetica"/>
            <w:b/>
            <w:color w:val="222222"/>
            <w:sz w:val="14"/>
            <w:szCs w:val="20"/>
            <w:shd w:val="clear" w:color="auto" w:fill="FFFFFF"/>
          </w:rPr>
          <w:t>©2017 Sankoh</w:t>
        </w:r>
      </w:p>
    </w:sdtContent>
  </w:sdt>
  <w:p w14:paraId="6235ECB6" w14:textId="77777777" w:rsidR="00EC79BA" w:rsidRDefault="00EC79B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7E68181" w14:textId="77777777" w:rsidR="007835DC" w:rsidRDefault="007835DC" w:rsidP="003A604F">
      <w:pPr>
        <w:spacing w:after="0" w:line="240" w:lineRule="auto"/>
      </w:pPr>
      <w:r>
        <w:separator/>
      </w:r>
    </w:p>
  </w:footnote>
  <w:footnote w:type="continuationSeparator" w:id="0">
    <w:p w14:paraId="54C68790" w14:textId="77777777" w:rsidR="007835DC" w:rsidRDefault="007835DC" w:rsidP="003A604F">
      <w:pPr>
        <w:spacing w:after="0" w:line="240" w:lineRule="auto"/>
      </w:pPr>
      <w:r>
        <w:continuationSeparator/>
      </w:r>
    </w:p>
  </w:footnote>
  <w:footnote w:id="1">
    <w:p w14:paraId="44A71214" w14:textId="3BC9B9F1" w:rsidR="00EC79BA" w:rsidRPr="00946B79" w:rsidRDefault="00EC79BA" w:rsidP="00146409">
      <w:pPr>
        <w:pStyle w:val="FootnoteText"/>
        <w:rPr>
          <w:rFonts w:ascii="Times New Roman" w:hAnsi="Times New Roman" w:cs="Times New Roman"/>
          <w:lang w:val="en-GB"/>
        </w:rPr>
      </w:pPr>
      <w:r w:rsidRPr="00946B79">
        <w:rPr>
          <w:rStyle w:val="FootnoteReference"/>
          <w:rFonts w:ascii="Times New Roman" w:hAnsi="Times New Roman" w:cs="Times New Roman"/>
        </w:rPr>
        <w:footnoteRef/>
      </w:r>
      <w:r w:rsidRPr="00946B79">
        <w:rPr>
          <w:rFonts w:ascii="Times New Roman" w:hAnsi="Times New Roman" w:cs="Times New Roman"/>
        </w:rPr>
        <w:t xml:space="preserve"> </w:t>
      </w:r>
      <w:r w:rsidRPr="00B815C6">
        <w:rPr>
          <w:rFonts w:ascii="Times New Roman" w:hAnsi="Times New Roman" w:cs="Times New Roman"/>
        </w:rPr>
        <w:t>As shown in equation 3.2, the threshold variable is the proxy for financial depth.</w:t>
      </w:r>
      <w:r w:rsidRPr="00946B79">
        <w:rPr>
          <w:rFonts w:ascii="Times New Roman" w:hAnsi="Times New Roman" w:cs="Times New Roman"/>
        </w:rPr>
        <w:t xml:space="preserve"> </w:t>
      </w:r>
    </w:p>
  </w:footnote>
  <w:footnote w:id="2">
    <w:p w14:paraId="586D60B5" w14:textId="77777777" w:rsidR="00EC79BA" w:rsidRPr="00946B79" w:rsidRDefault="00EC79BA" w:rsidP="00146409">
      <w:pPr>
        <w:pStyle w:val="FootnoteText"/>
        <w:jc w:val="both"/>
        <w:rPr>
          <w:rFonts w:ascii="Times New Roman" w:hAnsi="Times New Roman" w:cs="Times New Roman"/>
          <w:lang w:val="en-GB"/>
        </w:rPr>
      </w:pPr>
      <w:r w:rsidRPr="00946B79">
        <w:rPr>
          <w:rStyle w:val="FootnoteReference"/>
          <w:rFonts w:ascii="Times New Roman" w:hAnsi="Times New Roman" w:cs="Times New Roman"/>
        </w:rPr>
        <w:footnoteRef/>
      </w:r>
      <w:r w:rsidRPr="00946B79">
        <w:rPr>
          <w:rFonts w:ascii="Times New Roman" w:hAnsi="Times New Roman" w:cs="Times New Roman"/>
        </w:rPr>
        <w:t xml:space="preserve"> </w:t>
      </w:r>
      <w:r w:rsidRPr="00B815C6">
        <w:rPr>
          <w:rFonts w:ascii="Times New Roman" w:hAnsi="Times New Roman" w:cs="Times New Roman"/>
        </w:rPr>
        <w:t>The size of the sample is determined by the availability of data on the dependent variable (TFP growth) and the indicators of financial development.</w:t>
      </w:r>
    </w:p>
  </w:footnote>
  <w:footnote w:id="3">
    <w:p w14:paraId="7723D89E" w14:textId="77777777" w:rsidR="00EC79BA" w:rsidRPr="00946B79" w:rsidRDefault="00EC79BA" w:rsidP="00146409">
      <w:pPr>
        <w:pStyle w:val="FootnoteText"/>
        <w:jc w:val="both"/>
        <w:rPr>
          <w:rFonts w:ascii="Times New Roman" w:hAnsi="Times New Roman" w:cs="Times New Roman"/>
          <w:lang w:val="en-GB"/>
        </w:rPr>
      </w:pPr>
      <w:r w:rsidRPr="00946B79">
        <w:rPr>
          <w:rStyle w:val="FootnoteReference"/>
          <w:rFonts w:ascii="Times New Roman" w:hAnsi="Times New Roman" w:cs="Times New Roman"/>
        </w:rPr>
        <w:footnoteRef/>
      </w:r>
      <w:r w:rsidRPr="00946B79">
        <w:rPr>
          <w:rFonts w:ascii="Times New Roman" w:hAnsi="Times New Roman" w:cs="Times New Roman"/>
        </w:rPr>
        <w:t xml:space="preserve"> </w:t>
      </w:r>
      <w:r w:rsidRPr="00B815C6">
        <w:rPr>
          <w:rFonts w:ascii="Times New Roman" w:hAnsi="Times New Roman" w:cs="Times New Roman"/>
        </w:rPr>
        <w:t xml:space="preserve">As discussed previously, the dampening effect of financial development on the TFP growth stems to greater financial deepening rather than the other components such as access and efficiency (see Sahay et al., 2015). </w:t>
      </w:r>
    </w:p>
  </w:footnote>
  <w:footnote w:id="4">
    <w:p w14:paraId="353A0F93" w14:textId="6F931D79" w:rsidR="00EC79BA" w:rsidRPr="00B815C6" w:rsidRDefault="00EC79BA" w:rsidP="00466785">
      <w:pPr>
        <w:spacing w:after="0" w:line="360" w:lineRule="auto"/>
        <w:rPr>
          <w:rFonts w:ascii="Times New Roman" w:hAnsi="Times New Roman" w:cs="Times New Roman"/>
          <w:sz w:val="20"/>
          <w:szCs w:val="20"/>
        </w:rPr>
      </w:pPr>
      <w:r w:rsidRPr="00B815C6">
        <w:rPr>
          <w:rStyle w:val="FootnoteReference"/>
          <w:rFonts w:ascii="Times New Roman" w:hAnsi="Times New Roman" w:cs="Times New Roman"/>
          <w:sz w:val="20"/>
          <w:szCs w:val="20"/>
        </w:rPr>
        <w:footnoteRef/>
      </w:r>
      <w:r w:rsidRPr="00B815C6">
        <w:rPr>
          <w:rFonts w:ascii="Times New Roman" w:hAnsi="Times New Roman" w:cs="Times New Roman"/>
          <w:sz w:val="20"/>
          <w:szCs w:val="20"/>
        </w:rPr>
        <w:t xml:space="preserve"> Emerging Markets: Emerging markets can be defined as the markets characterized with higher investment in productive capacity, higher productivity growth, higher inflation, higher volatility (due to rapid social change), and higher than average return for the investors </w:t>
      </w:r>
      <w:sdt>
        <w:sdtPr>
          <w:rPr>
            <w:rFonts w:ascii="Times New Roman" w:hAnsi="Times New Roman" w:cs="Times New Roman"/>
            <w:sz w:val="20"/>
            <w:szCs w:val="20"/>
          </w:rPr>
          <w:id w:val="203836315"/>
          <w:citation/>
        </w:sdtPr>
        <w:sdtEndPr/>
        <w:sdtContent>
          <w:r w:rsidRPr="00AB1527">
            <w:rPr>
              <w:rFonts w:ascii="Times New Roman" w:hAnsi="Times New Roman" w:cs="Times New Roman"/>
              <w:sz w:val="20"/>
              <w:szCs w:val="20"/>
            </w:rPr>
            <w:fldChar w:fldCharType="begin"/>
          </w:r>
          <w:r w:rsidRPr="00B815C6">
            <w:rPr>
              <w:rFonts w:ascii="Times New Roman" w:hAnsi="Times New Roman" w:cs="Times New Roman"/>
              <w:sz w:val="20"/>
              <w:szCs w:val="20"/>
            </w:rPr>
            <w:instrText xml:space="preserve"> CITATION Ama171 \l 1033 </w:instrText>
          </w:r>
          <w:r w:rsidRPr="00AB1527">
            <w:rPr>
              <w:rFonts w:ascii="Times New Roman" w:hAnsi="Times New Roman" w:cs="Times New Roman"/>
              <w:sz w:val="20"/>
              <w:szCs w:val="20"/>
            </w:rPr>
            <w:fldChar w:fldCharType="separate"/>
          </w:r>
          <w:r w:rsidRPr="00B815C6">
            <w:rPr>
              <w:rFonts w:ascii="Times New Roman" w:hAnsi="Times New Roman" w:cs="Times New Roman"/>
              <w:noProof/>
              <w:sz w:val="20"/>
              <w:szCs w:val="20"/>
            </w:rPr>
            <w:t>(Amadeo, 2017)</w:t>
          </w:r>
          <w:r w:rsidRPr="00AB1527">
            <w:rPr>
              <w:rFonts w:ascii="Times New Roman" w:hAnsi="Times New Roman" w:cs="Times New Roman"/>
              <w:sz w:val="20"/>
              <w:szCs w:val="20"/>
            </w:rPr>
            <w:fldChar w:fldCharType="end"/>
          </w:r>
        </w:sdtContent>
      </w:sdt>
      <w:r w:rsidRPr="00B815C6">
        <w:rPr>
          <w:rFonts w:ascii="Times New Roman" w:hAnsi="Times New Roman" w:cs="Times New Roman"/>
          <w:sz w:val="20"/>
          <w:szCs w:val="20"/>
        </w:rPr>
        <w:t xml:space="preserve">. </w:t>
      </w:r>
    </w:p>
  </w:footnote>
  <w:footnote w:id="5">
    <w:p w14:paraId="0F743CB8" w14:textId="77777777" w:rsidR="00EC79BA" w:rsidRPr="00B815C6" w:rsidRDefault="00EC79BA" w:rsidP="004A4550">
      <w:pPr>
        <w:spacing w:after="0" w:line="480" w:lineRule="auto"/>
        <w:rPr>
          <w:rFonts w:ascii="Times New Roman" w:eastAsia="Times New Roman" w:hAnsi="Times New Roman" w:cs="Times New Roman"/>
          <w:sz w:val="20"/>
          <w:szCs w:val="20"/>
        </w:rPr>
      </w:pPr>
      <w:r w:rsidRPr="00B815C6">
        <w:rPr>
          <w:rStyle w:val="FootnoteReference"/>
          <w:rFonts w:ascii="Times New Roman" w:hAnsi="Times New Roman" w:cs="Times New Roman"/>
          <w:sz w:val="20"/>
          <w:szCs w:val="20"/>
        </w:rPr>
        <w:footnoteRef/>
      </w:r>
      <w:r w:rsidRPr="00B815C6">
        <w:rPr>
          <w:rFonts w:ascii="Times New Roman" w:hAnsi="Times New Roman" w:cs="Times New Roman"/>
          <w:sz w:val="20"/>
          <w:szCs w:val="20"/>
        </w:rPr>
        <w:t xml:space="preserve"> </w:t>
      </w:r>
      <w:r w:rsidRPr="00B815C6">
        <w:rPr>
          <w:rFonts w:ascii="Times New Roman" w:eastAsia="Times New Roman" w:hAnsi="Times New Roman" w:cs="Times New Roman"/>
          <w:color w:val="000000"/>
          <w:sz w:val="20"/>
          <w:szCs w:val="20"/>
        </w:rPr>
        <w:t xml:space="preserve">Brazil, Chile, China, Colombia, Egypt, India, Malaysia, Philippines, Thailand, Turkey, and South Africa. </w:t>
      </w:r>
    </w:p>
    <w:p w14:paraId="794A08CD" w14:textId="77777777" w:rsidR="00EC79BA" w:rsidRPr="00946B79" w:rsidRDefault="00EC79BA" w:rsidP="004A4550">
      <w:pPr>
        <w:pStyle w:val="FootnoteText"/>
        <w:rPr>
          <w:rFonts w:ascii="Times New Roman" w:hAnsi="Times New Roman" w:cs="Times New Roman"/>
        </w:rPr>
      </w:pPr>
    </w:p>
  </w:footnote>
  <w:footnote w:id="6">
    <w:p w14:paraId="284095E3" w14:textId="77777777" w:rsidR="00EC79BA" w:rsidRPr="00946B79" w:rsidRDefault="00EC79BA" w:rsidP="00AF36FF">
      <w:pPr>
        <w:pStyle w:val="FootnoteText"/>
        <w:jc w:val="both"/>
        <w:rPr>
          <w:rFonts w:ascii="Times New Roman" w:hAnsi="Times New Roman" w:cs="Times New Roman"/>
        </w:rPr>
      </w:pPr>
      <w:r w:rsidRPr="00946B79">
        <w:rPr>
          <w:rStyle w:val="FootnoteReference"/>
          <w:rFonts w:ascii="Times New Roman" w:hAnsi="Times New Roman" w:cs="Times New Roman"/>
        </w:rPr>
        <w:footnoteRef/>
      </w:r>
      <w:r w:rsidRPr="00946B79">
        <w:rPr>
          <w:rFonts w:ascii="Times New Roman" w:hAnsi="Times New Roman" w:cs="Times New Roman"/>
        </w:rPr>
        <w:t xml:space="preserve"> The average growth rates are based on data from the Reserve Bank of India (2005), the National Bureau of Statistics (2005)</w:t>
      </w:r>
      <w:r>
        <w:rPr>
          <w:rFonts w:ascii="Times New Roman" w:hAnsi="Times New Roman" w:cs="Times New Roman"/>
        </w:rPr>
        <w:t>,</w:t>
      </w:r>
      <w:r w:rsidRPr="00946B79">
        <w:rPr>
          <w:rFonts w:ascii="Times New Roman" w:hAnsi="Times New Roman" w:cs="Times New Roman"/>
        </w:rPr>
        <w:t xml:space="preserve"> and China’s newly released economic survey results (www.stats.gov.cn). </w:t>
      </w:r>
      <w:smartTag w:uri="urn:schemas-microsoft-com:office:smarttags" w:element="place">
        <w:smartTag w:uri="urn:schemas-microsoft-com:office:smarttags" w:element="country-region">
          <w:r w:rsidRPr="00946B79">
            <w:rPr>
              <w:rFonts w:ascii="Times New Roman" w:hAnsi="Times New Roman" w:cs="Times New Roman"/>
            </w:rPr>
            <w:t>China</w:t>
          </w:r>
        </w:smartTag>
      </w:smartTag>
      <w:r w:rsidRPr="00946B79">
        <w:rPr>
          <w:rFonts w:ascii="Times New Roman" w:hAnsi="Times New Roman" w:cs="Times New Roman"/>
        </w:rPr>
        <w:t xml:space="preserve"> conducted a nation-wide economic survey in 2005. The survey results </w:t>
      </w:r>
      <w:r>
        <w:rPr>
          <w:rFonts w:ascii="Times New Roman" w:hAnsi="Times New Roman" w:cs="Times New Roman"/>
        </w:rPr>
        <w:t xml:space="preserve">that were </w:t>
      </w:r>
      <w:r w:rsidRPr="00946B79">
        <w:rPr>
          <w:rFonts w:ascii="Times New Roman" w:hAnsi="Times New Roman" w:cs="Times New Roman"/>
        </w:rPr>
        <w:t xml:space="preserve">released in January 2006 show that China’s GDP in 2004 was underreported by 16.8 per cent (Zhu 2005). The discrepancy was mainly due to </w:t>
      </w:r>
      <w:r>
        <w:rPr>
          <w:rFonts w:ascii="Times New Roman" w:hAnsi="Times New Roman" w:cs="Times New Roman"/>
        </w:rPr>
        <w:t xml:space="preserve">an </w:t>
      </w:r>
      <w:r w:rsidRPr="00946B79">
        <w:rPr>
          <w:rFonts w:ascii="Times New Roman" w:hAnsi="Times New Roman" w:cs="Times New Roman"/>
        </w:rPr>
        <w:t xml:space="preserve">underreporting of </w:t>
      </w:r>
      <w:r>
        <w:rPr>
          <w:rFonts w:ascii="Times New Roman" w:hAnsi="Times New Roman" w:cs="Times New Roman"/>
        </w:rPr>
        <w:t xml:space="preserve">the </w:t>
      </w:r>
      <w:r w:rsidRPr="00946B79">
        <w:rPr>
          <w:rFonts w:ascii="Times New Roman" w:hAnsi="Times New Roman" w:cs="Times New Roman"/>
        </w:rPr>
        <w:t xml:space="preserve">service sector economic activities. </w:t>
      </w:r>
      <w:r>
        <w:rPr>
          <w:rFonts w:ascii="Times New Roman" w:hAnsi="Times New Roman" w:cs="Times New Roman"/>
        </w:rPr>
        <w:t xml:space="preserve">The </w:t>
      </w:r>
      <w:r w:rsidRPr="00946B79">
        <w:rPr>
          <w:rFonts w:ascii="Times New Roman" w:hAnsi="Times New Roman" w:cs="Times New Roman"/>
        </w:rPr>
        <w:t>Chinese government subsequently revised and released the country’s historical GDP statistics back to 1993 (www.stats.gov.cn). Where</w:t>
      </w:r>
      <w:r>
        <w:rPr>
          <w:rFonts w:ascii="Times New Roman" w:hAnsi="Times New Roman" w:cs="Times New Roman"/>
        </w:rPr>
        <w:t>ver</w:t>
      </w:r>
      <w:r w:rsidRPr="00946B79">
        <w:rPr>
          <w:rFonts w:ascii="Times New Roman" w:hAnsi="Times New Roman" w:cs="Times New Roman"/>
        </w:rPr>
        <w:t xml:space="preserve"> possible, the newly released data are employed in this study.</w:t>
      </w:r>
    </w:p>
  </w:footnote>
  <w:footnote w:id="7">
    <w:p w14:paraId="50C2F137" w14:textId="77777777" w:rsidR="00EC79BA" w:rsidRPr="00946B79" w:rsidRDefault="00EC79BA" w:rsidP="00AF36FF">
      <w:pPr>
        <w:pStyle w:val="FootnoteText"/>
        <w:rPr>
          <w:rFonts w:ascii="Times New Roman" w:hAnsi="Times New Roman" w:cs="Times New Roman"/>
        </w:rPr>
      </w:pPr>
      <w:r w:rsidRPr="00946B79">
        <w:rPr>
          <w:rStyle w:val="FootnoteReference"/>
          <w:rFonts w:ascii="Times New Roman" w:hAnsi="Times New Roman" w:cs="Times New Roman"/>
        </w:rPr>
        <w:footnoteRef/>
      </w:r>
      <w:r w:rsidRPr="00946B79">
        <w:rPr>
          <w:rFonts w:ascii="Times New Roman" w:hAnsi="Times New Roman" w:cs="Times New Roman"/>
        </w:rPr>
        <w:t xml:space="preserve"> This is based on </w:t>
      </w:r>
      <w:r>
        <w:rPr>
          <w:rFonts w:ascii="Times New Roman" w:hAnsi="Times New Roman" w:cs="Times New Roman"/>
        </w:rPr>
        <w:t xml:space="preserve">a </w:t>
      </w:r>
      <w:r w:rsidRPr="00946B79">
        <w:rPr>
          <w:rFonts w:ascii="Times New Roman" w:hAnsi="Times New Roman" w:cs="Times New Roman"/>
        </w:rPr>
        <w:t>revised estimate by the Reserve Bank of India (2005).</w:t>
      </w:r>
    </w:p>
  </w:footnote>
  <w:footnote w:id="8">
    <w:p w14:paraId="61ACBD52" w14:textId="79DE8E89" w:rsidR="00EC79BA" w:rsidRPr="00946B79" w:rsidRDefault="00EC79BA" w:rsidP="006458A6">
      <w:pPr>
        <w:pStyle w:val="FootnoteText"/>
        <w:jc w:val="both"/>
        <w:rPr>
          <w:rFonts w:ascii="Times New Roman" w:hAnsi="Times New Roman" w:cs="Times New Roman"/>
          <w:lang w:val="en-GB"/>
        </w:rPr>
      </w:pPr>
      <w:r w:rsidRPr="00946B79">
        <w:rPr>
          <w:rStyle w:val="FootnoteReference"/>
          <w:rFonts w:ascii="Times New Roman" w:hAnsi="Times New Roman" w:cs="Times New Roman"/>
        </w:rPr>
        <w:footnoteRef/>
      </w:r>
      <w:r w:rsidRPr="00946B79">
        <w:rPr>
          <w:rFonts w:ascii="Times New Roman" w:hAnsi="Times New Roman" w:cs="Times New Roman"/>
        </w:rPr>
        <w:t xml:space="preserve"> </w:t>
      </w:r>
      <w:r w:rsidRPr="00B815C6">
        <w:rPr>
          <w:rFonts w:ascii="Times New Roman" w:hAnsi="Times New Roman" w:cs="Times New Roman"/>
        </w:rPr>
        <w:t>Greece was excluded from the sample due to the crisis that characterized the country following the global financial meltdown in 2007</w:t>
      </w:r>
      <w:r>
        <w:rPr>
          <w:rFonts w:ascii="Times New Roman" w:hAnsi="Times New Roman" w:cs="Times New Roman"/>
        </w:rPr>
        <w:t>–</w:t>
      </w:r>
      <w:r w:rsidRPr="00B815C6">
        <w:rPr>
          <w:rFonts w:ascii="Times New Roman" w:hAnsi="Times New Roman" w:cs="Times New Roman"/>
        </w:rPr>
        <w:t>08.</w:t>
      </w:r>
      <w:r w:rsidRPr="00946B79">
        <w:rPr>
          <w:rFonts w:ascii="Times New Roman" w:hAnsi="Times New Roman" w:cs="Times New Roman"/>
        </w:rPr>
        <w:t xml:space="preserve"> </w:t>
      </w:r>
    </w:p>
  </w:footnote>
  <w:footnote w:id="9">
    <w:p w14:paraId="3AE7D3AC" w14:textId="2E7337B5" w:rsidR="00EC79BA" w:rsidRPr="00B815C6" w:rsidRDefault="00EC79BA" w:rsidP="003E6773">
      <w:pPr>
        <w:pStyle w:val="FootnoteText"/>
        <w:jc w:val="both"/>
        <w:rPr>
          <w:rFonts w:ascii="Times New Roman" w:hAnsi="Times New Roman" w:cs="Times New Roman"/>
          <w:lang w:val="en-GB"/>
        </w:rPr>
      </w:pPr>
      <w:r w:rsidRPr="00B815C6">
        <w:rPr>
          <w:rStyle w:val="FootnoteReference"/>
          <w:rFonts w:ascii="Times New Roman" w:hAnsi="Times New Roman" w:cs="Times New Roman"/>
        </w:rPr>
        <w:footnoteRef/>
      </w:r>
      <w:r w:rsidRPr="00B815C6">
        <w:rPr>
          <w:rFonts w:ascii="Times New Roman" w:hAnsi="Times New Roman" w:cs="Times New Roman"/>
        </w:rPr>
        <w:t xml:space="preserve"> </w:t>
      </w:r>
      <w:r w:rsidRPr="00B815C6">
        <w:rPr>
          <w:rFonts w:ascii="Times New Roman" w:hAnsi="Times New Roman" w:cs="Times New Roman"/>
          <w:lang w:val="en-GB"/>
        </w:rPr>
        <w:t>This assumption is consistent with Gonzalez and Dijk</w:t>
      </w:r>
      <w:r>
        <w:rPr>
          <w:rFonts w:ascii="Times New Roman" w:hAnsi="Times New Roman" w:cs="Times New Roman"/>
          <w:lang w:val="en-GB"/>
        </w:rPr>
        <w:t>’s</w:t>
      </w:r>
      <w:r w:rsidRPr="00B815C6">
        <w:rPr>
          <w:rFonts w:ascii="Times New Roman" w:hAnsi="Times New Roman" w:cs="Times New Roman"/>
          <w:lang w:val="en-GB"/>
        </w:rPr>
        <w:t xml:space="preserve"> (2005) </w:t>
      </w:r>
      <w:r w:rsidRPr="008937B5">
        <w:rPr>
          <w:rFonts w:ascii="Times New Roman" w:hAnsi="Times New Roman" w:cs="Times New Roman"/>
          <w:lang w:val="en-GB"/>
        </w:rPr>
        <w:t xml:space="preserve">view </w:t>
      </w:r>
      <w:r w:rsidRPr="00B815C6">
        <w:rPr>
          <w:rFonts w:ascii="Times New Roman" w:hAnsi="Times New Roman" w:cs="Times New Roman"/>
          <w:lang w:val="en-GB"/>
        </w:rPr>
        <w:t xml:space="preserve">that PSTR models with one or two transition functions (location parameters) are the commonly encountered types of variation in the parameters. This suggests that these models are sufficient to capture the heterogeneity in the effect of financial deepening on TFP growth.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ED037CA" w14:textId="77777777" w:rsidR="0012700F" w:rsidRDefault="0012700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imes New Roman" w:hAnsi="Times New Roman" w:cs="Times New Roman"/>
        <w:sz w:val="16"/>
        <w:szCs w:val="16"/>
      </w:rPr>
      <w:id w:val="-1018627691"/>
      <w:docPartObj>
        <w:docPartGallery w:val="Page Numbers (Top of Page)"/>
        <w:docPartUnique/>
      </w:docPartObj>
    </w:sdtPr>
    <w:sdtEndPr>
      <w:rPr>
        <w:noProof/>
        <w:color w:val="4F81BD" w:themeColor="accent1"/>
      </w:rPr>
    </w:sdtEndPr>
    <w:sdtContent>
      <w:p w14:paraId="09E372CF" w14:textId="5CC5944B" w:rsidR="00EC79BA" w:rsidRPr="008E4E1C" w:rsidRDefault="007835DC" w:rsidP="008E4E1C">
        <w:pPr>
          <w:pStyle w:val="Header"/>
          <w:jc w:val="center"/>
          <w:rPr>
            <w:rFonts w:ascii="Times New Roman" w:hAnsi="Times New Roman" w:cs="Times New Roman"/>
            <w:color w:val="4F81BD" w:themeColor="accent1"/>
            <w:sz w:val="16"/>
            <w:szCs w:val="16"/>
          </w:rPr>
        </w:pPr>
        <w:sdt>
          <w:sdtPr>
            <w:rPr>
              <w:rFonts w:ascii="Times New Roman" w:hAnsi="Times New Roman" w:cs="Times New Roman"/>
              <w:b/>
              <w:color w:val="222222"/>
              <w:sz w:val="16"/>
              <w:szCs w:val="16"/>
              <w:shd w:val="clear" w:color="auto" w:fill="FFFFFF"/>
            </w:rPr>
            <w:alias w:val="Title"/>
            <w:tag w:val=""/>
            <w:id w:val="819384745"/>
            <w:placeholder>
              <w:docPart w:val="0CFEEDA9F01E4EFFA7D88EDE6CBACC84"/>
            </w:placeholder>
            <w:dataBinding w:prefixMappings="xmlns:ns0='http://purl.org/dc/elements/1.1/' xmlns:ns1='http://schemas.openxmlformats.org/package/2006/metadata/core-properties' " w:xpath="/ns1:coreProperties[1]/ns0:title[1]" w:storeItemID="{6C3C8BC8-F283-45AE-878A-BAB7291924A1}"/>
            <w:text/>
          </w:sdtPr>
          <w:sdtEndPr/>
          <w:sdtContent>
            <w:r w:rsidR="00EC79BA" w:rsidRPr="008E4E1C">
              <w:rPr>
                <w:rFonts w:ascii="Times New Roman" w:hAnsi="Times New Roman" w:cs="Times New Roman"/>
                <w:b/>
                <w:color w:val="222222"/>
                <w:sz w:val="16"/>
                <w:szCs w:val="16"/>
                <w:shd w:val="clear" w:color="auto" w:fill="FFFFFF"/>
              </w:rPr>
              <w:t xml:space="preserve">Nonlinearity </w:t>
            </w:r>
            <w:r w:rsidR="00EC79BA">
              <w:rPr>
                <w:rFonts w:ascii="Times New Roman" w:hAnsi="Times New Roman" w:cs="Times New Roman"/>
                <w:b/>
                <w:color w:val="222222"/>
                <w:sz w:val="16"/>
                <w:szCs w:val="16"/>
                <w:shd w:val="clear" w:color="auto" w:fill="FFFFFF"/>
              </w:rPr>
              <w:t xml:space="preserve">between Financial Development and </w:t>
            </w:r>
            <w:r w:rsidR="00EC79BA" w:rsidRPr="008E4E1C">
              <w:rPr>
                <w:rFonts w:ascii="Times New Roman" w:hAnsi="Times New Roman" w:cs="Times New Roman"/>
                <w:b/>
                <w:color w:val="222222"/>
                <w:sz w:val="16"/>
                <w:szCs w:val="16"/>
                <w:shd w:val="clear" w:color="auto" w:fill="FFFFFF"/>
              </w:rPr>
              <w:t>Productivity Growth in Emerging Market</w:t>
            </w:r>
          </w:sdtContent>
        </w:sdt>
      </w:p>
    </w:sdtContent>
  </w:sdt>
  <w:p w14:paraId="0D65B8C1" w14:textId="0DDD9D2D" w:rsidR="00EC79BA" w:rsidRPr="008E4E1C" w:rsidRDefault="00EC79BA" w:rsidP="008E4E1C">
    <w:pPr>
      <w:pStyle w:val="Header"/>
      <w:jc w:val="center"/>
      <w:rPr>
        <w:rFonts w:ascii="Times New Roman" w:hAnsi="Times New Roman" w:cs="Times New Roman"/>
        <w:b/>
        <w:sz w:val="16"/>
        <w:szCs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ECC505" w14:textId="77777777" w:rsidR="0012700F" w:rsidRDefault="0012700F">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imes New Roman" w:hAnsi="Times New Roman" w:cs="Times New Roman"/>
        <w:sz w:val="16"/>
        <w:szCs w:val="16"/>
      </w:rPr>
      <w:id w:val="983668665"/>
      <w:docPartObj>
        <w:docPartGallery w:val="Page Numbers (Top of Page)"/>
        <w:docPartUnique/>
      </w:docPartObj>
    </w:sdtPr>
    <w:sdtEndPr>
      <w:rPr>
        <w:noProof/>
        <w:color w:val="4F81BD" w:themeColor="accent1"/>
      </w:rPr>
    </w:sdtEndPr>
    <w:sdtContent>
      <w:p w14:paraId="0BDD45E0" w14:textId="77777777" w:rsidR="00EC79BA" w:rsidRPr="008E4E1C" w:rsidRDefault="007835DC" w:rsidP="00D54D68">
        <w:pPr>
          <w:pStyle w:val="Header"/>
          <w:jc w:val="center"/>
          <w:rPr>
            <w:rFonts w:ascii="Times New Roman" w:hAnsi="Times New Roman" w:cs="Times New Roman"/>
            <w:color w:val="4F81BD" w:themeColor="accent1"/>
            <w:sz w:val="16"/>
            <w:szCs w:val="16"/>
          </w:rPr>
        </w:pPr>
        <w:sdt>
          <w:sdtPr>
            <w:rPr>
              <w:rFonts w:ascii="Times New Roman" w:hAnsi="Times New Roman" w:cs="Times New Roman"/>
              <w:b/>
              <w:color w:val="222222"/>
              <w:sz w:val="16"/>
              <w:szCs w:val="16"/>
              <w:shd w:val="clear" w:color="auto" w:fill="FFFFFF"/>
            </w:rPr>
            <w:alias w:val="Title"/>
            <w:tag w:val=""/>
            <w:id w:val="-355739206"/>
            <w:placeholder>
              <w:docPart w:val="50CDEB05E5014E35AD94FE50BF7730BC"/>
            </w:placeholder>
            <w:dataBinding w:prefixMappings="xmlns:ns0='http://purl.org/dc/elements/1.1/' xmlns:ns1='http://schemas.openxmlformats.org/package/2006/metadata/core-properties' " w:xpath="/ns1:coreProperties[1]/ns0:title[1]" w:storeItemID="{6C3C8BC8-F283-45AE-878A-BAB7291924A1}"/>
            <w:text/>
          </w:sdtPr>
          <w:sdtEndPr/>
          <w:sdtContent>
            <w:r w:rsidR="00EC79BA" w:rsidRPr="008E4E1C">
              <w:rPr>
                <w:rFonts w:ascii="Times New Roman" w:hAnsi="Times New Roman" w:cs="Times New Roman"/>
                <w:b/>
                <w:color w:val="222222"/>
                <w:sz w:val="16"/>
                <w:szCs w:val="16"/>
                <w:shd w:val="clear" w:color="auto" w:fill="FFFFFF"/>
              </w:rPr>
              <w:t xml:space="preserve">Nonlinearity </w:t>
            </w:r>
            <w:r w:rsidR="00EC79BA">
              <w:rPr>
                <w:rFonts w:ascii="Times New Roman" w:hAnsi="Times New Roman" w:cs="Times New Roman"/>
                <w:b/>
                <w:color w:val="222222"/>
                <w:sz w:val="16"/>
                <w:szCs w:val="16"/>
                <w:shd w:val="clear" w:color="auto" w:fill="FFFFFF"/>
              </w:rPr>
              <w:t xml:space="preserve">between Financial Development and </w:t>
            </w:r>
            <w:r w:rsidR="00EC79BA" w:rsidRPr="008E4E1C">
              <w:rPr>
                <w:rFonts w:ascii="Times New Roman" w:hAnsi="Times New Roman" w:cs="Times New Roman"/>
                <w:b/>
                <w:color w:val="222222"/>
                <w:sz w:val="16"/>
                <w:szCs w:val="16"/>
                <w:shd w:val="clear" w:color="auto" w:fill="FFFFFF"/>
              </w:rPr>
              <w:t>Productivity Growth in Emerging Market</w:t>
            </w:r>
          </w:sdtContent>
        </w:sdt>
      </w:p>
    </w:sdtContent>
  </w:sdt>
  <w:p w14:paraId="42CE53C1" w14:textId="77777777" w:rsidR="00EC79BA" w:rsidRPr="008E4E1C" w:rsidRDefault="00EC79BA" w:rsidP="00D54D68">
    <w:pPr>
      <w:pStyle w:val="Header"/>
      <w:jc w:val="center"/>
      <w:rPr>
        <w:rFonts w:ascii="Times New Roman" w:hAnsi="Times New Roman" w:cs="Times New Roman"/>
        <w:b/>
        <w:sz w:val="16"/>
        <w:szCs w:val="16"/>
      </w:rPr>
    </w:pPr>
  </w:p>
  <w:p w14:paraId="74E8445C" w14:textId="77777777" w:rsidR="00EC79BA" w:rsidRDefault="00EC79B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35F60D9"/>
    <w:multiLevelType w:val="multilevel"/>
    <w:tmpl w:val="787E1F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424756A9"/>
    <w:multiLevelType w:val="hybridMultilevel"/>
    <w:tmpl w:val="9E2A5350"/>
    <w:lvl w:ilvl="0" w:tplc="AC9A266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C6018A9"/>
    <w:multiLevelType w:val="hybridMultilevel"/>
    <w:tmpl w:val="964C6AB4"/>
    <w:lvl w:ilvl="0" w:tplc="D89C50B8">
      <w:start w:val="1"/>
      <w:numFmt w:val="decimal"/>
      <w:lvlText w:val="%1"/>
      <w:lvlJc w:val="left"/>
      <w:pPr>
        <w:ind w:left="360" w:hanging="360"/>
      </w:pPr>
      <w:rPr>
        <w:rFonts w:ascii="Times New Roman" w:eastAsia="Times New Roman" w:hAnsi="Times New Roman" w:cs="Times New Roman"/>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7CBA4C49"/>
    <w:multiLevelType w:val="multilevel"/>
    <w:tmpl w:val="C77469F6"/>
    <w:lvl w:ilvl="0">
      <w:start w:val="1"/>
      <w:numFmt w:val="decimal"/>
      <w:lvlText w:val="%1"/>
      <w:lvlJc w:val="left"/>
      <w:pPr>
        <w:ind w:left="360" w:hanging="360"/>
      </w:pPr>
      <w:rPr>
        <w:rFonts w:hint="default"/>
        <w:b w:val="0"/>
      </w:rPr>
    </w:lvl>
    <w:lvl w:ilvl="1">
      <w:start w:val="1"/>
      <w:numFmt w:val="decimal"/>
      <w:lvlText w:val="%1.%2"/>
      <w:lvlJc w:val="left"/>
      <w:pPr>
        <w:ind w:left="360" w:hanging="36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9"/>
  <w:activeWritingStyle w:appName="MSWord" w:lang="fr-FR" w:vendorID="64" w:dllVersion="6" w:nlCheck="1" w:checkStyle="0"/>
  <w:activeWritingStyle w:appName="MSWord" w:lang="en-US" w:vendorID="64" w:dllVersion="6" w:nlCheck="1" w:checkStyle="1"/>
  <w:activeWritingStyle w:appName="MSWord" w:lang="en-GB" w:vendorID="64" w:dllVersion="6" w:nlCheck="1" w:checkStyle="1"/>
  <w:activeWritingStyle w:appName="MSWord" w:lang="en-US" w:vendorID="64" w:dllVersion="0" w:nlCheck="1" w:checkStyle="0"/>
  <w:activeWritingStyle w:appName="MSWord" w:lang="en-GB" w:vendorID="64" w:dllVersion="0" w:nlCheck="1" w:checkStyle="0"/>
  <w:activeWritingStyle w:appName="MSWord" w:lang="fr-FR" w:vendorID="64" w:dllVersion="0" w:nlCheck="1" w:checkStyle="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TMxMDSyMLEwNDE3NjNW0lEKTi0uzszPAykwrgUAl4lp/ywAAAA="/>
  </w:docVars>
  <w:rsids>
    <w:rsidRoot w:val="003A604F"/>
    <w:rsid w:val="00003143"/>
    <w:rsid w:val="00003963"/>
    <w:rsid w:val="0000629A"/>
    <w:rsid w:val="00007CB5"/>
    <w:rsid w:val="000115F5"/>
    <w:rsid w:val="00023145"/>
    <w:rsid w:val="000246BD"/>
    <w:rsid w:val="000441D0"/>
    <w:rsid w:val="00046620"/>
    <w:rsid w:val="000547C7"/>
    <w:rsid w:val="00055AFB"/>
    <w:rsid w:val="00064A7C"/>
    <w:rsid w:val="00073C5F"/>
    <w:rsid w:val="000745DF"/>
    <w:rsid w:val="00075B8A"/>
    <w:rsid w:val="000800A0"/>
    <w:rsid w:val="000876B1"/>
    <w:rsid w:val="00087D66"/>
    <w:rsid w:val="00093387"/>
    <w:rsid w:val="00094320"/>
    <w:rsid w:val="000965A8"/>
    <w:rsid w:val="000A1D0C"/>
    <w:rsid w:val="000A6FCF"/>
    <w:rsid w:val="000A7C09"/>
    <w:rsid w:val="000B0D5E"/>
    <w:rsid w:val="000B22AF"/>
    <w:rsid w:val="000C0770"/>
    <w:rsid w:val="000D33DC"/>
    <w:rsid w:val="000E0CF0"/>
    <w:rsid w:val="000E4E90"/>
    <w:rsid w:val="000F3D24"/>
    <w:rsid w:val="00104B97"/>
    <w:rsid w:val="0010575C"/>
    <w:rsid w:val="00105BE3"/>
    <w:rsid w:val="00107874"/>
    <w:rsid w:val="00110B1A"/>
    <w:rsid w:val="00113A7D"/>
    <w:rsid w:val="00122CBB"/>
    <w:rsid w:val="00122E08"/>
    <w:rsid w:val="00125234"/>
    <w:rsid w:val="00125DA4"/>
    <w:rsid w:val="0012700F"/>
    <w:rsid w:val="00130B77"/>
    <w:rsid w:val="00130C35"/>
    <w:rsid w:val="00146409"/>
    <w:rsid w:val="00153A4D"/>
    <w:rsid w:val="001621FB"/>
    <w:rsid w:val="0016307B"/>
    <w:rsid w:val="00167E55"/>
    <w:rsid w:val="001716AB"/>
    <w:rsid w:val="00172423"/>
    <w:rsid w:val="00173C18"/>
    <w:rsid w:val="00177384"/>
    <w:rsid w:val="00180D93"/>
    <w:rsid w:val="00180DA9"/>
    <w:rsid w:val="001858EB"/>
    <w:rsid w:val="00186061"/>
    <w:rsid w:val="001861DE"/>
    <w:rsid w:val="001909E6"/>
    <w:rsid w:val="00192FFE"/>
    <w:rsid w:val="00194E89"/>
    <w:rsid w:val="0019582C"/>
    <w:rsid w:val="001A701B"/>
    <w:rsid w:val="001B1426"/>
    <w:rsid w:val="001C2326"/>
    <w:rsid w:val="001C24EC"/>
    <w:rsid w:val="001C4697"/>
    <w:rsid w:val="001C4C24"/>
    <w:rsid w:val="001D5810"/>
    <w:rsid w:val="001E2487"/>
    <w:rsid w:val="001E3554"/>
    <w:rsid w:val="001F1EC6"/>
    <w:rsid w:val="002060AD"/>
    <w:rsid w:val="002079F0"/>
    <w:rsid w:val="002151B2"/>
    <w:rsid w:val="00221ECB"/>
    <w:rsid w:val="00224319"/>
    <w:rsid w:val="00230A9B"/>
    <w:rsid w:val="00233AE1"/>
    <w:rsid w:val="00244543"/>
    <w:rsid w:val="002507E8"/>
    <w:rsid w:val="0026255A"/>
    <w:rsid w:val="00275201"/>
    <w:rsid w:val="0027556B"/>
    <w:rsid w:val="0027726A"/>
    <w:rsid w:val="0028318F"/>
    <w:rsid w:val="002859A1"/>
    <w:rsid w:val="00295546"/>
    <w:rsid w:val="002A1470"/>
    <w:rsid w:val="002A70A9"/>
    <w:rsid w:val="002A7A00"/>
    <w:rsid w:val="002B2B1A"/>
    <w:rsid w:val="002B3324"/>
    <w:rsid w:val="002B40E2"/>
    <w:rsid w:val="002B4F66"/>
    <w:rsid w:val="002B69DD"/>
    <w:rsid w:val="002C3A68"/>
    <w:rsid w:val="002D2431"/>
    <w:rsid w:val="002D7A44"/>
    <w:rsid w:val="002D7B12"/>
    <w:rsid w:val="002E3362"/>
    <w:rsid w:val="002F2238"/>
    <w:rsid w:val="002F3EC8"/>
    <w:rsid w:val="002F45F1"/>
    <w:rsid w:val="002F73DF"/>
    <w:rsid w:val="00302B75"/>
    <w:rsid w:val="00306ECF"/>
    <w:rsid w:val="00317CF9"/>
    <w:rsid w:val="0032350D"/>
    <w:rsid w:val="003247FB"/>
    <w:rsid w:val="003265DA"/>
    <w:rsid w:val="00330712"/>
    <w:rsid w:val="00332CFE"/>
    <w:rsid w:val="00335E63"/>
    <w:rsid w:val="00343690"/>
    <w:rsid w:val="00345989"/>
    <w:rsid w:val="00345BF1"/>
    <w:rsid w:val="00360EB4"/>
    <w:rsid w:val="00361BD4"/>
    <w:rsid w:val="00382CF6"/>
    <w:rsid w:val="00383D1E"/>
    <w:rsid w:val="003859AB"/>
    <w:rsid w:val="0039099E"/>
    <w:rsid w:val="00392DBF"/>
    <w:rsid w:val="00393A0E"/>
    <w:rsid w:val="00394164"/>
    <w:rsid w:val="003A5580"/>
    <w:rsid w:val="003A5CD4"/>
    <w:rsid w:val="003A604F"/>
    <w:rsid w:val="003B2BF6"/>
    <w:rsid w:val="003C7EFC"/>
    <w:rsid w:val="003D07B2"/>
    <w:rsid w:val="003D0838"/>
    <w:rsid w:val="003D13AD"/>
    <w:rsid w:val="003D2875"/>
    <w:rsid w:val="003D41CA"/>
    <w:rsid w:val="003D5822"/>
    <w:rsid w:val="003E04A5"/>
    <w:rsid w:val="003E2BF7"/>
    <w:rsid w:val="003E4C58"/>
    <w:rsid w:val="003E6773"/>
    <w:rsid w:val="003F3554"/>
    <w:rsid w:val="003F4D6F"/>
    <w:rsid w:val="003F5053"/>
    <w:rsid w:val="00404782"/>
    <w:rsid w:val="00407734"/>
    <w:rsid w:val="00420781"/>
    <w:rsid w:val="004209A1"/>
    <w:rsid w:val="004218B4"/>
    <w:rsid w:val="00421F9A"/>
    <w:rsid w:val="00423833"/>
    <w:rsid w:val="004311DC"/>
    <w:rsid w:val="0043540A"/>
    <w:rsid w:val="00436168"/>
    <w:rsid w:val="004367A6"/>
    <w:rsid w:val="00442E2E"/>
    <w:rsid w:val="00443DD6"/>
    <w:rsid w:val="00444604"/>
    <w:rsid w:val="00444692"/>
    <w:rsid w:val="0045068B"/>
    <w:rsid w:val="004519E4"/>
    <w:rsid w:val="00466249"/>
    <w:rsid w:val="00466785"/>
    <w:rsid w:val="00471D44"/>
    <w:rsid w:val="00473A9E"/>
    <w:rsid w:val="00475189"/>
    <w:rsid w:val="00475917"/>
    <w:rsid w:val="004774C9"/>
    <w:rsid w:val="00481568"/>
    <w:rsid w:val="00487CC3"/>
    <w:rsid w:val="004919FC"/>
    <w:rsid w:val="004937F9"/>
    <w:rsid w:val="004948B8"/>
    <w:rsid w:val="004A171F"/>
    <w:rsid w:val="004A246E"/>
    <w:rsid w:val="004A4550"/>
    <w:rsid w:val="004A7C75"/>
    <w:rsid w:val="004B066E"/>
    <w:rsid w:val="004B1038"/>
    <w:rsid w:val="004B1673"/>
    <w:rsid w:val="004B5BCD"/>
    <w:rsid w:val="004B6017"/>
    <w:rsid w:val="004B602A"/>
    <w:rsid w:val="004B63F8"/>
    <w:rsid w:val="004C0532"/>
    <w:rsid w:val="004C0FF5"/>
    <w:rsid w:val="004C1867"/>
    <w:rsid w:val="004C1987"/>
    <w:rsid w:val="004C19AD"/>
    <w:rsid w:val="004C211B"/>
    <w:rsid w:val="004C2368"/>
    <w:rsid w:val="004C54A2"/>
    <w:rsid w:val="004D227A"/>
    <w:rsid w:val="004D3814"/>
    <w:rsid w:val="004D4DEC"/>
    <w:rsid w:val="004D6A90"/>
    <w:rsid w:val="004E195B"/>
    <w:rsid w:val="004E306D"/>
    <w:rsid w:val="004E7249"/>
    <w:rsid w:val="004F2B68"/>
    <w:rsid w:val="00503DF4"/>
    <w:rsid w:val="00505248"/>
    <w:rsid w:val="0050525F"/>
    <w:rsid w:val="005108AE"/>
    <w:rsid w:val="00512497"/>
    <w:rsid w:val="00516421"/>
    <w:rsid w:val="005273CC"/>
    <w:rsid w:val="0053743F"/>
    <w:rsid w:val="00543728"/>
    <w:rsid w:val="00555676"/>
    <w:rsid w:val="00562990"/>
    <w:rsid w:val="00564A3D"/>
    <w:rsid w:val="00566897"/>
    <w:rsid w:val="00575C7B"/>
    <w:rsid w:val="00581890"/>
    <w:rsid w:val="0059044D"/>
    <w:rsid w:val="00596357"/>
    <w:rsid w:val="005B0010"/>
    <w:rsid w:val="005B0C1E"/>
    <w:rsid w:val="005C0778"/>
    <w:rsid w:val="005C46A4"/>
    <w:rsid w:val="005D1C06"/>
    <w:rsid w:val="005D562B"/>
    <w:rsid w:val="005E46BF"/>
    <w:rsid w:val="005E5C51"/>
    <w:rsid w:val="005E64F0"/>
    <w:rsid w:val="005E7661"/>
    <w:rsid w:val="005F2D2E"/>
    <w:rsid w:val="005F6113"/>
    <w:rsid w:val="005F7233"/>
    <w:rsid w:val="00610DD2"/>
    <w:rsid w:val="00616D42"/>
    <w:rsid w:val="00617B23"/>
    <w:rsid w:val="006233A8"/>
    <w:rsid w:val="0062438A"/>
    <w:rsid w:val="00627138"/>
    <w:rsid w:val="0062794D"/>
    <w:rsid w:val="0063357E"/>
    <w:rsid w:val="00634A09"/>
    <w:rsid w:val="00635281"/>
    <w:rsid w:val="006364DF"/>
    <w:rsid w:val="00637FB0"/>
    <w:rsid w:val="00643FE9"/>
    <w:rsid w:val="006458A6"/>
    <w:rsid w:val="00654763"/>
    <w:rsid w:val="0065664F"/>
    <w:rsid w:val="006639F6"/>
    <w:rsid w:val="00663E92"/>
    <w:rsid w:val="00677184"/>
    <w:rsid w:val="00677D98"/>
    <w:rsid w:val="006817FF"/>
    <w:rsid w:val="00696551"/>
    <w:rsid w:val="006A112D"/>
    <w:rsid w:val="006A2879"/>
    <w:rsid w:val="006B4ABD"/>
    <w:rsid w:val="006B5739"/>
    <w:rsid w:val="006B5DF7"/>
    <w:rsid w:val="006C1DD4"/>
    <w:rsid w:val="006D635B"/>
    <w:rsid w:val="006E048B"/>
    <w:rsid w:val="006E112E"/>
    <w:rsid w:val="006E6BAC"/>
    <w:rsid w:val="006E713B"/>
    <w:rsid w:val="006E78A8"/>
    <w:rsid w:val="006F1217"/>
    <w:rsid w:val="006F20DE"/>
    <w:rsid w:val="00702559"/>
    <w:rsid w:val="0070259F"/>
    <w:rsid w:val="007033CF"/>
    <w:rsid w:val="00703549"/>
    <w:rsid w:val="00703E73"/>
    <w:rsid w:val="00711189"/>
    <w:rsid w:val="00715683"/>
    <w:rsid w:val="00723E05"/>
    <w:rsid w:val="00731D54"/>
    <w:rsid w:val="007321DA"/>
    <w:rsid w:val="00733718"/>
    <w:rsid w:val="00736296"/>
    <w:rsid w:val="0074421A"/>
    <w:rsid w:val="00744FC0"/>
    <w:rsid w:val="00747386"/>
    <w:rsid w:val="00755EDC"/>
    <w:rsid w:val="00764F2D"/>
    <w:rsid w:val="007651DD"/>
    <w:rsid w:val="007665D4"/>
    <w:rsid w:val="00776B5F"/>
    <w:rsid w:val="007835DC"/>
    <w:rsid w:val="007A3F63"/>
    <w:rsid w:val="007A409A"/>
    <w:rsid w:val="007A4477"/>
    <w:rsid w:val="007B08CF"/>
    <w:rsid w:val="007B0FFE"/>
    <w:rsid w:val="007B135E"/>
    <w:rsid w:val="007C16AF"/>
    <w:rsid w:val="007C288F"/>
    <w:rsid w:val="007D1B29"/>
    <w:rsid w:val="007D22C1"/>
    <w:rsid w:val="007D3121"/>
    <w:rsid w:val="007D4C19"/>
    <w:rsid w:val="007D5606"/>
    <w:rsid w:val="007E1741"/>
    <w:rsid w:val="007E27AB"/>
    <w:rsid w:val="007E27DE"/>
    <w:rsid w:val="007E3844"/>
    <w:rsid w:val="007E51A6"/>
    <w:rsid w:val="007E602F"/>
    <w:rsid w:val="007F05A8"/>
    <w:rsid w:val="00800863"/>
    <w:rsid w:val="0080130A"/>
    <w:rsid w:val="00807E74"/>
    <w:rsid w:val="008110D3"/>
    <w:rsid w:val="00812D22"/>
    <w:rsid w:val="0082388F"/>
    <w:rsid w:val="00825DBD"/>
    <w:rsid w:val="0082755D"/>
    <w:rsid w:val="00827C9F"/>
    <w:rsid w:val="00835338"/>
    <w:rsid w:val="00840F5F"/>
    <w:rsid w:val="0084213B"/>
    <w:rsid w:val="008428BB"/>
    <w:rsid w:val="00844AF0"/>
    <w:rsid w:val="00847349"/>
    <w:rsid w:val="00854FF0"/>
    <w:rsid w:val="00856D62"/>
    <w:rsid w:val="00857AFF"/>
    <w:rsid w:val="00863E5B"/>
    <w:rsid w:val="00863E80"/>
    <w:rsid w:val="00866053"/>
    <w:rsid w:val="00867453"/>
    <w:rsid w:val="00867BDD"/>
    <w:rsid w:val="008835BE"/>
    <w:rsid w:val="0088615B"/>
    <w:rsid w:val="00892DDE"/>
    <w:rsid w:val="008A03C7"/>
    <w:rsid w:val="008A1D7E"/>
    <w:rsid w:val="008B384A"/>
    <w:rsid w:val="008B52E9"/>
    <w:rsid w:val="008C64DC"/>
    <w:rsid w:val="008E0FF1"/>
    <w:rsid w:val="008E4BEB"/>
    <w:rsid w:val="008E4E1C"/>
    <w:rsid w:val="008E524D"/>
    <w:rsid w:val="008E58FB"/>
    <w:rsid w:val="009077A9"/>
    <w:rsid w:val="00920628"/>
    <w:rsid w:val="00931E54"/>
    <w:rsid w:val="00933EFA"/>
    <w:rsid w:val="009457CB"/>
    <w:rsid w:val="00946B79"/>
    <w:rsid w:val="00956CB9"/>
    <w:rsid w:val="00960B63"/>
    <w:rsid w:val="00961816"/>
    <w:rsid w:val="00963544"/>
    <w:rsid w:val="0096645A"/>
    <w:rsid w:val="009718EE"/>
    <w:rsid w:val="00972BC5"/>
    <w:rsid w:val="00973DDA"/>
    <w:rsid w:val="00980670"/>
    <w:rsid w:val="0098368A"/>
    <w:rsid w:val="00994C6D"/>
    <w:rsid w:val="0099714D"/>
    <w:rsid w:val="009A0610"/>
    <w:rsid w:val="009A0EBF"/>
    <w:rsid w:val="009A17A5"/>
    <w:rsid w:val="009B0AB4"/>
    <w:rsid w:val="009B3788"/>
    <w:rsid w:val="009C510B"/>
    <w:rsid w:val="009D180C"/>
    <w:rsid w:val="009D3363"/>
    <w:rsid w:val="009D71EF"/>
    <w:rsid w:val="009D7E3D"/>
    <w:rsid w:val="009E11AD"/>
    <w:rsid w:val="009E1DA0"/>
    <w:rsid w:val="009E2349"/>
    <w:rsid w:val="009E394C"/>
    <w:rsid w:val="009E486E"/>
    <w:rsid w:val="009E6750"/>
    <w:rsid w:val="009E67C6"/>
    <w:rsid w:val="009E7525"/>
    <w:rsid w:val="009F4FA7"/>
    <w:rsid w:val="009F6F5D"/>
    <w:rsid w:val="00A025D8"/>
    <w:rsid w:val="00A054E1"/>
    <w:rsid w:val="00A1061B"/>
    <w:rsid w:val="00A11287"/>
    <w:rsid w:val="00A15B3A"/>
    <w:rsid w:val="00A242A7"/>
    <w:rsid w:val="00A278DC"/>
    <w:rsid w:val="00A30B8E"/>
    <w:rsid w:val="00A311B0"/>
    <w:rsid w:val="00A33FF9"/>
    <w:rsid w:val="00A4186A"/>
    <w:rsid w:val="00A4745A"/>
    <w:rsid w:val="00A47B9A"/>
    <w:rsid w:val="00A51584"/>
    <w:rsid w:val="00A518EE"/>
    <w:rsid w:val="00A51E60"/>
    <w:rsid w:val="00A552FB"/>
    <w:rsid w:val="00A5739B"/>
    <w:rsid w:val="00A63D9D"/>
    <w:rsid w:val="00A644E5"/>
    <w:rsid w:val="00A64D6E"/>
    <w:rsid w:val="00A6659E"/>
    <w:rsid w:val="00A859B4"/>
    <w:rsid w:val="00A85B8F"/>
    <w:rsid w:val="00A9177B"/>
    <w:rsid w:val="00A92D99"/>
    <w:rsid w:val="00A947AA"/>
    <w:rsid w:val="00A959B2"/>
    <w:rsid w:val="00AA020B"/>
    <w:rsid w:val="00AA316B"/>
    <w:rsid w:val="00AA4763"/>
    <w:rsid w:val="00AB1052"/>
    <w:rsid w:val="00AB1527"/>
    <w:rsid w:val="00AB65ED"/>
    <w:rsid w:val="00AC0D70"/>
    <w:rsid w:val="00AC1C43"/>
    <w:rsid w:val="00AC1F90"/>
    <w:rsid w:val="00AC607E"/>
    <w:rsid w:val="00AD2DFB"/>
    <w:rsid w:val="00AD7146"/>
    <w:rsid w:val="00AE4DF1"/>
    <w:rsid w:val="00AE7BEA"/>
    <w:rsid w:val="00AF36FF"/>
    <w:rsid w:val="00AF59F2"/>
    <w:rsid w:val="00AF6477"/>
    <w:rsid w:val="00B07290"/>
    <w:rsid w:val="00B1018E"/>
    <w:rsid w:val="00B11A51"/>
    <w:rsid w:val="00B12C25"/>
    <w:rsid w:val="00B14762"/>
    <w:rsid w:val="00B174CB"/>
    <w:rsid w:val="00B229D3"/>
    <w:rsid w:val="00B23AA7"/>
    <w:rsid w:val="00B24BA0"/>
    <w:rsid w:val="00B2741C"/>
    <w:rsid w:val="00B32DC9"/>
    <w:rsid w:val="00B41419"/>
    <w:rsid w:val="00B45EF7"/>
    <w:rsid w:val="00B53C21"/>
    <w:rsid w:val="00B574AB"/>
    <w:rsid w:val="00B605A8"/>
    <w:rsid w:val="00B60862"/>
    <w:rsid w:val="00B60CFE"/>
    <w:rsid w:val="00B63D21"/>
    <w:rsid w:val="00B64DAE"/>
    <w:rsid w:val="00B65992"/>
    <w:rsid w:val="00B7027A"/>
    <w:rsid w:val="00B73412"/>
    <w:rsid w:val="00B75EEB"/>
    <w:rsid w:val="00B76743"/>
    <w:rsid w:val="00B76AFA"/>
    <w:rsid w:val="00B805C7"/>
    <w:rsid w:val="00B815C6"/>
    <w:rsid w:val="00B86F2D"/>
    <w:rsid w:val="00B91D10"/>
    <w:rsid w:val="00B928D4"/>
    <w:rsid w:val="00B97E3A"/>
    <w:rsid w:val="00BA018A"/>
    <w:rsid w:val="00BA4E85"/>
    <w:rsid w:val="00BB5B80"/>
    <w:rsid w:val="00BB5D09"/>
    <w:rsid w:val="00BC1FAD"/>
    <w:rsid w:val="00BC2542"/>
    <w:rsid w:val="00BD071E"/>
    <w:rsid w:val="00BD25EC"/>
    <w:rsid w:val="00BD295F"/>
    <w:rsid w:val="00BD348C"/>
    <w:rsid w:val="00BD642D"/>
    <w:rsid w:val="00BE09A6"/>
    <w:rsid w:val="00BE4DBA"/>
    <w:rsid w:val="00BE6E3D"/>
    <w:rsid w:val="00BF1F5C"/>
    <w:rsid w:val="00BF6EB0"/>
    <w:rsid w:val="00C12AD4"/>
    <w:rsid w:val="00C2374E"/>
    <w:rsid w:val="00C3003A"/>
    <w:rsid w:val="00C309E2"/>
    <w:rsid w:val="00C30EEC"/>
    <w:rsid w:val="00C34C01"/>
    <w:rsid w:val="00C40D74"/>
    <w:rsid w:val="00C47529"/>
    <w:rsid w:val="00C528C7"/>
    <w:rsid w:val="00C61065"/>
    <w:rsid w:val="00C6538A"/>
    <w:rsid w:val="00C66E50"/>
    <w:rsid w:val="00C70396"/>
    <w:rsid w:val="00C7063A"/>
    <w:rsid w:val="00C7361F"/>
    <w:rsid w:val="00C746F9"/>
    <w:rsid w:val="00C74C07"/>
    <w:rsid w:val="00C82A74"/>
    <w:rsid w:val="00C92876"/>
    <w:rsid w:val="00C95A8C"/>
    <w:rsid w:val="00CB2AD5"/>
    <w:rsid w:val="00CB36B7"/>
    <w:rsid w:val="00CC0524"/>
    <w:rsid w:val="00CC49D7"/>
    <w:rsid w:val="00CC5062"/>
    <w:rsid w:val="00CD2268"/>
    <w:rsid w:val="00CD3FA1"/>
    <w:rsid w:val="00CE7800"/>
    <w:rsid w:val="00CF283B"/>
    <w:rsid w:val="00CF30F2"/>
    <w:rsid w:val="00CF755D"/>
    <w:rsid w:val="00CF7B35"/>
    <w:rsid w:val="00D01DAE"/>
    <w:rsid w:val="00D04C72"/>
    <w:rsid w:val="00D06A39"/>
    <w:rsid w:val="00D20D03"/>
    <w:rsid w:val="00D21B4F"/>
    <w:rsid w:val="00D2684B"/>
    <w:rsid w:val="00D433CF"/>
    <w:rsid w:val="00D460EB"/>
    <w:rsid w:val="00D475B4"/>
    <w:rsid w:val="00D4781D"/>
    <w:rsid w:val="00D47E01"/>
    <w:rsid w:val="00D54D68"/>
    <w:rsid w:val="00D57328"/>
    <w:rsid w:val="00D65A4C"/>
    <w:rsid w:val="00D65FC5"/>
    <w:rsid w:val="00D740DA"/>
    <w:rsid w:val="00D74E6E"/>
    <w:rsid w:val="00D81C9E"/>
    <w:rsid w:val="00D97216"/>
    <w:rsid w:val="00D9792C"/>
    <w:rsid w:val="00DA0C6D"/>
    <w:rsid w:val="00DB0A32"/>
    <w:rsid w:val="00DB6DEC"/>
    <w:rsid w:val="00DB7C0B"/>
    <w:rsid w:val="00DC68BD"/>
    <w:rsid w:val="00DD6815"/>
    <w:rsid w:val="00DF2743"/>
    <w:rsid w:val="00DF6059"/>
    <w:rsid w:val="00DF7286"/>
    <w:rsid w:val="00E00F44"/>
    <w:rsid w:val="00E06934"/>
    <w:rsid w:val="00E108C9"/>
    <w:rsid w:val="00E11299"/>
    <w:rsid w:val="00E17FCA"/>
    <w:rsid w:val="00E22D31"/>
    <w:rsid w:val="00E2672A"/>
    <w:rsid w:val="00E311CF"/>
    <w:rsid w:val="00E3141D"/>
    <w:rsid w:val="00E315C9"/>
    <w:rsid w:val="00E317FA"/>
    <w:rsid w:val="00E34A5D"/>
    <w:rsid w:val="00E355DA"/>
    <w:rsid w:val="00E378F7"/>
    <w:rsid w:val="00E412C1"/>
    <w:rsid w:val="00E7030A"/>
    <w:rsid w:val="00E71D9F"/>
    <w:rsid w:val="00E730DE"/>
    <w:rsid w:val="00E9357D"/>
    <w:rsid w:val="00E95AA8"/>
    <w:rsid w:val="00E96D04"/>
    <w:rsid w:val="00EA4CA3"/>
    <w:rsid w:val="00EA5F8E"/>
    <w:rsid w:val="00EB0D1A"/>
    <w:rsid w:val="00EB6C7C"/>
    <w:rsid w:val="00EC6497"/>
    <w:rsid w:val="00EC79BA"/>
    <w:rsid w:val="00ED1D98"/>
    <w:rsid w:val="00ED5C97"/>
    <w:rsid w:val="00EE0CAC"/>
    <w:rsid w:val="00EE454F"/>
    <w:rsid w:val="00EF4C8B"/>
    <w:rsid w:val="00EF667B"/>
    <w:rsid w:val="00F0517B"/>
    <w:rsid w:val="00F06452"/>
    <w:rsid w:val="00F11614"/>
    <w:rsid w:val="00F14515"/>
    <w:rsid w:val="00F163A3"/>
    <w:rsid w:val="00F205F1"/>
    <w:rsid w:val="00F22E99"/>
    <w:rsid w:val="00F2701C"/>
    <w:rsid w:val="00F32493"/>
    <w:rsid w:val="00F32ABF"/>
    <w:rsid w:val="00F32FE0"/>
    <w:rsid w:val="00F405FE"/>
    <w:rsid w:val="00F41D11"/>
    <w:rsid w:val="00F47A5C"/>
    <w:rsid w:val="00F66269"/>
    <w:rsid w:val="00F82F24"/>
    <w:rsid w:val="00F83D69"/>
    <w:rsid w:val="00F90149"/>
    <w:rsid w:val="00F92AFD"/>
    <w:rsid w:val="00F9394D"/>
    <w:rsid w:val="00F97C5A"/>
    <w:rsid w:val="00FA125F"/>
    <w:rsid w:val="00FA1280"/>
    <w:rsid w:val="00FA405B"/>
    <w:rsid w:val="00FB2E51"/>
    <w:rsid w:val="00FD5CB5"/>
    <w:rsid w:val="00FE3083"/>
    <w:rsid w:val="00FE7F4F"/>
    <w:rsid w:val="00FF75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ountry-region"/>
  <w:shapeDefaults>
    <o:shapedefaults v:ext="edit" spidmax="2049"/>
    <o:shapelayout v:ext="edit">
      <o:idmap v:ext="edit" data="1"/>
    </o:shapelayout>
  </w:shapeDefaults>
  <w:decimalSymbol w:val="."/>
  <w:listSeparator w:val=","/>
  <w14:docId w14:val="58913873"/>
  <w15:docId w15:val="{70264D31-29D5-40C2-B3F7-4085D36EDF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A604F"/>
    <w:pPr>
      <w:spacing w:after="160" w:line="259" w:lineRule="auto"/>
    </w:pPr>
    <w:rPr>
      <w:lang w:val="en-US"/>
    </w:rPr>
  </w:style>
  <w:style w:type="paragraph" w:styleId="Heading1">
    <w:name w:val="heading 1"/>
    <w:basedOn w:val="Normal"/>
    <w:next w:val="Normal"/>
    <w:link w:val="Heading1Char"/>
    <w:uiPriority w:val="9"/>
    <w:qFormat/>
    <w:rsid w:val="00696551"/>
    <w:pPr>
      <w:keepNext/>
      <w:keepLines/>
      <w:spacing w:before="120" w:after="0" w:line="480" w:lineRule="auto"/>
      <w:jc w:val="center"/>
      <w:outlineLvl w:val="0"/>
    </w:pPr>
    <w:rPr>
      <w:rFonts w:ascii="Times New Roman" w:eastAsiaTheme="majorEastAsia" w:hAnsi="Times New Roman" w:cstheme="majorBidi"/>
      <w:b/>
      <w:bCs/>
      <w:sz w:val="24"/>
      <w:szCs w:val="28"/>
      <w:lang w:eastAsia="ja-JP"/>
    </w:rPr>
  </w:style>
  <w:style w:type="paragraph" w:styleId="Heading2">
    <w:name w:val="heading 2"/>
    <w:basedOn w:val="Normal"/>
    <w:next w:val="Normal"/>
    <w:link w:val="Heading2Char"/>
    <w:uiPriority w:val="9"/>
    <w:unhideWhenUsed/>
    <w:qFormat/>
    <w:rsid w:val="007D5606"/>
    <w:pPr>
      <w:keepNext/>
      <w:keepLines/>
      <w:spacing w:before="40" w:after="0" w:line="480" w:lineRule="auto"/>
      <w:outlineLvl w:val="1"/>
    </w:pPr>
    <w:rPr>
      <w:rFonts w:ascii="Times New Roman" w:eastAsiaTheme="majorEastAsia" w:hAnsi="Times New Roman" w:cstheme="majorBidi"/>
      <w:b/>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96551"/>
    <w:rPr>
      <w:rFonts w:ascii="Times New Roman" w:eastAsiaTheme="majorEastAsia" w:hAnsi="Times New Roman" w:cstheme="majorBidi"/>
      <w:b/>
      <w:bCs/>
      <w:sz w:val="24"/>
      <w:szCs w:val="28"/>
      <w:lang w:val="en-US" w:eastAsia="ja-JP"/>
    </w:rPr>
  </w:style>
  <w:style w:type="paragraph" w:styleId="Bibliography">
    <w:name w:val="Bibliography"/>
    <w:basedOn w:val="Normal"/>
    <w:next w:val="Normal"/>
    <w:uiPriority w:val="37"/>
    <w:unhideWhenUsed/>
    <w:rsid w:val="003A604F"/>
  </w:style>
  <w:style w:type="paragraph" w:styleId="BalloonText">
    <w:name w:val="Balloon Text"/>
    <w:basedOn w:val="Normal"/>
    <w:link w:val="BalloonTextChar"/>
    <w:uiPriority w:val="99"/>
    <w:semiHidden/>
    <w:unhideWhenUsed/>
    <w:rsid w:val="003A604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A604F"/>
    <w:rPr>
      <w:rFonts w:ascii="Tahoma" w:hAnsi="Tahoma" w:cs="Tahoma"/>
      <w:sz w:val="16"/>
      <w:szCs w:val="16"/>
      <w:lang w:val="en-US"/>
    </w:rPr>
  </w:style>
  <w:style w:type="paragraph" w:styleId="Header">
    <w:name w:val="header"/>
    <w:basedOn w:val="Normal"/>
    <w:link w:val="HeaderChar"/>
    <w:uiPriority w:val="99"/>
    <w:unhideWhenUsed/>
    <w:rsid w:val="003A604F"/>
    <w:pPr>
      <w:tabs>
        <w:tab w:val="center" w:pos="4513"/>
        <w:tab w:val="right" w:pos="9026"/>
      </w:tabs>
      <w:spacing w:after="0" w:line="240" w:lineRule="auto"/>
    </w:pPr>
  </w:style>
  <w:style w:type="character" w:customStyle="1" w:styleId="HeaderChar">
    <w:name w:val="Header Char"/>
    <w:basedOn w:val="DefaultParagraphFont"/>
    <w:link w:val="Header"/>
    <w:uiPriority w:val="99"/>
    <w:rsid w:val="003A604F"/>
    <w:rPr>
      <w:lang w:val="en-US"/>
    </w:rPr>
  </w:style>
  <w:style w:type="paragraph" w:styleId="Footer">
    <w:name w:val="footer"/>
    <w:basedOn w:val="Normal"/>
    <w:link w:val="FooterChar"/>
    <w:uiPriority w:val="99"/>
    <w:unhideWhenUsed/>
    <w:rsid w:val="003A604F"/>
    <w:pPr>
      <w:tabs>
        <w:tab w:val="center" w:pos="4513"/>
        <w:tab w:val="right" w:pos="9026"/>
      </w:tabs>
      <w:spacing w:after="0" w:line="240" w:lineRule="auto"/>
    </w:pPr>
  </w:style>
  <w:style w:type="character" w:customStyle="1" w:styleId="FooterChar">
    <w:name w:val="Footer Char"/>
    <w:basedOn w:val="DefaultParagraphFont"/>
    <w:link w:val="Footer"/>
    <w:uiPriority w:val="99"/>
    <w:rsid w:val="003A604F"/>
    <w:rPr>
      <w:lang w:val="en-US"/>
    </w:rPr>
  </w:style>
  <w:style w:type="paragraph" w:styleId="ListParagraph">
    <w:name w:val="List Paragraph"/>
    <w:basedOn w:val="Normal"/>
    <w:uiPriority w:val="34"/>
    <w:qFormat/>
    <w:rsid w:val="00566897"/>
    <w:pPr>
      <w:ind w:left="720"/>
      <w:contextualSpacing/>
    </w:pPr>
  </w:style>
  <w:style w:type="table" w:styleId="TableGrid">
    <w:name w:val="Table Grid"/>
    <w:basedOn w:val="TableNormal"/>
    <w:uiPriority w:val="59"/>
    <w:rsid w:val="00146409"/>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146409"/>
    <w:rPr>
      <w:color w:val="808080"/>
    </w:rPr>
  </w:style>
  <w:style w:type="paragraph" w:styleId="FootnoteText">
    <w:name w:val="footnote text"/>
    <w:basedOn w:val="Normal"/>
    <w:link w:val="FootnoteTextChar"/>
    <w:uiPriority w:val="99"/>
    <w:unhideWhenUsed/>
    <w:rsid w:val="00146409"/>
    <w:pPr>
      <w:spacing w:after="0" w:line="240" w:lineRule="auto"/>
    </w:pPr>
    <w:rPr>
      <w:sz w:val="20"/>
      <w:szCs w:val="20"/>
    </w:rPr>
  </w:style>
  <w:style w:type="character" w:customStyle="1" w:styleId="FootnoteTextChar">
    <w:name w:val="Footnote Text Char"/>
    <w:basedOn w:val="DefaultParagraphFont"/>
    <w:link w:val="FootnoteText"/>
    <w:uiPriority w:val="99"/>
    <w:rsid w:val="00146409"/>
    <w:rPr>
      <w:sz w:val="20"/>
      <w:szCs w:val="20"/>
      <w:lang w:val="en-US"/>
    </w:rPr>
  </w:style>
  <w:style w:type="character" w:styleId="FootnoteReference">
    <w:name w:val="footnote reference"/>
    <w:basedOn w:val="DefaultParagraphFont"/>
    <w:uiPriority w:val="99"/>
    <w:semiHidden/>
    <w:unhideWhenUsed/>
    <w:rsid w:val="00146409"/>
    <w:rPr>
      <w:vertAlign w:val="superscript"/>
    </w:rPr>
  </w:style>
  <w:style w:type="character" w:customStyle="1" w:styleId="st">
    <w:name w:val="st"/>
    <w:basedOn w:val="DefaultParagraphFont"/>
    <w:rsid w:val="00146409"/>
  </w:style>
  <w:style w:type="character" w:styleId="Emphasis">
    <w:name w:val="Emphasis"/>
    <w:basedOn w:val="DefaultParagraphFont"/>
    <w:uiPriority w:val="20"/>
    <w:qFormat/>
    <w:rsid w:val="00146409"/>
    <w:rPr>
      <w:i/>
      <w:iCs/>
    </w:rPr>
  </w:style>
  <w:style w:type="character" w:customStyle="1" w:styleId="tgc">
    <w:name w:val="_tgc"/>
    <w:basedOn w:val="DefaultParagraphFont"/>
    <w:rsid w:val="00146409"/>
  </w:style>
  <w:style w:type="paragraph" w:styleId="NoSpacing">
    <w:name w:val="No Spacing"/>
    <w:uiPriority w:val="1"/>
    <w:qFormat/>
    <w:rsid w:val="00146409"/>
    <w:pPr>
      <w:spacing w:after="0" w:line="240" w:lineRule="auto"/>
    </w:pPr>
    <w:rPr>
      <w:lang w:val="en-US"/>
    </w:rPr>
  </w:style>
  <w:style w:type="paragraph" w:styleId="NormalWeb">
    <w:name w:val="Normal (Web)"/>
    <w:basedOn w:val="Normal"/>
    <w:uiPriority w:val="99"/>
    <w:semiHidden/>
    <w:unhideWhenUsed/>
    <w:rsid w:val="002151B2"/>
    <w:pPr>
      <w:spacing w:before="100" w:beforeAutospacing="1" w:after="100" w:afterAutospacing="1"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125234"/>
    <w:rPr>
      <w:sz w:val="16"/>
      <w:szCs w:val="16"/>
    </w:rPr>
  </w:style>
  <w:style w:type="paragraph" w:styleId="CommentText">
    <w:name w:val="annotation text"/>
    <w:basedOn w:val="Normal"/>
    <w:link w:val="CommentTextChar"/>
    <w:unhideWhenUsed/>
    <w:rsid w:val="00125234"/>
    <w:pPr>
      <w:spacing w:line="240" w:lineRule="auto"/>
    </w:pPr>
    <w:rPr>
      <w:sz w:val="20"/>
      <w:szCs w:val="20"/>
    </w:rPr>
  </w:style>
  <w:style w:type="character" w:customStyle="1" w:styleId="CommentTextChar">
    <w:name w:val="Comment Text Char"/>
    <w:basedOn w:val="DefaultParagraphFont"/>
    <w:link w:val="CommentText"/>
    <w:rsid w:val="00125234"/>
    <w:rPr>
      <w:sz w:val="20"/>
      <w:szCs w:val="20"/>
      <w:lang w:val="en-US"/>
    </w:rPr>
  </w:style>
  <w:style w:type="paragraph" w:styleId="CommentSubject">
    <w:name w:val="annotation subject"/>
    <w:basedOn w:val="CommentText"/>
    <w:next w:val="CommentText"/>
    <w:link w:val="CommentSubjectChar"/>
    <w:uiPriority w:val="99"/>
    <w:semiHidden/>
    <w:unhideWhenUsed/>
    <w:rsid w:val="00125234"/>
    <w:rPr>
      <w:b/>
      <w:bCs/>
    </w:rPr>
  </w:style>
  <w:style w:type="character" w:customStyle="1" w:styleId="CommentSubjectChar">
    <w:name w:val="Comment Subject Char"/>
    <w:basedOn w:val="CommentTextChar"/>
    <w:link w:val="CommentSubject"/>
    <w:uiPriority w:val="99"/>
    <w:semiHidden/>
    <w:rsid w:val="00125234"/>
    <w:rPr>
      <w:b/>
      <w:bCs/>
      <w:sz w:val="20"/>
      <w:szCs w:val="20"/>
      <w:lang w:val="en-US"/>
    </w:rPr>
  </w:style>
  <w:style w:type="character" w:styleId="Hyperlink">
    <w:name w:val="Hyperlink"/>
    <w:basedOn w:val="DefaultParagraphFont"/>
    <w:uiPriority w:val="99"/>
    <w:unhideWhenUsed/>
    <w:rsid w:val="00FA1280"/>
    <w:rPr>
      <w:color w:val="0000FF" w:themeColor="hyperlink"/>
      <w:u w:val="single"/>
    </w:rPr>
  </w:style>
  <w:style w:type="character" w:customStyle="1" w:styleId="UnresolvedMention1">
    <w:name w:val="Unresolved Mention1"/>
    <w:basedOn w:val="DefaultParagraphFont"/>
    <w:uiPriority w:val="99"/>
    <w:semiHidden/>
    <w:unhideWhenUsed/>
    <w:rsid w:val="00FA1280"/>
    <w:rPr>
      <w:color w:val="808080"/>
      <w:shd w:val="clear" w:color="auto" w:fill="E6E6E6"/>
    </w:rPr>
  </w:style>
  <w:style w:type="paragraph" w:styleId="TOCHeading">
    <w:name w:val="TOC Heading"/>
    <w:basedOn w:val="Heading1"/>
    <w:next w:val="Normal"/>
    <w:uiPriority w:val="39"/>
    <w:unhideWhenUsed/>
    <w:qFormat/>
    <w:rsid w:val="00E108C9"/>
    <w:pPr>
      <w:spacing w:before="240" w:line="259" w:lineRule="auto"/>
      <w:outlineLvl w:val="9"/>
    </w:pPr>
    <w:rPr>
      <w:b w:val="0"/>
      <w:bCs w:val="0"/>
      <w:sz w:val="32"/>
      <w:szCs w:val="32"/>
      <w:lang w:eastAsia="en-US"/>
    </w:rPr>
  </w:style>
  <w:style w:type="paragraph" w:styleId="TOC1">
    <w:name w:val="toc 1"/>
    <w:basedOn w:val="Normal"/>
    <w:next w:val="Normal"/>
    <w:autoRedefine/>
    <w:uiPriority w:val="39"/>
    <w:unhideWhenUsed/>
    <w:rsid w:val="00E108C9"/>
    <w:pPr>
      <w:spacing w:after="100"/>
    </w:pPr>
  </w:style>
  <w:style w:type="character" w:customStyle="1" w:styleId="Heading2Char">
    <w:name w:val="Heading 2 Char"/>
    <w:basedOn w:val="DefaultParagraphFont"/>
    <w:link w:val="Heading2"/>
    <w:uiPriority w:val="9"/>
    <w:rsid w:val="007D5606"/>
    <w:rPr>
      <w:rFonts w:ascii="Times New Roman" w:eastAsiaTheme="majorEastAsia" w:hAnsi="Times New Roman" w:cstheme="majorBidi"/>
      <w:b/>
      <w:sz w:val="24"/>
      <w:szCs w:val="26"/>
      <w:lang w:val="en-US"/>
    </w:rPr>
  </w:style>
  <w:style w:type="paragraph" w:styleId="TOC2">
    <w:name w:val="toc 2"/>
    <w:basedOn w:val="Normal"/>
    <w:next w:val="Normal"/>
    <w:autoRedefine/>
    <w:uiPriority w:val="39"/>
    <w:unhideWhenUsed/>
    <w:rsid w:val="006C1DD4"/>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05470855">
      <w:bodyDiv w:val="1"/>
      <w:marLeft w:val="0"/>
      <w:marRight w:val="0"/>
      <w:marTop w:val="0"/>
      <w:marBottom w:val="0"/>
      <w:divBdr>
        <w:top w:val="none" w:sz="0" w:space="0" w:color="auto"/>
        <w:left w:val="none" w:sz="0" w:space="0" w:color="auto"/>
        <w:bottom w:val="none" w:sz="0" w:space="0" w:color="auto"/>
        <w:right w:val="none" w:sz="0" w:space="0" w:color="auto"/>
      </w:divBdr>
      <w:divsChild>
        <w:div w:id="431780138">
          <w:marLeft w:val="0"/>
          <w:marRight w:val="0"/>
          <w:marTop w:val="0"/>
          <w:marBottom w:val="0"/>
          <w:divBdr>
            <w:top w:val="none" w:sz="0" w:space="0" w:color="auto"/>
            <w:left w:val="none" w:sz="0" w:space="0" w:color="auto"/>
            <w:bottom w:val="none" w:sz="0" w:space="0" w:color="auto"/>
            <w:right w:val="none" w:sz="0" w:space="0" w:color="auto"/>
          </w:divBdr>
        </w:div>
        <w:div w:id="177275094">
          <w:marLeft w:val="0"/>
          <w:marRight w:val="0"/>
          <w:marTop w:val="0"/>
          <w:marBottom w:val="0"/>
          <w:divBdr>
            <w:top w:val="none" w:sz="0" w:space="0" w:color="auto"/>
            <w:left w:val="none" w:sz="0" w:space="0" w:color="auto"/>
            <w:bottom w:val="none" w:sz="0" w:space="0" w:color="auto"/>
            <w:right w:val="none" w:sz="0" w:space="0" w:color="auto"/>
          </w:divBdr>
        </w:div>
        <w:div w:id="592207039">
          <w:marLeft w:val="0"/>
          <w:marRight w:val="0"/>
          <w:marTop w:val="0"/>
          <w:marBottom w:val="0"/>
          <w:divBdr>
            <w:top w:val="none" w:sz="0" w:space="0" w:color="auto"/>
            <w:left w:val="none" w:sz="0" w:space="0" w:color="auto"/>
            <w:bottom w:val="none" w:sz="0" w:space="0" w:color="auto"/>
            <w:right w:val="none" w:sz="0" w:space="0" w:color="auto"/>
          </w:divBdr>
        </w:div>
        <w:div w:id="885524761">
          <w:marLeft w:val="0"/>
          <w:marRight w:val="0"/>
          <w:marTop w:val="0"/>
          <w:marBottom w:val="0"/>
          <w:divBdr>
            <w:top w:val="none" w:sz="0" w:space="0" w:color="auto"/>
            <w:left w:val="none" w:sz="0" w:space="0" w:color="auto"/>
            <w:bottom w:val="none" w:sz="0" w:space="0" w:color="auto"/>
            <w:right w:val="none" w:sz="0" w:space="0" w:color="auto"/>
          </w:divBdr>
        </w:div>
      </w:divsChild>
    </w:div>
    <w:div w:id="564528998">
      <w:bodyDiv w:val="1"/>
      <w:marLeft w:val="0"/>
      <w:marRight w:val="0"/>
      <w:marTop w:val="0"/>
      <w:marBottom w:val="0"/>
      <w:divBdr>
        <w:top w:val="none" w:sz="0" w:space="0" w:color="auto"/>
        <w:left w:val="none" w:sz="0" w:space="0" w:color="auto"/>
        <w:bottom w:val="none" w:sz="0" w:space="0" w:color="auto"/>
        <w:right w:val="none" w:sz="0" w:space="0" w:color="auto"/>
      </w:divBdr>
      <w:divsChild>
        <w:div w:id="1547180814">
          <w:marLeft w:val="0"/>
          <w:marRight w:val="0"/>
          <w:marTop w:val="0"/>
          <w:marBottom w:val="0"/>
          <w:divBdr>
            <w:top w:val="none" w:sz="0" w:space="0" w:color="auto"/>
            <w:left w:val="none" w:sz="0" w:space="0" w:color="auto"/>
            <w:bottom w:val="none" w:sz="0" w:space="0" w:color="auto"/>
            <w:right w:val="none" w:sz="0" w:space="0" w:color="auto"/>
          </w:divBdr>
        </w:div>
        <w:div w:id="2098666850">
          <w:marLeft w:val="0"/>
          <w:marRight w:val="0"/>
          <w:marTop w:val="0"/>
          <w:marBottom w:val="0"/>
          <w:divBdr>
            <w:top w:val="none" w:sz="0" w:space="0" w:color="auto"/>
            <w:left w:val="none" w:sz="0" w:space="0" w:color="auto"/>
            <w:bottom w:val="none" w:sz="0" w:space="0" w:color="auto"/>
            <w:right w:val="none" w:sz="0" w:space="0" w:color="auto"/>
          </w:divBdr>
        </w:div>
        <w:div w:id="969088477">
          <w:marLeft w:val="0"/>
          <w:marRight w:val="0"/>
          <w:marTop w:val="0"/>
          <w:marBottom w:val="0"/>
          <w:divBdr>
            <w:top w:val="none" w:sz="0" w:space="0" w:color="auto"/>
            <w:left w:val="none" w:sz="0" w:space="0" w:color="auto"/>
            <w:bottom w:val="none" w:sz="0" w:space="0" w:color="auto"/>
            <w:right w:val="none" w:sz="0" w:space="0" w:color="auto"/>
          </w:divBdr>
        </w:div>
        <w:div w:id="994647676">
          <w:marLeft w:val="0"/>
          <w:marRight w:val="0"/>
          <w:marTop w:val="0"/>
          <w:marBottom w:val="0"/>
          <w:divBdr>
            <w:top w:val="none" w:sz="0" w:space="0" w:color="auto"/>
            <w:left w:val="none" w:sz="0" w:space="0" w:color="auto"/>
            <w:bottom w:val="none" w:sz="0" w:space="0" w:color="auto"/>
            <w:right w:val="none" w:sz="0" w:space="0" w:color="auto"/>
          </w:divBdr>
        </w:div>
        <w:div w:id="2144035084">
          <w:marLeft w:val="0"/>
          <w:marRight w:val="0"/>
          <w:marTop w:val="0"/>
          <w:marBottom w:val="0"/>
          <w:divBdr>
            <w:top w:val="none" w:sz="0" w:space="0" w:color="auto"/>
            <w:left w:val="none" w:sz="0" w:space="0" w:color="auto"/>
            <w:bottom w:val="none" w:sz="0" w:space="0" w:color="auto"/>
            <w:right w:val="none" w:sz="0" w:space="0" w:color="auto"/>
          </w:divBdr>
        </w:div>
        <w:div w:id="810560895">
          <w:marLeft w:val="0"/>
          <w:marRight w:val="0"/>
          <w:marTop w:val="0"/>
          <w:marBottom w:val="0"/>
          <w:divBdr>
            <w:top w:val="none" w:sz="0" w:space="0" w:color="auto"/>
            <w:left w:val="none" w:sz="0" w:space="0" w:color="auto"/>
            <w:bottom w:val="none" w:sz="0" w:space="0" w:color="auto"/>
            <w:right w:val="none" w:sz="0" w:space="0" w:color="auto"/>
          </w:divBdr>
        </w:div>
        <w:div w:id="144051475">
          <w:marLeft w:val="0"/>
          <w:marRight w:val="0"/>
          <w:marTop w:val="0"/>
          <w:marBottom w:val="0"/>
          <w:divBdr>
            <w:top w:val="none" w:sz="0" w:space="0" w:color="auto"/>
            <w:left w:val="none" w:sz="0" w:space="0" w:color="auto"/>
            <w:bottom w:val="none" w:sz="0" w:space="0" w:color="auto"/>
            <w:right w:val="none" w:sz="0" w:space="0" w:color="auto"/>
          </w:divBdr>
        </w:div>
        <w:div w:id="660818256">
          <w:marLeft w:val="0"/>
          <w:marRight w:val="0"/>
          <w:marTop w:val="0"/>
          <w:marBottom w:val="0"/>
          <w:divBdr>
            <w:top w:val="none" w:sz="0" w:space="0" w:color="auto"/>
            <w:left w:val="none" w:sz="0" w:space="0" w:color="auto"/>
            <w:bottom w:val="none" w:sz="0" w:space="0" w:color="auto"/>
            <w:right w:val="none" w:sz="0" w:space="0" w:color="auto"/>
          </w:divBdr>
        </w:div>
      </w:divsChild>
    </w:div>
    <w:div w:id="767891647">
      <w:bodyDiv w:val="1"/>
      <w:marLeft w:val="0"/>
      <w:marRight w:val="0"/>
      <w:marTop w:val="0"/>
      <w:marBottom w:val="0"/>
      <w:divBdr>
        <w:top w:val="none" w:sz="0" w:space="0" w:color="auto"/>
        <w:left w:val="none" w:sz="0" w:space="0" w:color="auto"/>
        <w:bottom w:val="none" w:sz="0" w:space="0" w:color="auto"/>
        <w:right w:val="none" w:sz="0" w:space="0" w:color="auto"/>
      </w:divBdr>
    </w:div>
    <w:div w:id="1680622527">
      <w:bodyDiv w:val="1"/>
      <w:marLeft w:val="0"/>
      <w:marRight w:val="0"/>
      <w:marTop w:val="0"/>
      <w:marBottom w:val="0"/>
      <w:divBdr>
        <w:top w:val="none" w:sz="0" w:space="0" w:color="auto"/>
        <w:left w:val="none" w:sz="0" w:space="0" w:color="auto"/>
        <w:bottom w:val="none" w:sz="0" w:space="0" w:color="auto"/>
        <w:right w:val="none" w:sz="0" w:space="0" w:color="auto"/>
      </w:divBdr>
      <w:divsChild>
        <w:div w:id="965162493">
          <w:marLeft w:val="0"/>
          <w:marRight w:val="0"/>
          <w:marTop w:val="0"/>
          <w:marBottom w:val="0"/>
          <w:divBdr>
            <w:top w:val="none" w:sz="0" w:space="0" w:color="auto"/>
            <w:left w:val="none" w:sz="0" w:space="0" w:color="auto"/>
            <w:bottom w:val="none" w:sz="0" w:space="0" w:color="auto"/>
            <w:right w:val="none" w:sz="0" w:space="0" w:color="auto"/>
          </w:divBdr>
        </w:div>
        <w:div w:id="1417481346">
          <w:marLeft w:val="0"/>
          <w:marRight w:val="0"/>
          <w:marTop w:val="0"/>
          <w:marBottom w:val="0"/>
          <w:divBdr>
            <w:top w:val="none" w:sz="0" w:space="0" w:color="auto"/>
            <w:left w:val="none" w:sz="0" w:space="0" w:color="auto"/>
            <w:bottom w:val="none" w:sz="0" w:space="0" w:color="auto"/>
            <w:right w:val="none" w:sz="0" w:space="0" w:color="auto"/>
          </w:divBdr>
        </w:div>
        <w:div w:id="1601643394">
          <w:marLeft w:val="0"/>
          <w:marRight w:val="0"/>
          <w:marTop w:val="0"/>
          <w:marBottom w:val="0"/>
          <w:divBdr>
            <w:top w:val="none" w:sz="0" w:space="0" w:color="auto"/>
            <w:left w:val="none" w:sz="0" w:space="0" w:color="auto"/>
            <w:bottom w:val="none" w:sz="0" w:space="0" w:color="auto"/>
            <w:right w:val="none" w:sz="0" w:space="0" w:color="auto"/>
          </w:divBdr>
        </w:div>
        <w:div w:id="111085618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chart" Target="charts/chart5.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chart" Target="charts/chart8.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chart" Target="charts/chart4.xml"/><Relationship Id="rId25"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chart" Target="charts/chart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chart" Target="charts/chart2.xml"/><Relationship Id="rId23" Type="http://schemas.openxmlformats.org/officeDocument/2006/relationships/image" Target="media/image2.png"/><Relationship Id="rId28"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chart" Target="charts/chart6.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chart" Target="charts/chart1.xml"/><Relationship Id="rId22" Type="http://schemas.openxmlformats.org/officeDocument/2006/relationships/image" Target="media/image1.png"/><Relationship Id="rId27" Type="http://schemas.openxmlformats.org/officeDocument/2006/relationships/glossaryDocument" Target="glossary/document.xml"/></Relationships>
</file>

<file path=word/charts/_rels/chart1.xml.rels><?xml version="1.0" encoding="UTF-8" standalone="yes"?>
<Relationships xmlns="http://schemas.openxmlformats.org/package/2006/relationships"><Relationship Id="rId2" Type="http://schemas.openxmlformats.org/officeDocument/2006/relationships/oleObject" Target="file:///C:\Users\ASUS\Desktop\GGGG\Aggergate.xlsx"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file:///C:\Users\ASUS\Desktop\GGGG\Aggergate.xlsx"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file:///C:\Users\ASUS\Desktop\GGGG\Aggergate.xlsx"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file:///C:\Users\ASUS\Desktop\GGGG\Aggergate.xlsx" TargetMode="External"/><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1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100" b="1"/>
              <a:t>Contribution of Service, Manufacturing, and Agriculture in GDP of the Emerging Countries</a:t>
            </a:r>
          </a:p>
        </c:rich>
      </c:tx>
      <c:overlay val="0"/>
      <c:spPr>
        <a:noFill/>
        <a:ln>
          <a:noFill/>
        </a:ln>
        <a:effectLst/>
      </c:spPr>
    </c:title>
    <c:autoTitleDeleted val="0"/>
    <c:plotArea>
      <c:layout>
        <c:manualLayout>
          <c:layoutTarget val="inner"/>
          <c:xMode val="edge"/>
          <c:yMode val="edge"/>
          <c:x val="9.4836476503107406E-2"/>
          <c:y val="0.16264130918061473"/>
          <c:w val="0.88518168880116144"/>
          <c:h val="0.67185319048233727"/>
        </c:manualLayout>
      </c:layout>
      <c:lineChart>
        <c:grouping val="standard"/>
        <c:varyColors val="0"/>
        <c:ser>
          <c:idx val="0"/>
          <c:order val="0"/>
          <c:tx>
            <c:strRef>
              <c:f>Sheet5!$B$4</c:f>
              <c:strCache>
                <c:ptCount val="1"/>
                <c:pt idx="0">
                  <c:v>Percentage of Service in GDP</c:v>
                </c:pt>
              </c:strCache>
            </c:strRef>
          </c:tx>
          <c:spPr>
            <a:ln w="28575" cap="rnd">
              <a:solidFill>
                <a:schemeClr val="accent1"/>
              </a:solidFill>
              <a:round/>
            </a:ln>
            <a:effectLst/>
          </c:spPr>
          <c:marker>
            <c:symbol val="none"/>
          </c:marker>
          <c:cat>
            <c:strRef>
              <c:f>Sheet5!$C$3:$AF$3</c:f>
              <c:strCache>
                <c:ptCount val="30"/>
                <c:pt idx="0">
                  <c:v>1984</c:v>
                </c:pt>
                <c:pt idx="1">
                  <c:v>1985</c:v>
                </c:pt>
                <c:pt idx="2">
                  <c:v>1986</c:v>
                </c:pt>
                <c:pt idx="3">
                  <c:v>1987</c:v>
                </c:pt>
                <c:pt idx="4">
                  <c:v>1988</c:v>
                </c:pt>
                <c:pt idx="5">
                  <c:v>1989</c:v>
                </c:pt>
                <c:pt idx="6">
                  <c:v>1990</c:v>
                </c:pt>
                <c:pt idx="7">
                  <c:v>1991</c:v>
                </c:pt>
                <c:pt idx="8">
                  <c:v>1992</c:v>
                </c:pt>
                <c:pt idx="9">
                  <c:v>1993</c:v>
                </c:pt>
                <c:pt idx="10">
                  <c:v>1994</c:v>
                </c:pt>
                <c:pt idx="11">
                  <c:v>1995</c:v>
                </c:pt>
                <c:pt idx="12">
                  <c:v>1996</c:v>
                </c:pt>
                <c:pt idx="13">
                  <c:v>1997</c:v>
                </c:pt>
                <c:pt idx="14">
                  <c:v>1998</c:v>
                </c:pt>
                <c:pt idx="15">
                  <c:v>1999</c:v>
                </c:pt>
                <c:pt idx="16">
                  <c:v>2000</c:v>
                </c:pt>
                <c:pt idx="17">
                  <c:v>2001</c:v>
                </c:pt>
                <c:pt idx="18">
                  <c:v>2002</c:v>
                </c:pt>
                <c:pt idx="19">
                  <c:v>2003</c:v>
                </c:pt>
                <c:pt idx="20">
                  <c:v>2004</c:v>
                </c:pt>
                <c:pt idx="21">
                  <c:v>2005</c:v>
                </c:pt>
                <c:pt idx="22">
                  <c:v>2006</c:v>
                </c:pt>
                <c:pt idx="23">
                  <c:v>2007</c:v>
                </c:pt>
                <c:pt idx="24">
                  <c:v>2008</c:v>
                </c:pt>
                <c:pt idx="25">
                  <c:v>2009</c:v>
                </c:pt>
                <c:pt idx="26">
                  <c:v>2010</c:v>
                </c:pt>
                <c:pt idx="27">
                  <c:v>2011</c:v>
                </c:pt>
                <c:pt idx="28">
                  <c:v>2012</c:v>
                </c:pt>
                <c:pt idx="29">
                  <c:v>2013</c:v>
                </c:pt>
              </c:strCache>
            </c:strRef>
          </c:cat>
          <c:val>
            <c:numRef>
              <c:f>Sheet5!$C$4:$AF$4</c:f>
              <c:numCache>
                <c:formatCode>0.000</c:formatCode>
                <c:ptCount val="30"/>
                <c:pt idx="0">
                  <c:v>44.236819232379879</c:v>
                </c:pt>
                <c:pt idx="1">
                  <c:v>45.08268159364895</c:v>
                </c:pt>
                <c:pt idx="2">
                  <c:v>44.729333325352734</c:v>
                </c:pt>
                <c:pt idx="3">
                  <c:v>45.112676365619834</c:v>
                </c:pt>
                <c:pt idx="4">
                  <c:v>44.692402026182798</c:v>
                </c:pt>
                <c:pt idx="5">
                  <c:v>45.507310249890274</c:v>
                </c:pt>
                <c:pt idx="6">
                  <c:v>46.375513211384764</c:v>
                </c:pt>
                <c:pt idx="7">
                  <c:v>47.139031860140555</c:v>
                </c:pt>
                <c:pt idx="8">
                  <c:v>48.131379634982608</c:v>
                </c:pt>
                <c:pt idx="9">
                  <c:v>48.810736818742718</c:v>
                </c:pt>
                <c:pt idx="10">
                  <c:v>48.578496128235997</c:v>
                </c:pt>
                <c:pt idx="11">
                  <c:v>50.11864224407357</c:v>
                </c:pt>
                <c:pt idx="12">
                  <c:v>51.302773073470895</c:v>
                </c:pt>
                <c:pt idx="13">
                  <c:v>52.269268758908566</c:v>
                </c:pt>
                <c:pt idx="14">
                  <c:v>52.870228274381134</c:v>
                </c:pt>
                <c:pt idx="15">
                  <c:v>53.945579030834345</c:v>
                </c:pt>
                <c:pt idx="16">
                  <c:v>54.24478150339116</c:v>
                </c:pt>
                <c:pt idx="17">
                  <c:v>55.069232960274555</c:v>
                </c:pt>
                <c:pt idx="18">
                  <c:v>54.834171590275304</c:v>
                </c:pt>
                <c:pt idx="19">
                  <c:v>54.289273645944625</c:v>
                </c:pt>
                <c:pt idx="20">
                  <c:v>53.730718279703957</c:v>
                </c:pt>
                <c:pt idx="21">
                  <c:v>54.183337636508845</c:v>
                </c:pt>
                <c:pt idx="22">
                  <c:v>53.817477867544497</c:v>
                </c:pt>
                <c:pt idx="23">
                  <c:v>54.50804037374624</c:v>
                </c:pt>
                <c:pt idx="24">
                  <c:v>54.652783329184899</c:v>
                </c:pt>
                <c:pt idx="25">
                  <c:v>56.086918837246955</c:v>
                </c:pt>
                <c:pt idx="26">
                  <c:v>55.449489763228918</c:v>
                </c:pt>
                <c:pt idx="27">
                  <c:v>55.24264316343092</c:v>
                </c:pt>
                <c:pt idx="28">
                  <c:v>56.445668356603271</c:v>
                </c:pt>
                <c:pt idx="29">
                  <c:v>57.107353727928377</c:v>
                </c:pt>
              </c:numCache>
            </c:numRef>
          </c:val>
          <c:smooth val="0"/>
          <c:extLst>
            <c:ext xmlns:c16="http://schemas.microsoft.com/office/drawing/2014/chart" uri="{C3380CC4-5D6E-409C-BE32-E72D297353CC}">
              <c16:uniqueId val="{00000000-649E-4A3C-A0F7-04C3FB900842}"/>
            </c:ext>
          </c:extLst>
        </c:ser>
        <c:ser>
          <c:idx val="1"/>
          <c:order val="1"/>
          <c:tx>
            <c:strRef>
              <c:f>Sheet5!$B$5</c:f>
              <c:strCache>
                <c:ptCount val="1"/>
                <c:pt idx="0">
                  <c:v>Percentage of Manufacturing in GDP</c:v>
                </c:pt>
              </c:strCache>
            </c:strRef>
          </c:tx>
          <c:spPr>
            <a:ln w="28575" cap="rnd">
              <a:solidFill>
                <a:schemeClr val="accent2"/>
              </a:solidFill>
              <a:round/>
            </a:ln>
            <a:effectLst/>
          </c:spPr>
          <c:marker>
            <c:symbol val="none"/>
          </c:marker>
          <c:cat>
            <c:strRef>
              <c:f>Sheet5!$C$3:$AF$3</c:f>
              <c:strCache>
                <c:ptCount val="30"/>
                <c:pt idx="0">
                  <c:v>1984</c:v>
                </c:pt>
                <c:pt idx="1">
                  <c:v>1985</c:v>
                </c:pt>
                <c:pt idx="2">
                  <c:v>1986</c:v>
                </c:pt>
                <c:pt idx="3">
                  <c:v>1987</c:v>
                </c:pt>
                <c:pt idx="4">
                  <c:v>1988</c:v>
                </c:pt>
                <c:pt idx="5">
                  <c:v>1989</c:v>
                </c:pt>
                <c:pt idx="6">
                  <c:v>1990</c:v>
                </c:pt>
                <c:pt idx="7">
                  <c:v>1991</c:v>
                </c:pt>
                <c:pt idx="8">
                  <c:v>1992</c:v>
                </c:pt>
                <c:pt idx="9">
                  <c:v>1993</c:v>
                </c:pt>
                <c:pt idx="10">
                  <c:v>1994</c:v>
                </c:pt>
                <c:pt idx="11">
                  <c:v>1995</c:v>
                </c:pt>
                <c:pt idx="12">
                  <c:v>1996</c:v>
                </c:pt>
                <c:pt idx="13">
                  <c:v>1997</c:v>
                </c:pt>
                <c:pt idx="14">
                  <c:v>1998</c:v>
                </c:pt>
                <c:pt idx="15">
                  <c:v>1999</c:v>
                </c:pt>
                <c:pt idx="16">
                  <c:v>2000</c:v>
                </c:pt>
                <c:pt idx="17">
                  <c:v>2001</c:v>
                </c:pt>
                <c:pt idx="18">
                  <c:v>2002</c:v>
                </c:pt>
                <c:pt idx="19">
                  <c:v>2003</c:v>
                </c:pt>
                <c:pt idx="20">
                  <c:v>2004</c:v>
                </c:pt>
                <c:pt idx="21">
                  <c:v>2005</c:v>
                </c:pt>
                <c:pt idx="22">
                  <c:v>2006</c:v>
                </c:pt>
                <c:pt idx="23">
                  <c:v>2007</c:v>
                </c:pt>
                <c:pt idx="24">
                  <c:v>2008</c:v>
                </c:pt>
                <c:pt idx="25">
                  <c:v>2009</c:v>
                </c:pt>
                <c:pt idx="26">
                  <c:v>2010</c:v>
                </c:pt>
                <c:pt idx="27">
                  <c:v>2011</c:v>
                </c:pt>
                <c:pt idx="28">
                  <c:v>2012</c:v>
                </c:pt>
                <c:pt idx="29">
                  <c:v>2013</c:v>
                </c:pt>
              </c:strCache>
            </c:strRef>
          </c:cat>
          <c:val>
            <c:numRef>
              <c:f>Sheet5!$C$5:$AF$5</c:f>
              <c:numCache>
                <c:formatCode>0.000</c:formatCode>
                <c:ptCount val="30"/>
                <c:pt idx="0">
                  <c:v>23.385288106423591</c:v>
                </c:pt>
                <c:pt idx="1">
                  <c:v>22.515148521378446</c:v>
                </c:pt>
                <c:pt idx="2">
                  <c:v>23.267975926490365</c:v>
                </c:pt>
                <c:pt idx="3">
                  <c:v>23.280982124548373</c:v>
                </c:pt>
                <c:pt idx="4">
                  <c:v>23.942523508722481</c:v>
                </c:pt>
                <c:pt idx="5">
                  <c:v>24.110812780256733</c:v>
                </c:pt>
                <c:pt idx="6">
                  <c:v>23.685104667764094</c:v>
                </c:pt>
                <c:pt idx="7">
                  <c:v>23.557964898837813</c:v>
                </c:pt>
                <c:pt idx="8">
                  <c:v>23.154699798526952</c:v>
                </c:pt>
                <c:pt idx="9">
                  <c:v>23.143066595600409</c:v>
                </c:pt>
                <c:pt idx="10">
                  <c:v>23.090648451286047</c:v>
                </c:pt>
                <c:pt idx="11">
                  <c:v>22.53821319351594</c:v>
                </c:pt>
                <c:pt idx="12">
                  <c:v>21.699196679231633</c:v>
                </c:pt>
                <c:pt idx="13">
                  <c:v>21.527091536347196</c:v>
                </c:pt>
                <c:pt idx="14">
                  <c:v>21.611739526637436</c:v>
                </c:pt>
                <c:pt idx="15">
                  <c:v>21.683694425139031</c:v>
                </c:pt>
                <c:pt idx="16">
                  <c:v>22.012841518474829</c:v>
                </c:pt>
                <c:pt idx="17">
                  <c:v>21.703850417538447</c:v>
                </c:pt>
                <c:pt idx="18">
                  <c:v>21.6872123330424</c:v>
                </c:pt>
                <c:pt idx="19">
                  <c:v>22.03066294679974</c:v>
                </c:pt>
                <c:pt idx="20">
                  <c:v>21.919959874984617</c:v>
                </c:pt>
                <c:pt idx="21">
                  <c:v>21.396325007675305</c:v>
                </c:pt>
                <c:pt idx="22">
                  <c:v>21.098453345905391</c:v>
                </c:pt>
                <c:pt idx="23">
                  <c:v>20.682921134580678</c:v>
                </c:pt>
                <c:pt idx="24">
                  <c:v>20.260808581164955</c:v>
                </c:pt>
                <c:pt idx="25">
                  <c:v>19.489084445739284</c:v>
                </c:pt>
                <c:pt idx="26">
                  <c:v>19.454167948465638</c:v>
                </c:pt>
                <c:pt idx="27">
                  <c:v>19.104775929173837</c:v>
                </c:pt>
                <c:pt idx="28">
                  <c:v>18.563340453910026</c:v>
                </c:pt>
                <c:pt idx="29">
                  <c:v>18.3747430648456</c:v>
                </c:pt>
              </c:numCache>
            </c:numRef>
          </c:val>
          <c:smooth val="0"/>
          <c:extLst>
            <c:ext xmlns:c16="http://schemas.microsoft.com/office/drawing/2014/chart" uri="{C3380CC4-5D6E-409C-BE32-E72D297353CC}">
              <c16:uniqueId val="{00000001-649E-4A3C-A0F7-04C3FB900842}"/>
            </c:ext>
          </c:extLst>
        </c:ser>
        <c:ser>
          <c:idx val="2"/>
          <c:order val="2"/>
          <c:tx>
            <c:strRef>
              <c:f>Sheet5!$B$6</c:f>
              <c:strCache>
                <c:ptCount val="1"/>
                <c:pt idx="0">
                  <c:v>Percentage of Agriculture in GDP</c:v>
                </c:pt>
              </c:strCache>
            </c:strRef>
          </c:tx>
          <c:spPr>
            <a:ln w="28575" cap="rnd">
              <a:solidFill>
                <a:schemeClr val="accent3"/>
              </a:solidFill>
              <a:round/>
            </a:ln>
            <a:effectLst/>
          </c:spPr>
          <c:marker>
            <c:symbol val="none"/>
          </c:marker>
          <c:cat>
            <c:strRef>
              <c:f>Sheet5!$C$3:$AF$3</c:f>
              <c:strCache>
                <c:ptCount val="30"/>
                <c:pt idx="0">
                  <c:v>1984</c:v>
                </c:pt>
                <c:pt idx="1">
                  <c:v>1985</c:v>
                </c:pt>
                <c:pt idx="2">
                  <c:v>1986</c:v>
                </c:pt>
                <c:pt idx="3">
                  <c:v>1987</c:v>
                </c:pt>
                <c:pt idx="4">
                  <c:v>1988</c:v>
                </c:pt>
                <c:pt idx="5">
                  <c:v>1989</c:v>
                </c:pt>
                <c:pt idx="6">
                  <c:v>1990</c:v>
                </c:pt>
                <c:pt idx="7">
                  <c:v>1991</c:v>
                </c:pt>
                <c:pt idx="8">
                  <c:v>1992</c:v>
                </c:pt>
                <c:pt idx="9">
                  <c:v>1993</c:v>
                </c:pt>
                <c:pt idx="10">
                  <c:v>1994</c:v>
                </c:pt>
                <c:pt idx="11">
                  <c:v>1995</c:v>
                </c:pt>
                <c:pt idx="12">
                  <c:v>1996</c:v>
                </c:pt>
                <c:pt idx="13">
                  <c:v>1997</c:v>
                </c:pt>
                <c:pt idx="14">
                  <c:v>1998</c:v>
                </c:pt>
                <c:pt idx="15">
                  <c:v>1999</c:v>
                </c:pt>
                <c:pt idx="16">
                  <c:v>2000</c:v>
                </c:pt>
                <c:pt idx="17">
                  <c:v>2001</c:v>
                </c:pt>
                <c:pt idx="18">
                  <c:v>2002</c:v>
                </c:pt>
                <c:pt idx="19">
                  <c:v>2003</c:v>
                </c:pt>
                <c:pt idx="20">
                  <c:v>2004</c:v>
                </c:pt>
                <c:pt idx="21">
                  <c:v>2005</c:v>
                </c:pt>
                <c:pt idx="22">
                  <c:v>2006</c:v>
                </c:pt>
                <c:pt idx="23">
                  <c:v>2007</c:v>
                </c:pt>
                <c:pt idx="24">
                  <c:v>2008</c:v>
                </c:pt>
                <c:pt idx="25">
                  <c:v>2009</c:v>
                </c:pt>
                <c:pt idx="26">
                  <c:v>2010</c:v>
                </c:pt>
                <c:pt idx="27">
                  <c:v>2011</c:v>
                </c:pt>
                <c:pt idx="28">
                  <c:v>2012</c:v>
                </c:pt>
                <c:pt idx="29">
                  <c:v>2013</c:v>
                </c:pt>
              </c:strCache>
            </c:strRef>
          </c:cat>
          <c:val>
            <c:numRef>
              <c:f>Sheet5!$C$6:$AF$6</c:f>
              <c:numCache>
                <c:formatCode>0.000</c:formatCode>
                <c:ptCount val="30"/>
                <c:pt idx="0">
                  <c:v>19.193690533060991</c:v>
                </c:pt>
                <c:pt idx="1">
                  <c:v>18.493693600210751</c:v>
                </c:pt>
                <c:pt idx="2">
                  <c:v>18.361007691443252</c:v>
                </c:pt>
                <c:pt idx="3">
                  <c:v>18.133966800279946</c:v>
                </c:pt>
                <c:pt idx="4">
                  <c:v>17.748618692170769</c:v>
                </c:pt>
                <c:pt idx="5">
                  <c:v>16.996011192811856</c:v>
                </c:pt>
                <c:pt idx="6">
                  <c:v>16.579782501722903</c:v>
                </c:pt>
                <c:pt idx="7">
                  <c:v>15.99129710057589</c:v>
                </c:pt>
                <c:pt idx="8">
                  <c:v>15.410309531593441</c:v>
                </c:pt>
                <c:pt idx="9">
                  <c:v>14.536328330392989</c:v>
                </c:pt>
                <c:pt idx="10">
                  <c:v>14.98992958566576</c:v>
                </c:pt>
                <c:pt idx="11">
                  <c:v>14.206170834547601</c:v>
                </c:pt>
                <c:pt idx="12">
                  <c:v>13.905699781314798</c:v>
                </c:pt>
                <c:pt idx="13">
                  <c:v>13.158829744073433</c:v>
                </c:pt>
                <c:pt idx="14">
                  <c:v>12.966983886717259</c:v>
                </c:pt>
                <c:pt idx="15">
                  <c:v>12.21001045350074</c:v>
                </c:pt>
                <c:pt idx="16">
                  <c:v>11.026978733674996</c:v>
                </c:pt>
                <c:pt idx="17">
                  <c:v>10.637918836371879</c:v>
                </c:pt>
                <c:pt idx="18">
                  <c:v>10.717052323207337</c:v>
                </c:pt>
                <c:pt idx="19">
                  <c:v>10.67176092837594</c:v>
                </c:pt>
                <c:pt idx="20">
                  <c:v>10.296563154393688</c:v>
                </c:pt>
                <c:pt idx="21">
                  <c:v>9.8047689516914982</c:v>
                </c:pt>
                <c:pt idx="22">
                  <c:v>9.4018463935818986</c:v>
                </c:pt>
                <c:pt idx="23">
                  <c:v>9.4181957231951046</c:v>
                </c:pt>
                <c:pt idx="24">
                  <c:v>9.4328232509041481</c:v>
                </c:pt>
                <c:pt idx="25">
                  <c:v>9.3423099283503106</c:v>
                </c:pt>
                <c:pt idx="26">
                  <c:v>9.4630287978015684</c:v>
                </c:pt>
                <c:pt idx="27">
                  <c:v>9.64530656026656</c:v>
                </c:pt>
                <c:pt idx="28">
                  <c:v>8.8996891441233839</c:v>
                </c:pt>
                <c:pt idx="29">
                  <c:v>8.6908212540834615</c:v>
                </c:pt>
              </c:numCache>
            </c:numRef>
          </c:val>
          <c:smooth val="0"/>
          <c:extLst>
            <c:ext xmlns:c16="http://schemas.microsoft.com/office/drawing/2014/chart" uri="{C3380CC4-5D6E-409C-BE32-E72D297353CC}">
              <c16:uniqueId val="{00000002-649E-4A3C-A0F7-04C3FB900842}"/>
            </c:ext>
          </c:extLst>
        </c:ser>
        <c:dLbls>
          <c:showLegendKey val="0"/>
          <c:showVal val="0"/>
          <c:showCatName val="0"/>
          <c:showSerName val="0"/>
          <c:showPercent val="0"/>
          <c:showBubbleSize val="0"/>
        </c:dLbls>
        <c:smooth val="0"/>
        <c:axId val="169705472"/>
        <c:axId val="169707008"/>
      </c:lineChart>
      <c:catAx>
        <c:axId val="1697054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7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69707008"/>
        <c:crosses val="autoZero"/>
        <c:auto val="1"/>
        <c:lblAlgn val="ctr"/>
        <c:lblOffset val="100"/>
        <c:noMultiLvlLbl val="0"/>
      </c:catAx>
      <c:valAx>
        <c:axId val="16970700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Percentage of GDP</a:t>
                </a:r>
              </a:p>
            </c:rich>
          </c:tx>
          <c:layout>
            <c:manualLayout>
              <c:xMode val="edge"/>
              <c:yMode val="edge"/>
              <c:x val="1.4072119613016711E-2"/>
              <c:y val="0.30008457376066211"/>
            </c:manualLayout>
          </c:layout>
          <c:overlay val="0"/>
          <c:spPr>
            <a:noFill/>
            <a:ln>
              <a:noFill/>
            </a:ln>
            <a:effectLst/>
          </c:spPr>
        </c:title>
        <c:numFmt formatCode="0.000" sourceLinked="1"/>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697054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a:t>Contribution of Service Sector on the GDP of Emerging Countries (1984 -2013)</a:t>
            </a:r>
          </a:p>
        </c:rich>
      </c:tx>
      <c:overlay val="0"/>
      <c:spPr>
        <a:noFill/>
        <a:ln>
          <a:noFill/>
        </a:ln>
        <a:effectLst/>
      </c:spPr>
    </c:title>
    <c:autoTitleDeleted val="0"/>
    <c:plotArea>
      <c:layout/>
      <c:lineChart>
        <c:grouping val="standard"/>
        <c:varyColors val="0"/>
        <c:ser>
          <c:idx val="0"/>
          <c:order val="0"/>
          <c:tx>
            <c:strRef>
              <c:f>'Service '!$B$3</c:f>
              <c:strCache>
                <c:ptCount val="1"/>
                <c:pt idx="0">
                  <c:v>Brazil</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'Service '!$C$2:$AF$2</c:f>
              <c:strCache>
                <c:ptCount val="30"/>
                <c:pt idx="0">
                  <c:v>1984</c:v>
                </c:pt>
                <c:pt idx="1">
                  <c:v>1985</c:v>
                </c:pt>
                <c:pt idx="2">
                  <c:v>1986</c:v>
                </c:pt>
                <c:pt idx="3">
                  <c:v>1987</c:v>
                </c:pt>
                <c:pt idx="4">
                  <c:v>1988</c:v>
                </c:pt>
                <c:pt idx="5">
                  <c:v>1989</c:v>
                </c:pt>
                <c:pt idx="6">
                  <c:v>1990</c:v>
                </c:pt>
                <c:pt idx="7">
                  <c:v>1991</c:v>
                </c:pt>
                <c:pt idx="8">
                  <c:v>1992</c:v>
                </c:pt>
                <c:pt idx="9">
                  <c:v>1993</c:v>
                </c:pt>
                <c:pt idx="10">
                  <c:v>1994</c:v>
                </c:pt>
                <c:pt idx="11">
                  <c:v>1995</c:v>
                </c:pt>
                <c:pt idx="12">
                  <c:v>1996</c:v>
                </c:pt>
                <c:pt idx="13">
                  <c:v>1997</c:v>
                </c:pt>
                <c:pt idx="14">
                  <c:v>1998</c:v>
                </c:pt>
                <c:pt idx="15">
                  <c:v>1999</c:v>
                </c:pt>
                <c:pt idx="16">
                  <c:v>2000</c:v>
                </c:pt>
                <c:pt idx="17">
                  <c:v>2001</c:v>
                </c:pt>
                <c:pt idx="18">
                  <c:v>2002</c:v>
                </c:pt>
                <c:pt idx="19">
                  <c:v>2003</c:v>
                </c:pt>
                <c:pt idx="20">
                  <c:v>2004</c:v>
                </c:pt>
                <c:pt idx="21">
                  <c:v>2005</c:v>
                </c:pt>
                <c:pt idx="22">
                  <c:v>2006</c:v>
                </c:pt>
                <c:pt idx="23">
                  <c:v>2007</c:v>
                </c:pt>
                <c:pt idx="24">
                  <c:v>2008</c:v>
                </c:pt>
                <c:pt idx="25">
                  <c:v>2009</c:v>
                </c:pt>
                <c:pt idx="26">
                  <c:v>2010</c:v>
                </c:pt>
                <c:pt idx="27">
                  <c:v>2011</c:v>
                </c:pt>
                <c:pt idx="28">
                  <c:v>2012</c:v>
                </c:pt>
                <c:pt idx="29">
                  <c:v>2013</c:v>
                </c:pt>
              </c:strCache>
            </c:strRef>
          </c:cat>
          <c:val>
            <c:numRef>
              <c:f>'Service '!$C$3:$AF$3</c:f>
              <c:numCache>
                <c:formatCode>General</c:formatCode>
                <c:ptCount val="30"/>
                <c:pt idx="0">
                  <c:v>42.824449410719964</c:v>
                </c:pt>
                <c:pt idx="1">
                  <c:v>43.146495871344705</c:v>
                </c:pt>
                <c:pt idx="2">
                  <c:v>43.682432390676695</c:v>
                </c:pt>
                <c:pt idx="3">
                  <c:v>44.11011027134262</c:v>
                </c:pt>
                <c:pt idx="4">
                  <c:v>46.238397328526254</c:v>
                </c:pt>
                <c:pt idx="5">
                  <c:v>48.810150473995463</c:v>
                </c:pt>
                <c:pt idx="6">
                  <c:v>53.21</c:v>
                </c:pt>
                <c:pt idx="7">
                  <c:v>56.049906734173369</c:v>
                </c:pt>
                <c:pt idx="8">
                  <c:v>53.579998820417018</c:v>
                </c:pt>
                <c:pt idx="9">
                  <c:v>50.829999938230607</c:v>
                </c:pt>
                <c:pt idx="10">
                  <c:v>50.147149186636909</c:v>
                </c:pt>
                <c:pt idx="11">
                  <c:v>66.702863793296558</c:v>
                </c:pt>
                <c:pt idx="12">
                  <c:v>68.99318477124892</c:v>
                </c:pt>
                <c:pt idx="13">
                  <c:v>68.960242272716954</c:v>
                </c:pt>
                <c:pt idx="14">
                  <c:v>69.462879120305971</c:v>
                </c:pt>
                <c:pt idx="15">
                  <c:v>69.522187706360867</c:v>
                </c:pt>
                <c:pt idx="16">
                  <c:v>67.727663221910433</c:v>
                </c:pt>
                <c:pt idx="17">
                  <c:v>67.775445323279982</c:v>
                </c:pt>
                <c:pt idx="18">
                  <c:v>67.216311582142865</c:v>
                </c:pt>
                <c:pt idx="19">
                  <c:v>65.831767770414018</c:v>
                </c:pt>
                <c:pt idx="20">
                  <c:v>64.694202464286619</c:v>
                </c:pt>
                <c:pt idx="21">
                  <c:v>66.049694570866237</c:v>
                </c:pt>
                <c:pt idx="22">
                  <c:v>67.180096521234177</c:v>
                </c:pt>
                <c:pt idx="23">
                  <c:v>67.699376769756597</c:v>
                </c:pt>
                <c:pt idx="24">
                  <c:v>67.258066788274348</c:v>
                </c:pt>
                <c:pt idx="25">
                  <c:v>69.175180243122043</c:v>
                </c:pt>
                <c:pt idx="26">
                  <c:v>67.782574996064</c:v>
                </c:pt>
                <c:pt idx="27">
                  <c:v>67.717495224382134</c:v>
                </c:pt>
                <c:pt idx="28">
                  <c:v>69.069470202056081</c:v>
                </c:pt>
                <c:pt idx="29">
                  <c:v>69.872896243983007</c:v>
                </c:pt>
              </c:numCache>
            </c:numRef>
          </c:val>
          <c:smooth val="0"/>
          <c:extLst>
            <c:ext xmlns:c16="http://schemas.microsoft.com/office/drawing/2014/chart" uri="{C3380CC4-5D6E-409C-BE32-E72D297353CC}">
              <c16:uniqueId val="{00000000-7940-4926-9153-D01F2548B9A5}"/>
            </c:ext>
          </c:extLst>
        </c:ser>
        <c:ser>
          <c:idx val="1"/>
          <c:order val="1"/>
          <c:tx>
            <c:strRef>
              <c:f>'Service '!$B$4</c:f>
              <c:strCache>
                <c:ptCount val="1"/>
                <c:pt idx="0">
                  <c:v>Chile</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'Service '!$C$2:$AF$2</c:f>
              <c:strCache>
                <c:ptCount val="30"/>
                <c:pt idx="0">
                  <c:v>1984</c:v>
                </c:pt>
                <c:pt idx="1">
                  <c:v>1985</c:v>
                </c:pt>
                <c:pt idx="2">
                  <c:v>1986</c:v>
                </c:pt>
                <c:pt idx="3">
                  <c:v>1987</c:v>
                </c:pt>
                <c:pt idx="4">
                  <c:v>1988</c:v>
                </c:pt>
                <c:pt idx="5">
                  <c:v>1989</c:v>
                </c:pt>
                <c:pt idx="6">
                  <c:v>1990</c:v>
                </c:pt>
                <c:pt idx="7">
                  <c:v>1991</c:v>
                </c:pt>
                <c:pt idx="8">
                  <c:v>1992</c:v>
                </c:pt>
                <c:pt idx="9">
                  <c:v>1993</c:v>
                </c:pt>
                <c:pt idx="10">
                  <c:v>1994</c:v>
                </c:pt>
                <c:pt idx="11">
                  <c:v>1995</c:v>
                </c:pt>
                <c:pt idx="12">
                  <c:v>1996</c:v>
                </c:pt>
                <c:pt idx="13">
                  <c:v>1997</c:v>
                </c:pt>
                <c:pt idx="14">
                  <c:v>1998</c:v>
                </c:pt>
                <c:pt idx="15">
                  <c:v>1999</c:v>
                </c:pt>
                <c:pt idx="16">
                  <c:v>2000</c:v>
                </c:pt>
                <c:pt idx="17">
                  <c:v>2001</c:v>
                </c:pt>
                <c:pt idx="18">
                  <c:v>2002</c:v>
                </c:pt>
                <c:pt idx="19">
                  <c:v>2003</c:v>
                </c:pt>
                <c:pt idx="20">
                  <c:v>2004</c:v>
                </c:pt>
                <c:pt idx="21">
                  <c:v>2005</c:v>
                </c:pt>
                <c:pt idx="22">
                  <c:v>2006</c:v>
                </c:pt>
                <c:pt idx="23">
                  <c:v>2007</c:v>
                </c:pt>
                <c:pt idx="24">
                  <c:v>2008</c:v>
                </c:pt>
                <c:pt idx="25">
                  <c:v>2009</c:v>
                </c:pt>
                <c:pt idx="26">
                  <c:v>2010</c:v>
                </c:pt>
                <c:pt idx="27">
                  <c:v>2011</c:v>
                </c:pt>
                <c:pt idx="28">
                  <c:v>2012</c:v>
                </c:pt>
                <c:pt idx="29">
                  <c:v>2013</c:v>
                </c:pt>
              </c:strCache>
            </c:strRef>
          </c:cat>
          <c:val>
            <c:numRef>
              <c:f>'Service '!$C$4:$AF$4</c:f>
              <c:numCache>
                <c:formatCode>General</c:formatCode>
                <c:ptCount val="30"/>
                <c:pt idx="0">
                  <c:v>50.846430418814329</c:v>
                </c:pt>
                <c:pt idx="1">
                  <c:v>50.408408031177188</c:v>
                </c:pt>
                <c:pt idx="2">
                  <c:v>50.490838796436378</c:v>
                </c:pt>
                <c:pt idx="3">
                  <c:v>49.30290310021833</c:v>
                </c:pt>
                <c:pt idx="4">
                  <c:v>45.239725504323033</c:v>
                </c:pt>
                <c:pt idx="5">
                  <c:v>46.95384812343859</c:v>
                </c:pt>
                <c:pt idx="6">
                  <c:v>47.302899580242041</c:v>
                </c:pt>
                <c:pt idx="7">
                  <c:v>48.303991111988232</c:v>
                </c:pt>
                <c:pt idx="8">
                  <c:v>50.380023343094408</c:v>
                </c:pt>
                <c:pt idx="9">
                  <c:v>51.576868233469831</c:v>
                </c:pt>
                <c:pt idx="10">
                  <c:v>50.8148612878473</c:v>
                </c:pt>
                <c:pt idx="11">
                  <c:v>49.867899345188995</c:v>
                </c:pt>
                <c:pt idx="12">
                  <c:v>56.208797960900782</c:v>
                </c:pt>
                <c:pt idx="13">
                  <c:v>56.882726877374843</c:v>
                </c:pt>
                <c:pt idx="14">
                  <c:v>59.515256288658037</c:v>
                </c:pt>
                <c:pt idx="15">
                  <c:v>60.188675288197842</c:v>
                </c:pt>
                <c:pt idx="16">
                  <c:v>59.513855519733326</c:v>
                </c:pt>
                <c:pt idx="17">
                  <c:v>60.227367633475758</c:v>
                </c:pt>
                <c:pt idx="18">
                  <c:v>59.967847889072303</c:v>
                </c:pt>
                <c:pt idx="19">
                  <c:v>58.656401236213206</c:v>
                </c:pt>
                <c:pt idx="20">
                  <c:v>56.351026663992307</c:v>
                </c:pt>
                <c:pt idx="21">
                  <c:v>55.205347118796467</c:v>
                </c:pt>
                <c:pt idx="22">
                  <c:v>51.207025676110618</c:v>
                </c:pt>
                <c:pt idx="23">
                  <c:v>52.623792430152037</c:v>
                </c:pt>
                <c:pt idx="24">
                  <c:v>58.533194362055617</c:v>
                </c:pt>
                <c:pt idx="25">
                  <c:v>58.559189528730812</c:v>
                </c:pt>
                <c:pt idx="26">
                  <c:v>57.31212076592935</c:v>
                </c:pt>
                <c:pt idx="27">
                  <c:v>58.227105506978148</c:v>
                </c:pt>
                <c:pt idx="28">
                  <c:v>60.816961194003952</c:v>
                </c:pt>
                <c:pt idx="29">
                  <c:v>62.221563478212573</c:v>
                </c:pt>
              </c:numCache>
            </c:numRef>
          </c:val>
          <c:smooth val="0"/>
          <c:extLst>
            <c:ext xmlns:c16="http://schemas.microsoft.com/office/drawing/2014/chart" uri="{C3380CC4-5D6E-409C-BE32-E72D297353CC}">
              <c16:uniqueId val="{00000001-7940-4926-9153-D01F2548B9A5}"/>
            </c:ext>
          </c:extLst>
        </c:ser>
        <c:ser>
          <c:idx val="2"/>
          <c:order val="2"/>
          <c:tx>
            <c:strRef>
              <c:f>'Service '!$B$5</c:f>
              <c:strCache>
                <c:ptCount val="1"/>
                <c:pt idx="0">
                  <c:v>China</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strRef>
              <c:f>'Service '!$C$2:$AF$2</c:f>
              <c:strCache>
                <c:ptCount val="30"/>
                <c:pt idx="0">
                  <c:v>1984</c:v>
                </c:pt>
                <c:pt idx="1">
                  <c:v>1985</c:v>
                </c:pt>
                <c:pt idx="2">
                  <c:v>1986</c:v>
                </c:pt>
                <c:pt idx="3">
                  <c:v>1987</c:v>
                </c:pt>
                <c:pt idx="4">
                  <c:v>1988</c:v>
                </c:pt>
                <c:pt idx="5">
                  <c:v>1989</c:v>
                </c:pt>
                <c:pt idx="6">
                  <c:v>1990</c:v>
                </c:pt>
                <c:pt idx="7">
                  <c:v>1991</c:v>
                </c:pt>
                <c:pt idx="8">
                  <c:v>1992</c:v>
                </c:pt>
                <c:pt idx="9">
                  <c:v>1993</c:v>
                </c:pt>
                <c:pt idx="10">
                  <c:v>1994</c:v>
                </c:pt>
                <c:pt idx="11">
                  <c:v>1995</c:v>
                </c:pt>
                <c:pt idx="12">
                  <c:v>1996</c:v>
                </c:pt>
                <c:pt idx="13">
                  <c:v>1997</c:v>
                </c:pt>
                <c:pt idx="14">
                  <c:v>1998</c:v>
                </c:pt>
                <c:pt idx="15">
                  <c:v>1999</c:v>
                </c:pt>
                <c:pt idx="16">
                  <c:v>2000</c:v>
                </c:pt>
                <c:pt idx="17">
                  <c:v>2001</c:v>
                </c:pt>
                <c:pt idx="18">
                  <c:v>2002</c:v>
                </c:pt>
                <c:pt idx="19">
                  <c:v>2003</c:v>
                </c:pt>
                <c:pt idx="20">
                  <c:v>2004</c:v>
                </c:pt>
                <c:pt idx="21">
                  <c:v>2005</c:v>
                </c:pt>
                <c:pt idx="22">
                  <c:v>2006</c:v>
                </c:pt>
                <c:pt idx="23">
                  <c:v>2007</c:v>
                </c:pt>
                <c:pt idx="24">
                  <c:v>2008</c:v>
                </c:pt>
                <c:pt idx="25">
                  <c:v>2009</c:v>
                </c:pt>
                <c:pt idx="26">
                  <c:v>2010</c:v>
                </c:pt>
                <c:pt idx="27">
                  <c:v>2011</c:v>
                </c:pt>
                <c:pt idx="28">
                  <c:v>2012</c:v>
                </c:pt>
                <c:pt idx="29">
                  <c:v>2013</c:v>
                </c:pt>
              </c:strCache>
            </c:strRef>
          </c:cat>
          <c:val>
            <c:numRef>
              <c:f>'Service '!$C$5:$AF$5</c:f>
              <c:numCache>
                <c:formatCode>General</c:formatCode>
                <c:ptCount val="30"/>
                <c:pt idx="0">
                  <c:v>25.528611664491308</c:v>
                </c:pt>
                <c:pt idx="1">
                  <c:v>29.35189968018112</c:v>
                </c:pt>
                <c:pt idx="2">
                  <c:v>29.84618646517993</c:v>
                </c:pt>
                <c:pt idx="3">
                  <c:v>30.359108307459792</c:v>
                </c:pt>
                <c:pt idx="4">
                  <c:v>31.236331058470135</c:v>
                </c:pt>
                <c:pt idx="5">
                  <c:v>32.89114478134077</c:v>
                </c:pt>
                <c:pt idx="6">
                  <c:v>32.381880898007196</c:v>
                </c:pt>
                <c:pt idx="7">
                  <c:v>34.47758752317592</c:v>
                </c:pt>
                <c:pt idx="8">
                  <c:v>35.554615823052451</c:v>
                </c:pt>
                <c:pt idx="9">
                  <c:v>34.514705717457367</c:v>
                </c:pt>
                <c:pt idx="10">
                  <c:v>34.361552300179902</c:v>
                </c:pt>
                <c:pt idx="11">
                  <c:v>33.651668815893082</c:v>
                </c:pt>
                <c:pt idx="12">
                  <c:v>33.569128967215121</c:v>
                </c:pt>
                <c:pt idx="13">
                  <c:v>35.004453365113214</c:v>
                </c:pt>
                <c:pt idx="14">
                  <c:v>37.042214670962672</c:v>
                </c:pt>
                <c:pt idx="15">
                  <c:v>38.574207966927403</c:v>
                </c:pt>
                <c:pt idx="16">
                  <c:v>39.786458130775699</c:v>
                </c:pt>
                <c:pt idx="17">
                  <c:v>41.221921450870482</c:v>
                </c:pt>
                <c:pt idx="18">
                  <c:v>42.246794624269</c:v>
                </c:pt>
                <c:pt idx="19">
                  <c:v>42.02704079405045</c:v>
                </c:pt>
                <c:pt idx="20">
                  <c:v>41.181980743968431</c:v>
                </c:pt>
                <c:pt idx="21">
                  <c:v>41.334750524373142</c:v>
                </c:pt>
                <c:pt idx="22">
                  <c:v>41.815679563978065</c:v>
                </c:pt>
                <c:pt idx="23">
                  <c:v>42.855979836607247</c:v>
                </c:pt>
                <c:pt idx="24">
                  <c:v>42.816608270960252</c:v>
                </c:pt>
                <c:pt idx="25">
                  <c:v>44.330033052462831</c:v>
                </c:pt>
                <c:pt idx="26">
                  <c:v>44.073739868479386</c:v>
                </c:pt>
                <c:pt idx="27">
                  <c:v>44.164814022300405</c:v>
                </c:pt>
                <c:pt idx="28">
                  <c:v>45.306545139473627</c:v>
                </c:pt>
                <c:pt idx="29">
                  <c:v>46.696650989072722</c:v>
                </c:pt>
              </c:numCache>
            </c:numRef>
          </c:val>
          <c:smooth val="0"/>
          <c:extLst>
            <c:ext xmlns:c16="http://schemas.microsoft.com/office/drawing/2014/chart" uri="{C3380CC4-5D6E-409C-BE32-E72D297353CC}">
              <c16:uniqueId val="{00000002-7940-4926-9153-D01F2548B9A5}"/>
            </c:ext>
          </c:extLst>
        </c:ser>
        <c:ser>
          <c:idx val="3"/>
          <c:order val="3"/>
          <c:tx>
            <c:strRef>
              <c:f>'Service '!$B$6</c:f>
              <c:strCache>
                <c:ptCount val="1"/>
                <c:pt idx="0">
                  <c:v>Colombia</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strRef>
              <c:f>'Service '!$C$2:$AF$2</c:f>
              <c:strCache>
                <c:ptCount val="30"/>
                <c:pt idx="0">
                  <c:v>1984</c:v>
                </c:pt>
                <c:pt idx="1">
                  <c:v>1985</c:v>
                </c:pt>
                <c:pt idx="2">
                  <c:v>1986</c:v>
                </c:pt>
                <c:pt idx="3">
                  <c:v>1987</c:v>
                </c:pt>
                <c:pt idx="4">
                  <c:v>1988</c:v>
                </c:pt>
                <c:pt idx="5">
                  <c:v>1989</c:v>
                </c:pt>
                <c:pt idx="6">
                  <c:v>1990</c:v>
                </c:pt>
                <c:pt idx="7">
                  <c:v>1991</c:v>
                </c:pt>
                <c:pt idx="8">
                  <c:v>1992</c:v>
                </c:pt>
                <c:pt idx="9">
                  <c:v>1993</c:v>
                </c:pt>
                <c:pt idx="10">
                  <c:v>1994</c:v>
                </c:pt>
                <c:pt idx="11">
                  <c:v>1995</c:v>
                </c:pt>
                <c:pt idx="12">
                  <c:v>1996</c:v>
                </c:pt>
                <c:pt idx="13">
                  <c:v>1997</c:v>
                </c:pt>
                <c:pt idx="14">
                  <c:v>1998</c:v>
                </c:pt>
                <c:pt idx="15">
                  <c:v>1999</c:v>
                </c:pt>
                <c:pt idx="16">
                  <c:v>2000</c:v>
                </c:pt>
                <c:pt idx="17">
                  <c:v>2001</c:v>
                </c:pt>
                <c:pt idx="18">
                  <c:v>2002</c:v>
                </c:pt>
                <c:pt idx="19">
                  <c:v>2003</c:v>
                </c:pt>
                <c:pt idx="20">
                  <c:v>2004</c:v>
                </c:pt>
                <c:pt idx="21">
                  <c:v>2005</c:v>
                </c:pt>
                <c:pt idx="22">
                  <c:v>2006</c:v>
                </c:pt>
                <c:pt idx="23">
                  <c:v>2007</c:v>
                </c:pt>
                <c:pt idx="24">
                  <c:v>2008</c:v>
                </c:pt>
                <c:pt idx="25">
                  <c:v>2009</c:v>
                </c:pt>
                <c:pt idx="26">
                  <c:v>2010</c:v>
                </c:pt>
                <c:pt idx="27">
                  <c:v>2011</c:v>
                </c:pt>
                <c:pt idx="28">
                  <c:v>2012</c:v>
                </c:pt>
                <c:pt idx="29">
                  <c:v>2013</c:v>
                </c:pt>
              </c:strCache>
            </c:strRef>
          </c:cat>
          <c:val>
            <c:numRef>
              <c:f>'Service '!$C$6:$AF$6</c:f>
              <c:numCache>
                <c:formatCode>General</c:formatCode>
                <c:ptCount val="30"/>
                <c:pt idx="0">
                  <c:v>48.190958051224243</c:v>
                </c:pt>
                <c:pt idx="1">
                  <c:v>47.005942631300591</c:v>
                </c:pt>
                <c:pt idx="2">
                  <c:v>44.652423931236321</c:v>
                </c:pt>
                <c:pt idx="3">
                  <c:v>45.279337706835989</c:v>
                </c:pt>
                <c:pt idx="4">
                  <c:v>45.044026659760725</c:v>
                </c:pt>
                <c:pt idx="5">
                  <c:v>45.148501236099236</c:v>
                </c:pt>
                <c:pt idx="6">
                  <c:v>45.362357140496684</c:v>
                </c:pt>
                <c:pt idx="7">
                  <c:v>45.432046770550087</c:v>
                </c:pt>
                <c:pt idx="8">
                  <c:v>49.251641480326214</c:v>
                </c:pt>
                <c:pt idx="9">
                  <c:v>50.120228434024646</c:v>
                </c:pt>
                <c:pt idx="10">
                  <c:v>52.490944328172247</c:v>
                </c:pt>
                <c:pt idx="11">
                  <c:v>53.023749766518989</c:v>
                </c:pt>
                <c:pt idx="12">
                  <c:v>55.415249169878678</c:v>
                </c:pt>
                <c:pt idx="13">
                  <c:v>56.923625904910544</c:v>
                </c:pt>
                <c:pt idx="14">
                  <c:v>57.365436687994631</c:v>
                </c:pt>
                <c:pt idx="15">
                  <c:v>57.439172820500076</c:v>
                </c:pt>
                <c:pt idx="16">
                  <c:v>61.627973068635725</c:v>
                </c:pt>
                <c:pt idx="17">
                  <c:v>61.660688785622519</c:v>
                </c:pt>
                <c:pt idx="18">
                  <c:v>61.03790796675451</c:v>
                </c:pt>
                <c:pt idx="19">
                  <c:v>59.589281302057188</c:v>
                </c:pt>
                <c:pt idx="20">
                  <c:v>58.996506108115952</c:v>
                </c:pt>
                <c:pt idx="21">
                  <c:v>58.765552667846734</c:v>
                </c:pt>
                <c:pt idx="22">
                  <c:v>58.11782944849503</c:v>
                </c:pt>
                <c:pt idx="23">
                  <c:v>58.477350609452706</c:v>
                </c:pt>
                <c:pt idx="24">
                  <c:v>56.996974540082213</c:v>
                </c:pt>
                <c:pt idx="25">
                  <c:v>58.036378374765832</c:v>
                </c:pt>
                <c:pt idx="26">
                  <c:v>57.944043194726881</c:v>
                </c:pt>
                <c:pt idx="27">
                  <c:v>55.57422543108251</c:v>
                </c:pt>
                <c:pt idx="28">
                  <c:v>55.88812633996811</c:v>
                </c:pt>
                <c:pt idx="29">
                  <c:v>56.788638967801944</c:v>
                </c:pt>
              </c:numCache>
            </c:numRef>
          </c:val>
          <c:smooth val="0"/>
          <c:extLst>
            <c:ext xmlns:c16="http://schemas.microsoft.com/office/drawing/2014/chart" uri="{C3380CC4-5D6E-409C-BE32-E72D297353CC}">
              <c16:uniqueId val="{00000003-7940-4926-9153-D01F2548B9A5}"/>
            </c:ext>
          </c:extLst>
        </c:ser>
        <c:ser>
          <c:idx val="4"/>
          <c:order val="4"/>
          <c:tx>
            <c:strRef>
              <c:f>'Service '!$B$7</c:f>
              <c:strCache>
                <c:ptCount val="1"/>
                <c:pt idx="0">
                  <c:v>Egypt, Arab Rep.</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strRef>
              <c:f>'Service '!$C$2:$AF$2</c:f>
              <c:strCache>
                <c:ptCount val="30"/>
                <c:pt idx="0">
                  <c:v>1984</c:v>
                </c:pt>
                <c:pt idx="1">
                  <c:v>1985</c:v>
                </c:pt>
                <c:pt idx="2">
                  <c:v>1986</c:v>
                </c:pt>
                <c:pt idx="3">
                  <c:v>1987</c:v>
                </c:pt>
                <c:pt idx="4">
                  <c:v>1988</c:v>
                </c:pt>
                <c:pt idx="5">
                  <c:v>1989</c:v>
                </c:pt>
                <c:pt idx="6">
                  <c:v>1990</c:v>
                </c:pt>
                <c:pt idx="7">
                  <c:v>1991</c:v>
                </c:pt>
                <c:pt idx="8">
                  <c:v>1992</c:v>
                </c:pt>
                <c:pt idx="9">
                  <c:v>1993</c:v>
                </c:pt>
                <c:pt idx="10">
                  <c:v>1994</c:v>
                </c:pt>
                <c:pt idx="11">
                  <c:v>1995</c:v>
                </c:pt>
                <c:pt idx="12">
                  <c:v>1996</c:v>
                </c:pt>
                <c:pt idx="13">
                  <c:v>1997</c:v>
                </c:pt>
                <c:pt idx="14">
                  <c:v>1998</c:v>
                </c:pt>
                <c:pt idx="15">
                  <c:v>1999</c:v>
                </c:pt>
                <c:pt idx="16">
                  <c:v>2000</c:v>
                </c:pt>
                <c:pt idx="17">
                  <c:v>2001</c:v>
                </c:pt>
                <c:pt idx="18">
                  <c:v>2002</c:v>
                </c:pt>
                <c:pt idx="19">
                  <c:v>2003</c:v>
                </c:pt>
                <c:pt idx="20">
                  <c:v>2004</c:v>
                </c:pt>
                <c:pt idx="21">
                  <c:v>2005</c:v>
                </c:pt>
                <c:pt idx="22">
                  <c:v>2006</c:v>
                </c:pt>
                <c:pt idx="23">
                  <c:v>2007</c:v>
                </c:pt>
                <c:pt idx="24">
                  <c:v>2008</c:v>
                </c:pt>
                <c:pt idx="25">
                  <c:v>2009</c:v>
                </c:pt>
                <c:pt idx="26">
                  <c:v>2010</c:v>
                </c:pt>
                <c:pt idx="27">
                  <c:v>2011</c:v>
                </c:pt>
                <c:pt idx="28">
                  <c:v>2012</c:v>
                </c:pt>
                <c:pt idx="29">
                  <c:v>2013</c:v>
                </c:pt>
              </c:strCache>
            </c:strRef>
          </c:cat>
          <c:val>
            <c:numRef>
              <c:f>'Service '!$C$7:$AF$7</c:f>
              <c:numCache>
                <c:formatCode>General</c:formatCode>
                <c:ptCount val="30"/>
                <c:pt idx="0">
                  <c:v>50.666031507389086</c:v>
                </c:pt>
                <c:pt idx="1">
                  <c:v>51.455309259367453</c:v>
                </c:pt>
                <c:pt idx="2">
                  <c:v>52.399881172476938</c:v>
                </c:pt>
                <c:pt idx="3">
                  <c:v>52.425253721135526</c:v>
                </c:pt>
                <c:pt idx="4">
                  <c:v>52.200239445332706</c:v>
                </c:pt>
                <c:pt idx="5">
                  <c:v>52.345221682985908</c:v>
                </c:pt>
                <c:pt idx="6">
                  <c:v>51.962872976694953</c:v>
                </c:pt>
                <c:pt idx="7">
                  <c:v>49.181534499478005</c:v>
                </c:pt>
                <c:pt idx="8">
                  <c:v>50.118650663451781</c:v>
                </c:pt>
                <c:pt idx="9">
                  <c:v>50.21414887794198</c:v>
                </c:pt>
                <c:pt idx="10">
                  <c:v>50.37032037160899</c:v>
                </c:pt>
                <c:pt idx="11">
                  <c:v>50.918800062823955</c:v>
                </c:pt>
                <c:pt idx="12">
                  <c:v>51.124495179400974</c:v>
                </c:pt>
                <c:pt idx="13">
                  <c:v>51.830561717700022</c:v>
                </c:pt>
                <c:pt idx="14">
                  <c:v>52.024573638819383</c:v>
                </c:pt>
                <c:pt idx="15">
                  <c:v>51.766894556789154</c:v>
                </c:pt>
                <c:pt idx="16">
                  <c:v>50.127159316621629</c:v>
                </c:pt>
                <c:pt idx="17">
                  <c:v>50.112105465742872</c:v>
                </c:pt>
                <c:pt idx="18">
                  <c:v>48.717861214258185</c:v>
                </c:pt>
                <c:pt idx="19">
                  <c:v>47.994339246847453</c:v>
                </c:pt>
                <c:pt idx="20">
                  <c:v>47.954472539590434</c:v>
                </c:pt>
                <c:pt idx="21">
                  <c:v>48.793435330382046</c:v>
                </c:pt>
                <c:pt idx="22">
                  <c:v>47.501144724690484</c:v>
                </c:pt>
                <c:pt idx="23">
                  <c:v>49.165693722263342</c:v>
                </c:pt>
                <c:pt idx="24">
                  <c:v>48.861653278410024</c:v>
                </c:pt>
                <c:pt idx="25">
                  <c:v>48.82138827113306</c:v>
                </c:pt>
                <c:pt idx="26">
                  <c:v>48.483316727354392</c:v>
                </c:pt>
                <c:pt idx="27">
                  <c:v>47.851719402396675</c:v>
                </c:pt>
                <c:pt idx="28">
                  <c:v>50.215113816743973</c:v>
                </c:pt>
                <c:pt idx="29">
                  <c:v>50.238842343559163</c:v>
                </c:pt>
              </c:numCache>
            </c:numRef>
          </c:val>
          <c:smooth val="0"/>
          <c:extLst>
            <c:ext xmlns:c16="http://schemas.microsoft.com/office/drawing/2014/chart" uri="{C3380CC4-5D6E-409C-BE32-E72D297353CC}">
              <c16:uniqueId val="{00000004-7940-4926-9153-D01F2548B9A5}"/>
            </c:ext>
          </c:extLst>
        </c:ser>
        <c:ser>
          <c:idx val="5"/>
          <c:order val="5"/>
          <c:tx>
            <c:strRef>
              <c:f>'Service '!$B$8</c:f>
              <c:strCache>
                <c:ptCount val="1"/>
                <c:pt idx="0">
                  <c:v>India</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strRef>
              <c:f>'Service '!$C$2:$AF$2</c:f>
              <c:strCache>
                <c:ptCount val="30"/>
                <c:pt idx="0">
                  <c:v>1984</c:v>
                </c:pt>
                <c:pt idx="1">
                  <c:v>1985</c:v>
                </c:pt>
                <c:pt idx="2">
                  <c:v>1986</c:v>
                </c:pt>
                <c:pt idx="3">
                  <c:v>1987</c:v>
                </c:pt>
                <c:pt idx="4">
                  <c:v>1988</c:v>
                </c:pt>
                <c:pt idx="5">
                  <c:v>1989</c:v>
                </c:pt>
                <c:pt idx="6">
                  <c:v>1990</c:v>
                </c:pt>
                <c:pt idx="7">
                  <c:v>1991</c:v>
                </c:pt>
                <c:pt idx="8">
                  <c:v>1992</c:v>
                </c:pt>
                <c:pt idx="9">
                  <c:v>1993</c:v>
                </c:pt>
                <c:pt idx="10">
                  <c:v>1994</c:v>
                </c:pt>
                <c:pt idx="11">
                  <c:v>1995</c:v>
                </c:pt>
                <c:pt idx="12">
                  <c:v>1996</c:v>
                </c:pt>
                <c:pt idx="13">
                  <c:v>1997</c:v>
                </c:pt>
                <c:pt idx="14">
                  <c:v>1998</c:v>
                </c:pt>
                <c:pt idx="15">
                  <c:v>1999</c:v>
                </c:pt>
                <c:pt idx="16">
                  <c:v>2000</c:v>
                </c:pt>
                <c:pt idx="17">
                  <c:v>2001</c:v>
                </c:pt>
                <c:pt idx="18">
                  <c:v>2002</c:v>
                </c:pt>
                <c:pt idx="19">
                  <c:v>2003</c:v>
                </c:pt>
                <c:pt idx="20">
                  <c:v>2004</c:v>
                </c:pt>
                <c:pt idx="21">
                  <c:v>2005</c:v>
                </c:pt>
                <c:pt idx="22">
                  <c:v>2006</c:v>
                </c:pt>
                <c:pt idx="23">
                  <c:v>2007</c:v>
                </c:pt>
                <c:pt idx="24">
                  <c:v>2008</c:v>
                </c:pt>
                <c:pt idx="25">
                  <c:v>2009</c:v>
                </c:pt>
                <c:pt idx="26">
                  <c:v>2010</c:v>
                </c:pt>
                <c:pt idx="27">
                  <c:v>2011</c:v>
                </c:pt>
                <c:pt idx="28">
                  <c:v>2012</c:v>
                </c:pt>
                <c:pt idx="29">
                  <c:v>2013</c:v>
                </c:pt>
              </c:strCache>
            </c:strRef>
          </c:cat>
          <c:val>
            <c:numRef>
              <c:f>'Service '!$C$8:$AF$8</c:f>
              <c:numCache>
                <c:formatCode>General</c:formatCode>
                <c:ptCount val="30"/>
                <c:pt idx="0">
                  <c:v>36.058299006398272</c:v>
                </c:pt>
                <c:pt idx="1">
                  <c:v>37.276487851684429</c:v>
                </c:pt>
                <c:pt idx="2">
                  <c:v>38.250720260955433</c:v>
                </c:pt>
                <c:pt idx="3">
                  <c:v>38.782126718285411</c:v>
                </c:pt>
                <c:pt idx="4">
                  <c:v>37.883387407706117</c:v>
                </c:pt>
                <c:pt idx="5">
                  <c:v>38.281031666037386</c:v>
                </c:pt>
                <c:pt idx="6">
                  <c:v>38.2667061796203</c:v>
                </c:pt>
                <c:pt idx="7">
                  <c:v>39.191320566405366</c:v>
                </c:pt>
                <c:pt idx="8">
                  <c:v>39.429018499567256</c:v>
                </c:pt>
                <c:pt idx="9">
                  <c:v>39.814764785471809</c:v>
                </c:pt>
                <c:pt idx="10">
                  <c:v>39.151008302704504</c:v>
                </c:pt>
                <c:pt idx="11">
                  <c:v>40.051437518197403</c:v>
                </c:pt>
                <c:pt idx="12">
                  <c:v>40.106912104487577</c:v>
                </c:pt>
                <c:pt idx="13">
                  <c:v>41.61838751015307</c:v>
                </c:pt>
                <c:pt idx="14">
                  <c:v>42.517030108091305</c:v>
                </c:pt>
                <c:pt idx="15">
                  <c:v>44.470723691906691</c:v>
                </c:pt>
                <c:pt idx="16">
                  <c:v>45.079931509037962</c:v>
                </c:pt>
                <c:pt idx="17">
                  <c:v>46.277246857086027</c:v>
                </c:pt>
                <c:pt idx="18">
                  <c:v>47.288483557958031</c:v>
                </c:pt>
                <c:pt idx="19">
                  <c:v>47.432142984541379</c:v>
                </c:pt>
                <c:pt idx="20">
                  <c:v>46.922671195050746</c:v>
                </c:pt>
                <c:pt idx="21">
                  <c:v>46.899662803214895</c:v>
                </c:pt>
                <c:pt idx="22">
                  <c:v>46.595771498301005</c:v>
                </c:pt>
                <c:pt idx="23">
                  <c:v>46.401867876847305</c:v>
                </c:pt>
                <c:pt idx="24">
                  <c:v>47.780052958830289</c:v>
                </c:pt>
                <c:pt idx="25">
                  <c:v>48.460236247608059</c:v>
                </c:pt>
                <c:pt idx="26">
                  <c:v>48.69537204053929</c:v>
                </c:pt>
                <c:pt idx="27">
                  <c:v>48.970046004646342</c:v>
                </c:pt>
                <c:pt idx="28">
                  <c:v>50.030926848192728</c:v>
                </c:pt>
                <c:pt idx="29">
                  <c:v>50.620794777094126</c:v>
                </c:pt>
              </c:numCache>
            </c:numRef>
          </c:val>
          <c:smooth val="0"/>
          <c:extLst>
            <c:ext xmlns:c16="http://schemas.microsoft.com/office/drawing/2014/chart" uri="{C3380CC4-5D6E-409C-BE32-E72D297353CC}">
              <c16:uniqueId val="{00000005-7940-4926-9153-D01F2548B9A5}"/>
            </c:ext>
          </c:extLst>
        </c:ser>
        <c:ser>
          <c:idx val="6"/>
          <c:order val="6"/>
          <c:tx>
            <c:strRef>
              <c:f>'Service '!$B$9</c:f>
              <c:strCache>
                <c:ptCount val="1"/>
                <c:pt idx="0">
                  <c:v>Malaysia</c:v>
                </c:pt>
              </c:strCache>
            </c:strRef>
          </c:tx>
          <c:spPr>
            <a:ln w="28575" cap="rnd">
              <a:solidFill>
                <a:schemeClr val="accent1">
                  <a:lumMod val="60000"/>
                </a:schemeClr>
              </a:solidFill>
              <a:round/>
            </a:ln>
            <a:effectLst/>
          </c:spPr>
          <c:marker>
            <c:symbol val="circle"/>
            <c:size val="5"/>
            <c:spPr>
              <a:solidFill>
                <a:schemeClr val="accent1">
                  <a:lumMod val="60000"/>
                </a:schemeClr>
              </a:solidFill>
              <a:ln w="9525">
                <a:solidFill>
                  <a:schemeClr val="accent1">
                    <a:lumMod val="60000"/>
                  </a:schemeClr>
                </a:solidFill>
              </a:ln>
              <a:effectLst/>
            </c:spPr>
          </c:marker>
          <c:cat>
            <c:strRef>
              <c:f>'Service '!$C$2:$AF$2</c:f>
              <c:strCache>
                <c:ptCount val="30"/>
                <c:pt idx="0">
                  <c:v>1984</c:v>
                </c:pt>
                <c:pt idx="1">
                  <c:v>1985</c:v>
                </c:pt>
                <c:pt idx="2">
                  <c:v>1986</c:v>
                </c:pt>
                <c:pt idx="3">
                  <c:v>1987</c:v>
                </c:pt>
                <c:pt idx="4">
                  <c:v>1988</c:v>
                </c:pt>
                <c:pt idx="5">
                  <c:v>1989</c:v>
                </c:pt>
                <c:pt idx="6">
                  <c:v>1990</c:v>
                </c:pt>
                <c:pt idx="7">
                  <c:v>1991</c:v>
                </c:pt>
                <c:pt idx="8">
                  <c:v>1992</c:v>
                </c:pt>
                <c:pt idx="9">
                  <c:v>1993</c:v>
                </c:pt>
                <c:pt idx="10">
                  <c:v>1994</c:v>
                </c:pt>
                <c:pt idx="11">
                  <c:v>1995</c:v>
                </c:pt>
                <c:pt idx="12">
                  <c:v>1996</c:v>
                </c:pt>
                <c:pt idx="13">
                  <c:v>1997</c:v>
                </c:pt>
                <c:pt idx="14">
                  <c:v>1998</c:v>
                </c:pt>
                <c:pt idx="15">
                  <c:v>1999</c:v>
                </c:pt>
                <c:pt idx="16">
                  <c:v>2000</c:v>
                </c:pt>
                <c:pt idx="17">
                  <c:v>2001</c:v>
                </c:pt>
                <c:pt idx="18">
                  <c:v>2002</c:v>
                </c:pt>
                <c:pt idx="19">
                  <c:v>2003</c:v>
                </c:pt>
                <c:pt idx="20">
                  <c:v>2004</c:v>
                </c:pt>
                <c:pt idx="21">
                  <c:v>2005</c:v>
                </c:pt>
                <c:pt idx="22">
                  <c:v>2006</c:v>
                </c:pt>
                <c:pt idx="23">
                  <c:v>2007</c:v>
                </c:pt>
                <c:pt idx="24">
                  <c:v>2008</c:v>
                </c:pt>
                <c:pt idx="25">
                  <c:v>2009</c:v>
                </c:pt>
                <c:pt idx="26">
                  <c:v>2010</c:v>
                </c:pt>
                <c:pt idx="27">
                  <c:v>2011</c:v>
                </c:pt>
                <c:pt idx="28">
                  <c:v>2012</c:v>
                </c:pt>
                <c:pt idx="29">
                  <c:v>2013</c:v>
                </c:pt>
              </c:strCache>
            </c:strRef>
          </c:cat>
          <c:val>
            <c:numRef>
              <c:f>'Service '!$C$9:$AF$9</c:f>
              <c:numCache>
                <c:formatCode>General</c:formatCode>
                <c:ptCount val="30"/>
                <c:pt idx="0">
                  <c:v>40.420907353865495</c:v>
                </c:pt>
                <c:pt idx="1">
                  <c:v>40.484263585904223</c:v>
                </c:pt>
                <c:pt idx="2">
                  <c:v>40.581860072073077</c:v>
                </c:pt>
                <c:pt idx="3">
                  <c:v>41.51199420361349</c:v>
                </c:pt>
                <c:pt idx="4">
                  <c:v>41.571940456858286</c:v>
                </c:pt>
                <c:pt idx="5">
                  <c:v>42.114167133883853</c:v>
                </c:pt>
                <c:pt idx="6">
                  <c:v>42.585299082137368</c:v>
                </c:pt>
                <c:pt idx="7">
                  <c:v>43.538109722253061</c:v>
                </c:pt>
                <c:pt idx="8">
                  <c:v>44.282955382563159</c:v>
                </c:pt>
                <c:pt idx="9">
                  <c:v>46.127891377698283</c:v>
                </c:pt>
                <c:pt idx="10">
                  <c:v>46.297452164125652</c:v>
                </c:pt>
                <c:pt idx="11">
                  <c:v>45.647542162609227</c:v>
                </c:pt>
                <c:pt idx="12">
                  <c:v>44.79231942490275</c:v>
                </c:pt>
                <c:pt idx="13">
                  <c:v>44.324775102468109</c:v>
                </c:pt>
                <c:pt idx="14">
                  <c:v>42.811145161062548</c:v>
                </c:pt>
                <c:pt idx="15">
                  <c:v>42.697977829940889</c:v>
                </c:pt>
                <c:pt idx="16">
                  <c:v>43.080687203459021</c:v>
                </c:pt>
                <c:pt idx="17">
                  <c:v>45.785483537022905</c:v>
                </c:pt>
                <c:pt idx="18">
                  <c:v>45.899397722409532</c:v>
                </c:pt>
                <c:pt idx="19">
                  <c:v>44.115490879219813</c:v>
                </c:pt>
                <c:pt idx="20">
                  <c:v>42.199013182181588</c:v>
                </c:pt>
                <c:pt idx="21">
                  <c:v>45.810671403184088</c:v>
                </c:pt>
                <c:pt idx="22">
                  <c:v>45.294166723918075</c:v>
                </c:pt>
                <c:pt idx="23">
                  <c:v>47.797897916854545</c:v>
                </c:pt>
                <c:pt idx="24">
                  <c:v>47.115282447645818</c:v>
                </c:pt>
                <c:pt idx="25">
                  <c:v>52.317460651933843</c:v>
                </c:pt>
                <c:pt idx="26">
                  <c:v>52.110212141206723</c:v>
                </c:pt>
                <c:pt idx="27">
                  <c:v>51.319191035094704</c:v>
                </c:pt>
                <c:pt idx="28">
                  <c:v>52.717165799571895</c:v>
                </c:pt>
                <c:pt idx="29">
                  <c:v>53.695466286018345</c:v>
                </c:pt>
              </c:numCache>
            </c:numRef>
          </c:val>
          <c:smooth val="0"/>
          <c:extLst>
            <c:ext xmlns:c16="http://schemas.microsoft.com/office/drawing/2014/chart" uri="{C3380CC4-5D6E-409C-BE32-E72D297353CC}">
              <c16:uniqueId val="{00000006-7940-4926-9153-D01F2548B9A5}"/>
            </c:ext>
          </c:extLst>
        </c:ser>
        <c:ser>
          <c:idx val="7"/>
          <c:order val="7"/>
          <c:tx>
            <c:strRef>
              <c:f>'Service '!$B$10</c:f>
              <c:strCache>
                <c:ptCount val="1"/>
                <c:pt idx="0">
                  <c:v>Philippines</c:v>
                </c:pt>
              </c:strCache>
            </c:strRef>
          </c:tx>
          <c:spPr>
            <a:ln w="28575" cap="rnd">
              <a:solidFill>
                <a:schemeClr val="accent2">
                  <a:lumMod val="60000"/>
                </a:schemeClr>
              </a:solidFill>
              <a:round/>
            </a:ln>
            <a:effectLst/>
          </c:spPr>
          <c:marker>
            <c:symbol val="circle"/>
            <c:size val="5"/>
            <c:spPr>
              <a:solidFill>
                <a:schemeClr val="accent2">
                  <a:lumMod val="60000"/>
                </a:schemeClr>
              </a:solidFill>
              <a:ln w="9525">
                <a:solidFill>
                  <a:schemeClr val="accent2">
                    <a:lumMod val="60000"/>
                  </a:schemeClr>
                </a:solidFill>
              </a:ln>
              <a:effectLst/>
            </c:spPr>
          </c:marker>
          <c:cat>
            <c:strRef>
              <c:f>'Service '!$C$2:$AF$2</c:f>
              <c:strCache>
                <c:ptCount val="30"/>
                <c:pt idx="0">
                  <c:v>1984</c:v>
                </c:pt>
                <c:pt idx="1">
                  <c:v>1985</c:v>
                </c:pt>
                <c:pt idx="2">
                  <c:v>1986</c:v>
                </c:pt>
                <c:pt idx="3">
                  <c:v>1987</c:v>
                </c:pt>
                <c:pt idx="4">
                  <c:v>1988</c:v>
                </c:pt>
                <c:pt idx="5">
                  <c:v>1989</c:v>
                </c:pt>
                <c:pt idx="6">
                  <c:v>1990</c:v>
                </c:pt>
                <c:pt idx="7">
                  <c:v>1991</c:v>
                </c:pt>
                <c:pt idx="8">
                  <c:v>1992</c:v>
                </c:pt>
                <c:pt idx="9">
                  <c:v>1993</c:v>
                </c:pt>
                <c:pt idx="10">
                  <c:v>1994</c:v>
                </c:pt>
                <c:pt idx="11">
                  <c:v>1995</c:v>
                </c:pt>
                <c:pt idx="12">
                  <c:v>1996</c:v>
                </c:pt>
                <c:pt idx="13">
                  <c:v>1997</c:v>
                </c:pt>
                <c:pt idx="14">
                  <c:v>1998</c:v>
                </c:pt>
                <c:pt idx="15">
                  <c:v>1999</c:v>
                </c:pt>
                <c:pt idx="16">
                  <c:v>2000</c:v>
                </c:pt>
                <c:pt idx="17">
                  <c:v>2001</c:v>
                </c:pt>
                <c:pt idx="18">
                  <c:v>2002</c:v>
                </c:pt>
                <c:pt idx="19">
                  <c:v>2003</c:v>
                </c:pt>
                <c:pt idx="20">
                  <c:v>2004</c:v>
                </c:pt>
                <c:pt idx="21">
                  <c:v>2005</c:v>
                </c:pt>
                <c:pt idx="22">
                  <c:v>2006</c:v>
                </c:pt>
                <c:pt idx="23">
                  <c:v>2007</c:v>
                </c:pt>
                <c:pt idx="24">
                  <c:v>2008</c:v>
                </c:pt>
                <c:pt idx="25">
                  <c:v>2009</c:v>
                </c:pt>
                <c:pt idx="26">
                  <c:v>2010</c:v>
                </c:pt>
                <c:pt idx="27">
                  <c:v>2011</c:v>
                </c:pt>
                <c:pt idx="28">
                  <c:v>2012</c:v>
                </c:pt>
                <c:pt idx="29">
                  <c:v>2013</c:v>
                </c:pt>
              </c:strCache>
            </c:strRef>
          </c:cat>
          <c:val>
            <c:numRef>
              <c:f>'Service '!$C$10:$AF$10</c:f>
              <c:numCache>
                <c:formatCode>General</c:formatCode>
                <c:ptCount val="30"/>
                <c:pt idx="0">
                  <c:v>37.339388843447139</c:v>
                </c:pt>
                <c:pt idx="1">
                  <c:v>40.354583017855049</c:v>
                </c:pt>
                <c:pt idx="2">
                  <c:v>41.477646919707603</c:v>
                </c:pt>
                <c:pt idx="3">
                  <c:v>41.557990755224353</c:v>
                </c:pt>
                <c:pt idx="4">
                  <c:v>41.881573909322285</c:v>
                </c:pt>
                <c:pt idx="5">
                  <c:v>42.408941005614601</c:v>
                </c:pt>
                <c:pt idx="6">
                  <c:v>43.624012171880473</c:v>
                </c:pt>
                <c:pt idx="7">
                  <c:v>45.002728341336734</c:v>
                </c:pt>
                <c:pt idx="8">
                  <c:v>45.342008746935946</c:v>
                </c:pt>
                <c:pt idx="9">
                  <c:v>45.712489411356181</c:v>
                </c:pt>
                <c:pt idx="10">
                  <c:v>45.466445196853741</c:v>
                </c:pt>
                <c:pt idx="11">
                  <c:v>46.310581961446005</c:v>
                </c:pt>
                <c:pt idx="12">
                  <c:v>47.296265703832823</c:v>
                </c:pt>
                <c:pt idx="13">
                  <c:v>48.994640141127427</c:v>
                </c:pt>
                <c:pt idx="14">
                  <c:v>50.849960645334889</c:v>
                </c:pt>
                <c:pt idx="15">
                  <c:v>51.733001624786581</c:v>
                </c:pt>
                <c:pt idx="16">
                  <c:v>51.577148804785807</c:v>
                </c:pt>
                <c:pt idx="17">
                  <c:v>52.298412961421711</c:v>
                </c:pt>
                <c:pt idx="18">
                  <c:v>52.270667531318828</c:v>
                </c:pt>
                <c:pt idx="19">
                  <c:v>52.734773900405976</c:v>
                </c:pt>
                <c:pt idx="20">
                  <c:v>52.94194349604814</c:v>
                </c:pt>
                <c:pt idx="21">
                  <c:v>53.501036688245442</c:v>
                </c:pt>
                <c:pt idx="22">
                  <c:v>54.138133133498215</c:v>
                </c:pt>
                <c:pt idx="23">
                  <c:v>54.450221340853119</c:v>
                </c:pt>
                <c:pt idx="24">
                  <c:v>53.878767743206048</c:v>
                </c:pt>
                <c:pt idx="25">
                  <c:v>55.2091383830317</c:v>
                </c:pt>
                <c:pt idx="26">
                  <c:v>55.117387390390618</c:v>
                </c:pt>
                <c:pt idx="27">
                  <c:v>55.931657561551894</c:v>
                </c:pt>
                <c:pt idx="28">
                  <c:v>56.920007765297683</c:v>
                </c:pt>
                <c:pt idx="29">
                  <c:v>57.631749790174311</c:v>
                </c:pt>
              </c:numCache>
            </c:numRef>
          </c:val>
          <c:smooth val="0"/>
          <c:extLst>
            <c:ext xmlns:c16="http://schemas.microsoft.com/office/drawing/2014/chart" uri="{C3380CC4-5D6E-409C-BE32-E72D297353CC}">
              <c16:uniqueId val="{00000007-7940-4926-9153-D01F2548B9A5}"/>
            </c:ext>
          </c:extLst>
        </c:ser>
        <c:ser>
          <c:idx val="8"/>
          <c:order val="8"/>
          <c:tx>
            <c:strRef>
              <c:f>'Service '!$B$11</c:f>
              <c:strCache>
                <c:ptCount val="1"/>
                <c:pt idx="0">
                  <c:v>Thailand</c:v>
                </c:pt>
              </c:strCache>
            </c:strRef>
          </c:tx>
          <c:spPr>
            <a:ln w="28575" cap="rnd">
              <a:solidFill>
                <a:schemeClr val="accent3">
                  <a:lumMod val="60000"/>
                </a:schemeClr>
              </a:solidFill>
              <a:round/>
            </a:ln>
            <a:effectLst/>
          </c:spPr>
          <c:marker>
            <c:symbol val="circle"/>
            <c:size val="5"/>
            <c:spPr>
              <a:solidFill>
                <a:schemeClr val="accent3">
                  <a:lumMod val="60000"/>
                </a:schemeClr>
              </a:solidFill>
              <a:ln w="9525">
                <a:solidFill>
                  <a:schemeClr val="accent3">
                    <a:lumMod val="60000"/>
                  </a:schemeClr>
                </a:solidFill>
              </a:ln>
              <a:effectLst/>
            </c:spPr>
          </c:marker>
          <c:cat>
            <c:strRef>
              <c:f>'Service '!$C$2:$AF$2</c:f>
              <c:strCache>
                <c:ptCount val="30"/>
                <c:pt idx="0">
                  <c:v>1984</c:v>
                </c:pt>
                <c:pt idx="1">
                  <c:v>1985</c:v>
                </c:pt>
                <c:pt idx="2">
                  <c:v>1986</c:v>
                </c:pt>
                <c:pt idx="3">
                  <c:v>1987</c:v>
                </c:pt>
                <c:pt idx="4">
                  <c:v>1988</c:v>
                </c:pt>
                <c:pt idx="5">
                  <c:v>1989</c:v>
                </c:pt>
                <c:pt idx="6">
                  <c:v>1990</c:v>
                </c:pt>
                <c:pt idx="7">
                  <c:v>1991</c:v>
                </c:pt>
                <c:pt idx="8">
                  <c:v>1992</c:v>
                </c:pt>
                <c:pt idx="9">
                  <c:v>1993</c:v>
                </c:pt>
                <c:pt idx="10">
                  <c:v>1994</c:v>
                </c:pt>
                <c:pt idx="11">
                  <c:v>1995</c:v>
                </c:pt>
                <c:pt idx="12">
                  <c:v>1996</c:v>
                </c:pt>
                <c:pt idx="13">
                  <c:v>1997</c:v>
                </c:pt>
                <c:pt idx="14">
                  <c:v>1998</c:v>
                </c:pt>
                <c:pt idx="15">
                  <c:v>1999</c:v>
                </c:pt>
                <c:pt idx="16">
                  <c:v>2000</c:v>
                </c:pt>
                <c:pt idx="17">
                  <c:v>2001</c:v>
                </c:pt>
                <c:pt idx="18">
                  <c:v>2002</c:v>
                </c:pt>
                <c:pt idx="19">
                  <c:v>2003</c:v>
                </c:pt>
                <c:pt idx="20">
                  <c:v>2004</c:v>
                </c:pt>
                <c:pt idx="21">
                  <c:v>2005</c:v>
                </c:pt>
                <c:pt idx="22">
                  <c:v>2006</c:v>
                </c:pt>
                <c:pt idx="23">
                  <c:v>2007</c:v>
                </c:pt>
                <c:pt idx="24">
                  <c:v>2008</c:v>
                </c:pt>
                <c:pt idx="25">
                  <c:v>2009</c:v>
                </c:pt>
                <c:pt idx="26">
                  <c:v>2010</c:v>
                </c:pt>
                <c:pt idx="27">
                  <c:v>2011</c:v>
                </c:pt>
                <c:pt idx="28">
                  <c:v>2012</c:v>
                </c:pt>
                <c:pt idx="29">
                  <c:v>2013</c:v>
                </c:pt>
              </c:strCache>
            </c:strRef>
          </c:cat>
          <c:val>
            <c:numRef>
              <c:f>'Service '!$C$11:$AF$11</c:f>
              <c:numCache>
                <c:formatCode>General</c:formatCode>
                <c:ptCount val="30"/>
                <c:pt idx="0">
                  <c:v>50.450780113139849</c:v>
                </c:pt>
                <c:pt idx="1">
                  <c:v>52.347941126637934</c:v>
                </c:pt>
                <c:pt idx="2">
                  <c:v>51.252912376864991</c:v>
                </c:pt>
                <c:pt idx="3">
                  <c:v>50.923408598236698</c:v>
                </c:pt>
                <c:pt idx="4">
                  <c:v>49.241955703608653</c:v>
                </c:pt>
                <c:pt idx="5">
                  <c:v>48.673177944726362</c:v>
                </c:pt>
                <c:pt idx="6">
                  <c:v>50.275626705733401</c:v>
                </c:pt>
                <c:pt idx="7">
                  <c:v>48.692294562066564</c:v>
                </c:pt>
                <c:pt idx="8">
                  <c:v>49.646826397662473</c:v>
                </c:pt>
                <c:pt idx="9">
                  <c:v>54.892951882967637</c:v>
                </c:pt>
                <c:pt idx="10">
                  <c:v>54.147635324700673</c:v>
                </c:pt>
                <c:pt idx="11">
                  <c:v>53.390771880465927</c:v>
                </c:pt>
                <c:pt idx="12">
                  <c:v>53.613252260108368</c:v>
                </c:pt>
                <c:pt idx="13">
                  <c:v>54.149598571131051</c:v>
                </c:pt>
                <c:pt idx="14">
                  <c:v>53.452758967823222</c:v>
                </c:pt>
                <c:pt idx="15">
                  <c:v>54.556297615297112</c:v>
                </c:pt>
                <c:pt idx="16">
                  <c:v>54.65752946404637</c:v>
                </c:pt>
                <c:pt idx="17">
                  <c:v>54.950418268393364</c:v>
                </c:pt>
                <c:pt idx="18">
                  <c:v>54.259115658025593</c:v>
                </c:pt>
                <c:pt idx="19">
                  <c:v>52.497395248794497</c:v>
                </c:pt>
                <c:pt idx="20">
                  <c:v>52.677527234702239</c:v>
                </c:pt>
                <c:pt idx="21">
                  <c:v>52.172873823825327</c:v>
                </c:pt>
                <c:pt idx="22">
                  <c:v>51.324033661660891</c:v>
                </c:pt>
                <c:pt idx="23">
                  <c:v>51.103229540384653</c:v>
                </c:pt>
                <c:pt idx="24">
                  <c:v>50.339066967812286</c:v>
                </c:pt>
                <c:pt idx="25">
                  <c:v>51.502227639124939</c:v>
                </c:pt>
                <c:pt idx="26">
                  <c:v>49.462142044462553</c:v>
                </c:pt>
                <c:pt idx="27">
                  <c:v>50.332876561856864</c:v>
                </c:pt>
                <c:pt idx="28">
                  <c:v>51.064928965218151</c:v>
                </c:pt>
                <c:pt idx="29">
                  <c:v>51.695381051524301</c:v>
                </c:pt>
              </c:numCache>
            </c:numRef>
          </c:val>
          <c:smooth val="0"/>
          <c:extLst>
            <c:ext xmlns:c16="http://schemas.microsoft.com/office/drawing/2014/chart" uri="{C3380CC4-5D6E-409C-BE32-E72D297353CC}">
              <c16:uniqueId val="{00000008-7940-4926-9153-D01F2548B9A5}"/>
            </c:ext>
          </c:extLst>
        </c:ser>
        <c:ser>
          <c:idx val="9"/>
          <c:order val="9"/>
          <c:tx>
            <c:strRef>
              <c:f>'Service '!$B$12</c:f>
              <c:strCache>
                <c:ptCount val="1"/>
                <c:pt idx="0">
                  <c:v>Turkey</c:v>
                </c:pt>
              </c:strCache>
            </c:strRef>
          </c:tx>
          <c:spPr>
            <a:ln w="28575" cap="rnd">
              <a:solidFill>
                <a:schemeClr val="accent4">
                  <a:lumMod val="60000"/>
                </a:schemeClr>
              </a:solidFill>
              <a:round/>
            </a:ln>
            <a:effectLst/>
          </c:spPr>
          <c:marker>
            <c:symbol val="circle"/>
            <c:size val="5"/>
            <c:spPr>
              <a:solidFill>
                <a:schemeClr val="accent4">
                  <a:lumMod val="60000"/>
                </a:schemeClr>
              </a:solidFill>
              <a:ln w="9525">
                <a:solidFill>
                  <a:schemeClr val="accent4">
                    <a:lumMod val="60000"/>
                  </a:schemeClr>
                </a:solidFill>
              </a:ln>
              <a:effectLst/>
            </c:spPr>
          </c:marker>
          <c:cat>
            <c:strRef>
              <c:f>'Service '!$C$2:$AF$2</c:f>
              <c:strCache>
                <c:ptCount val="30"/>
                <c:pt idx="0">
                  <c:v>1984</c:v>
                </c:pt>
                <c:pt idx="1">
                  <c:v>1985</c:v>
                </c:pt>
                <c:pt idx="2">
                  <c:v>1986</c:v>
                </c:pt>
                <c:pt idx="3">
                  <c:v>1987</c:v>
                </c:pt>
                <c:pt idx="4">
                  <c:v>1988</c:v>
                </c:pt>
                <c:pt idx="5">
                  <c:v>1989</c:v>
                </c:pt>
                <c:pt idx="6">
                  <c:v>1990</c:v>
                </c:pt>
                <c:pt idx="7">
                  <c:v>1991</c:v>
                </c:pt>
                <c:pt idx="8">
                  <c:v>1992</c:v>
                </c:pt>
                <c:pt idx="9">
                  <c:v>1993</c:v>
                </c:pt>
                <c:pt idx="10">
                  <c:v>1994</c:v>
                </c:pt>
                <c:pt idx="11">
                  <c:v>1995</c:v>
                </c:pt>
                <c:pt idx="12">
                  <c:v>1996</c:v>
                </c:pt>
                <c:pt idx="13">
                  <c:v>1997</c:v>
                </c:pt>
                <c:pt idx="14">
                  <c:v>1998</c:v>
                </c:pt>
                <c:pt idx="15">
                  <c:v>1999</c:v>
                </c:pt>
                <c:pt idx="16">
                  <c:v>2000</c:v>
                </c:pt>
                <c:pt idx="17">
                  <c:v>2001</c:v>
                </c:pt>
                <c:pt idx="18">
                  <c:v>2002</c:v>
                </c:pt>
                <c:pt idx="19">
                  <c:v>2003</c:v>
                </c:pt>
                <c:pt idx="20">
                  <c:v>2004</c:v>
                </c:pt>
                <c:pt idx="21">
                  <c:v>2005</c:v>
                </c:pt>
                <c:pt idx="22">
                  <c:v>2006</c:v>
                </c:pt>
                <c:pt idx="23">
                  <c:v>2007</c:v>
                </c:pt>
                <c:pt idx="24">
                  <c:v>2008</c:v>
                </c:pt>
                <c:pt idx="25">
                  <c:v>2009</c:v>
                </c:pt>
                <c:pt idx="26">
                  <c:v>2010</c:v>
                </c:pt>
                <c:pt idx="27">
                  <c:v>2011</c:v>
                </c:pt>
                <c:pt idx="28">
                  <c:v>2012</c:v>
                </c:pt>
                <c:pt idx="29">
                  <c:v>2013</c:v>
                </c:pt>
              </c:strCache>
            </c:strRef>
          </c:cat>
          <c:val>
            <c:numRef>
              <c:f>'Service '!$C$12:$AF$12</c:f>
              <c:numCache>
                <c:formatCode>General</c:formatCode>
                <c:ptCount val="30"/>
                <c:pt idx="0">
                  <c:v>52.095231894033823</c:v>
                </c:pt>
                <c:pt idx="1">
                  <c:v>52.614251665880019</c:v>
                </c:pt>
                <c:pt idx="2">
                  <c:v>47.967855219391758</c:v>
                </c:pt>
                <c:pt idx="3">
                  <c:v>48.977179226394227</c:v>
                </c:pt>
                <c:pt idx="4">
                  <c:v>48.21925941098857</c:v>
                </c:pt>
                <c:pt idx="5">
                  <c:v>48.898557127299462</c:v>
                </c:pt>
                <c:pt idx="6">
                  <c:v>49.750002172978</c:v>
                </c:pt>
                <c:pt idx="7">
                  <c:v>51.502991639070792</c:v>
                </c:pt>
                <c:pt idx="8">
                  <c:v>52.051859346129547</c:v>
                </c:pt>
                <c:pt idx="9">
                  <c:v>52.827579624714417</c:v>
                </c:pt>
                <c:pt idx="10">
                  <c:v>50.725123421415532</c:v>
                </c:pt>
                <c:pt idx="11">
                  <c:v>50.47385203587006</c:v>
                </c:pt>
                <c:pt idx="12">
                  <c:v>51.006430856171271</c:v>
                </c:pt>
                <c:pt idx="13">
                  <c:v>53.180791241073742</c:v>
                </c:pt>
                <c:pt idx="14">
                  <c:v>52.671741071478465</c:v>
                </c:pt>
                <c:pt idx="15">
                  <c:v>57.363795974322393</c:v>
                </c:pt>
                <c:pt idx="16">
                  <c:v>58.694861777921972</c:v>
                </c:pt>
                <c:pt idx="17">
                  <c:v>61.370875552691473</c:v>
                </c:pt>
                <c:pt idx="18">
                  <c:v>60.4841709439672</c:v>
                </c:pt>
                <c:pt idx="19">
                  <c:v>60.380764714666903</c:v>
                </c:pt>
                <c:pt idx="20">
                  <c:v>60.462526817026585</c:v>
                </c:pt>
                <c:pt idx="21">
                  <c:v>60.427478338640398</c:v>
                </c:pt>
                <c:pt idx="22">
                  <c:v>60.81540887712228</c:v>
                </c:pt>
                <c:pt idx="23">
                  <c:v>61.661545281621365</c:v>
                </c:pt>
                <c:pt idx="24">
                  <c:v>62.123616878709264</c:v>
                </c:pt>
                <c:pt idx="25">
                  <c:v>63.90909476680973</c:v>
                </c:pt>
                <c:pt idx="26">
                  <c:v>61.752773016453375</c:v>
                </c:pt>
                <c:pt idx="27">
                  <c:v>60.018462620347158</c:v>
                </c:pt>
                <c:pt idx="28">
                  <c:v>60.881040717475884</c:v>
                </c:pt>
                <c:pt idx="29">
                  <c:v>60.706501596505369</c:v>
                </c:pt>
              </c:numCache>
            </c:numRef>
          </c:val>
          <c:smooth val="0"/>
          <c:extLst>
            <c:ext xmlns:c16="http://schemas.microsoft.com/office/drawing/2014/chart" uri="{C3380CC4-5D6E-409C-BE32-E72D297353CC}">
              <c16:uniqueId val="{00000009-7940-4926-9153-D01F2548B9A5}"/>
            </c:ext>
          </c:extLst>
        </c:ser>
        <c:ser>
          <c:idx val="10"/>
          <c:order val="10"/>
          <c:tx>
            <c:strRef>
              <c:f>'Service '!$B$13</c:f>
              <c:strCache>
                <c:ptCount val="1"/>
                <c:pt idx="0">
                  <c:v>South Africa</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cat>
            <c:strRef>
              <c:f>'Service '!$C$2:$AF$2</c:f>
              <c:strCache>
                <c:ptCount val="30"/>
                <c:pt idx="0">
                  <c:v>1984</c:v>
                </c:pt>
                <c:pt idx="1">
                  <c:v>1985</c:v>
                </c:pt>
                <c:pt idx="2">
                  <c:v>1986</c:v>
                </c:pt>
                <c:pt idx="3">
                  <c:v>1987</c:v>
                </c:pt>
                <c:pt idx="4">
                  <c:v>1988</c:v>
                </c:pt>
                <c:pt idx="5">
                  <c:v>1989</c:v>
                </c:pt>
                <c:pt idx="6">
                  <c:v>1990</c:v>
                </c:pt>
                <c:pt idx="7">
                  <c:v>1991</c:v>
                </c:pt>
                <c:pt idx="8">
                  <c:v>1992</c:v>
                </c:pt>
                <c:pt idx="9">
                  <c:v>1993</c:v>
                </c:pt>
                <c:pt idx="10">
                  <c:v>1994</c:v>
                </c:pt>
                <c:pt idx="11">
                  <c:v>1995</c:v>
                </c:pt>
                <c:pt idx="12">
                  <c:v>1996</c:v>
                </c:pt>
                <c:pt idx="13">
                  <c:v>1997</c:v>
                </c:pt>
                <c:pt idx="14">
                  <c:v>1998</c:v>
                </c:pt>
                <c:pt idx="15">
                  <c:v>1999</c:v>
                </c:pt>
                <c:pt idx="16">
                  <c:v>2000</c:v>
                </c:pt>
                <c:pt idx="17">
                  <c:v>2001</c:v>
                </c:pt>
                <c:pt idx="18">
                  <c:v>2002</c:v>
                </c:pt>
                <c:pt idx="19">
                  <c:v>2003</c:v>
                </c:pt>
                <c:pt idx="20">
                  <c:v>2004</c:v>
                </c:pt>
                <c:pt idx="21">
                  <c:v>2005</c:v>
                </c:pt>
                <c:pt idx="22">
                  <c:v>2006</c:v>
                </c:pt>
                <c:pt idx="23">
                  <c:v>2007</c:v>
                </c:pt>
                <c:pt idx="24">
                  <c:v>2008</c:v>
                </c:pt>
                <c:pt idx="25">
                  <c:v>2009</c:v>
                </c:pt>
                <c:pt idx="26">
                  <c:v>2010</c:v>
                </c:pt>
                <c:pt idx="27">
                  <c:v>2011</c:v>
                </c:pt>
                <c:pt idx="28">
                  <c:v>2012</c:v>
                </c:pt>
                <c:pt idx="29">
                  <c:v>2013</c:v>
                </c:pt>
              </c:strCache>
            </c:strRef>
          </c:cat>
          <c:val>
            <c:numRef>
              <c:f>'Service '!$C$13:$AF$13</c:f>
              <c:numCache>
                <c:formatCode>General</c:formatCode>
                <c:ptCount val="30"/>
                <c:pt idx="0">
                  <c:v>52.183923292655201</c:v>
                </c:pt>
                <c:pt idx="1">
                  <c:v>51.463914808805725</c:v>
                </c:pt>
                <c:pt idx="2">
                  <c:v>51.419908973880993</c:v>
                </c:pt>
                <c:pt idx="3">
                  <c:v>53.010027413071704</c:v>
                </c:pt>
                <c:pt idx="4">
                  <c:v>52.859585403114032</c:v>
                </c:pt>
                <c:pt idx="5">
                  <c:v>54.055671573371356</c:v>
                </c:pt>
                <c:pt idx="6">
                  <c:v>55.408988417442139</c:v>
                </c:pt>
                <c:pt idx="7">
                  <c:v>57.156838991047962</c:v>
                </c:pt>
                <c:pt idx="8">
                  <c:v>59.807577481608334</c:v>
                </c:pt>
                <c:pt idx="9">
                  <c:v>60.286476722837115</c:v>
                </c:pt>
                <c:pt idx="10">
                  <c:v>60.390965526350548</c:v>
                </c:pt>
                <c:pt idx="11">
                  <c:v>61.265897342499088</c:v>
                </c:pt>
                <c:pt idx="12">
                  <c:v>62.204467410032514</c:v>
                </c:pt>
                <c:pt idx="13">
                  <c:v>63.092153644225299</c:v>
                </c:pt>
                <c:pt idx="14">
                  <c:v>63.859514657661343</c:v>
                </c:pt>
                <c:pt idx="15">
                  <c:v>65.088434264148759</c:v>
                </c:pt>
                <c:pt idx="16">
                  <c:v>64.819328520374668</c:v>
                </c:pt>
                <c:pt idx="17">
                  <c:v>64.081596727412943</c:v>
                </c:pt>
                <c:pt idx="18">
                  <c:v>63.787328802852116</c:v>
                </c:pt>
                <c:pt idx="19">
                  <c:v>65.922612028179913</c:v>
                </c:pt>
                <c:pt idx="20">
                  <c:v>66.656030631780467</c:v>
                </c:pt>
                <c:pt idx="21">
                  <c:v>67.056210732222596</c:v>
                </c:pt>
                <c:pt idx="22">
                  <c:v>68.002966713980655</c:v>
                </c:pt>
                <c:pt idx="23">
                  <c:v>67.351488786415828</c:v>
                </c:pt>
                <c:pt idx="24">
                  <c:v>65.47733238504766</c:v>
                </c:pt>
                <c:pt idx="25">
                  <c:v>66.63578005099366</c:v>
                </c:pt>
                <c:pt idx="26">
                  <c:v>67.21070520991158</c:v>
                </c:pt>
                <c:pt idx="27">
                  <c:v>67.561481427103217</c:v>
                </c:pt>
                <c:pt idx="28">
                  <c:v>67.992065134633918</c:v>
                </c:pt>
                <c:pt idx="29">
                  <c:v>68.012405483266321</c:v>
                </c:pt>
              </c:numCache>
            </c:numRef>
          </c:val>
          <c:smooth val="0"/>
          <c:extLst>
            <c:ext xmlns:c16="http://schemas.microsoft.com/office/drawing/2014/chart" uri="{C3380CC4-5D6E-409C-BE32-E72D297353CC}">
              <c16:uniqueId val="{0000000A-7940-4926-9153-D01F2548B9A5}"/>
            </c:ext>
          </c:extLst>
        </c:ser>
        <c:dLbls>
          <c:showLegendKey val="0"/>
          <c:showVal val="0"/>
          <c:showCatName val="0"/>
          <c:showSerName val="0"/>
          <c:showPercent val="0"/>
          <c:showBubbleSize val="0"/>
        </c:dLbls>
        <c:marker val="1"/>
        <c:smooth val="0"/>
        <c:axId val="105916288"/>
        <c:axId val="105926656"/>
      </c:lineChart>
      <c:catAx>
        <c:axId val="1059162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7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05926656"/>
        <c:crosses val="autoZero"/>
        <c:auto val="1"/>
        <c:lblAlgn val="ctr"/>
        <c:lblOffset val="100"/>
        <c:noMultiLvlLbl val="0"/>
      </c:catAx>
      <c:valAx>
        <c:axId val="105926656"/>
        <c:scaling>
          <c:orientation val="minMax"/>
        </c:scaling>
        <c:delete val="0"/>
        <c:axPos val="l"/>
        <c:majorGridlines>
          <c:spPr>
            <a:ln w="317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Percentage of GDP</a:t>
                </a:r>
              </a:p>
            </c:rich>
          </c:tx>
          <c:layout>
            <c:manualLayout>
              <c:xMode val="edge"/>
              <c:yMode val="edge"/>
              <c:x val="1.2595591542959963E-2"/>
              <c:y val="0.28841745618087211"/>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059162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15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150" b="0"/>
              <a:t>Contribution of Manufacturing Sector on the GDP of Emerging Countries (1984 -2013)</a:t>
            </a:r>
          </a:p>
        </c:rich>
      </c:tx>
      <c:overlay val="0"/>
      <c:spPr>
        <a:noFill/>
        <a:ln>
          <a:noFill/>
        </a:ln>
        <a:effectLst/>
      </c:spPr>
    </c:title>
    <c:autoTitleDeleted val="0"/>
    <c:plotArea>
      <c:layout/>
      <c:lineChart>
        <c:grouping val="standard"/>
        <c:varyColors val="0"/>
        <c:ser>
          <c:idx val="0"/>
          <c:order val="0"/>
          <c:tx>
            <c:strRef>
              <c:f>Manufacturing!$B$3</c:f>
              <c:strCache>
                <c:ptCount val="1"/>
                <c:pt idx="0">
                  <c:v>Brazil</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Manufacturing!$C$2:$AF$2</c:f>
              <c:strCache>
                <c:ptCount val="30"/>
                <c:pt idx="0">
                  <c:v>1984</c:v>
                </c:pt>
                <c:pt idx="1">
                  <c:v>1985</c:v>
                </c:pt>
                <c:pt idx="2">
                  <c:v>1986</c:v>
                </c:pt>
                <c:pt idx="3">
                  <c:v>1987</c:v>
                </c:pt>
                <c:pt idx="4">
                  <c:v>1988</c:v>
                </c:pt>
                <c:pt idx="5">
                  <c:v>1989</c:v>
                </c:pt>
                <c:pt idx="6">
                  <c:v>1990</c:v>
                </c:pt>
                <c:pt idx="7">
                  <c:v>1991</c:v>
                </c:pt>
                <c:pt idx="8">
                  <c:v>1992</c:v>
                </c:pt>
                <c:pt idx="9">
                  <c:v>1993</c:v>
                </c:pt>
                <c:pt idx="10">
                  <c:v>1994</c:v>
                </c:pt>
                <c:pt idx="11">
                  <c:v>1995</c:v>
                </c:pt>
                <c:pt idx="12">
                  <c:v>1996</c:v>
                </c:pt>
                <c:pt idx="13">
                  <c:v>1997</c:v>
                </c:pt>
                <c:pt idx="14">
                  <c:v>1998</c:v>
                </c:pt>
                <c:pt idx="15">
                  <c:v>1999</c:v>
                </c:pt>
                <c:pt idx="16">
                  <c:v>2000</c:v>
                </c:pt>
                <c:pt idx="17">
                  <c:v>2001</c:v>
                </c:pt>
                <c:pt idx="18">
                  <c:v>2002</c:v>
                </c:pt>
                <c:pt idx="19">
                  <c:v>2003</c:v>
                </c:pt>
                <c:pt idx="20">
                  <c:v>2004</c:v>
                </c:pt>
                <c:pt idx="21">
                  <c:v>2005</c:v>
                </c:pt>
                <c:pt idx="22">
                  <c:v>2006</c:v>
                </c:pt>
                <c:pt idx="23">
                  <c:v>2007</c:v>
                </c:pt>
                <c:pt idx="24">
                  <c:v>2008</c:v>
                </c:pt>
                <c:pt idx="25">
                  <c:v>2009</c:v>
                </c:pt>
                <c:pt idx="26">
                  <c:v>2010</c:v>
                </c:pt>
                <c:pt idx="27">
                  <c:v>2011</c:v>
                </c:pt>
                <c:pt idx="28">
                  <c:v>2012</c:v>
                </c:pt>
                <c:pt idx="29">
                  <c:v>2013</c:v>
                </c:pt>
              </c:strCache>
            </c:strRef>
          </c:cat>
          <c:val>
            <c:numRef>
              <c:f>Manufacturing!$C$3:$AF$3</c:f>
              <c:numCache>
                <c:formatCode>General</c:formatCode>
                <c:ptCount val="30"/>
                <c:pt idx="0">
                  <c:v>33.872556388791011</c:v>
                </c:pt>
                <c:pt idx="1">
                  <c:v>33.747489199783928</c:v>
                </c:pt>
                <c:pt idx="2">
                  <c:v>32.96908179947615</c:v>
                </c:pt>
                <c:pt idx="3">
                  <c:v>31.956488030746822</c:v>
                </c:pt>
                <c:pt idx="4">
                  <c:v>30.95471645626176</c:v>
                </c:pt>
                <c:pt idx="5">
                  <c:v>29.528802515329573</c:v>
                </c:pt>
                <c:pt idx="6">
                  <c:v>27.545459999999999</c:v>
                </c:pt>
                <c:pt idx="7">
                  <c:v>25.343370512771706</c:v>
                </c:pt>
                <c:pt idx="8">
                  <c:v>24.655931277211238</c:v>
                </c:pt>
                <c:pt idx="9">
                  <c:v>24.953686852694037</c:v>
                </c:pt>
                <c:pt idx="10">
                  <c:v>26.789883897674727</c:v>
                </c:pt>
                <c:pt idx="11">
                  <c:v>18.615711500784812</c:v>
                </c:pt>
                <c:pt idx="12">
                  <c:v>14.946266343903428</c:v>
                </c:pt>
                <c:pt idx="13">
                  <c:v>14.813270024368293</c:v>
                </c:pt>
                <c:pt idx="14">
                  <c:v>13.81461160188357</c:v>
                </c:pt>
                <c:pt idx="15">
                  <c:v>14.213657664467611</c:v>
                </c:pt>
                <c:pt idx="16">
                  <c:v>15.271310914298681</c:v>
                </c:pt>
                <c:pt idx="17">
                  <c:v>15.371529655790409</c:v>
                </c:pt>
                <c:pt idx="18">
                  <c:v>14.483307537155159</c:v>
                </c:pt>
                <c:pt idx="19">
                  <c:v>16.879929993329785</c:v>
                </c:pt>
                <c:pt idx="20">
                  <c:v>17.786594559989219</c:v>
                </c:pt>
                <c:pt idx="21">
                  <c:v>17.359672718452241</c:v>
                </c:pt>
                <c:pt idx="22">
                  <c:v>16.588574579488505</c:v>
                </c:pt>
                <c:pt idx="23">
                  <c:v>16.59962716552678</c:v>
                </c:pt>
                <c:pt idx="24">
                  <c:v>16.523185603235362</c:v>
                </c:pt>
                <c:pt idx="25">
                  <c:v>15.274152718718263</c:v>
                </c:pt>
                <c:pt idx="26">
                  <c:v>14.967452253212388</c:v>
                </c:pt>
                <c:pt idx="27">
                  <c:v>13.86131987406937</c:v>
                </c:pt>
                <c:pt idx="28">
                  <c:v>12.554677171131578</c:v>
                </c:pt>
                <c:pt idx="29">
                  <c:v>12.269706791750114</c:v>
                </c:pt>
              </c:numCache>
            </c:numRef>
          </c:val>
          <c:smooth val="0"/>
          <c:extLst>
            <c:ext xmlns:c16="http://schemas.microsoft.com/office/drawing/2014/chart" uri="{C3380CC4-5D6E-409C-BE32-E72D297353CC}">
              <c16:uniqueId val="{00000000-DE03-4B4C-A954-34EE0CEA2C2E}"/>
            </c:ext>
          </c:extLst>
        </c:ser>
        <c:ser>
          <c:idx val="1"/>
          <c:order val="1"/>
          <c:tx>
            <c:strRef>
              <c:f>Manufacturing!$B$4</c:f>
              <c:strCache>
                <c:ptCount val="1"/>
                <c:pt idx="0">
                  <c:v>Chile</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Manufacturing!$C$2:$AF$2</c:f>
              <c:strCache>
                <c:ptCount val="30"/>
                <c:pt idx="0">
                  <c:v>1984</c:v>
                </c:pt>
                <c:pt idx="1">
                  <c:v>1985</c:v>
                </c:pt>
                <c:pt idx="2">
                  <c:v>1986</c:v>
                </c:pt>
                <c:pt idx="3">
                  <c:v>1987</c:v>
                </c:pt>
                <c:pt idx="4">
                  <c:v>1988</c:v>
                </c:pt>
                <c:pt idx="5">
                  <c:v>1989</c:v>
                </c:pt>
                <c:pt idx="6">
                  <c:v>1990</c:v>
                </c:pt>
                <c:pt idx="7">
                  <c:v>1991</c:v>
                </c:pt>
                <c:pt idx="8">
                  <c:v>1992</c:v>
                </c:pt>
                <c:pt idx="9">
                  <c:v>1993</c:v>
                </c:pt>
                <c:pt idx="10">
                  <c:v>1994</c:v>
                </c:pt>
                <c:pt idx="11">
                  <c:v>1995</c:v>
                </c:pt>
                <c:pt idx="12">
                  <c:v>1996</c:v>
                </c:pt>
                <c:pt idx="13">
                  <c:v>1997</c:v>
                </c:pt>
                <c:pt idx="14">
                  <c:v>1998</c:v>
                </c:pt>
                <c:pt idx="15">
                  <c:v>1999</c:v>
                </c:pt>
                <c:pt idx="16">
                  <c:v>2000</c:v>
                </c:pt>
                <c:pt idx="17">
                  <c:v>2001</c:v>
                </c:pt>
                <c:pt idx="18">
                  <c:v>2002</c:v>
                </c:pt>
                <c:pt idx="19">
                  <c:v>2003</c:v>
                </c:pt>
                <c:pt idx="20">
                  <c:v>2004</c:v>
                </c:pt>
                <c:pt idx="21">
                  <c:v>2005</c:v>
                </c:pt>
                <c:pt idx="22">
                  <c:v>2006</c:v>
                </c:pt>
                <c:pt idx="23">
                  <c:v>2007</c:v>
                </c:pt>
                <c:pt idx="24">
                  <c:v>2008</c:v>
                </c:pt>
                <c:pt idx="25">
                  <c:v>2009</c:v>
                </c:pt>
                <c:pt idx="26">
                  <c:v>2010</c:v>
                </c:pt>
                <c:pt idx="27">
                  <c:v>2011</c:v>
                </c:pt>
                <c:pt idx="28">
                  <c:v>2012</c:v>
                </c:pt>
                <c:pt idx="29">
                  <c:v>2013</c:v>
                </c:pt>
              </c:strCache>
            </c:strRef>
          </c:cat>
          <c:val>
            <c:numRef>
              <c:f>Manufacturing!$C$4:$AF$4</c:f>
              <c:numCache>
                <c:formatCode>General</c:formatCode>
                <c:ptCount val="30"/>
                <c:pt idx="0">
                  <c:v>24.793803292022581</c:v>
                </c:pt>
                <c:pt idx="1">
                  <c:v>17.761359135440554</c:v>
                </c:pt>
                <c:pt idx="2">
                  <c:v>20.136355096753782</c:v>
                </c:pt>
                <c:pt idx="3">
                  <c:v>19.725980013751617</c:v>
                </c:pt>
                <c:pt idx="4">
                  <c:v>19.905947120727209</c:v>
                </c:pt>
                <c:pt idx="5">
                  <c:v>19.835328266633486</c:v>
                </c:pt>
                <c:pt idx="6">
                  <c:v>20.558242287280876</c:v>
                </c:pt>
                <c:pt idx="7">
                  <c:v>21.149277239761467</c:v>
                </c:pt>
                <c:pt idx="8">
                  <c:v>21.186260963568373</c:v>
                </c:pt>
                <c:pt idx="9">
                  <c:v>21.68696083125646</c:v>
                </c:pt>
                <c:pt idx="10">
                  <c:v>21.462913627852931</c:v>
                </c:pt>
                <c:pt idx="11">
                  <c:v>21.534378706722354</c:v>
                </c:pt>
                <c:pt idx="12">
                  <c:v>18.564966496949701</c:v>
                </c:pt>
                <c:pt idx="13">
                  <c:v>18.171807170009266</c:v>
                </c:pt>
                <c:pt idx="14">
                  <c:v>17.859168500028368</c:v>
                </c:pt>
                <c:pt idx="15">
                  <c:v>17.939397790336738</c:v>
                </c:pt>
                <c:pt idx="16">
                  <c:v>18.570528137777622</c:v>
                </c:pt>
                <c:pt idx="17">
                  <c:v>19.245127484636068</c:v>
                </c:pt>
                <c:pt idx="18">
                  <c:v>19.336712541015803</c:v>
                </c:pt>
                <c:pt idx="19">
                  <c:v>18.594930056208721</c:v>
                </c:pt>
                <c:pt idx="20">
                  <c:v>17.379519549559134</c:v>
                </c:pt>
                <c:pt idx="21">
                  <c:v>15.616518408471952</c:v>
                </c:pt>
                <c:pt idx="22">
                  <c:v>13.978871777163537</c:v>
                </c:pt>
                <c:pt idx="23">
                  <c:v>12.975025734585277</c:v>
                </c:pt>
                <c:pt idx="24">
                  <c:v>12.177660163465456</c:v>
                </c:pt>
                <c:pt idx="25">
                  <c:v>12.194811488516063</c:v>
                </c:pt>
                <c:pt idx="26">
                  <c:v>11.697903671654831</c:v>
                </c:pt>
                <c:pt idx="27">
                  <c:v>11.987313017424613</c:v>
                </c:pt>
                <c:pt idx="28">
                  <c:v>11.812078021439513</c:v>
                </c:pt>
                <c:pt idx="29">
                  <c:v>12.145191452560869</c:v>
                </c:pt>
              </c:numCache>
            </c:numRef>
          </c:val>
          <c:smooth val="0"/>
          <c:extLst>
            <c:ext xmlns:c16="http://schemas.microsoft.com/office/drawing/2014/chart" uri="{C3380CC4-5D6E-409C-BE32-E72D297353CC}">
              <c16:uniqueId val="{00000001-DE03-4B4C-A954-34EE0CEA2C2E}"/>
            </c:ext>
          </c:extLst>
        </c:ser>
        <c:ser>
          <c:idx val="2"/>
          <c:order val="2"/>
          <c:tx>
            <c:strRef>
              <c:f>Manufacturing!$B$5</c:f>
              <c:strCache>
                <c:ptCount val="1"/>
                <c:pt idx="0">
                  <c:v>China</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strRef>
              <c:f>Manufacturing!$C$2:$AF$2</c:f>
              <c:strCache>
                <c:ptCount val="30"/>
                <c:pt idx="0">
                  <c:v>1984</c:v>
                </c:pt>
                <c:pt idx="1">
                  <c:v>1985</c:v>
                </c:pt>
                <c:pt idx="2">
                  <c:v>1986</c:v>
                </c:pt>
                <c:pt idx="3">
                  <c:v>1987</c:v>
                </c:pt>
                <c:pt idx="4">
                  <c:v>1988</c:v>
                </c:pt>
                <c:pt idx="5">
                  <c:v>1989</c:v>
                </c:pt>
                <c:pt idx="6">
                  <c:v>1990</c:v>
                </c:pt>
                <c:pt idx="7">
                  <c:v>1991</c:v>
                </c:pt>
                <c:pt idx="8">
                  <c:v>1992</c:v>
                </c:pt>
                <c:pt idx="9">
                  <c:v>1993</c:v>
                </c:pt>
                <c:pt idx="10">
                  <c:v>1994</c:v>
                </c:pt>
                <c:pt idx="11">
                  <c:v>1995</c:v>
                </c:pt>
                <c:pt idx="12">
                  <c:v>1996</c:v>
                </c:pt>
                <c:pt idx="13">
                  <c:v>1997</c:v>
                </c:pt>
                <c:pt idx="14">
                  <c:v>1998</c:v>
                </c:pt>
                <c:pt idx="15">
                  <c:v>1999</c:v>
                </c:pt>
                <c:pt idx="16">
                  <c:v>2000</c:v>
                </c:pt>
                <c:pt idx="17">
                  <c:v>2001</c:v>
                </c:pt>
                <c:pt idx="18">
                  <c:v>2002</c:v>
                </c:pt>
                <c:pt idx="19">
                  <c:v>2003</c:v>
                </c:pt>
                <c:pt idx="20">
                  <c:v>2004</c:v>
                </c:pt>
                <c:pt idx="21">
                  <c:v>2005</c:v>
                </c:pt>
                <c:pt idx="22">
                  <c:v>2006</c:v>
                </c:pt>
                <c:pt idx="23">
                  <c:v>2007</c:v>
                </c:pt>
                <c:pt idx="24">
                  <c:v>2008</c:v>
                </c:pt>
                <c:pt idx="25">
                  <c:v>2009</c:v>
                </c:pt>
                <c:pt idx="26">
                  <c:v>2010</c:v>
                </c:pt>
                <c:pt idx="27">
                  <c:v>2011</c:v>
                </c:pt>
                <c:pt idx="28">
                  <c:v>2012</c:v>
                </c:pt>
                <c:pt idx="29">
                  <c:v>2013</c:v>
                </c:pt>
              </c:strCache>
            </c:strRef>
          </c:cat>
          <c:val>
            <c:numRef>
              <c:f>Manufacturing!$C$5:$AF$5</c:f>
              <c:numCache>
                <c:formatCode>General</c:formatCode>
                <c:ptCount val="30"/>
                <c:pt idx="0">
                  <c:v>34.946321453596205</c:v>
                </c:pt>
                <c:pt idx="1">
                  <c:v>34.415364428667203</c:v>
                </c:pt>
                <c:pt idx="2">
                  <c:v>34.637940777934119</c:v>
                </c:pt>
                <c:pt idx="3">
                  <c:v>34.126253108931706</c:v>
                </c:pt>
                <c:pt idx="4">
                  <c:v>34.289328127058575</c:v>
                </c:pt>
                <c:pt idx="5">
                  <c:v>33.930254777440815</c:v>
                </c:pt>
                <c:pt idx="6">
                  <c:v>32.304319919037354</c:v>
                </c:pt>
                <c:pt idx="7">
                  <c:v>32.156416975678916</c:v>
                </c:pt>
                <c:pt idx="8">
                  <c:v>32.410290808803246</c:v>
                </c:pt>
                <c:pt idx="9">
                  <c:v>33.646989073029623</c:v>
                </c:pt>
                <c:pt idx="10">
                  <c:v>33.324085896684657</c:v>
                </c:pt>
                <c:pt idx="11">
                  <c:v>33.354343422470528</c:v>
                </c:pt>
                <c:pt idx="12">
                  <c:v>33.214442776855634</c:v>
                </c:pt>
                <c:pt idx="13">
                  <c:v>32.873994303456058</c:v>
                </c:pt>
                <c:pt idx="14">
                  <c:v>31.544683167538189</c:v>
                </c:pt>
                <c:pt idx="15">
                  <c:v>31.282114493112083</c:v>
                </c:pt>
                <c:pt idx="16">
                  <c:v>31.777647682840371</c:v>
                </c:pt>
                <c:pt idx="17">
                  <c:v>31.291111387828774</c:v>
                </c:pt>
                <c:pt idx="18">
                  <c:v>31.05772295168973</c:v>
                </c:pt>
                <c:pt idx="19">
                  <c:v>32.46627975578874</c:v>
                </c:pt>
                <c:pt idx="20">
                  <c:v>31.97506224658645</c:v>
                </c:pt>
                <c:pt idx="21">
                  <c:v>32.093924862894241</c:v>
                </c:pt>
                <c:pt idx="22">
                  <c:v>32.452324332330015</c:v>
                </c:pt>
                <c:pt idx="23">
                  <c:v>32.366579024787193</c:v>
                </c:pt>
                <c:pt idx="24">
                  <c:v>32.092180567139927</c:v>
                </c:pt>
                <c:pt idx="25">
                  <c:v>31.545220140631958</c:v>
                </c:pt>
                <c:pt idx="26">
                  <c:v>31.543091500066701</c:v>
                </c:pt>
                <c:pt idx="27">
                  <c:v>31.281931398612635</c:v>
                </c:pt>
                <c:pt idx="28">
                  <c:v>30.655582167429053</c:v>
                </c:pt>
                <c:pt idx="29">
                  <c:v>29.737842466556597</c:v>
                </c:pt>
              </c:numCache>
            </c:numRef>
          </c:val>
          <c:smooth val="0"/>
          <c:extLst>
            <c:ext xmlns:c16="http://schemas.microsoft.com/office/drawing/2014/chart" uri="{C3380CC4-5D6E-409C-BE32-E72D297353CC}">
              <c16:uniqueId val="{00000002-DE03-4B4C-A954-34EE0CEA2C2E}"/>
            </c:ext>
          </c:extLst>
        </c:ser>
        <c:ser>
          <c:idx val="3"/>
          <c:order val="3"/>
          <c:tx>
            <c:strRef>
              <c:f>Manufacturing!$B$6</c:f>
              <c:strCache>
                <c:ptCount val="1"/>
                <c:pt idx="0">
                  <c:v>Colombia</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strRef>
              <c:f>Manufacturing!$C$2:$AF$2</c:f>
              <c:strCache>
                <c:ptCount val="30"/>
                <c:pt idx="0">
                  <c:v>1984</c:v>
                </c:pt>
                <c:pt idx="1">
                  <c:v>1985</c:v>
                </c:pt>
                <c:pt idx="2">
                  <c:v>1986</c:v>
                </c:pt>
                <c:pt idx="3">
                  <c:v>1987</c:v>
                </c:pt>
                <c:pt idx="4">
                  <c:v>1988</c:v>
                </c:pt>
                <c:pt idx="5">
                  <c:v>1989</c:v>
                </c:pt>
                <c:pt idx="6">
                  <c:v>1990</c:v>
                </c:pt>
                <c:pt idx="7">
                  <c:v>1991</c:v>
                </c:pt>
                <c:pt idx="8">
                  <c:v>1992</c:v>
                </c:pt>
                <c:pt idx="9">
                  <c:v>1993</c:v>
                </c:pt>
                <c:pt idx="10">
                  <c:v>1994</c:v>
                </c:pt>
                <c:pt idx="11">
                  <c:v>1995</c:v>
                </c:pt>
                <c:pt idx="12">
                  <c:v>1996</c:v>
                </c:pt>
                <c:pt idx="13">
                  <c:v>1997</c:v>
                </c:pt>
                <c:pt idx="14">
                  <c:v>1998</c:v>
                </c:pt>
                <c:pt idx="15">
                  <c:v>1999</c:v>
                </c:pt>
                <c:pt idx="16">
                  <c:v>2000</c:v>
                </c:pt>
                <c:pt idx="17">
                  <c:v>2001</c:v>
                </c:pt>
                <c:pt idx="18">
                  <c:v>2002</c:v>
                </c:pt>
                <c:pt idx="19">
                  <c:v>2003</c:v>
                </c:pt>
                <c:pt idx="20">
                  <c:v>2004</c:v>
                </c:pt>
                <c:pt idx="21">
                  <c:v>2005</c:v>
                </c:pt>
                <c:pt idx="22">
                  <c:v>2006</c:v>
                </c:pt>
                <c:pt idx="23">
                  <c:v>2007</c:v>
                </c:pt>
                <c:pt idx="24">
                  <c:v>2008</c:v>
                </c:pt>
                <c:pt idx="25">
                  <c:v>2009</c:v>
                </c:pt>
                <c:pt idx="26">
                  <c:v>2010</c:v>
                </c:pt>
                <c:pt idx="27">
                  <c:v>2011</c:v>
                </c:pt>
                <c:pt idx="28">
                  <c:v>2012</c:v>
                </c:pt>
                <c:pt idx="29">
                  <c:v>2013</c:v>
                </c:pt>
              </c:strCache>
            </c:strRef>
          </c:cat>
          <c:val>
            <c:numRef>
              <c:f>Manufacturing!$C$6:$AF$6</c:f>
              <c:numCache>
                <c:formatCode>General</c:formatCode>
                <c:ptCount val="30"/>
                <c:pt idx="0">
                  <c:v>22.607151965886562</c:v>
                </c:pt>
                <c:pt idx="1">
                  <c:v>21.96701075365786</c:v>
                </c:pt>
                <c:pt idx="2">
                  <c:v>23.187604494861517</c:v>
                </c:pt>
                <c:pt idx="3">
                  <c:v>21.05192089182162</c:v>
                </c:pt>
                <c:pt idx="4">
                  <c:v>21.946009395690339</c:v>
                </c:pt>
                <c:pt idx="5">
                  <c:v>21.61569645904693</c:v>
                </c:pt>
                <c:pt idx="6">
                  <c:v>20.579015232771287</c:v>
                </c:pt>
                <c:pt idx="7">
                  <c:v>20.900239716199351</c:v>
                </c:pt>
                <c:pt idx="8">
                  <c:v>19.773144046664061</c:v>
                </c:pt>
                <c:pt idx="9">
                  <c:v>20.486736280702146</c:v>
                </c:pt>
                <c:pt idx="10">
                  <c:v>16.130965605933493</c:v>
                </c:pt>
                <c:pt idx="11">
                  <c:v>15.91919001969517</c:v>
                </c:pt>
                <c:pt idx="12">
                  <c:v>15.492186216545784</c:v>
                </c:pt>
                <c:pt idx="13">
                  <c:v>14.915145741824132</c:v>
                </c:pt>
                <c:pt idx="14">
                  <c:v>15.073181035785311</c:v>
                </c:pt>
                <c:pt idx="15">
                  <c:v>14.778384417076126</c:v>
                </c:pt>
                <c:pt idx="16">
                  <c:v>15.012737109167102</c:v>
                </c:pt>
                <c:pt idx="17">
                  <c:v>15.24908899003262</c:v>
                </c:pt>
                <c:pt idx="18">
                  <c:v>15.171119082664223</c:v>
                </c:pt>
                <c:pt idx="19">
                  <c:v>15.452762965974031</c:v>
                </c:pt>
                <c:pt idx="20">
                  <c:v>15.702689978158752</c:v>
                </c:pt>
                <c:pt idx="21">
                  <c:v>15.44649368255692</c:v>
                </c:pt>
                <c:pt idx="22">
                  <c:v>15.647856021189508</c:v>
                </c:pt>
                <c:pt idx="23">
                  <c:v>15.900629993187193</c:v>
                </c:pt>
                <c:pt idx="24">
                  <c:v>15.245855667094531</c:v>
                </c:pt>
                <c:pt idx="25">
                  <c:v>14.321101570129805</c:v>
                </c:pt>
                <c:pt idx="26">
                  <c:v>13.929498031594658</c:v>
                </c:pt>
                <c:pt idx="27">
                  <c:v>13.530216014390348</c:v>
                </c:pt>
                <c:pt idx="28">
                  <c:v>13.358299451919105</c:v>
                </c:pt>
                <c:pt idx="29">
                  <c:v>12.852756653556135</c:v>
                </c:pt>
              </c:numCache>
            </c:numRef>
          </c:val>
          <c:smooth val="0"/>
          <c:extLst>
            <c:ext xmlns:c16="http://schemas.microsoft.com/office/drawing/2014/chart" uri="{C3380CC4-5D6E-409C-BE32-E72D297353CC}">
              <c16:uniqueId val="{00000003-DE03-4B4C-A954-34EE0CEA2C2E}"/>
            </c:ext>
          </c:extLst>
        </c:ser>
        <c:ser>
          <c:idx val="4"/>
          <c:order val="4"/>
          <c:tx>
            <c:strRef>
              <c:f>Manufacturing!$B$7</c:f>
              <c:strCache>
                <c:ptCount val="1"/>
                <c:pt idx="0">
                  <c:v>Egypt</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strRef>
              <c:f>Manufacturing!$C$2:$AF$2</c:f>
              <c:strCache>
                <c:ptCount val="30"/>
                <c:pt idx="0">
                  <c:v>1984</c:v>
                </c:pt>
                <c:pt idx="1">
                  <c:v>1985</c:v>
                </c:pt>
                <c:pt idx="2">
                  <c:v>1986</c:v>
                </c:pt>
                <c:pt idx="3">
                  <c:v>1987</c:v>
                </c:pt>
                <c:pt idx="4">
                  <c:v>1988</c:v>
                </c:pt>
                <c:pt idx="5">
                  <c:v>1989</c:v>
                </c:pt>
                <c:pt idx="6">
                  <c:v>1990</c:v>
                </c:pt>
                <c:pt idx="7">
                  <c:v>1991</c:v>
                </c:pt>
                <c:pt idx="8">
                  <c:v>1992</c:v>
                </c:pt>
                <c:pt idx="9">
                  <c:v>1993</c:v>
                </c:pt>
                <c:pt idx="10">
                  <c:v>1994</c:v>
                </c:pt>
                <c:pt idx="11">
                  <c:v>1995</c:v>
                </c:pt>
                <c:pt idx="12">
                  <c:v>1996</c:v>
                </c:pt>
                <c:pt idx="13">
                  <c:v>1997</c:v>
                </c:pt>
                <c:pt idx="14">
                  <c:v>1998</c:v>
                </c:pt>
                <c:pt idx="15">
                  <c:v>1999</c:v>
                </c:pt>
                <c:pt idx="16">
                  <c:v>2000</c:v>
                </c:pt>
                <c:pt idx="17">
                  <c:v>2001</c:v>
                </c:pt>
                <c:pt idx="18">
                  <c:v>2002</c:v>
                </c:pt>
                <c:pt idx="19">
                  <c:v>2003</c:v>
                </c:pt>
                <c:pt idx="20">
                  <c:v>2004</c:v>
                </c:pt>
                <c:pt idx="21">
                  <c:v>2005</c:v>
                </c:pt>
                <c:pt idx="22">
                  <c:v>2006</c:v>
                </c:pt>
                <c:pt idx="23">
                  <c:v>2007</c:v>
                </c:pt>
                <c:pt idx="24">
                  <c:v>2008</c:v>
                </c:pt>
                <c:pt idx="25">
                  <c:v>2009</c:v>
                </c:pt>
                <c:pt idx="26">
                  <c:v>2010</c:v>
                </c:pt>
                <c:pt idx="27">
                  <c:v>2011</c:v>
                </c:pt>
                <c:pt idx="28">
                  <c:v>2012</c:v>
                </c:pt>
                <c:pt idx="29">
                  <c:v>2013</c:v>
                </c:pt>
              </c:strCache>
            </c:strRef>
          </c:cat>
          <c:val>
            <c:numRef>
              <c:f>Manufacturing!$C$7:$AF$7</c:f>
              <c:numCache>
                <c:formatCode>General</c:formatCode>
                <c:ptCount val="30"/>
                <c:pt idx="0">
                  <c:v>13.22579419635071</c:v>
                </c:pt>
                <c:pt idx="1">
                  <c:v>13.507763004123779</c:v>
                </c:pt>
                <c:pt idx="2">
                  <c:v>13.262124111224855</c:v>
                </c:pt>
                <c:pt idx="3">
                  <c:v>16.493361140312206</c:v>
                </c:pt>
                <c:pt idx="4">
                  <c:v>17.74347636626154</c:v>
                </c:pt>
                <c:pt idx="5">
                  <c:v>18.101680136761072</c:v>
                </c:pt>
                <c:pt idx="6">
                  <c:v>17.75812110801056</c:v>
                </c:pt>
                <c:pt idx="7">
                  <c:v>16.571638221179434</c:v>
                </c:pt>
                <c:pt idx="8">
                  <c:v>16.580571812264893</c:v>
                </c:pt>
                <c:pt idx="9">
                  <c:v>16.707717569786535</c:v>
                </c:pt>
                <c:pt idx="10">
                  <c:v>17.199801186743326</c:v>
                </c:pt>
                <c:pt idx="11">
                  <c:v>17.44934820166484</c:v>
                </c:pt>
                <c:pt idx="12">
                  <c:v>17.711791208534677</c:v>
                </c:pt>
                <c:pt idx="13">
                  <c:v>17.561976779960169</c:v>
                </c:pt>
                <c:pt idx="14">
                  <c:v>18.293025797972238</c:v>
                </c:pt>
                <c:pt idx="15">
                  <c:v>19.543297294867926</c:v>
                </c:pt>
                <c:pt idx="16">
                  <c:v>19.391035489930843</c:v>
                </c:pt>
                <c:pt idx="17">
                  <c:v>19.090105369515012</c:v>
                </c:pt>
                <c:pt idx="18">
                  <c:v>19.7663156814091</c:v>
                </c:pt>
                <c:pt idx="19">
                  <c:v>18.494601138601922</c:v>
                </c:pt>
                <c:pt idx="20">
                  <c:v>18.331556811587596</c:v>
                </c:pt>
                <c:pt idx="21">
                  <c:v>17.777449812990923</c:v>
                </c:pt>
                <c:pt idx="22">
                  <c:v>16.982603798266211</c:v>
                </c:pt>
                <c:pt idx="23">
                  <c:v>16.114493150630938</c:v>
                </c:pt>
                <c:pt idx="24">
                  <c:v>16.251900791042413</c:v>
                </c:pt>
                <c:pt idx="25">
                  <c:v>16.550722389533533</c:v>
                </c:pt>
                <c:pt idx="26">
                  <c:v>16.886125165741113</c:v>
                </c:pt>
                <c:pt idx="27">
                  <c:v>16.503783440288871</c:v>
                </c:pt>
                <c:pt idx="28">
                  <c:v>15.928966311034573</c:v>
                </c:pt>
                <c:pt idx="29">
                  <c:v>16.153850135232201</c:v>
                </c:pt>
              </c:numCache>
            </c:numRef>
          </c:val>
          <c:smooth val="0"/>
          <c:extLst>
            <c:ext xmlns:c16="http://schemas.microsoft.com/office/drawing/2014/chart" uri="{C3380CC4-5D6E-409C-BE32-E72D297353CC}">
              <c16:uniqueId val="{00000004-DE03-4B4C-A954-34EE0CEA2C2E}"/>
            </c:ext>
          </c:extLst>
        </c:ser>
        <c:ser>
          <c:idx val="5"/>
          <c:order val="5"/>
          <c:tx>
            <c:strRef>
              <c:f>Manufacturing!$B$8</c:f>
              <c:strCache>
                <c:ptCount val="1"/>
                <c:pt idx="0">
                  <c:v>India</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strRef>
              <c:f>Manufacturing!$C$2:$AF$2</c:f>
              <c:strCache>
                <c:ptCount val="30"/>
                <c:pt idx="0">
                  <c:v>1984</c:v>
                </c:pt>
                <c:pt idx="1">
                  <c:v>1985</c:v>
                </c:pt>
                <c:pt idx="2">
                  <c:v>1986</c:v>
                </c:pt>
                <c:pt idx="3">
                  <c:v>1987</c:v>
                </c:pt>
                <c:pt idx="4">
                  <c:v>1988</c:v>
                </c:pt>
                <c:pt idx="5">
                  <c:v>1989</c:v>
                </c:pt>
                <c:pt idx="6">
                  <c:v>1990</c:v>
                </c:pt>
                <c:pt idx="7">
                  <c:v>1991</c:v>
                </c:pt>
                <c:pt idx="8">
                  <c:v>1992</c:v>
                </c:pt>
                <c:pt idx="9">
                  <c:v>1993</c:v>
                </c:pt>
                <c:pt idx="10">
                  <c:v>1994</c:v>
                </c:pt>
                <c:pt idx="11">
                  <c:v>1995</c:v>
                </c:pt>
                <c:pt idx="12">
                  <c:v>1996</c:v>
                </c:pt>
                <c:pt idx="13">
                  <c:v>1997</c:v>
                </c:pt>
                <c:pt idx="14">
                  <c:v>1998</c:v>
                </c:pt>
                <c:pt idx="15">
                  <c:v>1999</c:v>
                </c:pt>
                <c:pt idx="16">
                  <c:v>2000</c:v>
                </c:pt>
                <c:pt idx="17">
                  <c:v>2001</c:v>
                </c:pt>
                <c:pt idx="18">
                  <c:v>2002</c:v>
                </c:pt>
                <c:pt idx="19">
                  <c:v>2003</c:v>
                </c:pt>
                <c:pt idx="20">
                  <c:v>2004</c:v>
                </c:pt>
                <c:pt idx="21">
                  <c:v>2005</c:v>
                </c:pt>
                <c:pt idx="22">
                  <c:v>2006</c:v>
                </c:pt>
                <c:pt idx="23">
                  <c:v>2007</c:v>
                </c:pt>
                <c:pt idx="24">
                  <c:v>2008</c:v>
                </c:pt>
                <c:pt idx="25">
                  <c:v>2009</c:v>
                </c:pt>
                <c:pt idx="26">
                  <c:v>2010</c:v>
                </c:pt>
                <c:pt idx="27">
                  <c:v>2011</c:v>
                </c:pt>
                <c:pt idx="28">
                  <c:v>2012</c:v>
                </c:pt>
                <c:pt idx="29">
                  <c:v>2013</c:v>
                </c:pt>
              </c:strCache>
            </c:strRef>
          </c:cat>
          <c:val>
            <c:numRef>
              <c:f>Manufacturing!$C$8:$AF$8</c:f>
              <c:numCache>
                <c:formatCode>General</c:formatCode>
                <c:ptCount val="30"/>
                <c:pt idx="0">
                  <c:v>19.015549134286893</c:v>
                </c:pt>
                <c:pt idx="1">
                  <c:v>18.867217534020227</c:v>
                </c:pt>
                <c:pt idx="2">
                  <c:v>18.707070792128182</c:v>
                </c:pt>
                <c:pt idx="3">
                  <c:v>18.742674961231128</c:v>
                </c:pt>
                <c:pt idx="4">
                  <c:v>18.510351353778663</c:v>
                </c:pt>
                <c:pt idx="5">
                  <c:v>19.378192538292527</c:v>
                </c:pt>
                <c:pt idx="6">
                  <c:v>19.077953595477531</c:v>
                </c:pt>
                <c:pt idx="7">
                  <c:v>17.954706619626084</c:v>
                </c:pt>
                <c:pt idx="8">
                  <c:v>18.134886581615671</c:v>
                </c:pt>
                <c:pt idx="9">
                  <c:v>18.085689066834778</c:v>
                </c:pt>
                <c:pt idx="10">
                  <c:v>19.131766698268144</c:v>
                </c:pt>
                <c:pt idx="11">
                  <c:v>20.431130603573116</c:v>
                </c:pt>
                <c:pt idx="12">
                  <c:v>20.005072707337863</c:v>
                </c:pt>
                <c:pt idx="13">
                  <c:v>18.709942272115633</c:v>
                </c:pt>
                <c:pt idx="14">
                  <c:v>17.714253887208301</c:v>
                </c:pt>
                <c:pt idx="15">
                  <c:v>17.234881763675165</c:v>
                </c:pt>
                <c:pt idx="16">
                  <c:v>18.07486766149858</c:v>
                </c:pt>
                <c:pt idx="17">
                  <c:v>17.286904398987211</c:v>
                </c:pt>
                <c:pt idx="18">
                  <c:v>17.556470270405953</c:v>
                </c:pt>
                <c:pt idx="19">
                  <c:v>17.58926348050251</c:v>
                </c:pt>
                <c:pt idx="20">
                  <c:v>18.008089255567903</c:v>
                </c:pt>
                <c:pt idx="21">
                  <c:v>18.165835622901611</c:v>
                </c:pt>
                <c:pt idx="22">
                  <c:v>18.959348194803876</c:v>
                </c:pt>
                <c:pt idx="23">
                  <c:v>18.879883393019618</c:v>
                </c:pt>
                <c:pt idx="24">
                  <c:v>18.217161061834023</c:v>
                </c:pt>
                <c:pt idx="25">
                  <c:v>17.822278928304065</c:v>
                </c:pt>
                <c:pt idx="26">
                  <c:v>17.46817729375266</c:v>
                </c:pt>
                <c:pt idx="27">
                  <c:v>17.392314838784717</c:v>
                </c:pt>
                <c:pt idx="28">
                  <c:v>17.091052038969014</c:v>
                </c:pt>
                <c:pt idx="29">
                  <c:v>16.534076692988382</c:v>
                </c:pt>
              </c:numCache>
            </c:numRef>
          </c:val>
          <c:smooth val="0"/>
          <c:extLst>
            <c:ext xmlns:c16="http://schemas.microsoft.com/office/drawing/2014/chart" uri="{C3380CC4-5D6E-409C-BE32-E72D297353CC}">
              <c16:uniqueId val="{00000005-DE03-4B4C-A954-34EE0CEA2C2E}"/>
            </c:ext>
          </c:extLst>
        </c:ser>
        <c:ser>
          <c:idx val="6"/>
          <c:order val="6"/>
          <c:tx>
            <c:strRef>
              <c:f>Manufacturing!$B$9</c:f>
              <c:strCache>
                <c:ptCount val="1"/>
                <c:pt idx="0">
                  <c:v>Malaysia</c:v>
                </c:pt>
              </c:strCache>
            </c:strRef>
          </c:tx>
          <c:spPr>
            <a:ln w="28575" cap="rnd">
              <a:solidFill>
                <a:schemeClr val="accent1">
                  <a:lumMod val="60000"/>
                </a:schemeClr>
              </a:solidFill>
              <a:round/>
            </a:ln>
            <a:effectLst/>
          </c:spPr>
          <c:marker>
            <c:symbol val="circle"/>
            <c:size val="5"/>
            <c:spPr>
              <a:solidFill>
                <a:schemeClr val="accent1">
                  <a:lumMod val="60000"/>
                </a:schemeClr>
              </a:solidFill>
              <a:ln w="9525">
                <a:solidFill>
                  <a:schemeClr val="accent1">
                    <a:lumMod val="60000"/>
                  </a:schemeClr>
                </a:solidFill>
              </a:ln>
              <a:effectLst/>
            </c:spPr>
          </c:marker>
          <c:cat>
            <c:strRef>
              <c:f>Manufacturing!$C$2:$AF$2</c:f>
              <c:strCache>
                <c:ptCount val="30"/>
                <c:pt idx="0">
                  <c:v>1984</c:v>
                </c:pt>
                <c:pt idx="1">
                  <c:v>1985</c:v>
                </c:pt>
                <c:pt idx="2">
                  <c:v>1986</c:v>
                </c:pt>
                <c:pt idx="3">
                  <c:v>1987</c:v>
                </c:pt>
                <c:pt idx="4">
                  <c:v>1988</c:v>
                </c:pt>
                <c:pt idx="5">
                  <c:v>1989</c:v>
                </c:pt>
                <c:pt idx="6">
                  <c:v>1990</c:v>
                </c:pt>
                <c:pt idx="7">
                  <c:v>1991</c:v>
                </c:pt>
                <c:pt idx="8">
                  <c:v>1992</c:v>
                </c:pt>
                <c:pt idx="9">
                  <c:v>1993</c:v>
                </c:pt>
                <c:pt idx="10">
                  <c:v>1994</c:v>
                </c:pt>
                <c:pt idx="11">
                  <c:v>1995</c:v>
                </c:pt>
                <c:pt idx="12">
                  <c:v>1996</c:v>
                </c:pt>
                <c:pt idx="13">
                  <c:v>1997</c:v>
                </c:pt>
                <c:pt idx="14">
                  <c:v>1998</c:v>
                </c:pt>
                <c:pt idx="15">
                  <c:v>1999</c:v>
                </c:pt>
                <c:pt idx="16">
                  <c:v>2000</c:v>
                </c:pt>
                <c:pt idx="17">
                  <c:v>2001</c:v>
                </c:pt>
                <c:pt idx="18">
                  <c:v>2002</c:v>
                </c:pt>
                <c:pt idx="19">
                  <c:v>2003</c:v>
                </c:pt>
                <c:pt idx="20">
                  <c:v>2004</c:v>
                </c:pt>
                <c:pt idx="21">
                  <c:v>2005</c:v>
                </c:pt>
                <c:pt idx="22">
                  <c:v>2006</c:v>
                </c:pt>
                <c:pt idx="23">
                  <c:v>2007</c:v>
                </c:pt>
                <c:pt idx="24">
                  <c:v>2008</c:v>
                </c:pt>
                <c:pt idx="25">
                  <c:v>2009</c:v>
                </c:pt>
                <c:pt idx="26">
                  <c:v>2010</c:v>
                </c:pt>
                <c:pt idx="27">
                  <c:v>2011</c:v>
                </c:pt>
                <c:pt idx="28">
                  <c:v>2012</c:v>
                </c:pt>
                <c:pt idx="29">
                  <c:v>2013</c:v>
                </c:pt>
              </c:strCache>
            </c:strRef>
          </c:cat>
          <c:val>
            <c:numRef>
              <c:f>Manufacturing!$C$9:$AF$9</c:f>
              <c:numCache>
                <c:formatCode>General</c:formatCode>
                <c:ptCount val="30"/>
                <c:pt idx="0">
                  <c:v>19.664684852294155</c:v>
                </c:pt>
                <c:pt idx="1">
                  <c:v>19.671032012391894</c:v>
                </c:pt>
                <c:pt idx="2">
                  <c:v>19.681298851859093</c:v>
                </c:pt>
                <c:pt idx="3">
                  <c:v>19.803909477708579</c:v>
                </c:pt>
                <c:pt idx="4">
                  <c:v>21.822020136407925</c:v>
                </c:pt>
                <c:pt idx="5">
                  <c:v>23.802419393156139</c:v>
                </c:pt>
                <c:pt idx="6">
                  <c:v>24.2246873976537</c:v>
                </c:pt>
                <c:pt idx="7">
                  <c:v>25.550054394884658</c:v>
                </c:pt>
                <c:pt idx="8">
                  <c:v>25.822764648495827</c:v>
                </c:pt>
                <c:pt idx="9">
                  <c:v>25.926141016185326</c:v>
                </c:pt>
                <c:pt idx="10">
                  <c:v>26.640744909444386</c:v>
                </c:pt>
                <c:pt idx="11">
                  <c:v>26.378150958322845</c:v>
                </c:pt>
                <c:pt idx="12">
                  <c:v>27.842872963886951</c:v>
                </c:pt>
                <c:pt idx="13">
                  <c:v>28.380205468514347</c:v>
                </c:pt>
                <c:pt idx="14">
                  <c:v>28.782604397621835</c:v>
                </c:pt>
                <c:pt idx="15">
                  <c:v>30.936010054327951</c:v>
                </c:pt>
                <c:pt idx="16">
                  <c:v>30.863549765573051</c:v>
                </c:pt>
                <c:pt idx="17">
                  <c:v>29.336404039945656</c:v>
                </c:pt>
                <c:pt idx="18">
                  <c:v>29.246474536288009</c:v>
                </c:pt>
                <c:pt idx="19">
                  <c:v>29.928433097960927</c:v>
                </c:pt>
                <c:pt idx="20">
                  <c:v>30.377872329653687</c:v>
                </c:pt>
                <c:pt idx="21">
                  <c:v>27.549745261949525</c:v>
                </c:pt>
                <c:pt idx="22">
                  <c:v>27.566097459210464</c:v>
                </c:pt>
                <c:pt idx="23">
                  <c:v>26.122631316319477</c:v>
                </c:pt>
                <c:pt idx="24">
                  <c:v>24.56075757064113</c:v>
                </c:pt>
                <c:pt idx="25">
                  <c:v>23.800097376294765</c:v>
                </c:pt>
                <c:pt idx="26">
                  <c:v>23.433897306417801</c:v>
                </c:pt>
                <c:pt idx="27">
                  <c:v>23.320204489691609</c:v>
                </c:pt>
                <c:pt idx="28">
                  <c:v>23.138200115109274</c:v>
                </c:pt>
                <c:pt idx="29">
                  <c:v>22.840666671248062</c:v>
                </c:pt>
              </c:numCache>
            </c:numRef>
          </c:val>
          <c:smooth val="0"/>
          <c:extLst>
            <c:ext xmlns:c16="http://schemas.microsoft.com/office/drawing/2014/chart" uri="{C3380CC4-5D6E-409C-BE32-E72D297353CC}">
              <c16:uniqueId val="{00000006-DE03-4B4C-A954-34EE0CEA2C2E}"/>
            </c:ext>
          </c:extLst>
        </c:ser>
        <c:ser>
          <c:idx val="7"/>
          <c:order val="7"/>
          <c:tx>
            <c:strRef>
              <c:f>Manufacturing!$B$10</c:f>
              <c:strCache>
                <c:ptCount val="1"/>
                <c:pt idx="0">
                  <c:v>Philippines</c:v>
                </c:pt>
              </c:strCache>
            </c:strRef>
          </c:tx>
          <c:spPr>
            <a:ln w="28575" cap="rnd">
              <a:solidFill>
                <a:schemeClr val="accent2">
                  <a:lumMod val="60000"/>
                </a:schemeClr>
              </a:solidFill>
              <a:round/>
            </a:ln>
            <a:effectLst/>
          </c:spPr>
          <c:marker>
            <c:symbol val="circle"/>
            <c:size val="5"/>
            <c:spPr>
              <a:solidFill>
                <a:schemeClr val="accent2">
                  <a:lumMod val="60000"/>
                </a:schemeClr>
              </a:solidFill>
              <a:ln w="9525">
                <a:solidFill>
                  <a:schemeClr val="accent2">
                    <a:lumMod val="60000"/>
                  </a:schemeClr>
                </a:solidFill>
              </a:ln>
              <a:effectLst/>
            </c:spPr>
          </c:marker>
          <c:cat>
            <c:strRef>
              <c:f>Manufacturing!$C$2:$AF$2</c:f>
              <c:strCache>
                <c:ptCount val="30"/>
                <c:pt idx="0">
                  <c:v>1984</c:v>
                </c:pt>
                <c:pt idx="1">
                  <c:v>1985</c:v>
                </c:pt>
                <c:pt idx="2">
                  <c:v>1986</c:v>
                </c:pt>
                <c:pt idx="3">
                  <c:v>1987</c:v>
                </c:pt>
                <c:pt idx="4">
                  <c:v>1988</c:v>
                </c:pt>
                <c:pt idx="5">
                  <c:v>1989</c:v>
                </c:pt>
                <c:pt idx="6">
                  <c:v>1990</c:v>
                </c:pt>
                <c:pt idx="7">
                  <c:v>1991</c:v>
                </c:pt>
                <c:pt idx="8">
                  <c:v>1992</c:v>
                </c:pt>
                <c:pt idx="9">
                  <c:v>1993</c:v>
                </c:pt>
                <c:pt idx="10">
                  <c:v>1994</c:v>
                </c:pt>
                <c:pt idx="11">
                  <c:v>1995</c:v>
                </c:pt>
                <c:pt idx="12">
                  <c:v>1996</c:v>
                </c:pt>
                <c:pt idx="13">
                  <c:v>1997</c:v>
                </c:pt>
                <c:pt idx="14">
                  <c:v>1998</c:v>
                </c:pt>
                <c:pt idx="15">
                  <c:v>1999</c:v>
                </c:pt>
                <c:pt idx="16">
                  <c:v>2000</c:v>
                </c:pt>
                <c:pt idx="17">
                  <c:v>2001</c:v>
                </c:pt>
                <c:pt idx="18">
                  <c:v>2002</c:v>
                </c:pt>
                <c:pt idx="19">
                  <c:v>2003</c:v>
                </c:pt>
                <c:pt idx="20">
                  <c:v>2004</c:v>
                </c:pt>
                <c:pt idx="21">
                  <c:v>2005</c:v>
                </c:pt>
                <c:pt idx="22">
                  <c:v>2006</c:v>
                </c:pt>
                <c:pt idx="23">
                  <c:v>2007</c:v>
                </c:pt>
                <c:pt idx="24">
                  <c:v>2008</c:v>
                </c:pt>
                <c:pt idx="25">
                  <c:v>2009</c:v>
                </c:pt>
                <c:pt idx="26">
                  <c:v>2010</c:v>
                </c:pt>
                <c:pt idx="27">
                  <c:v>2011</c:v>
                </c:pt>
                <c:pt idx="28">
                  <c:v>2012</c:v>
                </c:pt>
                <c:pt idx="29">
                  <c:v>2013</c:v>
                </c:pt>
              </c:strCache>
            </c:strRef>
          </c:cat>
          <c:val>
            <c:numRef>
              <c:f>Manufacturing!$C$10:$AF$10</c:f>
              <c:numCache>
                <c:formatCode>General</c:formatCode>
                <c:ptCount val="30"/>
                <c:pt idx="0">
                  <c:v>24.628346880058572</c:v>
                </c:pt>
                <c:pt idx="1">
                  <c:v>25.153921344051145</c:v>
                </c:pt>
                <c:pt idx="2">
                  <c:v>24.628215087528556</c:v>
                </c:pt>
                <c:pt idx="3">
                  <c:v>24.84416284396951</c:v>
                </c:pt>
                <c:pt idx="4">
                  <c:v>25.624200745262034</c:v>
                </c:pt>
                <c:pt idx="5">
                  <c:v>24.870548623147375</c:v>
                </c:pt>
                <c:pt idx="6">
                  <c:v>24.830654721291605</c:v>
                </c:pt>
                <c:pt idx="7">
                  <c:v>25.315321739952612</c:v>
                </c:pt>
                <c:pt idx="8">
                  <c:v>24.182370137004746</c:v>
                </c:pt>
                <c:pt idx="9">
                  <c:v>23.710084458210716</c:v>
                </c:pt>
                <c:pt idx="10">
                  <c:v>23.262009342371694</c:v>
                </c:pt>
                <c:pt idx="11">
                  <c:v>22.993613162143202</c:v>
                </c:pt>
                <c:pt idx="12">
                  <c:v>22.808784109189926</c:v>
                </c:pt>
                <c:pt idx="13">
                  <c:v>22.264615577339669</c:v>
                </c:pt>
                <c:pt idx="14">
                  <c:v>23.455906602279558</c:v>
                </c:pt>
                <c:pt idx="15">
                  <c:v>23.467300642303854</c:v>
                </c:pt>
                <c:pt idx="16">
                  <c:v>24.467393715533721</c:v>
                </c:pt>
                <c:pt idx="17">
                  <c:v>24.666860648359716</c:v>
                </c:pt>
                <c:pt idx="18">
                  <c:v>24.692445840298451</c:v>
                </c:pt>
                <c:pt idx="19">
                  <c:v>24.642604656433665</c:v>
                </c:pt>
                <c:pt idx="20">
                  <c:v>23.948335378536566</c:v>
                </c:pt>
                <c:pt idx="21">
                  <c:v>24.05345180142977</c:v>
                </c:pt>
                <c:pt idx="22">
                  <c:v>23.621184778027889</c:v>
                </c:pt>
                <c:pt idx="23">
                  <c:v>22.744233696651399</c:v>
                </c:pt>
                <c:pt idx="24">
                  <c:v>22.806791192149596</c:v>
                </c:pt>
                <c:pt idx="25">
                  <c:v>21.26040447807382</c:v>
                </c:pt>
                <c:pt idx="26">
                  <c:v>21.444808200004484</c:v>
                </c:pt>
                <c:pt idx="27">
                  <c:v>21.09238201080041</c:v>
                </c:pt>
                <c:pt idx="28">
                  <c:v>20.555815787557513</c:v>
                </c:pt>
                <c:pt idx="29">
                  <c:v>20.413692678417451</c:v>
                </c:pt>
              </c:numCache>
            </c:numRef>
          </c:val>
          <c:smooth val="0"/>
          <c:extLst>
            <c:ext xmlns:c16="http://schemas.microsoft.com/office/drawing/2014/chart" uri="{C3380CC4-5D6E-409C-BE32-E72D297353CC}">
              <c16:uniqueId val="{00000007-DE03-4B4C-A954-34EE0CEA2C2E}"/>
            </c:ext>
          </c:extLst>
        </c:ser>
        <c:ser>
          <c:idx val="8"/>
          <c:order val="8"/>
          <c:tx>
            <c:strRef>
              <c:f>Manufacturing!$B$11</c:f>
              <c:strCache>
                <c:ptCount val="1"/>
                <c:pt idx="0">
                  <c:v>Thailand</c:v>
                </c:pt>
              </c:strCache>
            </c:strRef>
          </c:tx>
          <c:spPr>
            <a:ln w="28575" cap="rnd">
              <a:solidFill>
                <a:schemeClr val="accent3">
                  <a:lumMod val="60000"/>
                </a:schemeClr>
              </a:solidFill>
              <a:round/>
            </a:ln>
            <a:effectLst/>
          </c:spPr>
          <c:marker>
            <c:symbol val="circle"/>
            <c:size val="5"/>
            <c:spPr>
              <a:solidFill>
                <a:schemeClr val="accent3">
                  <a:lumMod val="60000"/>
                </a:schemeClr>
              </a:solidFill>
              <a:ln w="9525">
                <a:solidFill>
                  <a:schemeClr val="accent3">
                    <a:lumMod val="60000"/>
                  </a:schemeClr>
                </a:solidFill>
              </a:ln>
              <a:effectLst/>
            </c:spPr>
          </c:marker>
          <c:cat>
            <c:strRef>
              <c:f>Manufacturing!$C$2:$AF$2</c:f>
              <c:strCache>
                <c:ptCount val="30"/>
                <c:pt idx="0">
                  <c:v>1984</c:v>
                </c:pt>
                <c:pt idx="1">
                  <c:v>1985</c:v>
                </c:pt>
                <c:pt idx="2">
                  <c:v>1986</c:v>
                </c:pt>
                <c:pt idx="3">
                  <c:v>1987</c:v>
                </c:pt>
                <c:pt idx="4">
                  <c:v>1988</c:v>
                </c:pt>
                <c:pt idx="5">
                  <c:v>1989</c:v>
                </c:pt>
                <c:pt idx="6">
                  <c:v>1990</c:v>
                </c:pt>
                <c:pt idx="7">
                  <c:v>1991</c:v>
                </c:pt>
                <c:pt idx="8">
                  <c:v>1992</c:v>
                </c:pt>
                <c:pt idx="9">
                  <c:v>1993</c:v>
                </c:pt>
                <c:pt idx="10">
                  <c:v>1994</c:v>
                </c:pt>
                <c:pt idx="11">
                  <c:v>1995</c:v>
                </c:pt>
                <c:pt idx="12">
                  <c:v>1996</c:v>
                </c:pt>
                <c:pt idx="13">
                  <c:v>1997</c:v>
                </c:pt>
                <c:pt idx="14">
                  <c:v>1998</c:v>
                </c:pt>
                <c:pt idx="15">
                  <c:v>1999</c:v>
                </c:pt>
                <c:pt idx="16">
                  <c:v>2000</c:v>
                </c:pt>
                <c:pt idx="17">
                  <c:v>2001</c:v>
                </c:pt>
                <c:pt idx="18">
                  <c:v>2002</c:v>
                </c:pt>
                <c:pt idx="19">
                  <c:v>2003</c:v>
                </c:pt>
                <c:pt idx="20">
                  <c:v>2004</c:v>
                </c:pt>
                <c:pt idx="21">
                  <c:v>2005</c:v>
                </c:pt>
                <c:pt idx="22">
                  <c:v>2006</c:v>
                </c:pt>
                <c:pt idx="23">
                  <c:v>2007</c:v>
                </c:pt>
                <c:pt idx="24">
                  <c:v>2008</c:v>
                </c:pt>
                <c:pt idx="25">
                  <c:v>2009</c:v>
                </c:pt>
                <c:pt idx="26">
                  <c:v>2010</c:v>
                </c:pt>
                <c:pt idx="27">
                  <c:v>2011</c:v>
                </c:pt>
                <c:pt idx="28">
                  <c:v>2012</c:v>
                </c:pt>
                <c:pt idx="29">
                  <c:v>2013</c:v>
                </c:pt>
              </c:strCache>
            </c:strRef>
          </c:cat>
          <c:val>
            <c:numRef>
              <c:f>Manufacturing!$C$11:$AF$11</c:f>
              <c:numCache>
                <c:formatCode>General</c:formatCode>
                <c:ptCount val="30"/>
                <c:pt idx="0">
                  <c:v>22.909307652729282</c:v>
                </c:pt>
                <c:pt idx="1">
                  <c:v>21.92124874513479</c:v>
                </c:pt>
                <c:pt idx="2">
                  <c:v>23.875569508006059</c:v>
                </c:pt>
                <c:pt idx="3">
                  <c:v>24.254778069346653</c:v>
                </c:pt>
                <c:pt idx="4">
                  <c:v>25.838760340611078</c:v>
                </c:pt>
                <c:pt idx="5">
                  <c:v>26.748309976826246</c:v>
                </c:pt>
                <c:pt idx="6">
                  <c:v>27.203606000248708</c:v>
                </c:pt>
                <c:pt idx="7">
                  <c:v>28.241087112163076</c:v>
                </c:pt>
                <c:pt idx="8">
                  <c:v>27.517154238270138</c:v>
                </c:pt>
                <c:pt idx="9">
                  <c:v>26.408797590517242</c:v>
                </c:pt>
                <c:pt idx="10">
                  <c:v>26.139617087140731</c:v>
                </c:pt>
                <c:pt idx="11">
                  <c:v>26.46667815816971</c:v>
                </c:pt>
                <c:pt idx="12">
                  <c:v>25.92464760418272</c:v>
                </c:pt>
                <c:pt idx="13">
                  <c:v>26.709854300119801</c:v>
                </c:pt>
                <c:pt idx="14">
                  <c:v>27.360966862268455</c:v>
                </c:pt>
                <c:pt idx="15">
                  <c:v>28.388075462527731</c:v>
                </c:pt>
                <c:pt idx="16">
                  <c:v>28.59267473440395</c:v>
                </c:pt>
                <c:pt idx="17">
                  <c:v>28.034899073210866</c:v>
                </c:pt>
                <c:pt idx="18">
                  <c:v>28.71658897756474</c:v>
                </c:pt>
                <c:pt idx="19">
                  <c:v>29.773263966167828</c:v>
                </c:pt>
                <c:pt idx="20">
                  <c:v>29.604051955985035</c:v>
                </c:pt>
                <c:pt idx="21">
                  <c:v>29.793815908759303</c:v>
                </c:pt>
                <c:pt idx="22">
                  <c:v>30.337003483656925</c:v>
                </c:pt>
                <c:pt idx="23">
                  <c:v>30.747946273743278</c:v>
                </c:pt>
                <c:pt idx="24">
                  <c:v>30.709795844866328</c:v>
                </c:pt>
                <c:pt idx="25">
                  <c:v>29.61270180861602</c:v>
                </c:pt>
                <c:pt idx="26">
                  <c:v>31.071679142898724</c:v>
                </c:pt>
                <c:pt idx="27">
                  <c:v>29.135605233408928</c:v>
                </c:pt>
                <c:pt idx="28">
                  <c:v>28.11122763151495</c:v>
                </c:pt>
                <c:pt idx="29">
                  <c:v>27.736397783296031</c:v>
                </c:pt>
              </c:numCache>
            </c:numRef>
          </c:val>
          <c:smooth val="0"/>
          <c:extLst>
            <c:ext xmlns:c16="http://schemas.microsoft.com/office/drawing/2014/chart" uri="{C3380CC4-5D6E-409C-BE32-E72D297353CC}">
              <c16:uniqueId val="{00000008-DE03-4B4C-A954-34EE0CEA2C2E}"/>
            </c:ext>
          </c:extLst>
        </c:ser>
        <c:ser>
          <c:idx val="9"/>
          <c:order val="9"/>
          <c:tx>
            <c:strRef>
              <c:f>Manufacturing!$B$12</c:f>
              <c:strCache>
                <c:ptCount val="1"/>
                <c:pt idx="0">
                  <c:v>Turkey</c:v>
                </c:pt>
              </c:strCache>
            </c:strRef>
          </c:tx>
          <c:spPr>
            <a:ln w="28575" cap="rnd">
              <a:solidFill>
                <a:schemeClr val="accent4">
                  <a:lumMod val="60000"/>
                </a:schemeClr>
              </a:solidFill>
              <a:round/>
            </a:ln>
            <a:effectLst/>
          </c:spPr>
          <c:marker>
            <c:symbol val="circle"/>
            <c:size val="5"/>
            <c:spPr>
              <a:solidFill>
                <a:schemeClr val="accent4">
                  <a:lumMod val="60000"/>
                </a:schemeClr>
              </a:solidFill>
              <a:ln w="9525">
                <a:solidFill>
                  <a:schemeClr val="accent4">
                    <a:lumMod val="60000"/>
                  </a:schemeClr>
                </a:solidFill>
              </a:ln>
              <a:effectLst/>
            </c:spPr>
          </c:marker>
          <c:cat>
            <c:strRef>
              <c:f>Manufacturing!$C$2:$AF$2</c:f>
              <c:strCache>
                <c:ptCount val="30"/>
                <c:pt idx="0">
                  <c:v>1984</c:v>
                </c:pt>
                <c:pt idx="1">
                  <c:v>1985</c:v>
                </c:pt>
                <c:pt idx="2">
                  <c:v>1986</c:v>
                </c:pt>
                <c:pt idx="3">
                  <c:v>1987</c:v>
                </c:pt>
                <c:pt idx="4">
                  <c:v>1988</c:v>
                </c:pt>
                <c:pt idx="5">
                  <c:v>1989</c:v>
                </c:pt>
                <c:pt idx="6">
                  <c:v>1990</c:v>
                </c:pt>
                <c:pt idx="7">
                  <c:v>1991</c:v>
                </c:pt>
                <c:pt idx="8">
                  <c:v>1992</c:v>
                </c:pt>
                <c:pt idx="9">
                  <c:v>1993</c:v>
                </c:pt>
                <c:pt idx="10">
                  <c:v>1994</c:v>
                </c:pt>
                <c:pt idx="11">
                  <c:v>1995</c:v>
                </c:pt>
                <c:pt idx="12">
                  <c:v>1996</c:v>
                </c:pt>
                <c:pt idx="13">
                  <c:v>1997</c:v>
                </c:pt>
                <c:pt idx="14">
                  <c:v>1998</c:v>
                </c:pt>
                <c:pt idx="15">
                  <c:v>1999</c:v>
                </c:pt>
                <c:pt idx="16">
                  <c:v>2000</c:v>
                </c:pt>
                <c:pt idx="17">
                  <c:v>2001</c:v>
                </c:pt>
                <c:pt idx="18">
                  <c:v>2002</c:v>
                </c:pt>
                <c:pt idx="19">
                  <c:v>2003</c:v>
                </c:pt>
                <c:pt idx="20">
                  <c:v>2004</c:v>
                </c:pt>
                <c:pt idx="21">
                  <c:v>2005</c:v>
                </c:pt>
                <c:pt idx="22">
                  <c:v>2006</c:v>
                </c:pt>
                <c:pt idx="23">
                  <c:v>2007</c:v>
                </c:pt>
                <c:pt idx="24">
                  <c:v>2008</c:v>
                </c:pt>
                <c:pt idx="25">
                  <c:v>2009</c:v>
                </c:pt>
                <c:pt idx="26">
                  <c:v>2010</c:v>
                </c:pt>
                <c:pt idx="27">
                  <c:v>2011</c:v>
                </c:pt>
                <c:pt idx="28">
                  <c:v>2012</c:v>
                </c:pt>
                <c:pt idx="29">
                  <c:v>2013</c:v>
                </c:pt>
              </c:strCache>
            </c:strRef>
          </c:cat>
          <c:val>
            <c:numRef>
              <c:f>Manufacturing!$C$12:$AF$12</c:f>
              <c:numCache>
                <c:formatCode>General</c:formatCode>
                <c:ptCount val="30"/>
                <c:pt idx="0">
                  <c:v>18.473387531858688</c:v>
                </c:pt>
                <c:pt idx="1">
                  <c:v>18.781569635690435</c:v>
                </c:pt>
                <c:pt idx="2">
                  <c:v>22.874109694870672</c:v>
                </c:pt>
                <c:pt idx="3">
                  <c:v>22.642614225277264</c:v>
                </c:pt>
                <c:pt idx="4">
                  <c:v>23.735366529870245</c:v>
                </c:pt>
                <c:pt idx="5">
                  <c:v>23.840669406572054</c:v>
                </c:pt>
                <c:pt idx="6">
                  <c:v>22.732615978420885</c:v>
                </c:pt>
                <c:pt idx="7">
                  <c:v>22.981821842641743</c:v>
                </c:pt>
                <c:pt idx="8">
                  <c:v>22.473934954947257</c:v>
                </c:pt>
                <c:pt idx="9">
                  <c:v>21.698420304046344</c:v>
                </c:pt>
                <c:pt idx="10">
                  <c:v>22.86616582769307</c:v>
                </c:pt>
                <c:pt idx="11">
                  <c:v>23.423435940075361</c:v>
                </c:pt>
                <c:pt idx="12">
                  <c:v>21.818768599632836</c:v>
                </c:pt>
                <c:pt idx="13">
                  <c:v>22.317884606992166</c:v>
                </c:pt>
                <c:pt idx="14">
                  <c:v>24.229172376363863</c:v>
                </c:pt>
                <c:pt idx="15">
                  <c:v>21.99953479764352</c:v>
                </c:pt>
                <c:pt idx="16">
                  <c:v>20.945676794833517</c:v>
                </c:pt>
                <c:pt idx="17">
                  <c:v>19.908038769187815</c:v>
                </c:pt>
                <c:pt idx="18">
                  <c:v>19.158075377389263</c:v>
                </c:pt>
                <c:pt idx="19">
                  <c:v>19.538892202411322</c:v>
                </c:pt>
                <c:pt idx="20">
                  <c:v>19.388270886696223</c:v>
                </c:pt>
                <c:pt idx="21">
                  <c:v>19.363004226216507</c:v>
                </c:pt>
                <c:pt idx="22">
                  <c:v>19.522039789624205</c:v>
                </c:pt>
                <c:pt idx="23">
                  <c:v>18.984927243835358</c:v>
                </c:pt>
                <c:pt idx="24">
                  <c:v>18.295462621672758</c:v>
                </c:pt>
                <c:pt idx="25">
                  <c:v>16.99465695558003</c:v>
                </c:pt>
                <c:pt idx="26">
                  <c:v>17.175694686285503</c:v>
                </c:pt>
                <c:pt idx="27">
                  <c:v>18.734698789801005</c:v>
                </c:pt>
                <c:pt idx="28">
                  <c:v>17.991094176207927</c:v>
                </c:pt>
                <c:pt idx="29">
                  <c:v>18.537791315330733</c:v>
                </c:pt>
              </c:numCache>
            </c:numRef>
          </c:val>
          <c:smooth val="0"/>
          <c:extLst>
            <c:ext xmlns:c16="http://schemas.microsoft.com/office/drawing/2014/chart" uri="{C3380CC4-5D6E-409C-BE32-E72D297353CC}">
              <c16:uniqueId val="{00000009-DE03-4B4C-A954-34EE0CEA2C2E}"/>
            </c:ext>
          </c:extLst>
        </c:ser>
        <c:ser>
          <c:idx val="10"/>
          <c:order val="10"/>
          <c:tx>
            <c:strRef>
              <c:f>Manufacturing!$B$13</c:f>
              <c:strCache>
                <c:ptCount val="1"/>
                <c:pt idx="0">
                  <c:v>South Africa</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cat>
            <c:strRef>
              <c:f>Manufacturing!$C$2:$AF$2</c:f>
              <c:strCache>
                <c:ptCount val="30"/>
                <c:pt idx="0">
                  <c:v>1984</c:v>
                </c:pt>
                <c:pt idx="1">
                  <c:v>1985</c:v>
                </c:pt>
                <c:pt idx="2">
                  <c:v>1986</c:v>
                </c:pt>
                <c:pt idx="3">
                  <c:v>1987</c:v>
                </c:pt>
                <c:pt idx="4">
                  <c:v>1988</c:v>
                </c:pt>
                <c:pt idx="5">
                  <c:v>1989</c:v>
                </c:pt>
                <c:pt idx="6">
                  <c:v>1990</c:v>
                </c:pt>
                <c:pt idx="7">
                  <c:v>1991</c:v>
                </c:pt>
                <c:pt idx="8">
                  <c:v>1992</c:v>
                </c:pt>
                <c:pt idx="9">
                  <c:v>1993</c:v>
                </c:pt>
                <c:pt idx="10">
                  <c:v>1994</c:v>
                </c:pt>
                <c:pt idx="11">
                  <c:v>1995</c:v>
                </c:pt>
                <c:pt idx="12">
                  <c:v>1996</c:v>
                </c:pt>
                <c:pt idx="13">
                  <c:v>1997</c:v>
                </c:pt>
                <c:pt idx="14">
                  <c:v>1998</c:v>
                </c:pt>
                <c:pt idx="15">
                  <c:v>1999</c:v>
                </c:pt>
                <c:pt idx="16">
                  <c:v>2000</c:v>
                </c:pt>
                <c:pt idx="17">
                  <c:v>2001</c:v>
                </c:pt>
                <c:pt idx="18">
                  <c:v>2002</c:v>
                </c:pt>
                <c:pt idx="19">
                  <c:v>2003</c:v>
                </c:pt>
                <c:pt idx="20">
                  <c:v>2004</c:v>
                </c:pt>
                <c:pt idx="21">
                  <c:v>2005</c:v>
                </c:pt>
                <c:pt idx="22">
                  <c:v>2006</c:v>
                </c:pt>
                <c:pt idx="23">
                  <c:v>2007</c:v>
                </c:pt>
                <c:pt idx="24">
                  <c:v>2008</c:v>
                </c:pt>
                <c:pt idx="25">
                  <c:v>2009</c:v>
                </c:pt>
                <c:pt idx="26">
                  <c:v>2010</c:v>
                </c:pt>
                <c:pt idx="27">
                  <c:v>2011</c:v>
                </c:pt>
                <c:pt idx="28">
                  <c:v>2012</c:v>
                </c:pt>
                <c:pt idx="29">
                  <c:v>2013</c:v>
                </c:pt>
              </c:strCache>
            </c:strRef>
          </c:cat>
          <c:val>
            <c:numRef>
              <c:f>Manufacturing!$C$13:$AF$13</c:f>
              <c:numCache>
                <c:formatCode>General</c:formatCode>
                <c:ptCount val="30"/>
                <c:pt idx="0">
                  <c:v>23.101265822784811</c:v>
                </c:pt>
                <c:pt idx="1">
                  <c:v>21.872657942201101</c:v>
                </c:pt>
                <c:pt idx="2">
                  <c:v>21.988364976751058</c:v>
                </c:pt>
                <c:pt idx="3">
                  <c:v>22.448660606935025</c:v>
                </c:pt>
                <c:pt idx="4">
                  <c:v>22.997582024017891</c:v>
                </c:pt>
                <c:pt idx="5">
                  <c:v>23.567038489617818</c:v>
                </c:pt>
                <c:pt idx="6">
                  <c:v>23.721475105212516</c:v>
                </c:pt>
                <c:pt idx="7">
                  <c:v>22.973679512356856</c:v>
                </c:pt>
                <c:pt idx="8">
                  <c:v>21.964388314951051</c:v>
                </c:pt>
                <c:pt idx="9">
                  <c:v>21.262509508341324</c:v>
                </c:pt>
                <c:pt idx="10">
                  <c:v>21.049178884339366</c:v>
                </c:pt>
                <c:pt idx="11">
                  <c:v>21.354364455053439</c:v>
                </c:pt>
                <c:pt idx="12">
                  <c:v>20.361364444528427</c:v>
                </c:pt>
                <c:pt idx="13">
                  <c:v>20.079310655119663</c:v>
                </c:pt>
                <c:pt idx="14">
                  <c:v>19.601560564062076</c:v>
                </c:pt>
                <c:pt idx="15">
                  <c:v>18.737984296190636</c:v>
                </c:pt>
                <c:pt idx="16">
                  <c:v>19.173834697365706</c:v>
                </c:pt>
                <c:pt idx="17">
                  <c:v>19.262284775428775</c:v>
                </c:pt>
                <c:pt idx="18">
                  <c:v>19.374102867585954</c:v>
                </c:pt>
                <c:pt idx="19">
                  <c:v>18.976331101417685</c:v>
                </c:pt>
                <c:pt idx="20">
                  <c:v>18.61751567251023</c:v>
                </c:pt>
                <c:pt idx="21">
                  <c:v>18.139662777805381</c:v>
                </c:pt>
                <c:pt idx="22">
                  <c:v>16.427082591198143</c:v>
                </c:pt>
                <c:pt idx="23">
                  <c:v>16.076155488100902</c:v>
                </c:pt>
                <c:pt idx="24">
                  <c:v>15.988143309672981</c:v>
                </c:pt>
                <c:pt idx="25">
                  <c:v>15.00378104873381</c:v>
                </c:pt>
                <c:pt idx="26">
                  <c:v>14.377520181493153</c:v>
                </c:pt>
                <c:pt idx="27">
                  <c:v>13.312766113639702</c:v>
                </c:pt>
                <c:pt idx="28">
                  <c:v>12.999752120697785</c:v>
                </c:pt>
                <c:pt idx="29">
                  <c:v>12.900201072365006</c:v>
                </c:pt>
              </c:numCache>
            </c:numRef>
          </c:val>
          <c:smooth val="0"/>
          <c:extLst>
            <c:ext xmlns:c16="http://schemas.microsoft.com/office/drawing/2014/chart" uri="{C3380CC4-5D6E-409C-BE32-E72D297353CC}">
              <c16:uniqueId val="{0000000A-DE03-4B4C-A954-34EE0CEA2C2E}"/>
            </c:ext>
          </c:extLst>
        </c:ser>
        <c:dLbls>
          <c:showLegendKey val="0"/>
          <c:showVal val="0"/>
          <c:showCatName val="0"/>
          <c:showSerName val="0"/>
          <c:showPercent val="0"/>
          <c:showBubbleSize val="0"/>
        </c:dLbls>
        <c:marker val="1"/>
        <c:smooth val="0"/>
        <c:axId val="105968000"/>
        <c:axId val="105969920"/>
      </c:lineChart>
      <c:catAx>
        <c:axId val="1059680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7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05969920"/>
        <c:crosses val="autoZero"/>
        <c:auto val="1"/>
        <c:lblAlgn val="ctr"/>
        <c:lblOffset val="100"/>
        <c:noMultiLvlLbl val="0"/>
      </c:catAx>
      <c:valAx>
        <c:axId val="105969920"/>
        <c:scaling>
          <c:orientation val="minMax"/>
        </c:scaling>
        <c:delete val="0"/>
        <c:axPos val="l"/>
        <c:majorGridlines>
          <c:spPr>
            <a:ln w="317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Percentage of GDP</a:t>
                </a:r>
              </a:p>
            </c:rich>
          </c:tx>
          <c:layout>
            <c:manualLayout>
              <c:xMode val="edge"/>
              <c:yMode val="edge"/>
              <c:x val="1.2595591542959963E-2"/>
              <c:y val="0.28841745618087211"/>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059680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a:t>Contribution of Agriculture Sector on the GDP of Emerging Countries (1984 -2013)</a:t>
            </a:r>
          </a:p>
        </c:rich>
      </c:tx>
      <c:overlay val="0"/>
      <c:spPr>
        <a:noFill/>
        <a:ln>
          <a:noFill/>
        </a:ln>
        <a:effectLst/>
      </c:spPr>
    </c:title>
    <c:autoTitleDeleted val="0"/>
    <c:plotArea>
      <c:layout/>
      <c:lineChart>
        <c:grouping val="standard"/>
        <c:varyColors val="0"/>
        <c:ser>
          <c:idx val="0"/>
          <c:order val="0"/>
          <c:tx>
            <c:strRef>
              <c:f>Agriculture!$B$3</c:f>
              <c:strCache>
                <c:ptCount val="1"/>
                <c:pt idx="0">
                  <c:v>Brazil</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Agriculture!$C$2:$AF$2</c:f>
              <c:strCache>
                <c:ptCount val="30"/>
                <c:pt idx="0">
                  <c:v>1984</c:v>
                </c:pt>
                <c:pt idx="1">
                  <c:v>1985</c:v>
                </c:pt>
                <c:pt idx="2">
                  <c:v>1986</c:v>
                </c:pt>
                <c:pt idx="3">
                  <c:v>1987</c:v>
                </c:pt>
                <c:pt idx="4">
                  <c:v>1988</c:v>
                </c:pt>
                <c:pt idx="5">
                  <c:v>1989</c:v>
                </c:pt>
                <c:pt idx="6">
                  <c:v>1990</c:v>
                </c:pt>
                <c:pt idx="7">
                  <c:v>1991</c:v>
                </c:pt>
                <c:pt idx="8">
                  <c:v>1992</c:v>
                </c:pt>
                <c:pt idx="9">
                  <c:v>1993</c:v>
                </c:pt>
                <c:pt idx="10">
                  <c:v>1994</c:v>
                </c:pt>
                <c:pt idx="11">
                  <c:v>1995</c:v>
                </c:pt>
                <c:pt idx="12">
                  <c:v>1996</c:v>
                </c:pt>
                <c:pt idx="13">
                  <c:v>1997</c:v>
                </c:pt>
                <c:pt idx="14">
                  <c:v>1998</c:v>
                </c:pt>
                <c:pt idx="15">
                  <c:v>1999</c:v>
                </c:pt>
                <c:pt idx="16">
                  <c:v>2000</c:v>
                </c:pt>
                <c:pt idx="17">
                  <c:v>2001</c:v>
                </c:pt>
                <c:pt idx="18">
                  <c:v>2002</c:v>
                </c:pt>
                <c:pt idx="19">
                  <c:v>2003</c:v>
                </c:pt>
                <c:pt idx="20">
                  <c:v>2004</c:v>
                </c:pt>
                <c:pt idx="21">
                  <c:v>2005</c:v>
                </c:pt>
                <c:pt idx="22">
                  <c:v>2006</c:v>
                </c:pt>
                <c:pt idx="23">
                  <c:v>2007</c:v>
                </c:pt>
                <c:pt idx="24">
                  <c:v>2008</c:v>
                </c:pt>
                <c:pt idx="25">
                  <c:v>2009</c:v>
                </c:pt>
                <c:pt idx="26">
                  <c:v>2010</c:v>
                </c:pt>
                <c:pt idx="27">
                  <c:v>2011</c:v>
                </c:pt>
                <c:pt idx="28">
                  <c:v>2012</c:v>
                </c:pt>
                <c:pt idx="29">
                  <c:v>2013</c:v>
                </c:pt>
              </c:strCache>
            </c:strRef>
          </c:cat>
          <c:val>
            <c:numRef>
              <c:f>Agriculture!$C$3:$AF$3</c:f>
              <c:numCache>
                <c:formatCode>General</c:formatCode>
                <c:ptCount val="30"/>
                <c:pt idx="0">
                  <c:v>11.4608613294492</c:v>
                </c:pt>
                <c:pt idx="1">
                  <c:v>11.540900331800321</c:v>
                </c:pt>
                <c:pt idx="2">
                  <c:v>11.15718936461646</c:v>
                </c:pt>
                <c:pt idx="3">
                  <c:v>10.00975970189457</c:v>
                </c:pt>
                <c:pt idx="4">
                  <c:v>10.115538764751516</c:v>
                </c:pt>
                <c:pt idx="5">
                  <c:v>8.5188768275737807</c:v>
                </c:pt>
                <c:pt idx="6">
                  <c:v>8.1</c:v>
                </c:pt>
                <c:pt idx="7">
                  <c:v>7.7899805854809854</c:v>
                </c:pt>
                <c:pt idx="8">
                  <c:v>7.7199975555629772</c:v>
                </c:pt>
                <c:pt idx="9">
                  <c:v>7.5599997228548306</c:v>
                </c:pt>
                <c:pt idx="10">
                  <c:v>9.850263574916724</c:v>
                </c:pt>
                <c:pt idx="11">
                  <c:v>5.7712503915944753</c:v>
                </c:pt>
                <c:pt idx="12">
                  <c:v>5.4541902349400573</c:v>
                </c:pt>
                <c:pt idx="13">
                  <c:v>5.3307885455868762</c:v>
                </c:pt>
                <c:pt idx="14">
                  <c:v>5.3986482119592765</c:v>
                </c:pt>
                <c:pt idx="15">
                  <c:v>5.36501054231897</c:v>
                </c:pt>
                <c:pt idx="16">
                  <c:v>5.5232777996482199</c:v>
                </c:pt>
                <c:pt idx="17">
                  <c:v>5.6379649810517822</c:v>
                </c:pt>
                <c:pt idx="18">
                  <c:v>6.4174225760383701</c:v>
                </c:pt>
                <c:pt idx="19">
                  <c:v>7.2039692204550576</c:v>
                </c:pt>
                <c:pt idx="20">
                  <c:v>6.6734778114323756</c:v>
                </c:pt>
                <c:pt idx="21">
                  <c:v>5.4784604222774158</c:v>
                </c:pt>
                <c:pt idx="22">
                  <c:v>5.1380722103753005</c:v>
                </c:pt>
                <c:pt idx="23">
                  <c:v>5.1800193832538346</c:v>
                </c:pt>
                <c:pt idx="24">
                  <c:v>5.4084574824318041</c:v>
                </c:pt>
                <c:pt idx="25">
                  <c:v>5.2359460193517906</c:v>
                </c:pt>
                <c:pt idx="26">
                  <c:v>4.8422872437054165</c:v>
                </c:pt>
                <c:pt idx="27">
                  <c:v>5.1075122142121634</c:v>
                </c:pt>
                <c:pt idx="28">
                  <c:v>4.9018638049034022</c:v>
                </c:pt>
                <c:pt idx="29">
                  <c:v>5.2767163838234783</c:v>
                </c:pt>
              </c:numCache>
            </c:numRef>
          </c:val>
          <c:smooth val="0"/>
          <c:extLst>
            <c:ext xmlns:c16="http://schemas.microsoft.com/office/drawing/2014/chart" uri="{C3380CC4-5D6E-409C-BE32-E72D297353CC}">
              <c16:uniqueId val="{00000000-7D2F-40C9-8A0C-1D7DA045CD80}"/>
            </c:ext>
          </c:extLst>
        </c:ser>
        <c:ser>
          <c:idx val="1"/>
          <c:order val="1"/>
          <c:tx>
            <c:strRef>
              <c:f>Agriculture!$B$4</c:f>
              <c:strCache>
                <c:ptCount val="1"/>
                <c:pt idx="0">
                  <c:v>Chile</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Agriculture!$C$2:$AF$2</c:f>
              <c:strCache>
                <c:ptCount val="30"/>
                <c:pt idx="0">
                  <c:v>1984</c:v>
                </c:pt>
                <c:pt idx="1">
                  <c:v>1985</c:v>
                </c:pt>
                <c:pt idx="2">
                  <c:v>1986</c:v>
                </c:pt>
                <c:pt idx="3">
                  <c:v>1987</c:v>
                </c:pt>
                <c:pt idx="4">
                  <c:v>1988</c:v>
                </c:pt>
                <c:pt idx="5">
                  <c:v>1989</c:v>
                </c:pt>
                <c:pt idx="6">
                  <c:v>1990</c:v>
                </c:pt>
                <c:pt idx="7">
                  <c:v>1991</c:v>
                </c:pt>
                <c:pt idx="8">
                  <c:v>1992</c:v>
                </c:pt>
                <c:pt idx="9">
                  <c:v>1993</c:v>
                </c:pt>
                <c:pt idx="10">
                  <c:v>1994</c:v>
                </c:pt>
                <c:pt idx="11">
                  <c:v>1995</c:v>
                </c:pt>
                <c:pt idx="12">
                  <c:v>1996</c:v>
                </c:pt>
                <c:pt idx="13">
                  <c:v>1997</c:v>
                </c:pt>
                <c:pt idx="14">
                  <c:v>1998</c:v>
                </c:pt>
                <c:pt idx="15">
                  <c:v>1999</c:v>
                </c:pt>
                <c:pt idx="16">
                  <c:v>2000</c:v>
                </c:pt>
                <c:pt idx="17">
                  <c:v>2001</c:v>
                </c:pt>
                <c:pt idx="18">
                  <c:v>2002</c:v>
                </c:pt>
                <c:pt idx="19">
                  <c:v>2003</c:v>
                </c:pt>
                <c:pt idx="20">
                  <c:v>2004</c:v>
                </c:pt>
                <c:pt idx="21">
                  <c:v>2005</c:v>
                </c:pt>
                <c:pt idx="22">
                  <c:v>2006</c:v>
                </c:pt>
                <c:pt idx="23">
                  <c:v>2007</c:v>
                </c:pt>
                <c:pt idx="24">
                  <c:v>2008</c:v>
                </c:pt>
                <c:pt idx="25">
                  <c:v>2009</c:v>
                </c:pt>
                <c:pt idx="26">
                  <c:v>2010</c:v>
                </c:pt>
                <c:pt idx="27">
                  <c:v>2011</c:v>
                </c:pt>
                <c:pt idx="28">
                  <c:v>2012</c:v>
                </c:pt>
                <c:pt idx="29">
                  <c:v>2013</c:v>
                </c:pt>
              </c:strCache>
            </c:strRef>
          </c:cat>
          <c:val>
            <c:numRef>
              <c:f>Agriculture!$C$4:$AF$4</c:f>
              <c:numCache>
                <c:formatCode>General</c:formatCode>
                <c:ptCount val="30"/>
                <c:pt idx="0">
                  <c:v>7.7178783184022492</c:v>
                </c:pt>
                <c:pt idx="1">
                  <c:v>8.3735503191936171</c:v>
                </c:pt>
                <c:pt idx="2">
                  <c:v>9.6576785025659273</c:v>
                </c:pt>
                <c:pt idx="3">
                  <c:v>9.9074929449133773</c:v>
                </c:pt>
                <c:pt idx="4">
                  <c:v>9.3494082905264264</c:v>
                </c:pt>
                <c:pt idx="5">
                  <c:v>9.1340136925329993</c:v>
                </c:pt>
                <c:pt idx="6">
                  <c:v>9.1469421907314992</c:v>
                </c:pt>
                <c:pt idx="7">
                  <c:v>10.262021716661275</c:v>
                </c:pt>
                <c:pt idx="8">
                  <c:v>10.27204903989694</c:v>
                </c:pt>
                <c:pt idx="9">
                  <c:v>9.040680319264025</c:v>
                </c:pt>
                <c:pt idx="10">
                  <c:v>8.3695536778936344</c:v>
                </c:pt>
                <c:pt idx="11">
                  <c:v>7.7936397198018428</c:v>
                </c:pt>
                <c:pt idx="12">
                  <c:v>6.0030930092024999</c:v>
                </c:pt>
                <c:pt idx="13">
                  <c:v>5.9759877809894961</c:v>
                </c:pt>
                <c:pt idx="14">
                  <c:v>6.3079524471334993</c:v>
                </c:pt>
                <c:pt idx="15">
                  <c:v>6.2013610285954979</c:v>
                </c:pt>
                <c:pt idx="16">
                  <c:v>5.9165739278449667</c:v>
                </c:pt>
                <c:pt idx="17">
                  <c:v>4.8398388312414369</c:v>
                </c:pt>
                <c:pt idx="18">
                  <c:v>4.8776560120041355</c:v>
                </c:pt>
                <c:pt idx="19">
                  <c:v>4.8639896941166656</c:v>
                </c:pt>
                <c:pt idx="20">
                  <c:v>4.4274041420219863</c:v>
                </c:pt>
                <c:pt idx="21">
                  <c:v>4.5172453423851024</c:v>
                </c:pt>
                <c:pt idx="22">
                  <c:v>4.205391320729845</c:v>
                </c:pt>
                <c:pt idx="23">
                  <c:v>4.0268550868171067</c:v>
                </c:pt>
                <c:pt idx="24">
                  <c:v>4.0545928165292411</c:v>
                </c:pt>
                <c:pt idx="25">
                  <c:v>4.0605575093046093</c:v>
                </c:pt>
                <c:pt idx="26">
                  <c:v>3.9265020646068662</c:v>
                </c:pt>
                <c:pt idx="27">
                  <c:v>3.9965290618552043</c:v>
                </c:pt>
                <c:pt idx="28">
                  <c:v>3.6126471968321749</c:v>
                </c:pt>
                <c:pt idx="29">
                  <c:v>3.6951374320971562</c:v>
                </c:pt>
              </c:numCache>
            </c:numRef>
          </c:val>
          <c:smooth val="0"/>
          <c:extLst>
            <c:ext xmlns:c16="http://schemas.microsoft.com/office/drawing/2014/chart" uri="{C3380CC4-5D6E-409C-BE32-E72D297353CC}">
              <c16:uniqueId val="{00000001-7D2F-40C9-8A0C-1D7DA045CD80}"/>
            </c:ext>
          </c:extLst>
        </c:ser>
        <c:ser>
          <c:idx val="2"/>
          <c:order val="2"/>
          <c:tx>
            <c:strRef>
              <c:f>Agriculture!$B$5</c:f>
              <c:strCache>
                <c:ptCount val="1"/>
                <c:pt idx="0">
                  <c:v>China</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strRef>
              <c:f>Agriculture!$C$2:$AF$2</c:f>
              <c:strCache>
                <c:ptCount val="30"/>
                <c:pt idx="0">
                  <c:v>1984</c:v>
                </c:pt>
                <c:pt idx="1">
                  <c:v>1985</c:v>
                </c:pt>
                <c:pt idx="2">
                  <c:v>1986</c:v>
                </c:pt>
                <c:pt idx="3">
                  <c:v>1987</c:v>
                </c:pt>
                <c:pt idx="4">
                  <c:v>1988</c:v>
                </c:pt>
                <c:pt idx="5">
                  <c:v>1989</c:v>
                </c:pt>
                <c:pt idx="6">
                  <c:v>1990</c:v>
                </c:pt>
                <c:pt idx="7">
                  <c:v>1991</c:v>
                </c:pt>
                <c:pt idx="8">
                  <c:v>1992</c:v>
                </c:pt>
                <c:pt idx="9">
                  <c:v>1993</c:v>
                </c:pt>
                <c:pt idx="10">
                  <c:v>1994</c:v>
                </c:pt>
                <c:pt idx="11">
                  <c:v>1995</c:v>
                </c:pt>
                <c:pt idx="12">
                  <c:v>1996</c:v>
                </c:pt>
                <c:pt idx="13">
                  <c:v>1997</c:v>
                </c:pt>
                <c:pt idx="14">
                  <c:v>1998</c:v>
                </c:pt>
                <c:pt idx="15">
                  <c:v>1999</c:v>
                </c:pt>
                <c:pt idx="16">
                  <c:v>2000</c:v>
                </c:pt>
                <c:pt idx="17">
                  <c:v>2001</c:v>
                </c:pt>
                <c:pt idx="18">
                  <c:v>2002</c:v>
                </c:pt>
                <c:pt idx="19">
                  <c:v>2003</c:v>
                </c:pt>
                <c:pt idx="20">
                  <c:v>2004</c:v>
                </c:pt>
                <c:pt idx="21">
                  <c:v>2005</c:v>
                </c:pt>
                <c:pt idx="22">
                  <c:v>2006</c:v>
                </c:pt>
                <c:pt idx="23">
                  <c:v>2007</c:v>
                </c:pt>
                <c:pt idx="24">
                  <c:v>2008</c:v>
                </c:pt>
                <c:pt idx="25">
                  <c:v>2009</c:v>
                </c:pt>
                <c:pt idx="26">
                  <c:v>2010</c:v>
                </c:pt>
                <c:pt idx="27">
                  <c:v>2011</c:v>
                </c:pt>
                <c:pt idx="28">
                  <c:v>2012</c:v>
                </c:pt>
                <c:pt idx="29">
                  <c:v>2013</c:v>
                </c:pt>
              </c:strCache>
            </c:strRef>
          </c:cat>
          <c:val>
            <c:numRef>
              <c:f>Agriculture!$C$5:$AF$5</c:f>
              <c:numCache>
                <c:formatCode>General</c:formatCode>
                <c:ptCount val="30"/>
                <c:pt idx="0">
                  <c:v>31.539465549220306</c:v>
                </c:pt>
                <c:pt idx="1">
                  <c:v>27.934145885766409</c:v>
                </c:pt>
                <c:pt idx="2">
                  <c:v>26.638846591237638</c:v>
                </c:pt>
                <c:pt idx="3">
                  <c:v>26.321193304092127</c:v>
                </c:pt>
                <c:pt idx="4">
                  <c:v>25.237806645411187</c:v>
                </c:pt>
                <c:pt idx="5">
                  <c:v>24.611605557722196</c:v>
                </c:pt>
                <c:pt idx="6">
                  <c:v>26.584149759708364</c:v>
                </c:pt>
                <c:pt idx="7">
                  <c:v>24.033882284509396</c:v>
                </c:pt>
                <c:pt idx="8">
                  <c:v>21.328945191123204</c:v>
                </c:pt>
                <c:pt idx="9">
                  <c:v>19.30749133803528</c:v>
                </c:pt>
                <c:pt idx="10">
                  <c:v>19.474273965561554</c:v>
                </c:pt>
                <c:pt idx="11">
                  <c:v>19.596543196190407</c:v>
                </c:pt>
                <c:pt idx="12">
                  <c:v>19.325448104537301</c:v>
                </c:pt>
                <c:pt idx="13">
                  <c:v>17.895251834660979</c:v>
                </c:pt>
                <c:pt idx="14">
                  <c:v>17.159004877018152</c:v>
                </c:pt>
                <c:pt idx="15">
                  <c:v>16.06481133867171</c:v>
                </c:pt>
                <c:pt idx="16">
                  <c:v>14.676291706928893</c:v>
                </c:pt>
                <c:pt idx="17">
                  <c:v>13.98346248661638</c:v>
                </c:pt>
                <c:pt idx="18">
                  <c:v>13.301467169032529</c:v>
                </c:pt>
                <c:pt idx="19">
                  <c:v>12.34896886961331</c:v>
                </c:pt>
                <c:pt idx="20">
                  <c:v>12.916630107970702</c:v>
                </c:pt>
                <c:pt idx="21">
                  <c:v>11.641484121463451</c:v>
                </c:pt>
                <c:pt idx="22">
                  <c:v>10.625756191370247</c:v>
                </c:pt>
                <c:pt idx="23">
                  <c:v>10.28300465932459</c:v>
                </c:pt>
                <c:pt idx="24">
                  <c:v>10.250895496462613</c:v>
                </c:pt>
                <c:pt idx="25">
                  <c:v>9.7861988636461295</c:v>
                </c:pt>
                <c:pt idx="26">
                  <c:v>9.5301966950124477</c:v>
                </c:pt>
                <c:pt idx="27">
                  <c:v>9.4345071311991031</c:v>
                </c:pt>
                <c:pt idx="28">
                  <c:v>9.419942801878868</c:v>
                </c:pt>
                <c:pt idx="29">
                  <c:v>9.2951903453438618</c:v>
                </c:pt>
              </c:numCache>
            </c:numRef>
          </c:val>
          <c:smooth val="0"/>
          <c:extLst>
            <c:ext xmlns:c16="http://schemas.microsoft.com/office/drawing/2014/chart" uri="{C3380CC4-5D6E-409C-BE32-E72D297353CC}">
              <c16:uniqueId val="{00000002-7D2F-40C9-8A0C-1D7DA045CD80}"/>
            </c:ext>
          </c:extLst>
        </c:ser>
        <c:ser>
          <c:idx val="3"/>
          <c:order val="3"/>
          <c:tx>
            <c:strRef>
              <c:f>Agriculture!$B$6</c:f>
              <c:strCache>
                <c:ptCount val="1"/>
                <c:pt idx="0">
                  <c:v>Colombia</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strRef>
              <c:f>Agriculture!$C$2:$AF$2</c:f>
              <c:strCache>
                <c:ptCount val="30"/>
                <c:pt idx="0">
                  <c:v>1984</c:v>
                </c:pt>
                <c:pt idx="1">
                  <c:v>1985</c:v>
                </c:pt>
                <c:pt idx="2">
                  <c:v>1986</c:v>
                </c:pt>
                <c:pt idx="3">
                  <c:v>1987</c:v>
                </c:pt>
                <c:pt idx="4">
                  <c:v>1988</c:v>
                </c:pt>
                <c:pt idx="5">
                  <c:v>1989</c:v>
                </c:pt>
                <c:pt idx="6">
                  <c:v>1990</c:v>
                </c:pt>
                <c:pt idx="7">
                  <c:v>1991</c:v>
                </c:pt>
                <c:pt idx="8">
                  <c:v>1992</c:v>
                </c:pt>
                <c:pt idx="9">
                  <c:v>1993</c:v>
                </c:pt>
                <c:pt idx="10">
                  <c:v>1994</c:v>
                </c:pt>
                <c:pt idx="11">
                  <c:v>1995</c:v>
                </c:pt>
                <c:pt idx="12">
                  <c:v>1996</c:v>
                </c:pt>
                <c:pt idx="13">
                  <c:v>1997</c:v>
                </c:pt>
                <c:pt idx="14">
                  <c:v>1998</c:v>
                </c:pt>
                <c:pt idx="15">
                  <c:v>1999</c:v>
                </c:pt>
                <c:pt idx="16">
                  <c:v>2000</c:v>
                </c:pt>
                <c:pt idx="17">
                  <c:v>2001</c:v>
                </c:pt>
                <c:pt idx="18">
                  <c:v>2002</c:v>
                </c:pt>
                <c:pt idx="19">
                  <c:v>2003</c:v>
                </c:pt>
                <c:pt idx="20">
                  <c:v>2004</c:v>
                </c:pt>
                <c:pt idx="21">
                  <c:v>2005</c:v>
                </c:pt>
                <c:pt idx="22">
                  <c:v>2006</c:v>
                </c:pt>
                <c:pt idx="23">
                  <c:v>2007</c:v>
                </c:pt>
                <c:pt idx="24">
                  <c:v>2008</c:v>
                </c:pt>
                <c:pt idx="25">
                  <c:v>2009</c:v>
                </c:pt>
                <c:pt idx="26">
                  <c:v>2010</c:v>
                </c:pt>
                <c:pt idx="27">
                  <c:v>2011</c:v>
                </c:pt>
                <c:pt idx="28">
                  <c:v>2012</c:v>
                </c:pt>
                <c:pt idx="29">
                  <c:v>2013</c:v>
                </c:pt>
              </c:strCache>
            </c:strRef>
          </c:cat>
          <c:val>
            <c:numRef>
              <c:f>Agriculture!$C$6:$AF$6</c:f>
              <c:numCache>
                <c:formatCode>General</c:formatCode>
                <c:ptCount val="30"/>
                <c:pt idx="0">
                  <c:v>17.799848669869661</c:v>
                </c:pt>
                <c:pt idx="1">
                  <c:v>17.451616192599914</c:v>
                </c:pt>
                <c:pt idx="2">
                  <c:v>18.029629465267469</c:v>
                </c:pt>
                <c:pt idx="3">
                  <c:v>18.716620300305603</c:v>
                </c:pt>
                <c:pt idx="4">
                  <c:v>17.373158931957946</c:v>
                </c:pt>
                <c:pt idx="5">
                  <c:v>16.617648014629999</c:v>
                </c:pt>
                <c:pt idx="6">
                  <c:v>16.748092792737292</c:v>
                </c:pt>
                <c:pt idx="7">
                  <c:v>17.422275296491659</c:v>
                </c:pt>
                <c:pt idx="8">
                  <c:v>15.798264058527092</c:v>
                </c:pt>
                <c:pt idx="9">
                  <c:v>13.879104200230245</c:v>
                </c:pt>
                <c:pt idx="10">
                  <c:v>16.0759061967427</c:v>
                </c:pt>
                <c:pt idx="11">
                  <c:v>15.283570346196454</c:v>
                </c:pt>
                <c:pt idx="12">
                  <c:v>13.820565471462334</c:v>
                </c:pt>
                <c:pt idx="13">
                  <c:v>13.709031402457816</c:v>
                </c:pt>
                <c:pt idx="14">
                  <c:v>14.262814300108099</c:v>
                </c:pt>
                <c:pt idx="15">
                  <c:v>13.96067682213018</c:v>
                </c:pt>
                <c:pt idx="16">
                  <c:v>8.9495631145719781</c:v>
                </c:pt>
                <c:pt idx="17">
                  <c:v>8.975418252675718</c:v>
                </c:pt>
                <c:pt idx="18">
                  <c:v>9.2002397341771047</c:v>
                </c:pt>
                <c:pt idx="19">
                  <c:v>9.0397168886444614</c:v>
                </c:pt>
                <c:pt idx="20">
                  <c:v>8.618620638387501</c:v>
                </c:pt>
                <c:pt idx="21">
                  <c:v>8.4422113781438632</c:v>
                </c:pt>
                <c:pt idx="22">
                  <c:v>8.0859364944065764</c:v>
                </c:pt>
                <c:pt idx="23">
                  <c:v>7.8298788749429082</c:v>
                </c:pt>
                <c:pt idx="24">
                  <c:v>7.5155433858247971</c:v>
                </c:pt>
                <c:pt idx="25">
                  <c:v>7.4662550366823535</c:v>
                </c:pt>
                <c:pt idx="26">
                  <c:v>7.0984803710419024</c:v>
                </c:pt>
                <c:pt idx="27">
                  <c:v>6.8488571383089933</c:v>
                </c:pt>
                <c:pt idx="28">
                  <c:v>6.326706232918748</c:v>
                </c:pt>
                <c:pt idx="29">
                  <c:v>6.0810221624573755</c:v>
                </c:pt>
              </c:numCache>
            </c:numRef>
          </c:val>
          <c:smooth val="0"/>
          <c:extLst>
            <c:ext xmlns:c16="http://schemas.microsoft.com/office/drawing/2014/chart" uri="{C3380CC4-5D6E-409C-BE32-E72D297353CC}">
              <c16:uniqueId val="{00000003-7D2F-40C9-8A0C-1D7DA045CD80}"/>
            </c:ext>
          </c:extLst>
        </c:ser>
        <c:ser>
          <c:idx val="4"/>
          <c:order val="4"/>
          <c:tx>
            <c:strRef>
              <c:f>Agriculture!$B$7</c:f>
              <c:strCache>
                <c:ptCount val="1"/>
                <c:pt idx="0">
                  <c:v>Egypt, Arab Rep.</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strRef>
              <c:f>Agriculture!$C$2:$AF$2</c:f>
              <c:strCache>
                <c:ptCount val="30"/>
                <c:pt idx="0">
                  <c:v>1984</c:v>
                </c:pt>
                <c:pt idx="1">
                  <c:v>1985</c:v>
                </c:pt>
                <c:pt idx="2">
                  <c:v>1986</c:v>
                </c:pt>
                <c:pt idx="3">
                  <c:v>1987</c:v>
                </c:pt>
                <c:pt idx="4">
                  <c:v>1988</c:v>
                </c:pt>
                <c:pt idx="5">
                  <c:v>1989</c:v>
                </c:pt>
                <c:pt idx="6">
                  <c:v>1990</c:v>
                </c:pt>
                <c:pt idx="7">
                  <c:v>1991</c:v>
                </c:pt>
                <c:pt idx="8">
                  <c:v>1992</c:v>
                </c:pt>
                <c:pt idx="9">
                  <c:v>1993</c:v>
                </c:pt>
                <c:pt idx="10">
                  <c:v>1994</c:v>
                </c:pt>
                <c:pt idx="11">
                  <c:v>1995</c:v>
                </c:pt>
                <c:pt idx="12">
                  <c:v>1996</c:v>
                </c:pt>
                <c:pt idx="13">
                  <c:v>1997</c:v>
                </c:pt>
                <c:pt idx="14">
                  <c:v>1998</c:v>
                </c:pt>
                <c:pt idx="15">
                  <c:v>1999</c:v>
                </c:pt>
                <c:pt idx="16">
                  <c:v>2000</c:v>
                </c:pt>
                <c:pt idx="17">
                  <c:v>2001</c:v>
                </c:pt>
                <c:pt idx="18">
                  <c:v>2002</c:v>
                </c:pt>
                <c:pt idx="19">
                  <c:v>2003</c:v>
                </c:pt>
                <c:pt idx="20">
                  <c:v>2004</c:v>
                </c:pt>
                <c:pt idx="21">
                  <c:v>2005</c:v>
                </c:pt>
                <c:pt idx="22">
                  <c:v>2006</c:v>
                </c:pt>
                <c:pt idx="23">
                  <c:v>2007</c:v>
                </c:pt>
                <c:pt idx="24">
                  <c:v>2008</c:v>
                </c:pt>
                <c:pt idx="25">
                  <c:v>2009</c:v>
                </c:pt>
                <c:pt idx="26">
                  <c:v>2010</c:v>
                </c:pt>
                <c:pt idx="27">
                  <c:v>2011</c:v>
                </c:pt>
                <c:pt idx="28">
                  <c:v>2012</c:v>
                </c:pt>
                <c:pt idx="29">
                  <c:v>2013</c:v>
                </c:pt>
              </c:strCache>
            </c:strRef>
          </c:cat>
          <c:val>
            <c:numRef>
              <c:f>Agriculture!$C$7:$AF$7</c:f>
              <c:numCache>
                <c:formatCode>General</c:formatCode>
                <c:ptCount val="30"/>
                <c:pt idx="0">
                  <c:v>20.050362758645203</c:v>
                </c:pt>
                <c:pt idx="1">
                  <c:v>19.986229656554507</c:v>
                </c:pt>
                <c:pt idx="2">
                  <c:v>20.786066570654778</c:v>
                </c:pt>
                <c:pt idx="3">
                  <c:v>20.494576618140584</c:v>
                </c:pt>
                <c:pt idx="4">
                  <c:v>18.959577326014905</c:v>
                </c:pt>
                <c:pt idx="5">
                  <c:v>19.673362616107845</c:v>
                </c:pt>
                <c:pt idx="6">
                  <c:v>19.366639243207175</c:v>
                </c:pt>
                <c:pt idx="7">
                  <c:v>17.574030056710928</c:v>
                </c:pt>
                <c:pt idx="8">
                  <c:v>16.542420473534417</c:v>
                </c:pt>
                <c:pt idx="9">
                  <c:v>16.712506841817191</c:v>
                </c:pt>
                <c:pt idx="10">
                  <c:v>16.874581970583002</c:v>
                </c:pt>
                <c:pt idx="11">
                  <c:v>16.779226218522595</c:v>
                </c:pt>
                <c:pt idx="12">
                  <c:v>17.259845460699864</c:v>
                </c:pt>
                <c:pt idx="13">
                  <c:v>16.954353352656383</c:v>
                </c:pt>
                <c:pt idx="14">
                  <c:v>17.113677071376461</c:v>
                </c:pt>
                <c:pt idx="15">
                  <c:v>17.317360853315744</c:v>
                </c:pt>
                <c:pt idx="16">
                  <c:v>16.740742618012021</c:v>
                </c:pt>
                <c:pt idx="17">
                  <c:v>16.558711027713628</c:v>
                </c:pt>
                <c:pt idx="18">
                  <c:v>16.462199468755696</c:v>
                </c:pt>
                <c:pt idx="19">
                  <c:v>16.338666231119088</c:v>
                </c:pt>
                <c:pt idx="20">
                  <c:v>15.176112327599961</c:v>
                </c:pt>
                <c:pt idx="21">
                  <c:v>14.875376344532146</c:v>
                </c:pt>
                <c:pt idx="22">
                  <c:v>14.069866664739433</c:v>
                </c:pt>
                <c:pt idx="23">
                  <c:v>14.07024006364985</c:v>
                </c:pt>
                <c:pt idx="24">
                  <c:v>13.223846833947972</c:v>
                </c:pt>
                <c:pt idx="25">
                  <c:v>13.627473970004282</c:v>
                </c:pt>
                <c:pt idx="26">
                  <c:v>13.990183815323901</c:v>
                </c:pt>
                <c:pt idx="27">
                  <c:v>14.517022103194144</c:v>
                </c:pt>
                <c:pt idx="28">
                  <c:v>11.10783968654575</c:v>
                </c:pt>
                <c:pt idx="29">
                  <c:v>10.965798876390926</c:v>
                </c:pt>
              </c:numCache>
            </c:numRef>
          </c:val>
          <c:smooth val="0"/>
          <c:extLst>
            <c:ext xmlns:c16="http://schemas.microsoft.com/office/drawing/2014/chart" uri="{C3380CC4-5D6E-409C-BE32-E72D297353CC}">
              <c16:uniqueId val="{00000004-7D2F-40C9-8A0C-1D7DA045CD80}"/>
            </c:ext>
          </c:extLst>
        </c:ser>
        <c:ser>
          <c:idx val="5"/>
          <c:order val="5"/>
          <c:tx>
            <c:strRef>
              <c:f>Agriculture!$B$8</c:f>
              <c:strCache>
                <c:ptCount val="1"/>
                <c:pt idx="0">
                  <c:v>India</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strRef>
              <c:f>Agriculture!$C$2:$AF$2</c:f>
              <c:strCache>
                <c:ptCount val="30"/>
                <c:pt idx="0">
                  <c:v>1984</c:v>
                </c:pt>
                <c:pt idx="1">
                  <c:v>1985</c:v>
                </c:pt>
                <c:pt idx="2">
                  <c:v>1986</c:v>
                </c:pt>
                <c:pt idx="3">
                  <c:v>1987</c:v>
                </c:pt>
                <c:pt idx="4">
                  <c:v>1988</c:v>
                </c:pt>
                <c:pt idx="5">
                  <c:v>1989</c:v>
                </c:pt>
                <c:pt idx="6">
                  <c:v>1990</c:v>
                </c:pt>
                <c:pt idx="7">
                  <c:v>1991</c:v>
                </c:pt>
                <c:pt idx="8">
                  <c:v>1992</c:v>
                </c:pt>
                <c:pt idx="9">
                  <c:v>1993</c:v>
                </c:pt>
                <c:pt idx="10">
                  <c:v>1994</c:v>
                </c:pt>
                <c:pt idx="11">
                  <c:v>1995</c:v>
                </c:pt>
                <c:pt idx="12">
                  <c:v>1996</c:v>
                </c:pt>
                <c:pt idx="13">
                  <c:v>1997</c:v>
                </c:pt>
                <c:pt idx="14">
                  <c:v>1998</c:v>
                </c:pt>
                <c:pt idx="15">
                  <c:v>1999</c:v>
                </c:pt>
                <c:pt idx="16">
                  <c:v>2000</c:v>
                </c:pt>
                <c:pt idx="17">
                  <c:v>2001</c:v>
                </c:pt>
                <c:pt idx="18">
                  <c:v>2002</c:v>
                </c:pt>
                <c:pt idx="19">
                  <c:v>2003</c:v>
                </c:pt>
                <c:pt idx="20">
                  <c:v>2004</c:v>
                </c:pt>
                <c:pt idx="21">
                  <c:v>2005</c:v>
                </c:pt>
                <c:pt idx="22">
                  <c:v>2006</c:v>
                </c:pt>
                <c:pt idx="23">
                  <c:v>2007</c:v>
                </c:pt>
                <c:pt idx="24">
                  <c:v>2008</c:v>
                </c:pt>
                <c:pt idx="25">
                  <c:v>2009</c:v>
                </c:pt>
                <c:pt idx="26">
                  <c:v>2010</c:v>
                </c:pt>
                <c:pt idx="27">
                  <c:v>2011</c:v>
                </c:pt>
                <c:pt idx="28">
                  <c:v>2012</c:v>
                </c:pt>
                <c:pt idx="29">
                  <c:v>2013</c:v>
                </c:pt>
              </c:strCache>
            </c:strRef>
          </c:cat>
          <c:val>
            <c:numRef>
              <c:f>Agriculture!$C$8:$AF$8</c:f>
              <c:numCache>
                <c:formatCode>General</c:formatCode>
                <c:ptCount val="30"/>
                <c:pt idx="0">
                  <c:v>33.405151167743853</c:v>
                </c:pt>
                <c:pt idx="1">
                  <c:v>32.038456450641526</c:v>
                </c:pt>
                <c:pt idx="2">
                  <c:v>30.841423766356296</c:v>
                </c:pt>
                <c:pt idx="3">
                  <c:v>30.264846379765004</c:v>
                </c:pt>
                <c:pt idx="4">
                  <c:v>31.319333425211575</c:v>
                </c:pt>
                <c:pt idx="5">
                  <c:v>30.045409349728835</c:v>
                </c:pt>
                <c:pt idx="6">
                  <c:v>30.099839443518466</c:v>
                </c:pt>
                <c:pt idx="7">
                  <c:v>30.479612228020919</c:v>
                </c:pt>
                <c:pt idx="8">
                  <c:v>29.801484254040673</c:v>
                </c:pt>
                <c:pt idx="9">
                  <c:v>29.740629985493637</c:v>
                </c:pt>
                <c:pt idx="10">
                  <c:v>29.320631902973393</c:v>
                </c:pt>
                <c:pt idx="11">
                  <c:v>27.230281737714517</c:v>
                </c:pt>
                <c:pt idx="12">
                  <c:v>28.133606125324512</c:v>
                </c:pt>
                <c:pt idx="13">
                  <c:v>26.84718426230932</c:v>
                </c:pt>
                <c:pt idx="14">
                  <c:v>26.747594991672496</c:v>
                </c:pt>
                <c:pt idx="15">
                  <c:v>25.411092920251519</c:v>
                </c:pt>
                <c:pt idx="16">
                  <c:v>23.87575712865506</c:v>
                </c:pt>
                <c:pt idx="17">
                  <c:v>23.772518245720274</c:v>
                </c:pt>
                <c:pt idx="18">
                  <c:v>21.463367937535576</c:v>
                </c:pt>
                <c:pt idx="19">
                  <c:v>21.512124941394532</c:v>
                </c:pt>
                <c:pt idx="20">
                  <c:v>19.734311312145024</c:v>
                </c:pt>
                <c:pt idx="21">
                  <c:v>19.508245946925935</c:v>
                </c:pt>
                <c:pt idx="22">
                  <c:v>18.966554288925693</c:v>
                </c:pt>
                <c:pt idx="23">
                  <c:v>18.933415921142551</c:v>
                </c:pt>
                <c:pt idx="24">
                  <c:v>18.443975140200415</c:v>
                </c:pt>
                <c:pt idx="25">
                  <c:v>18.394506689464212</c:v>
                </c:pt>
                <c:pt idx="26">
                  <c:v>18.880686336538048</c:v>
                </c:pt>
                <c:pt idx="27">
                  <c:v>18.526672351743247</c:v>
                </c:pt>
                <c:pt idx="28">
                  <c:v>18.202353006335169</c:v>
                </c:pt>
                <c:pt idx="29">
                  <c:v>18.588666374044411</c:v>
                </c:pt>
              </c:numCache>
            </c:numRef>
          </c:val>
          <c:smooth val="0"/>
          <c:extLst>
            <c:ext xmlns:c16="http://schemas.microsoft.com/office/drawing/2014/chart" uri="{C3380CC4-5D6E-409C-BE32-E72D297353CC}">
              <c16:uniqueId val="{00000005-7D2F-40C9-8A0C-1D7DA045CD80}"/>
            </c:ext>
          </c:extLst>
        </c:ser>
        <c:ser>
          <c:idx val="6"/>
          <c:order val="6"/>
          <c:tx>
            <c:strRef>
              <c:f>Agriculture!$B$9</c:f>
              <c:strCache>
                <c:ptCount val="1"/>
                <c:pt idx="0">
                  <c:v>Malaysia</c:v>
                </c:pt>
              </c:strCache>
            </c:strRef>
          </c:tx>
          <c:spPr>
            <a:ln w="28575" cap="rnd">
              <a:solidFill>
                <a:schemeClr val="accent1">
                  <a:lumMod val="60000"/>
                </a:schemeClr>
              </a:solidFill>
              <a:round/>
            </a:ln>
            <a:effectLst/>
          </c:spPr>
          <c:marker>
            <c:symbol val="circle"/>
            <c:size val="5"/>
            <c:spPr>
              <a:solidFill>
                <a:schemeClr val="accent1">
                  <a:lumMod val="60000"/>
                </a:schemeClr>
              </a:solidFill>
              <a:ln w="9525">
                <a:solidFill>
                  <a:schemeClr val="accent1">
                    <a:lumMod val="60000"/>
                  </a:schemeClr>
                </a:solidFill>
              </a:ln>
              <a:effectLst/>
            </c:spPr>
          </c:marker>
          <c:cat>
            <c:strRef>
              <c:f>Agriculture!$C$2:$AF$2</c:f>
              <c:strCache>
                <c:ptCount val="30"/>
                <c:pt idx="0">
                  <c:v>1984</c:v>
                </c:pt>
                <c:pt idx="1">
                  <c:v>1985</c:v>
                </c:pt>
                <c:pt idx="2">
                  <c:v>1986</c:v>
                </c:pt>
                <c:pt idx="3">
                  <c:v>1987</c:v>
                </c:pt>
                <c:pt idx="4">
                  <c:v>1988</c:v>
                </c:pt>
                <c:pt idx="5">
                  <c:v>1989</c:v>
                </c:pt>
                <c:pt idx="6">
                  <c:v>1990</c:v>
                </c:pt>
                <c:pt idx="7">
                  <c:v>1991</c:v>
                </c:pt>
                <c:pt idx="8">
                  <c:v>1992</c:v>
                </c:pt>
                <c:pt idx="9">
                  <c:v>1993</c:v>
                </c:pt>
                <c:pt idx="10">
                  <c:v>1994</c:v>
                </c:pt>
                <c:pt idx="11">
                  <c:v>1995</c:v>
                </c:pt>
                <c:pt idx="12">
                  <c:v>1996</c:v>
                </c:pt>
                <c:pt idx="13">
                  <c:v>1997</c:v>
                </c:pt>
                <c:pt idx="14">
                  <c:v>1998</c:v>
                </c:pt>
                <c:pt idx="15">
                  <c:v>1999</c:v>
                </c:pt>
                <c:pt idx="16">
                  <c:v>2000</c:v>
                </c:pt>
                <c:pt idx="17">
                  <c:v>2001</c:v>
                </c:pt>
                <c:pt idx="18">
                  <c:v>2002</c:v>
                </c:pt>
                <c:pt idx="19">
                  <c:v>2003</c:v>
                </c:pt>
                <c:pt idx="20">
                  <c:v>2004</c:v>
                </c:pt>
                <c:pt idx="21">
                  <c:v>2005</c:v>
                </c:pt>
                <c:pt idx="22">
                  <c:v>2006</c:v>
                </c:pt>
                <c:pt idx="23">
                  <c:v>2007</c:v>
                </c:pt>
                <c:pt idx="24">
                  <c:v>2008</c:v>
                </c:pt>
                <c:pt idx="25">
                  <c:v>2009</c:v>
                </c:pt>
                <c:pt idx="26">
                  <c:v>2010</c:v>
                </c:pt>
                <c:pt idx="27">
                  <c:v>2011</c:v>
                </c:pt>
                <c:pt idx="28">
                  <c:v>2012</c:v>
                </c:pt>
                <c:pt idx="29">
                  <c:v>2013</c:v>
                </c:pt>
              </c:strCache>
            </c:strRef>
          </c:cat>
          <c:val>
            <c:numRef>
              <c:f>Agriculture!$C$9:$AF$9</c:f>
              <c:numCache>
                <c:formatCode>General</c:formatCode>
                <c:ptCount val="30"/>
                <c:pt idx="0">
                  <c:v>20.345694406033939</c:v>
                </c:pt>
                <c:pt idx="1">
                  <c:v>20.281478507809474</c:v>
                </c:pt>
                <c:pt idx="2">
                  <c:v>20.184502611950723</c:v>
                </c:pt>
                <c:pt idx="3">
                  <c:v>19.960535240796695</c:v>
                </c:pt>
                <c:pt idx="4">
                  <c:v>20.071451770055212</c:v>
                </c:pt>
                <c:pt idx="5">
                  <c:v>18.081780430093222</c:v>
                </c:pt>
                <c:pt idx="6">
                  <c:v>15.216533284067147</c:v>
                </c:pt>
                <c:pt idx="7">
                  <c:v>14.35580915166182</c:v>
                </c:pt>
                <c:pt idx="8">
                  <c:v>14.572507482695229</c:v>
                </c:pt>
                <c:pt idx="9">
                  <c:v>13.786855447085539</c:v>
                </c:pt>
                <c:pt idx="10">
                  <c:v>13.661107131893994</c:v>
                </c:pt>
                <c:pt idx="11">
                  <c:v>12.949944262648783</c:v>
                </c:pt>
                <c:pt idx="12">
                  <c:v>11.680480508885395</c:v>
                </c:pt>
                <c:pt idx="13">
                  <c:v>11.101687396866517</c:v>
                </c:pt>
                <c:pt idx="14">
                  <c:v>13.312550309980086</c:v>
                </c:pt>
                <c:pt idx="15">
                  <c:v>10.842315953265993</c:v>
                </c:pt>
                <c:pt idx="16">
                  <c:v>8.5993024710929546</c:v>
                </c:pt>
                <c:pt idx="17">
                  <c:v>8.0109705909881193</c:v>
                </c:pt>
                <c:pt idx="18">
                  <c:v>8.9848438984165426</c:v>
                </c:pt>
                <c:pt idx="19">
                  <c:v>9.3060852164319705</c:v>
                </c:pt>
                <c:pt idx="20">
                  <c:v>9.2711934842178767</c:v>
                </c:pt>
                <c:pt idx="21">
                  <c:v>8.2623366471785094</c:v>
                </c:pt>
                <c:pt idx="22">
                  <c:v>8.6099796408409759</c:v>
                </c:pt>
                <c:pt idx="23">
                  <c:v>9.9867464905161274</c:v>
                </c:pt>
                <c:pt idx="24">
                  <c:v>9.9686108542395093</c:v>
                </c:pt>
                <c:pt idx="25">
                  <c:v>9.2190692731589969</c:v>
                </c:pt>
                <c:pt idx="26">
                  <c:v>10.089915927512132</c:v>
                </c:pt>
                <c:pt idx="27">
                  <c:v>11.453353119827844</c:v>
                </c:pt>
                <c:pt idx="28">
                  <c:v>9.793760830104679</c:v>
                </c:pt>
                <c:pt idx="29">
                  <c:v>9.1133727922184384</c:v>
                </c:pt>
              </c:numCache>
            </c:numRef>
          </c:val>
          <c:smooth val="0"/>
          <c:extLst>
            <c:ext xmlns:c16="http://schemas.microsoft.com/office/drawing/2014/chart" uri="{C3380CC4-5D6E-409C-BE32-E72D297353CC}">
              <c16:uniqueId val="{00000006-7D2F-40C9-8A0C-1D7DA045CD80}"/>
            </c:ext>
          </c:extLst>
        </c:ser>
        <c:ser>
          <c:idx val="7"/>
          <c:order val="7"/>
          <c:tx>
            <c:strRef>
              <c:f>Agriculture!$B$10</c:f>
              <c:strCache>
                <c:ptCount val="1"/>
                <c:pt idx="0">
                  <c:v>Philippines</c:v>
                </c:pt>
              </c:strCache>
            </c:strRef>
          </c:tx>
          <c:spPr>
            <a:ln w="28575" cap="rnd">
              <a:solidFill>
                <a:schemeClr val="accent2">
                  <a:lumMod val="60000"/>
                </a:schemeClr>
              </a:solidFill>
              <a:round/>
            </a:ln>
            <a:effectLst/>
          </c:spPr>
          <c:marker>
            <c:symbol val="circle"/>
            <c:size val="5"/>
            <c:spPr>
              <a:solidFill>
                <a:schemeClr val="accent2">
                  <a:lumMod val="60000"/>
                </a:schemeClr>
              </a:solidFill>
              <a:ln w="9525">
                <a:solidFill>
                  <a:schemeClr val="accent2">
                    <a:lumMod val="60000"/>
                  </a:schemeClr>
                </a:solidFill>
              </a:ln>
              <a:effectLst/>
            </c:spPr>
          </c:marker>
          <c:cat>
            <c:strRef>
              <c:f>Agriculture!$C$2:$AF$2</c:f>
              <c:strCache>
                <c:ptCount val="30"/>
                <c:pt idx="0">
                  <c:v>1984</c:v>
                </c:pt>
                <c:pt idx="1">
                  <c:v>1985</c:v>
                </c:pt>
                <c:pt idx="2">
                  <c:v>1986</c:v>
                </c:pt>
                <c:pt idx="3">
                  <c:v>1987</c:v>
                </c:pt>
                <c:pt idx="4">
                  <c:v>1988</c:v>
                </c:pt>
                <c:pt idx="5">
                  <c:v>1989</c:v>
                </c:pt>
                <c:pt idx="6">
                  <c:v>1990</c:v>
                </c:pt>
                <c:pt idx="7">
                  <c:v>1991</c:v>
                </c:pt>
                <c:pt idx="8">
                  <c:v>1992</c:v>
                </c:pt>
                <c:pt idx="9">
                  <c:v>1993</c:v>
                </c:pt>
                <c:pt idx="10">
                  <c:v>1994</c:v>
                </c:pt>
                <c:pt idx="11">
                  <c:v>1995</c:v>
                </c:pt>
                <c:pt idx="12">
                  <c:v>1996</c:v>
                </c:pt>
                <c:pt idx="13">
                  <c:v>1997</c:v>
                </c:pt>
                <c:pt idx="14">
                  <c:v>1998</c:v>
                </c:pt>
                <c:pt idx="15">
                  <c:v>1999</c:v>
                </c:pt>
                <c:pt idx="16">
                  <c:v>2000</c:v>
                </c:pt>
                <c:pt idx="17">
                  <c:v>2001</c:v>
                </c:pt>
                <c:pt idx="18">
                  <c:v>2002</c:v>
                </c:pt>
                <c:pt idx="19">
                  <c:v>2003</c:v>
                </c:pt>
                <c:pt idx="20">
                  <c:v>2004</c:v>
                </c:pt>
                <c:pt idx="21">
                  <c:v>2005</c:v>
                </c:pt>
                <c:pt idx="22">
                  <c:v>2006</c:v>
                </c:pt>
                <c:pt idx="23">
                  <c:v>2007</c:v>
                </c:pt>
                <c:pt idx="24">
                  <c:v>2008</c:v>
                </c:pt>
                <c:pt idx="25">
                  <c:v>2009</c:v>
                </c:pt>
                <c:pt idx="26">
                  <c:v>2010</c:v>
                </c:pt>
                <c:pt idx="27">
                  <c:v>2011</c:v>
                </c:pt>
                <c:pt idx="28">
                  <c:v>2012</c:v>
                </c:pt>
                <c:pt idx="29">
                  <c:v>2013</c:v>
                </c:pt>
              </c:strCache>
            </c:strRef>
          </c:cat>
          <c:val>
            <c:numRef>
              <c:f>Agriculture!$C$10:$AF$10</c:f>
              <c:numCache>
                <c:formatCode>General</c:formatCode>
                <c:ptCount val="30"/>
                <c:pt idx="0">
                  <c:v>24.752850913569794</c:v>
                </c:pt>
                <c:pt idx="1">
                  <c:v>24.577404818817836</c:v>
                </c:pt>
                <c:pt idx="2">
                  <c:v>23.946479396012723</c:v>
                </c:pt>
                <c:pt idx="3">
                  <c:v>24.009320936663329</c:v>
                </c:pt>
                <c:pt idx="4">
                  <c:v>22.962854518745416</c:v>
                </c:pt>
                <c:pt idx="5">
                  <c:v>22.692783139768583</c:v>
                </c:pt>
                <c:pt idx="6">
                  <c:v>21.903815037916448</c:v>
                </c:pt>
                <c:pt idx="7">
                  <c:v>20.982827875715842</c:v>
                </c:pt>
                <c:pt idx="8">
                  <c:v>21.820875004346831</c:v>
                </c:pt>
                <c:pt idx="9">
                  <c:v>21.60429229200987</c:v>
                </c:pt>
                <c:pt idx="10">
                  <c:v>22.003659922548572</c:v>
                </c:pt>
                <c:pt idx="11">
                  <c:v>21.626841403582773</c:v>
                </c:pt>
                <c:pt idx="12">
                  <c:v>20.617821450309908</c:v>
                </c:pt>
                <c:pt idx="13">
                  <c:v>18.872332175265367</c:v>
                </c:pt>
                <c:pt idx="14">
                  <c:v>14.759836010227948</c:v>
                </c:pt>
                <c:pt idx="15">
                  <c:v>15.211120165234357</c:v>
                </c:pt>
                <c:pt idx="16">
                  <c:v>13.966782210614722</c:v>
                </c:pt>
                <c:pt idx="17">
                  <c:v>13.202272246145153</c:v>
                </c:pt>
                <c:pt idx="18">
                  <c:v>13.145587315035037</c:v>
                </c:pt>
                <c:pt idx="19">
                  <c:v>12.704295481157738</c:v>
                </c:pt>
                <c:pt idx="20">
                  <c:v>13.305436887013045</c:v>
                </c:pt>
                <c:pt idx="21">
                  <c:v>12.664802778741526</c:v>
                </c:pt>
                <c:pt idx="22">
                  <c:v>12.369134546355623</c:v>
                </c:pt>
                <c:pt idx="23">
                  <c:v>12.496735594852177</c:v>
                </c:pt>
                <c:pt idx="24">
                  <c:v>13.243460230056753</c:v>
                </c:pt>
                <c:pt idx="25">
                  <c:v>13.08068275392198</c:v>
                </c:pt>
                <c:pt idx="26">
                  <c:v>12.314327828660979</c:v>
                </c:pt>
                <c:pt idx="27">
                  <c:v>12.721160902637592</c:v>
                </c:pt>
                <c:pt idx="28">
                  <c:v>11.833705865938633</c:v>
                </c:pt>
                <c:pt idx="29">
                  <c:v>11.252466453118666</c:v>
                </c:pt>
              </c:numCache>
            </c:numRef>
          </c:val>
          <c:smooth val="0"/>
          <c:extLst>
            <c:ext xmlns:c16="http://schemas.microsoft.com/office/drawing/2014/chart" uri="{C3380CC4-5D6E-409C-BE32-E72D297353CC}">
              <c16:uniqueId val="{00000007-7D2F-40C9-8A0C-1D7DA045CD80}"/>
            </c:ext>
          </c:extLst>
        </c:ser>
        <c:ser>
          <c:idx val="8"/>
          <c:order val="8"/>
          <c:tx>
            <c:strRef>
              <c:f>Agriculture!$B$11</c:f>
              <c:strCache>
                <c:ptCount val="1"/>
                <c:pt idx="0">
                  <c:v>Thailand</c:v>
                </c:pt>
              </c:strCache>
            </c:strRef>
          </c:tx>
          <c:spPr>
            <a:ln w="28575" cap="rnd">
              <a:solidFill>
                <a:schemeClr val="accent3">
                  <a:lumMod val="60000"/>
                </a:schemeClr>
              </a:solidFill>
              <a:round/>
            </a:ln>
            <a:effectLst/>
          </c:spPr>
          <c:marker>
            <c:symbol val="circle"/>
            <c:size val="5"/>
            <c:spPr>
              <a:solidFill>
                <a:schemeClr val="accent3">
                  <a:lumMod val="60000"/>
                </a:schemeClr>
              </a:solidFill>
              <a:ln w="9525">
                <a:solidFill>
                  <a:schemeClr val="accent3">
                    <a:lumMod val="60000"/>
                  </a:schemeClr>
                </a:solidFill>
              </a:ln>
              <a:effectLst/>
            </c:spPr>
          </c:marker>
          <c:cat>
            <c:strRef>
              <c:f>Agriculture!$C$2:$AF$2</c:f>
              <c:strCache>
                <c:ptCount val="30"/>
                <c:pt idx="0">
                  <c:v>1984</c:v>
                </c:pt>
                <c:pt idx="1">
                  <c:v>1985</c:v>
                </c:pt>
                <c:pt idx="2">
                  <c:v>1986</c:v>
                </c:pt>
                <c:pt idx="3">
                  <c:v>1987</c:v>
                </c:pt>
                <c:pt idx="4">
                  <c:v>1988</c:v>
                </c:pt>
                <c:pt idx="5">
                  <c:v>1989</c:v>
                </c:pt>
                <c:pt idx="6">
                  <c:v>1990</c:v>
                </c:pt>
                <c:pt idx="7">
                  <c:v>1991</c:v>
                </c:pt>
                <c:pt idx="8">
                  <c:v>1992</c:v>
                </c:pt>
                <c:pt idx="9">
                  <c:v>1993</c:v>
                </c:pt>
                <c:pt idx="10">
                  <c:v>1994</c:v>
                </c:pt>
                <c:pt idx="11">
                  <c:v>1995</c:v>
                </c:pt>
                <c:pt idx="12">
                  <c:v>1996</c:v>
                </c:pt>
                <c:pt idx="13">
                  <c:v>1997</c:v>
                </c:pt>
                <c:pt idx="14">
                  <c:v>1998</c:v>
                </c:pt>
                <c:pt idx="15">
                  <c:v>1999</c:v>
                </c:pt>
                <c:pt idx="16">
                  <c:v>2000</c:v>
                </c:pt>
                <c:pt idx="17">
                  <c:v>2001</c:v>
                </c:pt>
                <c:pt idx="18">
                  <c:v>2002</c:v>
                </c:pt>
                <c:pt idx="19">
                  <c:v>2003</c:v>
                </c:pt>
                <c:pt idx="20">
                  <c:v>2004</c:v>
                </c:pt>
                <c:pt idx="21">
                  <c:v>2005</c:v>
                </c:pt>
                <c:pt idx="22">
                  <c:v>2006</c:v>
                </c:pt>
                <c:pt idx="23">
                  <c:v>2007</c:v>
                </c:pt>
                <c:pt idx="24">
                  <c:v>2008</c:v>
                </c:pt>
                <c:pt idx="25">
                  <c:v>2009</c:v>
                </c:pt>
                <c:pt idx="26">
                  <c:v>2010</c:v>
                </c:pt>
                <c:pt idx="27">
                  <c:v>2011</c:v>
                </c:pt>
                <c:pt idx="28">
                  <c:v>2012</c:v>
                </c:pt>
                <c:pt idx="29">
                  <c:v>2013</c:v>
                </c:pt>
              </c:strCache>
            </c:strRef>
          </c:cat>
          <c:val>
            <c:numRef>
              <c:f>Agriculture!$C$11:$AF$11</c:f>
              <c:numCache>
                <c:formatCode>General</c:formatCode>
                <c:ptCount val="30"/>
                <c:pt idx="0">
                  <c:v>17.573856421447207</c:v>
                </c:pt>
                <c:pt idx="1">
                  <c:v>15.809370205056009</c:v>
                </c:pt>
                <c:pt idx="2">
                  <c:v>15.664149896263279</c:v>
                </c:pt>
                <c:pt idx="3">
                  <c:v>15.733437518768683</c:v>
                </c:pt>
                <c:pt idx="4">
                  <c:v>16.178058902343263</c:v>
                </c:pt>
                <c:pt idx="5">
                  <c:v>15.075292612001029</c:v>
                </c:pt>
                <c:pt idx="6">
                  <c:v>12.499627830539911</c:v>
                </c:pt>
                <c:pt idx="7">
                  <c:v>12.649826596191522</c:v>
                </c:pt>
                <c:pt idx="8">
                  <c:v>12.297335744506285</c:v>
                </c:pt>
                <c:pt idx="9">
                  <c:v>8.0278503750185006</c:v>
                </c:pt>
                <c:pt idx="10">
                  <c:v>8.6290385975945263</c:v>
                </c:pt>
                <c:pt idx="11">
                  <c:v>9.0827528108935649</c:v>
                </c:pt>
                <c:pt idx="12">
                  <c:v>9.0650745213269932</c:v>
                </c:pt>
                <c:pt idx="13">
                  <c:v>9.0668341861100537</c:v>
                </c:pt>
                <c:pt idx="14">
                  <c:v>10.262446988328765</c:v>
                </c:pt>
                <c:pt idx="15">
                  <c:v>8.8958230380634262</c:v>
                </c:pt>
                <c:pt idx="16">
                  <c:v>8.5029003971144554</c:v>
                </c:pt>
                <c:pt idx="17">
                  <c:v>8.582504850783339</c:v>
                </c:pt>
                <c:pt idx="18">
                  <c:v>8.6960259485182441</c:v>
                </c:pt>
                <c:pt idx="19">
                  <c:v>9.4445698495971833</c:v>
                </c:pt>
                <c:pt idx="20">
                  <c:v>9.2941733216896498</c:v>
                </c:pt>
                <c:pt idx="21">
                  <c:v>9.1980743351191148</c:v>
                </c:pt>
                <c:pt idx="22">
                  <c:v>9.406123689164712</c:v>
                </c:pt>
                <c:pt idx="23">
                  <c:v>9.3506092290619964</c:v>
                </c:pt>
                <c:pt idx="24">
                  <c:v>10.075438871931935</c:v>
                </c:pt>
                <c:pt idx="25">
                  <c:v>9.7902337550897354</c:v>
                </c:pt>
                <c:pt idx="26">
                  <c:v>10.525167533281133</c:v>
                </c:pt>
                <c:pt idx="27">
                  <c:v>11.594651899982436</c:v>
                </c:pt>
                <c:pt idx="28">
                  <c:v>11.506970278611265</c:v>
                </c:pt>
                <c:pt idx="29">
                  <c:v>11.3206965996722</c:v>
                </c:pt>
              </c:numCache>
            </c:numRef>
          </c:val>
          <c:smooth val="0"/>
          <c:extLst>
            <c:ext xmlns:c16="http://schemas.microsoft.com/office/drawing/2014/chart" uri="{C3380CC4-5D6E-409C-BE32-E72D297353CC}">
              <c16:uniqueId val="{00000008-7D2F-40C9-8A0C-1D7DA045CD80}"/>
            </c:ext>
          </c:extLst>
        </c:ser>
        <c:ser>
          <c:idx val="9"/>
          <c:order val="9"/>
          <c:tx>
            <c:strRef>
              <c:f>Agriculture!$B$12</c:f>
              <c:strCache>
                <c:ptCount val="1"/>
                <c:pt idx="0">
                  <c:v>Turkey</c:v>
                </c:pt>
              </c:strCache>
            </c:strRef>
          </c:tx>
          <c:spPr>
            <a:ln w="28575" cap="rnd">
              <a:solidFill>
                <a:schemeClr val="accent4">
                  <a:lumMod val="60000"/>
                </a:schemeClr>
              </a:solidFill>
              <a:round/>
            </a:ln>
            <a:effectLst/>
          </c:spPr>
          <c:marker>
            <c:symbol val="circle"/>
            <c:size val="5"/>
            <c:spPr>
              <a:solidFill>
                <a:schemeClr val="accent4">
                  <a:lumMod val="60000"/>
                </a:schemeClr>
              </a:solidFill>
              <a:ln w="9525">
                <a:solidFill>
                  <a:schemeClr val="accent4">
                    <a:lumMod val="60000"/>
                  </a:schemeClr>
                </a:solidFill>
              </a:ln>
              <a:effectLst/>
            </c:spPr>
          </c:marker>
          <c:cat>
            <c:strRef>
              <c:f>Agriculture!$C$2:$AF$2</c:f>
              <c:strCache>
                <c:ptCount val="30"/>
                <c:pt idx="0">
                  <c:v>1984</c:v>
                </c:pt>
                <c:pt idx="1">
                  <c:v>1985</c:v>
                </c:pt>
                <c:pt idx="2">
                  <c:v>1986</c:v>
                </c:pt>
                <c:pt idx="3">
                  <c:v>1987</c:v>
                </c:pt>
                <c:pt idx="4">
                  <c:v>1988</c:v>
                </c:pt>
                <c:pt idx="5">
                  <c:v>1989</c:v>
                </c:pt>
                <c:pt idx="6">
                  <c:v>1990</c:v>
                </c:pt>
                <c:pt idx="7">
                  <c:v>1991</c:v>
                </c:pt>
                <c:pt idx="8">
                  <c:v>1992</c:v>
                </c:pt>
                <c:pt idx="9">
                  <c:v>1993</c:v>
                </c:pt>
                <c:pt idx="10">
                  <c:v>1994</c:v>
                </c:pt>
                <c:pt idx="11">
                  <c:v>1995</c:v>
                </c:pt>
                <c:pt idx="12">
                  <c:v>1996</c:v>
                </c:pt>
                <c:pt idx="13">
                  <c:v>1997</c:v>
                </c:pt>
                <c:pt idx="14">
                  <c:v>1998</c:v>
                </c:pt>
                <c:pt idx="15">
                  <c:v>1999</c:v>
                </c:pt>
                <c:pt idx="16">
                  <c:v>2000</c:v>
                </c:pt>
                <c:pt idx="17">
                  <c:v>2001</c:v>
                </c:pt>
                <c:pt idx="18">
                  <c:v>2002</c:v>
                </c:pt>
                <c:pt idx="19">
                  <c:v>2003</c:v>
                </c:pt>
                <c:pt idx="20">
                  <c:v>2004</c:v>
                </c:pt>
                <c:pt idx="21">
                  <c:v>2005</c:v>
                </c:pt>
                <c:pt idx="22">
                  <c:v>2006</c:v>
                </c:pt>
                <c:pt idx="23">
                  <c:v>2007</c:v>
                </c:pt>
                <c:pt idx="24">
                  <c:v>2008</c:v>
                </c:pt>
                <c:pt idx="25">
                  <c:v>2009</c:v>
                </c:pt>
                <c:pt idx="26">
                  <c:v>2010</c:v>
                </c:pt>
                <c:pt idx="27">
                  <c:v>2011</c:v>
                </c:pt>
                <c:pt idx="28">
                  <c:v>2012</c:v>
                </c:pt>
                <c:pt idx="29">
                  <c:v>2013</c:v>
                </c:pt>
              </c:strCache>
            </c:strRef>
          </c:cat>
          <c:val>
            <c:numRef>
              <c:f>Agriculture!$C$12:$AF$12</c:f>
              <c:numCache>
                <c:formatCode>General</c:formatCode>
                <c:ptCount val="30"/>
                <c:pt idx="0">
                  <c:v>21.690417279035589</c:v>
                </c:pt>
                <c:pt idx="1">
                  <c:v>20.258801387231724</c:v>
                </c:pt>
                <c:pt idx="2">
                  <c:v>20.104405989224563</c:v>
                </c:pt>
                <c:pt idx="3">
                  <c:v>18.474045480593251</c:v>
                </c:pt>
                <c:pt idx="4">
                  <c:v>17.845252278584628</c:v>
                </c:pt>
                <c:pt idx="5">
                  <c:v>17.101608881756643</c:v>
                </c:pt>
                <c:pt idx="6">
                  <c:v>18.092899682429138</c:v>
                </c:pt>
                <c:pt idx="7">
                  <c:v>15.804026544021502</c:v>
                </c:pt>
                <c:pt idx="8">
                  <c:v>15.563180719228997</c:v>
                </c:pt>
                <c:pt idx="9">
                  <c:v>16.074866233068384</c:v>
                </c:pt>
                <c:pt idx="10">
                  <c:v>16.025796931148978</c:v>
                </c:pt>
                <c:pt idx="11">
                  <c:v>16.289447665159287</c:v>
                </c:pt>
                <c:pt idx="12">
                  <c:v>17.39455624401257</c:v>
                </c:pt>
                <c:pt idx="13">
                  <c:v>14.965619638218264</c:v>
                </c:pt>
                <c:pt idx="14">
                  <c:v>13.528592416623972</c:v>
                </c:pt>
                <c:pt idx="15">
                  <c:v>11.483828204680528</c:v>
                </c:pt>
                <c:pt idx="16">
                  <c:v>11.259373725155712</c:v>
                </c:pt>
                <c:pt idx="17">
                  <c:v>9.9277025651201924</c:v>
                </c:pt>
                <c:pt idx="18">
                  <c:v>11.633586141235135</c:v>
                </c:pt>
                <c:pt idx="19">
                  <c:v>11.278117280216604</c:v>
                </c:pt>
                <c:pt idx="20">
                  <c:v>10.781206151268551</c:v>
                </c:pt>
                <c:pt idx="21">
                  <c:v>10.598079019756053</c:v>
                </c:pt>
                <c:pt idx="22">
                  <c:v>9.332153690830939</c:v>
                </c:pt>
                <c:pt idx="23">
                  <c:v>8.4840165954563194</c:v>
                </c:pt>
                <c:pt idx="24">
                  <c:v>8.4065117879291353</c:v>
                </c:pt>
                <c:pt idx="25">
                  <c:v>9.116358976033629</c:v>
                </c:pt>
                <c:pt idx="26">
                  <c:v>10.265962489230244</c:v>
                </c:pt>
                <c:pt idx="27">
                  <c:v>9.3615844370056376</c:v>
                </c:pt>
                <c:pt idx="28">
                  <c:v>8.7838726279272521</c:v>
                </c:pt>
                <c:pt idx="29">
                  <c:v>7.6772316627956192</c:v>
                </c:pt>
              </c:numCache>
            </c:numRef>
          </c:val>
          <c:smooth val="0"/>
          <c:extLst>
            <c:ext xmlns:c16="http://schemas.microsoft.com/office/drawing/2014/chart" uri="{C3380CC4-5D6E-409C-BE32-E72D297353CC}">
              <c16:uniqueId val="{00000009-7D2F-40C9-8A0C-1D7DA045CD80}"/>
            </c:ext>
          </c:extLst>
        </c:ser>
        <c:ser>
          <c:idx val="10"/>
          <c:order val="10"/>
          <c:tx>
            <c:strRef>
              <c:f>Agriculture!$B$13</c:f>
              <c:strCache>
                <c:ptCount val="1"/>
                <c:pt idx="0">
                  <c:v>South Africa</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cat>
            <c:strRef>
              <c:f>Agriculture!$C$2:$AF$2</c:f>
              <c:strCache>
                <c:ptCount val="30"/>
                <c:pt idx="0">
                  <c:v>1984</c:v>
                </c:pt>
                <c:pt idx="1">
                  <c:v>1985</c:v>
                </c:pt>
                <c:pt idx="2">
                  <c:v>1986</c:v>
                </c:pt>
                <c:pt idx="3">
                  <c:v>1987</c:v>
                </c:pt>
                <c:pt idx="4">
                  <c:v>1988</c:v>
                </c:pt>
                <c:pt idx="5">
                  <c:v>1989</c:v>
                </c:pt>
                <c:pt idx="6">
                  <c:v>1990</c:v>
                </c:pt>
                <c:pt idx="7">
                  <c:v>1991</c:v>
                </c:pt>
                <c:pt idx="8">
                  <c:v>1992</c:v>
                </c:pt>
                <c:pt idx="9">
                  <c:v>1993</c:v>
                </c:pt>
                <c:pt idx="10">
                  <c:v>1994</c:v>
                </c:pt>
                <c:pt idx="11">
                  <c:v>1995</c:v>
                </c:pt>
                <c:pt idx="12">
                  <c:v>1996</c:v>
                </c:pt>
                <c:pt idx="13">
                  <c:v>1997</c:v>
                </c:pt>
                <c:pt idx="14">
                  <c:v>1998</c:v>
                </c:pt>
                <c:pt idx="15">
                  <c:v>1999</c:v>
                </c:pt>
                <c:pt idx="16">
                  <c:v>2000</c:v>
                </c:pt>
                <c:pt idx="17">
                  <c:v>2001</c:v>
                </c:pt>
                <c:pt idx="18">
                  <c:v>2002</c:v>
                </c:pt>
                <c:pt idx="19">
                  <c:v>2003</c:v>
                </c:pt>
                <c:pt idx="20">
                  <c:v>2004</c:v>
                </c:pt>
                <c:pt idx="21">
                  <c:v>2005</c:v>
                </c:pt>
                <c:pt idx="22">
                  <c:v>2006</c:v>
                </c:pt>
                <c:pt idx="23">
                  <c:v>2007</c:v>
                </c:pt>
                <c:pt idx="24">
                  <c:v>2008</c:v>
                </c:pt>
                <c:pt idx="25">
                  <c:v>2009</c:v>
                </c:pt>
                <c:pt idx="26">
                  <c:v>2010</c:v>
                </c:pt>
                <c:pt idx="27">
                  <c:v>2011</c:v>
                </c:pt>
                <c:pt idx="28">
                  <c:v>2012</c:v>
                </c:pt>
                <c:pt idx="29">
                  <c:v>2013</c:v>
                </c:pt>
              </c:strCache>
            </c:strRef>
          </c:cat>
          <c:val>
            <c:numRef>
              <c:f>Agriculture!$C$13:$AF$13</c:f>
              <c:numCache>
                <c:formatCode>General</c:formatCode>
                <c:ptCount val="30"/>
                <c:pt idx="0">
                  <c:v>4.7942090502539223</c:v>
                </c:pt>
                <c:pt idx="1">
                  <c:v>5.1786758468469207</c:v>
                </c:pt>
                <c:pt idx="2">
                  <c:v>4.9607124517259082</c:v>
                </c:pt>
                <c:pt idx="3">
                  <c:v>5.5818063771461546</c:v>
                </c:pt>
                <c:pt idx="4">
                  <c:v>5.8223647602763977</c:v>
                </c:pt>
                <c:pt idx="5">
                  <c:v>5.4037419990152626</c:v>
                </c:pt>
                <c:pt idx="6">
                  <c:v>4.6190682540964945</c:v>
                </c:pt>
                <c:pt idx="7">
                  <c:v>4.549975770868933</c:v>
                </c:pt>
                <c:pt idx="8">
                  <c:v>3.7963453240652076</c:v>
                </c:pt>
                <c:pt idx="9">
                  <c:v>4.1653348794453819</c:v>
                </c:pt>
                <c:pt idx="10">
                  <c:v>4.6044115704662527</c:v>
                </c:pt>
                <c:pt idx="11">
                  <c:v>3.8643814277189201</c:v>
                </c:pt>
                <c:pt idx="12">
                  <c:v>4.2080164637613455</c:v>
                </c:pt>
                <c:pt idx="13">
                  <c:v>4.0280566096866988</c:v>
                </c:pt>
                <c:pt idx="14">
                  <c:v>3.7837051294611213</c:v>
                </c:pt>
                <c:pt idx="15">
                  <c:v>3.5567141219802014</c:v>
                </c:pt>
                <c:pt idx="16">
                  <c:v>3.2862009707859756</c:v>
                </c:pt>
                <c:pt idx="17">
                  <c:v>3.5257431220346374</c:v>
                </c:pt>
                <c:pt idx="18">
                  <c:v>3.7051793545323397</c:v>
                </c:pt>
                <c:pt idx="19">
                  <c:v>3.3488665393887183</c:v>
                </c:pt>
                <c:pt idx="20">
                  <c:v>3.0636285145838809</c:v>
                </c:pt>
                <c:pt idx="21">
                  <c:v>2.6661421320833436</c:v>
                </c:pt>
                <c:pt idx="22">
                  <c:v>2.611341591661537</c:v>
                </c:pt>
                <c:pt idx="23">
                  <c:v>2.9586310561286719</c:v>
                </c:pt>
                <c:pt idx="24">
                  <c:v>3.1697228603914489</c:v>
                </c:pt>
                <c:pt idx="25">
                  <c:v>2.9881263651957322</c:v>
                </c:pt>
                <c:pt idx="26">
                  <c:v>2.6296064709041791</c:v>
                </c:pt>
                <c:pt idx="27">
                  <c:v>2.5365218029657908</c:v>
                </c:pt>
                <c:pt idx="28">
                  <c:v>2.4069182533612876</c:v>
                </c:pt>
                <c:pt idx="29">
                  <c:v>2.332734712955927</c:v>
                </c:pt>
              </c:numCache>
            </c:numRef>
          </c:val>
          <c:smooth val="0"/>
          <c:extLst>
            <c:ext xmlns:c16="http://schemas.microsoft.com/office/drawing/2014/chart" uri="{C3380CC4-5D6E-409C-BE32-E72D297353CC}">
              <c16:uniqueId val="{0000000A-7D2F-40C9-8A0C-1D7DA045CD80}"/>
            </c:ext>
          </c:extLst>
        </c:ser>
        <c:dLbls>
          <c:showLegendKey val="0"/>
          <c:showVal val="0"/>
          <c:showCatName val="0"/>
          <c:showSerName val="0"/>
          <c:showPercent val="0"/>
          <c:showBubbleSize val="0"/>
        </c:dLbls>
        <c:marker val="1"/>
        <c:smooth val="0"/>
        <c:axId val="130648704"/>
        <c:axId val="130654976"/>
      </c:lineChart>
      <c:catAx>
        <c:axId val="1306487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7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30654976"/>
        <c:crosses val="autoZero"/>
        <c:auto val="1"/>
        <c:lblAlgn val="ctr"/>
        <c:lblOffset val="100"/>
        <c:noMultiLvlLbl val="0"/>
      </c:catAx>
      <c:valAx>
        <c:axId val="130654976"/>
        <c:scaling>
          <c:orientation val="minMax"/>
        </c:scaling>
        <c:delete val="0"/>
        <c:axPos val="l"/>
        <c:majorGridlines>
          <c:spPr>
            <a:ln w="317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Percentage of GDP</a:t>
                </a:r>
              </a:p>
            </c:rich>
          </c:tx>
          <c:layout>
            <c:manualLayout>
              <c:xMode val="edge"/>
              <c:yMode val="edge"/>
              <c:x val="1.2595591542959963E-2"/>
              <c:y val="0.28841745618087211"/>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306487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8403077953534739E-2"/>
          <c:y val="4.7863247863247867E-2"/>
          <c:w val="0.90466319306525855"/>
          <c:h val="0.80222814455885327"/>
        </c:manualLayout>
      </c:layout>
      <c:scatterChart>
        <c:scatterStyle val="smoothMarker"/>
        <c:varyColors val="0"/>
        <c:ser>
          <c:idx val="0"/>
          <c:order val="0"/>
          <c:spPr>
            <a:ln w="19050" cap="rnd">
              <a:solidFill>
                <a:schemeClr val="accent1"/>
              </a:solidFill>
              <a:round/>
            </a:ln>
            <a:effectLst/>
          </c:spPr>
          <c:marker>
            <c:symbol val="none"/>
          </c:marker>
          <c:dLbls>
            <c:dLbl>
              <c:idx val="0"/>
              <c:tx>
                <c:rich>
                  <a:bodyPr/>
                  <a:lstStyle/>
                  <a:p>
                    <a:fld id="{5EC0717C-B092-4592-ADC6-11C5AC749BC5}"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0-5F81-42B7-9078-8F66FB4C97BA}"/>
                </c:ext>
              </c:extLst>
            </c:dLbl>
            <c:dLbl>
              <c:idx val="1"/>
              <c:tx>
                <c:rich>
                  <a:bodyPr/>
                  <a:lstStyle/>
                  <a:p>
                    <a:fld id="{175FCD1C-8AE6-442D-98E4-805DCA046C37}"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1-5F81-42B7-9078-8F66FB4C97BA}"/>
                </c:ext>
              </c:extLst>
            </c:dLbl>
            <c:dLbl>
              <c:idx val="2"/>
              <c:tx>
                <c:rich>
                  <a:bodyPr/>
                  <a:lstStyle/>
                  <a:p>
                    <a:fld id="{831F4C64-D722-44FA-A574-0AD9A0595198}"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2-5F81-42B7-9078-8F66FB4C97BA}"/>
                </c:ext>
              </c:extLst>
            </c:dLbl>
            <c:dLbl>
              <c:idx val="3"/>
              <c:tx>
                <c:rich>
                  <a:bodyPr/>
                  <a:lstStyle/>
                  <a:p>
                    <a:fld id="{1975A75E-0D03-41C7-8880-6933D63CB483}"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3-5F81-42B7-9078-8F66FB4C97BA}"/>
                </c:ext>
              </c:extLst>
            </c:dLbl>
            <c:dLbl>
              <c:idx val="4"/>
              <c:tx>
                <c:rich>
                  <a:bodyPr/>
                  <a:lstStyle/>
                  <a:p>
                    <a:fld id="{C3AA714B-AC0B-4419-B5FC-07D4416E5638}"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4-5F81-42B7-9078-8F66FB4C97BA}"/>
                </c:ext>
              </c:extLst>
            </c:dLbl>
            <c:dLbl>
              <c:idx val="5"/>
              <c:tx>
                <c:rich>
                  <a:bodyPr/>
                  <a:lstStyle/>
                  <a:p>
                    <a:fld id="{1CB9D9A7-C084-418A-B69D-0CB67BDE7645}"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5-5F81-42B7-9078-8F66FB4C97BA}"/>
                </c:ext>
              </c:extLst>
            </c:dLbl>
            <c:dLbl>
              <c:idx val="6"/>
              <c:tx>
                <c:rich>
                  <a:bodyPr/>
                  <a:lstStyle/>
                  <a:p>
                    <a:fld id="{4F3C7CAF-2C2C-48FB-84D0-2DC1111E3A82}"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6-5F81-42B7-9078-8F66FB4C97BA}"/>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showLeaderLines val="0"/>
            <c:extLst>
              <c:ext xmlns:c15="http://schemas.microsoft.com/office/drawing/2012/chart" uri="{CE6537A1-D6FC-4f65-9D91-7224C49458BB}">
                <c15:showDataLabelsRange val="1"/>
                <c15:showLeaderLines val="0"/>
              </c:ext>
            </c:extLst>
          </c:dLbls>
          <c:xVal>
            <c:numRef>
              <c:f>psch_Sample_2!$C$2:$C$8</c:f>
              <c:numCache>
                <c:formatCode>General</c:formatCode>
                <c:ptCount val="7"/>
                <c:pt idx="0">
                  <c:v>27.096848999999999</c:v>
                </c:pt>
                <c:pt idx="1">
                  <c:v>28.968463</c:v>
                </c:pt>
                <c:pt idx="2">
                  <c:v>32.752952999999998</c:v>
                </c:pt>
                <c:pt idx="3">
                  <c:v>53.315967000000001</c:v>
                </c:pt>
                <c:pt idx="4">
                  <c:v>78.138191000000006</c:v>
                </c:pt>
                <c:pt idx="5">
                  <c:v>115.65551000000001</c:v>
                </c:pt>
                <c:pt idx="6">
                  <c:v>120.35278</c:v>
                </c:pt>
              </c:numCache>
            </c:numRef>
          </c:xVal>
          <c:yVal>
            <c:numRef>
              <c:f>psch_Sample_2!$D$2:$D$8</c:f>
              <c:numCache>
                <c:formatCode>General</c:formatCode>
                <c:ptCount val="7"/>
                <c:pt idx="0">
                  <c:v>0.86587289000000001</c:v>
                </c:pt>
                <c:pt idx="1">
                  <c:v>0.94335405999999999</c:v>
                </c:pt>
                <c:pt idx="2">
                  <c:v>0.97558507000000005</c:v>
                </c:pt>
                <c:pt idx="3">
                  <c:v>1.0440137</c:v>
                </c:pt>
                <c:pt idx="4">
                  <c:v>1.0228173</c:v>
                </c:pt>
                <c:pt idx="5">
                  <c:v>0.96776443000000001</c:v>
                </c:pt>
                <c:pt idx="6">
                  <c:v>0.96276930999999999</c:v>
                </c:pt>
              </c:numCache>
            </c:numRef>
          </c:yVal>
          <c:smooth val="1"/>
          <c:extLst>
            <c:ext xmlns:c15="http://schemas.microsoft.com/office/drawing/2012/chart" uri="{02D57815-91ED-43cb-92C2-25804820EDAC}">
              <c15:datalabelsRange>
                <c15:f>psch_Sample_2!$A$2:$A$8</c15:f>
                <c15:dlblRangeCache>
                  <c:ptCount val="7"/>
                  <c:pt idx="0">
                    <c:v>Russia</c:v>
                  </c:pt>
                  <c:pt idx="1">
                    <c:v>Indonesia</c:v>
                  </c:pt>
                  <c:pt idx="2">
                    <c:v>Columbia</c:v>
                  </c:pt>
                  <c:pt idx="3">
                    <c:v>Morocco</c:v>
                  </c:pt>
                  <c:pt idx="4">
                    <c:v>Chile</c:v>
                  </c:pt>
                  <c:pt idx="5">
                    <c:v>Malaysia</c:v>
                  </c:pt>
                  <c:pt idx="6">
                    <c:v>Thailand</c:v>
                  </c:pt>
                </c15:dlblRangeCache>
              </c15:datalabelsRange>
            </c:ext>
            <c:ext xmlns:c16="http://schemas.microsoft.com/office/drawing/2014/chart" uri="{C3380CC4-5D6E-409C-BE32-E72D297353CC}">
              <c16:uniqueId val="{00000007-5F81-42B7-9078-8F66FB4C97BA}"/>
            </c:ext>
          </c:extLst>
        </c:ser>
        <c:dLbls>
          <c:showLegendKey val="0"/>
          <c:showVal val="0"/>
          <c:showCatName val="0"/>
          <c:showSerName val="0"/>
          <c:showPercent val="0"/>
          <c:showBubbleSize val="0"/>
        </c:dLbls>
        <c:axId val="82674432"/>
        <c:axId val="82676352"/>
      </c:scatterChart>
      <c:valAx>
        <c:axId val="82674432"/>
        <c:scaling>
          <c:orientation val="minMax"/>
          <c:max val="140"/>
          <c:min val="12"/>
        </c:scaling>
        <c:delete val="0"/>
        <c:axPos val="b"/>
        <c:title>
          <c:tx>
            <c:rich>
              <a:bodyPr rot="0" spcFirstLastPara="1" vertOverflow="ellipsis" vert="horz" wrap="square" anchor="ctr" anchorCtr="1"/>
              <a:lstStyle/>
              <a:p>
                <a:pPr>
                  <a:defRPr sz="1200" b="1" i="0" u="none" strike="noStrike" kern="1200" baseline="0">
                    <a:solidFill>
                      <a:schemeClr val="tx1">
                        <a:lumMod val="65000"/>
                        <a:lumOff val="35000"/>
                      </a:schemeClr>
                    </a:solidFill>
                    <a:latin typeface="+mn-lt"/>
                    <a:ea typeface="+mn-ea"/>
                    <a:cs typeface="+mn-cs"/>
                  </a:defRPr>
                </a:pPr>
                <a:r>
                  <a:rPr lang="en-US" sz="1200" b="1"/>
                  <a:t>Average</a:t>
                </a:r>
                <a:r>
                  <a:rPr lang="en-US" sz="1200" b="1" baseline="0"/>
                  <a:t> Private Sector Credit (% GDP)</a:t>
                </a:r>
              </a:p>
              <a:p>
                <a:pPr>
                  <a:defRPr sz="1200" b="1" i="0" u="none" strike="noStrike" kern="1200" baseline="0">
                    <a:solidFill>
                      <a:schemeClr val="tx1">
                        <a:lumMod val="65000"/>
                        <a:lumOff val="35000"/>
                      </a:schemeClr>
                    </a:solidFill>
                    <a:latin typeface="+mn-lt"/>
                    <a:ea typeface="+mn-ea"/>
                    <a:cs typeface="+mn-cs"/>
                  </a:defRPr>
                </a:pPr>
                <a:r>
                  <a:rPr lang="en-US" sz="800" b="0" baseline="0">
                    <a:latin typeface="Times New Roman" panose="02020603050405020304" pitchFamily="18" charset="0"/>
                    <a:cs typeface="Times New Roman" panose="02020603050405020304" pitchFamily="18" charset="0"/>
                  </a:rPr>
                  <a:t>Source of data: Author's calculation based on Penn World table 9.0 &amp; Global Financial Development Data.</a:t>
                </a:r>
                <a:endParaRPr lang="en-US" sz="800" b="0">
                  <a:latin typeface="Times New Roman" panose="02020603050405020304" pitchFamily="18" charset="0"/>
                  <a:cs typeface="Times New Roman" panose="02020603050405020304" pitchFamily="18" charset="0"/>
                </a:endParaRP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2676352"/>
        <c:crosses val="autoZero"/>
        <c:crossBetween val="midCat"/>
      </c:valAx>
      <c:valAx>
        <c:axId val="82676352"/>
        <c:scaling>
          <c:orientation val="minMax"/>
          <c:min val="0.85000000000000009"/>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b="1"/>
                  <a:t>Average TFP Growth</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2674432"/>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8403077953534739E-2"/>
          <c:y val="4.7863247863247867E-2"/>
          <c:w val="0.90466319306525855"/>
          <c:h val="0.80222814455885327"/>
        </c:manualLayout>
      </c:layout>
      <c:scatterChart>
        <c:scatterStyle val="smoothMarker"/>
        <c:varyColors val="0"/>
        <c:ser>
          <c:idx val="0"/>
          <c:order val="0"/>
          <c:spPr>
            <a:ln w="19050" cap="rnd">
              <a:solidFill>
                <a:schemeClr val="accent1"/>
              </a:solidFill>
              <a:round/>
            </a:ln>
            <a:effectLst/>
          </c:spPr>
          <c:marker>
            <c:symbol val="none"/>
          </c:marker>
          <c:dLbls>
            <c:dLbl>
              <c:idx val="0"/>
              <c:tx>
                <c:rich>
                  <a:bodyPr/>
                  <a:lstStyle/>
                  <a:p>
                    <a:fld id="{272676AF-856F-4EDB-AD10-6A6E783276AA}"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0-367C-4F25-B6F1-C7CF11E98F43}"/>
                </c:ext>
              </c:extLst>
            </c:dLbl>
            <c:dLbl>
              <c:idx val="1"/>
              <c:tx>
                <c:rich>
                  <a:bodyPr/>
                  <a:lstStyle/>
                  <a:p>
                    <a:fld id="{5C2F82A4-C85E-4A07-8101-A638BC087287}"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1-367C-4F25-B6F1-C7CF11E98F43}"/>
                </c:ext>
              </c:extLst>
            </c:dLbl>
            <c:dLbl>
              <c:idx val="2"/>
              <c:tx>
                <c:rich>
                  <a:bodyPr/>
                  <a:lstStyle/>
                  <a:p>
                    <a:fld id="{CB30148E-0559-4C9A-94D8-61963D189023}"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2-367C-4F25-B6F1-C7CF11E98F43}"/>
                </c:ext>
              </c:extLst>
            </c:dLbl>
            <c:dLbl>
              <c:idx val="3"/>
              <c:tx>
                <c:rich>
                  <a:bodyPr/>
                  <a:lstStyle/>
                  <a:p>
                    <a:fld id="{B046390B-3A15-425F-A382-2E2D1CCFEB61}"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3-367C-4F25-B6F1-C7CF11E98F43}"/>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showLeaderLines val="0"/>
            <c:extLst>
              <c:ext xmlns:c15="http://schemas.microsoft.com/office/drawing/2012/chart" uri="{CE6537A1-D6FC-4f65-9D91-7224C49458BB}">
                <c15:showDataLabelsRange val="1"/>
                <c15:showLeaderLines val="0"/>
              </c:ext>
            </c:extLst>
          </c:dLbls>
          <c:xVal>
            <c:numRef>
              <c:f>psch_Sample_1!$C$2:$C$5</c:f>
              <c:numCache>
                <c:formatCode>General</c:formatCode>
                <c:ptCount val="4"/>
                <c:pt idx="0">
                  <c:v>14.782681999999999</c:v>
                </c:pt>
                <c:pt idx="1">
                  <c:v>20.470405</c:v>
                </c:pt>
                <c:pt idx="2">
                  <c:v>70.962148999999997</c:v>
                </c:pt>
                <c:pt idx="3">
                  <c:v>132.48722000000001</c:v>
                </c:pt>
              </c:numCache>
            </c:numRef>
          </c:xVal>
          <c:yVal>
            <c:numRef>
              <c:f>psch_Sample_1!$D$2:$D$5</c:f>
              <c:numCache>
                <c:formatCode>General</c:formatCode>
                <c:ptCount val="4"/>
                <c:pt idx="0">
                  <c:v>0.85381014</c:v>
                </c:pt>
                <c:pt idx="1">
                  <c:v>1.0645233999999999</c:v>
                </c:pt>
                <c:pt idx="2">
                  <c:v>1.1011595999999999</c:v>
                </c:pt>
                <c:pt idx="3">
                  <c:v>1.0082249999999999</c:v>
                </c:pt>
              </c:numCache>
            </c:numRef>
          </c:yVal>
          <c:smooth val="1"/>
          <c:extLst>
            <c:ext xmlns:c15="http://schemas.microsoft.com/office/drawing/2012/chart" uri="{02D57815-91ED-43cb-92C2-25804820EDAC}">
              <c15:datalabelsRange>
                <c15:f>psch_Sample_1!$A$2:$A$5</c15:f>
                <c15:dlblRangeCache>
                  <c:ptCount val="4"/>
                  <c:pt idx="0">
                    <c:v>Nigeria</c:v>
                  </c:pt>
                  <c:pt idx="1">
                    <c:v>Mexico</c:v>
                  </c:pt>
                  <c:pt idx="2">
                    <c:v>Greece</c:v>
                  </c:pt>
                  <c:pt idx="3">
                    <c:v>South Africa</c:v>
                  </c:pt>
                </c15:dlblRangeCache>
              </c15:datalabelsRange>
            </c:ext>
            <c:ext xmlns:c16="http://schemas.microsoft.com/office/drawing/2014/chart" uri="{C3380CC4-5D6E-409C-BE32-E72D297353CC}">
              <c16:uniqueId val="{00000004-367C-4F25-B6F1-C7CF11E98F43}"/>
            </c:ext>
          </c:extLst>
        </c:ser>
        <c:dLbls>
          <c:showLegendKey val="0"/>
          <c:showVal val="0"/>
          <c:showCatName val="0"/>
          <c:showSerName val="0"/>
          <c:showPercent val="0"/>
          <c:showBubbleSize val="0"/>
        </c:dLbls>
        <c:axId val="132887680"/>
        <c:axId val="132889600"/>
      </c:scatterChart>
      <c:valAx>
        <c:axId val="132887680"/>
        <c:scaling>
          <c:orientation val="minMax"/>
          <c:max val="140"/>
          <c:min val="0"/>
        </c:scaling>
        <c:delete val="0"/>
        <c:axPos val="b"/>
        <c:title>
          <c:tx>
            <c:rich>
              <a:bodyPr rot="0" spcFirstLastPara="1" vertOverflow="ellipsis" vert="horz" wrap="square" anchor="ctr" anchorCtr="1"/>
              <a:lstStyle/>
              <a:p>
                <a:pPr>
                  <a:defRPr sz="1200" b="1" i="0" u="none" strike="noStrike" kern="1200" baseline="0">
                    <a:solidFill>
                      <a:schemeClr val="tx1">
                        <a:lumMod val="65000"/>
                        <a:lumOff val="35000"/>
                      </a:schemeClr>
                    </a:solidFill>
                    <a:latin typeface="+mn-lt"/>
                    <a:ea typeface="+mn-ea"/>
                    <a:cs typeface="+mn-cs"/>
                  </a:defRPr>
                </a:pPr>
                <a:r>
                  <a:rPr lang="en-US" sz="1200" b="1"/>
                  <a:t>Average</a:t>
                </a:r>
                <a:r>
                  <a:rPr lang="en-US" sz="1200" b="1" baseline="0"/>
                  <a:t> Private Sector Credit (% GDP) </a:t>
                </a:r>
              </a:p>
              <a:p>
                <a:pPr>
                  <a:defRPr sz="1200" b="1" i="0" u="none" strike="noStrike" kern="1200" baseline="0">
                    <a:solidFill>
                      <a:schemeClr val="tx1">
                        <a:lumMod val="65000"/>
                        <a:lumOff val="35000"/>
                      </a:schemeClr>
                    </a:solidFill>
                    <a:latin typeface="+mn-lt"/>
                    <a:ea typeface="+mn-ea"/>
                    <a:cs typeface="+mn-cs"/>
                  </a:defRPr>
                </a:pPr>
                <a:r>
                  <a:rPr lang="en-US" sz="800" b="1" baseline="0">
                    <a:latin typeface="Times New Roman" panose="02020603050405020304" pitchFamily="18" charset="0"/>
                    <a:cs typeface="Times New Roman" panose="02020603050405020304" pitchFamily="18" charset="0"/>
                  </a:rPr>
                  <a:t>Source of data: Author's calculation based on Penn World table 9.0 &amp; Global Financial Data</a:t>
                </a:r>
                <a:endParaRPr lang="en-US" sz="800" b="1">
                  <a:latin typeface="Times New Roman" panose="02020603050405020304" pitchFamily="18" charset="0"/>
                  <a:cs typeface="Times New Roman" panose="02020603050405020304" pitchFamily="18" charset="0"/>
                </a:endParaRP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2889600"/>
        <c:crosses val="autoZero"/>
        <c:crossBetween val="midCat"/>
        <c:majorUnit val="30"/>
      </c:valAx>
      <c:valAx>
        <c:axId val="132889600"/>
        <c:scaling>
          <c:orientation val="minMax"/>
          <c:min val="0.85000000000000009"/>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b="1"/>
                  <a:t>Average TFP Growth</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2887680"/>
        <c:crosses val="autoZero"/>
        <c:crossBetween val="midCat"/>
        <c:majorUnit val="0.1"/>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0"/>
          <c:order val="0"/>
          <c:spPr>
            <a:ln w="19050" cap="rnd">
              <a:solidFill>
                <a:schemeClr val="accent1"/>
              </a:solidFill>
              <a:round/>
            </a:ln>
            <a:effectLst/>
          </c:spPr>
          <c:marker>
            <c:symbol val="none"/>
          </c:marker>
          <c:dLbls>
            <c:dLbl>
              <c:idx val="0"/>
              <c:tx>
                <c:rich>
                  <a:bodyPr/>
                  <a:lstStyle/>
                  <a:p>
                    <a:fld id="{CFB906C3-3AA0-4AAF-84CD-8D93B238EAB1}"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0-4B0E-48FC-BE9C-C8E05BE24E7E}"/>
                </c:ext>
              </c:extLst>
            </c:dLbl>
            <c:dLbl>
              <c:idx val="1"/>
              <c:tx>
                <c:rich>
                  <a:bodyPr/>
                  <a:lstStyle/>
                  <a:p>
                    <a:fld id="{195D99A6-BD4C-42FB-AA59-8D1CB56C6130}"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1-4B0E-48FC-BE9C-C8E05BE24E7E}"/>
                </c:ext>
              </c:extLst>
            </c:dLbl>
            <c:dLbl>
              <c:idx val="2"/>
              <c:tx>
                <c:rich>
                  <a:bodyPr/>
                  <a:lstStyle/>
                  <a:p>
                    <a:fld id="{247782A6-1198-403C-9245-7CFD303AEB2C}"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2-4B0E-48FC-BE9C-C8E05BE24E7E}"/>
                </c:ext>
              </c:extLst>
            </c:dLbl>
            <c:dLbl>
              <c:idx val="3"/>
              <c:tx>
                <c:rich>
                  <a:bodyPr/>
                  <a:lstStyle/>
                  <a:p>
                    <a:fld id="{7EBA714E-7B2A-4714-92A5-52E852A1EEF2}"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3-4B0E-48FC-BE9C-C8E05BE24E7E}"/>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showLeaderLines val="0"/>
            <c:extLst>
              <c:ext xmlns:c15="http://schemas.microsoft.com/office/drawing/2012/chart" uri="{CE6537A1-D6FC-4f65-9D91-7224C49458BB}">
                <c15:showDataLabelsRange val="1"/>
                <c15:showLeaderLines val="1"/>
                <c15:leaderLines>
                  <c:spPr>
                    <a:ln w="9525" cap="flat" cmpd="sng" algn="ctr">
                      <a:solidFill>
                        <a:schemeClr val="tx1">
                          <a:lumMod val="35000"/>
                          <a:lumOff val="65000"/>
                        </a:schemeClr>
                      </a:solidFill>
                      <a:round/>
                    </a:ln>
                    <a:effectLst/>
                  </c:spPr>
                </c15:leaderLines>
              </c:ext>
            </c:extLst>
          </c:dLbls>
          <c:xVal>
            <c:numRef>
              <c:f>smc_Sample_1!$C$2:$C$5</c:f>
              <c:numCache>
                <c:formatCode>General</c:formatCode>
                <c:ptCount val="4"/>
                <c:pt idx="0">
                  <c:v>18.645994999999999</c:v>
                </c:pt>
                <c:pt idx="1">
                  <c:v>27.654517999999999</c:v>
                </c:pt>
                <c:pt idx="2">
                  <c:v>46.371302</c:v>
                </c:pt>
                <c:pt idx="3">
                  <c:v>188.58748</c:v>
                </c:pt>
              </c:numCache>
            </c:numRef>
          </c:xVal>
          <c:yVal>
            <c:numRef>
              <c:f>smc_Sample_1!$D$2:$D$5</c:f>
              <c:numCache>
                <c:formatCode>General</c:formatCode>
                <c:ptCount val="4"/>
                <c:pt idx="0">
                  <c:v>0.85381014</c:v>
                </c:pt>
                <c:pt idx="1">
                  <c:v>1.0645233999999999</c:v>
                </c:pt>
                <c:pt idx="2">
                  <c:v>1.1011595999999999</c:v>
                </c:pt>
                <c:pt idx="3">
                  <c:v>1.0082249999999999</c:v>
                </c:pt>
              </c:numCache>
            </c:numRef>
          </c:yVal>
          <c:smooth val="1"/>
          <c:extLst>
            <c:ext xmlns:c15="http://schemas.microsoft.com/office/drawing/2012/chart" uri="{02D57815-91ED-43cb-92C2-25804820EDAC}">
              <c15:datalabelsRange>
                <c15:f>smc_Sample_1!$A$2:$A$5</c15:f>
                <c15:dlblRangeCache>
                  <c:ptCount val="4"/>
                  <c:pt idx="0">
                    <c:v>Nigeria</c:v>
                  </c:pt>
                  <c:pt idx="1">
                    <c:v>Mexico</c:v>
                  </c:pt>
                  <c:pt idx="2">
                    <c:v>Greece</c:v>
                  </c:pt>
                  <c:pt idx="3">
                    <c:v>South Africa</c:v>
                  </c:pt>
                </c15:dlblRangeCache>
              </c15:datalabelsRange>
            </c:ext>
            <c:ext xmlns:c16="http://schemas.microsoft.com/office/drawing/2014/chart" uri="{C3380CC4-5D6E-409C-BE32-E72D297353CC}">
              <c16:uniqueId val="{00000004-4B0E-48FC-BE9C-C8E05BE24E7E}"/>
            </c:ext>
          </c:extLst>
        </c:ser>
        <c:dLbls>
          <c:showLegendKey val="0"/>
          <c:showVal val="0"/>
          <c:showCatName val="0"/>
          <c:showSerName val="0"/>
          <c:showPercent val="0"/>
          <c:showBubbleSize val="0"/>
        </c:dLbls>
        <c:axId val="133064192"/>
        <c:axId val="133066112"/>
      </c:scatterChart>
      <c:valAx>
        <c:axId val="133064192"/>
        <c:scaling>
          <c:orientation val="minMax"/>
          <c:max val="200"/>
          <c:min val="0"/>
        </c:scaling>
        <c:delete val="0"/>
        <c:axPos val="b"/>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200" b="1" i="0" u="none" strike="noStrike" kern="1200" baseline="0">
                    <a:solidFill>
                      <a:sysClr val="windowText" lastClr="000000">
                        <a:lumMod val="65000"/>
                        <a:lumOff val="35000"/>
                      </a:sysClr>
                    </a:solidFill>
                    <a:latin typeface="+mn-lt"/>
                    <a:ea typeface="+mn-ea"/>
                    <a:cs typeface="+mn-cs"/>
                  </a:defRPr>
                </a:pPr>
                <a:r>
                  <a:rPr lang="en-US" sz="1200" b="1"/>
                  <a:t>Average Stock Marker Capitalization (% GDP)</a:t>
                </a:r>
              </a:p>
              <a:p>
                <a:pPr marL="0" marR="0" lvl="0" indent="0" algn="ctr" defTabSz="914400" rtl="0" eaLnBrk="1" fontAlgn="auto" latinLnBrk="0" hangingPunct="1">
                  <a:lnSpc>
                    <a:spcPct val="100000"/>
                  </a:lnSpc>
                  <a:spcBef>
                    <a:spcPts val="0"/>
                  </a:spcBef>
                  <a:spcAft>
                    <a:spcPts val="0"/>
                  </a:spcAft>
                  <a:buClrTx/>
                  <a:buSzTx/>
                  <a:buFontTx/>
                  <a:buNone/>
                  <a:tabLst/>
                  <a:defRPr sz="1200" b="1" i="0" u="none" strike="noStrike" kern="1200" baseline="0">
                    <a:solidFill>
                      <a:sysClr val="windowText" lastClr="000000">
                        <a:lumMod val="65000"/>
                        <a:lumOff val="35000"/>
                      </a:sysClr>
                    </a:solidFill>
                    <a:latin typeface="+mn-lt"/>
                    <a:ea typeface="+mn-ea"/>
                    <a:cs typeface="+mn-cs"/>
                  </a:defRPr>
                </a:pPr>
                <a:r>
                  <a:rPr lang="en-US" sz="800" b="1" i="0" baseline="0">
                    <a:effectLst/>
                    <a:latin typeface="Times New Roman" panose="02020603050405020304" pitchFamily="18" charset="0"/>
                    <a:cs typeface="Times New Roman" panose="02020603050405020304" pitchFamily="18" charset="0"/>
                  </a:rPr>
                  <a:t>Source of data: Author's calculation based on Penn World table 9.0 &amp; Global Financial Data</a:t>
                </a:r>
                <a:endParaRPr lang="en-US" sz="800">
                  <a:effectLst/>
                  <a:latin typeface="Times New Roman" panose="02020603050405020304" pitchFamily="18" charset="0"/>
                  <a:cs typeface="Times New Roman" panose="02020603050405020304" pitchFamily="18" charset="0"/>
                </a:endParaRPr>
              </a:p>
              <a:p>
                <a:pPr marL="0" marR="0" lvl="0" indent="0" algn="ctr" defTabSz="914400" rtl="0" eaLnBrk="1" fontAlgn="auto" latinLnBrk="0" hangingPunct="1">
                  <a:lnSpc>
                    <a:spcPct val="100000"/>
                  </a:lnSpc>
                  <a:spcBef>
                    <a:spcPts val="0"/>
                  </a:spcBef>
                  <a:spcAft>
                    <a:spcPts val="0"/>
                  </a:spcAft>
                  <a:buClrTx/>
                  <a:buSzTx/>
                  <a:buFontTx/>
                  <a:buNone/>
                  <a:tabLst/>
                  <a:defRPr sz="1200" b="1" i="0" u="none" strike="noStrike" kern="1200" baseline="0">
                    <a:solidFill>
                      <a:sysClr val="windowText" lastClr="000000">
                        <a:lumMod val="65000"/>
                        <a:lumOff val="35000"/>
                      </a:sysClr>
                    </a:solidFill>
                    <a:latin typeface="+mn-lt"/>
                    <a:ea typeface="+mn-ea"/>
                    <a:cs typeface="+mn-cs"/>
                  </a:defRPr>
                </a:pPr>
                <a:endParaRPr lang="en-US" sz="800" b="1">
                  <a:latin typeface="Times New Roman" panose="02020603050405020304" pitchFamily="18" charset="0"/>
                  <a:cs typeface="Times New Roman" panose="02020603050405020304" pitchFamily="18" charset="0"/>
                </a:endParaRP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3066112"/>
        <c:crosses val="autoZero"/>
        <c:crossBetween val="midCat"/>
        <c:majorUnit val="50"/>
      </c:valAx>
      <c:valAx>
        <c:axId val="133066112"/>
        <c:scaling>
          <c:orientation val="minMax"/>
          <c:max val="1.2"/>
          <c:min val="0.8"/>
        </c:scaling>
        <c:delete val="0"/>
        <c:axPos val="l"/>
        <c:title>
          <c:tx>
            <c:rich>
              <a:bodyPr rot="-5400000" spcFirstLastPara="1" vertOverflow="ellipsis" vert="horz" wrap="square" anchor="ctr" anchorCtr="1"/>
              <a:lstStyle/>
              <a:p>
                <a:pPr>
                  <a:defRPr sz="1200" b="1" i="0" u="none" strike="noStrike" kern="1200" baseline="0">
                    <a:solidFill>
                      <a:schemeClr val="tx1">
                        <a:lumMod val="65000"/>
                        <a:lumOff val="35000"/>
                      </a:schemeClr>
                    </a:solidFill>
                    <a:latin typeface="+mn-lt"/>
                    <a:ea typeface="+mn-ea"/>
                    <a:cs typeface="+mn-cs"/>
                  </a:defRPr>
                </a:pPr>
                <a:r>
                  <a:rPr lang="en-US" sz="1200" b="1"/>
                  <a:t>Average TFP Growth</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3064192"/>
        <c:crosses val="autoZero"/>
        <c:crossBetween val="midCat"/>
        <c:majorUnit val="0.1"/>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054538856252541"/>
          <c:y val="4.793028322440087E-2"/>
          <c:w val="0.84992436548134787"/>
          <c:h val="0.83508380079940969"/>
        </c:manualLayout>
      </c:layout>
      <c:scatterChart>
        <c:scatterStyle val="smoothMarker"/>
        <c:varyColors val="0"/>
        <c:ser>
          <c:idx val="0"/>
          <c:order val="0"/>
          <c:spPr>
            <a:ln w="19050" cap="rnd">
              <a:solidFill>
                <a:schemeClr val="accent1"/>
              </a:solidFill>
              <a:round/>
            </a:ln>
            <a:effectLst/>
          </c:spPr>
          <c:marker>
            <c:symbol val="none"/>
          </c:marker>
          <c:dLbls>
            <c:dLbl>
              <c:idx val="0"/>
              <c:tx>
                <c:rich>
                  <a:bodyPr/>
                  <a:lstStyle/>
                  <a:p>
                    <a:fld id="{7402441A-1F7A-4CC1-A9B4-91FEEDDF4B54}"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0-5970-4A98-89D7-BCDD066749E4}"/>
                </c:ext>
              </c:extLst>
            </c:dLbl>
            <c:dLbl>
              <c:idx val="1"/>
              <c:tx>
                <c:rich>
                  <a:bodyPr/>
                  <a:lstStyle/>
                  <a:p>
                    <a:fld id="{223BFFA9-7886-451A-A6D1-997729DB6400}"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1-5970-4A98-89D7-BCDD066749E4}"/>
                </c:ext>
              </c:extLst>
            </c:dLbl>
            <c:dLbl>
              <c:idx val="2"/>
              <c:tx>
                <c:rich>
                  <a:bodyPr/>
                  <a:lstStyle/>
                  <a:p>
                    <a:fld id="{DDF1BD39-9A8A-4159-9496-C7A12917B276}"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2-5970-4A98-89D7-BCDD066749E4}"/>
                </c:ext>
              </c:extLst>
            </c:dLbl>
            <c:dLbl>
              <c:idx val="3"/>
              <c:tx>
                <c:rich>
                  <a:bodyPr/>
                  <a:lstStyle/>
                  <a:p>
                    <a:fld id="{EB81ACC2-0B6F-46C8-937B-825A609C6D5F}"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3-5970-4A98-89D7-BCDD066749E4}"/>
                </c:ext>
              </c:extLst>
            </c:dLbl>
            <c:dLbl>
              <c:idx val="4"/>
              <c:tx>
                <c:rich>
                  <a:bodyPr/>
                  <a:lstStyle/>
                  <a:p>
                    <a:fld id="{35576A55-324C-48BD-AEC1-9CECA3A86691}"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4-5970-4A98-89D7-BCDD066749E4}"/>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showLeaderLines val="0"/>
            <c:extLst>
              <c:ext xmlns:c15="http://schemas.microsoft.com/office/drawing/2012/chart" uri="{CE6537A1-D6FC-4f65-9D91-7224C49458BB}">
                <c15:showDataLabelsRange val="1"/>
                <c15:showLeaderLines val="1"/>
                <c15:leaderLines>
                  <c:spPr>
                    <a:ln w="9525" cap="flat" cmpd="sng" algn="ctr">
                      <a:solidFill>
                        <a:schemeClr val="tx1">
                          <a:lumMod val="35000"/>
                          <a:lumOff val="65000"/>
                        </a:schemeClr>
                      </a:solidFill>
                      <a:round/>
                    </a:ln>
                    <a:effectLst/>
                  </c:spPr>
                </c15:leaderLines>
              </c:ext>
            </c:extLst>
          </c:dLbls>
          <c:xVal>
            <c:numRef>
              <c:f>smc_Sample_2!$C$2:$C$6</c:f>
              <c:numCache>
                <c:formatCode>General</c:formatCode>
                <c:ptCount val="5"/>
                <c:pt idx="0">
                  <c:v>29.881744000000001</c:v>
                </c:pt>
                <c:pt idx="1">
                  <c:v>32.413992</c:v>
                </c:pt>
                <c:pt idx="2">
                  <c:v>46.628174999999999</c:v>
                </c:pt>
                <c:pt idx="3">
                  <c:v>98.097623999999996</c:v>
                </c:pt>
                <c:pt idx="4">
                  <c:v>141.93478999999999</c:v>
                </c:pt>
              </c:numCache>
            </c:numRef>
          </c:xVal>
          <c:yVal>
            <c:numRef>
              <c:f>smc_Sample_2!$D$2:$D$6</c:f>
              <c:numCache>
                <c:formatCode>General</c:formatCode>
                <c:ptCount val="5"/>
                <c:pt idx="0">
                  <c:v>0.94335405999999999</c:v>
                </c:pt>
                <c:pt idx="1">
                  <c:v>0.97558507000000005</c:v>
                </c:pt>
                <c:pt idx="2">
                  <c:v>1.0440137</c:v>
                </c:pt>
                <c:pt idx="3">
                  <c:v>1.0228173</c:v>
                </c:pt>
                <c:pt idx="4">
                  <c:v>0.96776443000000001</c:v>
                </c:pt>
              </c:numCache>
            </c:numRef>
          </c:yVal>
          <c:smooth val="1"/>
          <c:extLst>
            <c:ext xmlns:c15="http://schemas.microsoft.com/office/drawing/2012/chart" uri="{02D57815-91ED-43cb-92C2-25804820EDAC}">
              <c15:datalabelsRange>
                <c15:f>smc_Sample_2!$A$2:$A$6</c15:f>
                <c15:dlblRangeCache>
                  <c:ptCount val="5"/>
                  <c:pt idx="0">
                    <c:v>Indonesia</c:v>
                  </c:pt>
                  <c:pt idx="1">
                    <c:v>Columbia</c:v>
                  </c:pt>
                  <c:pt idx="2">
                    <c:v>Morocco</c:v>
                  </c:pt>
                  <c:pt idx="3">
                    <c:v>Chile</c:v>
                  </c:pt>
                  <c:pt idx="4">
                    <c:v>Malaysia</c:v>
                  </c:pt>
                </c15:dlblRangeCache>
              </c15:datalabelsRange>
            </c:ext>
            <c:ext xmlns:c16="http://schemas.microsoft.com/office/drawing/2014/chart" uri="{C3380CC4-5D6E-409C-BE32-E72D297353CC}">
              <c16:uniqueId val="{00000005-5970-4A98-89D7-BCDD066749E4}"/>
            </c:ext>
          </c:extLst>
        </c:ser>
        <c:dLbls>
          <c:showLegendKey val="0"/>
          <c:showVal val="0"/>
          <c:showCatName val="0"/>
          <c:showSerName val="0"/>
          <c:showPercent val="0"/>
          <c:showBubbleSize val="0"/>
        </c:dLbls>
        <c:axId val="141711616"/>
        <c:axId val="141717888"/>
      </c:scatterChart>
      <c:valAx>
        <c:axId val="141711616"/>
        <c:scaling>
          <c:orientation val="minMax"/>
          <c:max val="200"/>
          <c:min val="0"/>
        </c:scaling>
        <c:delete val="0"/>
        <c:axPos val="b"/>
        <c:title>
          <c:tx>
            <c:rich>
              <a:bodyPr rot="0" spcFirstLastPara="1" vertOverflow="ellipsis" vert="horz" wrap="square" anchor="ctr" anchorCtr="1"/>
              <a:lstStyle/>
              <a:p>
                <a:pPr>
                  <a:defRPr sz="1200" b="1" i="0" u="none" strike="noStrike" kern="1200" baseline="0">
                    <a:solidFill>
                      <a:schemeClr val="tx1">
                        <a:lumMod val="65000"/>
                        <a:lumOff val="35000"/>
                      </a:schemeClr>
                    </a:solidFill>
                    <a:latin typeface="+mn-lt"/>
                    <a:ea typeface="+mn-ea"/>
                    <a:cs typeface="+mn-cs"/>
                  </a:defRPr>
                </a:pPr>
                <a:endParaRPr lang="en-US" sz="1200" b="1"/>
              </a:p>
              <a:p>
                <a:pPr>
                  <a:defRPr sz="1200" b="1" i="0" u="none" strike="noStrike" kern="1200" baseline="0">
                    <a:solidFill>
                      <a:schemeClr val="tx1">
                        <a:lumMod val="65000"/>
                        <a:lumOff val="35000"/>
                      </a:schemeClr>
                    </a:solidFill>
                    <a:latin typeface="+mn-lt"/>
                    <a:ea typeface="+mn-ea"/>
                    <a:cs typeface="+mn-cs"/>
                  </a:defRPr>
                </a:pPr>
                <a:r>
                  <a:rPr lang="en-US" sz="1200" b="1"/>
                  <a:t>Average Stock Market</a:t>
                </a:r>
                <a:r>
                  <a:rPr lang="en-US" sz="1200" b="1" baseline="0"/>
                  <a:t> Capitalization (% GDP)</a:t>
                </a:r>
              </a:p>
              <a:p>
                <a:pPr>
                  <a:defRPr sz="1200" b="1" i="0" u="none" strike="noStrike" kern="1200" baseline="0">
                    <a:solidFill>
                      <a:schemeClr val="tx1">
                        <a:lumMod val="65000"/>
                        <a:lumOff val="35000"/>
                      </a:schemeClr>
                    </a:solidFill>
                    <a:latin typeface="+mn-lt"/>
                    <a:ea typeface="+mn-ea"/>
                    <a:cs typeface="+mn-cs"/>
                  </a:defRPr>
                </a:pPr>
                <a:r>
                  <a:rPr lang="en-US" sz="800" b="1" i="0" baseline="0">
                    <a:effectLst/>
                    <a:latin typeface="Times New Roman" panose="02020603050405020304" pitchFamily="18" charset="0"/>
                    <a:cs typeface="Times New Roman" panose="02020603050405020304" pitchFamily="18" charset="0"/>
                  </a:rPr>
                  <a:t>Source of data: Author's calculation based on Penn World table 9.0 &amp; Global Financial Data</a:t>
                </a:r>
                <a:endParaRPr lang="en-US" sz="800">
                  <a:effectLst/>
                  <a:latin typeface="Times New Roman" panose="02020603050405020304" pitchFamily="18" charset="0"/>
                  <a:cs typeface="Times New Roman" panose="02020603050405020304" pitchFamily="18" charset="0"/>
                </a:endParaRPr>
              </a:p>
              <a:p>
                <a:pPr>
                  <a:defRPr sz="1200" b="1" i="0" u="none" strike="noStrike" kern="1200" baseline="0">
                    <a:solidFill>
                      <a:schemeClr val="tx1">
                        <a:lumMod val="65000"/>
                        <a:lumOff val="35000"/>
                      </a:schemeClr>
                    </a:solidFill>
                    <a:latin typeface="+mn-lt"/>
                    <a:ea typeface="+mn-ea"/>
                    <a:cs typeface="+mn-cs"/>
                  </a:defRPr>
                </a:pPr>
                <a:endParaRPr lang="en-US" sz="800" b="1">
                  <a:latin typeface="Times New Roman" panose="02020603050405020304" pitchFamily="18" charset="0"/>
                  <a:cs typeface="Times New Roman" panose="02020603050405020304" pitchFamily="18" charset="0"/>
                </a:endParaRP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1717888"/>
        <c:crosses val="autoZero"/>
        <c:crossBetween val="midCat"/>
        <c:majorUnit val="50"/>
      </c:valAx>
      <c:valAx>
        <c:axId val="141717888"/>
        <c:scaling>
          <c:orientation val="minMax"/>
          <c:max val="1.2"/>
          <c:min val="0.8"/>
        </c:scaling>
        <c:delete val="0"/>
        <c:axPos val="l"/>
        <c:title>
          <c:tx>
            <c:rich>
              <a:bodyPr rot="-5400000" spcFirstLastPara="1" vertOverflow="ellipsis" vert="horz" wrap="square" anchor="ctr" anchorCtr="1"/>
              <a:lstStyle/>
              <a:p>
                <a:pPr>
                  <a:defRPr sz="1200" b="1" i="0" u="none" strike="noStrike" kern="1200" baseline="0">
                    <a:solidFill>
                      <a:schemeClr val="tx1">
                        <a:lumMod val="65000"/>
                        <a:lumOff val="35000"/>
                      </a:schemeClr>
                    </a:solidFill>
                    <a:latin typeface="+mn-lt"/>
                    <a:ea typeface="+mn-ea"/>
                    <a:cs typeface="+mn-cs"/>
                  </a:defRPr>
                </a:pPr>
                <a:r>
                  <a:rPr lang="en-US" sz="1200" b="1"/>
                  <a:t>Average TFP Growth</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1711616"/>
        <c:crosses val="autoZero"/>
        <c:crossBetween val="midCat"/>
        <c:majorUnit val="0.1"/>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0CFEEDA9F01E4EFFA7D88EDE6CBACC84"/>
        <w:category>
          <w:name w:val="General"/>
          <w:gallery w:val="placeholder"/>
        </w:category>
        <w:types>
          <w:type w:val="bbPlcHdr"/>
        </w:types>
        <w:behaviors>
          <w:behavior w:val="content"/>
        </w:behaviors>
        <w:guid w:val="{E0C54A3B-7823-4E39-8AEA-581EB119A1F5}"/>
      </w:docPartPr>
      <w:docPartBody>
        <w:p w:rsidR="003F0D40" w:rsidRDefault="001D442E">
          <w:r w:rsidRPr="000D585F">
            <w:rPr>
              <w:rStyle w:val="PlaceholderText"/>
            </w:rPr>
            <w:t>[Title]</w:t>
          </w:r>
        </w:p>
      </w:docPartBody>
    </w:docPart>
    <w:docPart>
      <w:docPartPr>
        <w:name w:val="50CDEB05E5014E35AD94FE50BF7730BC"/>
        <w:category>
          <w:name w:val="General"/>
          <w:gallery w:val="placeholder"/>
        </w:category>
        <w:types>
          <w:type w:val="bbPlcHdr"/>
        </w:types>
        <w:behaviors>
          <w:behavior w:val="content"/>
        </w:behaviors>
        <w:guid w:val="{9B4AD072-9CDE-4496-8701-2EE040127061}"/>
      </w:docPartPr>
      <w:docPartBody>
        <w:p w:rsidR="00BB2644" w:rsidRDefault="00BB2644" w:rsidP="00BB2644">
          <w:pPr>
            <w:pStyle w:val="50CDEB05E5014E35AD94FE50BF7730BC"/>
          </w:pPr>
          <w:r w:rsidRPr="000D585F">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D442E"/>
    <w:rsid w:val="0005565A"/>
    <w:rsid w:val="001D442E"/>
    <w:rsid w:val="002E6964"/>
    <w:rsid w:val="003E568E"/>
    <w:rsid w:val="003F0D40"/>
    <w:rsid w:val="0083561D"/>
    <w:rsid w:val="00853F9C"/>
    <w:rsid w:val="0087620B"/>
    <w:rsid w:val="00BB2644"/>
    <w:rsid w:val="00D84459"/>
    <w:rsid w:val="00F515B2"/>
    <w:rsid w:val="00FE75D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B2644"/>
    <w:rPr>
      <w:color w:val="808080"/>
    </w:rPr>
  </w:style>
  <w:style w:type="paragraph" w:customStyle="1" w:styleId="50CDEB05E5014E35AD94FE50BF7730BC">
    <w:name w:val="50CDEB05E5014E35AD94FE50BF7730BC"/>
    <w:rsid w:val="00BB264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Kar09</b:Tag>
    <b:SourceType>JournalArticle</b:SourceType>
    <b:Guid>{A0E4DA4A-6066-4F63-AE60-B8B5962A829C}</b:Guid>
    <b:Title>Financial Development and Economic Growth in Sierra Leone</b:Title>
    <b:JournalName>West African Journal of Monetary and Economic Integration</b:JournalName>
    <b:Year>2009</b:Year>
    <b:Pages>30-61</b:Pages>
    <b:Author>
      <b:Author>
        <b:NameList>
          <b:Person>
            <b:Last>Kargbo</b:Last>
            <b:First>S.</b:First>
            <b:Middle>M</b:Middle>
          </b:Person>
          <b:Person>
            <b:Last>Adamu</b:Last>
            <b:First>P.</b:First>
            <b:Middle>A</b:Middle>
          </b:Person>
        </b:NameList>
      </b:Author>
    </b:Author>
    <b:Volume>9</b:Volume>
    <b:Issue>2</b:Issue>
    <b:RefOrder>1</b:RefOrder>
  </b:Source>
  <b:Source>
    <b:Tag>Pat66</b:Tag>
    <b:SourceType>JournalArticle</b:SourceType>
    <b:Guid>{97102E7E-C86A-4579-A96E-29248ABFF886}</b:Guid>
    <b:Title>Financial Development and Economic Growth in Underdeveloped Countries</b:Title>
    <b:JournalName>Economic Growth and Cultural Change</b:JournalName>
    <b:Year>1966</b:Year>
    <b:Pages>174-189</b:Pages>
    <b:Author>
      <b:Author>
        <b:NameList>
          <b:Person>
            <b:Last>Patrick</b:Last>
            <b:First>H.</b:First>
            <b:Middle>T</b:Middle>
          </b:Person>
        </b:NameList>
      </b:Author>
    </b:Author>
    <b:Volume>14</b:Volume>
    <b:Issue>1</b:Issue>
    <b:RefOrder>2</b:RefOrder>
  </b:Source>
  <b:Source>
    <b:Tag>Sch11</b:Tag>
    <b:SourceType>Book</b:SourceType>
    <b:Guid>{E3658C4C-18B8-4E24-9AEB-05BBAC600047}</b:Guid>
    <b:Title>The Theory of Economic Development</b:Title>
    <b:Year>1911</b:Year>
    <b:City>Cambridge, M A</b:City>
    <b:Publisher>Havard University Press</b:Publisher>
    <b:Author>
      <b:Author>
        <b:NameList>
          <b:Person>
            <b:Last>Schumpeter</b:Last>
            <b:First>J</b:First>
            <b:Middle>A</b:Middle>
          </b:Person>
        </b:NameList>
      </b:Author>
    </b:Author>
    <b:RefOrder>3</b:RefOrder>
  </b:Source>
  <b:Source>
    <b:Tag>Mck73</b:Tag>
    <b:SourceType>Book</b:SourceType>
    <b:Guid>{F62581EB-F0CF-48C4-B1D9-7824CD592487}</b:Guid>
    <b:Title>Money and Capital in Economic Development</b:Title>
    <b:Year>1973</b:Year>
    <b:City>Washington, DC</b:City>
    <b:Publisher>Brookings Institution</b:Publisher>
    <b:Author>
      <b:Author>
        <b:NameList>
          <b:Person>
            <b:Last>Mckinnon</b:Last>
            <b:First>R</b:First>
            <b:Middle>I</b:Middle>
          </b:Person>
        </b:NameList>
      </b:Author>
    </b:Author>
    <b:RefOrder>4</b:RefOrder>
  </b:Source>
  <b:Source>
    <b:Tag>Sha73</b:Tag>
    <b:SourceType>Book</b:SourceType>
    <b:Guid>{BF158B9D-FED8-465F-BFA6-664D91DC5781}</b:Guid>
    <b:Title>Financial Deepening and Economic Development</b:Title>
    <b:Year>1973</b:Year>
    <b:City>London</b:City>
    <b:Publisher>Oxford University Press</b:Publisher>
    <b:Author>
      <b:Author>
        <b:NameList>
          <b:Person>
            <b:Last>Shaw</b:Last>
            <b:First>E.</b:First>
            <b:Middle>S</b:Middle>
          </b:Person>
        </b:NameList>
      </b:Author>
    </b:Author>
    <b:RefOrder>5</b:RefOrder>
  </b:Source>
  <b:Source>
    <b:Tag>Esc04</b:Tag>
    <b:SourceType>JournalArticle</b:SourceType>
    <b:Guid>{B39C0C94-0FC5-45FE-86CF-94435B78C6ED}</b:Guid>
    <b:Title>Finance and Growth: A Survey of the Theoretical and Empirical Literature</b:Title>
    <b:Year>2004</b:Year>
    <b:JournalName>Tinbergen Institute</b:JournalName>
    <b:Author>
      <b:Author>
        <b:NameList>
          <b:Person>
            <b:Last>Eschenbach</b:Last>
            <b:First>F</b:First>
          </b:Person>
        </b:NameList>
      </b:Author>
    </b:Author>
    <b:Issue>Discussion Paper TI 2004-039/2</b:Issue>
    <b:RefOrder>6</b:RefOrder>
  </b:Source>
  <b:Source>
    <b:Tag>Ikh151</b:Tag>
    <b:SourceType>JournalArticle</b:SourceType>
    <b:Guid>{A1A63FC7-54F5-41DF-89A5-C980CA0C12BD}</b:Guid>
    <b:Title>The Finance and Growth Debate in Africa: What Role for Financial Inclusion?</b:Title>
    <b:JournalName>University of Stellenbosch Business School</b:JournalName>
    <b:Year>2015</b:Year>
    <b:Author>
      <b:Author>
        <b:NameList>
          <b:Person>
            <b:Last>Ikhide</b:Last>
            <b:First>S.</b:First>
            <b:Middle>I</b:Middle>
          </b:Person>
        </b:NameList>
      </b:Author>
    </b:Author>
    <b:Issue>Inagural Lecture Delivered on November 26</b:Issue>
    <b:RefOrder>7</b:RefOrder>
  </b:Source>
  <b:Source>
    <b:Tag>Sah151</b:Tag>
    <b:SourceType>JournalArticle</b:SourceType>
    <b:Guid>{389F2CE3-F977-494E-8A69-A0328CD7B009}</b:Guid>
    <b:Title>Rethinking Financial Deepening: Stability and Growth in Emerging Markets</b:Title>
    <b:JournalName>International Monetary Fund</b:JournalName>
    <b:Year>2015</b:Year>
    <b:Author>
      <b:Author>
        <b:NameList>
          <b:Person>
            <b:Last>Sahay</b:Last>
            <b:First>R</b:First>
          </b:Person>
          <b:Person>
            <b:Last>Cihak</b:Last>
            <b:First>M</b:First>
          </b:Person>
          <b:Person>
            <b:Last>N'Diaye</b:Last>
            <b:First>P</b:First>
          </b:Person>
          <b:Person>
            <b:Last>Barajas</b:Last>
            <b:First>A</b:First>
          </b:Person>
          <b:Person>
            <b:Last>Bi</b:Last>
            <b:First>R</b:First>
          </b:Person>
          <b:Person>
            <b:Last>Ayala</b:Last>
            <b:First>D</b:First>
          </b:Person>
          <b:Person>
            <b:Last>Gao</b:Last>
            <b:First>Y</b:First>
          </b:Person>
          <b:Person>
            <b:Last>Kyobe</b:Last>
            <b:First>A</b:First>
          </b:Person>
          <b:Person>
            <b:Last>Nguyen</b:Last>
            <b:First>L</b:First>
          </b:Person>
          <b:Person>
            <b:Last>Saborowsski</b:Last>
            <b:First>C</b:First>
          </b:Person>
          <b:Person>
            <b:Last>Svirydzenka</b:Last>
            <b:First>K</b:First>
          </b:Person>
          <b:Person>
            <b:Last>Yousefi</b:Last>
            <b:First>S.</b:First>
            <b:Middle>R</b:Middle>
          </b:Person>
        </b:NameList>
      </b:Author>
    </b:Author>
    <b:Issue>IMF Staff Papers SDN/15/08</b:Issue>
    <b:RefOrder>8</b:RefOrder>
  </b:Source>
  <b:Source>
    <b:Tag>Gug03</b:Tag>
    <b:SourceType>JournalArticle</b:SourceType>
    <b:Guid>{CD3D7F2E-2F63-4017-974F-2C8378BDED15}</b:Guid>
    <b:Title>Endogenous Growth Models and Stock Market Development: Evidence from four countries</b:Title>
    <b:Year>2003</b:Year>
    <b:Author>
      <b:Author>
        <b:NameList>
          <b:Person>
            <b:Last>Guglielmo</b:Last>
            <b:First>M.C</b:First>
          </b:Person>
          <b:Person>
            <b:Last>Howells</b:Last>
            <b:First>P.</b:First>
            <b:Middle>G. A</b:Middle>
          </b:Person>
          <b:Person>
            <b:Last>Soliman</b:Last>
            <b:First>A.</b:First>
            <b:Middle>M</b:Middle>
          </b:Person>
        </b:NameList>
      </b:Author>
    </b:Author>
    <b:RefOrder>9</b:RefOrder>
  </b:Source>
  <b:Source>
    <b:Tag>Lev91</b:Tag>
    <b:SourceType>JournalArticle</b:SourceType>
    <b:Guid>{F8AFDF6B-8BE1-4D4D-8DC3-70C6191EB7E5}</b:Guid>
    <b:Title>Stock Markets, Growth and Tax Policy</b:Title>
    <b:JournalName>Journal of Finance</b:JournalName>
    <b:Year>1991</b:Year>
    <b:Pages>1445-1465</b:Pages>
    <b:Author>
      <b:Author>
        <b:NameList>
          <b:Person>
            <b:Last>Levine</b:Last>
            <b:First>R</b:First>
          </b:Person>
        </b:NameList>
      </b:Author>
    </b:Author>
    <b:Volume>64</b:Volume>
    <b:RefOrder>10</b:RefOrder>
  </b:Source>
  <b:Source>
    <b:Tag>Kin93</b:Tag>
    <b:SourceType>JournalArticle</b:SourceType>
    <b:Guid>{C8EFAD72-7947-4AE9-8582-E0B4763B52F1}</b:Guid>
    <b:Title>Finance and Growth: Schumpeter Might Be Right</b:Title>
    <b:JournalName>The Quarterly Journal of Economics</b:JournalName>
    <b:Year>1993</b:Year>
    <b:Pages>717-737</b:Pages>
    <b:Author>
      <b:Author>
        <b:NameList>
          <b:Person>
            <b:Last>King</b:Last>
            <b:First>R</b:First>
          </b:Person>
          <b:Person>
            <b:Last>Levine</b:Last>
            <b:First>R</b:First>
          </b:Person>
        </b:NameList>
      </b:Author>
    </b:Author>
    <b:Volume>108</b:Volume>
    <b:Issue>3</b:Issue>
    <b:RefOrder>11</b:RefOrder>
  </b:Source>
  <b:Source>
    <b:Tag>Lev05</b:Tag>
    <b:SourceType>BookSection</b:SourceType>
    <b:Guid>{ADDFDF2A-23BA-4597-9C5F-F0736C25A4A5}</b:Guid>
    <b:Title>Finance and Growth: Theory and Evidence</b:Title>
    <b:Year>2005</b:Year>
    <b:Pages>865-934</b:Pages>
    <b:City>New York</b:City>
    <b:Publisher>Elsevier</b:Publisher>
    <b:Author>
      <b:Author>
        <b:NameList>
          <b:Person>
            <b:Last>Levine</b:Last>
            <b:First>R</b:First>
          </b:Person>
        </b:NameList>
      </b:Author>
      <b:BookAuthor>
        <b:NameList>
          <b:Person>
            <b:Last>Aghion</b:Last>
            <b:First>P</b:First>
          </b:Person>
          <b:Person>
            <b:Last>Durlaf</b:Last>
            <b:First>S</b:First>
          </b:Person>
        </b:NameList>
      </b:BookAuthor>
    </b:Author>
    <b:BookTitle>Handbook of Economic Growth</b:BookTitle>
    <b:RefOrder>12</b:RefOrder>
  </b:Source>
  <b:Source>
    <b:Tag>Gre90</b:Tag>
    <b:SourceType>JournalArticle</b:SourceType>
    <b:Guid>{2856176D-D58D-4414-8137-AA8D73313A33}</b:Guid>
    <b:Title>Financial Development, Growth and the Distribution of Income</b:Title>
    <b:Year>1990</b:Year>
    <b:Pages>1076-1107</b:Pages>
    <b:Author>
      <b:Author>
        <b:NameList>
          <b:Person>
            <b:Last>Greenwood</b:Last>
            <b:First>J</b:First>
          </b:Person>
          <b:Person>
            <b:Last>Javanovic</b:Last>
            <b:First>B</b:First>
          </b:Person>
        </b:NameList>
      </b:Author>
    </b:Author>
    <b:Volume>98</b:Volume>
    <b:JournalName>Journal of Political Economy</b:JournalName>
    <b:RefOrder>13</b:RefOrder>
  </b:Source>
  <b:Source>
    <b:Tag>Dem01</b:Tag>
    <b:SourceType>Book</b:SourceType>
    <b:Guid>{D170B04A-3857-4AA7-85F6-594A9D996377}</b:Guid>
    <b:Title>Financial structures and economic growth: A cross-country comparison of banks, markets and development</b:Title>
    <b:Year>2001</b:Year>
    <b:City>Cambrdge, MA</b:City>
    <b:Publisher>MIT Press</b:Publisher>
    <b:Author>
      <b:Author>
        <b:NameList>
          <b:Person>
            <b:Last>Demirguc-Kunt</b:Last>
            <b:First>A</b:First>
          </b:Person>
          <b:Person>
            <b:Last>Levine</b:Last>
            <b:First>R</b:First>
          </b:Person>
        </b:NameList>
      </b:Author>
    </b:Author>
    <b:RefOrder>14</b:RefOrder>
  </b:Source>
  <b:Source>
    <b:Tag>Lev00</b:Tag>
    <b:SourceType>JournalArticle</b:SourceType>
    <b:Guid>{591F370E-C56B-4038-A30E-B3CC0F8005D7}</b:Guid>
    <b:Title>Financial Intermediation and growth: Causality and Causes</b:Title>
    <b:Year>2000</b:Year>
    <b:Volume>46</b:Volume>
    <b:Pages>31-77</b:Pages>
    <b:Author>
      <b:Author>
        <b:NameList>
          <b:Person>
            <b:Last>Levine</b:Last>
            <b:First>R</b:First>
          </b:Person>
          <b:Person>
            <b:Last>Loayza</b:Last>
            <b:First>N</b:First>
          </b:Person>
          <b:Person>
            <b:Last>Beck</b:Last>
            <b:First>T</b:First>
          </b:Person>
        </b:NameList>
      </b:Author>
    </b:Author>
    <b:JournalName>Journal of Monetary Economics</b:JournalName>
    <b:RefOrder>15</b:RefOrder>
  </b:Source>
  <b:Source>
    <b:Tag>Adu13</b:Tag>
    <b:SourceType>JournalArticle</b:SourceType>
    <b:Guid>{33900701-D57C-466B-BD40-74AB7386D8D4}</b:Guid>
    <b:Title>Financial development and economic growth in Ghana: Does the measure of financial development matter?</b:Title>
    <b:JournalName>Review of Development Finance</b:JournalName>
    <b:Year>2013</b:Year>
    <b:Pages>192-203</b:Pages>
    <b:Author>
      <b:Author>
        <b:NameList>
          <b:Person>
            <b:Last>Adu</b:Last>
            <b:First>G</b:First>
          </b:Person>
          <b:Person>
            <b:Last>Marabuah</b:Last>
            <b:First>G</b:First>
          </b:Person>
          <b:Person>
            <b:Last>Mensah</b:Last>
            <b:First>J.</b:First>
            <b:Middle>T</b:Middle>
          </b:Person>
        </b:NameList>
      </b:Author>
    </b:Author>
    <b:Volume>3</b:Volume>
    <b:RefOrder>16</b:RefOrder>
  </b:Source>
  <b:Source>
    <b:Tag>Alf09</b:Tag>
    <b:SourceType>JournalArticle</b:SourceType>
    <b:Guid>{4511C620-0B3E-42C7-B20A-FFA632C3E2AB}</b:Guid>
    <b:Title>FDI, Productivity and Financial Development</b:Title>
    <b:JournalName>The World Economy</b:JournalName>
    <b:Year>2009</b:Year>
    <b:Pages>111-135</b:Pages>
    <b:Author>
      <b:Author>
        <b:NameList>
          <b:Person>
            <b:Last>Alfaro</b:Last>
            <b:First>L</b:First>
          </b:Person>
          <b:Person>
            <b:Last>Kalemli-Ozcan</b:Last>
            <b:First>S</b:First>
          </b:Person>
          <b:Person>
            <b:Last>Sayek</b:Last>
            <b:First>S</b:First>
          </b:Person>
        </b:NameList>
      </b:Author>
    </b:Author>
    <b:Volume>32</b:Volume>
    <b:Issue>1</b:Issue>
    <b:RefOrder>17</b:RefOrder>
  </b:Source>
  <b:Source>
    <b:Tag>Odh05</b:Tag>
    <b:SourceType>JournalArticle</b:SourceType>
    <b:Guid>{F726F72D-8848-47C1-A336-EAF2DC9C81B7}</b:Guid>
    <b:Title>Financial development and economic growth in Tanzania: A dynamic causality test</b:Title>
    <b:JournalName>African Finance Journal</b:JournalName>
    <b:Year>2005</b:Year>
    <b:Pages>1-17</b:Pages>
    <b:Author>
      <b:Author>
        <b:NameList>
          <b:Person>
            <b:Last>Odhiambo</b:Last>
            <b:First>N.</b:First>
            <b:Middle>M</b:Middle>
          </b:Person>
        </b:NameList>
      </b:Author>
    </b:Author>
    <b:Volume>7</b:Volume>
    <b:Issue>1</b:Issue>
    <b:RefOrder>18</b:RefOrder>
  </b:Source>
  <b:Source>
    <b:Tag>Odh07</b:Tag>
    <b:SourceType>JournalArticle</b:SourceType>
    <b:Guid>{F8DD354F-661F-424A-83D5-D3DB5F12C873}</b:Guid>
    <b:Title>Supply-leading versus demand -following hypothesis: Empirical evidence from three SSA countries</b:Title>
    <b:JournalName>African Development Review</b:JournalName>
    <b:Year>2007</b:Year>
    <b:Pages>257-280</b:Pages>
    <b:Author>
      <b:Author>
        <b:NameList>
          <b:Person>
            <b:Last>Odhiambo</b:Last>
            <b:First>N.</b:First>
            <b:Middle>M</b:Middle>
          </b:Person>
        </b:NameList>
      </b:Author>
    </b:Author>
    <b:Volume>19</b:Volume>
    <b:Issue>2</b:Issue>
    <b:RefOrder>19</b:RefOrder>
  </b:Source>
  <b:Source>
    <b:Tag>Odh08</b:Tag>
    <b:SourceType>JournalArticle</b:SourceType>
    <b:Guid>{5AAD670E-0A2C-4E44-B9CB-FDEA5BF2C43C}</b:Guid>
    <b:Title>Financial depth, savings and economic growth in Kenya: A dynamic causal linkage</b:Title>
    <b:JournalName>Economic modelling</b:JournalName>
    <b:Year>2008</b:Year>
    <b:Pages>704-713</b:Pages>
    <b:Author>
      <b:Author>
        <b:NameList>
          <b:Person>
            <b:Last>Odhiambo</b:Last>
            <b:First>N.</b:First>
            <b:Middle>M</b:Middle>
          </b:Person>
        </b:NameList>
      </b:Author>
    </b:Author>
    <b:Volume>25</b:Volume>
    <b:Issue>4</b:Issue>
    <b:RefOrder>20</b:RefOrder>
  </b:Source>
  <b:Source>
    <b:Tag>Das08</b:Tag>
    <b:SourceType>JournalArticle</b:SourceType>
    <b:Guid>{17AD6D91-1930-46EB-BA6D-D2DA7E5F0C86}</b:Guid>
    <b:Title>The role of Financial Intermediaries in Promoting Productivity Growth-Evidence from India</b:Title>
    <b:JournalName>Reserve Bank of India</b:JournalName>
    <b:Year>2008</b:Year>
    <b:Author>
      <b:Author>
        <b:NameList>
          <b:Person>
            <b:Last>Das</b:Last>
            <b:First>D</b:First>
          </b:Person>
        </b:NameList>
      </b:Author>
    </b:Author>
    <b:RefOrder>21</b:RefOrder>
  </b:Source>
  <b:Source>
    <b:Tag>Hei17</b:Tag>
    <b:SourceType>JournalArticle</b:SourceType>
    <b:Guid>{9557D3C7-F065-4A25-8C9C-677DB12A9191}</b:Guid>
    <b:Title>Finance and Prouctivity: A Literature Review</b:Title>
    <b:JournalName>Organization for Economic Co-operation and Development </b:JournalName>
    <b:Year>2017</b:Year>
    <b:Author>
      <b:Author>
        <b:NameList>
          <b:Person>
            <b:Last>Heil</b:Last>
            <b:First>M</b:First>
          </b:Person>
        </b:NameList>
      </b:Author>
    </b:Author>
    <b:Issue>Economics Department Working Paper No. 1374</b:Issue>
    <b:RefOrder>22</b:RefOrder>
  </b:Source>
  <b:Source>
    <b:Tag>Rou11</b:Tag>
    <b:SourceType>JournalArticle</b:SourceType>
    <b:Guid>{FB093779-4572-4A97-8D7C-FA86BD82D70E}</b:Guid>
    <b:Title>What is Happening to the Impact of Financial Deepening on Economic Growth? </b:Title>
    <b:JournalName>Economic Inquiry</b:JournalName>
    <b:Year>2011</b:Year>
    <b:Pages>276-288</b:Pages>
    <b:Author>
      <b:Author>
        <b:NameList>
          <b:Person>
            <b:Last>Rousseau</b:Last>
            <b:First>P</b:First>
          </b:Person>
          <b:Person>
            <b:Last>Wachtel</b:Last>
            <b:First>P</b:First>
          </b:Person>
        </b:NameList>
      </b:Author>
    </b:Author>
    <b:Volume>49</b:Volume>
    <b:Issue>1</b:Issue>
    <b:RefOrder>23</b:RefOrder>
  </b:Source>
  <b:Source>
    <b:Tag>Qua</b:Tag>
    <b:SourceType>JournalArticle</b:SourceType>
    <b:Guid>{52D7826F-D918-4E4C-B4D4-7CB18FEF33A6}</b:Guid>
    <b:Title>Financial Development and Economic Growth in Ghana: Is there a causal link?</b:Title>
    <b:JournalName>The African Finance Journal</b:JournalName>
    <b:Pages>28-54</b:Pages>
    <b:Author>
      <b:Author>
        <b:NameList>
          <b:Person>
            <b:Last>Quartey</b:Last>
            <b:First>P</b:First>
          </b:Person>
          <b:Person>
            <b:Last>Prah</b:Last>
            <b:First>F</b:First>
          </b:Person>
        </b:NameList>
      </b:Author>
    </b:Author>
    <b:Volume>10</b:Volume>
    <b:Issue>1</b:Issue>
    <b:Year>2008</b:Year>
    <b:RefOrder>24</b:RefOrder>
  </b:Source>
  <b:Source>
    <b:Tag>Lui99</b:Tag>
    <b:SourceType>JournalArticle</b:SourceType>
    <b:Guid>{E6C69461-51DC-455B-9C95-FABECEBD94C5}</b:Guid>
    <b:Title>A quantitative reassessment of the finance-growth nexus: Evidence from a multivariate VAR</b:Title>
    <b:JournalName>Journal of Development Economics</b:JournalName>
    <b:Year>1999</b:Year>
    <b:Pages>381-405</b:Pages>
    <b:Author>
      <b:Author>
        <b:NameList>
          <b:Person>
            <b:Last>Luintel</b:Last>
            <b:First>K.</b:First>
            <b:Middle>B</b:Middle>
          </b:Person>
          <b:Person>
            <b:Last>Khan</b:Last>
            <b:First>M</b:First>
          </b:Person>
        </b:NameList>
      </b:Author>
    </b:Author>
    <b:Volume>60</b:Volume>
    <b:Issue>2</b:Issue>
    <b:RefOrder>25</b:RefOrder>
  </b:Source>
  <b:Source>
    <b:Tag>Dem96</b:Tag>
    <b:SourceType>JournalArticle</b:SourceType>
    <b:Guid>{63654C84-DB90-42CD-9980-2EB44EF3134A}</b:Guid>
    <b:Title>Does financial development cause economic growth? Time-series evidence from 16 countries</b:Title>
    <b:JournalName>Journal of Development Economics</b:JournalName>
    <b:Year>1996</b:Year>
    <b:Pages>387-411</b:Pages>
    <b:Author>
      <b:Author>
        <b:NameList>
          <b:Person>
            <b:Last>Demetriades</b:Last>
            <b:First>P.O</b:First>
          </b:Person>
          <b:Person>
            <b:Last>Hussein</b:Last>
            <b:First>1996</b:First>
          </b:Person>
        </b:NameList>
      </b:Author>
    </b:Author>
    <b:Volume>51</b:Volume>
    <b:Issue>2</b:Issue>
    <b:RefOrder>26</b:RefOrder>
  </b:Source>
  <b:Source>
    <b:Tag>She06</b:Tag>
    <b:SourceType>JournalArticle</b:SourceType>
    <b:Guid>{BF7B0ACE-DB26-481E-8987-0970A6FE3BAA}</b:Guid>
    <b:Title>Same Financial Development Yet Different Economic Growth: Why</b:Title>
    <b:JournalName>Journal of Money, Credit and Banking</b:JournalName>
    <b:Year>2006</b:Year>
    <b:Pages>1907-1944</b:Pages>
    <b:Author>
      <b:Author>
        <b:NameList>
          <b:Person>
            <b:Last>Shen</b:Last>
            <b:First>Chung-Hua</b:First>
          </b:Person>
          <b:Person>
            <b:Last>Lee</b:Last>
            <b:First>Chien-Chiang</b:First>
          </b:Person>
        </b:NameList>
      </b:Author>
    </b:Author>
    <b:Volume>38</b:Volume>
    <b:Issue>7</b:Issue>
    <b:RefOrder>27</b:RefOrder>
  </b:Source>
  <b:Source>
    <b:Tag>Arc12</b:Tag>
    <b:SourceType>JournalArticle</b:SourceType>
    <b:Guid>{149B9A28-E549-427B-8C22-0DD12BA11075}</b:Guid>
    <b:Title>Too Much Finance</b:Title>
    <b:JournalName>International Monetary Fund</b:JournalName>
    <b:Year>2012</b:Year>
    <b:Author>
      <b:Author>
        <b:NameList>
          <b:Person>
            <b:Last>Arcand</b:Last>
            <b:First>Jean-Louis</b:First>
          </b:Person>
          <b:Person>
            <b:Last>Berkes</b:Last>
            <b:First>E</b:First>
          </b:Person>
          <b:Person>
            <b:Last>Panizza</b:Last>
            <b:First>U</b:First>
          </b:Person>
        </b:NameList>
      </b:Author>
    </b:Author>
    <b:Issue>IMF Working Paper WP/12/161</b:Issue>
    <b:RefOrder>28</b:RefOrder>
  </b:Source>
  <b:Source>
    <b:Tag>Hua09</b:Tag>
    <b:SourceType>JournalArticle</b:SourceType>
    <b:Guid>{B6934508-F0DC-4AB3-96DF-EE274F485352}</b:Guid>
    <b:Title>Non-linear finance-growth nexus</b:Title>
    <b:JournalName>Economics of Transition</b:JournalName>
    <b:Year>2009</b:Year>
    <b:Pages>439-466</b:Pages>
    <b:Author>
      <b:Author>
        <b:NameList>
          <b:Person>
            <b:Last>Huang</b:Last>
            <b:First>Ho-Chuan</b:First>
          </b:Person>
          <b:Person>
            <b:Last>Lin</b:Last>
            <b:First>Shu-Chin</b:First>
          </b:Person>
        </b:NameList>
      </b:Author>
    </b:Author>
    <b:Volume>17</b:Volume>
    <b:Issue>3</b:Issue>
    <b:RefOrder>29</b:RefOrder>
  </b:Source>
  <b:Source>
    <b:Tag>Han00</b:Tag>
    <b:SourceType>JournalArticle</b:SourceType>
    <b:Guid>{B2D56B74-71CE-45E0-A34E-638A28B112F6}</b:Guid>
    <b:Title>Sample Splitting and threshold estimation</b:Title>
    <b:JournalName>Econometrica</b:JournalName>
    <b:Year>2000</b:Year>
    <b:Pages>575-603</b:Pages>
    <b:Author>
      <b:Author>
        <b:NameList>
          <b:Person>
            <b:Last>Hansen</b:Last>
            <b:First>B.</b:First>
            <b:Middle>E</b:Middle>
          </b:Person>
        </b:NameList>
      </b:Author>
    </b:Author>
    <b:Volume>68</b:Volume>
    <b:RefOrder>30</b:RefOrder>
  </b:Source>
  <b:Source>
    <b:Tag>Cec12</b:Tag>
    <b:SourceType>JournalArticle</b:SourceType>
    <b:Guid>{E660D355-7825-402E-B32B-E1533D7BA2C6}</b:Guid>
    <b:Title>Reassessing the Impact of Finance on Growth</b:Title>
    <b:JournalName>Bank for International Settlements</b:JournalName>
    <b:Year>2012</b:Year>
    <b:Author>
      <b:Author>
        <b:NameList>
          <b:Person>
            <b:Last>Cecchetti</b:Last>
            <b:First>G</b:First>
          </b:Person>
          <b:Person>
            <b:Last>Kharroubi</b:Last>
            <b:First>E</b:First>
          </b:Person>
        </b:NameList>
      </b:Author>
    </b:Author>
    <b:Issue>BIS Working Papers No. 381</b:Issue>
    <b:RefOrder>31</b:RefOrder>
  </b:Source>
  <b:Source>
    <b:Tag>Jud101</b:Tag>
    <b:SourceType>JournalArticle</b:SourceType>
    <b:Guid>{C070EC63-B644-4CE9-A68B-7AFBF4FC144F}</b:Guid>
    <b:Title>Financial Development and Growth: A Panel Smooth Regression Approach</b:Title>
    <b:JournalName>Journal of Economic Development</b:JournalName>
    <b:Year>2010</b:Year>
    <b:Pages>15-33</b:Pages>
    <b:Author>
      <b:Author>
        <b:NameList>
          <b:Person>
            <b:Last>Jude</b:Last>
            <b:First>E.</b:First>
            <b:Middle>C</b:Middle>
          </b:Person>
        </b:NameList>
      </b:Author>
    </b:Author>
    <b:Volume>35</b:Volume>
    <b:Issue>1</b:Issue>
    <b:RefOrder>32</b:RefOrder>
  </b:Source>
  <b:Source>
    <b:Tag>Aiz15</b:Tag>
    <b:SourceType>JournalArticle</b:SourceType>
    <b:Guid>{4B294062-0EB1-4BEE-A970-BDF4A766605C}</b:Guid>
    <b:Title>Financial Development and Output Growth in Developing Asia and Latin America: A Comparative Sector Analysis</b:Title>
    <b:JournalName>National Bureau of Economic Research</b:JournalName>
    <b:Year>2015</b:Year>
    <b:Author>
      <b:Author>
        <b:NameList>
          <b:Person>
            <b:Last>Aizenman</b:Last>
            <b:First>J</b:First>
          </b:Person>
          <b:Person>
            <b:Last>Jinjarak</b:Last>
            <b:First>Y</b:First>
          </b:Person>
          <b:Person>
            <b:Last>Park</b:Last>
            <b:First>D</b:First>
          </b:Person>
        </b:NameList>
      </b:Author>
    </b:Author>
    <b:Issue>NBER Working Paper 20917</b:Issue>
    <b:RefOrder>33</b:RefOrder>
  </b:Source>
  <b:Source>
    <b:Tag>Law14</b:Tag>
    <b:SourceType>JournalArticle</b:SourceType>
    <b:Guid>{635AFB8B-365F-412F-8AFE-B8EF685DBDBD}</b:Guid>
    <b:Title>Does too much finance harm economic growth</b:Title>
    <b:JournalName>Journalof Banking and Finance</b:JournalName>
    <b:Year>2014</b:Year>
    <b:Pages>36-44</b:Pages>
    <b:Author>
      <b:Author>
        <b:NameList>
          <b:Person>
            <b:Last>Law</b:Last>
            <b:First>S.</b:First>
            <b:Middle>H</b:Middle>
          </b:Person>
          <b:Person>
            <b:Last>Singh</b:Last>
            <b:First>N</b:First>
          </b:Person>
        </b:NameList>
      </b:Author>
    </b:Author>
    <b:Volume>41</b:Volume>
    <b:RefOrder>34</b:RefOrder>
  </b:Source>
  <b:Source>
    <b:Tag>Dab16</b:Tag>
    <b:SourceType>JournalArticle</b:SourceType>
    <b:Guid>{EB96DBDA-669C-4837-B447-5DC7D4C441FA}</b:Guid>
    <b:Title>Structural Reforms and Productivity Growth in Emerging Market and Developing Economies</b:Title>
    <b:JournalName>International Monetary Fund</b:JournalName>
    <b:Year>2016</b:Year>
    <b:Author>
      <b:Author>
        <b:NameList>
          <b:Person>
            <b:Last>Dabla-Noris</b:Last>
            <b:First>E</b:First>
          </b:Person>
          <b:Person>
            <b:Last>Ho</b:Last>
            <b:First>Giang,</b:First>
            <b:Middle>Kyobe, A</b:Middle>
          </b:Person>
        </b:NameList>
      </b:Author>
    </b:Author>
    <b:Issue>IMF Working Paper WP/16/15</b:Issue>
    <b:RefOrder>35</b:RefOrder>
  </b:Source>
  <b:Source>
    <b:Tag>Gon05</b:Tag>
    <b:SourceType>JournalArticle</b:SourceType>
    <b:Guid>{C76D0AB8-5477-49F7-9358-C6E3F54AD9EE}</b:Guid>
    <b:Title>Panel smooth transition regression models</b:Title>
    <b:JournalName>Quantitative Finance Research Centra, University of Technology, Sidney</b:JournalName>
    <b:Year>2005</b:Year>
    <b:Author>
      <b:Author>
        <b:NameList>
          <b:Person>
            <b:Last>Gonzalez</b:Last>
            <b:First>A</b:First>
          </b:Person>
          <b:Person>
            <b:Last>Terassvirta</b:Last>
            <b:First>T</b:First>
          </b:Person>
          <b:Person>
            <b:Last>van Dijk</b:Last>
            <b:First>D</b:First>
          </b:Person>
        </b:NameList>
      </b:Author>
    </b:Author>
    <b:Issue>Research Paper</b:Issue>
    <b:RefOrder>36</b:RefOrder>
  </b:Source>
  <b:Source>
    <b:Tag>And08</b:Tag>
    <b:SourceType>Book</b:SourceType>
    <b:Guid>{50C79D51-BFDB-4BB7-8C50-957CFC3F9532}</b:Guid>
    <b:Author>
      <b:Author>
        <b:NameList>
          <b:Person>
            <b:Last>Abel</b:Last>
            <b:First>Andrew</b:First>
            <b:Middle>B.</b:Middle>
          </b:Person>
          <b:Person>
            <b:Last>Bernanke</b:Last>
            <b:First>Ben</b:First>
          </b:Person>
        </b:NameList>
      </b:Author>
    </b:Author>
    <b:Title>Macroeconomics</b:Title>
    <b:Year>2008</b:Year>
    <b:City>Boston</b:City>
    <b:Publisher>Pearson Education - Addison Wesley</b:Publisher>
    <b:RefOrder>2</b:RefOrder>
  </b:Source>
  <b:Source>
    <b:Tag>Rob101</b:Tag>
    <b:SourceType>Book</b:SourceType>
    <b:Guid>{681D9ADF-FA76-4965-870E-9EBE365A2C0A}</b:Guid>
    <b:Title>Macroeconomics</b:Title>
    <b:Year>2010</b:Year>
    <b:Author>
      <b:Author>
        <b:NameList>
          <b:Person>
            <b:Last>Barro</b:Last>
            <b:First>Robert</b:First>
            <b:Middle>J.</b:Middle>
          </b:Person>
        </b:NameList>
      </b:Author>
    </b:Author>
    <b:City>Massachusetts, United States</b:City>
    <b:Publisher>The MIT Press</b:Publisher>
    <b:RefOrder>3</b:RefOrder>
  </b:Source>
  <b:Source>
    <b:Tag>Giu09</b:Tag>
    <b:SourceType>Book</b:SourceType>
    <b:Guid>{32506474-7B6C-4264-8962-8D27166BC0D5}</b:Guid>
    <b:Author>
      <b:Author>
        <b:NameList>
          <b:Person>
            <b:Last>Fontana</b:Last>
            <b:First>Giuseppe</b:First>
          </b:Person>
          <b:Person>
            <b:Last>Setterfield</b:Last>
            <b:First>Mark</b:First>
          </b:Person>
        </b:NameList>
      </b:Author>
    </b:Author>
    <b:Title>Macroeconomic Theory and Macroeconomic Pedagogy</b:Title>
    <b:Year>2009</b:Year>
    <b:City>Basingstoke, United Kingdom</b:City>
    <b:Publisher>Palgrave Macmillan</b:Publisher>
    <b:RefOrder>4</b:RefOrder>
  </b:Source>
  <b:Source>
    <b:Tag>Orh17</b:Tag>
    <b:SourceType>JournalArticle</b:SourceType>
    <b:Guid>{9DC170C4-F3B1-47A6-A53D-1A21ED8711F2}</b:Guid>
    <b:Title>TFP growth in Turkey revisited: The effect of informal sector</b:Title>
    <b:Year>2017</b:Year>
    <b:Author>
      <b:Author>
        <b:NameList>
          <b:Person>
            <b:Last>Atesagaoglu</b:Last>
            <b:First>Orhan</b:First>
            <b:Middle>Erem</b:Middle>
          </b:Person>
          <b:Person>
            <b:Last>Elginb</b:Last>
            <b:First>Ceyhun</b:First>
          </b:Person>
          <b:Person>
            <b:Last>Oztunalia</b:Last>
            <b:First>Oguz</b:First>
          </b:Person>
        </b:NameList>
      </b:Author>
    </b:Author>
    <b:JournalName>Central Bank Review, Volume 17, Issue 1</b:JournalName>
    <b:RefOrder>6</b:RefOrder>
  </b:Source>
  <b:Source>
    <b:Tag>Aid14</b:Tag>
    <b:SourceType>JournalArticle</b:SourceType>
    <b:Guid>{0B4A7FD4-A961-408E-A485-4DD9585D823C}</b:Guid>
    <b:Title>Increasing Productivity Growth in Middle Income Countries </b:Title>
    <b:Year>2014</b:Year>
    <b:Author>
      <b:Author>
        <b:NameList>
          <b:Person>
            <b:Last>Abdychev</b:Last>
            <b:First>Aidar</b:First>
          </b:Person>
          <b:Person>
            <b:Last>Jirasavetakul</b:Last>
            <b:First>La-Bhus</b:First>
            <b:Middle>Fah</b:Middle>
          </b:Person>
          <b:Person>
            <b:Last>Jonelis</b:Last>
            <b:First>Andrew</b:First>
          </b:Person>
          <b:Person>
            <b:Last>Leigh</b:Last>
            <b:First>Lamin</b:First>
          </b:Person>
          <b:Person>
            <b:Last>Moheeput</b:Last>
            <b:First>Ashwin</b:First>
          </b:Person>
          <b:Person>
            <b:Last>Parulian</b:Last>
            <b:First>Friska</b:First>
          </b:Person>
          <b:Person>
            <b:Last>Stepanyan</b:Last>
            <b:First>Ara</b:First>
          </b:Person>
          <b:Person>
            <b:Last>Mama</b:Last>
            <b:First>Albert</b:First>
            <b:Middle>Touna</b:Middle>
          </b:Person>
        </b:NameList>
      </b:Author>
    </b:Author>
    <b:JournalName>International Monetary Fund</b:JournalName>
    <b:RefOrder>7</b:RefOrder>
  </b:Source>
  <b:Source>
    <b:Tag>Cur131</b:Tag>
    <b:SourceType>InternetSite</b:SourceType>
    <b:Guid>{E11F0A5B-DD6A-447A-B07A-4565B939803F}</b:Guid>
    <b:Title>Economic Dynamics</b:Title>
    <b:Year>2013</b:Year>
    <b:Author>
      <b:Author>
        <b:NameList>
          <b:Person>
            <b:Last>Curtis</b:Last>
            <b:First>Chadwick</b:First>
            <b:Middle>C.</b:Middle>
          </b:Person>
        </b:NameList>
      </b:Author>
    </b:Author>
    <b:InternetSiteTitle>Economic Reforms and the Evolution of China's TFP in the State and the Private Sectors</b:InternetSiteTitle>
    <b:URL>https://economicdynamics.org/meetpapers/2013/paper_1023.pdf</b:URL>
    <b:YearAccessed>2017</b:YearAccessed>
    <b:MonthAccessed>August</b:MonthAccessed>
    <b:DayAccessed>13</b:DayAccessed>
    <b:RefOrder>8</b:RefOrder>
  </b:Source>
  <b:Source>
    <b:Tag>Col142</b:Tag>
    <b:SourceType>InternetSite</b:SourceType>
    <b:Guid>{39AECEB6-C8A2-40F8-8DE9-3E30C77F327E}</b:Guid>
    <b:Title>Forbes</b:Title>
    <b:Year>2014</b:Year>
    <b:Author>
      <b:Author>
        <b:NameList>
          <b:Person>
            <b:Last>Colombo</b:Last>
            <b:First>Jesse</b:First>
          </b:Person>
        </b:NameList>
      </b:Author>
    </b:Author>
    <b:InternetSiteTitle>A Guide To South Africa's Economic Bubble And Coming Crisis</b:InternetSiteTitle>
    <b:Month>March</b:Month>
    <b:Day>19</b:Day>
    <b:URL>https://www.forbes.com/sites/jessecolombo/2014/03/19/a-guide-to-south-africas-economic-bubble-and-coming-crisis/#25e0fe6653fc</b:URL>
    <b:YearAccessed>2017</b:YearAccessed>
    <b:MonthAccessed>August</b:MonthAccessed>
    <b:DayAccessed>13</b:DayAccessed>
    <b:RefOrder>9</b:RefOrder>
  </b:Source>
  <b:Source>
    <b:Tag>Chr121</b:Tag>
    <b:SourceType>InternetSite</b:SourceType>
    <b:Guid>{130B2990-741D-44DC-85F5-BDD0B0628051}</b:Guid>
    <b:Author>
      <b:Author>
        <b:NameList>
          <b:Person>
            <b:Last>Durodola</b:Last>
            <b:First>Christi</b:First>
            <b:Middle>Anna</b:Middle>
          </b:Person>
        </b:NameList>
      </b:Author>
    </b:Author>
    <b:Title>Academia</b:Title>
    <b:InternetSiteTitle>Understanding Total Factor Productivity in Nigeria (1970 - 2010)</b:InternetSiteTitle>
    <b:Year>2012</b:Year>
    <b:URL>https://uwinnipeg.academia.edu/ChristiAnnaDurodola</b:URL>
    <b:YearAccessed>2017</b:YearAccessed>
    <b:MonthAccessed>August</b:MonthAccessed>
    <b:DayAccessed>12</b:DayAccessed>
    <b:RefOrder>10</b:RefOrder>
  </b:Source>
  <b:Source>
    <b:Tag>Bar98</b:Tag>
    <b:SourceType>InternetSite</b:SourceType>
    <b:Guid>{B8327D87-52CD-474F-B88D-1CB088575761}</b:Guid>
    <b:Title>Brookings Edu</b:Title>
    <b:Year>1998</b:Year>
    <b:InternetSiteTitle>Productivity Growth in Maxico</b:InternetSiteTitle>
    <b:URL>https://www.brookings.edu/wp-content/uploads/2016/06/07_mexico_bosworth.pdf</b:URL>
    <b:Author>
      <b:Author>
        <b:NameList>
          <b:Person>
            <b:Last>Bosworth</b:Last>
            <b:First>Barry</b:First>
          </b:Person>
        </b:NameList>
      </b:Author>
    </b:Author>
    <b:YearAccessed>2017</b:YearAccessed>
    <b:MonthAccessed>August</b:MonthAccessed>
    <b:DayAccessed>13</b:DayAccessed>
    <b:RefOrder>11</b:RefOrder>
  </b:Source>
</b:Sources>
</file>

<file path=customXml/itemProps1.xml><?xml version="1.0" encoding="utf-8"?>
<ds:datastoreItem xmlns:ds="http://schemas.openxmlformats.org/officeDocument/2006/customXml" ds:itemID="{4C9BA60E-6902-4158-B84B-E091EE1633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TotalTime>
  <Pages>1</Pages>
  <Words>17830</Words>
  <Characters>101631</Characters>
  <Application>Microsoft Office Word</Application>
  <DocSecurity>0</DocSecurity>
  <Lines>846</Lines>
  <Paragraphs>238</Paragraphs>
  <ScaleCrop>false</ScaleCrop>
  <HeadingPairs>
    <vt:vector size="2" baseType="variant">
      <vt:variant>
        <vt:lpstr>Title</vt:lpstr>
      </vt:variant>
      <vt:variant>
        <vt:i4>1</vt:i4>
      </vt:variant>
    </vt:vector>
  </HeadingPairs>
  <TitlesOfParts>
    <vt:vector size="1" baseType="lpstr">
      <vt:lpstr>Nonlinearity between Financial Development and Productivity Growth in Emerging Market</vt:lpstr>
    </vt:vector>
  </TitlesOfParts>
  <Company/>
  <LinksUpToDate>false</LinksUpToDate>
  <CharactersWithSpaces>119223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Nonlinearity between Financial Development and Productivity Growth in Emerging Market</dc:title>
  <dc:creator>Santigie Kargbo</dc:creator>
  <cp:lastModifiedBy>Lamin Sankoh</cp:lastModifiedBy>
  <cp:revision>14</cp:revision>
  <cp:lastPrinted>2017-11-29T21:48:00Z</cp:lastPrinted>
  <dcterms:created xsi:type="dcterms:W3CDTF">2017-12-14T19:56:00Z</dcterms:created>
  <dcterms:modified xsi:type="dcterms:W3CDTF">2017-12-15T15:53:00Z</dcterms:modified>
</cp:coreProperties>
</file>