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r>
        <w:rPr>
          <w:rFonts w:ascii="Times New Roman" w:hAnsi="Times New Roman" w:cs="Times New Roman"/>
          <w:b/>
        </w:rPr>
        <w:t xml:space="preserve">Competing Notions of Women’s Liberation: The Legacy of French Revolutionary ‘Feminism” and Terror in Revolutionary Russia </w:t>
      </w:r>
    </w:p>
    <w:p w:rsidR="002D7D27" w:rsidRPr="002D7D27" w:rsidRDefault="002D7D27" w:rsidP="00B36C75">
      <w:pPr>
        <w:spacing w:line="480" w:lineRule="auto"/>
        <w:jc w:val="center"/>
        <w:rPr>
          <w:rFonts w:ascii="Times New Roman" w:hAnsi="Times New Roman" w:cs="Times New Roman"/>
        </w:rPr>
      </w:pPr>
      <w:r>
        <w:rPr>
          <w:rFonts w:ascii="Times New Roman" w:hAnsi="Times New Roman" w:cs="Times New Roman"/>
        </w:rPr>
        <w:t xml:space="preserve">A Thesis by: </w:t>
      </w:r>
    </w:p>
    <w:p w:rsidR="007954FF" w:rsidRDefault="007954FF" w:rsidP="00B36C75">
      <w:pPr>
        <w:spacing w:line="480" w:lineRule="auto"/>
        <w:jc w:val="center"/>
        <w:rPr>
          <w:rFonts w:ascii="Times New Roman" w:hAnsi="Times New Roman" w:cs="Times New Roman"/>
        </w:rPr>
      </w:pPr>
      <w:r>
        <w:rPr>
          <w:rFonts w:ascii="Times New Roman" w:hAnsi="Times New Roman" w:cs="Times New Roman"/>
        </w:rPr>
        <w:t xml:space="preserve">Elizabeth Kopp </w:t>
      </w:r>
    </w:p>
    <w:p w:rsidR="002D7D27" w:rsidRPr="002D7D27" w:rsidRDefault="002D7D27" w:rsidP="00B36C75">
      <w:pPr>
        <w:spacing w:line="480" w:lineRule="auto"/>
        <w:jc w:val="center"/>
        <w:rPr>
          <w:rFonts w:ascii="Times New Roman" w:hAnsi="Times New Roman" w:cs="Times New Roman"/>
        </w:rPr>
      </w:pPr>
    </w:p>
    <w:p w:rsidR="007954FF" w:rsidRPr="002D7D27" w:rsidRDefault="002D7D27" w:rsidP="00B36C75">
      <w:pPr>
        <w:spacing w:line="480" w:lineRule="auto"/>
        <w:jc w:val="center"/>
        <w:rPr>
          <w:rFonts w:ascii="Times New Roman" w:hAnsi="Times New Roman" w:cs="Times New Roman"/>
        </w:rPr>
      </w:pPr>
      <w:r w:rsidRPr="002D7D27">
        <w:rPr>
          <w:rFonts w:ascii="Times New Roman" w:hAnsi="Times New Roman" w:cs="Times New Roman"/>
        </w:rPr>
        <w:t>History Program</w:t>
      </w:r>
    </w:p>
    <w:p w:rsidR="002D7D27" w:rsidRDefault="002D7D27" w:rsidP="00B36C75">
      <w:pPr>
        <w:spacing w:line="480" w:lineRule="auto"/>
        <w:jc w:val="center"/>
        <w:rPr>
          <w:rFonts w:ascii="Times New Roman" w:hAnsi="Times New Roman" w:cs="Times New Roman"/>
        </w:rPr>
      </w:pPr>
      <w:r w:rsidRPr="002D7D27">
        <w:rPr>
          <w:rFonts w:ascii="Times New Roman" w:hAnsi="Times New Roman" w:cs="Times New Roman"/>
        </w:rPr>
        <w:t xml:space="preserve">Goucher College </w:t>
      </w:r>
    </w:p>
    <w:p w:rsidR="002D7D27" w:rsidRPr="002D7D27" w:rsidRDefault="002D7D27" w:rsidP="00B36C75">
      <w:pPr>
        <w:spacing w:line="480" w:lineRule="auto"/>
        <w:jc w:val="center"/>
        <w:rPr>
          <w:rFonts w:ascii="Times New Roman" w:hAnsi="Times New Roman" w:cs="Times New Roman"/>
        </w:rPr>
      </w:pPr>
      <w:r>
        <w:rPr>
          <w:rFonts w:ascii="Times New Roman" w:hAnsi="Times New Roman" w:cs="Times New Roman"/>
        </w:rPr>
        <w:t>December 2021</w:t>
      </w: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B36C75">
      <w:pPr>
        <w:spacing w:line="480" w:lineRule="auto"/>
        <w:jc w:val="center"/>
        <w:rPr>
          <w:rFonts w:ascii="Times New Roman" w:hAnsi="Times New Roman" w:cs="Times New Roman"/>
          <w:b/>
        </w:rPr>
      </w:pPr>
    </w:p>
    <w:p w:rsidR="007954FF" w:rsidRDefault="007954FF" w:rsidP="003448CE">
      <w:pPr>
        <w:spacing w:line="480" w:lineRule="auto"/>
        <w:rPr>
          <w:rFonts w:ascii="Times New Roman" w:hAnsi="Times New Roman" w:cs="Times New Roman"/>
          <w:b/>
        </w:rPr>
      </w:pPr>
    </w:p>
    <w:p w:rsidR="00B36C75" w:rsidRPr="00570413" w:rsidRDefault="00B36C75" w:rsidP="00B36C75">
      <w:pPr>
        <w:spacing w:line="480" w:lineRule="auto"/>
        <w:jc w:val="center"/>
        <w:rPr>
          <w:rFonts w:ascii="Times New Roman" w:hAnsi="Times New Roman" w:cs="Times New Roman"/>
          <w:b/>
        </w:rPr>
      </w:pPr>
      <w:r w:rsidRPr="00570413">
        <w:rPr>
          <w:rFonts w:ascii="Times New Roman" w:hAnsi="Times New Roman" w:cs="Times New Roman"/>
          <w:b/>
        </w:rPr>
        <w:lastRenderedPageBreak/>
        <w:t>Introduction:</w:t>
      </w:r>
    </w:p>
    <w:p w:rsidR="00C566AA" w:rsidRPr="00570413" w:rsidRDefault="00C566AA" w:rsidP="00C566AA">
      <w:pPr>
        <w:spacing w:line="480" w:lineRule="auto"/>
        <w:ind w:firstLine="720"/>
        <w:rPr>
          <w:rFonts w:ascii="Times New Roman" w:hAnsi="Times New Roman" w:cs="Times New Roman"/>
        </w:rPr>
      </w:pPr>
      <w:r w:rsidRPr="00570413">
        <w:rPr>
          <w:rFonts w:ascii="Times New Roman" w:hAnsi="Times New Roman" w:cs="Times New Roman"/>
        </w:rPr>
        <w:t xml:space="preserve">The French Revolution has long stood within the revolutionary zeitgeist as the mother of all revolutions. This is not simply a catchy phrase, but instead a statement on the ways revolutionary leaders and thinkers tend to look back on the past for reference, and the position of the French Revolution within the history of the world as the first great revolution. While many gender historians and other scholars have devoted a great deal of time to understanding the position of women within various historical revolutionary contexts, including the French Revolution, there has been little published and explored in how concepts of women’s liberation have changed over time through a reference to the historical record of past revolutions. And while the French Revolution and Russian Revolutions of 1917 are often compared and studied in reference to each other, there is still not a lot published comparing the French and Russian Revolutions in regards to women’s liberation including what ‘feminism’ meant to either group of revolutionary women and how the events of the French Revolution shaped women’s liberation during the February and October Revolutions of 1917. As gender historian Joan Wallach Scott argues, feminism cannot be understood under a single definition as it exists within the context of its own time period </w:t>
      </w:r>
      <w:r w:rsidR="007954FF">
        <w:rPr>
          <w:rFonts w:ascii="Times New Roman" w:hAnsi="Times New Roman" w:cs="Times New Roman"/>
        </w:rPr>
        <w:t>and</w:t>
      </w:r>
      <w:r w:rsidRPr="00570413">
        <w:rPr>
          <w:rFonts w:ascii="Times New Roman" w:hAnsi="Times New Roman" w:cs="Times New Roman"/>
        </w:rPr>
        <w:t xml:space="preserve"> is informed by contemporary ideas, </w:t>
      </w:r>
      <w:r w:rsidR="007954FF">
        <w:rPr>
          <w:rFonts w:ascii="Times New Roman" w:hAnsi="Times New Roman" w:cs="Times New Roman"/>
        </w:rPr>
        <w:t>and</w:t>
      </w:r>
      <w:r w:rsidRPr="00570413">
        <w:rPr>
          <w:rFonts w:ascii="Times New Roman" w:hAnsi="Times New Roman" w:cs="Times New Roman"/>
        </w:rPr>
        <w:t xml:space="preserve"> also by the understanding of feminism before said contextual time period.</w:t>
      </w:r>
      <w:r w:rsidRPr="00570413">
        <w:rPr>
          <w:rStyle w:val="FootnoteReference"/>
          <w:rFonts w:ascii="Times New Roman" w:hAnsi="Times New Roman" w:cs="Times New Roman"/>
        </w:rPr>
        <w:footnoteReference w:id="1"/>
      </w:r>
      <w:r w:rsidRPr="00570413">
        <w:rPr>
          <w:rFonts w:ascii="Times New Roman" w:hAnsi="Times New Roman" w:cs="Times New Roman"/>
        </w:rPr>
        <w:t xml:space="preserve"> Not only will this thesis seek to define and understand the differences in the constructions of a feminist ideology in each of these revolutionary moments, but also to understand how the legacy of the French Revolution informed the revolutionary Russian definition of women’s liberation for female revolutionaries. </w:t>
      </w:r>
      <w:r w:rsidR="00F16612" w:rsidRPr="00570413">
        <w:rPr>
          <w:rFonts w:ascii="Times New Roman" w:hAnsi="Times New Roman" w:cs="Times New Roman"/>
        </w:rPr>
        <w:t xml:space="preserve">It will also seek to </w:t>
      </w:r>
      <w:r w:rsidR="00CE769E" w:rsidRPr="00570413">
        <w:rPr>
          <w:rFonts w:ascii="Times New Roman" w:hAnsi="Times New Roman" w:cs="Times New Roman"/>
        </w:rPr>
        <w:t xml:space="preserve">compare and analyze texts from intellectuals who influenced not only male revolutionaries, but women revolutionaries who may or may not have tied their revolutionary </w:t>
      </w:r>
      <w:r w:rsidR="00CE769E" w:rsidRPr="00570413">
        <w:rPr>
          <w:rFonts w:ascii="Times New Roman" w:hAnsi="Times New Roman" w:cs="Times New Roman"/>
        </w:rPr>
        <w:lastRenderedPageBreak/>
        <w:t xml:space="preserve">ethos to what we would contemporarily be considered ‘feminist’ in some way or another. </w:t>
      </w:r>
      <w:r w:rsidRPr="00570413">
        <w:rPr>
          <w:rFonts w:ascii="Times New Roman" w:hAnsi="Times New Roman" w:cs="Times New Roman"/>
        </w:rPr>
        <w:t>This this thesis</w:t>
      </w:r>
      <w:r w:rsidR="00CE769E" w:rsidRPr="00570413">
        <w:rPr>
          <w:rFonts w:ascii="Times New Roman" w:hAnsi="Times New Roman" w:cs="Times New Roman"/>
        </w:rPr>
        <w:t xml:space="preserve"> is organized</w:t>
      </w:r>
      <w:r w:rsidRPr="00570413">
        <w:rPr>
          <w:rFonts w:ascii="Times New Roman" w:hAnsi="Times New Roman" w:cs="Times New Roman"/>
        </w:rPr>
        <w:t xml:space="preserve"> as follows: </w:t>
      </w:r>
      <w:r w:rsidR="00CE769E" w:rsidRPr="00570413">
        <w:rPr>
          <w:rFonts w:ascii="Times New Roman" w:hAnsi="Times New Roman" w:cs="Times New Roman"/>
        </w:rPr>
        <w:t>Comparative</w:t>
      </w:r>
      <w:r w:rsidRPr="00570413">
        <w:rPr>
          <w:rFonts w:ascii="Times New Roman" w:hAnsi="Times New Roman" w:cs="Times New Roman"/>
        </w:rPr>
        <w:t xml:space="preserve"> </w:t>
      </w:r>
      <w:r w:rsidR="00CE769E" w:rsidRPr="00570413">
        <w:rPr>
          <w:rFonts w:ascii="Times New Roman" w:hAnsi="Times New Roman" w:cs="Times New Roman"/>
        </w:rPr>
        <w:t>Ideologie</w:t>
      </w:r>
      <w:r w:rsidRPr="00570413">
        <w:rPr>
          <w:rFonts w:ascii="Times New Roman" w:hAnsi="Times New Roman" w:cs="Times New Roman"/>
        </w:rPr>
        <w:t>s, French Revolutionary ‘Feminism’, Russian Revolutionary ‘Feminism’, and</w:t>
      </w:r>
      <w:r w:rsidR="00CE769E" w:rsidRPr="00570413">
        <w:rPr>
          <w:rFonts w:ascii="Times New Roman" w:hAnsi="Times New Roman" w:cs="Times New Roman"/>
        </w:rPr>
        <w:t xml:space="preserve"> the Conclusion where ideologies and actions will be compared between the French Revolution and the Russian Revolution of 1917</w:t>
      </w:r>
      <w:r w:rsidRPr="00570413">
        <w:rPr>
          <w:rFonts w:ascii="Times New Roman" w:hAnsi="Times New Roman" w:cs="Times New Roman"/>
        </w:rPr>
        <w:t xml:space="preserve">. </w:t>
      </w:r>
    </w:p>
    <w:p w:rsidR="00C566AA" w:rsidRPr="00570413" w:rsidRDefault="00C566AA" w:rsidP="00EF4325">
      <w:pPr>
        <w:spacing w:line="480" w:lineRule="auto"/>
        <w:ind w:firstLine="720"/>
        <w:rPr>
          <w:rFonts w:ascii="Times New Roman" w:hAnsi="Times New Roman" w:cs="Times New Roman"/>
        </w:rPr>
      </w:pPr>
      <w:r w:rsidRPr="00570413">
        <w:rPr>
          <w:rFonts w:ascii="Times New Roman" w:hAnsi="Times New Roman" w:cs="Times New Roman"/>
        </w:rPr>
        <w:t>Th</w:t>
      </w:r>
      <w:r w:rsidR="008E0093" w:rsidRPr="00570413">
        <w:rPr>
          <w:rFonts w:ascii="Times New Roman" w:hAnsi="Times New Roman" w:cs="Times New Roman"/>
        </w:rPr>
        <w:t>e first main</w:t>
      </w:r>
      <w:r w:rsidRPr="00570413">
        <w:rPr>
          <w:rFonts w:ascii="Times New Roman" w:hAnsi="Times New Roman" w:cs="Times New Roman"/>
        </w:rPr>
        <w:t xml:space="preserve"> chapter will seek to explain the main philosophical ideologies and writings that informed both the French Revolution and the </w:t>
      </w:r>
      <w:r w:rsidRPr="007954FF">
        <w:rPr>
          <w:rFonts w:ascii="Times New Roman" w:hAnsi="Times New Roman" w:cs="Times New Roman"/>
        </w:rPr>
        <w:t xml:space="preserve">Russian Revolutions of 1917. For the French Revolution, I will be </w:t>
      </w:r>
      <w:r w:rsidR="00CE769E" w:rsidRPr="007954FF">
        <w:rPr>
          <w:rFonts w:ascii="Times New Roman" w:hAnsi="Times New Roman" w:cs="Times New Roman"/>
        </w:rPr>
        <w:t xml:space="preserve">discussing </w:t>
      </w:r>
      <w:r w:rsidRPr="007954FF">
        <w:rPr>
          <w:rFonts w:ascii="Times New Roman" w:hAnsi="Times New Roman" w:cs="Times New Roman"/>
        </w:rPr>
        <w:t xml:space="preserve"> Rousseau</w:t>
      </w:r>
      <w:r w:rsidR="00CE769E" w:rsidRPr="007954FF">
        <w:rPr>
          <w:rFonts w:ascii="Times New Roman" w:hAnsi="Times New Roman" w:cs="Times New Roman"/>
        </w:rPr>
        <w:t xml:space="preserve">’s </w:t>
      </w:r>
      <w:r w:rsidRPr="007954FF">
        <w:rPr>
          <w:rFonts w:ascii="Times New Roman" w:hAnsi="Times New Roman" w:cs="Times New Roman"/>
        </w:rPr>
        <w:t>writing</w:t>
      </w:r>
      <w:r w:rsidR="00CE769E" w:rsidRPr="007954FF">
        <w:rPr>
          <w:rFonts w:ascii="Times New Roman" w:hAnsi="Times New Roman" w:cs="Times New Roman"/>
        </w:rPr>
        <w:t xml:space="preserve">  </w:t>
      </w:r>
      <w:r w:rsidR="00CE769E" w:rsidRPr="007954FF">
        <w:rPr>
          <w:rFonts w:ascii="Times New Roman" w:hAnsi="Times New Roman" w:cs="Times New Roman"/>
          <w:i/>
        </w:rPr>
        <w:t xml:space="preserve">Discourse on Inequalities </w:t>
      </w:r>
      <w:r w:rsidR="00CE769E" w:rsidRPr="007954FF">
        <w:rPr>
          <w:rFonts w:ascii="Times New Roman" w:hAnsi="Times New Roman" w:cs="Times New Roman"/>
        </w:rPr>
        <w:t>mostly because of its discuss</w:t>
      </w:r>
      <w:r w:rsidR="007954FF" w:rsidRPr="007954FF">
        <w:rPr>
          <w:rFonts w:ascii="Times New Roman" w:hAnsi="Times New Roman" w:cs="Times New Roman"/>
        </w:rPr>
        <w:t xml:space="preserve">ion </w:t>
      </w:r>
      <w:r w:rsidR="007A7576" w:rsidRPr="007954FF">
        <w:rPr>
          <w:rFonts w:ascii="Times New Roman" w:hAnsi="Times New Roman" w:cs="Times New Roman"/>
        </w:rPr>
        <w:t>regarding</w:t>
      </w:r>
      <w:r w:rsidR="00CE769E" w:rsidRPr="007954FF">
        <w:rPr>
          <w:rFonts w:ascii="Times New Roman" w:hAnsi="Times New Roman" w:cs="Times New Roman"/>
        </w:rPr>
        <w:t xml:space="preserve"> gender</w:t>
      </w:r>
      <w:r w:rsidR="00CE769E" w:rsidRPr="00570413">
        <w:rPr>
          <w:rFonts w:ascii="Times New Roman" w:hAnsi="Times New Roman" w:cs="Times New Roman"/>
        </w:rPr>
        <w:t xml:space="preserve"> inequalities, namely that inequalities do not exist between sexes at all</w:t>
      </w:r>
      <w:r w:rsidRPr="00570413">
        <w:rPr>
          <w:rFonts w:ascii="Times New Roman" w:hAnsi="Times New Roman" w:cs="Times New Roman"/>
          <w:i/>
        </w:rPr>
        <w:t>.</w:t>
      </w:r>
      <w:r w:rsidRPr="00570413">
        <w:rPr>
          <w:rFonts w:ascii="Times New Roman" w:hAnsi="Times New Roman" w:cs="Times New Roman"/>
        </w:rPr>
        <w:t xml:space="preserve"> There will be a heavy emphasis on Rousseau because he did not only </w:t>
      </w:r>
      <w:r w:rsidR="007954FF">
        <w:rPr>
          <w:rFonts w:ascii="Times New Roman" w:hAnsi="Times New Roman" w:cs="Times New Roman"/>
        </w:rPr>
        <w:t xml:space="preserve">inform </w:t>
      </w:r>
      <w:r w:rsidRPr="00570413">
        <w:rPr>
          <w:rFonts w:ascii="Times New Roman" w:hAnsi="Times New Roman" w:cs="Times New Roman"/>
        </w:rPr>
        <w:t xml:space="preserve">female revolutionaries, but most of the French revolutionaries regardless of gender. A similar model will be used for the 1917 Russian Revolutions in citing philosophers who informed the revolution in general, and not just revolutionaries concerned with women’s liberation. For Russia, I will be citing Engels’ </w:t>
      </w:r>
      <w:r w:rsidRPr="00570413">
        <w:rPr>
          <w:rFonts w:ascii="Times New Roman" w:hAnsi="Times New Roman" w:cs="Times New Roman"/>
          <w:i/>
        </w:rPr>
        <w:t>Origins of the Family, Private Property and the State</w:t>
      </w:r>
      <w:r w:rsidRPr="00570413">
        <w:rPr>
          <w:rFonts w:ascii="Times New Roman" w:hAnsi="Times New Roman" w:cs="Times New Roman"/>
        </w:rPr>
        <w:t>, mostly because this work does focus</w:t>
      </w:r>
      <w:r w:rsidR="007954FF">
        <w:rPr>
          <w:rFonts w:ascii="Times New Roman" w:hAnsi="Times New Roman" w:cs="Times New Roman"/>
        </w:rPr>
        <w:t>ed</w:t>
      </w:r>
      <w:r w:rsidRPr="00570413">
        <w:rPr>
          <w:rFonts w:ascii="Times New Roman" w:hAnsi="Times New Roman" w:cs="Times New Roman"/>
        </w:rPr>
        <w:t xml:space="preserve"> directly on women and again, as was the case for Rousseau in France, did actually influence</w:t>
      </w:r>
      <w:r w:rsidR="007954FF">
        <w:rPr>
          <w:rFonts w:ascii="Times New Roman" w:hAnsi="Times New Roman" w:cs="Times New Roman"/>
        </w:rPr>
        <w:t>d</w:t>
      </w:r>
      <w:r w:rsidRPr="00570413">
        <w:rPr>
          <w:rFonts w:ascii="Times New Roman" w:hAnsi="Times New Roman" w:cs="Times New Roman"/>
        </w:rPr>
        <w:t xml:space="preserve"> revolutionaries regardless of gender in Russia. </w:t>
      </w:r>
      <w:r w:rsidR="000A21E0" w:rsidRPr="00570413">
        <w:rPr>
          <w:rFonts w:ascii="Times New Roman" w:hAnsi="Times New Roman" w:cs="Times New Roman"/>
        </w:rPr>
        <w:t xml:space="preserve">In Engels’ </w:t>
      </w:r>
      <w:r w:rsidR="000A21E0" w:rsidRPr="007954FF">
        <w:rPr>
          <w:rFonts w:ascii="Times New Roman" w:hAnsi="Times New Roman" w:cs="Times New Roman"/>
          <w:i/>
        </w:rPr>
        <w:t>Origins</w:t>
      </w:r>
      <w:r w:rsidR="007954FF">
        <w:rPr>
          <w:rFonts w:ascii="Times New Roman" w:hAnsi="Times New Roman" w:cs="Times New Roman"/>
        </w:rPr>
        <w:t>,</w:t>
      </w:r>
      <w:r w:rsidR="000A21E0" w:rsidRPr="00570413">
        <w:rPr>
          <w:rFonts w:ascii="Times New Roman" w:hAnsi="Times New Roman" w:cs="Times New Roman"/>
        </w:rPr>
        <w:t xml:space="preserve"> women’s subjugation is classified not only as an inequality but as the bedrock of modern civilization. This chapter will also briefly discuss critical analysis of both of these works in regards to gender, specifically how they fail to work as women’s liberationist texts, even though neither of these texts were written for that purpose. The themes discussed in this chapter will become more important during the chapter on the constructed ‘feminism’ in each revolution’s case. </w:t>
      </w:r>
    </w:p>
    <w:p w:rsidR="00C566AA" w:rsidRPr="00570413" w:rsidRDefault="00C566AA" w:rsidP="007B2EA1">
      <w:pPr>
        <w:pStyle w:val="Bibliography"/>
        <w:spacing w:line="480" w:lineRule="auto"/>
        <w:ind w:left="0" w:firstLine="720"/>
        <w:rPr>
          <w:rFonts w:ascii="Times New Roman" w:hAnsi="Times New Roman" w:cs="Times New Roman"/>
        </w:rPr>
      </w:pPr>
      <w:r w:rsidRPr="00570413">
        <w:rPr>
          <w:rFonts w:ascii="Times New Roman" w:hAnsi="Times New Roman" w:cs="Times New Roman"/>
        </w:rPr>
        <w:t>Th</w:t>
      </w:r>
      <w:r w:rsidR="008E0093" w:rsidRPr="00570413">
        <w:rPr>
          <w:rFonts w:ascii="Times New Roman" w:hAnsi="Times New Roman" w:cs="Times New Roman"/>
        </w:rPr>
        <w:t>e second chapter</w:t>
      </w:r>
      <w:r w:rsidR="007954FF">
        <w:rPr>
          <w:rFonts w:ascii="Times New Roman" w:hAnsi="Times New Roman" w:cs="Times New Roman"/>
        </w:rPr>
        <w:t>,</w:t>
      </w:r>
      <w:r w:rsidR="008E0093" w:rsidRPr="00570413">
        <w:rPr>
          <w:rFonts w:ascii="Times New Roman" w:hAnsi="Times New Roman" w:cs="Times New Roman"/>
        </w:rPr>
        <w:t xml:space="preserve"> on French revolutionary ‘feminism</w:t>
      </w:r>
      <w:r w:rsidR="007954FF">
        <w:rPr>
          <w:rFonts w:ascii="Times New Roman" w:hAnsi="Times New Roman" w:cs="Times New Roman"/>
        </w:rPr>
        <w:t>,</w:t>
      </w:r>
      <w:r w:rsidR="008E0093" w:rsidRPr="00570413">
        <w:rPr>
          <w:rFonts w:ascii="Times New Roman" w:hAnsi="Times New Roman" w:cs="Times New Roman"/>
        </w:rPr>
        <w:t xml:space="preserve">’ </w:t>
      </w:r>
      <w:r w:rsidRPr="00570413">
        <w:rPr>
          <w:rFonts w:ascii="Times New Roman" w:hAnsi="Times New Roman" w:cs="Times New Roman"/>
        </w:rPr>
        <w:t>chapter will seek to define how Frenc</w:t>
      </w:r>
      <w:r w:rsidR="00EF4325" w:rsidRPr="00570413">
        <w:rPr>
          <w:rFonts w:ascii="Times New Roman" w:hAnsi="Times New Roman" w:cs="Times New Roman"/>
        </w:rPr>
        <w:t xml:space="preserve">h </w:t>
      </w:r>
      <w:r w:rsidRPr="00570413">
        <w:rPr>
          <w:rFonts w:ascii="Times New Roman" w:hAnsi="Times New Roman" w:cs="Times New Roman"/>
        </w:rPr>
        <w:t xml:space="preserve">women </w:t>
      </w:r>
      <w:r w:rsidR="008E0093" w:rsidRPr="00570413">
        <w:rPr>
          <w:rFonts w:ascii="Times New Roman" w:hAnsi="Times New Roman" w:cs="Times New Roman"/>
        </w:rPr>
        <w:t>engaged in politics during the Revolution and their constructions of women’s liberation, if any</w:t>
      </w:r>
      <w:r w:rsidRPr="00570413">
        <w:rPr>
          <w:rFonts w:ascii="Times New Roman" w:hAnsi="Times New Roman" w:cs="Times New Roman"/>
        </w:rPr>
        <w:t xml:space="preserve">. In this </w:t>
      </w:r>
      <w:r w:rsidR="007954FF">
        <w:rPr>
          <w:rFonts w:ascii="Times New Roman" w:hAnsi="Times New Roman" w:cs="Times New Roman"/>
        </w:rPr>
        <w:t>thesis</w:t>
      </w:r>
      <w:r w:rsidRPr="00570413">
        <w:rPr>
          <w:rFonts w:ascii="Times New Roman" w:hAnsi="Times New Roman" w:cs="Times New Roman"/>
        </w:rPr>
        <w:t xml:space="preserve"> I have put feminism in quotations where necessary because the </w:t>
      </w:r>
      <w:r w:rsidRPr="00570413">
        <w:rPr>
          <w:rFonts w:ascii="Times New Roman" w:hAnsi="Times New Roman" w:cs="Times New Roman"/>
        </w:rPr>
        <w:lastRenderedPageBreak/>
        <w:t xml:space="preserve">word as understood within contemporary contexts does not encapsulate what I am referencing in the French Revolution. It is instead being used as a filler word to encapsulate French women’s ideas about how women should act within society and/or politics as a celebration or recognition of women as having different </w:t>
      </w:r>
      <w:r w:rsidRPr="007954FF">
        <w:rPr>
          <w:rFonts w:ascii="Times New Roman" w:hAnsi="Times New Roman" w:cs="Times New Roman"/>
        </w:rPr>
        <w:t>standards or needs tha</w:t>
      </w:r>
      <w:r w:rsidR="007954FF" w:rsidRPr="007954FF">
        <w:rPr>
          <w:rFonts w:ascii="Times New Roman" w:hAnsi="Times New Roman" w:cs="Times New Roman"/>
        </w:rPr>
        <w:t xml:space="preserve">n </w:t>
      </w:r>
      <w:r w:rsidRPr="007954FF">
        <w:rPr>
          <w:rFonts w:ascii="Times New Roman" w:hAnsi="Times New Roman" w:cs="Times New Roman"/>
        </w:rPr>
        <w:t>men within French</w:t>
      </w:r>
      <w:r w:rsidRPr="00570413">
        <w:rPr>
          <w:rFonts w:ascii="Times New Roman" w:hAnsi="Times New Roman" w:cs="Times New Roman"/>
        </w:rPr>
        <w:t xml:space="preserve"> society. </w:t>
      </w:r>
      <w:r w:rsidR="000A21E0" w:rsidRPr="00570413">
        <w:rPr>
          <w:rFonts w:ascii="Times New Roman" w:hAnsi="Times New Roman" w:cs="Times New Roman"/>
        </w:rPr>
        <w:t xml:space="preserve">Women’s political engagement in the French Revolution took on various forms that are reflected in Rousseau’s writing in </w:t>
      </w:r>
      <w:r w:rsidR="000A21E0" w:rsidRPr="00570413">
        <w:rPr>
          <w:rFonts w:ascii="Times New Roman" w:hAnsi="Times New Roman" w:cs="Times New Roman"/>
          <w:i/>
        </w:rPr>
        <w:t>Discourse</w:t>
      </w:r>
      <w:r w:rsidRPr="00570413">
        <w:rPr>
          <w:rFonts w:ascii="Times New Roman" w:hAnsi="Times New Roman" w:cs="Times New Roman"/>
        </w:rPr>
        <w:t xml:space="preserve">. </w:t>
      </w:r>
      <w:r w:rsidR="000A21E0" w:rsidRPr="00570413">
        <w:rPr>
          <w:rFonts w:ascii="Times New Roman" w:hAnsi="Times New Roman" w:cs="Times New Roman"/>
        </w:rPr>
        <w:t xml:space="preserve">The writing and various interpretations of his writing will be discussed in tandem with various historical events like the expulsion of the Society of Revolutionary Republican Citizenesses, Charlotte Corday’s assassination of Jean-Paul Marat and Olympe de Gouges’ </w:t>
      </w:r>
      <w:r w:rsidR="000A21E0" w:rsidRPr="00570413">
        <w:rPr>
          <w:rFonts w:ascii="Times New Roman" w:hAnsi="Times New Roman" w:cs="Times New Roman"/>
          <w:i/>
        </w:rPr>
        <w:t>Declarations of the Rights of Women</w:t>
      </w:r>
      <w:r w:rsidR="007B2EA1" w:rsidRPr="00570413">
        <w:rPr>
          <w:rFonts w:ascii="Times New Roman" w:hAnsi="Times New Roman" w:cs="Times New Roman"/>
        </w:rPr>
        <w:t>.</w:t>
      </w:r>
      <w:r w:rsidR="007A7576">
        <w:rPr>
          <w:rStyle w:val="FootnoteReference"/>
          <w:rFonts w:ascii="Times New Roman" w:hAnsi="Times New Roman" w:cs="Times New Roman"/>
        </w:rPr>
        <w:footnoteReference w:id="2"/>
      </w:r>
      <w:r w:rsidR="007954FF">
        <w:rPr>
          <w:rFonts w:ascii="Times New Roman" w:hAnsi="Times New Roman" w:cs="Times New Roman"/>
        </w:rPr>
        <w:t xml:space="preserve"> </w:t>
      </w:r>
      <w:r w:rsidR="000A21E0" w:rsidRPr="00570413">
        <w:rPr>
          <w:rFonts w:ascii="Times New Roman" w:hAnsi="Times New Roman" w:cs="Times New Roman"/>
        </w:rPr>
        <w:t>This chapter will also briefly discuss the historiography on gender in the French Revolution</w:t>
      </w:r>
      <w:r w:rsidR="007954FF">
        <w:rPr>
          <w:rFonts w:ascii="Times New Roman" w:hAnsi="Times New Roman" w:cs="Times New Roman"/>
        </w:rPr>
        <w:t>, particularly the</w:t>
      </w:r>
      <w:r w:rsidR="000A21E0" w:rsidRPr="00570413">
        <w:rPr>
          <w:rFonts w:ascii="Times New Roman" w:hAnsi="Times New Roman" w:cs="Times New Roman"/>
        </w:rPr>
        <w:t xml:space="preserve"> conc</w:t>
      </w:r>
      <w:r w:rsidR="007954FF">
        <w:rPr>
          <w:rFonts w:ascii="Times New Roman" w:hAnsi="Times New Roman" w:cs="Times New Roman"/>
        </w:rPr>
        <w:t>ept</w:t>
      </w:r>
      <w:r w:rsidR="000A21E0" w:rsidRPr="00570413">
        <w:rPr>
          <w:rFonts w:ascii="Times New Roman" w:hAnsi="Times New Roman" w:cs="Times New Roman"/>
        </w:rPr>
        <w:t xml:space="preserve"> </w:t>
      </w:r>
      <w:r w:rsidR="007954FF">
        <w:rPr>
          <w:rFonts w:ascii="Times New Roman" w:hAnsi="Times New Roman" w:cs="Times New Roman"/>
        </w:rPr>
        <w:t>of</w:t>
      </w:r>
      <w:r w:rsidR="000A21E0" w:rsidRPr="00570413">
        <w:rPr>
          <w:rFonts w:ascii="Times New Roman" w:hAnsi="Times New Roman" w:cs="Times New Roman"/>
        </w:rPr>
        <w:t xml:space="preserve"> active and passive citizenship, however this thesis will not seek to debunk this concept.</w:t>
      </w:r>
      <w:r w:rsidR="007B2EA1" w:rsidRPr="00570413">
        <w:rPr>
          <w:rStyle w:val="FootnoteReference"/>
          <w:rFonts w:ascii="Times New Roman" w:hAnsi="Times New Roman" w:cs="Times New Roman"/>
        </w:rPr>
        <w:footnoteReference w:id="3"/>
      </w:r>
      <w:r w:rsidR="000A21E0" w:rsidRPr="00570413">
        <w:rPr>
          <w:rFonts w:ascii="Times New Roman" w:hAnsi="Times New Roman" w:cs="Times New Roman"/>
        </w:rPr>
        <w:t xml:space="preserve"> </w:t>
      </w:r>
      <w:r w:rsidRPr="00570413">
        <w:rPr>
          <w:rFonts w:ascii="Times New Roman" w:hAnsi="Times New Roman" w:cs="Times New Roman"/>
        </w:rPr>
        <w:t>This section will not only touch on the complementarianism present within French revolutionary concepts of women’s rights</w:t>
      </w:r>
      <w:r w:rsidR="007954FF">
        <w:rPr>
          <w:rFonts w:ascii="Times New Roman" w:hAnsi="Times New Roman" w:cs="Times New Roman"/>
        </w:rPr>
        <w:t>,</w:t>
      </w:r>
      <w:r w:rsidRPr="00570413">
        <w:rPr>
          <w:rFonts w:ascii="Times New Roman" w:hAnsi="Times New Roman" w:cs="Times New Roman"/>
        </w:rPr>
        <w:t xml:space="preserve"> but also on the concept of nature as an authority within Enlightenment philosophies and how this repeated allusion to nature shaped French women’s arguments for their rights, especially with reference to Rousseau’s notions of gender relations. There will also be a brief discussion of the terror of the French revolution as it will become more relevant later during the connecting ideologies chapter. </w:t>
      </w:r>
    </w:p>
    <w:p w:rsidR="00C566AA" w:rsidRPr="00570413" w:rsidRDefault="008E0093" w:rsidP="00C566AA">
      <w:pPr>
        <w:spacing w:line="480" w:lineRule="auto"/>
        <w:ind w:firstLine="720"/>
        <w:rPr>
          <w:rFonts w:ascii="Times New Roman" w:hAnsi="Times New Roman" w:cs="Times New Roman"/>
        </w:rPr>
      </w:pPr>
      <w:r w:rsidRPr="00570413">
        <w:rPr>
          <w:rFonts w:ascii="Times New Roman" w:hAnsi="Times New Roman" w:cs="Times New Roman"/>
        </w:rPr>
        <w:t xml:space="preserve">The next chapter will mostly discuss </w:t>
      </w:r>
      <w:r w:rsidR="00C542D1" w:rsidRPr="00570413">
        <w:rPr>
          <w:rFonts w:ascii="Times New Roman" w:hAnsi="Times New Roman" w:cs="Times New Roman"/>
        </w:rPr>
        <w:t xml:space="preserve">the Russian Revolutions of 1905 and 1917. </w:t>
      </w:r>
      <w:r w:rsidR="00C566AA" w:rsidRPr="00570413">
        <w:rPr>
          <w:rFonts w:ascii="Times New Roman" w:hAnsi="Times New Roman" w:cs="Times New Roman"/>
        </w:rPr>
        <w:t xml:space="preserve">In the case of Russia, as in the case of France, ‘feminism’ is again used here as a catch-all term used to describe their concepts of women’s rights, liberation, or anything that would reference women’s specific role in society or politics. </w:t>
      </w:r>
      <w:r w:rsidR="00282C70" w:rsidRPr="00570413">
        <w:rPr>
          <w:rFonts w:ascii="Times New Roman" w:hAnsi="Times New Roman" w:cs="Times New Roman"/>
        </w:rPr>
        <w:t>Again</w:t>
      </w:r>
      <w:r w:rsidR="007F56E5" w:rsidRPr="00570413">
        <w:rPr>
          <w:rFonts w:ascii="Times New Roman" w:hAnsi="Times New Roman" w:cs="Times New Roman"/>
        </w:rPr>
        <w:t>,</w:t>
      </w:r>
      <w:r w:rsidR="00282C70" w:rsidRPr="00570413">
        <w:rPr>
          <w:rFonts w:ascii="Times New Roman" w:hAnsi="Times New Roman" w:cs="Times New Roman"/>
        </w:rPr>
        <w:t xml:space="preserve"> feminism will be placed in quotes</w:t>
      </w:r>
      <w:r w:rsidR="007F56E5" w:rsidRPr="00570413">
        <w:rPr>
          <w:rFonts w:ascii="Times New Roman" w:hAnsi="Times New Roman" w:cs="Times New Roman"/>
        </w:rPr>
        <w:t xml:space="preserve"> during this section not only due to their constructions of women’s liberation not necessarily fitting the modern usage </w:t>
      </w:r>
      <w:r w:rsidR="007F56E5" w:rsidRPr="00570413">
        <w:rPr>
          <w:rFonts w:ascii="Times New Roman" w:hAnsi="Times New Roman" w:cs="Times New Roman"/>
        </w:rPr>
        <w:lastRenderedPageBreak/>
        <w:t xml:space="preserve">of ‘feminism,’ but also because of Russian Marxist rejections of western feminism entirely. This rejection will be discussed in reference to Engels’ writing in </w:t>
      </w:r>
      <w:r w:rsidR="007F56E5" w:rsidRPr="00570413">
        <w:rPr>
          <w:rFonts w:ascii="Times New Roman" w:hAnsi="Times New Roman" w:cs="Times New Roman"/>
          <w:i/>
        </w:rPr>
        <w:t>Origins</w:t>
      </w:r>
      <w:r w:rsidR="007F56E5" w:rsidRPr="00570413">
        <w:rPr>
          <w:rFonts w:ascii="Times New Roman" w:hAnsi="Times New Roman" w:cs="Times New Roman"/>
        </w:rPr>
        <w:t>. This chapter will discuss various radical women in their constructions of revolutionary womanhood including a group of Socialist Revolutionary women terrorists known as the Shesterka and leading female Bolshevik, or Bolshevichka</w:t>
      </w:r>
      <w:r w:rsidR="00C542D1" w:rsidRPr="00570413">
        <w:rPr>
          <w:rFonts w:ascii="Times New Roman" w:hAnsi="Times New Roman" w:cs="Times New Roman"/>
        </w:rPr>
        <w:t>,</w:t>
      </w:r>
      <w:r w:rsidR="007F56E5" w:rsidRPr="00570413">
        <w:rPr>
          <w:rFonts w:ascii="Times New Roman" w:hAnsi="Times New Roman" w:cs="Times New Roman"/>
        </w:rPr>
        <w:t xml:space="preserve"> Aleksandra Kollontai.</w:t>
      </w:r>
      <w:r w:rsidR="00282C70" w:rsidRPr="00570413">
        <w:rPr>
          <w:rFonts w:ascii="Times New Roman" w:hAnsi="Times New Roman" w:cs="Times New Roman"/>
        </w:rPr>
        <w:t xml:space="preserve"> </w:t>
      </w:r>
      <w:r w:rsidR="00C566AA" w:rsidRPr="00570413">
        <w:rPr>
          <w:rFonts w:ascii="Times New Roman" w:hAnsi="Times New Roman" w:cs="Times New Roman"/>
        </w:rPr>
        <w:t>This section will lean on Kollontai</w:t>
      </w:r>
      <w:r w:rsidR="007F56E5" w:rsidRPr="00570413">
        <w:rPr>
          <w:rFonts w:ascii="Times New Roman" w:hAnsi="Times New Roman" w:cs="Times New Roman"/>
        </w:rPr>
        <w:t>’s writing</w:t>
      </w:r>
      <w:r w:rsidR="00C566AA" w:rsidRPr="00570413">
        <w:rPr>
          <w:rFonts w:ascii="Times New Roman" w:hAnsi="Times New Roman" w:cs="Times New Roman"/>
        </w:rPr>
        <w:t xml:space="preserve">, specifically her pamphlet from 1909 entitled </w:t>
      </w:r>
      <w:r w:rsidR="00C566AA" w:rsidRPr="00570413">
        <w:rPr>
          <w:rFonts w:ascii="Times New Roman" w:hAnsi="Times New Roman" w:cs="Times New Roman"/>
          <w:i/>
        </w:rPr>
        <w:t>The Social Basis of the Woman Question</w:t>
      </w:r>
      <w:r w:rsidR="00C566AA" w:rsidRPr="00570413">
        <w:rPr>
          <w:rFonts w:ascii="Times New Roman" w:hAnsi="Times New Roman" w:cs="Times New Roman"/>
        </w:rPr>
        <w:t xml:space="preserve"> where she clearly lays out her stance on the faults of western constructions of feminism where it seeks to use gender as the sole marker of oppression for women.</w:t>
      </w:r>
      <w:r w:rsidR="00C566AA" w:rsidRPr="00570413">
        <w:rPr>
          <w:rStyle w:val="FootnoteReference"/>
          <w:rFonts w:ascii="Times New Roman" w:hAnsi="Times New Roman" w:cs="Times New Roman"/>
        </w:rPr>
        <w:footnoteReference w:id="4"/>
      </w:r>
      <w:r w:rsidR="00C566AA" w:rsidRPr="00570413">
        <w:rPr>
          <w:rFonts w:ascii="Times New Roman" w:hAnsi="Times New Roman" w:cs="Times New Roman"/>
        </w:rPr>
        <w:t xml:space="preserve"> This chapter will also discuss </w:t>
      </w:r>
      <w:r w:rsidR="007F56E5" w:rsidRPr="00570413">
        <w:rPr>
          <w:rFonts w:ascii="Times New Roman" w:hAnsi="Times New Roman" w:cs="Times New Roman"/>
        </w:rPr>
        <w:t xml:space="preserve">the Bolshevik vision of the family </w:t>
      </w:r>
      <w:r w:rsidR="00FE6613" w:rsidRPr="00570413">
        <w:rPr>
          <w:rFonts w:ascii="Times New Roman" w:hAnsi="Times New Roman" w:cs="Times New Roman"/>
        </w:rPr>
        <w:t xml:space="preserve">and its relation to the monogamous family outlined by Engels in his </w:t>
      </w:r>
      <w:r w:rsidR="00FE6613" w:rsidRPr="00570413">
        <w:rPr>
          <w:rFonts w:ascii="Times New Roman" w:hAnsi="Times New Roman" w:cs="Times New Roman"/>
          <w:i/>
        </w:rPr>
        <w:t>Origins</w:t>
      </w:r>
      <w:r w:rsidR="00FE6613" w:rsidRPr="00570413">
        <w:rPr>
          <w:rFonts w:ascii="Times New Roman" w:hAnsi="Times New Roman" w:cs="Times New Roman"/>
        </w:rPr>
        <w:t>. This concept of the Marxian or Bolshevik family will be compared to the ‘family’ of the Russian political underground in its constructions of gendered concepts of empathy and suppression of emotion</w:t>
      </w:r>
      <w:r w:rsidR="007B2EA1" w:rsidRPr="00570413">
        <w:rPr>
          <w:rFonts w:ascii="Times New Roman" w:hAnsi="Times New Roman" w:cs="Times New Roman"/>
        </w:rPr>
        <w:t>.</w:t>
      </w:r>
      <w:r w:rsidR="007B2EA1" w:rsidRPr="00570413">
        <w:rPr>
          <w:rStyle w:val="FootnoteReference"/>
          <w:rFonts w:ascii="Times New Roman" w:hAnsi="Times New Roman" w:cs="Times New Roman"/>
        </w:rPr>
        <w:footnoteReference w:id="5"/>
      </w:r>
      <w:r w:rsidR="007B2EA1" w:rsidRPr="00570413">
        <w:rPr>
          <w:rFonts w:ascii="Times New Roman" w:hAnsi="Times New Roman" w:cs="Times New Roman"/>
        </w:rPr>
        <w:t xml:space="preserve"> </w:t>
      </w:r>
      <w:r w:rsidR="00FE6613" w:rsidRPr="00570413">
        <w:rPr>
          <w:rFonts w:ascii="Times New Roman" w:hAnsi="Times New Roman" w:cs="Times New Roman"/>
        </w:rPr>
        <w:t xml:space="preserve"> </w:t>
      </w:r>
    </w:p>
    <w:p w:rsidR="00637011" w:rsidRDefault="00C566AA" w:rsidP="00C566AA">
      <w:pPr>
        <w:spacing w:line="480" w:lineRule="auto"/>
        <w:ind w:firstLine="720"/>
        <w:rPr>
          <w:rFonts w:ascii="Times New Roman" w:hAnsi="Times New Roman" w:cs="Times New Roman"/>
        </w:rPr>
      </w:pPr>
      <w:r w:rsidRPr="007954FF">
        <w:rPr>
          <w:rFonts w:ascii="Times New Roman" w:hAnsi="Times New Roman" w:cs="Times New Roman"/>
        </w:rPr>
        <w:t>Th</w:t>
      </w:r>
      <w:r w:rsidR="00C542D1" w:rsidRPr="007954FF">
        <w:rPr>
          <w:rFonts w:ascii="Times New Roman" w:hAnsi="Times New Roman" w:cs="Times New Roman"/>
        </w:rPr>
        <w:t xml:space="preserve">e final concluding </w:t>
      </w:r>
      <w:r w:rsidRPr="007954FF">
        <w:rPr>
          <w:rFonts w:ascii="Times New Roman" w:hAnsi="Times New Roman" w:cs="Times New Roman"/>
        </w:rPr>
        <w:t xml:space="preserve">chapter will </w:t>
      </w:r>
      <w:r w:rsidR="00637011" w:rsidRPr="007954FF">
        <w:rPr>
          <w:rFonts w:ascii="Times New Roman" w:hAnsi="Times New Roman" w:cs="Times New Roman"/>
        </w:rPr>
        <w:t xml:space="preserve">discuss why </w:t>
      </w:r>
      <w:r w:rsidR="007954FF" w:rsidRPr="007954FF">
        <w:rPr>
          <w:rFonts w:ascii="Times New Roman" w:hAnsi="Times New Roman" w:cs="Times New Roman"/>
        </w:rPr>
        <w:t xml:space="preserve">analyzing </w:t>
      </w:r>
      <w:r w:rsidR="00637011" w:rsidRPr="007954FF">
        <w:rPr>
          <w:rFonts w:ascii="Times New Roman" w:hAnsi="Times New Roman" w:cs="Times New Roman"/>
        </w:rPr>
        <w:t>each of these revolutions are together</w:t>
      </w:r>
      <w:r w:rsidR="007954FF" w:rsidRPr="007954FF">
        <w:rPr>
          <w:rFonts w:ascii="Times New Roman" w:hAnsi="Times New Roman" w:cs="Times New Roman"/>
        </w:rPr>
        <w:t xml:space="preserve"> can be useful, especially as in regards to gender</w:t>
      </w:r>
      <w:r w:rsidRPr="007954FF">
        <w:rPr>
          <w:rFonts w:ascii="Times New Roman" w:hAnsi="Times New Roman" w:cs="Times New Roman"/>
        </w:rPr>
        <w:t>. It</w:t>
      </w:r>
      <w:r w:rsidRPr="00570413">
        <w:rPr>
          <w:rFonts w:ascii="Times New Roman" w:hAnsi="Times New Roman" w:cs="Times New Roman"/>
        </w:rPr>
        <w:t xml:space="preserve"> will begin with a </w:t>
      </w:r>
      <w:r w:rsidR="001263A7" w:rsidRPr="00570413">
        <w:rPr>
          <w:rFonts w:ascii="Times New Roman" w:hAnsi="Times New Roman" w:cs="Times New Roman"/>
        </w:rPr>
        <w:t>discussion of the last tsarist period in Russia and the monarchy’s concern with the repetition of the French Revolution on Russian soil</w:t>
      </w:r>
      <w:r w:rsidRPr="00570413">
        <w:rPr>
          <w:rFonts w:ascii="Times New Roman" w:hAnsi="Times New Roman" w:cs="Times New Roman"/>
        </w:rPr>
        <w:t>.</w:t>
      </w:r>
      <w:r w:rsidR="00E257CB" w:rsidRPr="00570413">
        <w:rPr>
          <w:rStyle w:val="FootnoteReference"/>
          <w:rFonts w:ascii="Times New Roman" w:hAnsi="Times New Roman" w:cs="Times New Roman"/>
        </w:rPr>
        <w:footnoteReference w:id="6"/>
      </w:r>
      <w:r w:rsidR="001263A7" w:rsidRPr="00570413">
        <w:rPr>
          <w:rFonts w:ascii="Times New Roman" w:hAnsi="Times New Roman" w:cs="Times New Roman"/>
        </w:rPr>
        <w:t xml:space="preserve"> </w:t>
      </w:r>
      <w:r w:rsidR="00637011">
        <w:rPr>
          <w:rFonts w:ascii="Times New Roman" w:hAnsi="Times New Roman" w:cs="Times New Roman"/>
        </w:rPr>
        <w:t>It will discuss Russian ‘feminists’ rejection of western feminism, in reference to the French revolutionary legac</w:t>
      </w:r>
      <w:r w:rsidR="00637011" w:rsidRPr="007954FF">
        <w:rPr>
          <w:rFonts w:ascii="Times New Roman" w:hAnsi="Times New Roman" w:cs="Times New Roman"/>
        </w:rPr>
        <w:t>y</w:t>
      </w:r>
      <w:r w:rsidR="001104E5" w:rsidRPr="007954FF">
        <w:rPr>
          <w:rFonts w:ascii="Times New Roman" w:hAnsi="Times New Roman" w:cs="Times New Roman"/>
        </w:rPr>
        <w:t>.</w:t>
      </w:r>
      <w:r w:rsidR="00637011" w:rsidRPr="007954FF">
        <w:rPr>
          <w:rFonts w:ascii="Times New Roman" w:hAnsi="Times New Roman" w:cs="Times New Roman"/>
        </w:rPr>
        <w:t xml:space="preserve"> This chapter will mostly be an engagement with </w:t>
      </w:r>
      <w:r w:rsidR="007954FF" w:rsidRPr="007954FF">
        <w:rPr>
          <w:rFonts w:ascii="Times New Roman" w:hAnsi="Times New Roman" w:cs="Times New Roman"/>
        </w:rPr>
        <w:t xml:space="preserve">a quote from gender historian on France </w:t>
      </w:r>
      <w:r w:rsidR="00637011" w:rsidRPr="007954FF">
        <w:rPr>
          <w:rFonts w:ascii="Times New Roman" w:hAnsi="Times New Roman" w:cs="Times New Roman"/>
        </w:rPr>
        <w:t>Joan Wallach Scott</w:t>
      </w:r>
      <w:r w:rsidR="007954FF" w:rsidRPr="007954FF">
        <w:rPr>
          <w:rFonts w:ascii="Times New Roman" w:hAnsi="Times New Roman" w:cs="Times New Roman"/>
        </w:rPr>
        <w:t>, where she argues</w:t>
      </w:r>
      <w:r w:rsidR="00637011" w:rsidRPr="007954FF">
        <w:rPr>
          <w:rFonts w:ascii="Times New Roman" w:hAnsi="Times New Roman" w:cs="Times New Roman"/>
        </w:rPr>
        <w:t xml:space="preserve"> constructions of feminism</w:t>
      </w:r>
      <w:r w:rsidR="007954FF" w:rsidRPr="007954FF">
        <w:rPr>
          <w:rFonts w:ascii="Times New Roman" w:hAnsi="Times New Roman" w:cs="Times New Roman"/>
        </w:rPr>
        <w:t xml:space="preserve"> cannot be removed </w:t>
      </w:r>
      <w:r w:rsidR="00637011" w:rsidRPr="007954FF">
        <w:rPr>
          <w:rFonts w:ascii="Times New Roman" w:hAnsi="Times New Roman" w:cs="Times New Roman"/>
        </w:rPr>
        <w:t>from their context</w:t>
      </w:r>
      <w:r w:rsidR="007954FF" w:rsidRPr="007954FF">
        <w:rPr>
          <w:rFonts w:ascii="Times New Roman" w:hAnsi="Times New Roman" w:cs="Times New Roman"/>
        </w:rPr>
        <w:t xml:space="preserve"> to be placed alone a teleological time</w:t>
      </w:r>
      <w:r w:rsidR="007954FF">
        <w:rPr>
          <w:rFonts w:ascii="Times New Roman" w:hAnsi="Times New Roman" w:cs="Times New Roman"/>
        </w:rPr>
        <w:t>l</w:t>
      </w:r>
      <w:r w:rsidR="007954FF" w:rsidRPr="007954FF">
        <w:rPr>
          <w:rFonts w:ascii="Times New Roman" w:hAnsi="Times New Roman" w:cs="Times New Roman"/>
        </w:rPr>
        <w:t>ine towards women’s emancipation</w:t>
      </w:r>
      <w:r w:rsidR="00637011" w:rsidRPr="007954FF">
        <w:rPr>
          <w:rFonts w:ascii="Times New Roman" w:hAnsi="Times New Roman" w:cs="Times New Roman"/>
        </w:rPr>
        <w:t>.</w:t>
      </w:r>
      <w:r w:rsidR="00637011" w:rsidRPr="007954FF">
        <w:rPr>
          <w:rStyle w:val="FootnoteReference"/>
          <w:rFonts w:ascii="Times New Roman" w:hAnsi="Times New Roman" w:cs="Times New Roman"/>
        </w:rPr>
        <w:footnoteReference w:id="7"/>
      </w:r>
      <w:r w:rsidR="00637011" w:rsidRPr="007954FF">
        <w:rPr>
          <w:rFonts w:ascii="Times New Roman" w:hAnsi="Times New Roman" w:cs="Times New Roman"/>
        </w:rPr>
        <w:t xml:space="preserve"> Instead</w:t>
      </w:r>
      <w:r w:rsidR="00637011">
        <w:rPr>
          <w:rFonts w:ascii="Times New Roman" w:hAnsi="Times New Roman" w:cs="Times New Roman"/>
        </w:rPr>
        <w:t xml:space="preserve"> of aiming to understand these groups of women and </w:t>
      </w:r>
      <w:r w:rsidR="00637011">
        <w:rPr>
          <w:rFonts w:ascii="Times New Roman" w:hAnsi="Times New Roman" w:cs="Times New Roman"/>
        </w:rPr>
        <w:lastRenderedPageBreak/>
        <w:t>their interpretation</w:t>
      </w:r>
      <w:r w:rsidR="007954FF">
        <w:rPr>
          <w:rFonts w:ascii="Times New Roman" w:hAnsi="Times New Roman" w:cs="Times New Roman"/>
        </w:rPr>
        <w:t>s</w:t>
      </w:r>
      <w:r w:rsidR="00637011">
        <w:rPr>
          <w:rFonts w:ascii="Times New Roman" w:hAnsi="Times New Roman" w:cs="Times New Roman"/>
        </w:rPr>
        <w:t xml:space="preserve"> o</w:t>
      </w:r>
      <w:r w:rsidR="007954FF">
        <w:rPr>
          <w:rFonts w:ascii="Times New Roman" w:hAnsi="Times New Roman" w:cs="Times New Roman"/>
        </w:rPr>
        <w:t>f</w:t>
      </w:r>
      <w:r w:rsidR="00637011">
        <w:rPr>
          <w:rFonts w:ascii="Times New Roman" w:hAnsi="Times New Roman" w:cs="Times New Roman"/>
        </w:rPr>
        <w:t xml:space="preserve"> women’s emancipation</w:t>
      </w:r>
      <w:r w:rsidR="004F0BE3">
        <w:rPr>
          <w:rFonts w:ascii="Times New Roman" w:hAnsi="Times New Roman" w:cs="Times New Roman"/>
        </w:rPr>
        <w:t xml:space="preserve"> as a continuously progressing timeline, this thesis seeks to explain how analyzing both of these moments together can aid in defining their differing conceptions of feminism. </w:t>
      </w:r>
    </w:p>
    <w:p w:rsidR="007A7576" w:rsidRPr="007A7576" w:rsidRDefault="00C566AA" w:rsidP="007A7576">
      <w:pPr>
        <w:spacing w:line="480" w:lineRule="auto"/>
        <w:ind w:firstLine="720"/>
        <w:rPr>
          <w:rFonts w:ascii="Times New Roman" w:hAnsi="Times New Roman" w:cs="Times New Roman"/>
        </w:rPr>
      </w:pPr>
      <w:r w:rsidRPr="00570413">
        <w:rPr>
          <w:rFonts w:ascii="Times New Roman" w:hAnsi="Times New Roman" w:cs="Times New Roman"/>
        </w:rPr>
        <w:t xml:space="preserve">There has been much engagement in the scholarship connecting the legacy of the French Revolution and the Russian Revolutions of 1917. This has included references comparing party politics, revolutionary methods, and a full application of the events of the French Revolution such as the terror and the Thermidorian reaction to the Russian Revolutions, among other methods of analysis. This thesis differs from other scholarship and contributes to it by connecting ideologies, </w:t>
      </w:r>
      <w:r w:rsidRPr="007954FF">
        <w:rPr>
          <w:rFonts w:ascii="Times New Roman" w:hAnsi="Times New Roman" w:cs="Times New Roman"/>
        </w:rPr>
        <w:t xml:space="preserve">revolutionary actions, and events of the French revolution as they relate to women’s liberation. While </w:t>
      </w:r>
      <w:r w:rsidR="007954FF" w:rsidRPr="007954FF">
        <w:rPr>
          <w:rFonts w:ascii="Times New Roman" w:hAnsi="Times New Roman" w:cs="Times New Roman"/>
        </w:rPr>
        <w:t>each revolutionary case has been studied individually in regards to gender</w:t>
      </w:r>
      <w:r w:rsidRPr="007954FF">
        <w:rPr>
          <w:rFonts w:ascii="Times New Roman" w:hAnsi="Times New Roman" w:cs="Times New Roman"/>
        </w:rPr>
        <w:t>, there is not a comprehensive study that</w:t>
      </w:r>
      <w:r w:rsidRPr="00570413">
        <w:rPr>
          <w:rFonts w:ascii="Times New Roman" w:hAnsi="Times New Roman" w:cs="Times New Roman"/>
        </w:rPr>
        <w:t xml:space="preserve"> connects all these points together in one place as they relate to each other. For my analysis, the differing philosophies, the concepts of martyrdom, and the construction of Russian revolutionary ‘feminism’ cannot be analyzed individually, as I will argue, because they all inform and are informed by each other. That is, the differing philosophies and how they are applied </w:t>
      </w:r>
      <w:r w:rsidRPr="007954FF">
        <w:rPr>
          <w:rFonts w:ascii="Times New Roman" w:hAnsi="Times New Roman" w:cs="Times New Roman"/>
        </w:rPr>
        <w:t xml:space="preserve">cannot be understood without also analyzing martyrdom as a revolutionary concept of action and vice versa. </w:t>
      </w:r>
      <w:r w:rsidR="007954FF" w:rsidRPr="007954FF">
        <w:rPr>
          <w:rFonts w:ascii="Times New Roman" w:hAnsi="Times New Roman" w:cs="Times New Roman"/>
        </w:rPr>
        <w:t>N</w:t>
      </w:r>
      <w:r w:rsidRPr="007954FF">
        <w:rPr>
          <w:rFonts w:ascii="Times New Roman" w:hAnsi="Times New Roman" w:cs="Times New Roman"/>
        </w:rPr>
        <w:t>one of this can be understood clearly without referring</w:t>
      </w:r>
      <w:r w:rsidRPr="007A7576">
        <w:rPr>
          <w:rFonts w:ascii="Times New Roman" w:hAnsi="Times New Roman" w:cs="Times New Roman"/>
        </w:rPr>
        <w:t xml:space="preserve"> to the ways differing constructions of gender politics shaped not only the timeline of the Russian Revolutions of </w:t>
      </w:r>
      <w:r w:rsidR="007954FF" w:rsidRPr="007A7576">
        <w:rPr>
          <w:rFonts w:ascii="Times New Roman" w:hAnsi="Times New Roman" w:cs="Times New Roman"/>
        </w:rPr>
        <w:t xml:space="preserve">1905 and </w:t>
      </w:r>
      <w:r w:rsidRPr="007A7576">
        <w:rPr>
          <w:rFonts w:ascii="Times New Roman" w:hAnsi="Times New Roman" w:cs="Times New Roman"/>
        </w:rPr>
        <w:t xml:space="preserve">1917, but also how these constructions shaped the revolutionary women in Russia. </w:t>
      </w:r>
    </w:p>
    <w:p w:rsidR="00B36C75" w:rsidRPr="007A7576" w:rsidRDefault="007954FF" w:rsidP="007A7576">
      <w:pPr>
        <w:spacing w:line="480" w:lineRule="auto"/>
        <w:ind w:firstLine="720"/>
        <w:jc w:val="center"/>
        <w:rPr>
          <w:rFonts w:ascii="Times New Roman" w:hAnsi="Times New Roman" w:cs="Times New Roman"/>
        </w:rPr>
      </w:pPr>
      <w:r w:rsidRPr="007A7576">
        <w:rPr>
          <w:rFonts w:ascii="Times New Roman" w:hAnsi="Times New Roman" w:cs="Times New Roman"/>
          <w:b/>
        </w:rPr>
        <w:t xml:space="preserve">Chapter 1: </w:t>
      </w:r>
      <w:r w:rsidR="00B36C75" w:rsidRPr="007A7576">
        <w:rPr>
          <w:rFonts w:ascii="Times New Roman" w:hAnsi="Times New Roman" w:cs="Times New Roman"/>
          <w:b/>
        </w:rPr>
        <w:t>Competing Ideologies Chapter:</w:t>
      </w:r>
    </w:p>
    <w:p w:rsidR="00B36C75" w:rsidRPr="007A7576" w:rsidRDefault="00B36C75" w:rsidP="007A7576">
      <w:pPr>
        <w:pStyle w:val="Bibliography"/>
        <w:spacing w:line="480" w:lineRule="auto"/>
        <w:ind w:left="0" w:firstLine="0"/>
        <w:rPr>
          <w:rFonts w:ascii="Times New Roman" w:hAnsi="Times New Roman" w:cs="Times New Roman"/>
        </w:rPr>
      </w:pPr>
      <w:r w:rsidRPr="007A7576">
        <w:rPr>
          <w:rFonts w:ascii="Times New Roman" w:hAnsi="Times New Roman" w:cs="Times New Roman"/>
        </w:rPr>
        <w:t xml:space="preserve"> Revolutionary women of France and Russia were both influenced by different male</w:t>
      </w:r>
      <w:r w:rsidR="007A7576">
        <w:rPr>
          <w:rFonts w:ascii="Times New Roman" w:hAnsi="Times New Roman" w:cs="Times New Roman"/>
        </w:rPr>
        <w:t xml:space="preserve"> </w:t>
      </w:r>
      <w:r w:rsidRPr="007A7576">
        <w:rPr>
          <w:rFonts w:ascii="Times New Roman" w:hAnsi="Times New Roman" w:cs="Times New Roman"/>
        </w:rPr>
        <w:t xml:space="preserve">intellectuals- the French by Jean-Jacques Rousseau and the Russians by Karl Marx and Friedrich Engels. This </w:t>
      </w:r>
      <w:r w:rsidR="007954FF" w:rsidRPr="007A7576">
        <w:rPr>
          <w:rFonts w:ascii="Times New Roman" w:hAnsi="Times New Roman" w:cs="Times New Roman"/>
        </w:rPr>
        <w:t>thesis</w:t>
      </w:r>
      <w:r w:rsidRPr="007A7576">
        <w:rPr>
          <w:rFonts w:ascii="Times New Roman" w:hAnsi="Times New Roman" w:cs="Times New Roman"/>
        </w:rPr>
        <w:t xml:space="preserve"> reads a single work by each of these philosophers, </w:t>
      </w:r>
      <w:r w:rsidRPr="007A7576">
        <w:rPr>
          <w:rFonts w:ascii="Times New Roman" w:hAnsi="Times New Roman" w:cs="Times New Roman"/>
          <w:i/>
        </w:rPr>
        <w:t>Discourse on Inequality</w:t>
      </w:r>
      <w:r w:rsidRPr="007A7576">
        <w:rPr>
          <w:rFonts w:ascii="Times New Roman" w:hAnsi="Times New Roman" w:cs="Times New Roman"/>
        </w:rPr>
        <w:t xml:space="preserve"> </w:t>
      </w:r>
      <w:r w:rsidRPr="007A7576">
        <w:rPr>
          <w:rFonts w:ascii="Times New Roman" w:hAnsi="Times New Roman" w:cs="Times New Roman"/>
        </w:rPr>
        <w:lastRenderedPageBreak/>
        <w:t xml:space="preserve">and </w:t>
      </w:r>
      <w:r w:rsidRPr="007A7576">
        <w:rPr>
          <w:rFonts w:ascii="Times New Roman" w:hAnsi="Times New Roman" w:cs="Times New Roman"/>
          <w:i/>
        </w:rPr>
        <w:t>On the Origin of the Family</w:t>
      </w:r>
      <w:r w:rsidRPr="007A7576">
        <w:rPr>
          <w:rFonts w:ascii="Times New Roman" w:hAnsi="Times New Roman" w:cs="Times New Roman"/>
        </w:rPr>
        <w:t xml:space="preserve"> respectively, which are concerned most primarily with gender. In the case of France, Rousseau wrote most about gender in his 1755 article titled </w:t>
      </w:r>
      <w:r w:rsidRPr="007A7576">
        <w:rPr>
          <w:rFonts w:ascii="Times New Roman" w:hAnsi="Times New Roman" w:cs="Times New Roman"/>
          <w:i/>
        </w:rPr>
        <w:t xml:space="preserve">Discourse on Inequality. </w:t>
      </w:r>
      <w:r w:rsidRPr="007A7576">
        <w:rPr>
          <w:rFonts w:ascii="Times New Roman" w:hAnsi="Times New Roman" w:cs="Times New Roman"/>
        </w:rPr>
        <w:t>This source follows Rousseau’s ideas of how civilization developed alongside a discussion of where he believes the origin of inequality to lay, with the introduction of the concept of private property, and the creation of laws.</w:t>
      </w:r>
      <w:r w:rsidRPr="007A7576">
        <w:rPr>
          <w:rStyle w:val="FootnoteReference"/>
          <w:rFonts w:ascii="Times New Roman" w:hAnsi="Times New Roman" w:cs="Times New Roman"/>
        </w:rPr>
        <w:footnoteReference w:id="8"/>
      </w:r>
      <w:r w:rsidRPr="007A7576">
        <w:rPr>
          <w:rFonts w:ascii="Times New Roman" w:hAnsi="Times New Roman" w:cs="Times New Roman"/>
        </w:rPr>
        <w:t xml:space="preserve"> In Engels</w:t>
      </w:r>
      <w:r w:rsidR="007954FF" w:rsidRPr="007A7576">
        <w:rPr>
          <w:rFonts w:ascii="Times New Roman" w:hAnsi="Times New Roman" w:cs="Times New Roman"/>
        </w:rPr>
        <w:t>’</w:t>
      </w:r>
      <w:r w:rsidRPr="007A7576">
        <w:rPr>
          <w:rFonts w:ascii="Times New Roman" w:hAnsi="Times New Roman" w:cs="Times New Roman"/>
        </w:rPr>
        <w:t xml:space="preserve"> </w:t>
      </w:r>
      <w:r w:rsidRPr="007A7576">
        <w:rPr>
          <w:rFonts w:ascii="Times New Roman" w:hAnsi="Times New Roman" w:cs="Times New Roman"/>
          <w:i/>
        </w:rPr>
        <w:t>On the Origin of The Family</w:t>
      </w:r>
      <w:r w:rsidRPr="007A7576">
        <w:rPr>
          <w:rFonts w:ascii="Times New Roman" w:hAnsi="Times New Roman" w:cs="Times New Roman"/>
        </w:rPr>
        <w:t>, written in 1884 after Marx’s passing using many of his notes left behind, he too argues that concepts of ownership lay the groundwork for civilization, and inadvertently, the subjugation of women, but does not necessarily credit the creation of laws to inequalities in the way Rousseau does.</w:t>
      </w:r>
      <w:r w:rsidR="007A7576">
        <w:rPr>
          <w:rStyle w:val="FootnoteReference"/>
          <w:rFonts w:ascii="Times New Roman" w:hAnsi="Times New Roman" w:cs="Times New Roman"/>
        </w:rPr>
        <w:footnoteReference w:id="9"/>
      </w:r>
      <w:r w:rsidRPr="007A7576">
        <w:rPr>
          <w:rFonts w:ascii="Times New Roman" w:hAnsi="Times New Roman" w:cs="Times New Roman"/>
        </w:rPr>
        <w:t xml:space="preserve"> Rousseau does not classify the subjugation of women into his concept of inequality, as he believed that the inequalities between men and women were not manufactured in any way and instead were a reflection of the nature of things.</w:t>
      </w:r>
      <w:r w:rsidRPr="007A7576">
        <w:rPr>
          <w:rStyle w:val="FootnoteReference"/>
          <w:rFonts w:ascii="Times New Roman" w:hAnsi="Times New Roman" w:cs="Times New Roman"/>
        </w:rPr>
        <w:footnoteReference w:id="10"/>
      </w:r>
      <w:r w:rsidRPr="007A7576">
        <w:rPr>
          <w:rFonts w:ascii="Times New Roman" w:hAnsi="Times New Roman" w:cs="Times New Roman"/>
        </w:rPr>
        <w:t xml:space="preserve"> These differences of conceptualization are reflected in the historical record of writings left by revolutionary women in both France and Russia. And while the Russian Revolution centered more on concepts of private property than revolutionary France, it is peculiar that both revolutions were influenced by thinkers who believed private property explained the existence of inequalities, with one group of revolutionaries hanging onto that concept more than the other. </w:t>
      </w:r>
    </w:p>
    <w:p w:rsidR="00B36C75" w:rsidRPr="007A7576" w:rsidRDefault="00B36C75" w:rsidP="007A7576">
      <w:pPr>
        <w:spacing w:line="480" w:lineRule="auto"/>
        <w:rPr>
          <w:rFonts w:ascii="Times New Roman" w:hAnsi="Times New Roman" w:cs="Times New Roman"/>
        </w:rPr>
      </w:pPr>
      <w:r w:rsidRPr="007A7576">
        <w:rPr>
          <w:rFonts w:ascii="Times New Roman" w:hAnsi="Times New Roman" w:cs="Times New Roman"/>
        </w:rPr>
        <w:tab/>
        <w:t xml:space="preserve">Rousseau’s </w:t>
      </w:r>
      <w:r w:rsidRPr="007A7576">
        <w:rPr>
          <w:rFonts w:ascii="Times New Roman" w:hAnsi="Times New Roman" w:cs="Times New Roman"/>
          <w:i/>
        </w:rPr>
        <w:t>Discourse on Inequality</w:t>
      </w:r>
      <w:r w:rsidRPr="007A7576">
        <w:rPr>
          <w:rFonts w:ascii="Times New Roman" w:hAnsi="Times New Roman" w:cs="Times New Roman"/>
        </w:rPr>
        <w:t xml:space="preserve"> is split into multiple parts including an introduction to the essay as a dedication to his home town of Geneva. In this introduction he argued that there are two different types of existing inequalities in the world; those that are naturally occurring and those that are politically occurring under the consent of the people, a concept that later becomes very important to French revolutionaries, regardless of gender.</w:t>
      </w:r>
      <w:r w:rsidRPr="007A7576">
        <w:rPr>
          <w:rStyle w:val="FootnoteReference"/>
          <w:rFonts w:ascii="Times New Roman" w:hAnsi="Times New Roman" w:cs="Times New Roman"/>
        </w:rPr>
        <w:footnoteReference w:id="11"/>
      </w:r>
      <w:r w:rsidRPr="007A7576">
        <w:rPr>
          <w:rFonts w:ascii="Times New Roman" w:hAnsi="Times New Roman" w:cs="Times New Roman"/>
        </w:rPr>
        <w:t xml:space="preserve"> Though he does not expressly </w:t>
      </w:r>
      <w:r w:rsidRPr="007A7576">
        <w:rPr>
          <w:rFonts w:ascii="Times New Roman" w:hAnsi="Times New Roman" w:cs="Times New Roman"/>
        </w:rPr>
        <w:lastRenderedPageBreak/>
        <w:t>convey that women’s inequalities are naturally occurring, the criteria he proposes as categories of natural inequalities include bodily strength, and maybe most importantly, “qualities of the mind or of the soul.”</w:t>
      </w:r>
      <w:r w:rsidRPr="007A7576">
        <w:rPr>
          <w:rStyle w:val="FootnoteReference"/>
          <w:rFonts w:ascii="Times New Roman" w:hAnsi="Times New Roman" w:cs="Times New Roman"/>
        </w:rPr>
        <w:footnoteReference w:id="12"/>
      </w:r>
      <w:r w:rsidRPr="007A7576">
        <w:rPr>
          <w:rFonts w:ascii="Times New Roman" w:hAnsi="Times New Roman" w:cs="Times New Roman"/>
        </w:rPr>
        <w:t xml:space="preserve"> In the introductory paragraphs which lead into his dissertation, he discussed women as the “chaste guardians of our morals… in the interest of duty and virtue.”</w:t>
      </w:r>
      <w:r w:rsidRPr="007A7576">
        <w:rPr>
          <w:rStyle w:val="FootnoteReference"/>
          <w:rFonts w:ascii="Times New Roman" w:hAnsi="Times New Roman" w:cs="Times New Roman"/>
        </w:rPr>
        <w:footnoteReference w:id="13"/>
      </w:r>
      <w:r w:rsidRPr="007A7576">
        <w:rPr>
          <w:rFonts w:ascii="Times New Roman" w:hAnsi="Times New Roman" w:cs="Times New Roman"/>
        </w:rPr>
        <w:t xml:space="preserve"> Therefore, according to his argument that differing qualities of the mind are examples of natural inequality, this ability for women to, in his eyes, guide the future of humanity, means they are naturally unequal to men. This so-called “external reflection” associated with women is one of the most prominent features of leaving the state of nature, for Rousseau, because natural men are marked only by their own perceptions and actions.</w:t>
      </w:r>
      <w:r w:rsidRPr="007A7576">
        <w:rPr>
          <w:rStyle w:val="FootnoteReference"/>
          <w:rFonts w:ascii="Times New Roman" w:hAnsi="Times New Roman" w:cs="Times New Roman"/>
        </w:rPr>
        <w:footnoteReference w:id="14"/>
      </w:r>
      <w:r w:rsidRPr="007A7576">
        <w:rPr>
          <w:rFonts w:ascii="Times New Roman" w:hAnsi="Times New Roman" w:cs="Times New Roman"/>
        </w:rPr>
        <w:t xml:space="preserve"> Reason as applied externally, that is from woman to man, leads men to desire a monogamous pairing and eventually develop feelings of love towards one life partner.</w:t>
      </w:r>
      <w:r w:rsidRPr="007A7576">
        <w:rPr>
          <w:rStyle w:val="FootnoteReference"/>
          <w:rFonts w:ascii="Times New Roman" w:hAnsi="Times New Roman" w:cs="Times New Roman"/>
        </w:rPr>
        <w:footnoteReference w:id="15"/>
      </w:r>
      <w:r w:rsidRPr="007A7576">
        <w:rPr>
          <w:rFonts w:ascii="Times New Roman" w:hAnsi="Times New Roman" w:cs="Times New Roman"/>
        </w:rPr>
        <w:t xml:space="preserve"> This highlights his concept of women as guiders of reason as a distinctly negative trait that needs to be controlled and concealed.</w:t>
      </w:r>
      <w:r w:rsidRPr="007A7576">
        <w:rPr>
          <w:rStyle w:val="FootnoteReference"/>
          <w:rFonts w:ascii="Times New Roman" w:hAnsi="Times New Roman" w:cs="Times New Roman"/>
        </w:rPr>
        <w:footnoteReference w:id="16"/>
      </w:r>
      <w:r w:rsidRPr="007A7576">
        <w:rPr>
          <w:rFonts w:ascii="Times New Roman" w:hAnsi="Times New Roman" w:cs="Times New Roman"/>
        </w:rPr>
        <w:t xml:space="preserve">  Though he does discuss women in this nature, he also dichotomizes women in this same section by arguing one of the vices they need to guide men away from are what he calls “loose women,” making a distinction between the chaste, moral wife and mother, and the corruptive, dangerous loose woman.</w:t>
      </w:r>
      <w:r w:rsidRPr="007A7576">
        <w:rPr>
          <w:rStyle w:val="FootnoteReference"/>
          <w:rFonts w:ascii="Times New Roman" w:hAnsi="Times New Roman" w:cs="Times New Roman"/>
        </w:rPr>
        <w:footnoteReference w:id="17"/>
      </w:r>
      <w:r w:rsidRPr="007A7576">
        <w:rPr>
          <w:rFonts w:ascii="Times New Roman" w:hAnsi="Times New Roman" w:cs="Times New Roman"/>
        </w:rPr>
        <w:t xml:space="preserve"> A closer reading of Rousseau however, reveals that though the </w:t>
      </w:r>
      <w:r w:rsidR="007A7576" w:rsidRPr="007A7576">
        <w:rPr>
          <w:rFonts w:ascii="Times New Roman" w:hAnsi="Times New Roman" w:cs="Times New Roman"/>
        </w:rPr>
        <w:t>‘</w:t>
      </w:r>
      <w:r w:rsidRPr="007A7576">
        <w:rPr>
          <w:rFonts w:ascii="Times New Roman" w:hAnsi="Times New Roman" w:cs="Times New Roman"/>
        </w:rPr>
        <w:t>loose woman</w:t>
      </w:r>
      <w:r w:rsidR="007A7576" w:rsidRPr="007A7576">
        <w:rPr>
          <w:rFonts w:ascii="Times New Roman" w:hAnsi="Times New Roman" w:cs="Times New Roman"/>
        </w:rPr>
        <w:t>’</w:t>
      </w:r>
      <w:r w:rsidRPr="007A7576">
        <w:rPr>
          <w:rFonts w:ascii="Times New Roman" w:hAnsi="Times New Roman" w:cs="Times New Roman"/>
        </w:rPr>
        <w:t xml:space="preserve"> is corruptive, the chaste mother is also corruptive in her ability to influence man. After his introduction, and instead in the actual essay, he does not really directly mention women except in their relation to men as child bearers and cohabitational partners.</w:t>
      </w:r>
      <w:r w:rsidRPr="007A7576">
        <w:rPr>
          <w:rStyle w:val="FootnoteReference"/>
          <w:rFonts w:ascii="Times New Roman" w:hAnsi="Times New Roman" w:cs="Times New Roman"/>
        </w:rPr>
        <w:footnoteReference w:id="18"/>
      </w:r>
      <w:r w:rsidRPr="007A7576">
        <w:rPr>
          <w:rFonts w:ascii="Times New Roman" w:hAnsi="Times New Roman" w:cs="Times New Roman"/>
        </w:rPr>
        <w:t xml:space="preserve"> In this essay and embedded within this </w:t>
      </w:r>
      <w:r w:rsidRPr="007A7576">
        <w:rPr>
          <w:rFonts w:ascii="Times New Roman" w:hAnsi="Times New Roman" w:cs="Times New Roman"/>
        </w:rPr>
        <w:lastRenderedPageBreak/>
        <w:t xml:space="preserve">concept of gender dynamics, women are passive actors along the spectrum of political organization deriving from the state of nature. </w:t>
      </w:r>
    </w:p>
    <w:p w:rsidR="00B36C75" w:rsidRPr="00570413" w:rsidRDefault="00B36C75" w:rsidP="00B36C75">
      <w:pPr>
        <w:spacing w:line="480" w:lineRule="auto"/>
        <w:rPr>
          <w:rFonts w:ascii="Times New Roman" w:hAnsi="Times New Roman" w:cs="Times New Roman"/>
          <w:highlight w:val="magenta"/>
        </w:rPr>
      </w:pPr>
      <w:r w:rsidRPr="007A7576">
        <w:rPr>
          <w:rFonts w:ascii="Times New Roman" w:hAnsi="Times New Roman" w:cs="Times New Roman"/>
        </w:rPr>
        <w:tab/>
        <w:t>While women were largely left out of the conversation, Rousseau did argue that inequality existed and based the reasoning for the existence on the development of private property and the laws that enforced the legitimacy of private property.</w:t>
      </w:r>
      <w:r w:rsidRPr="007A7576">
        <w:rPr>
          <w:rStyle w:val="FootnoteReference"/>
          <w:rFonts w:ascii="Times New Roman" w:hAnsi="Times New Roman" w:cs="Times New Roman"/>
        </w:rPr>
        <w:footnoteReference w:id="19"/>
      </w:r>
      <w:r w:rsidRPr="007A7576">
        <w:rPr>
          <w:rFonts w:ascii="Times New Roman" w:hAnsi="Times New Roman" w:cs="Times New Roman"/>
        </w:rPr>
        <w:t xml:space="preserve"> This idea was obviously gendered due to the idea that </w:t>
      </w:r>
      <w:r w:rsidR="007954FF" w:rsidRPr="007A7576">
        <w:rPr>
          <w:rFonts w:ascii="Times New Roman" w:hAnsi="Times New Roman" w:cs="Times New Roman"/>
        </w:rPr>
        <w:t>right</w:t>
      </w:r>
      <w:r w:rsidRPr="007A7576">
        <w:rPr>
          <w:rFonts w:ascii="Times New Roman" w:hAnsi="Times New Roman" w:cs="Times New Roman"/>
        </w:rPr>
        <w:t xml:space="preserve"> to own private property was only awarded to men. He argued</w:t>
      </w:r>
      <w:r w:rsidRPr="00570413">
        <w:rPr>
          <w:rFonts w:ascii="Times New Roman" w:hAnsi="Times New Roman" w:cs="Times New Roman"/>
        </w:rPr>
        <w:t xml:space="preserve"> that obedience and dependence on other men is only possible once there is a concept of possession, i.e. if one man has more than the other, the man with less may work for the man with more because he is need of something he does not currently possess.</w:t>
      </w:r>
      <w:r w:rsidRPr="00570413">
        <w:rPr>
          <w:rStyle w:val="FootnoteReference"/>
          <w:rFonts w:ascii="Times New Roman" w:hAnsi="Times New Roman" w:cs="Times New Roman"/>
        </w:rPr>
        <w:footnoteReference w:id="20"/>
      </w:r>
      <w:r w:rsidRPr="00570413">
        <w:rPr>
          <w:rFonts w:ascii="Times New Roman" w:hAnsi="Times New Roman" w:cs="Times New Roman"/>
        </w:rPr>
        <w:t xml:space="preserve"> Rousseau goes further to suggest that this concept of property inexplicably leads to a system based on “the reciprocal needs that unite [men].”</w:t>
      </w:r>
      <w:r w:rsidRPr="00570413">
        <w:rPr>
          <w:rStyle w:val="FootnoteReference"/>
          <w:rFonts w:ascii="Times New Roman" w:hAnsi="Times New Roman" w:cs="Times New Roman"/>
        </w:rPr>
        <w:footnoteReference w:id="21"/>
      </w:r>
      <w:r w:rsidRPr="00570413">
        <w:rPr>
          <w:rFonts w:ascii="Times New Roman" w:hAnsi="Times New Roman" w:cs="Times New Roman"/>
        </w:rPr>
        <w:t xml:space="preserve"> Interestingly enough, this sounds like a description of patriarchy, where men reciprocate their needs, meaning at some point one of them will be the one with more tangible wealth (whatever that means during this point in leaving the state of nature), and that they do this because they are dependent on each other. Though Rousseau does not call it that, it inadvertently describes a system where men look out for each other’s needs as women wait in the proverbial wings of society. Of course this does not mean the men are not in competition with each other over property, just that competing was only afforded to men. Rousseau clarifies his concept of property breeding inequality by saying that it specifically became a problem when man discovered he could “have enough possessions for two,” to suggest that not only does property exist as the breeding grounds of inequality, but that particularly, a hoarding of private property created the problem.</w:t>
      </w:r>
      <w:r w:rsidRPr="00570413">
        <w:rPr>
          <w:rStyle w:val="FootnoteReference"/>
          <w:rFonts w:ascii="Times New Roman" w:hAnsi="Times New Roman" w:cs="Times New Roman"/>
        </w:rPr>
        <w:footnoteReference w:id="22"/>
      </w:r>
      <w:r w:rsidRPr="00570413">
        <w:rPr>
          <w:rFonts w:ascii="Times New Roman" w:hAnsi="Times New Roman" w:cs="Times New Roman"/>
        </w:rPr>
        <w:t xml:space="preserve"> Even further he suggests that while the introduction of private </w:t>
      </w:r>
      <w:r w:rsidRPr="00570413">
        <w:rPr>
          <w:rFonts w:ascii="Times New Roman" w:hAnsi="Times New Roman" w:cs="Times New Roman"/>
        </w:rPr>
        <w:lastRenderedPageBreak/>
        <w:t>property alone could beget inequality, laws aid in this creation of discord as well because they institutionalize the concept, so that instead of just being a system where one has to put in work to make others submit to them, the law can instead do that for them.</w:t>
      </w:r>
      <w:r w:rsidRPr="00570413">
        <w:rPr>
          <w:rStyle w:val="FootnoteReference"/>
          <w:rFonts w:ascii="Times New Roman" w:hAnsi="Times New Roman" w:cs="Times New Roman"/>
        </w:rPr>
        <w:footnoteReference w:id="23"/>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But there is another influence on the creation of civilization, and therefore inequality since both of these phenomena are results of the onset of private property. Monogamous desire and affection in Rousseau’s so-called “second state of nature” leads men towards a feminized civilization where civilized man does not retain the hardness of his natural counterpart.</w:t>
      </w:r>
      <w:r w:rsidRPr="00570413">
        <w:rPr>
          <w:rStyle w:val="FootnoteReference"/>
          <w:rFonts w:ascii="Times New Roman" w:hAnsi="Times New Roman" w:cs="Times New Roman"/>
        </w:rPr>
        <w:footnoteReference w:id="24"/>
      </w:r>
      <w:r w:rsidRPr="00570413">
        <w:rPr>
          <w:rFonts w:ascii="Times New Roman" w:hAnsi="Times New Roman" w:cs="Times New Roman"/>
        </w:rPr>
        <w:t xml:space="preserve"> The second state of nature exists in Rousseau’s theory as an equilibrium of the brute masculine state of nature and the effeminized sheltered civilization, interestingly seeming to suggest that for Rousseau, the best stage for people to live in is one that balances gendered concepts of hardness and softness.</w:t>
      </w:r>
      <w:r w:rsidRPr="00570413">
        <w:rPr>
          <w:rStyle w:val="FootnoteReference"/>
          <w:rFonts w:ascii="Times New Roman" w:hAnsi="Times New Roman" w:cs="Times New Roman"/>
        </w:rPr>
        <w:footnoteReference w:id="25"/>
      </w:r>
      <w:r w:rsidRPr="00570413">
        <w:rPr>
          <w:rFonts w:ascii="Times New Roman" w:hAnsi="Times New Roman" w:cs="Times New Roman"/>
        </w:rPr>
        <w:t xml:space="preserve"> While this may seem on the surface to be a degendered way of describing the second state of nature, scholar Emanuele Saccarelli compares this stable stage of development to Eden, where destruction and danger lays dormant until something or someone causes a ‘biblical fall.”</w:t>
      </w:r>
      <w:r w:rsidRPr="00570413">
        <w:rPr>
          <w:rStyle w:val="FootnoteReference"/>
          <w:rFonts w:ascii="Times New Roman" w:hAnsi="Times New Roman" w:cs="Times New Roman"/>
        </w:rPr>
        <w:footnoteReference w:id="26"/>
      </w:r>
      <w:r w:rsidRPr="00570413">
        <w:rPr>
          <w:rFonts w:ascii="Times New Roman" w:hAnsi="Times New Roman" w:cs="Times New Roman"/>
        </w:rPr>
        <w:t xml:space="preserve"> In the case of Eden and in Rousseau’s philosophy, a woman or women are notably the cause of the destruction of the second state of nature. Rousseau also describes the poor being convinced by the wealthy to accept the social contract as them being “seduced.”</w:t>
      </w:r>
      <w:r w:rsidRPr="00570413">
        <w:rPr>
          <w:rStyle w:val="FootnoteReference"/>
          <w:rFonts w:ascii="Times New Roman" w:hAnsi="Times New Roman" w:cs="Times New Roman"/>
        </w:rPr>
        <w:footnoteReference w:id="27"/>
      </w:r>
      <w:r w:rsidRPr="00570413">
        <w:rPr>
          <w:rFonts w:ascii="Times New Roman" w:hAnsi="Times New Roman" w:cs="Times New Roman"/>
        </w:rPr>
        <w:t xml:space="preserve"> So while private property and legislation are clear causes of the birth of inequality and therefore civilization, sexuality, and in particular women’s sexuality, also leads to the creation of civilization.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lastRenderedPageBreak/>
        <w:tab/>
        <w:t xml:space="preserve">Engels, like Rousseau, hypothesized in </w:t>
      </w:r>
      <w:r w:rsidRPr="00570413">
        <w:rPr>
          <w:rFonts w:ascii="Times New Roman" w:hAnsi="Times New Roman" w:cs="Times New Roman"/>
          <w:i/>
        </w:rPr>
        <w:t>Origins of the Family</w:t>
      </w:r>
      <w:r w:rsidRPr="00570413">
        <w:rPr>
          <w:rFonts w:ascii="Times New Roman" w:hAnsi="Times New Roman" w:cs="Times New Roman"/>
        </w:rPr>
        <w:t xml:space="preserve"> on the development of civilization, however Engels does so through a lens of familial organization and relations. Engels believed that, what he referred to as “uncivilized people,” were in many cases organized societally on a system of matrilineal descent because of the ability for the people who were doing the child-bearing to be certain that their children were theirs.</w:t>
      </w:r>
      <w:r w:rsidR="007A7576">
        <w:rPr>
          <w:rStyle w:val="FootnoteReference"/>
          <w:rFonts w:ascii="Times New Roman" w:hAnsi="Times New Roman" w:cs="Times New Roman"/>
        </w:rPr>
        <w:footnoteReference w:id="28"/>
      </w:r>
      <w:r w:rsidRPr="00570413">
        <w:rPr>
          <w:rFonts w:ascii="Times New Roman" w:hAnsi="Times New Roman" w:cs="Times New Roman"/>
        </w:rPr>
        <w:t xml:space="preserve"> He argued that people transition out of this state of matrilineal descent with the creation of the communal home that is based in concepts of common ownership, and that this communal home was inherently patriarchal in nature because its purpose was maintenance and cultivation of owned land.</w:t>
      </w:r>
      <w:r w:rsidRPr="00570413">
        <w:rPr>
          <w:rStyle w:val="FootnoteReference"/>
          <w:rFonts w:ascii="Times New Roman" w:hAnsi="Times New Roman" w:cs="Times New Roman"/>
        </w:rPr>
        <w:footnoteReference w:id="29"/>
      </w:r>
      <w:r w:rsidRPr="00570413">
        <w:rPr>
          <w:rFonts w:ascii="Times New Roman" w:hAnsi="Times New Roman" w:cs="Times New Roman"/>
        </w:rPr>
        <w:t xml:space="preserve"> The maintenance of said land needed to be done by people who were bound to it. The reason this is a patriarchal system, Engels argued, is because of the earliest example of this kind of familial organization, in Rome, where the origin of the word family derives from a word ‘</w:t>
      </w:r>
      <w:proofErr w:type="spellStart"/>
      <w:r w:rsidRPr="00570413">
        <w:rPr>
          <w:rFonts w:ascii="Times New Roman" w:hAnsi="Times New Roman" w:cs="Times New Roman"/>
        </w:rPr>
        <w:t>familia</w:t>
      </w:r>
      <w:proofErr w:type="spellEnd"/>
      <w:r w:rsidRPr="00570413">
        <w:rPr>
          <w:rFonts w:ascii="Times New Roman" w:hAnsi="Times New Roman" w:cs="Times New Roman"/>
        </w:rPr>
        <w:t>’ that itself is derived from a word ‘</w:t>
      </w:r>
      <w:proofErr w:type="spellStart"/>
      <w:r w:rsidRPr="00570413">
        <w:rPr>
          <w:rFonts w:ascii="Times New Roman" w:hAnsi="Times New Roman" w:cs="Times New Roman"/>
        </w:rPr>
        <w:t>famulus</w:t>
      </w:r>
      <w:proofErr w:type="spellEnd"/>
      <w:r w:rsidRPr="00570413">
        <w:rPr>
          <w:rFonts w:ascii="Times New Roman" w:hAnsi="Times New Roman" w:cs="Times New Roman"/>
        </w:rPr>
        <w:t>,’ meaning slave.</w:t>
      </w:r>
      <w:r w:rsidRPr="00570413">
        <w:rPr>
          <w:rStyle w:val="FootnoteReference"/>
          <w:rFonts w:ascii="Times New Roman" w:hAnsi="Times New Roman" w:cs="Times New Roman"/>
        </w:rPr>
        <w:footnoteReference w:id="30"/>
      </w:r>
      <w:r w:rsidRPr="00570413">
        <w:rPr>
          <w:rFonts w:ascii="Times New Roman" w:hAnsi="Times New Roman" w:cs="Times New Roman"/>
        </w:rPr>
        <w:t xml:space="preserve"> Familia, or family, is then therefore the “number of slaves belonging to one man”.</w:t>
      </w:r>
      <w:r w:rsidRPr="00570413">
        <w:rPr>
          <w:rStyle w:val="FootnoteReference"/>
          <w:rFonts w:ascii="Times New Roman" w:hAnsi="Times New Roman" w:cs="Times New Roman"/>
        </w:rPr>
        <w:footnoteReference w:id="31"/>
      </w:r>
      <w:r w:rsidRPr="00570413">
        <w:rPr>
          <w:rFonts w:ascii="Times New Roman" w:hAnsi="Times New Roman" w:cs="Times New Roman"/>
        </w:rPr>
        <w:t xml:space="preserve"> Over time, these households based on communal ownership had the ownership slowly transferred onto the male head of the household for the purpose that wealth and property could be coalesced to one person instead of spread out among a group, eventually leading to a system of monogamous marriage.</w:t>
      </w:r>
      <w:r w:rsidRPr="00570413">
        <w:rPr>
          <w:rStyle w:val="FootnoteReference"/>
          <w:rFonts w:ascii="Times New Roman" w:hAnsi="Times New Roman" w:cs="Times New Roman"/>
        </w:rPr>
        <w:footnoteReference w:id="32"/>
      </w:r>
      <w:r w:rsidRPr="00570413">
        <w:rPr>
          <w:rFonts w:ascii="Times New Roman" w:hAnsi="Times New Roman" w:cs="Times New Roman"/>
        </w:rPr>
        <w:t xml:space="preserve"> With this concept of monogamous marriage, there developed “the subjugation of one sex by the other”.</w:t>
      </w:r>
      <w:r w:rsidRPr="00570413">
        <w:rPr>
          <w:rStyle w:val="FootnoteReference"/>
          <w:rFonts w:ascii="Times New Roman" w:hAnsi="Times New Roman" w:cs="Times New Roman"/>
        </w:rPr>
        <w:footnoteReference w:id="33"/>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highlight w:val="magenta"/>
        </w:rPr>
      </w:pPr>
      <w:r w:rsidRPr="00570413">
        <w:rPr>
          <w:rFonts w:ascii="Times New Roman" w:hAnsi="Times New Roman" w:cs="Times New Roman"/>
        </w:rPr>
        <w:tab/>
        <w:t xml:space="preserve">In Marx’s words “the modern family,” or the monogamous marriage, “contains… slavery” and even further than that “the first division of labor is that between man and woman” </w:t>
      </w:r>
      <w:r w:rsidRPr="00570413">
        <w:rPr>
          <w:rFonts w:ascii="Times New Roman" w:hAnsi="Times New Roman" w:cs="Times New Roman"/>
        </w:rPr>
        <w:lastRenderedPageBreak/>
        <w:t>meaning not only is marriage a system of ownership and servitude, but also of class relations.</w:t>
      </w:r>
      <w:r w:rsidRPr="00570413">
        <w:rPr>
          <w:rStyle w:val="FootnoteReference"/>
          <w:rFonts w:ascii="Times New Roman" w:hAnsi="Times New Roman" w:cs="Times New Roman"/>
        </w:rPr>
        <w:footnoteReference w:id="34"/>
      </w:r>
      <w:r w:rsidRPr="00570413">
        <w:rPr>
          <w:rFonts w:ascii="Times New Roman" w:hAnsi="Times New Roman" w:cs="Times New Roman"/>
        </w:rPr>
        <w:t xml:space="preserve"> This male supremacy is further cemented by the clarification of the term ‘monogamous’ in relation to this system of familial organization, where only the woman is truly monogamous, and the man may engage in polygamy.</w:t>
      </w:r>
      <w:r w:rsidRPr="00570413">
        <w:rPr>
          <w:rStyle w:val="FootnoteReference"/>
          <w:rFonts w:ascii="Times New Roman" w:hAnsi="Times New Roman" w:cs="Times New Roman"/>
        </w:rPr>
        <w:footnoteReference w:id="35"/>
      </w:r>
      <w:r w:rsidRPr="00570413">
        <w:rPr>
          <w:rFonts w:ascii="Times New Roman" w:hAnsi="Times New Roman" w:cs="Times New Roman"/>
        </w:rPr>
        <w:t xml:space="preserve"> What makes this argument even more interesting is who this type of marriage and family applies to. </w:t>
      </w:r>
      <w:r w:rsidRPr="007954FF">
        <w:rPr>
          <w:rFonts w:ascii="Times New Roman" w:hAnsi="Times New Roman" w:cs="Times New Roman"/>
        </w:rPr>
        <w:t>If marriage is a system of ownership, slavery of the woman, and a lineage of male heirs to pass down this role and privilege to,</w:t>
      </w:r>
      <w:r w:rsidR="007954FF" w:rsidRPr="007954FF">
        <w:rPr>
          <w:rFonts w:ascii="Times New Roman" w:hAnsi="Times New Roman" w:cs="Times New Roman"/>
        </w:rPr>
        <w:t xml:space="preserve"> then</w:t>
      </w:r>
      <w:r w:rsidRPr="007954FF">
        <w:rPr>
          <w:rFonts w:ascii="Times New Roman" w:hAnsi="Times New Roman" w:cs="Times New Roman"/>
        </w:rPr>
        <w:t xml:space="preserve"> in many cases, this can only apply to families with some form of wealth and not to the lower classes.</w:t>
      </w:r>
      <w:r w:rsidRPr="007954FF">
        <w:rPr>
          <w:rStyle w:val="FootnoteReference"/>
          <w:rFonts w:ascii="Times New Roman" w:hAnsi="Times New Roman" w:cs="Times New Roman"/>
        </w:rPr>
        <w:footnoteReference w:id="36"/>
      </w:r>
      <w:r w:rsidRPr="007954FF">
        <w:rPr>
          <w:rFonts w:ascii="Times New Roman" w:hAnsi="Times New Roman" w:cs="Times New Roman"/>
        </w:rPr>
        <w:t xml:space="preserve"> Therefore, not only is monogamous marriage as understood by Engels to be patriarchal in nature, but also bourgeois in nature. For lower classes, he argued, the only thing binding</w:t>
      </w:r>
      <w:r w:rsidRPr="00570413">
        <w:rPr>
          <w:rFonts w:ascii="Times New Roman" w:hAnsi="Times New Roman" w:cs="Times New Roman"/>
        </w:rPr>
        <w:t xml:space="preserve"> women to an organization of monogamous marriage is male violence against women, which he believed developed along with monogamous marriage so those with less wealth could also participate in the system.</w:t>
      </w:r>
      <w:r w:rsidRPr="00570413">
        <w:rPr>
          <w:rStyle w:val="FootnoteReference"/>
          <w:rFonts w:ascii="Times New Roman" w:hAnsi="Times New Roman" w:cs="Times New Roman"/>
        </w:rPr>
        <w:footnoteReference w:id="37"/>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Many scholars have however pointed out problems with the timeline that Engels lays out from the state of nature to modern civilization, even as it concerns gender. In wanting to discuss the family as the economic center of society, he in many places flattens gender roles in societies that did not fit the category of ‘civilization’ that so many western thinkers were concerned with.</w:t>
      </w:r>
      <w:r w:rsidRPr="00570413">
        <w:rPr>
          <w:rStyle w:val="FootnoteReference"/>
          <w:rFonts w:ascii="Times New Roman" w:hAnsi="Times New Roman" w:cs="Times New Roman"/>
        </w:rPr>
        <w:footnoteReference w:id="38"/>
      </w:r>
      <w:r w:rsidRPr="00570413">
        <w:rPr>
          <w:rFonts w:ascii="Times New Roman" w:hAnsi="Times New Roman" w:cs="Times New Roman"/>
        </w:rPr>
        <w:t xml:space="preserve"> Much of this may have to do with the fact that this was not intended to necessarily be a work on gender but rather an exploration of the way society has formed and changed over time</w:t>
      </w:r>
      <w:r w:rsidR="00E257CB" w:rsidRPr="00570413">
        <w:rPr>
          <w:rFonts w:ascii="Times New Roman" w:hAnsi="Times New Roman" w:cs="Times New Roman"/>
        </w:rPr>
        <w:t>.</w:t>
      </w:r>
      <w:r w:rsidR="00E257CB" w:rsidRPr="00570413">
        <w:rPr>
          <w:rStyle w:val="FootnoteReference"/>
          <w:rFonts w:ascii="Times New Roman" w:hAnsi="Times New Roman" w:cs="Times New Roman"/>
        </w:rPr>
        <w:footnoteReference w:id="39"/>
      </w:r>
      <w:r w:rsidRPr="00570413">
        <w:rPr>
          <w:rFonts w:ascii="Times New Roman" w:hAnsi="Times New Roman" w:cs="Times New Roman"/>
        </w:rPr>
        <w:t xml:space="preserve"> He heavily utilized what sociologist Josette Trat called “the myth of man as hunter,” where women’s labor is downplayed by modern people who sanitized a concept of hunter-gatherer </w:t>
      </w:r>
      <w:r w:rsidRPr="00570413">
        <w:rPr>
          <w:rFonts w:ascii="Times New Roman" w:hAnsi="Times New Roman" w:cs="Times New Roman"/>
        </w:rPr>
        <w:lastRenderedPageBreak/>
        <w:t xml:space="preserve">societies to mean that women’s gathering role did not have a large influence on the subsistence of those </w:t>
      </w:r>
      <w:r w:rsidRPr="004F0BE3">
        <w:rPr>
          <w:rFonts w:ascii="Times New Roman" w:hAnsi="Times New Roman" w:cs="Times New Roman"/>
        </w:rPr>
        <w:t>societies.</w:t>
      </w:r>
      <w:r w:rsidRPr="004F0BE3">
        <w:rPr>
          <w:rStyle w:val="FootnoteReference"/>
          <w:rFonts w:ascii="Times New Roman" w:hAnsi="Times New Roman" w:cs="Times New Roman"/>
        </w:rPr>
        <w:footnoteReference w:id="40"/>
      </w:r>
      <w:r w:rsidRPr="004F0BE3">
        <w:rPr>
          <w:rFonts w:ascii="Times New Roman" w:hAnsi="Times New Roman" w:cs="Times New Roman"/>
        </w:rPr>
        <w:t xml:space="preserve"> Therefore</w:t>
      </w:r>
      <w:r w:rsidRPr="00570413">
        <w:rPr>
          <w:rFonts w:ascii="Times New Roman" w:hAnsi="Times New Roman" w:cs="Times New Roman"/>
        </w:rPr>
        <w:t>, when Engels bases much of his theory on the supposed patriarchal nature of the communal home, that might have been more influenced by Engels</w:t>
      </w:r>
      <w:r w:rsidR="007954FF">
        <w:rPr>
          <w:rFonts w:ascii="Times New Roman" w:hAnsi="Times New Roman" w:cs="Times New Roman"/>
        </w:rPr>
        <w:t>’</w:t>
      </w:r>
      <w:r w:rsidRPr="00570413">
        <w:rPr>
          <w:rFonts w:ascii="Times New Roman" w:hAnsi="Times New Roman" w:cs="Times New Roman"/>
        </w:rPr>
        <w:t xml:space="preserve"> understanding of modern society and modern societies myths about the past rather than about any historical or anthropological truth.</w:t>
      </w:r>
      <w:r w:rsidRPr="00570413">
        <w:rPr>
          <w:rStyle w:val="FootnoteReference"/>
          <w:rFonts w:ascii="Times New Roman" w:hAnsi="Times New Roman" w:cs="Times New Roman"/>
        </w:rPr>
        <w:footnoteReference w:id="41"/>
      </w:r>
      <w:r w:rsidRPr="00570413">
        <w:rPr>
          <w:rFonts w:ascii="Times New Roman" w:hAnsi="Times New Roman" w:cs="Times New Roman"/>
        </w:rPr>
        <w:t xml:space="preserve"> In his discussions of women in the family, he may have been influenced by the common notion that “childbirth… is women’s natural role” and therefore, in his vision, the division of labor had more to do with gendered notions of childcare than with realistic depictions of labor divisions that in many cases differed </w:t>
      </w:r>
      <w:r w:rsidRPr="004F0BE3">
        <w:rPr>
          <w:rFonts w:ascii="Times New Roman" w:hAnsi="Times New Roman" w:cs="Times New Roman"/>
        </w:rPr>
        <w:t>society by society.</w:t>
      </w:r>
      <w:r w:rsidRPr="004F0BE3">
        <w:rPr>
          <w:rStyle w:val="FootnoteReference"/>
          <w:rFonts w:ascii="Times New Roman" w:hAnsi="Times New Roman" w:cs="Times New Roman"/>
        </w:rPr>
        <w:footnoteReference w:id="42"/>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These thinkers both shared an understanding of the world that based inequality on the creation of private property, though each of them distinguished different aspects of how and where the application of private property led to inequalities and, most importantly for this thesis, how that inequality applied to, or failed to apply to women. These divergences in each of their articulations of inequality will be distinguished more clearly later in sections discussing the way female revolutionaries from each of the two revolutions thought about and fought for women’s liberation. One thing that is important to note in regards to each thinker’s philosophy on inequalities is the very blatant xenophobia and colonial language each of them used to flesh out their argument. Both Engels and Rousseau labeled people in their essays as “savages” and “uncivilized” and both were based on this concept of linear progress towards civilization.</w:t>
      </w:r>
      <w:r w:rsidR="00AE7A62">
        <w:rPr>
          <w:rStyle w:val="FootnoteReference"/>
          <w:rFonts w:ascii="Times New Roman" w:hAnsi="Times New Roman" w:cs="Times New Roman"/>
        </w:rPr>
        <w:footnoteReference w:id="43"/>
      </w:r>
      <w:r w:rsidR="007954FF">
        <w:rPr>
          <w:rFonts w:ascii="Times New Roman" w:hAnsi="Times New Roman" w:cs="Times New Roman"/>
        </w:rPr>
        <w:t xml:space="preserve"> </w:t>
      </w:r>
      <w:r w:rsidRPr="00570413">
        <w:rPr>
          <w:rFonts w:ascii="Times New Roman" w:hAnsi="Times New Roman" w:cs="Times New Roman"/>
        </w:rPr>
        <w:t>Also important to note is the classification of women being subjected under monogamous marriage as ‘slaves,’ in Engels</w:t>
      </w:r>
      <w:r w:rsidR="007954FF">
        <w:rPr>
          <w:rFonts w:ascii="Times New Roman" w:hAnsi="Times New Roman" w:cs="Times New Roman"/>
        </w:rPr>
        <w:t>’</w:t>
      </w:r>
      <w:r w:rsidRPr="00570413">
        <w:rPr>
          <w:rFonts w:ascii="Times New Roman" w:hAnsi="Times New Roman" w:cs="Times New Roman"/>
        </w:rPr>
        <w:t xml:space="preserve"> essay, which though stands as a reference to the Roman word ‘</w:t>
      </w:r>
      <w:proofErr w:type="spellStart"/>
      <w:r w:rsidRPr="00570413">
        <w:rPr>
          <w:rFonts w:ascii="Times New Roman" w:hAnsi="Times New Roman" w:cs="Times New Roman"/>
        </w:rPr>
        <w:t>famulus</w:t>
      </w:r>
      <w:proofErr w:type="spellEnd"/>
      <w:r w:rsidRPr="00570413">
        <w:rPr>
          <w:rFonts w:ascii="Times New Roman" w:hAnsi="Times New Roman" w:cs="Times New Roman"/>
        </w:rPr>
        <w:t xml:space="preserve">,’ does </w:t>
      </w:r>
      <w:r w:rsidRPr="00570413">
        <w:rPr>
          <w:rFonts w:ascii="Times New Roman" w:hAnsi="Times New Roman" w:cs="Times New Roman"/>
        </w:rPr>
        <w:lastRenderedPageBreak/>
        <w:t>notably take on a more specific meaning with the onset of European colonialism that dated before his essay’s publication.</w:t>
      </w:r>
      <w:r w:rsidRPr="00570413">
        <w:rPr>
          <w:rStyle w:val="FootnoteReference"/>
          <w:rFonts w:ascii="Times New Roman" w:hAnsi="Times New Roman" w:cs="Times New Roman"/>
        </w:rPr>
        <w:footnoteReference w:id="44"/>
      </w:r>
      <w:r w:rsidRPr="00570413">
        <w:rPr>
          <w:rFonts w:ascii="Times New Roman" w:hAnsi="Times New Roman" w:cs="Times New Roman"/>
        </w:rPr>
        <w:t xml:space="preserve"> While the colonial bases of these theories are absolutely an aspect of each different group of revolutionaries political philosophies, this is not the focal point of my analysis and therefore will not be discussed in-depth, though it is very important to mention in contextualizing the ideals of these groups of women.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The most striking similarity in regards to women’s issues is the preoccupation each thinker had with nature in regards to their respective theories. For Rousseau, women’s differences from men were an aspect of nature; an unchanging certainty across time and place.</w:t>
      </w:r>
      <w:r w:rsidRPr="00570413">
        <w:rPr>
          <w:rStyle w:val="FootnoteReference"/>
          <w:rFonts w:ascii="Times New Roman" w:hAnsi="Times New Roman" w:cs="Times New Roman"/>
        </w:rPr>
        <w:footnoteReference w:id="45"/>
      </w:r>
      <w:r w:rsidRPr="00570413">
        <w:rPr>
          <w:rFonts w:ascii="Times New Roman" w:hAnsi="Times New Roman" w:cs="Times New Roman"/>
        </w:rPr>
        <w:t xml:space="preserve"> More so, this system of complementarianism is an aspect of nature, where man has his tasks and women has hers and these are meant to be equal and opposite reflections of each sex’s place within society. For Engels, a preoccupation with nature is less blatantly obvious. His theory on the origins of families is, as stated earlier, based on a concept of linear progress towards civilization that is taken at face value as plain fact.</w:t>
      </w:r>
      <w:r w:rsidR="007A7576">
        <w:rPr>
          <w:rStyle w:val="FootnoteReference"/>
          <w:rFonts w:ascii="Times New Roman" w:hAnsi="Times New Roman" w:cs="Times New Roman"/>
        </w:rPr>
        <w:footnoteReference w:id="46"/>
      </w:r>
      <w:r w:rsidRPr="00570413">
        <w:rPr>
          <w:rFonts w:ascii="Times New Roman" w:hAnsi="Times New Roman" w:cs="Times New Roman"/>
        </w:rPr>
        <w:t xml:space="preserve"> People who have not reached the state of civilization will simply get there in time because that’s the way linear progress works. And when these groups move into the stage of civilization, with it comes monogamous marriage and in turn, the subjugation of women, or more plainly stated, the world is progressing towards oppression based on sex.</w:t>
      </w:r>
      <w:r w:rsidRPr="00570413">
        <w:rPr>
          <w:rStyle w:val="FootnoteReference"/>
          <w:rFonts w:ascii="Times New Roman" w:hAnsi="Times New Roman" w:cs="Times New Roman"/>
        </w:rPr>
        <w:footnoteReference w:id="47"/>
      </w:r>
      <w:r w:rsidRPr="00570413">
        <w:rPr>
          <w:rFonts w:ascii="Times New Roman" w:hAnsi="Times New Roman" w:cs="Times New Roman"/>
        </w:rPr>
        <w:t xml:space="preserve"> In this case, it seems that Rousseau and Engels both agreed on a fairly bleak take on women’s liberation, in that their subjugation is merely, the nature of things.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Important also, is the way that Rousseau gendered nature, by continuing to refer to it as ‘she’ and ‘her,’ which will be explored more later in the section of French revolutionary </w:t>
      </w:r>
      <w:r w:rsidRPr="00570413">
        <w:rPr>
          <w:rFonts w:ascii="Times New Roman" w:hAnsi="Times New Roman" w:cs="Times New Roman"/>
        </w:rPr>
        <w:lastRenderedPageBreak/>
        <w:t>feminism.</w:t>
      </w:r>
      <w:r w:rsidRPr="00570413">
        <w:rPr>
          <w:rStyle w:val="FootnoteReference"/>
          <w:rFonts w:ascii="Times New Roman" w:hAnsi="Times New Roman" w:cs="Times New Roman"/>
        </w:rPr>
        <w:footnoteReference w:id="48"/>
      </w:r>
      <w:r w:rsidRPr="00570413">
        <w:rPr>
          <w:rFonts w:ascii="Times New Roman" w:hAnsi="Times New Roman" w:cs="Times New Roman"/>
        </w:rPr>
        <w:t xml:space="preserve"> It is critical to unpack the way that nature, in Rousseau’s understanding, separates the sexes, but also that nature itself is feminine, guiding the state of things among people on Earth, in a similar fashion to Rousseau’s conception of women as the guiders of moral humanity. Engels does not gender nature as feminine, though in his understanding of the world, the subjugation of women is a natural consequence of linear progress.</w:t>
      </w:r>
      <w:r w:rsidRPr="00570413">
        <w:rPr>
          <w:rStyle w:val="FootnoteReference"/>
          <w:rFonts w:ascii="Times New Roman" w:hAnsi="Times New Roman" w:cs="Times New Roman"/>
        </w:rPr>
        <w:footnoteReference w:id="49"/>
      </w:r>
      <w:r w:rsidRPr="00570413">
        <w:rPr>
          <w:rFonts w:ascii="Times New Roman" w:hAnsi="Times New Roman" w:cs="Times New Roman"/>
        </w:rPr>
        <w:t xml:space="preserve"> And though Marx, as it appeared in the notes he left Engels included in his essay, agreed that one of the most paramount signs of civilization is monogamous marriage based on the subjugation of women, there is a strong sense that this is not a good thing, as opposed to the more nefarious stance Rousseau takes in arguing the inequalities of women are out of the hands of the people.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And while both thinkers argued inequality in whatever form was based in the introduction of private property, both of them discussed conceptions of private property that occur earlier on the linear timeline of exiting the state of nature than the introduction of inequalities. In Engels</w:t>
      </w:r>
      <w:r w:rsidR="007954FF">
        <w:rPr>
          <w:rFonts w:ascii="Times New Roman" w:hAnsi="Times New Roman" w:cs="Times New Roman"/>
        </w:rPr>
        <w:t>’</w:t>
      </w:r>
      <w:r w:rsidRPr="00570413">
        <w:rPr>
          <w:rFonts w:ascii="Times New Roman" w:hAnsi="Times New Roman" w:cs="Times New Roman"/>
        </w:rPr>
        <w:t xml:space="preserve"> case there was a discussion on women in matrilineal families having ownership over their children, which is the basis for the introduction of matrilineal lineage itself.</w:t>
      </w:r>
      <w:r w:rsidRPr="00570413">
        <w:rPr>
          <w:rStyle w:val="FootnoteReference"/>
          <w:rFonts w:ascii="Times New Roman" w:hAnsi="Times New Roman" w:cs="Times New Roman"/>
        </w:rPr>
        <w:footnoteReference w:id="50"/>
      </w:r>
      <w:r w:rsidRPr="00570413">
        <w:rPr>
          <w:rFonts w:ascii="Times New Roman" w:hAnsi="Times New Roman" w:cs="Times New Roman"/>
        </w:rPr>
        <w:t xml:space="preserve"> Rousseau mentioned ownership first in his distinguishing man’s relation to other men during the period of the state of nature where man was first conceiving his relationships with people around him.</w:t>
      </w:r>
      <w:r w:rsidRPr="00570413">
        <w:rPr>
          <w:rStyle w:val="FootnoteReference"/>
          <w:rFonts w:ascii="Times New Roman" w:hAnsi="Times New Roman" w:cs="Times New Roman"/>
        </w:rPr>
        <w:footnoteReference w:id="51"/>
      </w:r>
      <w:r w:rsidRPr="00570413">
        <w:rPr>
          <w:rFonts w:ascii="Times New Roman" w:hAnsi="Times New Roman" w:cs="Times New Roman"/>
        </w:rPr>
        <w:t xml:space="preserve"> The man in the state of nature was described as discovering relations between “himself and his female,” meaning that Rousseau also established ideas of ownership before the introduction of private property.</w:t>
      </w:r>
      <w:r w:rsidRPr="00570413">
        <w:rPr>
          <w:rStyle w:val="FootnoteReference"/>
          <w:rFonts w:ascii="Times New Roman" w:hAnsi="Times New Roman" w:cs="Times New Roman"/>
        </w:rPr>
        <w:footnoteReference w:id="52"/>
      </w:r>
      <w:r w:rsidRPr="00570413">
        <w:rPr>
          <w:rFonts w:ascii="Times New Roman" w:hAnsi="Times New Roman" w:cs="Times New Roman"/>
        </w:rPr>
        <w:t xml:space="preserve"> While there is certainly a distinction between private property and conceptions of ownership, it is intriguing that neither thinker really delves </w:t>
      </w:r>
      <w:r w:rsidRPr="00570413">
        <w:rPr>
          <w:rFonts w:ascii="Times New Roman" w:hAnsi="Times New Roman" w:cs="Times New Roman"/>
        </w:rPr>
        <w:lastRenderedPageBreak/>
        <w:t xml:space="preserve">into their respective earliest mentions of ownership as a basis of thinking reflected in the later development of private property. Engels’ distinction of ownership being first mentioned in his essay as women being the owners of children and Rousseau’s distinction of the first mention of ownership being a man owning the women he procreates with may suggest that woman is incompatible with conceptions of ownership in either of their respective essays. In the case of Engels’ essay, there is distinction that </w:t>
      </w:r>
      <w:r w:rsidRPr="007954FF">
        <w:rPr>
          <w:rFonts w:ascii="Times New Roman" w:hAnsi="Times New Roman" w:cs="Times New Roman"/>
        </w:rPr>
        <w:t>ownership by women of their children is not the same type of ownership that men have because women’s ownership of children does not</w:t>
      </w:r>
      <w:r w:rsidRPr="00570413">
        <w:rPr>
          <w:rFonts w:ascii="Times New Roman" w:hAnsi="Times New Roman" w:cs="Times New Roman"/>
        </w:rPr>
        <w:t xml:space="preserve"> necessarily lead to the emergence of inequalities which in many ways defines conceptions of ownership. For Rousseau’s case women are understood to be the property that can be owned, therefore they are not capable of being property owners. It is notable as well that Engels’ basis for inequality la</w:t>
      </w:r>
      <w:r w:rsidR="007954FF">
        <w:rPr>
          <w:rFonts w:ascii="Times New Roman" w:hAnsi="Times New Roman" w:cs="Times New Roman"/>
        </w:rPr>
        <w:t>y</w:t>
      </w:r>
      <w:r w:rsidRPr="00570413">
        <w:rPr>
          <w:rFonts w:ascii="Times New Roman" w:hAnsi="Times New Roman" w:cs="Times New Roman"/>
        </w:rPr>
        <w:t xml:space="preserve"> in the father as the owner of the family and its wealth, whereas Rousseau discusses the family as a place where women should be contained.</w:t>
      </w:r>
      <w:r w:rsidR="00E257CB" w:rsidRPr="00570413">
        <w:rPr>
          <w:rStyle w:val="FootnoteReference"/>
          <w:rFonts w:ascii="Times New Roman" w:hAnsi="Times New Roman" w:cs="Times New Roman"/>
        </w:rPr>
        <w:footnoteReference w:id="53"/>
      </w:r>
      <w:r w:rsidRPr="00570413">
        <w:rPr>
          <w:rFonts w:ascii="Times New Roman" w:hAnsi="Times New Roman" w:cs="Times New Roman"/>
        </w:rPr>
        <w:t xml:space="preserve"> These differences effect the later philosophies of revolutionary women, but even before that, they inform the ideas of private property in relation to the development of inequality.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In Engels</w:t>
      </w:r>
      <w:r w:rsidR="007954FF">
        <w:rPr>
          <w:rFonts w:ascii="Times New Roman" w:hAnsi="Times New Roman" w:cs="Times New Roman"/>
        </w:rPr>
        <w:t>’</w:t>
      </w:r>
      <w:r w:rsidRPr="00570413">
        <w:rPr>
          <w:rFonts w:ascii="Times New Roman" w:hAnsi="Times New Roman" w:cs="Times New Roman"/>
        </w:rPr>
        <w:t xml:space="preserve"> theory, the introduction of monogamous paired marriage is where the subjugation of women truly begins. When this concept is placed in tandem </w:t>
      </w:r>
      <w:r w:rsidR="007954FF">
        <w:rPr>
          <w:rFonts w:ascii="Times New Roman" w:hAnsi="Times New Roman" w:cs="Times New Roman"/>
        </w:rPr>
        <w:t>with</w:t>
      </w:r>
      <w:r w:rsidRPr="00570413">
        <w:rPr>
          <w:rFonts w:ascii="Times New Roman" w:hAnsi="Times New Roman" w:cs="Times New Roman"/>
        </w:rPr>
        <w:t xml:space="preserve"> the idea that women’s ownership of their offspring was the earliest form of ownership he could theorize, this subjugation is placed into a greater context. Not only did monogamous marriage create the subjugation of women as it was understood during the time of writing his essay, but it facilitated the transfer of conceptual ownership from the mother onto the male patriarch of the house.</w:t>
      </w:r>
      <w:r w:rsidR="007A7576">
        <w:rPr>
          <w:rStyle w:val="FootnoteReference"/>
          <w:rFonts w:ascii="Times New Roman" w:hAnsi="Times New Roman" w:cs="Times New Roman"/>
        </w:rPr>
        <w:footnoteReference w:id="54"/>
      </w:r>
      <w:r w:rsidRPr="00570413">
        <w:rPr>
          <w:rFonts w:ascii="Times New Roman" w:hAnsi="Times New Roman" w:cs="Times New Roman"/>
        </w:rPr>
        <w:t xml:space="preserve"> And the wom</w:t>
      </w:r>
      <w:r w:rsidR="007954FF">
        <w:rPr>
          <w:rFonts w:ascii="Times New Roman" w:hAnsi="Times New Roman" w:cs="Times New Roman"/>
        </w:rPr>
        <w:t>a</w:t>
      </w:r>
      <w:r w:rsidRPr="00570413">
        <w:rPr>
          <w:rFonts w:ascii="Times New Roman" w:hAnsi="Times New Roman" w:cs="Times New Roman"/>
        </w:rPr>
        <w:t xml:space="preserve">n’s ownership of her children is not considered to be part of this legacy of ownership of property. Not only did women face subjugation by capital means and therefore gendered means, </w:t>
      </w:r>
      <w:r w:rsidRPr="00570413">
        <w:rPr>
          <w:rFonts w:ascii="Times New Roman" w:hAnsi="Times New Roman" w:cs="Times New Roman"/>
        </w:rPr>
        <w:lastRenderedPageBreak/>
        <w:t xml:space="preserve">since the man was in many cases the one developing the capital for his own interest of passing on a fortune to an heir, but women faced subjugation because their ability to possess ownership was completely destroyed in this organization of family units.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In Rousseau’s essay, early ideas of ownership being defined as man owning the women he created offspring with did not really affect his ideas of inequality merely because the subjugation of women was not classified as an inequality and instead was understood as merely the natural order of things. It does however inform his understanding of women as passive actors in the world, an idea that he established in his introductory section</w:t>
      </w:r>
      <w:r w:rsidRPr="007954FF">
        <w:rPr>
          <w:rFonts w:ascii="Times New Roman" w:hAnsi="Times New Roman" w:cs="Times New Roman"/>
        </w:rPr>
        <w:t>.</w:t>
      </w:r>
      <w:r w:rsidRPr="007954FF">
        <w:rPr>
          <w:rStyle w:val="FootnoteReference"/>
          <w:rFonts w:ascii="Times New Roman" w:hAnsi="Times New Roman" w:cs="Times New Roman"/>
        </w:rPr>
        <w:footnoteReference w:id="55"/>
      </w:r>
      <w:r w:rsidRPr="007954FF">
        <w:rPr>
          <w:rFonts w:ascii="Times New Roman" w:hAnsi="Times New Roman" w:cs="Times New Roman"/>
        </w:rPr>
        <w:t xml:space="preserve"> Women mentioned in his essay were not actively engaging in the linear advancement towards civilization and in turn, inequality, instead being mentioned briefly mostly as, as previously stated, the guiders of virtue and morals for the men who were actually advancing society through their changin</w:t>
      </w:r>
      <w:r w:rsidRPr="00570413">
        <w:rPr>
          <w:rFonts w:ascii="Times New Roman" w:hAnsi="Times New Roman" w:cs="Times New Roman"/>
        </w:rPr>
        <w:t>g conceptions of themselves and the world around them.</w:t>
      </w:r>
      <w:r w:rsidRPr="00570413">
        <w:rPr>
          <w:rStyle w:val="FootnoteReference"/>
          <w:rFonts w:ascii="Times New Roman" w:hAnsi="Times New Roman" w:cs="Times New Roman"/>
        </w:rPr>
        <w:footnoteReference w:id="56"/>
      </w:r>
      <w:r w:rsidRPr="00570413">
        <w:rPr>
          <w:rFonts w:ascii="Times New Roman" w:hAnsi="Times New Roman" w:cs="Times New Roman"/>
        </w:rPr>
        <w:t xml:space="preserve"> So while through their “chaste influence” they did guide humanity towards its eventual end point, at least where it could end as perceived by Rousseau in 1755, they do not act as thinkers and doers who build upon the human experience and instead view the human experience as an outside observer and comment on it and where it </w:t>
      </w:r>
      <w:r w:rsidRPr="007954FF">
        <w:rPr>
          <w:rFonts w:ascii="Times New Roman" w:hAnsi="Times New Roman" w:cs="Times New Roman"/>
        </w:rPr>
        <w:t>should go.</w:t>
      </w:r>
      <w:r w:rsidRPr="007954FF">
        <w:rPr>
          <w:rStyle w:val="FootnoteReference"/>
          <w:rFonts w:ascii="Times New Roman" w:hAnsi="Times New Roman" w:cs="Times New Roman"/>
        </w:rPr>
        <w:footnoteReference w:id="57"/>
      </w:r>
      <w:r w:rsidRPr="007954FF">
        <w:rPr>
          <w:rFonts w:ascii="Times New Roman" w:hAnsi="Times New Roman" w:cs="Times New Roman"/>
        </w:rPr>
        <w:t xml:space="preserve"> More so, their</w:t>
      </w:r>
      <w:r w:rsidRPr="00570413">
        <w:rPr>
          <w:rFonts w:ascii="Times New Roman" w:hAnsi="Times New Roman" w:cs="Times New Roman"/>
        </w:rPr>
        <w:t xml:space="preserve"> chaste influence lead to the creation of civilization itself, so even as a passive actor, </w:t>
      </w:r>
      <w:r w:rsidR="007954FF">
        <w:rPr>
          <w:rFonts w:ascii="Times New Roman" w:hAnsi="Times New Roman" w:cs="Times New Roman"/>
        </w:rPr>
        <w:t>t</w:t>
      </w:r>
      <w:r w:rsidRPr="00570413">
        <w:rPr>
          <w:rFonts w:ascii="Times New Roman" w:hAnsi="Times New Roman" w:cs="Times New Roman"/>
        </w:rPr>
        <w:t>he</w:t>
      </w:r>
      <w:r w:rsidR="007954FF">
        <w:rPr>
          <w:rFonts w:ascii="Times New Roman" w:hAnsi="Times New Roman" w:cs="Times New Roman"/>
        </w:rPr>
        <w:t>i</w:t>
      </w:r>
      <w:r w:rsidRPr="00570413">
        <w:rPr>
          <w:rFonts w:ascii="Times New Roman" w:hAnsi="Times New Roman" w:cs="Times New Roman"/>
        </w:rPr>
        <w:t xml:space="preserve">r influence is inherently dangerous and this </w:t>
      </w:r>
      <w:r w:rsidR="007954FF">
        <w:rPr>
          <w:rFonts w:ascii="Times New Roman" w:hAnsi="Times New Roman" w:cs="Times New Roman"/>
        </w:rPr>
        <w:t xml:space="preserve">final unknown </w:t>
      </w:r>
      <w:r w:rsidRPr="00570413">
        <w:rPr>
          <w:rFonts w:ascii="Times New Roman" w:hAnsi="Times New Roman" w:cs="Times New Roman"/>
        </w:rPr>
        <w:t xml:space="preserve">endpoint of </w:t>
      </w:r>
      <w:r w:rsidR="007954FF">
        <w:rPr>
          <w:rFonts w:ascii="Times New Roman" w:hAnsi="Times New Roman" w:cs="Times New Roman"/>
        </w:rPr>
        <w:t>civilization</w:t>
      </w:r>
      <w:r w:rsidRPr="00570413">
        <w:rPr>
          <w:rFonts w:ascii="Times New Roman" w:hAnsi="Times New Roman" w:cs="Times New Roman"/>
        </w:rPr>
        <w:t xml:space="preserve"> is distinctly not a place where Rousseau thinks people should move towards</w:t>
      </w:r>
      <w:r w:rsidR="00E257CB" w:rsidRPr="00570413">
        <w:rPr>
          <w:rFonts w:ascii="Times New Roman" w:hAnsi="Times New Roman" w:cs="Times New Roman"/>
        </w:rPr>
        <w:t>.</w:t>
      </w:r>
      <w:r w:rsidR="00E257CB" w:rsidRPr="00570413">
        <w:rPr>
          <w:rStyle w:val="FootnoteReference"/>
          <w:rFonts w:ascii="Times New Roman" w:hAnsi="Times New Roman" w:cs="Times New Roman"/>
        </w:rPr>
        <w:footnoteReference w:id="58"/>
      </w:r>
      <w:r w:rsidRPr="00570413">
        <w:rPr>
          <w:rFonts w:ascii="Times New Roman" w:hAnsi="Times New Roman" w:cs="Times New Roman"/>
        </w:rPr>
        <w:t xml:space="preserv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Each thinker had developed this idea that the introduction of private property begat the introduction of inequality in whatever form, with each having a distinct mechanism that would cement the inequality in society. For Rousseau, what augmented the creation of inequality </w:t>
      </w:r>
      <w:r w:rsidRPr="00570413">
        <w:rPr>
          <w:rFonts w:ascii="Times New Roman" w:hAnsi="Times New Roman" w:cs="Times New Roman"/>
        </w:rPr>
        <w:lastRenderedPageBreak/>
        <w:t>through the introduction of private property, was legislation that legitimized private property as a means of organizing people in society.</w:t>
      </w:r>
      <w:r w:rsidRPr="00570413">
        <w:rPr>
          <w:rStyle w:val="FootnoteReference"/>
          <w:rFonts w:ascii="Times New Roman" w:hAnsi="Times New Roman" w:cs="Times New Roman"/>
        </w:rPr>
        <w:footnoteReference w:id="59"/>
      </w:r>
      <w:r w:rsidRPr="00570413">
        <w:rPr>
          <w:rFonts w:ascii="Times New Roman" w:hAnsi="Times New Roman" w:cs="Times New Roman"/>
        </w:rPr>
        <w:t xml:space="preserve"> For Engels, in contrast, the legitimacy of private property, and therefore the subjugation of women, lay in capital.</w:t>
      </w:r>
      <w:r w:rsidRPr="00570413">
        <w:rPr>
          <w:rStyle w:val="FootnoteReference"/>
          <w:rFonts w:ascii="Times New Roman" w:hAnsi="Times New Roman" w:cs="Times New Roman"/>
        </w:rPr>
        <w:footnoteReference w:id="60"/>
      </w:r>
      <w:r w:rsidRPr="00570413">
        <w:rPr>
          <w:rFonts w:ascii="Times New Roman" w:hAnsi="Times New Roman" w:cs="Times New Roman"/>
        </w:rPr>
        <w:t xml:space="preserve"> These differences are reflected in the revolutionary philosophies and end goals of not only each respective group of revolutionary women, but revolutionaries in general for each period of time. While this will be unpacked more later in this thesis, it is necessary to observe that in many ways these thinkers are arguing two sides of the same coin. Where Rousseau argued that laws enforced inequalities, and Engels felt that capital enforced inequality, they both felt that the powerful were not just powerful in what they owned in private property, but in how the system reinforced itself to keep building that power.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The difference in understanding what mechanism in society cemented private property as the basis of inequality directly informed how revolutionaries could conceptualize solving the problems of inequality. It is the difference between needing to simply restructure and reorganize society versus the idea that the whole system based on capital needs to be destroyed and rebuilt. If the inequalities of the world are made more unmoving based on the laws that legitimize these inequalities, the simple solution is to change the laws so that they no longer do that. When the system of inequality is sustained by capital however, there needs to be a complete overhaul of the system so that it is no longer based on capital. Whereas Rousseau’s solution to the problem of inequality </w:t>
      </w:r>
      <w:r w:rsidR="007954FF">
        <w:rPr>
          <w:rFonts w:ascii="Times New Roman" w:hAnsi="Times New Roman" w:cs="Times New Roman"/>
        </w:rPr>
        <w:t>i</w:t>
      </w:r>
      <w:r w:rsidRPr="00570413">
        <w:rPr>
          <w:rFonts w:ascii="Times New Roman" w:hAnsi="Times New Roman" w:cs="Times New Roman"/>
        </w:rPr>
        <w:t xml:space="preserve">s to change the specific laws that enforced those inequalities, for Engels, there is no one type of capital that is bad and needs to be reformed. Instead, both the way that capital is used and the entire concept of capital need to be addressed.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lastRenderedPageBreak/>
        <w:t>When looking specifically at these concepts with the application of a gendered lens, capital is itself an anti-feminist concept in the way that Engels classified it in relation to inequality. The classification of both monogamous marriage and violence against women as issues of class conflict places capital in the context of anti-feminism. In this view, marriage and capital exist in opposition to women’s liberation as they aided in creating and legitimizing that inequality. And this is in complete opposition to Rousseau’s ideas about the problems of private property and the laws that legitimize that. In Rousseauian framework, it is not just private property that creates inequality but the laws enforcing the legitimacy of private property as a concept. And this problem does not directly relate to women at all, therefore, capital is not a direct influence on the women’s subjugation because though capital in Rousseau’s view creates inequality, women’s oppression is not categorized as an inequality at all. The problem for Rousseau is the manner in which capital is enforced but not necessarily capital itself. For Rousseau, legislation is the birth place of inequality and therefore also acts as the point of engagement for people who utilize his theory in their revolutionary philosophy. However in Engels</w:t>
      </w:r>
      <w:r w:rsidR="007954FF">
        <w:rPr>
          <w:rFonts w:ascii="Times New Roman" w:hAnsi="Times New Roman" w:cs="Times New Roman"/>
        </w:rPr>
        <w:t>’</w:t>
      </w:r>
      <w:r w:rsidRPr="00570413">
        <w:rPr>
          <w:rFonts w:ascii="Times New Roman" w:hAnsi="Times New Roman" w:cs="Times New Roman"/>
        </w:rPr>
        <w:t xml:space="preserve"> framework, marriage is a representation of all problems regarding inequalities. Marx argued, in the notes he left for Engels</w:t>
      </w:r>
      <w:r w:rsidR="007954FF">
        <w:rPr>
          <w:rFonts w:ascii="Times New Roman" w:hAnsi="Times New Roman" w:cs="Times New Roman"/>
        </w:rPr>
        <w:t>’</w:t>
      </w:r>
      <w:r w:rsidRPr="00570413">
        <w:rPr>
          <w:rFonts w:ascii="Times New Roman" w:hAnsi="Times New Roman" w:cs="Times New Roman"/>
        </w:rPr>
        <w:t xml:space="preserve"> essay</w:t>
      </w:r>
      <w:r w:rsidR="007954FF">
        <w:rPr>
          <w:rFonts w:ascii="Times New Roman" w:hAnsi="Times New Roman" w:cs="Times New Roman"/>
        </w:rPr>
        <w:t>,</w:t>
      </w:r>
      <w:r w:rsidRPr="00570413">
        <w:rPr>
          <w:rFonts w:ascii="Times New Roman" w:hAnsi="Times New Roman" w:cs="Times New Roman"/>
        </w:rPr>
        <w:t xml:space="preserve"> that marriage “contains in miniature all the contradictions of the state,” meaning in many ways the problem of inequality in all its forms could not be discussed or even understood without understanding the dynamics of modern monogamous marriage.</w:t>
      </w:r>
      <w:r w:rsidRPr="00570413">
        <w:rPr>
          <w:rStyle w:val="FootnoteReference"/>
          <w:rFonts w:ascii="Times New Roman" w:hAnsi="Times New Roman" w:cs="Times New Roman"/>
        </w:rPr>
        <w:footnoteReference w:id="61"/>
      </w:r>
      <w:r w:rsidRPr="00570413">
        <w:rPr>
          <w:rFonts w:ascii="Times New Roman" w:hAnsi="Times New Roman" w:cs="Times New Roman"/>
        </w:rPr>
        <w:t xml:space="preserv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Both thinker’s theories, as stated earlier, had a very bleak tone that nature is the cause of women’s oppression, either in its dichotomization of the sexes or in its progression towards civilization. Each theory, however, contains ideas that could be applied to women’s liberation </w:t>
      </w:r>
      <w:r w:rsidRPr="00570413">
        <w:rPr>
          <w:rFonts w:ascii="Times New Roman" w:hAnsi="Times New Roman" w:cs="Times New Roman"/>
        </w:rPr>
        <w:lastRenderedPageBreak/>
        <w:t xml:space="preserve">particularly for their respective time periods. The French Revolution occurred a little over a century before the Russian Revolution of 1917, and Rousseau’s </w:t>
      </w:r>
      <w:r w:rsidRPr="00570413">
        <w:rPr>
          <w:rFonts w:ascii="Times New Roman" w:hAnsi="Times New Roman" w:cs="Times New Roman"/>
          <w:i/>
        </w:rPr>
        <w:t>Discourse</w:t>
      </w:r>
      <w:r w:rsidRPr="00570413">
        <w:rPr>
          <w:rFonts w:ascii="Times New Roman" w:hAnsi="Times New Roman" w:cs="Times New Roman"/>
        </w:rPr>
        <w:t xml:space="preserve"> was published a little over a century before Engels’s </w:t>
      </w:r>
      <w:r w:rsidRPr="00570413">
        <w:rPr>
          <w:rFonts w:ascii="Times New Roman" w:hAnsi="Times New Roman" w:cs="Times New Roman"/>
          <w:i/>
        </w:rPr>
        <w:t>Origins</w:t>
      </w:r>
      <w:r w:rsidRPr="00570413">
        <w:rPr>
          <w:rFonts w:ascii="Times New Roman" w:hAnsi="Times New Roman" w:cs="Times New Roman"/>
        </w:rPr>
        <w:t xml:space="preserve">, meaning that time period played a very large factor in the ideologies of both Rousseau and Engels. That is, Rousseau wrote </w:t>
      </w:r>
      <w:r w:rsidRPr="00570413">
        <w:rPr>
          <w:rFonts w:ascii="Times New Roman" w:hAnsi="Times New Roman" w:cs="Times New Roman"/>
          <w:i/>
        </w:rPr>
        <w:t>Discourse on Inequalities</w:t>
      </w:r>
      <w:r w:rsidRPr="00570413">
        <w:rPr>
          <w:rFonts w:ascii="Times New Roman" w:hAnsi="Times New Roman" w:cs="Times New Roman"/>
        </w:rPr>
        <w:t xml:space="preserve"> during the Enlightenment whe</w:t>
      </w:r>
      <w:r w:rsidR="007954FF">
        <w:rPr>
          <w:rFonts w:ascii="Times New Roman" w:hAnsi="Times New Roman" w:cs="Times New Roman"/>
        </w:rPr>
        <w:t>n</w:t>
      </w:r>
      <w:r w:rsidRPr="00570413">
        <w:rPr>
          <w:rFonts w:ascii="Times New Roman" w:hAnsi="Times New Roman" w:cs="Times New Roman"/>
        </w:rPr>
        <w:t xml:space="preserve"> thinkers were trying to explain the state of the world through reason. This idea of being able to explain the state of the world, led Marx to create a very structuralist theory for explaining the modern world, influencing Engels’ writing of </w:t>
      </w:r>
      <w:r w:rsidRPr="00570413">
        <w:rPr>
          <w:rFonts w:ascii="Times New Roman" w:hAnsi="Times New Roman" w:cs="Times New Roman"/>
          <w:i/>
        </w:rPr>
        <w:t>Origins of Inequality</w:t>
      </w:r>
      <w:r w:rsidRPr="00570413">
        <w:rPr>
          <w:rFonts w:ascii="Times New Roman" w:hAnsi="Times New Roman" w:cs="Times New Roman"/>
        </w:rPr>
        <w:t xml:space="preserve"> not only because of Marx’s impact on the intellectual world in general but also because Engels obviously worked very closely with Marx in creating that theory. There w</w:t>
      </w:r>
      <w:r w:rsidR="007954FF">
        <w:rPr>
          <w:rFonts w:ascii="Times New Roman" w:hAnsi="Times New Roman" w:cs="Times New Roman"/>
        </w:rPr>
        <w:t xml:space="preserve">as </w:t>
      </w:r>
      <w:r w:rsidRPr="00570413">
        <w:rPr>
          <w:rFonts w:ascii="Times New Roman" w:hAnsi="Times New Roman" w:cs="Times New Roman"/>
        </w:rPr>
        <w:t xml:space="preserve">also a large difference in how these writings influenced the ideologies and actions of  women revolutionaries and politically active women in Russia and France during their respective revolutions. Whereas a deep examination of marriage, capital, and inequality of class acts as a framework for liberationist ideologies, so too does the idea that women have a hand in guiding humanity act as a proto-feminist ideal for revolutionary women in France. This is not to say that politically active women in each of these revolutionary cases necessarily directly interacted with these two specific texts, but rather these two texts have ideas so heavily embedded in each of the respective revolutionary ideologies that influenced both women and men. And in many cases, earlier forms of what was at the time considered to be feminist in nature, could in a matter of </w:t>
      </w:r>
      <w:r w:rsidR="007954FF" w:rsidRPr="007954FF">
        <w:rPr>
          <w:rFonts w:ascii="Times New Roman" w:hAnsi="Times New Roman" w:cs="Times New Roman"/>
        </w:rPr>
        <w:t>decades</w:t>
      </w:r>
      <w:r w:rsidRPr="007954FF">
        <w:rPr>
          <w:rFonts w:ascii="Times New Roman" w:hAnsi="Times New Roman" w:cs="Times New Roman"/>
        </w:rPr>
        <w:t>, be</w:t>
      </w:r>
      <w:r w:rsidRPr="00570413">
        <w:rPr>
          <w:rFonts w:ascii="Times New Roman" w:hAnsi="Times New Roman" w:cs="Times New Roman"/>
        </w:rPr>
        <w:t xml:space="preserve"> considered to be anti-feminist itself. In this case this can best be seen through Russian revolutionary women’s rejection of western liberal feminism that developed partially in revolutionary France.</w:t>
      </w:r>
      <w:r w:rsidRPr="00570413">
        <w:rPr>
          <w:rStyle w:val="FootnoteReference"/>
          <w:rFonts w:ascii="Times New Roman" w:hAnsi="Times New Roman" w:cs="Times New Roman"/>
        </w:rPr>
        <w:footnoteReference w:id="62"/>
      </w:r>
      <w:r w:rsidRPr="00570413">
        <w:rPr>
          <w:rFonts w:ascii="Times New Roman" w:hAnsi="Times New Roman" w:cs="Times New Roman"/>
        </w:rPr>
        <w:t xml:space="preserve"> This rejection of an antiquated version of feminist ideals also has a lot to do with how womanhood is defined and how that definition of womanhood changes over time.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lastRenderedPageBreak/>
        <w:t xml:space="preserve">Conceptions of womanhood are defined by not only societies that bind them but also by the over-arching philosophies accepted and celebrated by those societies. The definitions of womanhood in Russia and France at the onset of their revolutions will be explored later, but the philosophies of Rousseau and Engels can still be examined in their constructions of womanhood. In short, revolutionary womanhood in France was </w:t>
      </w:r>
      <w:r w:rsidRPr="007954FF">
        <w:rPr>
          <w:rFonts w:ascii="Times New Roman" w:hAnsi="Times New Roman" w:cs="Times New Roman"/>
        </w:rPr>
        <w:t>most notably tied to definitions of citizenship as either active or passive, whereas in Russia revolutionary womanhood was</w:t>
      </w:r>
      <w:r w:rsidRPr="00570413">
        <w:rPr>
          <w:rFonts w:ascii="Times New Roman" w:hAnsi="Times New Roman" w:cs="Times New Roman"/>
        </w:rPr>
        <w:t xml:space="preserve"> tied to competing notions of hardness and softness.</w:t>
      </w:r>
      <w:r w:rsidR="00E6533F" w:rsidRPr="00570413">
        <w:rPr>
          <w:rStyle w:val="FootnoteReference"/>
          <w:rFonts w:ascii="Times New Roman" w:hAnsi="Times New Roman" w:cs="Times New Roman"/>
        </w:rPr>
        <w:footnoteReference w:id="63"/>
      </w:r>
      <w:r w:rsidRPr="00570413">
        <w:rPr>
          <w:rFonts w:ascii="Times New Roman" w:hAnsi="Times New Roman" w:cs="Times New Roman"/>
        </w:rPr>
        <w:t xml:space="preserve"> In Rousseau’s construction of the world, women are moral guiders. Therefore, the feminist stance that is informed by this definition of womanhood is a moral guidance that emphasizes women’s rights, which will be explored through writing by Olympe de Gouges. In Engels</w:t>
      </w:r>
      <w:r w:rsidR="007954FF">
        <w:rPr>
          <w:rFonts w:ascii="Times New Roman" w:hAnsi="Times New Roman" w:cs="Times New Roman"/>
        </w:rPr>
        <w:t>’</w:t>
      </w:r>
      <w:r w:rsidRPr="00570413">
        <w:rPr>
          <w:rFonts w:ascii="Times New Roman" w:hAnsi="Times New Roman" w:cs="Times New Roman"/>
        </w:rPr>
        <w:t xml:space="preserve"> construction of the </w:t>
      </w:r>
      <w:r w:rsidRPr="007954FF">
        <w:rPr>
          <w:rFonts w:ascii="Times New Roman" w:hAnsi="Times New Roman" w:cs="Times New Roman"/>
        </w:rPr>
        <w:t>world womanhood is</w:t>
      </w:r>
      <w:r w:rsidRPr="00570413">
        <w:rPr>
          <w:rFonts w:ascii="Times New Roman" w:hAnsi="Times New Roman" w:cs="Times New Roman"/>
        </w:rPr>
        <w:t xml:space="preserve"> defined plainly by their subjugation. Therefore the feminism in response </w:t>
      </w:r>
      <w:r w:rsidRPr="007954FF">
        <w:rPr>
          <w:rFonts w:ascii="Times New Roman" w:hAnsi="Times New Roman" w:cs="Times New Roman"/>
        </w:rPr>
        <w:t>to that defined womanhood is most</w:t>
      </w:r>
      <w:r w:rsidRPr="00570413">
        <w:rPr>
          <w:rFonts w:ascii="Times New Roman" w:hAnsi="Times New Roman" w:cs="Times New Roman"/>
        </w:rPr>
        <w:t xml:space="preserve"> primarily concerned with women’s subjugation through marriage as well as a stronger concern for class dynamics. This will also be explored further in the section on Russian Revolutionary Feminism, primarily through writing by Bolshevik Alexandra Kollontai.</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 xml:space="preserve">As stated throughout this chapter, both of these theories are reflected in the revolutionary philosophies of each group of women for the respective revolutions that were influenced by these thinkers. It will be shown that French revolutionary women had a greater concern with working within the woman-hood that was defined onto them, while the Russian revolutionary women had a more militant, blatant approach to changing the conditions that they were under. Rousseau’s understanding of woman-hood as a guiding hand led French women to attempt to weaponize this position, and attempt to alter the world they lived in, primarily through legal means as mirrored by Rousseau’s understanding of laws that legitimize inequalities, though subjugation of women </w:t>
      </w:r>
      <w:r w:rsidRPr="00570413">
        <w:rPr>
          <w:rFonts w:ascii="Times New Roman" w:hAnsi="Times New Roman" w:cs="Times New Roman"/>
        </w:rPr>
        <w:lastRenderedPageBreak/>
        <w:t>was not categorized as such. Engels</w:t>
      </w:r>
      <w:r w:rsidR="007954FF">
        <w:rPr>
          <w:rFonts w:ascii="Times New Roman" w:hAnsi="Times New Roman" w:cs="Times New Roman"/>
        </w:rPr>
        <w:t>’</w:t>
      </w:r>
      <w:r w:rsidRPr="00570413">
        <w:rPr>
          <w:rFonts w:ascii="Times New Roman" w:hAnsi="Times New Roman" w:cs="Times New Roman"/>
        </w:rPr>
        <w:t xml:space="preserve"> classification of inequality being bred through private property and capital and that these are inseparable from the subjugation of women led to a more radical form of feminism that sought not only to end women’s oppression but also to end the various ways that all women are oppressed through economic means. With marriage acting as the representation of the inequalities present in society, the capitalist system that both legitimized and was legalized by marriage needed to be overturned. These revolutions cannot be looked at outside of the context of the philosophies that informed them, especially regarding women’s liberation. The texts that influenced these revolutions were not only influential on male leaders but also on female revolutionaries, though they may have been interpreted slightly different. Understanding these differences in interpretation may aid in understanding the greater scopes of the revolutions in general, especially in regards to gender. </w:t>
      </w:r>
    </w:p>
    <w:p w:rsidR="00B36C75" w:rsidRPr="00570413" w:rsidRDefault="00B36C75" w:rsidP="00B36C75">
      <w:pPr>
        <w:spacing w:line="480" w:lineRule="auto"/>
        <w:rPr>
          <w:rFonts w:ascii="Times New Roman" w:hAnsi="Times New Roman" w:cs="Times New Roman"/>
        </w:rPr>
      </w:pPr>
    </w:p>
    <w:p w:rsidR="007954FF" w:rsidRDefault="007954FF" w:rsidP="007954FF">
      <w:pPr>
        <w:spacing w:line="480" w:lineRule="auto"/>
        <w:rPr>
          <w:rFonts w:ascii="Times New Roman" w:hAnsi="Times New Roman" w:cs="Times New Roman"/>
        </w:rPr>
      </w:pPr>
    </w:p>
    <w:p w:rsidR="007954FF" w:rsidRDefault="007954FF" w:rsidP="007954FF">
      <w:pPr>
        <w:spacing w:line="480" w:lineRule="auto"/>
        <w:rPr>
          <w:rFonts w:ascii="Times New Roman" w:hAnsi="Times New Roman" w:cs="Times New Roman"/>
          <w:b/>
        </w:rPr>
      </w:pPr>
    </w:p>
    <w:p w:rsidR="007954FF" w:rsidRDefault="007954FF"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p>
    <w:p w:rsidR="003448CE" w:rsidRDefault="003448CE" w:rsidP="007954FF">
      <w:pPr>
        <w:spacing w:line="480" w:lineRule="auto"/>
        <w:rPr>
          <w:rFonts w:ascii="Times New Roman" w:hAnsi="Times New Roman" w:cs="Times New Roman"/>
          <w:b/>
        </w:rPr>
      </w:pPr>
      <w:bookmarkStart w:id="0" w:name="_GoBack"/>
      <w:bookmarkEnd w:id="0"/>
    </w:p>
    <w:p w:rsidR="007954FF" w:rsidRDefault="007954FF" w:rsidP="007954FF">
      <w:pPr>
        <w:spacing w:line="480" w:lineRule="auto"/>
        <w:rPr>
          <w:rFonts w:ascii="Times New Roman" w:hAnsi="Times New Roman" w:cs="Times New Roman"/>
          <w:b/>
        </w:rPr>
      </w:pPr>
    </w:p>
    <w:p w:rsidR="00B36C75" w:rsidRPr="00570413" w:rsidRDefault="007954FF" w:rsidP="007954FF">
      <w:pPr>
        <w:spacing w:line="480" w:lineRule="auto"/>
        <w:jc w:val="center"/>
        <w:rPr>
          <w:rFonts w:ascii="Times New Roman" w:hAnsi="Times New Roman" w:cs="Times New Roman"/>
          <w:b/>
        </w:rPr>
      </w:pPr>
      <w:r>
        <w:rPr>
          <w:rFonts w:ascii="Times New Roman" w:hAnsi="Times New Roman" w:cs="Times New Roman"/>
          <w:b/>
        </w:rPr>
        <w:lastRenderedPageBreak/>
        <w:t xml:space="preserve">Chapter Two: </w:t>
      </w:r>
      <w:r w:rsidR="00B36C75" w:rsidRPr="00570413">
        <w:rPr>
          <w:rFonts w:ascii="Times New Roman" w:hAnsi="Times New Roman" w:cs="Times New Roman"/>
          <w:b/>
        </w:rPr>
        <w:t>Constructions of French Feminism and Women’s Liberation during the French Revolution</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Feminist scholar Cora Kaplan argues that, “there is no feminism that can stand wholly outside femininity as it is posed in a given historical moment.”</w:t>
      </w:r>
      <w:r w:rsidRPr="00570413">
        <w:rPr>
          <w:rStyle w:val="FootnoteReference"/>
          <w:rFonts w:ascii="Times New Roman" w:hAnsi="Times New Roman" w:cs="Times New Roman"/>
        </w:rPr>
        <w:footnoteReference w:id="64"/>
      </w:r>
      <w:r w:rsidRPr="00570413">
        <w:rPr>
          <w:rFonts w:ascii="Times New Roman" w:hAnsi="Times New Roman" w:cs="Times New Roman"/>
        </w:rPr>
        <w:t xml:space="preserve"> For French feminists and radical French women</w:t>
      </w:r>
      <w:r w:rsidR="007954FF">
        <w:rPr>
          <w:rFonts w:ascii="Times New Roman" w:hAnsi="Times New Roman" w:cs="Times New Roman"/>
        </w:rPr>
        <w:t xml:space="preserve"> in the 18</w:t>
      </w:r>
      <w:r w:rsidR="007954FF" w:rsidRPr="007954FF">
        <w:rPr>
          <w:rFonts w:ascii="Times New Roman" w:hAnsi="Times New Roman" w:cs="Times New Roman"/>
          <w:vertAlign w:val="superscript"/>
        </w:rPr>
        <w:t>th</w:t>
      </w:r>
      <w:r w:rsidR="007954FF">
        <w:rPr>
          <w:rFonts w:ascii="Times New Roman" w:hAnsi="Times New Roman" w:cs="Times New Roman"/>
        </w:rPr>
        <w:t xml:space="preserve"> century</w:t>
      </w:r>
      <w:r w:rsidRPr="00570413">
        <w:rPr>
          <w:rFonts w:ascii="Times New Roman" w:hAnsi="Times New Roman" w:cs="Times New Roman"/>
        </w:rPr>
        <w:t xml:space="preserve">, their feminism was bound to a few important cultural distinctions. For starters, pre-revolutionary avenues for women’s political engagement were mostly confined to becoming a salon woman, or </w:t>
      </w:r>
      <w:proofErr w:type="spellStart"/>
      <w:r w:rsidRPr="00570413">
        <w:rPr>
          <w:rFonts w:ascii="Times New Roman" w:hAnsi="Times New Roman" w:cs="Times New Roman"/>
        </w:rPr>
        <w:t>salonière</w:t>
      </w:r>
      <w:proofErr w:type="spellEnd"/>
      <w:r w:rsidRPr="00570413">
        <w:rPr>
          <w:rFonts w:ascii="Times New Roman" w:hAnsi="Times New Roman" w:cs="Times New Roman"/>
        </w:rPr>
        <w:t>.</w:t>
      </w:r>
      <w:r w:rsidRPr="00570413">
        <w:rPr>
          <w:rStyle w:val="FootnoteReference"/>
          <w:rFonts w:ascii="Times New Roman" w:hAnsi="Times New Roman" w:cs="Times New Roman"/>
        </w:rPr>
        <w:footnoteReference w:id="65"/>
      </w:r>
      <w:r w:rsidRPr="00570413">
        <w:rPr>
          <w:rFonts w:ascii="Times New Roman" w:hAnsi="Times New Roman" w:cs="Times New Roman"/>
        </w:rPr>
        <w:t xml:space="preserve"> In a broader sense however, conceptions of womanhood forced women to engage with male political leaders and intellectuals on their own ground of reasoning of what and where women’s political engagement should start and end. Enlightenment thinking based on reason and logic dominated the ideological </w:t>
      </w:r>
      <w:r w:rsidR="009F4530" w:rsidRPr="00570413">
        <w:rPr>
          <w:rFonts w:ascii="Times New Roman" w:hAnsi="Times New Roman" w:cs="Times New Roman"/>
        </w:rPr>
        <w:t>climate</w:t>
      </w:r>
      <w:r w:rsidRPr="00570413">
        <w:rPr>
          <w:rFonts w:ascii="Times New Roman" w:hAnsi="Times New Roman" w:cs="Times New Roman"/>
        </w:rPr>
        <w:t xml:space="preserve"> of eighteenth century France. Unfortunately for women and non-white people, a lot of the “reasonable thought” meant enforcement of gender and racial differences, often through an appeal to nature. </w:t>
      </w:r>
      <w:r w:rsidR="0031754E">
        <w:rPr>
          <w:rFonts w:ascii="Times New Roman" w:hAnsi="Times New Roman" w:cs="Times New Roman"/>
        </w:rPr>
        <w:t>In this case, women, specifically women’s sexuality, was understood in French Revolutionary and Rousseauian thought to be corruptive and deceitful.</w:t>
      </w:r>
      <w:r w:rsidR="0031754E">
        <w:rPr>
          <w:rStyle w:val="FootnoteReference"/>
          <w:rFonts w:ascii="Times New Roman" w:hAnsi="Times New Roman" w:cs="Times New Roman"/>
        </w:rPr>
        <w:footnoteReference w:id="66"/>
      </w:r>
      <w:r w:rsidR="0031754E">
        <w:rPr>
          <w:rFonts w:ascii="Times New Roman" w:hAnsi="Times New Roman" w:cs="Times New Roman"/>
        </w:rPr>
        <w:t xml:space="preserve"> T</w:t>
      </w:r>
      <w:r w:rsidRPr="00570413">
        <w:rPr>
          <w:rFonts w:ascii="Times New Roman" w:hAnsi="Times New Roman" w:cs="Times New Roman"/>
        </w:rPr>
        <w:t xml:space="preserve">his </w:t>
      </w:r>
      <w:r w:rsidR="0031754E">
        <w:rPr>
          <w:rFonts w:ascii="Times New Roman" w:hAnsi="Times New Roman" w:cs="Times New Roman"/>
        </w:rPr>
        <w:t xml:space="preserve">danger of female bodies was informative of a </w:t>
      </w:r>
      <w:r w:rsidRPr="00570413">
        <w:rPr>
          <w:rFonts w:ascii="Times New Roman" w:hAnsi="Times New Roman" w:cs="Times New Roman"/>
        </w:rPr>
        <w:t xml:space="preserve">specific </w:t>
      </w:r>
      <w:r w:rsidR="0031754E">
        <w:rPr>
          <w:rFonts w:ascii="Times New Roman" w:hAnsi="Times New Roman" w:cs="Times New Roman"/>
        </w:rPr>
        <w:t>construction</w:t>
      </w:r>
      <w:r w:rsidRPr="00570413">
        <w:rPr>
          <w:rFonts w:ascii="Times New Roman" w:hAnsi="Times New Roman" w:cs="Times New Roman"/>
        </w:rPr>
        <w:t xml:space="preserve"> of rights being understood through bodies.</w:t>
      </w:r>
      <w:r w:rsidRPr="00570413">
        <w:rPr>
          <w:rStyle w:val="FootnoteReference"/>
          <w:rFonts w:ascii="Times New Roman" w:hAnsi="Times New Roman" w:cs="Times New Roman"/>
        </w:rPr>
        <w:footnoteReference w:id="67"/>
      </w:r>
      <w:r w:rsidRPr="00570413">
        <w:rPr>
          <w:rFonts w:ascii="Times New Roman" w:hAnsi="Times New Roman" w:cs="Times New Roman"/>
        </w:rPr>
        <w:t xml:space="preserve"> Bodies were not only the site where rights were derived from, but also the basis of society itself, and in many ways </w:t>
      </w:r>
      <w:r w:rsidRPr="0031754E">
        <w:rPr>
          <w:rFonts w:ascii="Times New Roman" w:hAnsi="Times New Roman" w:cs="Times New Roman"/>
        </w:rPr>
        <w:t>the physical state of one</w:t>
      </w:r>
      <w:r w:rsidR="009F4530" w:rsidRPr="0031754E">
        <w:rPr>
          <w:rFonts w:ascii="Times New Roman" w:hAnsi="Times New Roman" w:cs="Times New Roman"/>
        </w:rPr>
        <w:t>’s</w:t>
      </w:r>
      <w:r w:rsidRPr="0031754E">
        <w:rPr>
          <w:rFonts w:ascii="Times New Roman" w:hAnsi="Times New Roman" w:cs="Times New Roman"/>
        </w:rPr>
        <w:t xml:space="preserve"> being was both dependent on and informative of the greater body politic.</w:t>
      </w:r>
      <w:r w:rsidRPr="00570413">
        <w:rPr>
          <w:rFonts w:ascii="Times New Roman" w:hAnsi="Times New Roman" w:cs="Times New Roman"/>
        </w:rPr>
        <w:t xml:space="preserv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First it is important to establish a greater context for how women in pre-revolutionary France could be politically engaged. The most common example of this are the </w:t>
      </w:r>
      <w:proofErr w:type="spellStart"/>
      <w:r w:rsidRPr="00570413">
        <w:rPr>
          <w:rFonts w:ascii="Times New Roman" w:hAnsi="Times New Roman" w:cs="Times New Roman"/>
        </w:rPr>
        <w:t>salonières</w:t>
      </w:r>
      <w:proofErr w:type="spellEnd"/>
      <w:r w:rsidRPr="00570413">
        <w:rPr>
          <w:rFonts w:ascii="Times New Roman" w:hAnsi="Times New Roman" w:cs="Times New Roman"/>
        </w:rPr>
        <w:t xml:space="preserve"> of Paris in the late 17</w:t>
      </w:r>
      <w:r w:rsidRPr="00570413">
        <w:rPr>
          <w:rFonts w:ascii="Times New Roman" w:hAnsi="Times New Roman" w:cs="Times New Roman"/>
          <w:vertAlign w:val="superscript"/>
        </w:rPr>
        <w:t>th</w:t>
      </w:r>
      <w:r w:rsidRPr="00570413">
        <w:rPr>
          <w:rFonts w:ascii="Times New Roman" w:hAnsi="Times New Roman" w:cs="Times New Roman"/>
        </w:rPr>
        <w:t xml:space="preserve"> and early 18</w:t>
      </w:r>
      <w:r w:rsidRPr="00570413">
        <w:rPr>
          <w:rFonts w:ascii="Times New Roman" w:hAnsi="Times New Roman" w:cs="Times New Roman"/>
          <w:vertAlign w:val="superscript"/>
        </w:rPr>
        <w:t>th</w:t>
      </w:r>
      <w:r w:rsidRPr="00570413">
        <w:rPr>
          <w:rFonts w:ascii="Times New Roman" w:hAnsi="Times New Roman" w:cs="Times New Roman"/>
        </w:rPr>
        <w:t xml:space="preserve"> centuries. </w:t>
      </w:r>
      <w:proofErr w:type="spellStart"/>
      <w:r w:rsidRPr="00570413">
        <w:rPr>
          <w:rFonts w:ascii="Times New Roman" w:hAnsi="Times New Roman" w:cs="Times New Roman"/>
        </w:rPr>
        <w:t>Salonières</w:t>
      </w:r>
      <w:proofErr w:type="spellEnd"/>
      <w:r w:rsidRPr="00570413">
        <w:rPr>
          <w:rFonts w:ascii="Times New Roman" w:hAnsi="Times New Roman" w:cs="Times New Roman"/>
        </w:rPr>
        <w:t xml:space="preserve"> were women who </w:t>
      </w:r>
      <w:proofErr w:type="spellStart"/>
      <w:r w:rsidRPr="00570413">
        <w:rPr>
          <w:rFonts w:ascii="Times New Roman" w:hAnsi="Times New Roman" w:cs="Times New Roman"/>
        </w:rPr>
        <w:t>hous</w:t>
      </w:r>
      <w:r w:rsidR="007954FF">
        <w:rPr>
          <w:rFonts w:ascii="Times New Roman" w:hAnsi="Times New Roman" w:cs="Times New Roman"/>
        </w:rPr>
        <w:t>ted</w:t>
      </w:r>
      <w:proofErr w:type="spellEnd"/>
      <w:r w:rsidRPr="00570413">
        <w:rPr>
          <w:rFonts w:ascii="Times New Roman" w:hAnsi="Times New Roman" w:cs="Times New Roman"/>
        </w:rPr>
        <w:t xml:space="preserve"> intellectual </w:t>
      </w:r>
      <w:r w:rsidRPr="00570413">
        <w:rPr>
          <w:rFonts w:ascii="Times New Roman" w:hAnsi="Times New Roman" w:cs="Times New Roman"/>
        </w:rPr>
        <w:lastRenderedPageBreak/>
        <w:t xml:space="preserve">gatherings. Initially started as a way for people to critique birthed nobility, specifically viewing </w:t>
      </w:r>
      <w:r w:rsidR="007954FF" w:rsidRPr="007954FF">
        <w:rPr>
          <w:rFonts w:ascii="Times New Roman" w:hAnsi="Times New Roman" w:cs="Times New Roman"/>
        </w:rPr>
        <w:t>themselves</w:t>
      </w:r>
      <w:r w:rsidRPr="007954FF">
        <w:rPr>
          <w:rFonts w:ascii="Times New Roman" w:hAnsi="Times New Roman" w:cs="Times New Roman"/>
        </w:rPr>
        <w:t xml:space="preserve"> as “partner</w:t>
      </w:r>
      <w:r w:rsidR="007954FF" w:rsidRPr="007954FF">
        <w:rPr>
          <w:rFonts w:ascii="Times New Roman" w:hAnsi="Times New Roman" w:cs="Times New Roman"/>
        </w:rPr>
        <w:t>[s]</w:t>
      </w:r>
      <w:r w:rsidRPr="00570413">
        <w:rPr>
          <w:rFonts w:ascii="Times New Roman" w:hAnsi="Times New Roman" w:cs="Times New Roman"/>
        </w:rPr>
        <w:t xml:space="preserve"> in dialogue” with the monarchy, </w:t>
      </w:r>
      <w:r w:rsidR="007954FF">
        <w:rPr>
          <w:rFonts w:ascii="Times New Roman" w:hAnsi="Times New Roman" w:cs="Times New Roman"/>
        </w:rPr>
        <w:t>the Enlightenment salon</w:t>
      </w:r>
      <w:r w:rsidRPr="00570413">
        <w:rPr>
          <w:rFonts w:ascii="Times New Roman" w:hAnsi="Times New Roman" w:cs="Times New Roman"/>
        </w:rPr>
        <w:t xml:space="preserve"> eventually developed into a place where salon women could broaden their education through engaging with intellectuals.</w:t>
      </w:r>
      <w:r w:rsidRPr="00570413">
        <w:rPr>
          <w:rStyle w:val="FootnoteReference"/>
          <w:rFonts w:ascii="Times New Roman" w:hAnsi="Times New Roman" w:cs="Times New Roman"/>
        </w:rPr>
        <w:footnoteReference w:id="68"/>
      </w:r>
      <w:r w:rsidRPr="00570413">
        <w:rPr>
          <w:rFonts w:ascii="Times New Roman" w:hAnsi="Times New Roman" w:cs="Times New Roman"/>
        </w:rPr>
        <w:t xml:space="preserve"> While being a </w:t>
      </w:r>
      <w:proofErr w:type="spellStart"/>
      <w:r w:rsidRPr="00570413">
        <w:rPr>
          <w:rFonts w:ascii="Times New Roman" w:hAnsi="Times New Roman" w:cs="Times New Roman"/>
        </w:rPr>
        <w:t>salonière</w:t>
      </w:r>
      <w:proofErr w:type="spellEnd"/>
      <w:r w:rsidRPr="00570413">
        <w:rPr>
          <w:rFonts w:ascii="Times New Roman" w:hAnsi="Times New Roman" w:cs="Times New Roman"/>
        </w:rPr>
        <w:t xml:space="preserve"> was a fairly common practice for more upper class women, they did not go without critique from contemporary men, including Jean</w:t>
      </w:r>
      <w:r w:rsidR="009F4530" w:rsidRPr="00570413">
        <w:rPr>
          <w:rFonts w:ascii="Times New Roman" w:hAnsi="Times New Roman" w:cs="Times New Roman"/>
        </w:rPr>
        <w:t>-</w:t>
      </w:r>
      <w:r w:rsidRPr="00570413">
        <w:rPr>
          <w:rFonts w:ascii="Times New Roman" w:hAnsi="Times New Roman" w:cs="Times New Roman"/>
        </w:rPr>
        <w:t>Jacques Rousseau himself, arguing that engaging with women made effeminized men.</w:t>
      </w:r>
      <w:r w:rsidRPr="00570413">
        <w:rPr>
          <w:rStyle w:val="FootnoteReference"/>
          <w:rFonts w:ascii="Times New Roman" w:hAnsi="Times New Roman" w:cs="Times New Roman"/>
        </w:rPr>
        <w:footnoteReference w:id="69"/>
      </w:r>
      <w:r w:rsidRPr="00570413">
        <w:rPr>
          <w:rFonts w:ascii="Times New Roman" w:hAnsi="Times New Roman" w:cs="Times New Roman"/>
        </w:rPr>
        <w:t xml:space="preserve"> The practice of Enlightenment salons as places for men and women to engage in political discussion with each other was also an example of women’s exterior reason making not only men but civilization itself more feminine.</w:t>
      </w:r>
      <w:r w:rsidRPr="00570413">
        <w:rPr>
          <w:rStyle w:val="FootnoteReference"/>
          <w:rFonts w:ascii="Times New Roman" w:hAnsi="Times New Roman" w:cs="Times New Roman"/>
        </w:rPr>
        <w:footnoteReference w:id="70"/>
      </w:r>
      <w:r w:rsidRPr="00570413">
        <w:rPr>
          <w:rFonts w:ascii="Times New Roman" w:hAnsi="Times New Roman" w:cs="Times New Roman"/>
        </w:rPr>
        <w:t xml:space="preserve"> Enlightenment Salons also placed women at the center of an international community of intellectuals via the </w:t>
      </w:r>
      <w:proofErr w:type="spellStart"/>
      <w:r w:rsidRPr="00570413">
        <w:rPr>
          <w:rFonts w:ascii="Times New Roman" w:hAnsi="Times New Roman" w:cs="Times New Roman"/>
        </w:rPr>
        <w:t>Republique</w:t>
      </w:r>
      <w:proofErr w:type="spellEnd"/>
      <w:r w:rsidRPr="00570413">
        <w:rPr>
          <w:rFonts w:ascii="Times New Roman" w:hAnsi="Times New Roman" w:cs="Times New Roman"/>
        </w:rPr>
        <w:t xml:space="preserve"> de </w:t>
      </w:r>
      <w:proofErr w:type="spellStart"/>
      <w:r w:rsidRPr="00570413">
        <w:rPr>
          <w:rFonts w:ascii="Times New Roman" w:hAnsi="Times New Roman" w:cs="Times New Roman"/>
        </w:rPr>
        <w:t>Lettres</w:t>
      </w:r>
      <w:proofErr w:type="spellEnd"/>
      <w:r w:rsidRPr="00570413">
        <w:rPr>
          <w:rFonts w:ascii="Times New Roman" w:hAnsi="Times New Roman" w:cs="Times New Roman"/>
        </w:rPr>
        <w:t xml:space="preserve"> through newsletters and periodicals, inadvertently making </w:t>
      </w:r>
      <w:proofErr w:type="spellStart"/>
      <w:r w:rsidRPr="00570413">
        <w:rPr>
          <w:rFonts w:ascii="Times New Roman" w:hAnsi="Times New Roman" w:cs="Times New Roman"/>
        </w:rPr>
        <w:t>salonières</w:t>
      </w:r>
      <w:proofErr w:type="spellEnd"/>
      <w:r w:rsidRPr="00570413">
        <w:rPr>
          <w:rFonts w:ascii="Times New Roman" w:hAnsi="Times New Roman" w:cs="Times New Roman"/>
        </w:rPr>
        <w:t xml:space="preserve"> active citizens before the Revolution even started.</w:t>
      </w:r>
      <w:r w:rsidRPr="00570413">
        <w:rPr>
          <w:rStyle w:val="FootnoteReference"/>
          <w:rFonts w:ascii="Times New Roman" w:hAnsi="Times New Roman" w:cs="Times New Roman"/>
        </w:rPr>
        <w:footnoteReference w:id="71"/>
      </w:r>
      <w:r w:rsidRPr="00570413">
        <w:rPr>
          <w:rFonts w:ascii="Times New Roman" w:hAnsi="Times New Roman" w:cs="Times New Roman"/>
        </w:rPr>
        <w:t xml:space="preserve"> Active and passive citizenship became especially important to the revolutionaries of the late 18</w:t>
      </w:r>
      <w:r w:rsidRPr="00570413">
        <w:rPr>
          <w:rFonts w:ascii="Times New Roman" w:hAnsi="Times New Roman" w:cs="Times New Roman"/>
          <w:vertAlign w:val="superscript"/>
        </w:rPr>
        <w:t>th</w:t>
      </w:r>
      <w:r w:rsidRPr="00570413">
        <w:rPr>
          <w:rFonts w:ascii="Times New Roman" w:hAnsi="Times New Roman" w:cs="Times New Roman"/>
        </w:rPr>
        <w:t xml:space="preserve"> century, particularly for women wanting to engage in politics, as this dichotomized concept of citizenry was one of the main bases for the exclusion of women from politics. Active citizenship was only afforded to men and allowed them to engage actively in politics, even by simply commenting on it publicly, as active and passive citizenship also corresponded with a public-private dichotomy.</w:t>
      </w:r>
      <w:r w:rsidR="00E6533F" w:rsidRPr="00570413">
        <w:rPr>
          <w:rStyle w:val="FootnoteReference"/>
          <w:rFonts w:ascii="Times New Roman" w:hAnsi="Times New Roman" w:cs="Times New Roman"/>
        </w:rPr>
        <w:footnoteReference w:id="72"/>
      </w:r>
      <w:r w:rsidRPr="00570413">
        <w:rPr>
          <w:rFonts w:ascii="Times New Roman" w:hAnsi="Times New Roman" w:cs="Times New Roman"/>
        </w:rPr>
        <w:t xml:space="preserve"> Passive Citizenship </w:t>
      </w:r>
      <w:r w:rsidR="007954FF">
        <w:rPr>
          <w:rFonts w:ascii="Times New Roman" w:hAnsi="Times New Roman" w:cs="Times New Roman"/>
        </w:rPr>
        <w:t>w</w:t>
      </w:r>
      <w:r w:rsidRPr="00570413">
        <w:rPr>
          <w:rFonts w:ascii="Times New Roman" w:hAnsi="Times New Roman" w:cs="Times New Roman"/>
        </w:rPr>
        <w:t>as afforded to women</w:t>
      </w:r>
      <w:r w:rsidR="009F4530" w:rsidRPr="00570413">
        <w:rPr>
          <w:rFonts w:ascii="Times New Roman" w:hAnsi="Times New Roman" w:cs="Times New Roman"/>
        </w:rPr>
        <w:t xml:space="preserve"> and</w:t>
      </w:r>
      <w:r w:rsidRPr="00570413">
        <w:rPr>
          <w:rFonts w:ascii="Times New Roman" w:hAnsi="Times New Roman" w:cs="Times New Roman"/>
        </w:rPr>
        <w:t xml:space="preserve"> allowed women to engage in politics, however their engagement was heavily limited to private home life and was mostly associated with tasks that were considered womanly such as raising children.</w:t>
      </w:r>
      <w:r w:rsidR="007A7576">
        <w:rPr>
          <w:rStyle w:val="FootnoteReference"/>
          <w:rFonts w:ascii="Times New Roman" w:hAnsi="Times New Roman" w:cs="Times New Roman"/>
        </w:rPr>
        <w:footnoteReference w:id="73"/>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lastRenderedPageBreak/>
        <w:tab/>
      </w:r>
      <w:r w:rsidRPr="007954FF">
        <w:rPr>
          <w:rFonts w:ascii="Times New Roman" w:hAnsi="Times New Roman" w:cs="Times New Roman"/>
        </w:rPr>
        <w:t>Most of the historiography of the</w:t>
      </w:r>
      <w:r w:rsidRPr="00570413">
        <w:rPr>
          <w:rFonts w:ascii="Times New Roman" w:hAnsi="Times New Roman" w:cs="Times New Roman"/>
        </w:rPr>
        <w:t xml:space="preserve"> French revolution in regards to gender is heavily concerned with this concept of active-passive citizenship, namely because dichotomies are easier to analyze than the more realistic, complicated full picture of the </w:t>
      </w:r>
      <w:r w:rsidR="009F4530" w:rsidRPr="00570413">
        <w:rPr>
          <w:rFonts w:ascii="Times New Roman" w:hAnsi="Times New Roman" w:cs="Times New Roman"/>
        </w:rPr>
        <w:t>R</w:t>
      </w:r>
      <w:r w:rsidRPr="00570413">
        <w:rPr>
          <w:rFonts w:ascii="Times New Roman" w:hAnsi="Times New Roman" w:cs="Times New Roman"/>
        </w:rPr>
        <w:t xml:space="preserve">evolution. There was a group of women who were loyal supporters of Robespierre that </w:t>
      </w:r>
      <w:r w:rsidR="007954FF">
        <w:rPr>
          <w:rFonts w:ascii="Times New Roman" w:hAnsi="Times New Roman" w:cs="Times New Roman"/>
        </w:rPr>
        <w:t>was</w:t>
      </w:r>
      <w:r w:rsidRPr="00570413">
        <w:rPr>
          <w:rFonts w:ascii="Times New Roman" w:hAnsi="Times New Roman" w:cs="Times New Roman"/>
        </w:rPr>
        <w:t xml:space="preserve"> mostly undiscussed by historians</w:t>
      </w:r>
      <w:r w:rsidR="007954FF">
        <w:rPr>
          <w:rFonts w:ascii="Times New Roman" w:hAnsi="Times New Roman" w:cs="Times New Roman"/>
        </w:rPr>
        <w:t xml:space="preserve">, however </w:t>
      </w:r>
      <w:r w:rsidRPr="00570413">
        <w:rPr>
          <w:rFonts w:ascii="Times New Roman" w:hAnsi="Times New Roman" w:cs="Times New Roman"/>
        </w:rPr>
        <w:t xml:space="preserve">until </w:t>
      </w:r>
      <w:r w:rsidR="007954FF">
        <w:rPr>
          <w:rFonts w:ascii="Times New Roman" w:hAnsi="Times New Roman" w:cs="Times New Roman"/>
        </w:rPr>
        <w:t>various historians published work on it including Alyssa Goldstein Sepinwall and Noah Schusterman, though this paper will engage more with Schusterman’s work</w:t>
      </w:r>
      <w:r w:rsidRPr="00570413">
        <w:rPr>
          <w:rFonts w:ascii="Times New Roman" w:hAnsi="Times New Roman" w:cs="Times New Roman"/>
        </w:rPr>
        <w:t>. There is very little written testimony from these women but their engagement in politics, particularly as female followers of a Jacobin leader, is important in understanding the various ways women in revolutionary France engaged with the political climate at the time.</w:t>
      </w:r>
      <w:r w:rsidR="007A7576">
        <w:rPr>
          <w:rStyle w:val="FootnoteReference"/>
          <w:rFonts w:ascii="Times New Roman" w:hAnsi="Times New Roman" w:cs="Times New Roman"/>
        </w:rPr>
        <w:footnoteReference w:id="74"/>
      </w:r>
      <w:r w:rsidRPr="00570413">
        <w:rPr>
          <w:rFonts w:ascii="Times New Roman" w:hAnsi="Times New Roman" w:cs="Times New Roman"/>
        </w:rPr>
        <w:t xml:space="preserve">  Schusterman argued that Robespierre had a large number of female followers because he actively sought them out through his methods of speech in using more sentimental language, though he never actively mentioned women’s rights because he simply did not have to keep his female followers engaged.</w:t>
      </w:r>
      <w:r w:rsidR="007A7576">
        <w:rPr>
          <w:rStyle w:val="FootnoteReference"/>
          <w:rFonts w:ascii="Times New Roman" w:hAnsi="Times New Roman" w:cs="Times New Roman"/>
        </w:rPr>
        <w:footnoteReference w:id="75"/>
      </w:r>
      <w:r w:rsidRPr="00570413">
        <w:rPr>
          <w:rFonts w:ascii="Times New Roman" w:hAnsi="Times New Roman" w:cs="Times New Roman"/>
        </w:rPr>
        <w:t xml:space="preserve"> Robespierre discussed the new French constitution as a “virgin,… shining celestial beauty,” and argued that women could contribute to society simply by being present, a distinctly Rousseauian ideal of gender politics, though seemingly much less negative in its intention.</w:t>
      </w:r>
      <w:r w:rsidR="007A7576">
        <w:rPr>
          <w:rStyle w:val="FootnoteReference"/>
          <w:rFonts w:ascii="Times New Roman" w:hAnsi="Times New Roman" w:cs="Times New Roman"/>
        </w:rPr>
        <w:footnoteReference w:id="76"/>
      </w:r>
      <w:r w:rsidRPr="00570413">
        <w:rPr>
          <w:rFonts w:ascii="Times New Roman" w:hAnsi="Times New Roman" w:cs="Times New Roman"/>
        </w:rPr>
        <w:t xml:space="preserve"> Rousseau would argue that women’s presence does in fact contribute to society </w:t>
      </w:r>
      <w:r w:rsidR="009F4530" w:rsidRPr="00570413">
        <w:rPr>
          <w:rFonts w:ascii="Times New Roman" w:hAnsi="Times New Roman" w:cs="Times New Roman"/>
        </w:rPr>
        <w:t xml:space="preserve">as </w:t>
      </w:r>
      <w:r w:rsidRPr="00570413">
        <w:rPr>
          <w:rFonts w:ascii="Times New Roman" w:hAnsi="Times New Roman" w:cs="Times New Roman"/>
        </w:rPr>
        <w:t>their presence is inherently dangerous and corruptive as it effeminizes men, though civilized men in general are already made softer by the conditions of civilization.</w:t>
      </w:r>
      <w:r w:rsidR="009F4530" w:rsidRPr="00570413">
        <w:rPr>
          <w:rFonts w:ascii="Times New Roman" w:hAnsi="Times New Roman" w:cs="Times New Roman"/>
        </w:rPr>
        <w:t xml:space="preserve"> In contrast it appears Robespierre was saying this as a positive role for women to take in the revolution. </w:t>
      </w:r>
    </w:p>
    <w:p w:rsidR="00B36C75" w:rsidRPr="00570413" w:rsidRDefault="00B36C75" w:rsidP="0017130A">
      <w:pPr>
        <w:spacing w:line="480" w:lineRule="auto"/>
        <w:ind w:firstLine="720"/>
        <w:rPr>
          <w:rFonts w:ascii="Times New Roman" w:hAnsi="Times New Roman" w:cs="Times New Roman"/>
        </w:rPr>
      </w:pPr>
      <w:r w:rsidRPr="00570413">
        <w:rPr>
          <w:rFonts w:ascii="Times New Roman" w:hAnsi="Times New Roman" w:cs="Times New Roman"/>
        </w:rPr>
        <w:t>His association with female followers also led people to associate Robespierre with a very priestly image.</w:t>
      </w:r>
      <w:r w:rsidR="007A7576">
        <w:rPr>
          <w:rStyle w:val="FootnoteReference"/>
          <w:rFonts w:ascii="Times New Roman" w:hAnsi="Times New Roman" w:cs="Times New Roman"/>
        </w:rPr>
        <w:footnoteReference w:id="77"/>
      </w:r>
      <w:r w:rsidRPr="00570413">
        <w:rPr>
          <w:rFonts w:ascii="Times New Roman" w:hAnsi="Times New Roman" w:cs="Times New Roman"/>
        </w:rPr>
        <w:t xml:space="preserve"> </w:t>
      </w:r>
      <w:r w:rsidR="0017130A" w:rsidRPr="00570413">
        <w:rPr>
          <w:rFonts w:ascii="Times New Roman" w:hAnsi="Times New Roman" w:cs="Times New Roman"/>
        </w:rPr>
        <w:t xml:space="preserve">Christian churches were often places where women were most visible </w:t>
      </w:r>
      <w:r w:rsidR="0017130A" w:rsidRPr="00570413">
        <w:rPr>
          <w:rFonts w:ascii="Times New Roman" w:hAnsi="Times New Roman" w:cs="Times New Roman"/>
        </w:rPr>
        <w:lastRenderedPageBreak/>
        <w:t>outside of the home, especially in the ancien régime. The church often mentions women such as the Virgin Mary and Mary Magdalene, also interestingly dichotomized in the good, holy woman/loose, dangerous wom</w:t>
      </w:r>
      <w:r w:rsidR="007954FF">
        <w:rPr>
          <w:rFonts w:ascii="Times New Roman" w:hAnsi="Times New Roman" w:cs="Times New Roman"/>
        </w:rPr>
        <w:t>a</w:t>
      </w:r>
      <w:r w:rsidR="0017130A" w:rsidRPr="00570413">
        <w:rPr>
          <w:rFonts w:ascii="Times New Roman" w:hAnsi="Times New Roman" w:cs="Times New Roman"/>
        </w:rPr>
        <w:t xml:space="preserve">n complex. These dichotomizations are also seen in revolutionary French gender politics not only because of Christianity’s very important role in the ancien régime, but also in that they were embedded in Rousseau’s and many other enlightenment thinkers </w:t>
      </w:r>
      <w:r w:rsidR="003F6C65" w:rsidRPr="00570413">
        <w:rPr>
          <w:rFonts w:ascii="Times New Roman" w:hAnsi="Times New Roman" w:cs="Times New Roman"/>
        </w:rPr>
        <w:t>theories</w:t>
      </w:r>
      <w:r w:rsidR="0017130A" w:rsidRPr="00570413">
        <w:rPr>
          <w:rFonts w:ascii="Times New Roman" w:hAnsi="Times New Roman" w:cs="Times New Roman"/>
        </w:rPr>
        <w:t>. Robespierre’s</w:t>
      </w:r>
      <w:r w:rsidRPr="00570413">
        <w:rPr>
          <w:rFonts w:ascii="Times New Roman" w:hAnsi="Times New Roman" w:cs="Times New Roman"/>
        </w:rPr>
        <w:t xml:space="preserve"> priestly-ness is interesting when thinking about the ways Christianity understood and classified fear and how Robespierre played with fear as a revolutionary tool. Both the Christian church and Robespierre played on fears of the unknown, in Christianity’s case mostly what happens in the afterlife, and in Robespierre’s case the fear of revolutionary enemies that needed to be cut out of the body politic entirely, who are not necessarily known to be enemies until they reveal themselves. </w:t>
      </w:r>
      <w:r w:rsidR="008863D6" w:rsidRPr="00570413">
        <w:rPr>
          <w:rFonts w:ascii="Times New Roman" w:hAnsi="Times New Roman" w:cs="Times New Roman"/>
        </w:rPr>
        <w:t xml:space="preserve">Dissimulation itself was an enemy of the Revolution. </w:t>
      </w:r>
      <w:r w:rsidRPr="00570413">
        <w:rPr>
          <w:rFonts w:ascii="Times New Roman" w:hAnsi="Times New Roman" w:cs="Times New Roman"/>
        </w:rPr>
        <w:t>And for women who were not granted an active role in the body politic</w:t>
      </w:r>
      <w:r w:rsidR="008863D6" w:rsidRPr="00570413">
        <w:rPr>
          <w:rFonts w:ascii="Times New Roman" w:hAnsi="Times New Roman" w:cs="Times New Roman"/>
        </w:rPr>
        <w:t xml:space="preserve"> and who were classified by Rousseauian philosophy as </w:t>
      </w:r>
      <w:r w:rsidR="00FC5D44" w:rsidRPr="00570413">
        <w:rPr>
          <w:rFonts w:ascii="Times New Roman" w:hAnsi="Times New Roman" w:cs="Times New Roman"/>
        </w:rPr>
        <w:t>dissimilatory</w:t>
      </w:r>
      <w:r w:rsidRPr="00570413">
        <w:rPr>
          <w:rFonts w:ascii="Times New Roman" w:hAnsi="Times New Roman" w:cs="Times New Roman"/>
        </w:rPr>
        <w:t xml:space="preserve">, engaging with Robespierre’s use of fear as a revolutionary tool </w:t>
      </w:r>
      <w:r w:rsidR="008863D6" w:rsidRPr="00570413">
        <w:rPr>
          <w:rFonts w:ascii="Times New Roman" w:hAnsi="Times New Roman" w:cs="Times New Roman"/>
        </w:rPr>
        <w:t xml:space="preserve">could make them active </w:t>
      </w:r>
      <w:r w:rsidR="004156F8" w:rsidRPr="00570413">
        <w:rPr>
          <w:rFonts w:ascii="Times New Roman" w:hAnsi="Times New Roman" w:cs="Times New Roman"/>
        </w:rPr>
        <w:t>citizens in opposition to the category of womanhood Rousseau felt was inherently dangerous to civilization. This is not to suggest that these women thought of themselves as working against a Rousseauian framework of gender, in fact it would be quite difficult to prove this considering there is no writing left by them in the historical record</w:t>
      </w:r>
      <w:r w:rsidR="00966615" w:rsidRPr="00570413">
        <w:rPr>
          <w:rFonts w:ascii="Times New Roman" w:hAnsi="Times New Roman" w:cs="Times New Roman"/>
        </w:rPr>
        <w:t>.</w:t>
      </w:r>
      <w:r w:rsidR="004156F8" w:rsidRPr="00570413">
        <w:rPr>
          <w:rFonts w:ascii="Times New Roman" w:hAnsi="Times New Roman" w:cs="Times New Roman"/>
        </w:rPr>
        <w:t xml:space="preserve"> </w:t>
      </w:r>
      <w:r w:rsidR="00966615" w:rsidRPr="00570413">
        <w:rPr>
          <w:rFonts w:ascii="Times New Roman" w:hAnsi="Times New Roman" w:cs="Times New Roman"/>
        </w:rPr>
        <w:t>Rather, in opposition to Schusterman’s argument that these women do not fit within the active-passive dichotomy of citizenship, the argument can be made</w:t>
      </w:r>
      <w:r w:rsidR="004156F8" w:rsidRPr="00570413">
        <w:rPr>
          <w:rFonts w:ascii="Times New Roman" w:hAnsi="Times New Roman" w:cs="Times New Roman"/>
        </w:rPr>
        <w:t xml:space="preserve"> that these women</w:t>
      </w:r>
      <w:r w:rsidR="00966615" w:rsidRPr="00570413">
        <w:rPr>
          <w:rFonts w:ascii="Times New Roman" w:hAnsi="Times New Roman" w:cs="Times New Roman"/>
        </w:rPr>
        <w:t xml:space="preserve"> did fit within the active-passive dichotomy as it applied to who was granted the ability to engage with the literal concept of the body politic.</w:t>
      </w:r>
      <w:r w:rsidR="007A7576">
        <w:rPr>
          <w:rStyle w:val="FootnoteReference"/>
          <w:rFonts w:ascii="Times New Roman" w:hAnsi="Times New Roman" w:cs="Times New Roman"/>
        </w:rPr>
        <w:footnoteReference w:id="78"/>
      </w:r>
      <w:r w:rsidR="00966615" w:rsidRPr="00570413">
        <w:rPr>
          <w:rFonts w:ascii="Times New Roman" w:hAnsi="Times New Roman" w:cs="Times New Roman"/>
        </w:rPr>
        <w:t xml:space="preserve"> </w:t>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lastRenderedPageBreak/>
        <w:tab/>
      </w:r>
      <w:r w:rsidR="004911C4" w:rsidRPr="00570413">
        <w:rPr>
          <w:rFonts w:ascii="Times New Roman" w:hAnsi="Times New Roman" w:cs="Times New Roman"/>
        </w:rPr>
        <w:t xml:space="preserve">Most of the active-passive citizenship was not heavily enforced during the </w:t>
      </w:r>
      <w:r w:rsidR="003F6C65" w:rsidRPr="00570413">
        <w:rPr>
          <w:rFonts w:ascii="Times New Roman" w:hAnsi="Times New Roman" w:cs="Times New Roman"/>
        </w:rPr>
        <w:t>Revolution</w:t>
      </w:r>
      <w:r w:rsidR="004911C4" w:rsidRPr="00570413">
        <w:rPr>
          <w:rFonts w:ascii="Times New Roman" w:hAnsi="Times New Roman" w:cs="Times New Roman"/>
        </w:rPr>
        <w:t xml:space="preserve"> until 1793 when</w:t>
      </w:r>
      <w:r w:rsidRPr="00570413">
        <w:rPr>
          <w:rFonts w:ascii="Times New Roman" w:hAnsi="Times New Roman" w:cs="Times New Roman"/>
        </w:rPr>
        <w:t xml:space="preserve"> women </w:t>
      </w:r>
      <w:r w:rsidR="004911C4" w:rsidRPr="00570413">
        <w:rPr>
          <w:rFonts w:ascii="Times New Roman" w:hAnsi="Times New Roman" w:cs="Times New Roman"/>
        </w:rPr>
        <w:t xml:space="preserve">were banned from having political clubs after the women </w:t>
      </w:r>
      <w:r w:rsidRPr="00570413">
        <w:rPr>
          <w:rFonts w:ascii="Times New Roman" w:hAnsi="Times New Roman" w:cs="Times New Roman"/>
        </w:rPr>
        <w:t xml:space="preserve">who followed Robespierre </w:t>
      </w:r>
      <w:r w:rsidR="004911C4" w:rsidRPr="00570413">
        <w:rPr>
          <w:rFonts w:ascii="Times New Roman" w:hAnsi="Times New Roman" w:cs="Times New Roman"/>
        </w:rPr>
        <w:t>engaged in a violent brawl with market women in the streets of Paris, effectively ending their</w:t>
      </w:r>
      <w:r w:rsidRPr="00570413">
        <w:rPr>
          <w:rFonts w:ascii="Times New Roman" w:hAnsi="Times New Roman" w:cs="Times New Roman"/>
        </w:rPr>
        <w:t xml:space="preserve"> Society of Revolutionary Republican Citizenesses </w:t>
      </w:r>
      <w:r w:rsidR="004911C4" w:rsidRPr="00570413">
        <w:rPr>
          <w:rFonts w:ascii="Times New Roman" w:hAnsi="Times New Roman" w:cs="Times New Roman"/>
        </w:rPr>
        <w:t>.</w:t>
      </w:r>
      <w:r w:rsidR="007A7576">
        <w:rPr>
          <w:rStyle w:val="FootnoteReference"/>
          <w:rFonts w:ascii="Times New Roman" w:hAnsi="Times New Roman" w:cs="Times New Roman"/>
        </w:rPr>
        <w:footnoteReference w:id="79"/>
      </w:r>
      <w:r w:rsidR="004911C4" w:rsidRPr="00570413">
        <w:rPr>
          <w:rFonts w:ascii="Times New Roman" w:hAnsi="Times New Roman" w:cs="Times New Roman"/>
        </w:rPr>
        <w:t xml:space="preserve"> Some historians on gender in the French Revolution believe that this banishment of women’s political clubs </w:t>
      </w:r>
      <w:r w:rsidR="008519D4">
        <w:rPr>
          <w:rFonts w:ascii="Times New Roman" w:hAnsi="Times New Roman" w:cs="Times New Roman"/>
        </w:rPr>
        <w:t>may have also been</w:t>
      </w:r>
      <w:r w:rsidR="004911C4" w:rsidRPr="00570413">
        <w:rPr>
          <w:rFonts w:ascii="Times New Roman" w:hAnsi="Times New Roman" w:cs="Times New Roman"/>
        </w:rPr>
        <w:t xml:space="preserve"> a result of Charlotte Corday’s assassination of Jean Paul Marat which </w:t>
      </w:r>
      <w:r w:rsidR="007954FF">
        <w:rPr>
          <w:rFonts w:ascii="Times New Roman" w:hAnsi="Times New Roman" w:cs="Times New Roman"/>
        </w:rPr>
        <w:t>occurred</w:t>
      </w:r>
      <w:r w:rsidR="004911C4" w:rsidRPr="00570413">
        <w:rPr>
          <w:rFonts w:ascii="Times New Roman" w:hAnsi="Times New Roman" w:cs="Times New Roman"/>
        </w:rPr>
        <w:t xml:space="preserve"> in the weeks prior to the market brawl.</w:t>
      </w:r>
      <w:r w:rsidR="004911C4" w:rsidRPr="00570413">
        <w:rPr>
          <w:rStyle w:val="FootnoteReference"/>
          <w:rFonts w:ascii="Times New Roman" w:hAnsi="Times New Roman" w:cs="Times New Roman"/>
        </w:rPr>
        <w:footnoteReference w:id="80"/>
      </w:r>
      <w:r w:rsidR="004911C4" w:rsidRPr="00570413">
        <w:rPr>
          <w:rFonts w:ascii="Times New Roman" w:hAnsi="Times New Roman" w:cs="Times New Roman"/>
        </w:rPr>
        <w:t xml:space="preserve"> </w:t>
      </w:r>
      <w:r w:rsidRPr="00570413">
        <w:rPr>
          <w:rFonts w:ascii="Times New Roman" w:hAnsi="Times New Roman" w:cs="Times New Roman"/>
        </w:rPr>
        <w:t xml:space="preserve">What Schusterman failed to address in his </w:t>
      </w:r>
      <w:r w:rsidR="006A1CF0" w:rsidRPr="00570413">
        <w:rPr>
          <w:rFonts w:ascii="Times New Roman" w:hAnsi="Times New Roman" w:cs="Times New Roman"/>
        </w:rPr>
        <w:t>essay</w:t>
      </w:r>
      <w:r w:rsidRPr="00570413">
        <w:rPr>
          <w:rFonts w:ascii="Times New Roman" w:hAnsi="Times New Roman" w:cs="Times New Roman"/>
        </w:rPr>
        <w:t xml:space="preserve"> was how the violence of the revolution was dichotomized along gendered lines. Where Robespierre and Marat could call for heads to roll in the streets, women were banned from engaging in the terror of the Revolution at all. While violence was understood as a male trait, nature was viewed as a female trait. Interestingly enough, the French revolution also had a distinct obsession with the violent nature of nature itself. This would then raise the question, if nature is female and nature is violent, why are women not allowed to be violent?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 xml:space="preserve">Many of the French Revolutionaries were consumed with the imagery of the volcano as a symbol of Revolutionary change, </w:t>
      </w:r>
      <w:r w:rsidR="003F6C65" w:rsidRPr="00570413">
        <w:rPr>
          <w:rFonts w:ascii="Times New Roman" w:hAnsi="Times New Roman" w:cs="Times New Roman"/>
        </w:rPr>
        <w:t xml:space="preserve">and it </w:t>
      </w:r>
      <w:r w:rsidRPr="00570413">
        <w:rPr>
          <w:rFonts w:ascii="Times New Roman" w:hAnsi="Times New Roman" w:cs="Times New Roman"/>
        </w:rPr>
        <w:t xml:space="preserve">was markedly positive in its view of the regenerative power of their shared uncontrollable </w:t>
      </w:r>
      <w:r w:rsidR="003F6C65" w:rsidRPr="00570413">
        <w:rPr>
          <w:rFonts w:ascii="Times New Roman" w:hAnsi="Times New Roman" w:cs="Times New Roman"/>
        </w:rPr>
        <w:t>destruction</w:t>
      </w:r>
      <w:r w:rsidRPr="00570413">
        <w:rPr>
          <w:rFonts w:ascii="Times New Roman" w:hAnsi="Times New Roman" w:cs="Times New Roman"/>
        </w:rPr>
        <w:t>.</w:t>
      </w:r>
      <w:r w:rsidRPr="00570413">
        <w:rPr>
          <w:rStyle w:val="FootnoteReference"/>
          <w:rFonts w:ascii="Times New Roman" w:hAnsi="Times New Roman" w:cs="Times New Roman"/>
        </w:rPr>
        <w:footnoteReference w:id="81"/>
      </w:r>
      <w:r w:rsidRPr="00570413">
        <w:rPr>
          <w:rFonts w:ascii="Times New Roman" w:hAnsi="Times New Roman" w:cs="Times New Roman"/>
        </w:rPr>
        <w:t xml:space="preserve"> This revolutionary metaphor is most often used in discussion with the nature of the French Terror, namely in Mary Ashburn Miller’s article on the topic,  but when combined with a gendered lens it takes on a different meaning.</w:t>
      </w:r>
      <w:r w:rsidRPr="00570413">
        <w:rPr>
          <w:rStyle w:val="FootnoteReference"/>
          <w:rFonts w:ascii="Times New Roman" w:hAnsi="Times New Roman" w:cs="Times New Roman"/>
        </w:rPr>
        <w:footnoteReference w:id="82"/>
      </w:r>
      <w:r w:rsidRPr="00570413">
        <w:rPr>
          <w:rFonts w:ascii="Times New Roman" w:hAnsi="Times New Roman" w:cs="Times New Roman"/>
        </w:rPr>
        <w:t xml:space="preserve"> The volcano in many ways was a representative of “passion overcoming reason,” which could be interpreted through a gendered lens as the gendered female ideal of nature and matters of the </w:t>
      </w:r>
      <w:r w:rsidRPr="00570413">
        <w:rPr>
          <w:rFonts w:ascii="Times New Roman" w:hAnsi="Times New Roman" w:cs="Times New Roman"/>
        </w:rPr>
        <w:lastRenderedPageBreak/>
        <w:t>heart defeating an enlightenment concept of reason that was used to define what manhood was during the revolutionary years.</w:t>
      </w:r>
      <w:r w:rsidRPr="00570413">
        <w:rPr>
          <w:rStyle w:val="FootnoteReference"/>
          <w:rFonts w:ascii="Times New Roman" w:hAnsi="Times New Roman" w:cs="Times New Roman"/>
        </w:rPr>
        <w:footnoteReference w:id="83"/>
      </w:r>
      <w:r w:rsidRPr="00570413">
        <w:rPr>
          <w:rFonts w:ascii="Times New Roman" w:hAnsi="Times New Roman" w:cs="Times New Roman"/>
        </w:rPr>
        <w:t xml:space="preserve"> This is complicated though because passion during the Terror of the revolution was a reflection of authenticity of one’s dedication to the revolution.</w:t>
      </w:r>
      <w:r w:rsidR="00E76A49" w:rsidRPr="00570413">
        <w:rPr>
          <w:rStyle w:val="FootnoteReference"/>
          <w:rFonts w:ascii="Times New Roman" w:hAnsi="Times New Roman" w:cs="Times New Roman"/>
        </w:rPr>
        <w:footnoteReference w:id="84"/>
      </w:r>
      <w:r w:rsidRPr="00570413">
        <w:rPr>
          <w:rFonts w:ascii="Times New Roman" w:hAnsi="Times New Roman" w:cs="Times New Roman"/>
        </w:rPr>
        <w:t xml:space="preserve"> The failure to prove authenticity or in other words, the concealment of one’s true feelings, was dangerous to the revolution in the way a dormant volcano is dangerous because it is impossible to tell when it will explode.</w:t>
      </w:r>
      <w:r w:rsidRPr="00570413">
        <w:rPr>
          <w:rStyle w:val="FootnoteReference"/>
          <w:rFonts w:ascii="Times New Roman" w:hAnsi="Times New Roman" w:cs="Times New Roman"/>
        </w:rPr>
        <w:footnoteReference w:id="85"/>
      </w:r>
      <w:r w:rsidRPr="00570413">
        <w:rPr>
          <w:rFonts w:ascii="Times New Roman" w:hAnsi="Times New Roman" w:cs="Times New Roman"/>
        </w:rPr>
        <w:t xml:space="preserve"> This dormancy as a dangerous state of being is also seen throughout Rousseau’s writing on gender, where women’s control of the home was mostly concealed from her husband, making her inherently dangerous.</w:t>
      </w:r>
      <w:r w:rsidRPr="00570413">
        <w:rPr>
          <w:rStyle w:val="FootnoteReference"/>
          <w:rFonts w:ascii="Times New Roman" w:hAnsi="Times New Roman" w:cs="Times New Roman"/>
        </w:rPr>
        <w:footnoteReference w:id="86"/>
      </w:r>
      <w:r w:rsidRPr="00570413">
        <w:rPr>
          <w:rFonts w:ascii="Times New Roman" w:hAnsi="Times New Roman" w:cs="Times New Roman"/>
        </w:rPr>
        <w:t xml:space="preserve"> So while the volcano was a symbol that was associated with feminine gendered nature and Rousseau’s concept of deceitful women, it was still a revolutionary symbol embraced by people regardless of gender</w:t>
      </w:r>
      <w:r w:rsidR="00E76A49" w:rsidRPr="00570413">
        <w:rPr>
          <w:rFonts w:ascii="Times New Roman" w:hAnsi="Times New Roman" w:cs="Times New Roman"/>
        </w:rPr>
        <w:t xml:space="preserve">. </w:t>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 xml:space="preserve">The volcanic </w:t>
      </w:r>
      <w:r w:rsidRPr="007954FF">
        <w:rPr>
          <w:rFonts w:ascii="Times New Roman" w:hAnsi="Times New Roman" w:cs="Times New Roman"/>
        </w:rPr>
        <w:t xml:space="preserve">metaphor </w:t>
      </w:r>
      <w:r w:rsidR="007954FF" w:rsidRPr="007954FF">
        <w:rPr>
          <w:rFonts w:ascii="Times New Roman" w:hAnsi="Times New Roman" w:cs="Times New Roman"/>
        </w:rPr>
        <w:t>recognized</w:t>
      </w:r>
      <w:r w:rsidRPr="007954FF">
        <w:rPr>
          <w:rFonts w:ascii="Times New Roman" w:hAnsi="Times New Roman" w:cs="Times New Roman"/>
        </w:rPr>
        <w:t xml:space="preserve"> that</w:t>
      </w:r>
      <w:r w:rsidRPr="00570413">
        <w:rPr>
          <w:rFonts w:ascii="Times New Roman" w:hAnsi="Times New Roman" w:cs="Times New Roman"/>
        </w:rPr>
        <w:t xml:space="preserve"> destruction was important to creating a more fertile soil for the revolution itself.</w:t>
      </w:r>
      <w:r w:rsidRPr="00570413">
        <w:rPr>
          <w:rStyle w:val="FootnoteReference"/>
          <w:rFonts w:ascii="Times New Roman" w:hAnsi="Times New Roman" w:cs="Times New Roman"/>
        </w:rPr>
        <w:footnoteReference w:id="87"/>
      </w:r>
      <w:r w:rsidRPr="00570413">
        <w:rPr>
          <w:rFonts w:ascii="Times New Roman" w:hAnsi="Times New Roman" w:cs="Times New Roman"/>
        </w:rPr>
        <w:t xml:space="preserve"> Here lies the dichotomy of the volcano metaphor, in that, it was both destructive and dangerous but important and natural. And in Enlightenment-era Europe, where reason was made the foil to uncertainty, and male reason was an exercise in control, the lack of control of feminine nature was actually both dangerous and important to progressing the revolution.</w:t>
      </w:r>
      <w:r w:rsidR="003F6C65" w:rsidRPr="00570413">
        <w:rPr>
          <w:rFonts w:ascii="Times New Roman" w:hAnsi="Times New Roman" w:cs="Times New Roman"/>
        </w:rPr>
        <w:t xml:space="preserve"> This also tied into </w:t>
      </w:r>
      <w:proofErr w:type="spellStart"/>
      <w:r w:rsidR="003F6C65" w:rsidRPr="00570413">
        <w:rPr>
          <w:rFonts w:ascii="Times New Roman" w:hAnsi="Times New Roman" w:cs="Times New Roman"/>
        </w:rPr>
        <w:t>Saccarelli’s</w:t>
      </w:r>
      <w:proofErr w:type="spellEnd"/>
      <w:r w:rsidR="003F6C65" w:rsidRPr="00570413">
        <w:rPr>
          <w:rFonts w:ascii="Times New Roman" w:hAnsi="Times New Roman" w:cs="Times New Roman"/>
        </w:rPr>
        <w:t xml:space="preserve"> concept of the second state of nature being like Eden, where women’s influence is dangerous in creating an effeminized society yet it is also the marker of progress towards civilization.</w:t>
      </w:r>
      <w:r w:rsidR="003F6C65" w:rsidRPr="00570413">
        <w:rPr>
          <w:rStyle w:val="FootnoteReference"/>
          <w:rFonts w:ascii="Times New Roman" w:hAnsi="Times New Roman" w:cs="Times New Roman"/>
        </w:rPr>
        <w:footnoteReference w:id="88"/>
      </w:r>
      <w:r w:rsidRPr="00570413">
        <w:rPr>
          <w:rFonts w:ascii="Times New Roman" w:hAnsi="Times New Roman" w:cs="Times New Roman"/>
        </w:rPr>
        <w:t xml:space="preserve"> This lens of understanding the gender politics of the French Revolution is even more interesting when applied to revolutionary women whose violence was paramount to their philosophy. </w:t>
      </w:r>
    </w:p>
    <w:p w:rsidR="00B36C75" w:rsidRPr="00570413" w:rsidRDefault="00B36C75" w:rsidP="004911C4">
      <w:pPr>
        <w:spacing w:line="480" w:lineRule="auto"/>
        <w:ind w:firstLine="720"/>
        <w:rPr>
          <w:rFonts w:ascii="Times New Roman" w:hAnsi="Times New Roman" w:cs="Times New Roman"/>
        </w:rPr>
      </w:pPr>
      <w:r w:rsidRPr="00570413">
        <w:rPr>
          <w:rFonts w:ascii="Times New Roman" w:hAnsi="Times New Roman" w:cs="Times New Roman"/>
        </w:rPr>
        <w:lastRenderedPageBreak/>
        <w:t>Women had a couple different roles they could inhabit, particularly during the revolutionary years, as being either a republican mother or a more amalgamated concept of othered womanhood, as defined by violent market women, so-called loose women, or women stepping out of their role like Olympe de Gouges. But there was a third option to breaking this dichotomy, most clearly shown through the actions of Charlotte Corday, and subsequent reactions by contemporary Frenchmen.</w:t>
      </w:r>
      <w:r w:rsidR="007A7576">
        <w:rPr>
          <w:rStyle w:val="FootnoteReference"/>
          <w:rFonts w:ascii="Times New Roman" w:hAnsi="Times New Roman" w:cs="Times New Roman"/>
        </w:rPr>
        <w:footnoteReference w:id="89"/>
      </w:r>
      <w:r w:rsidRPr="00570413">
        <w:rPr>
          <w:rFonts w:ascii="Times New Roman" w:hAnsi="Times New Roman" w:cs="Times New Roman"/>
        </w:rPr>
        <w:t xml:space="preserve"> Charlotte Corday most famously assassinated Jean-Paul Marat and was promptly guillotined after a short trial.</w:t>
      </w:r>
      <w:r w:rsidRPr="00570413">
        <w:rPr>
          <w:rStyle w:val="FootnoteReference"/>
          <w:rFonts w:ascii="Times New Roman" w:hAnsi="Times New Roman" w:cs="Times New Roman"/>
        </w:rPr>
        <w:footnoteReference w:id="90"/>
      </w:r>
      <w:r w:rsidRPr="00570413">
        <w:rPr>
          <w:rFonts w:ascii="Times New Roman" w:hAnsi="Times New Roman" w:cs="Times New Roman"/>
        </w:rPr>
        <w:t xml:space="preserve"> Whereas those assigned to the othered category of womanhood in revolutionary France were all still distinctly woman, Corday was de-gendered following her assassination of Marat, starting with (at least as evidenced in the historical record) Marat’s family </w:t>
      </w:r>
      <w:r w:rsidRPr="007954FF">
        <w:rPr>
          <w:rFonts w:ascii="Times New Roman" w:hAnsi="Times New Roman" w:cs="Times New Roman"/>
        </w:rPr>
        <w:t>refusing to gender her at her trial, instead suggesting she was merely “’wearing women’s clothes.’”</w:t>
      </w:r>
      <w:r w:rsidRPr="007954FF">
        <w:rPr>
          <w:rStyle w:val="FootnoteReference"/>
          <w:rFonts w:ascii="Times New Roman" w:hAnsi="Times New Roman" w:cs="Times New Roman"/>
        </w:rPr>
        <w:footnoteReference w:id="91"/>
      </w:r>
      <w:r w:rsidRPr="007954FF">
        <w:rPr>
          <w:rFonts w:ascii="Times New Roman" w:hAnsi="Times New Roman" w:cs="Times New Roman"/>
        </w:rPr>
        <w:t xml:space="preserve"> Judges at </w:t>
      </w:r>
      <w:r w:rsidR="007954FF" w:rsidRPr="007954FF">
        <w:rPr>
          <w:rFonts w:ascii="Times New Roman" w:hAnsi="Times New Roman" w:cs="Times New Roman"/>
        </w:rPr>
        <w:t>her trial</w:t>
      </w:r>
      <w:r w:rsidRPr="007954FF">
        <w:rPr>
          <w:rFonts w:ascii="Times New Roman" w:hAnsi="Times New Roman" w:cs="Times New Roman"/>
        </w:rPr>
        <w:t xml:space="preserve"> also considered</w:t>
      </w:r>
      <w:r w:rsidRPr="00570413">
        <w:rPr>
          <w:rFonts w:ascii="Times New Roman" w:hAnsi="Times New Roman" w:cs="Times New Roman"/>
        </w:rPr>
        <w:t xml:space="preserve"> her to be a monster merely taking the form of a woman </w:t>
      </w:r>
      <w:r w:rsidR="003F6C65" w:rsidRPr="00570413">
        <w:rPr>
          <w:rFonts w:ascii="Times New Roman" w:hAnsi="Times New Roman" w:cs="Times New Roman"/>
        </w:rPr>
        <w:t xml:space="preserve">as </w:t>
      </w:r>
      <w:r w:rsidRPr="00570413">
        <w:rPr>
          <w:rFonts w:ascii="Times New Roman" w:hAnsi="Times New Roman" w:cs="Times New Roman"/>
        </w:rPr>
        <w:t>the form of some sort of “demonic possession.”</w:t>
      </w:r>
      <w:r w:rsidR="00E76A49" w:rsidRPr="00570413">
        <w:rPr>
          <w:rStyle w:val="FootnoteReference"/>
          <w:rFonts w:ascii="Times New Roman" w:hAnsi="Times New Roman" w:cs="Times New Roman"/>
        </w:rPr>
        <w:footnoteReference w:id="92"/>
      </w:r>
      <w:r w:rsidRPr="00570413">
        <w:rPr>
          <w:rFonts w:ascii="Times New Roman" w:hAnsi="Times New Roman" w:cs="Times New Roman"/>
        </w:rPr>
        <w:t xml:space="preserve"> Her actions were not considered to be actions that could be taken by women, because violence of that sort was reserved for men</w:t>
      </w:r>
      <w:r w:rsidR="003F6C65" w:rsidRPr="00570413">
        <w:rPr>
          <w:rFonts w:ascii="Times New Roman" w:hAnsi="Times New Roman" w:cs="Times New Roman"/>
        </w:rPr>
        <w:t xml:space="preserve"> in their active role in the body politic</w:t>
      </w:r>
      <w:r w:rsidRPr="00570413">
        <w:rPr>
          <w:rFonts w:ascii="Times New Roman" w:hAnsi="Times New Roman" w:cs="Times New Roman"/>
        </w:rPr>
        <w:t>.</w:t>
      </w:r>
      <w:r w:rsidRPr="00570413">
        <w:rPr>
          <w:rStyle w:val="FootnoteReference"/>
          <w:rFonts w:ascii="Times New Roman" w:hAnsi="Times New Roman" w:cs="Times New Roman"/>
        </w:rPr>
        <w:footnoteReference w:id="93"/>
      </w:r>
      <w:r w:rsidRPr="00570413">
        <w:rPr>
          <w:rFonts w:ascii="Times New Roman" w:hAnsi="Times New Roman" w:cs="Times New Roman"/>
        </w:rPr>
        <w:t xml:space="preserve"> Even in one of the most famous paintings made during the revolution, </w:t>
      </w:r>
      <w:r w:rsidRPr="007954FF">
        <w:rPr>
          <w:rFonts w:ascii="Times New Roman" w:hAnsi="Times New Roman" w:cs="Times New Roman"/>
          <w:i/>
        </w:rPr>
        <w:t xml:space="preserve">Marat </w:t>
      </w:r>
      <w:proofErr w:type="spellStart"/>
      <w:r w:rsidRPr="007954FF">
        <w:rPr>
          <w:rFonts w:ascii="Times New Roman" w:hAnsi="Times New Roman" w:cs="Times New Roman"/>
          <w:i/>
        </w:rPr>
        <w:t>Assassiné</w:t>
      </w:r>
      <w:proofErr w:type="spellEnd"/>
      <w:r w:rsidRPr="00570413">
        <w:rPr>
          <w:rFonts w:ascii="Times New Roman" w:hAnsi="Times New Roman" w:cs="Times New Roman"/>
        </w:rPr>
        <w:t xml:space="preserve"> by French painter Jacques-Louis David, she is distinctly not made present as a person, only her act is present.</w:t>
      </w:r>
      <w:r w:rsidR="00E76A49" w:rsidRPr="00570413">
        <w:rPr>
          <w:rStyle w:val="FootnoteReference"/>
          <w:rFonts w:ascii="Times New Roman" w:hAnsi="Times New Roman" w:cs="Times New Roman"/>
        </w:rPr>
        <w:footnoteReference w:id="94"/>
      </w:r>
      <w:r w:rsidRPr="00570413">
        <w:rPr>
          <w:rFonts w:ascii="Times New Roman" w:hAnsi="Times New Roman" w:cs="Times New Roman"/>
        </w:rPr>
        <w:t xml:space="preserve"> An issue of Gazette de France </w:t>
      </w:r>
      <w:proofErr w:type="spellStart"/>
      <w:r w:rsidR="007954FF">
        <w:rPr>
          <w:rFonts w:ascii="Times New Roman" w:hAnsi="Times New Roman" w:cs="Times New Roman"/>
        </w:rPr>
        <w:t>N</w:t>
      </w:r>
      <w:r w:rsidRPr="00570413">
        <w:rPr>
          <w:rFonts w:ascii="Times New Roman" w:hAnsi="Times New Roman" w:cs="Times New Roman"/>
        </w:rPr>
        <w:t>ationale</w:t>
      </w:r>
      <w:proofErr w:type="spellEnd"/>
      <w:r w:rsidRPr="00570413">
        <w:rPr>
          <w:rFonts w:ascii="Times New Roman" w:hAnsi="Times New Roman" w:cs="Times New Roman"/>
        </w:rPr>
        <w:t xml:space="preserve"> characterized her as being “masculinized… [and] boyish,” and that she had “thrown herself… outside of her sex.”</w:t>
      </w:r>
      <w:r w:rsidR="00E76A49" w:rsidRPr="00570413">
        <w:rPr>
          <w:rStyle w:val="FootnoteReference"/>
          <w:rFonts w:ascii="Times New Roman" w:hAnsi="Times New Roman" w:cs="Times New Roman"/>
        </w:rPr>
        <w:footnoteReference w:id="95"/>
      </w:r>
      <w:r w:rsidR="00E76A49" w:rsidRPr="00570413">
        <w:rPr>
          <w:rFonts w:ascii="Times New Roman" w:hAnsi="Times New Roman" w:cs="Times New Roman"/>
        </w:rPr>
        <w:t xml:space="preserve"> </w:t>
      </w:r>
      <w:r w:rsidRPr="00570413">
        <w:rPr>
          <w:rFonts w:ascii="Times New Roman" w:hAnsi="Times New Roman" w:cs="Times New Roman"/>
        </w:rPr>
        <w:t xml:space="preserve">Her feminine violence was, in their eyes, simply </w:t>
      </w:r>
      <w:r w:rsidRPr="00570413">
        <w:rPr>
          <w:rFonts w:ascii="Times New Roman" w:hAnsi="Times New Roman" w:cs="Times New Roman"/>
        </w:rPr>
        <w:lastRenderedPageBreak/>
        <w:t>destructive and not regenerative in any way. Because it was not considered to be regenerative by those who disagreed with her action, not only was the action gendered male, but therefore Corday herself as well. And though she was de-</w:t>
      </w:r>
      <w:r w:rsidR="007954FF">
        <w:rPr>
          <w:rFonts w:ascii="Times New Roman" w:hAnsi="Times New Roman" w:cs="Times New Roman"/>
        </w:rPr>
        <w:t>feminized</w:t>
      </w:r>
      <w:r w:rsidRPr="00570413">
        <w:rPr>
          <w:rFonts w:ascii="Times New Roman" w:hAnsi="Times New Roman" w:cs="Times New Roman"/>
        </w:rPr>
        <w:t xml:space="preserve"> by some male revolutionaries following her actions, she was also heavily </w:t>
      </w:r>
      <w:r w:rsidR="007954FF">
        <w:rPr>
          <w:rFonts w:ascii="Times New Roman" w:hAnsi="Times New Roman" w:cs="Times New Roman"/>
        </w:rPr>
        <w:t>feminized</w:t>
      </w:r>
      <w:r w:rsidRPr="00570413">
        <w:rPr>
          <w:rFonts w:ascii="Times New Roman" w:hAnsi="Times New Roman" w:cs="Times New Roman"/>
        </w:rPr>
        <w:t xml:space="preserve"> in a very Rousseauian manner as a deceitful woman. Poems printed in</w:t>
      </w:r>
      <w:r w:rsidRPr="00570413">
        <w:rPr>
          <w:rFonts w:ascii="Times New Roman" w:hAnsi="Times New Roman" w:cs="Times New Roman"/>
          <w:i/>
        </w:rPr>
        <w:t xml:space="preserve"> </w:t>
      </w:r>
      <w:proofErr w:type="spellStart"/>
      <w:r w:rsidRPr="00570413">
        <w:rPr>
          <w:rFonts w:ascii="Times New Roman" w:hAnsi="Times New Roman" w:cs="Times New Roman"/>
          <w:i/>
        </w:rPr>
        <w:t>Moniteur</w:t>
      </w:r>
      <w:proofErr w:type="spellEnd"/>
      <w:r w:rsidRPr="00570413">
        <w:rPr>
          <w:rFonts w:ascii="Times New Roman" w:hAnsi="Times New Roman" w:cs="Times New Roman"/>
        </w:rPr>
        <w:t>, the main French newspaper at the time discussed Corday’s “false air of sweetness</w:t>
      </w:r>
      <w:r w:rsidR="00E76A49" w:rsidRPr="00570413">
        <w:rPr>
          <w:rFonts w:ascii="Times New Roman" w:hAnsi="Times New Roman" w:cs="Times New Roman"/>
        </w:rPr>
        <w:t>.”</w:t>
      </w:r>
      <w:r w:rsidR="00E76A49" w:rsidRPr="00570413">
        <w:rPr>
          <w:rStyle w:val="FootnoteReference"/>
          <w:rFonts w:ascii="Times New Roman" w:hAnsi="Times New Roman" w:cs="Times New Roman"/>
        </w:rPr>
        <w:footnoteReference w:id="96"/>
      </w:r>
      <w:r w:rsidRPr="00570413">
        <w:rPr>
          <w:rFonts w:ascii="Times New Roman" w:hAnsi="Times New Roman" w:cs="Times New Roman"/>
        </w:rPr>
        <w:t xml:space="preserve"> A lot of this discussion had to do with the fact that many average people actually were drawn to Corday and did not think of her as being either de-gendered or hyper-gendered, but to those who wished to wage political attacks against her, her gender was of paramount importance.</w:t>
      </w:r>
      <w:r w:rsidR="00E76A49" w:rsidRPr="00570413">
        <w:rPr>
          <w:rStyle w:val="FootnoteReference"/>
          <w:rFonts w:ascii="Times New Roman" w:hAnsi="Times New Roman" w:cs="Times New Roman"/>
        </w:rPr>
        <w:footnoteReference w:id="97"/>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In the eyes of people who did not agree with her revolutionary action, she infected the body politic and there were many discussions regarding how her being dead would not be good enough atonement or punishment for her actions, similar to the way many revolutionaries discussed the guillotine not being punishment enough for </w:t>
      </w:r>
      <w:r w:rsidRPr="007954FF">
        <w:rPr>
          <w:rFonts w:ascii="Times New Roman" w:hAnsi="Times New Roman" w:cs="Times New Roman"/>
        </w:rPr>
        <w:t>royals.</w:t>
      </w:r>
      <w:r w:rsidRPr="007954FF">
        <w:rPr>
          <w:rStyle w:val="FootnoteReference"/>
          <w:rFonts w:ascii="Times New Roman" w:hAnsi="Times New Roman" w:cs="Times New Roman"/>
        </w:rPr>
        <w:footnoteReference w:id="98"/>
      </w:r>
      <w:r w:rsidRPr="007954FF">
        <w:rPr>
          <w:rFonts w:ascii="Times New Roman" w:hAnsi="Times New Roman" w:cs="Times New Roman"/>
        </w:rPr>
        <w:t xml:space="preserve"> This gendered idea of</w:t>
      </w:r>
      <w:r w:rsidRPr="00570413">
        <w:rPr>
          <w:rFonts w:ascii="Times New Roman" w:hAnsi="Times New Roman" w:cs="Times New Roman"/>
        </w:rPr>
        <w:t xml:space="preserve"> the body politic can also be clearly seen in the treatment of the body of Madame </w:t>
      </w:r>
      <w:proofErr w:type="spellStart"/>
      <w:r w:rsidRPr="00570413">
        <w:rPr>
          <w:rFonts w:ascii="Times New Roman" w:hAnsi="Times New Roman" w:cs="Times New Roman"/>
        </w:rPr>
        <w:t>Lamballe</w:t>
      </w:r>
      <w:proofErr w:type="spellEnd"/>
      <w:r w:rsidRPr="00570413">
        <w:rPr>
          <w:rFonts w:ascii="Times New Roman" w:hAnsi="Times New Roman" w:cs="Times New Roman"/>
        </w:rPr>
        <w:t xml:space="preserve">, a royal and </w:t>
      </w:r>
      <w:r w:rsidR="007954FF">
        <w:rPr>
          <w:rFonts w:ascii="Times New Roman" w:hAnsi="Times New Roman" w:cs="Times New Roman"/>
        </w:rPr>
        <w:t xml:space="preserve">a </w:t>
      </w:r>
      <w:r w:rsidRPr="00570413">
        <w:rPr>
          <w:rFonts w:ascii="Times New Roman" w:hAnsi="Times New Roman" w:cs="Times New Roman"/>
        </w:rPr>
        <w:t>good friend of the Queen, who had her genitals cut off along with her beheading when she was murdered.</w:t>
      </w:r>
      <w:r w:rsidRPr="00570413">
        <w:rPr>
          <w:rStyle w:val="FootnoteReference"/>
          <w:rFonts w:ascii="Times New Roman" w:hAnsi="Times New Roman" w:cs="Times New Roman"/>
        </w:rPr>
        <w:footnoteReference w:id="99"/>
      </w:r>
      <w:r w:rsidRPr="00570413">
        <w:rPr>
          <w:rFonts w:ascii="Times New Roman" w:hAnsi="Times New Roman" w:cs="Times New Roman"/>
        </w:rPr>
        <w:t xml:space="preserve"> Her merely being royal was inherently dangerous to the order of French society, and to people who felt her presence was dangerous to the greater body politic, her body needed to be destroyed as a regenerative act. While she was beheaded in typical revolutionary French manner, the removal of her genitals, which defined gender in this context, marked the removal of </w:t>
      </w:r>
      <w:r w:rsidRPr="00570413">
        <w:rPr>
          <w:rFonts w:ascii="Times New Roman" w:hAnsi="Times New Roman" w:cs="Times New Roman"/>
        </w:rPr>
        <w:lastRenderedPageBreak/>
        <w:t xml:space="preserve">the most physical manifestation of her ability to sicken the body politic, through her womanhood. </w:t>
      </w:r>
    </w:p>
    <w:p w:rsidR="00B36C75" w:rsidRPr="00570413" w:rsidRDefault="00B36C75" w:rsidP="00B36C75">
      <w:pPr>
        <w:spacing w:line="480" w:lineRule="auto"/>
        <w:rPr>
          <w:rFonts w:ascii="Times New Roman" w:hAnsi="Times New Roman" w:cs="Times New Roman"/>
          <w:highlight w:val="cyan"/>
        </w:rPr>
      </w:pPr>
      <w:r w:rsidRPr="00570413">
        <w:rPr>
          <w:rFonts w:ascii="Times New Roman" w:hAnsi="Times New Roman" w:cs="Times New Roman"/>
        </w:rPr>
        <w:tab/>
        <w:t>What made Corday’s act of violence so important was its understanding under the concept of the body politic. The act of killing someone, of destroying their body was damaging to the greater French society that saw bodies as the foundation of liberty. The leaders of the revolution of course guillotined thousands of people, and the leaders calling for heads to roll were most notably Marat and Robespierre, two men. Their act of guillotining perceived enemies of the revolution was justified because as men they were allowed the active citizenship to shape the body politic, including in this case removing people from the body politic entirely. Corday, however, as a woman was not granted this ability because of her womanhood being bound by 18</w:t>
      </w:r>
      <w:r w:rsidRPr="00570413">
        <w:rPr>
          <w:rFonts w:ascii="Times New Roman" w:hAnsi="Times New Roman" w:cs="Times New Roman"/>
          <w:vertAlign w:val="superscript"/>
        </w:rPr>
        <w:t>th</w:t>
      </w:r>
      <w:r w:rsidRPr="00570413">
        <w:rPr>
          <w:rFonts w:ascii="Times New Roman" w:hAnsi="Times New Roman" w:cs="Times New Roman"/>
        </w:rPr>
        <w:t xml:space="preserve"> century French gender politics of active and passive </w:t>
      </w:r>
      <w:r w:rsidR="004911C4" w:rsidRPr="00570413">
        <w:rPr>
          <w:rFonts w:ascii="Times New Roman" w:hAnsi="Times New Roman" w:cs="Times New Roman"/>
        </w:rPr>
        <w:t xml:space="preserve">in relation to the literal body politic. </w:t>
      </w:r>
      <w:r w:rsidR="007A752B" w:rsidRPr="00570413">
        <w:rPr>
          <w:rFonts w:ascii="Times New Roman" w:hAnsi="Times New Roman" w:cs="Times New Roman"/>
        </w:rPr>
        <w:t xml:space="preserve">And while actively destroying the body politic led to Corday’s de-gendering and hyper-gendering, it appeared that royal status also had the ability to destroy the body politic.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Marie Antoinette was the most prominent symbol of feminine sin during the Revolution, and while not being a feminist herself necessarily, she was attacked in a somewhat</w:t>
      </w:r>
      <w:r w:rsidR="007A752B" w:rsidRPr="00570413">
        <w:rPr>
          <w:rFonts w:ascii="Times New Roman" w:hAnsi="Times New Roman" w:cs="Times New Roman"/>
        </w:rPr>
        <w:t xml:space="preserve"> similar</w:t>
      </w:r>
      <w:r w:rsidRPr="00570413">
        <w:rPr>
          <w:rFonts w:ascii="Times New Roman" w:hAnsi="Times New Roman" w:cs="Times New Roman"/>
        </w:rPr>
        <w:t xml:space="preserve"> manner </w:t>
      </w:r>
      <w:r w:rsidR="007A752B" w:rsidRPr="00570413">
        <w:rPr>
          <w:rFonts w:ascii="Times New Roman" w:hAnsi="Times New Roman" w:cs="Times New Roman"/>
        </w:rPr>
        <w:t xml:space="preserve">that </w:t>
      </w:r>
      <w:r w:rsidRPr="00570413">
        <w:rPr>
          <w:rFonts w:ascii="Times New Roman" w:hAnsi="Times New Roman" w:cs="Times New Roman"/>
        </w:rPr>
        <w:t>revolutionary women were. And even further, Antoinette was also the symbol of feminine influence on politics. At her trial, she was charged with teaching “the king how to dissimulate,” in a very Rousseauian understanding of women’s influence, or their mere presence, effeminizing men.</w:t>
      </w:r>
      <w:r w:rsidRPr="00570413">
        <w:rPr>
          <w:rStyle w:val="FootnoteReference"/>
          <w:rFonts w:ascii="Times New Roman" w:hAnsi="Times New Roman" w:cs="Times New Roman"/>
        </w:rPr>
        <w:footnoteReference w:id="100"/>
      </w:r>
      <w:r w:rsidRPr="00570413">
        <w:rPr>
          <w:rFonts w:ascii="Times New Roman" w:hAnsi="Times New Roman" w:cs="Times New Roman"/>
        </w:rPr>
        <w:t xml:space="preserve"> Not only was her womanhood enough to suggest her ability to dissimulate, but there was also a strong sense that monarchy itself had strong ability for dissimulation, even though Louis XVI was not necessarily attacked in the same way the Queen was.</w:t>
      </w:r>
      <w:r w:rsidRPr="00570413">
        <w:rPr>
          <w:rStyle w:val="FootnoteReference"/>
          <w:rFonts w:ascii="Times New Roman" w:hAnsi="Times New Roman" w:cs="Times New Roman"/>
        </w:rPr>
        <w:footnoteReference w:id="101"/>
      </w:r>
      <w:r w:rsidRPr="00570413">
        <w:rPr>
          <w:rFonts w:ascii="Times New Roman" w:hAnsi="Times New Roman" w:cs="Times New Roman"/>
        </w:rPr>
        <w:t xml:space="preserve"> In fact, Rousseau discusses this ability to decei</w:t>
      </w:r>
      <w:r w:rsidR="007954FF">
        <w:rPr>
          <w:rFonts w:ascii="Times New Roman" w:hAnsi="Times New Roman" w:cs="Times New Roman"/>
        </w:rPr>
        <w:t>ve</w:t>
      </w:r>
      <w:r w:rsidRPr="00570413">
        <w:rPr>
          <w:rFonts w:ascii="Times New Roman" w:hAnsi="Times New Roman" w:cs="Times New Roman"/>
        </w:rPr>
        <w:t xml:space="preserve"> in how the wealthy “seduced” the poor into accepting </w:t>
      </w:r>
      <w:r w:rsidRPr="00570413">
        <w:rPr>
          <w:rFonts w:ascii="Times New Roman" w:hAnsi="Times New Roman" w:cs="Times New Roman"/>
        </w:rPr>
        <w:lastRenderedPageBreak/>
        <w:t>the social contract, showing an early ideological tie between wealth and femininity.</w:t>
      </w:r>
      <w:r w:rsidRPr="00570413">
        <w:rPr>
          <w:rStyle w:val="FootnoteReference"/>
          <w:rFonts w:ascii="Times New Roman" w:hAnsi="Times New Roman" w:cs="Times New Roman"/>
        </w:rPr>
        <w:footnoteReference w:id="102"/>
      </w:r>
      <w:r w:rsidRPr="00570413">
        <w:rPr>
          <w:rFonts w:ascii="Times New Roman" w:hAnsi="Times New Roman" w:cs="Times New Roman"/>
        </w:rPr>
        <w:t xml:space="preserve"> The Queen was called a whore, unable to determine who the real biological, paternal father of the heir was, tying again back to the most basic Rousseauian understanding of dissimulation stemming from a woman’s ability to know the paternity of her child.</w:t>
      </w:r>
      <w:r w:rsidRPr="00570413">
        <w:rPr>
          <w:rStyle w:val="FootnoteReference"/>
          <w:rFonts w:ascii="Times New Roman" w:hAnsi="Times New Roman" w:cs="Times New Roman"/>
        </w:rPr>
        <w:footnoteReference w:id="103"/>
      </w:r>
      <w:r w:rsidRPr="00570413">
        <w:rPr>
          <w:rFonts w:ascii="Times New Roman" w:hAnsi="Times New Roman" w:cs="Times New Roman"/>
        </w:rPr>
        <w:t xml:space="preserv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She was also famously charged at her trial with incest between herself and her son.</w:t>
      </w:r>
      <w:r w:rsidRPr="00570413">
        <w:rPr>
          <w:rStyle w:val="FootnoteReference"/>
          <w:rFonts w:ascii="Times New Roman" w:hAnsi="Times New Roman" w:cs="Times New Roman"/>
        </w:rPr>
        <w:footnoteReference w:id="104"/>
      </w:r>
      <w:r w:rsidRPr="00570413">
        <w:rPr>
          <w:rFonts w:ascii="Times New Roman" w:hAnsi="Times New Roman" w:cs="Times New Roman"/>
        </w:rPr>
        <w:t xml:space="preserve"> Her sleeping in bed with him and allegedly teaching him to masturbate was discovered in tandem with a bodily exam of the young heir that found he had an “injured testicle.”</w:t>
      </w:r>
      <w:r w:rsidRPr="00570413">
        <w:rPr>
          <w:rStyle w:val="FootnoteReference"/>
          <w:rFonts w:ascii="Times New Roman" w:hAnsi="Times New Roman" w:cs="Times New Roman"/>
        </w:rPr>
        <w:footnoteReference w:id="105"/>
      </w:r>
      <w:r w:rsidRPr="00570413">
        <w:rPr>
          <w:rFonts w:ascii="Times New Roman" w:hAnsi="Times New Roman" w:cs="Times New Roman"/>
        </w:rPr>
        <w:t xml:space="preserve"> This was proof in front of the whole of France that feminine influence, even spending too much time with a woman, or engaging in sexual activity outside of accepted norms of martial bonds, could physically damage a person’s manhood. Marie Antoinette was, in the context of revolutionary French gender politics, sickening the body politic with her influence and with her sex, in the same way as salon women who made men more effeminized</w:t>
      </w:r>
      <w:r w:rsidR="007954FF">
        <w:rPr>
          <w:rFonts w:ascii="Times New Roman" w:hAnsi="Times New Roman" w:cs="Times New Roman"/>
        </w:rPr>
        <w:t>,</w:t>
      </w:r>
      <w:r w:rsidRPr="00570413">
        <w:rPr>
          <w:rFonts w:ascii="Times New Roman" w:hAnsi="Times New Roman" w:cs="Times New Roman"/>
        </w:rPr>
        <w:t xml:space="preserve"> and as supposed loose-women who engaged in sex outside of marital bonds. Marie Antoinette contained in her public image all the sins of the various types of women categorized in the revolution.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While Charlotte Corday was both de gendered and </w:t>
      </w:r>
      <w:r w:rsidR="001F05FB" w:rsidRPr="00570413">
        <w:rPr>
          <w:rFonts w:ascii="Times New Roman" w:hAnsi="Times New Roman" w:cs="Times New Roman"/>
        </w:rPr>
        <w:t>male</w:t>
      </w:r>
      <w:r w:rsidRPr="00570413">
        <w:rPr>
          <w:rFonts w:ascii="Times New Roman" w:hAnsi="Times New Roman" w:cs="Times New Roman"/>
        </w:rPr>
        <w:t xml:space="preserve"> gendered as a woman, Marie Antoinette was understood to be more man than woman. Contemporaries, namely writer Louise de Keralio, believed that simply by being the queen, a job that was intrinsically tied to political engagement, made the queen a man.</w:t>
      </w:r>
      <w:r w:rsidRPr="00570413">
        <w:rPr>
          <w:rStyle w:val="FootnoteReference"/>
          <w:rFonts w:ascii="Times New Roman" w:hAnsi="Times New Roman" w:cs="Times New Roman"/>
        </w:rPr>
        <w:footnoteReference w:id="106"/>
      </w:r>
      <w:r w:rsidRPr="00570413">
        <w:rPr>
          <w:rFonts w:ascii="Times New Roman" w:hAnsi="Times New Roman" w:cs="Times New Roman"/>
        </w:rPr>
        <w:t xml:space="preserve"> In her marriage to Louis XVI, they were not acting as the basis of French society as a married pair of man and woman, and instead were a married pair of a man who was more woman and a woman who was more man. In the words of the Deputy Jean-</w:t>
      </w:r>
      <w:r w:rsidRPr="00570413">
        <w:rPr>
          <w:rFonts w:ascii="Times New Roman" w:hAnsi="Times New Roman" w:cs="Times New Roman"/>
        </w:rPr>
        <w:lastRenderedPageBreak/>
        <w:t>Baptiste Amar, the social order of France depended on gender difference, and more than that was dependent on the women engaging in the work she was granted inside the home.</w:t>
      </w:r>
      <w:r w:rsidRPr="00570413">
        <w:rPr>
          <w:rStyle w:val="FootnoteReference"/>
          <w:rFonts w:ascii="Times New Roman" w:hAnsi="Times New Roman" w:cs="Times New Roman"/>
        </w:rPr>
        <w:footnoteReference w:id="107"/>
      </w:r>
      <w:r w:rsidRPr="00570413">
        <w:rPr>
          <w:rFonts w:ascii="Times New Roman" w:hAnsi="Times New Roman" w:cs="Times New Roman"/>
        </w:rPr>
        <w:t xml:space="preserve"> The Queen was in every sense not simply a woman or a man or lacking in gender like Corday was by contemporaries after her assassination of Marat, but rather both woman and man at the same time, and this lack of separation of sexes was inherently considered to be dangerous to the body politic that depended on gendered differences. </w:t>
      </w:r>
      <w:r w:rsidR="001F05FB" w:rsidRPr="00570413">
        <w:rPr>
          <w:rFonts w:ascii="Times New Roman" w:hAnsi="Times New Roman" w:cs="Times New Roman"/>
        </w:rPr>
        <w:t xml:space="preserve">So while Corday and Antoinette had gendered concepts applied to them because of their active role in the body politic and </w:t>
      </w:r>
      <w:r w:rsidR="00282DF4" w:rsidRPr="00570413">
        <w:rPr>
          <w:rFonts w:ascii="Times New Roman" w:hAnsi="Times New Roman" w:cs="Times New Roman"/>
        </w:rPr>
        <w:t xml:space="preserve">in practicing dissimulation, some women instead hid their womanhood as a means of engaging in society without being critiqued for it on the grounds of their sex.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Madame Roland, like many politically active French women of the time, was a student of Rousseau’s writing and the republican ideals he set forth.</w:t>
      </w:r>
      <w:r w:rsidRPr="00570413">
        <w:rPr>
          <w:rStyle w:val="FootnoteReference"/>
          <w:rFonts w:ascii="Times New Roman" w:hAnsi="Times New Roman" w:cs="Times New Roman"/>
        </w:rPr>
        <w:footnoteReference w:id="108"/>
      </w:r>
      <w:r w:rsidRPr="00570413">
        <w:rPr>
          <w:rFonts w:ascii="Times New Roman" w:hAnsi="Times New Roman" w:cs="Times New Roman"/>
        </w:rPr>
        <w:t xml:space="preserve"> Like de Gouge who will be discussed later, she was distinctly Rousseauian in her philosophy, although her womanhood, which was supposedly bound in the private sphere, challenged Rousseau’s own assertion that he believed women should not be literate at all.</w:t>
      </w:r>
      <w:r w:rsidRPr="00570413">
        <w:rPr>
          <w:rStyle w:val="FootnoteReference"/>
          <w:rFonts w:ascii="Times New Roman" w:hAnsi="Times New Roman" w:cs="Times New Roman"/>
        </w:rPr>
        <w:footnoteReference w:id="109"/>
      </w:r>
      <w:r w:rsidRPr="00570413">
        <w:rPr>
          <w:rFonts w:ascii="Times New Roman" w:hAnsi="Times New Roman" w:cs="Times New Roman"/>
        </w:rPr>
        <w:t xml:space="preserve"> To work within this framework, Madame Roland entered the public sphere through ghostwriting the work of many men including her own husband, only writing under her own name once she was imprisoned in Paris under the Jacobin convention.</w:t>
      </w:r>
      <w:r w:rsidRPr="00570413">
        <w:rPr>
          <w:rStyle w:val="FootnoteReference"/>
          <w:rFonts w:ascii="Times New Roman" w:hAnsi="Times New Roman" w:cs="Times New Roman"/>
        </w:rPr>
        <w:footnoteReference w:id="110"/>
      </w:r>
      <w:r w:rsidRPr="00570413">
        <w:rPr>
          <w:rFonts w:ascii="Times New Roman" w:hAnsi="Times New Roman" w:cs="Times New Roman"/>
        </w:rPr>
        <w:t xml:space="preserve"> This was her understanding of the framework of Rousseauian gender politics, in that so long as she entered the Republic of Letters under only male names, it would not be considered unvirtuous of her. She was able to contribute to the very literal concept of the body politic without inserting herself in a female body. Unlike Corday and Antoinette who were </w:t>
      </w:r>
      <w:r w:rsidRPr="00570413">
        <w:rPr>
          <w:rFonts w:ascii="Times New Roman" w:hAnsi="Times New Roman" w:cs="Times New Roman"/>
        </w:rPr>
        <w:lastRenderedPageBreak/>
        <w:t xml:space="preserve">subsequently gendered and de-gendered and re-gendered over and over again, Roland was gendering herself male to work within the confines of the society she lived in.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Unfortunately for Roland, this was her practicing the dissimulation that terrified Rousseau so deeply. She in fact, seemed to really struggle with her identity as a woman, and in one of her most heartbreaking texts wrote that she “needed another soul, another sex, another century.”</w:t>
      </w:r>
      <w:r w:rsidRPr="00570413">
        <w:rPr>
          <w:rStyle w:val="FootnoteReference"/>
          <w:rFonts w:ascii="Times New Roman" w:hAnsi="Times New Roman" w:cs="Times New Roman"/>
        </w:rPr>
        <w:footnoteReference w:id="111"/>
      </w:r>
      <w:r w:rsidRPr="00570413">
        <w:rPr>
          <w:rFonts w:ascii="Times New Roman" w:hAnsi="Times New Roman" w:cs="Times New Roman"/>
        </w:rPr>
        <w:t xml:space="preserve"> She understood that the liberty that she constructed through a Rousseauian lens was not a liberty afforded to her, though she described feeling like a republican in many ways, including in a love of France so strong she was prepared to die for it. In her hearing she said that the men of the convention deemed her “worthy to share the fate of the great men” who were also guillotined, so that even in her gravest moments facing imminent death, she did not feel her womanhood or people’s perceptions of her womanhood fit inside her understanding of the world or the hypocrisy of not only France’s gender politics, but her own gender politics.</w:t>
      </w:r>
      <w:r w:rsidRPr="00570413">
        <w:rPr>
          <w:rStyle w:val="FootnoteReference"/>
          <w:rFonts w:ascii="Times New Roman" w:hAnsi="Times New Roman" w:cs="Times New Roman"/>
        </w:rPr>
        <w:footnoteReference w:id="112"/>
      </w:r>
      <w:r w:rsidRPr="00570413">
        <w:rPr>
          <w:rFonts w:ascii="Times New Roman" w:hAnsi="Times New Roman" w:cs="Times New Roman"/>
        </w:rPr>
        <w:t xml:space="preserve"> This was one of the biggest problems facing women who wanted to engage in politics in revolutionary France, who wanted to contribute to the body politic but who knew their body was not considered to be utilized within society in that way. She was not meant to be an active </w:t>
      </w:r>
      <w:r w:rsidR="00686971" w:rsidRPr="00570413">
        <w:rPr>
          <w:rFonts w:ascii="Times New Roman" w:hAnsi="Times New Roman" w:cs="Times New Roman"/>
        </w:rPr>
        <w:t xml:space="preserve">member of the French Revolution. </w:t>
      </w:r>
      <w:r w:rsidR="00282DF4" w:rsidRPr="00570413">
        <w:rPr>
          <w:rFonts w:ascii="Times New Roman" w:hAnsi="Times New Roman" w:cs="Times New Roman"/>
        </w:rPr>
        <w:t>However, i</w:t>
      </w:r>
      <w:r w:rsidR="00686971" w:rsidRPr="00570413">
        <w:rPr>
          <w:rFonts w:ascii="Times New Roman" w:hAnsi="Times New Roman" w:cs="Times New Roman"/>
        </w:rPr>
        <w:t>t should also be noted that in the same passage she discusses wanting to find another century, she compares her subjugation to that of “animals from burning Africa” in reference to the slave trade present at the time.</w:t>
      </w:r>
      <w:r w:rsidR="00686971" w:rsidRPr="00570413">
        <w:rPr>
          <w:rStyle w:val="FootnoteReference"/>
          <w:rFonts w:ascii="Times New Roman" w:hAnsi="Times New Roman" w:cs="Times New Roman"/>
        </w:rPr>
        <w:footnoteReference w:id="113"/>
      </w:r>
      <w:r w:rsidR="00686971" w:rsidRPr="00570413">
        <w:rPr>
          <w:rFonts w:ascii="Times New Roman" w:hAnsi="Times New Roman" w:cs="Times New Roman"/>
        </w:rPr>
        <w:t xml:space="preserve"> Again though race and colonialism lay outside of the scope of this thesis, it is important to note that </w:t>
      </w:r>
      <w:r w:rsidR="0078341F" w:rsidRPr="00570413">
        <w:rPr>
          <w:rFonts w:ascii="Times New Roman" w:hAnsi="Times New Roman" w:cs="Times New Roman"/>
        </w:rPr>
        <w:t xml:space="preserve">she did genuinely believe in her subjugation as comparable to people from Africa being forcibly removed from their homes and placed into a society that views them as less than. This comment does however </w:t>
      </w:r>
      <w:r w:rsidR="0078341F" w:rsidRPr="00570413">
        <w:rPr>
          <w:rFonts w:ascii="Times New Roman" w:hAnsi="Times New Roman" w:cs="Times New Roman"/>
        </w:rPr>
        <w:lastRenderedPageBreak/>
        <w:t xml:space="preserve">speak even further to her viewing her construction of her own womanhood as foreign to that of the society she lived in.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De Gouges also fit in this peculiar space for feminist women of the time. She stressed the importance of difference between the sexes on the basis that these differences did not assert themselves as unequal, working within a framework of the “natural” divisions of the sexes that was the basis for French society and the very important concept of the body politic.</w:t>
      </w:r>
      <w:r w:rsidR="007A7576">
        <w:rPr>
          <w:rStyle w:val="FootnoteReference"/>
          <w:rFonts w:ascii="Times New Roman" w:hAnsi="Times New Roman" w:cs="Times New Roman"/>
        </w:rPr>
        <w:footnoteReference w:id="114"/>
      </w:r>
      <w:r w:rsidRPr="00570413">
        <w:rPr>
          <w:rFonts w:ascii="Times New Roman" w:hAnsi="Times New Roman" w:cs="Times New Roman"/>
        </w:rPr>
        <w:t xml:space="preserve"> Instead of using this division of the sexes as a way to justify the exclusion of women from revolutionary politics, she instead used it as a reason for understanding why women have specific needs that should have been addressed, most clearly seen in simply the title of her </w:t>
      </w:r>
      <w:r w:rsidRPr="00570413">
        <w:rPr>
          <w:rFonts w:ascii="Times New Roman" w:hAnsi="Times New Roman" w:cs="Times New Roman"/>
          <w:i/>
        </w:rPr>
        <w:t>Declarations of the Rights of Woman</w:t>
      </w:r>
      <w:r w:rsidRPr="00570413">
        <w:rPr>
          <w:rFonts w:ascii="Times New Roman" w:hAnsi="Times New Roman" w:cs="Times New Roman"/>
        </w:rPr>
        <w:t>.</w:t>
      </w:r>
      <w:r w:rsidR="007A7576">
        <w:rPr>
          <w:rStyle w:val="FootnoteReference"/>
          <w:rFonts w:ascii="Times New Roman" w:hAnsi="Times New Roman" w:cs="Times New Roman"/>
        </w:rPr>
        <w:footnoteReference w:id="115"/>
      </w:r>
      <w:r w:rsidR="0078341F" w:rsidRPr="00570413">
        <w:rPr>
          <w:rFonts w:ascii="Times New Roman" w:hAnsi="Times New Roman" w:cs="Times New Roman"/>
        </w:rPr>
        <w:t xml:space="preserve"> </w:t>
      </w:r>
      <w:r w:rsidRPr="00570413">
        <w:rPr>
          <w:rFonts w:ascii="Times New Roman" w:hAnsi="Times New Roman" w:cs="Times New Roman"/>
        </w:rPr>
        <w:t>She also directly engaged with some ideas raised by important thinkers of the time like Rousseau, who had a view of marriage in which women were tyrannical in their control of the home.</w:t>
      </w:r>
      <w:r w:rsidRPr="00570413">
        <w:rPr>
          <w:rStyle w:val="FootnoteReference"/>
          <w:rFonts w:ascii="Times New Roman" w:hAnsi="Times New Roman" w:cs="Times New Roman"/>
        </w:rPr>
        <w:footnoteReference w:id="116"/>
      </w:r>
      <w:r w:rsidRPr="00570413">
        <w:rPr>
          <w:rFonts w:ascii="Times New Roman" w:hAnsi="Times New Roman" w:cs="Times New Roman"/>
        </w:rPr>
        <w:t xml:space="preserve"> Instead of arguing that women have control in the home she argued that male tyranny in the home led women to be forced into manipulating their husbands therefore sickening the body politic.</w:t>
      </w:r>
      <w:r w:rsidR="007A7576">
        <w:rPr>
          <w:rStyle w:val="FootnoteReference"/>
          <w:rFonts w:ascii="Times New Roman" w:hAnsi="Times New Roman" w:cs="Times New Roman"/>
        </w:rPr>
        <w:footnoteReference w:id="117"/>
      </w:r>
      <w:r w:rsidRPr="00570413">
        <w:rPr>
          <w:rFonts w:ascii="Times New Roman" w:hAnsi="Times New Roman" w:cs="Times New Roman"/>
        </w:rPr>
        <w:t xml:space="preserve"> She worked within this framework of power dynamics between the sexes to assert that, while she agreed with Rousseau’s classification of these dynamics being important to the very foundation of French society, he actually failed to see how this system could promote male tyranny.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She also challenged the idea of universality that was so paramount to enlightenment thinking in arguing that universality was often people trying to parade their personal interests as an all-inclusive experience of the world.</w:t>
      </w:r>
      <w:r w:rsidR="007A7576">
        <w:rPr>
          <w:rStyle w:val="FootnoteReference"/>
          <w:rFonts w:ascii="Times New Roman" w:hAnsi="Times New Roman" w:cs="Times New Roman"/>
        </w:rPr>
        <w:footnoteReference w:id="118"/>
      </w:r>
      <w:r w:rsidRPr="00570413">
        <w:rPr>
          <w:rFonts w:ascii="Times New Roman" w:hAnsi="Times New Roman" w:cs="Times New Roman"/>
        </w:rPr>
        <w:t xml:space="preserve"> This ties into not only her ideas about feminism </w:t>
      </w:r>
      <w:r w:rsidRPr="00570413">
        <w:rPr>
          <w:rFonts w:ascii="Times New Roman" w:hAnsi="Times New Roman" w:cs="Times New Roman"/>
        </w:rPr>
        <w:lastRenderedPageBreak/>
        <w:t>discussed in this chapter, but also her views on race in which she did not agree with many enlightenment thinkers in classifying slavery as natural.</w:t>
      </w:r>
      <w:r w:rsidR="007A7576">
        <w:rPr>
          <w:rStyle w:val="FootnoteReference"/>
          <w:rFonts w:ascii="Times New Roman" w:hAnsi="Times New Roman" w:cs="Times New Roman"/>
        </w:rPr>
        <w:footnoteReference w:id="119"/>
      </w:r>
      <w:r w:rsidRPr="00570413">
        <w:rPr>
          <w:rFonts w:ascii="Times New Roman" w:hAnsi="Times New Roman" w:cs="Times New Roman"/>
        </w:rPr>
        <w:t xml:space="preserve"> She understood the enlightenment ideal of embodied rights as not being exclusive to only certain bodies. To her rights were inscribed on all bodies, including women and people of color.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Also important to note that de Gouges has been record saying that she felt there was a lot of distance she was very aware of between who she was as a woman and the category of woman she was allowed to take up.</w:t>
      </w:r>
      <w:r w:rsidR="007A7576">
        <w:rPr>
          <w:rStyle w:val="FootnoteReference"/>
          <w:rFonts w:ascii="Times New Roman" w:hAnsi="Times New Roman" w:cs="Times New Roman"/>
        </w:rPr>
        <w:footnoteReference w:id="120"/>
      </w:r>
      <w:r w:rsidRPr="00570413">
        <w:rPr>
          <w:rFonts w:ascii="Times New Roman" w:hAnsi="Times New Roman" w:cs="Times New Roman"/>
        </w:rPr>
        <w:t xml:space="preserve"> </w:t>
      </w:r>
      <w:r w:rsidR="008E2578" w:rsidRPr="00570413">
        <w:rPr>
          <w:rFonts w:ascii="Times New Roman" w:hAnsi="Times New Roman" w:cs="Times New Roman"/>
        </w:rPr>
        <w:t xml:space="preserve">In her </w:t>
      </w:r>
      <w:r w:rsidR="008E2578" w:rsidRPr="00570413">
        <w:rPr>
          <w:rFonts w:ascii="Times New Roman" w:hAnsi="Times New Roman" w:cs="Times New Roman"/>
          <w:i/>
        </w:rPr>
        <w:t>Declarations</w:t>
      </w:r>
      <w:r w:rsidR="008234B8" w:rsidRPr="00570413">
        <w:rPr>
          <w:rFonts w:ascii="Times New Roman" w:hAnsi="Times New Roman" w:cs="Times New Roman"/>
        </w:rPr>
        <w:t xml:space="preserve"> she condemns man’s desire to “feign to rejoice the revolution,” while also not applying the main </w:t>
      </w:r>
      <w:r w:rsidR="008234B8" w:rsidRPr="007954FF">
        <w:rPr>
          <w:rFonts w:ascii="Times New Roman" w:hAnsi="Times New Roman" w:cs="Times New Roman"/>
        </w:rPr>
        <w:t>Revolutionary ten</w:t>
      </w:r>
      <w:r w:rsidR="007954FF" w:rsidRPr="007954FF">
        <w:rPr>
          <w:rFonts w:ascii="Times New Roman" w:hAnsi="Times New Roman" w:cs="Times New Roman"/>
        </w:rPr>
        <w:t>e</w:t>
      </w:r>
      <w:r w:rsidR="008234B8" w:rsidRPr="007954FF">
        <w:rPr>
          <w:rFonts w:ascii="Times New Roman" w:hAnsi="Times New Roman" w:cs="Times New Roman"/>
        </w:rPr>
        <w:t>ts</w:t>
      </w:r>
      <w:r w:rsidR="008234B8" w:rsidRPr="00570413">
        <w:rPr>
          <w:rFonts w:ascii="Times New Roman" w:hAnsi="Times New Roman" w:cs="Times New Roman"/>
        </w:rPr>
        <w:t xml:space="preserve"> of the now famous French national motto to everyone in France, including women.</w:t>
      </w:r>
      <w:r w:rsidR="007A7576">
        <w:rPr>
          <w:rStyle w:val="FootnoteReference"/>
          <w:rFonts w:ascii="Times New Roman" w:hAnsi="Times New Roman" w:cs="Times New Roman"/>
        </w:rPr>
        <w:footnoteReference w:id="121"/>
      </w:r>
      <w:r w:rsidR="008234B8" w:rsidRPr="00570413">
        <w:rPr>
          <w:rFonts w:ascii="Times New Roman" w:hAnsi="Times New Roman" w:cs="Times New Roman"/>
        </w:rPr>
        <w:t xml:space="preserve"> In this she attacks male revolutionaries for not only not being good revolutionaries, but for practicing the dissimulation women were associated with through Rousseau’s writing on gender. So not only did certain women feel that the categories of womanhood</w:t>
      </w:r>
      <w:r w:rsidR="009F4530" w:rsidRPr="00570413">
        <w:rPr>
          <w:rFonts w:ascii="Times New Roman" w:hAnsi="Times New Roman" w:cs="Times New Roman"/>
        </w:rPr>
        <w:t xml:space="preserve"> did not fit themselves, they consistently used those same negative categorizations, specifically dissimulation, as a means by which to critique male revolutionaries.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Madame Roland also obviously struggled with how her womanhood fit within the confines of republican France. This may seem more unimportant at first glance but in arguing about how conceptions of womanhood define conceptions of feminism, it should be kept in mind that women were aware of this in some cases, or at least in de Gouge and Roland’s cases they were aware of this. This can inform how we as historians and gender scholars think about constructions of feminism, in understanding that while on the surface level it would seem that de Gouge and Roland as feminist thinkers of their time engaged with deeply anti-feminist </w:t>
      </w:r>
      <w:r w:rsidRPr="00570413">
        <w:rPr>
          <w:rFonts w:ascii="Times New Roman" w:hAnsi="Times New Roman" w:cs="Times New Roman"/>
        </w:rPr>
        <w:lastRenderedPageBreak/>
        <w:t xml:space="preserve">philosophies, that they knew this framework was what they were granted and the only thing they could do was try to work within it.  </w:t>
      </w:r>
    </w:p>
    <w:p w:rsidR="00B36C75" w:rsidRPr="00570413" w:rsidRDefault="00B36C75" w:rsidP="00FE6613">
      <w:pPr>
        <w:spacing w:line="480" w:lineRule="auto"/>
        <w:ind w:firstLine="720"/>
        <w:rPr>
          <w:rFonts w:ascii="Times New Roman" w:hAnsi="Times New Roman" w:cs="Times New Roman"/>
        </w:rPr>
      </w:pPr>
      <w:r w:rsidRPr="00570413">
        <w:rPr>
          <w:rFonts w:ascii="Times New Roman" w:hAnsi="Times New Roman" w:cs="Times New Roman"/>
        </w:rPr>
        <w:t xml:space="preserve">In de Gouge’s </w:t>
      </w:r>
      <w:r w:rsidRPr="00570413">
        <w:rPr>
          <w:rFonts w:ascii="Times New Roman" w:hAnsi="Times New Roman" w:cs="Times New Roman"/>
          <w:i/>
        </w:rPr>
        <w:t>Les</w:t>
      </w:r>
      <w:r w:rsidRPr="00570413">
        <w:rPr>
          <w:rFonts w:ascii="Times New Roman" w:hAnsi="Times New Roman" w:cs="Times New Roman"/>
        </w:rPr>
        <w:t xml:space="preserve"> </w:t>
      </w:r>
      <w:r w:rsidRPr="00570413">
        <w:rPr>
          <w:rFonts w:ascii="Times New Roman" w:hAnsi="Times New Roman" w:cs="Times New Roman"/>
          <w:i/>
        </w:rPr>
        <w:t>Droits de la Femme a la Reine</w:t>
      </w:r>
      <w:r w:rsidRPr="00570413">
        <w:rPr>
          <w:rFonts w:ascii="Times New Roman" w:hAnsi="Times New Roman" w:cs="Times New Roman"/>
        </w:rPr>
        <w:t xml:space="preserve"> she says in her opening address to Marie Antoinette that for her, the revolution could “only be complete when all women [were] aware of their deplorable fate.”</w:t>
      </w:r>
      <w:r w:rsidRPr="00570413">
        <w:rPr>
          <w:rStyle w:val="FootnoteReference"/>
          <w:rFonts w:ascii="Times New Roman" w:hAnsi="Times New Roman" w:cs="Times New Roman"/>
        </w:rPr>
        <w:footnoteReference w:id="122"/>
      </w:r>
      <w:r w:rsidRPr="00570413">
        <w:rPr>
          <w:rFonts w:ascii="Times New Roman" w:hAnsi="Times New Roman" w:cs="Times New Roman"/>
        </w:rPr>
        <w:t xml:space="preserve"> For de Gouge, this understanding of women’s ability to see the distance between the women they perceived themselves to be and the women society wanted them to be was integral to her philosophy and to the revolution itself. Of course, this meant her ideas of the goals of the revolution were different from the Jacobin club and even the Girondins club of whom she was a member. Whereas for them the revolution was meant to apply all the concepts of the enlightenment to French Society, de Gouges saw the hypocrisies of those principles of reason and logic, hoping instead to use enlightenment thinking to dismantle those principles from the inside while also espousing them herself. The French Revolution for French feminists was meant to be an exploration and then rejection of the gendered principles of the enlightenment, and therefore an eventual rejection of the enlightenment itself.</w:t>
      </w:r>
    </w:p>
    <w:p w:rsidR="00282DF4" w:rsidRPr="00570413" w:rsidRDefault="00282DF4" w:rsidP="00FE6613">
      <w:pPr>
        <w:spacing w:line="480" w:lineRule="auto"/>
        <w:ind w:firstLine="720"/>
        <w:rPr>
          <w:rFonts w:ascii="Times New Roman" w:hAnsi="Times New Roman" w:cs="Times New Roman"/>
        </w:rPr>
      </w:pPr>
      <w:r w:rsidRPr="00570413">
        <w:rPr>
          <w:rFonts w:ascii="Times New Roman" w:hAnsi="Times New Roman" w:cs="Times New Roman"/>
        </w:rPr>
        <w:t xml:space="preserve">French </w:t>
      </w:r>
      <w:r w:rsidR="007954FF">
        <w:rPr>
          <w:rFonts w:ascii="Times New Roman" w:hAnsi="Times New Roman" w:cs="Times New Roman"/>
        </w:rPr>
        <w:t>w</w:t>
      </w:r>
      <w:r w:rsidRPr="00570413">
        <w:rPr>
          <w:rFonts w:ascii="Times New Roman" w:hAnsi="Times New Roman" w:cs="Times New Roman"/>
        </w:rPr>
        <w:t xml:space="preserve">omen’s political engagement in the French Revolution has long been understood as a </w:t>
      </w:r>
      <w:r w:rsidR="00AC6884" w:rsidRPr="00570413">
        <w:rPr>
          <w:rFonts w:ascii="Times New Roman" w:hAnsi="Times New Roman" w:cs="Times New Roman"/>
        </w:rPr>
        <w:t>dichotomy between active and passive citizenship. Through the important work by some historians hoping to open up a more nuanced understanding of gender in the French Revolution, it appears that active and passive participation in the Revolution was less of a concern tha</w:t>
      </w:r>
      <w:r w:rsidR="007954FF">
        <w:rPr>
          <w:rFonts w:ascii="Times New Roman" w:hAnsi="Times New Roman" w:cs="Times New Roman"/>
        </w:rPr>
        <w:t>n</w:t>
      </w:r>
      <w:r w:rsidR="00AC6884" w:rsidRPr="00570413">
        <w:rPr>
          <w:rFonts w:ascii="Times New Roman" w:hAnsi="Times New Roman" w:cs="Times New Roman"/>
        </w:rPr>
        <w:t xml:space="preserve"> active and passive participation in the violence of the Revolution. </w:t>
      </w:r>
      <w:r w:rsidR="00695DD2" w:rsidRPr="00570413">
        <w:rPr>
          <w:rFonts w:ascii="Times New Roman" w:hAnsi="Times New Roman" w:cs="Times New Roman"/>
        </w:rPr>
        <w:t xml:space="preserve">Strangely, in explaining this violent participation, gender had to be discussed as something flexible to continue to enforce the rigid conceptions of manhood and womanhood as defined by Rousseau and other intellectuals who inspired the French Revolution. </w:t>
      </w:r>
      <w:r w:rsidR="00AC6884" w:rsidRPr="00570413">
        <w:rPr>
          <w:rFonts w:ascii="Times New Roman" w:hAnsi="Times New Roman" w:cs="Times New Roman"/>
        </w:rPr>
        <w:t xml:space="preserve">And while many women were criticized for being engaged in </w:t>
      </w:r>
      <w:r w:rsidR="00AC6884" w:rsidRPr="00570413">
        <w:rPr>
          <w:rFonts w:ascii="Times New Roman" w:hAnsi="Times New Roman" w:cs="Times New Roman"/>
        </w:rPr>
        <w:lastRenderedPageBreak/>
        <w:t xml:space="preserve">politics, even before the Revolution, this seemed to have much more relation to the Rousseauian ideal of women’s inherent ability to dissimulate than dichotomized concepts of citizenry. </w:t>
      </w:r>
      <w:r w:rsidR="00695DD2" w:rsidRPr="00570413">
        <w:rPr>
          <w:rFonts w:ascii="Times New Roman" w:hAnsi="Times New Roman" w:cs="Times New Roman"/>
        </w:rPr>
        <w:t xml:space="preserve">For women wanting to alter the landscape of French gender politics during the Revolution, specifically for Olympe de Gouges, women needed </w:t>
      </w:r>
      <w:r w:rsidR="00877660" w:rsidRPr="00570413">
        <w:rPr>
          <w:rFonts w:ascii="Times New Roman" w:hAnsi="Times New Roman" w:cs="Times New Roman"/>
        </w:rPr>
        <w:t>to</w:t>
      </w:r>
      <w:r w:rsidR="00695DD2" w:rsidRPr="00570413">
        <w:rPr>
          <w:rFonts w:ascii="Times New Roman" w:hAnsi="Times New Roman" w:cs="Times New Roman"/>
        </w:rPr>
        <w:t xml:space="preserve"> understand the ways that enlightenment theories that influenced the Revolution</w:t>
      </w:r>
      <w:r w:rsidR="00877660" w:rsidRPr="00570413">
        <w:rPr>
          <w:rFonts w:ascii="Times New Roman" w:hAnsi="Times New Roman" w:cs="Times New Roman"/>
        </w:rPr>
        <w:t xml:space="preserve">, considered the subjugation of women to be logical and natural. In categorizing gender as natural and binary, the revolution needed gender to also be flexible as a means of enforcing that rigidity. </w:t>
      </w: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877660" w:rsidRPr="00570413" w:rsidRDefault="00877660" w:rsidP="00FE6613">
      <w:pPr>
        <w:spacing w:line="480" w:lineRule="auto"/>
        <w:ind w:firstLine="720"/>
        <w:rPr>
          <w:rFonts w:ascii="Times New Roman" w:hAnsi="Times New Roman" w:cs="Times New Roman"/>
        </w:rPr>
      </w:pPr>
    </w:p>
    <w:p w:rsidR="00B36C75" w:rsidRPr="00570413" w:rsidRDefault="00B36C75" w:rsidP="00B36C75">
      <w:pPr>
        <w:spacing w:line="480" w:lineRule="auto"/>
        <w:rPr>
          <w:rFonts w:ascii="Times New Roman" w:hAnsi="Times New Roman" w:cs="Times New Roman"/>
        </w:rPr>
      </w:pPr>
    </w:p>
    <w:p w:rsidR="00B36C75" w:rsidRPr="00570413" w:rsidRDefault="007954FF" w:rsidP="00B36C75">
      <w:pPr>
        <w:spacing w:line="480" w:lineRule="auto"/>
        <w:jc w:val="center"/>
        <w:rPr>
          <w:rFonts w:ascii="Times New Roman" w:hAnsi="Times New Roman" w:cs="Times New Roman"/>
          <w:b/>
        </w:rPr>
      </w:pPr>
      <w:r>
        <w:rPr>
          <w:rFonts w:ascii="Times New Roman" w:hAnsi="Times New Roman" w:cs="Times New Roman"/>
          <w:b/>
        </w:rPr>
        <w:lastRenderedPageBreak/>
        <w:t xml:space="preserve">Chapter 3: </w:t>
      </w:r>
      <w:r w:rsidR="00B36C75" w:rsidRPr="00570413">
        <w:rPr>
          <w:rFonts w:ascii="Times New Roman" w:hAnsi="Times New Roman" w:cs="Times New Roman"/>
          <w:b/>
        </w:rPr>
        <w:t>Constructions of Russian ‘Feminism’ and Women’s Liberation in the Revolutionary Period</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Historian o</w:t>
      </w:r>
      <w:r w:rsidR="007954FF">
        <w:rPr>
          <w:rFonts w:ascii="Times New Roman" w:hAnsi="Times New Roman" w:cs="Times New Roman"/>
        </w:rPr>
        <w:t>f</w:t>
      </w:r>
      <w:r w:rsidRPr="00570413">
        <w:rPr>
          <w:rFonts w:ascii="Times New Roman" w:hAnsi="Times New Roman" w:cs="Times New Roman"/>
        </w:rPr>
        <w:t xml:space="preserve"> gender in Revolutionary Russia, Elizabeth Wood has argued that the history of women and women’s issues in Russia is more about myths of women and womanhood rather than about actual women themselves.</w:t>
      </w:r>
      <w:r w:rsidRPr="00570413">
        <w:rPr>
          <w:rStyle w:val="FootnoteReference"/>
          <w:rFonts w:ascii="Times New Roman" w:hAnsi="Times New Roman" w:cs="Times New Roman"/>
        </w:rPr>
        <w:footnoteReference w:id="123"/>
      </w:r>
      <w:r w:rsidRPr="00570413">
        <w:rPr>
          <w:rFonts w:ascii="Times New Roman" w:hAnsi="Times New Roman" w:cs="Times New Roman"/>
        </w:rPr>
        <w:t xml:space="preserve"> This is to suggest that though much of the history is about actual women themselves, the analysis of the history of these women is based on conceptions of womanhood that were invented by people</w:t>
      </w:r>
      <w:r w:rsidR="007D4759" w:rsidRPr="00570413">
        <w:rPr>
          <w:rFonts w:ascii="Times New Roman" w:hAnsi="Times New Roman" w:cs="Times New Roman"/>
        </w:rPr>
        <w:t>, either men or women</w:t>
      </w:r>
      <w:r w:rsidRPr="00570413">
        <w:rPr>
          <w:rFonts w:ascii="Times New Roman" w:hAnsi="Times New Roman" w:cs="Times New Roman"/>
        </w:rPr>
        <w:t>. Women in revolutionary Russia, broadly understood in this paper to mean from about 1905 to 1917, faced similar issues to feminists in other contemporary women’s movements across Europe, namely that the patriarchal ideals and structures that they wished to change or completely dismantle also bound the work that these women could do.</w:t>
      </w:r>
      <w:r w:rsidR="007A7576">
        <w:rPr>
          <w:rStyle w:val="FootnoteReference"/>
          <w:rFonts w:ascii="Times New Roman" w:hAnsi="Times New Roman" w:cs="Times New Roman"/>
        </w:rPr>
        <w:footnoteReference w:id="124"/>
      </w:r>
      <w:r w:rsidRPr="00570413">
        <w:rPr>
          <w:rFonts w:ascii="Times New Roman" w:hAnsi="Times New Roman" w:cs="Times New Roman"/>
        </w:rPr>
        <w:t xml:space="preserve"> Though Marxist thought in a lot of ways had constructions of women’s subordination in relation to private property, women in Russia were still forced to work within the </w:t>
      </w:r>
      <w:r w:rsidR="00FE6613" w:rsidRPr="00570413">
        <w:rPr>
          <w:rFonts w:ascii="Times New Roman" w:hAnsi="Times New Roman" w:cs="Times New Roman"/>
        </w:rPr>
        <w:t xml:space="preserve">societal gender </w:t>
      </w:r>
      <w:r w:rsidRPr="00570413">
        <w:rPr>
          <w:rFonts w:ascii="Times New Roman" w:hAnsi="Times New Roman" w:cs="Times New Roman"/>
        </w:rPr>
        <w:t>system they wanted to destroy. And though many of the issues they faced were similar to other European women, Russian constructions of ‘feminism’ were very different from their western counterparts, by rejecting the concept understood under the term ‘feminism’ all together.</w:t>
      </w:r>
      <w:r w:rsidR="007A7576">
        <w:rPr>
          <w:rStyle w:val="FootnoteReference"/>
          <w:rFonts w:ascii="Times New Roman" w:hAnsi="Times New Roman" w:cs="Times New Roman"/>
        </w:rPr>
        <w:footnoteReference w:id="125"/>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‘Feminism’ to many Marxist Russian women was a word associated with the indulgences and excess of the west and was defined as a bourgeois concept, incompatible with peasant or working class women.</w:t>
      </w:r>
      <w:r w:rsidRPr="00570413">
        <w:rPr>
          <w:rStyle w:val="FootnoteReference"/>
          <w:rFonts w:ascii="Times New Roman" w:hAnsi="Times New Roman" w:cs="Times New Roman"/>
        </w:rPr>
        <w:footnoteReference w:id="126"/>
      </w:r>
      <w:r w:rsidRPr="00570413">
        <w:rPr>
          <w:rFonts w:ascii="Times New Roman" w:hAnsi="Times New Roman" w:cs="Times New Roman"/>
        </w:rPr>
        <w:t xml:space="preserve"> ‘Feminism’ will therefore be mostly placed in quotes, especially in this chapter, because of their rejection of the term</w:t>
      </w:r>
      <w:r w:rsidR="007954FF">
        <w:rPr>
          <w:rFonts w:ascii="Times New Roman" w:hAnsi="Times New Roman" w:cs="Times New Roman"/>
        </w:rPr>
        <w:t>,</w:t>
      </w:r>
      <w:r w:rsidRPr="00570413">
        <w:rPr>
          <w:rFonts w:ascii="Times New Roman" w:hAnsi="Times New Roman" w:cs="Times New Roman"/>
        </w:rPr>
        <w:t xml:space="preserve"> </w:t>
      </w:r>
      <w:r w:rsidR="007954FF">
        <w:rPr>
          <w:rFonts w:ascii="Times New Roman" w:hAnsi="Times New Roman" w:cs="Times New Roman"/>
        </w:rPr>
        <w:t>a</w:t>
      </w:r>
      <w:r w:rsidR="007954FF" w:rsidRPr="00570413">
        <w:rPr>
          <w:rFonts w:ascii="Times New Roman" w:hAnsi="Times New Roman" w:cs="Times New Roman"/>
        </w:rPr>
        <w:t>lthough</w:t>
      </w:r>
      <w:r w:rsidRPr="00570413">
        <w:rPr>
          <w:rFonts w:ascii="Times New Roman" w:hAnsi="Times New Roman" w:cs="Times New Roman"/>
        </w:rPr>
        <w:t xml:space="preserve"> their actions and desires to reach the goal of women’s liberation are understood to be feminist in nature in the then</w:t>
      </w:r>
      <w:r w:rsidR="007954FF">
        <w:rPr>
          <w:rFonts w:ascii="Times New Roman" w:hAnsi="Times New Roman" w:cs="Times New Roman"/>
        </w:rPr>
        <w:t>-</w:t>
      </w:r>
      <w:r w:rsidRPr="00570413">
        <w:rPr>
          <w:rFonts w:ascii="Times New Roman" w:hAnsi="Times New Roman" w:cs="Times New Roman"/>
        </w:rPr>
        <w:t xml:space="preserve">contemporary west, as </w:t>
      </w:r>
      <w:r w:rsidRPr="00570413">
        <w:rPr>
          <w:rFonts w:ascii="Times New Roman" w:hAnsi="Times New Roman" w:cs="Times New Roman"/>
        </w:rPr>
        <w:lastRenderedPageBreak/>
        <w:t>well as in the west today. This is not to suggest that the women discussed in this chapter used the word ‘feminism’ to describe themselves or their actions and long term goals and is rather being used as a catch all term for shorthand use. ‘Feminism’ simply took on a different form in Russia in the lead up to and during the Russian Revolutions of 1905 and 1917 that had most of its ties to conceptions of class. Mostly the orthodoxy of revolutionaries was that the revolution needed to emancipate people from class based oppression and therefore, women will too be emancipated from gender based oppression.</w:t>
      </w:r>
      <w:r w:rsidR="00933FC9" w:rsidRPr="00570413">
        <w:rPr>
          <w:rStyle w:val="FootnoteReference"/>
          <w:rFonts w:ascii="Times New Roman" w:hAnsi="Times New Roman" w:cs="Times New Roman"/>
        </w:rPr>
        <w:footnoteReference w:id="127"/>
      </w:r>
      <w:r w:rsidRPr="00570413">
        <w:rPr>
          <w:rFonts w:ascii="Times New Roman" w:hAnsi="Times New Roman" w:cs="Times New Roman"/>
        </w:rPr>
        <w:t xml:space="preserve"> Much of this Marxist understanding of women’s liberation was tied to Engels</w:t>
      </w:r>
      <w:r w:rsidR="007954FF">
        <w:rPr>
          <w:rFonts w:ascii="Times New Roman" w:hAnsi="Times New Roman" w:cs="Times New Roman"/>
        </w:rPr>
        <w:t>’</w:t>
      </w:r>
      <w:r w:rsidRPr="00570413">
        <w:rPr>
          <w:rFonts w:ascii="Times New Roman" w:hAnsi="Times New Roman" w:cs="Times New Roman"/>
        </w:rPr>
        <w:t xml:space="preserve"> writing on the family in </w:t>
      </w:r>
      <w:r w:rsidRPr="00570413">
        <w:rPr>
          <w:rFonts w:ascii="Times New Roman" w:hAnsi="Times New Roman" w:cs="Times New Roman"/>
          <w:i/>
        </w:rPr>
        <w:t>Origins of the Family</w:t>
      </w:r>
      <w:r w:rsidR="007954FF">
        <w:rPr>
          <w:rFonts w:ascii="Times New Roman" w:hAnsi="Times New Roman" w:cs="Times New Roman"/>
          <w:i/>
        </w:rPr>
        <w:t>,</w:t>
      </w:r>
      <w:r w:rsidRPr="00570413">
        <w:rPr>
          <w:rFonts w:ascii="Times New Roman" w:hAnsi="Times New Roman" w:cs="Times New Roman"/>
          <w:i/>
        </w:rPr>
        <w:t xml:space="preserve"> </w:t>
      </w:r>
      <w:r w:rsidRPr="00570413">
        <w:rPr>
          <w:rFonts w:ascii="Times New Roman" w:hAnsi="Times New Roman" w:cs="Times New Roman"/>
        </w:rPr>
        <w:t>where private property and capital were the cause for women’s subjugation in the family.</w:t>
      </w:r>
      <w:r w:rsidRPr="00570413">
        <w:rPr>
          <w:rStyle w:val="FootnoteReference"/>
          <w:rFonts w:ascii="Times New Roman" w:hAnsi="Times New Roman" w:cs="Times New Roman"/>
        </w:rPr>
        <w:footnoteReference w:id="128"/>
      </w:r>
      <w:r w:rsidRPr="00570413">
        <w:rPr>
          <w:rFonts w:ascii="Times New Roman" w:hAnsi="Times New Roman" w:cs="Times New Roman"/>
        </w:rPr>
        <w:t xml:space="preserve"> Even further, women’s relation to their husband</w:t>
      </w:r>
      <w:r w:rsidR="007954FF">
        <w:rPr>
          <w:rFonts w:ascii="Times New Roman" w:hAnsi="Times New Roman" w:cs="Times New Roman"/>
        </w:rPr>
        <w:t>s</w:t>
      </w:r>
      <w:r w:rsidRPr="00570413">
        <w:rPr>
          <w:rFonts w:ascii="Times New Roman" w:hAnsi="Times New Roman" w:cs="Times New Roman"/>
        </w:rPr>
        <w:t xml:space="preserve"> in the monogamous paired family was itself a class based relationship.</w:t>
      </w:r>
      <w:r w:rsidR="007A7576">
        <w:rPr>
          <w:rStyle w:val="FootnoteReference"/>
          <w:rFonts w:ascii="Times New Roman" w:hAnsi="Times New Roman" w:cs="Times New Roman"/>
        </w:rPr>
        <w:footnoteReference w:id="129"/>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The women’s movement in Russia was first birthed in the mid to late 1800s when Tsar Aleksandr II was beginning the process of discussion that led to the emancipation of the serfs.</w:t>
      </w:r>
      <w:r w:rsidR="007A7576">
        <w:rPr>
          <w:rStyle w:val="FootnoteReference"/>
          <w:rFonts w:ascii="Times New Roman" w:hAnsi="Times New Roman" w:cs="Times New Roman"/>
        </w:rPr>
        <w:footnoteReference w:id="130"/>
      </w:r>
      <w:r w:rsidRPr="00570413">
        <w:rPr>
          <w:rFonts w:ascii="Times New Roman" w:hAnsi="Times New Roman" w:cs="Times New Roman"/>
        </w:rPr>
        <w:t xml:space="preserve"> This encouragement from the court to discuss the ails of Russian society, led many members of the intelligentsia to start discussing how Russia’s treatment of women was also a great social ail.</w:t>
      </w:r>
      <w:r w:rsidRPr="00570413">
        <w:rPr>
          <w:rStyle w:val="FootnoteReference"/>
          <w:rFonts w:ascii="Times New Roman" w:hAnsi="Times New Roman" w:cs="Times New Roman"/>
        </w:rPr>
        <w:footnoteReference w:id="131"/>
      </w:r>
      <w:r w:rsidRPr="00570413">
        <w:rPr>
          <w:rFonts w:ascii="Times New Roman" w:hAnsi="Times New Roman" w:cs="Times New Roman"/>
        </w:rPr>
        <w:t xml:space="preserve"> By the 1860s the early formation of the Russian ‘feminist’ movement was born, quotations used here not because of Russian Marxist rejection of western feminism, but rather that the word feminism in its modern western usage contains a lot of different nuance tha</w:t>
      </w:r>
      <w:r w:rsidR="007954FF">
        <w:rPr>
          <w:rFonts w:ascii="Times New Roman" w:hAnsi="Times New Roman" w:cs="Times New Roman"/>
        </w:rPr>
        <w:t>t</w:t>
      </w:r>
      <w:r w:rsidRPr="00570413">
        <w:rPr>
          <w:rFonts w:ascii="Times New Roman" w:hAnsi="Times New Roman" w:cs="Times New Roman"/>
        </w:rPr>
        <w:t xml:space="preserve"> does not fully apply to this moment in history.</w:t>
      </w:r>
      <w:r w:rsidRPr="00570413">
        <w:rPr>
          <w:rStyle w:val="FootnoteReference"/>
          <w:rFonts w:ascii="Times New Roman" w:hAnsi="Times New Roman" w:cs="Times New Roman"/>
        </w:rPr>
        <w:footnoteReference w:id="132"/>
      </w:r>
      <w:r w:rsidRPr="00570413">
        <w:rPr>
          <w:rFonts w:ascii="Times New Roman" w:hAnsi="Times New Roman" w:cs="Times New Roman"/>
        </w:rPr>
        <w:t xml:space="preserve"> The early ‘feminist’ movement was more of a recognition among the intelligentsia that women faced oppression and that it needed to be discussed, similar to the </w:t>
      </w:r>
      <w:r w:rsidRPr="00570413">
        <w:rPr>
          <w:rFonts w:ascii="Times New Roman" w:hAnsi="Times New Roman" w:cs="Times New Roman"/>
        </w:rPr>
        <w:lastRenderedPageBreak/>
        <w:t>need to discuss the subjugation of the serfs</w:t>
      </w:r>
      <w:r w:rsidR="00603120" w:rsidRPr="00570413">
        <w:rPr>
          <w:rFonts w:ascii="Times New Roman" w:hAnsi="Times New Roman" w:cs="Times New Roman"/>
        </w:rPr>
        <w:t>.</w:t>
      </w:r>
      <w:r w:rsidR="00603120" w:rsidRPr="00570413">
        <w:rPr>
          <w:rStyle w:val="FootnoteReference"/>
          <w:rFonts w:ascii="Times New Roman" w:hAnsi="Times New Roman" w:cs="Times New Roman"/>
        </w:rPr>
        <w:footnoteReference w:id="133"/>
      </w:r>
      <w:r w:rsidRPr="00570413">
        <w:rPr>
          <w:rFonts w:ascii="Times New Roman" w:hAnsi="Times New Roman" w:cs="Times New Roman"/>
        </w:rPr>
        <w:t xml:space="preserve"> From its infancy, understanding the plights of women in Russia was tied to understanding the plights of people who were financially and economically oppressed. This early connection between economic and gender oppression is reflective in the ‘feminism’ and activism of Russian revolutionary women, obviously also because of the close ideological ties of women’s liberation and the goals of the 1917 Revolution itself.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 xml:space="preserve">While the revolutionary underground in Russia had deep roots stretching </w:t>
      </w:r>
      <w:r w:rsidR="007954FF">
        <w:rPr>
          <w:rFonts w:ascii="Times New Roman" w:hAnsi="Times New Roman" w:cs="Times New Roman"/>
        </w:rPr>
        <w:t>to</w:t>
      </w:r>
      <w:r w:rsidRPr="00570413">
        <w:rPr>
          <w:rFonts w:ascii="Times New Roman" w:hAnsi="Times New Roman" w:cs="Times New Roman"/>
        </w:rPr>
        <w:t xml:space="preserve"> about the mid 1800s, for women, there were</w:t>
      </w:r>
      <w:r w:rsidR="00A87653" w:rsidRPr="00570413">
        <w:rPr>
          <w:rFonts w:ascii="Times New Roman" w:hAnsi="Times New Roman" w:cs="Times New Roman"/>
        </w:rPr>
        <w:t xml:space="preserve"> only a</w:t>
      </w:r>
      <w:r w:rsidRPr="00570413">
        <w:rPr>
          <w:rFonts w:ascii="Times New Roman" w:hAnsi="Times New Roman" w:cs="Times New Roman"/>
        </w:rPr>
        <w:t xml:space="preserve"> few examples of female revolutionaries within the Russian tradition to follow. Sof’ya </w:t>
      </w:r>
      <w:proofErr w:type="spellStart"/>
      <w:r w:rsidRPr="00570413">
        <w:rPr>
          <w:rFonts w:ascii="Times New Roman" w:hAnsi="Times New Roman" w:cs="Times New Roman"/>
        </w:rPr>
        <w:t>L’vovna</w:t>
      </w:r>
      <w:proofErr w:type="spellEnd"/>
      <w:r w:rsidRPr="00570413">
        <w:rPr>
          <w:rFonts w:ascii="Times New Roman" w:hAnsi="Times New Roman" w:cs="Times New Roman"/>
        </w:rPr>
        <w:t xml:space="preserve"> </w:t>
      </w:r>
      <w:proofErr w:type="spellStart"/>
      <w:r w:rsidRPr="00570413">
        <w:rPr>
          <w:rFonts w:ascii="Times New Roman" w:hAnsi="Times New Roman" w:cs="Times New Roman"/>
        </w:rPr>
        <w:t>Perovskaya</w:t>
      </w:r>
      <w:proofErr w:type="spellEnd"/>
      <w:r w:rsidRPr="00570413">
        <w:rPr>
          <w:rFonts w:ascii="Times New Roman" w:hAnsi="Times New Roman" w:cs="Times New Roman"/>
        </w:rPr>
        <w:t xml:space="preserve"> was the sole woman in the group of assassins who actually performed the murder of Tsar Aleksandr II.</w:t>
      </w:r>
      <w:r w:rsidRPr="00570413">
        <w:rPr>
          <w:rStyle w:val="FootnoteReference"/>
          <w:rFonts w:ascii="Times New Roman" w:hAnsi="Times New Roman" w:cs="Times New Roman"/>
        </w:rPr>
        <w:footnoteReference w:id="134"/>
      </w:r>
      <w:r w:rsidRPr="00570413">
        <w:rPr>
          <w:rFonts w:ascii="Times New Roman" w:hAnsi="Times New Roman" w:cs="Times New Roman"/>
        </w:rPr>
        <w:t xml:space="preserve"> Though Vera </w:t>
      </w:r>
      <w:proofErr w:type="spellStart"/>
      <w:r w:rsidRPr="00570413">
        <w:rPr>
          <w:rFonts w:ascii="Times New Roman" w:hAnsi="Times New Roman" w:cs="Times New Roman"/>
        </w:rPr>
        <w:t>Figner</w:t>
      </w:r>
      <w:proofErr w:type="spellEnd"/>
      <w:r w:rsidRPr="00570413">
        <w:rPr>
          <w:rFonts w:ascii="Times New Roman" w:hAnsi="Times New Roman" w:cs="Times New Roman"/>
        </w:rPr>
        <w:t xml:space="preserve"> was a huge part in planning the assassination, as one of the leading members of The People’s Will, the radical group responsible for Aleksandr’s assassination, Sof’ya became something of a martyr among revolutionar</w:t>
      </w:r>
      <w:r w:rsidR="007954FF">
        <w:rPr>
          <w:rFonts w:ascii="Times New Roman" w:hAnsi="Times New Roman" w:cs="Times New Roman"/>
        </w:rPr>
        <w:t>y</w:t>
      </w:r>
      <w:r w:rsidRPr="00570413">
        <w:rPr>
          <w:rFonts w:ascii="Times New Roman" w:hAnsi="Times New Roman" w:cs="Times New Roman"/>
        </w:rPr>
        <w:t xml:space="preserve"> circles following her execution, leading to the state to forgo the executions of later female revolutionary terrorists, and inadvertently building a budding underground community of radical women.</w:t>
      </w:r>
      <w:r w:rsidRPr="00570413">
        <w:rPr>
          <w:rStyle w:val="FootnoteReference"/>
          <w:rFonts w:ascii="Times New Roman" w:hAnsi="Times New Roman" w:cs="Times New Roman"/>
        </w:rPr>
        <w:footnoteReference w:id="135"/>
      </w:r>
      <w:r w:rsidRPr="00570413">
        <w:rPr>
          <w:rStyle w:val="FootnoteReference"/>
          <w:rFonts w:ascii="Times New Roman" w:hAnsi="Times New Roman" w:cs="Times New Roman"/>
        </w:rPr>
        <w:footnoteReference w:id="136"/>
      </w:r>
      <w:r w:rsidRPr="00570413">
        <w:rPr>
          <w:rFonts w:ascii="Times New Roman" w:hAnsi="Times New Roman" w:cs="Times New Roman"/>
        </w:rPr>
        <w:t xml:space="preserve"> </w:t>
      </w:r>
      <w:r w:rsidR="00933FC9" w:rsidRPr="00570413">
        <w:rPr>
          <w:rFonts w:ascii="Times New Roman" w:hAnsi="Times New Roman" w:cs="Times New Roman"/>
        </w:rPr>
        <w:t>The state’s decision to begin commu</w:t>
      </w:r>
      <w:r w:rsidR="009F2B6F" w:rsidRPr="00570413">
        <w:rPr>
          <w:rFonts w:ascii="Times New Roman" w:hAnsi="Times New Roman" w:cs="Times New Roman"/>
        </w:rPr>
        <w:t>ting</w:t>
      </w:r>
      <w:r w:rsidR="00933FC9" w:rsidRPr="00570413">
        <w:rPr>
          <w:rFonts w:ascii="Times New Roman" w:hAnsi="Times New Roman" w:cs="Times New Roman"/>
        </w:rPr>
        <w:t xml:space="preserve"> the sentences of women revolutionaries from execution to lifelong or shorter prison sentences was an aim to stop having a hand in crafting the myths of the revolutionary sacrifice of radical women. </w:t>
      </w:r>
      <w:r w:rsidRPr="00570413">
        <w:rPr>
          <w:rFonts w:ascii="Times New Roman" w:hAnsi="Times New Roman" w:cs="Times New Roman"/>
        </w:rPr>
        <w:t xml:space="preserve">This </w:t>
      </w:r>
      <w:r w:rsidR="00933FC9" w:rsidRPr="00570413">
        <w:rPr>
          <w:rFonts w:ascii="Times New Roman" w:hAnsi="Times New Roman" w:cs="Times New Roman"/>
        </w:rPr>
        <w:t xml:space="preserve">refusal to keep creating martyrs </w:t>
      </w:r>
      <w:r w:rsidRPr="00570413">
        <w:rPr>
          <w:rFonts w:ascii="Times New Roman" w:hAnsi="Times New Roman" w:cs="Times New Roman"/>
        </w:rPr>
        <w:t xml:space="preserve">was particularly the case in 1905 when six different terrorist women of the Socialist Revolutionary party assassinated or attempted to assassinate different government officials who they all felt in some way were cruel to working class people, peasants, and/or </w:t>
      </w:r>
      <w:r w:rsidRPr="00570413">
        <w:rPr>
          <w:rFonts w:ascii="Times New Roman" w:hAnsi="Times New Roman" w:cs="Times New Roman"/>
        </w:rPr>
        <w:lastRenderedPageBreak/>
        <w:t>religious minority groups and needed to be punished.</w:t>
      </w:r>
      <w:r w:rsidRPr="00570413">
        <w:rPr>
          <w:rStyle w:val="FootnoteReference"/>
          <w:rFonts w:ascii="Times New Roman" w:hAnsi="Times New Roman" w:cs="Times New Roman"/>
        </w:rPr>
        <w:footnoteReference w:id="137"/>
      </w:r>
      <w:r w:rsidRPr="00570413">
        <w:rPr>
          <w:rFonts w:ascii="Times New Roman" w:hAnsi="Times New Roman" w:cs="Times New Roman"/>
        </w:rPr>
        <w:t xml:space="preserve"> This group of women was not really widely known to the public</w:t>
      </w:r>
      <w:r w:rsidR="00933FC9" w:rsidRPr="00570413">
        <w:rPr>
          <w:rFonts w:ascii="Times New Roman" w:hAnsi="Times New Roman" w:cs="Times New Roman"/>
        </w:rPr>
        <w:t>, instead mostly known locally as unrelated individual cases.</w:t>
      </w:r>
      <w:r w:rsidRPr="00570413">
        <w:rPr>
          <w:rFonts w:ascii="Times New Roman" w:hAnsi="Times New Roman" w:cs="Times New Roman"/>
        </w:rPr>
        <w:t xml:space="preserve"> </w:t>
      </w:r>
      <w:r w:rsidR="00933FC9" w:rsidRPr="00570413">
        <w:rPr>
          <w:rFonts w:ascii="Times New Roman" w:hAnsi="Times New Roman" w:cs="Times New Roman"/>
        </w:rPr>
        <w:t>B</w:t>
      </w:r>
      <w:r w:rsidRPr="00570413">
        <w:rPr>
          <w:rFonts w:ascii="Times New Roman" w:hAnsi="Times New Roman" w:cs="Times New Roman"/>
        </w:rPr>
        <w:t>ut to the revolutionary underground</w:t>
      </w:r>
      <w:r w:rsidR="00933FC9" w:rsidRPr="00570413">
        <w:rPr>
          <w:rFonts w:ascii="Times New Roman" w:hAnsi="Times New Roman" w:cs="Times New Roman"/>
        </w:rPr>
        <w:t>,</w:t>
      </w:r>
      <w:r w:rsidRPr="00570413">
        <w:rPr>
          <w:rFonts w:ascii="Times New Roman" w:hAnsi="Times New Roman" w:cs="Times New Roman"/>
        </w:rPr>
        <w:t xml:space="preserve"> and particularly to political prisoners who passed through the same prisons as them, they were known as a group of martyrs for the cause, called the Shesterka</w:t>
      </w:r>
      <w:r w:rsidR="009F2B6F" w:rsidRPr="00570413">
        <w:rPr>
          <w:rFonts w:ascii="Times New Roman" w:hAnsi="Times New Roman" w:cs="Times New Roman"/>
        </w:rPr>
        <w:t>, or The Six</w:t>
      </w:r>
      <w:r w:rsidRPr="00570413">
        <w:rPr>
          <w:rFonts w:ascii="Times New Roman" w:hAnsi="Times New Roman" w:cs="Times New Roman"/>
        </w:rPr>
        <w:t>.</w:t>
      </w:r>
      <w:r w:rsidRPr="00570413">
        <w:rPr>
          <w:rStyle w:val="FootnoteReference"/>
          <w:rFonts w:ascii="Times New Roman" w:hAnsi="Times New Roman" w:cs="Times New Roman"/>
        </w:rPr>
        <w:footnoteReference w:id="138"/>
      </w:r>
      <w:r w:rsidRPr="00570413">
        <w:rPr>
          <w:rFonts w:ascii="Times New Roman" w:hAnsi="Times New Roman" w:cs="Times New Roman"/>
        </w:rPr>
        <w:t xml:space="preserve"> </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 xml:space="preserve">The group consisted of </w:t>
      </w:r>
      <w:proofErr w:type="spellStart"/>
      <w:r w:rsidRPr="00570413">
        <w:rPr>
          <w:rFonts w:ascii="Times New Roman" w:hAnsi="Times New Roman" w:cs="Times New Roman"/>
        </w:rPr>
        <w:t>Revekka</w:t>
      </w:r>
      <w:proofErr w:type="spellEnd"/>
      <w:r w:rsidRPr="00570413">
        <w:rPr>
          <w:rFonts w:ascii="Times New Roman" w:hAnsi="Times New Roman" w:cs="Times New Roman"/>
        </w:rPr>
        <w:t xml:space="preserve"> </w:t>
      </w:r>
      <w:proofErr w:type="spellStart"/>
      <w:r w:rsidRPr="00570413">
        <w:rPr>
          <w:rFonts w:ascii="Times New Roman" w:hAnsi="Times New Roman" w:cs="Times New Roman"/>
        </w:rPr>
        <w:t>Moiseevna</w:t>
      </w:r>
      <w:proofErr w:type="spellEnd"/>
      <w:r w:rsidRPr="00570413">
        <w:rPr>
          <w:rFonts w:ascii="Times New Roman" w:hAnsi="Times New Roman" w:cs="Times New Roman"/>
        </w:rPr>
        <w:t xml:space="preserve"> Fialka, Lidiya </w:t>
      </w:r>
      <w:proofErr w:type="spellStart"/>
      <w:r w:rsidRPr="00570413">
        <w:rPr>
          <w:rFonts w:ascii="Times New Roman" w:hAnsi="Times New Roman" w:cs="Times New Roman"/>
        </w:rPr>
        <w:t>Pavlovna</w:t>
      </w:r>
      <w:proofErr w:type="spellEnd"/>
      <w:r w:rsidRPr="00570413">
        <w:rPr>
          <w:rFonts w:ascii="Times New Roman" w:hAnsi="Times New Roman" w:cs="Times New Roman"/>
        </w:rPr>
        <w:t xml:space="preserve"> Ezerskaya, Anastasiya </w:t>
      </w:r>
      <w:proofErr w:type="spellStart"/>
      <w:r w:rsidRPr="00570413">
        <w:rPr>
          <w:rFonts w:ascii="Times New Roman" w:hAnsi="Times New Roman" w:cs="Times New Roman"/>
        </w:rPr>
        <w:t>Alekseevna</w:t>
      </w:r>
      <w:proofErr w:type="spellEnd"/>
      <w:r w:rsidRPr="00570413">
        <w:rPr>
          <w:rFonts w:ascii="Times New Roman" w:hAnsi="Times New Roman" w:cs="Times New Roman"/>
        </w:rPr>
        <w:t xml:space="preserve"> Bitsenko, Mariya </w:t>
      </w:r>
      <w:proofErr w:type="spellStart"/>
      <w:r w:rsidRPr="00570413">
        <w:rPr>
          <w:rFonts w:ascii="Times New Roman" w:hAnsi="Times New Roman" w:cs="Times New Roman"/>
        </w:rPr>
        <w:t>Markovna</w:t>
      </w:r>
      <w:proofErr w:type="spellEnd"/>
      <w:r w:rsidRPr="00570413">
        <w:rPr>
          <w:rFonts w:ascii="Times New Roman" w:hAnsi="Times New Roman" w:cs="Times New Roman"/>
        </w:rPr>
        <w:t xml:space="preserve"> Shkol’nik, Aleksandra </w:t>
      </w:r>
      <w:proofErr w:type="spellStart"/>
      <w:r w:rsidRPr="00570413">
        <w:rPr>
          <w:rFonts w:ascii="Times New Roman" w:hAnsi="Times New Roman" w:cs="Times New Roman"/>
        </w:rPr>
        <w:t>Adol’fovna</w:t>
      </w:r>
      <w:proofErr w:type="spellEnd"/>
      <w:r w:rsidRPr="00570413">
        <w:rPr>
          <w:rFonts w:ascii="Times New Roman" w:hAnsi="Times New Roman" w:cs="Times New Roman"/>
        </w:rPr>
        <w:t xml:space="preserve"> </w:t>
      </w:r>
      <w:proofErr w:type="spellStart"/>
      <w:r w:rsidRPr="00570413">
        <w:rPr>
          <w:rFonts w:ascii="Times New Roman" w:hAnsi="Times New Roman" w:cs="Times New Roman"/>
        </w:rPr>
        <w:t>Izmaylovich</w:t>
      </w:r>
      <w:proofErr w:type="spellEnd"/>
      <w:r w:rsidRPr="00570413">
        <w:rPr>
          <w:rFonts w:ascii="Times New Roman" w:hAnsi="Times New Roman" w:cs="Times New Roman"/>
        </w:rPr>
        <w:t xml:space="preserve">, and most famous of the six, Mariya </w:t>
      </w:r>
      <w:proofErr w:type="spellStart"/>
      <w:r w:rsidRPr="00570413">
        <w:rPr>
          <w:rFonts w:ascii="Times New Roman" w:hAnsi="Times New Roman" w:cs="Times New Roman"/>
        </w:rPr>
        <w:t>Aleksandrovna</w:t>
      </w:r>
      <w:proofErr w:type="spellEnd"/>
      <w:r w:rsidRPr="00570413">
        <w:rPr>
          <w:rFonts w:ascii="Times New Roman" w:hAnsi="Times New Roman" w:cs="Times New Roman"/>
        </w:rPr>
        <w:t xml:space="preserve"> Spiridonova.</w:t>
      </w:r>
      <w:r w:rsidRPr="00570413">
        <w:rPr>
          <w:rStyle w:val="FootnoteReference"/>
          <w:rFonts w:ascii="Times New Roman" w:hAnsi="Times New Roman" w:cs="Times New Roman"/>
        </w:rPr>
        <w:footnoteReference w:id="139"/>
      </w:r>
      <w:r w:rsidRPr="00570413">
        <w:rPr>
          <w:rFonts w:ascii="Times New Roman" w:hAnsi="Times New Roman" w:cs="Times New Roman"/>
        </w:rPr>
        <w:t xml:space="preserve"> Spiridonova and Bitsenko were the only ethnically Russian women of the group.</w:t>
      </w:r>
      <w:r w:rsidRPr="00570413">
        <w:rPr>
          <w:rStyle w:val="FootnoteReference"/>
          <w:rFonts w:ascii="Times New Roman" w:hAnsi="Times New Roman" w:cs="Times New Roman"/>
        </w:rPr>
        <w:footnoteReference w:id="140"/>
      </w:r>
      <w:r w:rsidRPr="00570413">
        <w:rPr>
          <w:rFonts w:ascii="Times New Roman" w:hAnsi="Times New Roman" w:cs="Times New Roman"/>
        </w:rPr>
        <w:t xml:space="preserve"> Fialka and Shkol’nik were also Jewish and that religious identity may have played a large role in their revolutionary involvement</w:t>
      </w:r>
      <w:r w:rsidR="00933FC9" w:rsidRPr="00570413">
        <w:rPr>
          <w:rFonts w:ascii="Times New Roman" w:hAnsi="Times New Roman" w:cs="Times New Roman"/>
        </w:rPr>
        <w:t>.</w:t>
      </w:r>
      <w:r w:rsidR="00933FC9" w:rsidRPr="00570413">
        <w:rPr>
          <w:rStyle w:val="FootnoteReference"/>
          <w:rFonts w:ascii="Times New Roman" w:hAnsi="Times New Roman" w:cs="Times New Roman"/>
        </w:rPr>
        <w:footnoteReference w:id="141"/>
      </w:r>
      <w:r w:rsidRPr="00570413">
        <w:rPr>
          <w:rFonts w:ascii="Times New Roman" w:hAnsi="Times New Roman" w:cs="Times New Roman"/>
        </w:rPr>
        <w:t xml:space="preserve"> Fialka lived in a province in Minsk </w:t>
      </w:r>
      <w:r w:rsidR="00933FC9" w:rsidRPr="00570413">
        <w:rPr>
          <w:rFonts w:ascii="Times New Roman" w:hAnsi="Times New Roman" w:cs="Times New Roman"/>
        </w:rPr>
        <w:t>during</w:t>
      </w:r>
      <w:r w:rsidRPr="00570413">
        <w:rPr>
          <w:rFonts w:ascii="Times New Roman" w:hAnsi="Times New Roman" w:cs="Times New Roman"/>
        </w:rPr>
        <w:t xml:space="preserve"> an anti-Jewish pogrom on Orthodox Easter Sunday in 1903 that killed a little under 50 Jewish people.</w:t>
      </w:r>
      <w:r w:rsidRPr="00570413">
        <w:rPr>
          <w:rStyle w:val="FootnoteReference"/>
          <w:rFonts w:ascii="Times New Roman" w:hAnsi="Times New Roman" w:cs="Times New Roman"/>
        </w:rPr>
        <w:footnoteReference w:id="142"/>
      </w:r>
      <w:r w:rsidRPr="00570413">
        <w:rPr>
          <w:rFonts w:ascii="Times New Roman" w:hAnsi="Times New Roman" w:cs="Times New Roman"/>
        </w:rPr>
        <w:t xml:space="preserve"> Shkol’nik began her work in the revolutionary underground with the All Jewish Worker’s Union.</w:t>
      </w:r>
      <w:r w:rsidR="00933FC9" w:rsidRPr="00570413">
        <w:rPr>
          <w:rStyle w:val="FootnoteReference"/>
          <w:rFonts w:ascii="Times New Roman" w:hAnsi="Times New Roman" w:cs="Times New Roman"/>
        </w:rPr>
        <w:footnoteReference w:id="143"/>
      </w:r>
      <w:r w:rsidRPr="00570413">
        <w:rPr>
          <w:rFonts w:ascii="Times New Roman" w:hAnsi="Times New Roman" w:cs="Times New Roman"/>
        </w:rPr>
        <w:t xml:space="preserve"> In fact, many of the women of the Shesterka entered more radical circles because of connections with people already involved in some form of revolutionary activity. </w:t>
      </w:r>
      <w:r w:rsidR="00F673B9" w:rsidRPr="00570413">
        <w:rPr>
          <w:rFonts w:ascii="Times New Roman" w:hAnsi="Times New Roman" w:cs="Times New Roman"/>
        </w:rPr>
        <w:t xml:space="preserve">Engagement in the radical underground in the lead up to the 1905 revolution gave women </w:t>
      </w:r>
      <w:r w:rsidR="009F2B6F" w:rsidRPr="00570413">
        <w:rPr>
          <w:rFonts w:ascii="Times New Roman" w:hAnsi="Times New Roman" w:cs="Times New Roman"/>
        </w:rPr>
        <w:t xml:space="preserve">the </w:t>
      </w:r>
      <w:r w:rsidR="00F673B9" w:rsidRPr="00570413">
        <w:rPr>
          <w:rFonts w:ascii="Times New Roman" w:hAnsi="Times New Roman" w:cs="Times New Roman"/>
        </w:rPr>
        <w:t>ability to participate in politics and provided them a subculture of individuals who shared in their moral and political beliefs.</w:t>
      </w:r>
      <w:r w:rsidR="00F673B9" w:rsidRPr="00570413">
        <w:rPr>
          <w:rStyle w:val="FootnoteReference"/>
          <w:rFonts w:ascii="Times New Roman" w:hAnsi="Times New Roman" w:cs="Times New Roman"/>
        </w:rPr>
        <w:footnoteReference w:id="144"/>
      </w:r>
      <w:r w:rsidRPr="00570413">
        <w:rPr>
          <w:rFonts w:ascii="Times New Roman" w:hAnsi="Times New Roman" w:cs="Times New Roman"/>
        </w:rPr>
        <w:t xml:space="preserve"> Though most of these women were not exactly well-known to the general public, Mariya Spiridonova was probably the most famous of all of these women.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lastRenderedPageBreak/>
        <w:t>Spiridonova was less known for her assassination of a provincial government councilor in 1905,  and more so for her letters she gave her sister to smuggle out of prison for her where she mentioned her being abused and sexually assaulted while in prison.</w:t>
      </w:r>
      <w:r w:rsidRPr="00570413">
        <w:rPr>
          <w:rStyle w:val="FootnoteReference"/>
          <w:rFonts w:ascii="Times New Roman" w:hAnsi="Times New Roman" w:cs="Times New Roman"/>
        </w:rPr>
        <w:footnoteReference w:id="145"/>
      </w:r>
      <w:r w:rsidRPr="00570413">
        <w:rPr>
          <w:rFonts w:ascii="Times New Roman" w:hAnsi="Times New Roman" w:cs="Times New Roman"/>
        </w:rPr>
        <w:t xml:space="preserve"> The press portrayed her story as that of one coming from a “’pure, virginal being, a flower of spiritual beauty.””</w:t>
      </w:r>
      <w:r w:rsidRPr="00570413">
        <w:rPr>
          <w:rStyle w:val="FootnoteReference"/>
          <w:rFonts w:ascii="Times New Roman" w:hAnsi="Times New Roman" w:cs="Times New Roman"/>
        </w:rPr>
        <w:footnoteReference w:id="146"/>
      </w:r>
      <w:r w:rsidRPr="00570413">
        <w:rPr>
          <w:rFonts w:ascii="Times New Roman" w:hAnsi="Times New Roman" w:cs="Times New Roman"/>
        </w:rPr>
        <w:t xml:space="preserve"> This is obviously a gendered statement in response to a clearly gendered action of violence against Spiridonova. The press’ construction of highlighting </w:t>
      </w:r>
      <w:proofErr w:type="spellStart"/>
      <w:r w:rsidRPr="00570413">
        <w:rPr>
          <w:rFonts w:ascii="Times New Roman" w:hAnsi="Times New Roman" w:cs="Times New Roman"/>
        </w:rPr>
        <w:t>Spiridonova’s</w:t>
      </w:r>
      <w:proofErr w:type="spellEnd"/>
      <w:r w:rsidRPr="00570413">
        <w:rPr>
          <w:rFonts w:ascii="Times New Roman" w:hAnsi="Times New Roman" w:cs="Times New Roman"/>
        </w:rPr>
        <w:t xml:space="preserve"> supposed virginity, a sentiment with more construction based on her womanly innocence being tainted as opposed to any sexual meaning of virginity, highlighted a broader view of women within Russian society. This understanding of womanhood by the Russian press at the time emphasized how the patriarchal nature of Russian culture, again fairly on par for contemporary European nations, understood that womanhood could be defiled, but notably did not see gender</w:t>
      </w:r>
      <w:r w:rsidR="007954FF">
        <w:rPr>
          <w:rFonts w:ascii="Times New Roman" w:hAnsi="Times New Roman" w:cs="Times New Roman"/>
        </w:rPr>
        <w:t>-</w:t>
      </w:r>
      <w:r w:rsidRPr="00570413">
        <w:rPr>
          <w:rFonts w:ascii="Times New Roman" w:hAnsi="Times New Roman" w:cs="Times New Roman"/>
        </w:rPr>
        <w:t xml:space="preserve">based oppression as something that had the capability to defile or mark one’s womanhood. </w:t>
      </w:r>
      <w:r w:rsidR="00F63C93" w:rsidRPr="00570413">
        <w:rPr>
          <w:rFonts w:ascii="Times New Roman" w:hAnsi="Times New Roman" w:cs="Times New Roman"/>
        </w:rPr>
        <w:t>While Spiridonova and the rest of the Shesterka were working within a subculture that was based in the myths of female revolutionary martyrdom that granted women the ability to be equal to men in the same radical circles, the Russian press viewed their womanhood as fragile, particularly in the face of gender based violence.</w:t>
      </w:r>
      <w:r w:rsidR="009F2B6F" w:rsidRPr="00570413">
        <w:rPr>
          <w:rFonts w:ascii="Times New Roman" w:hAnsi="Times New Roman" w:cs="Times New Roman"/>
        </w:rPr>
        <w:t xml:space="preserve"> </w:t>
      </w:r>
      <w:r w:rsidR="00F63C93" w:rsidRPr="00570413">
        <w:rPr>
          <w:rFonts w:ascii="Times New Roman" w:hAnsi="Times New Roman" w:cs="Times New Roman"/>
        </w:rPr>
        <w:t xml:space="preserve">This may have been an attempt by the Russian press to subdue the myths of revolutionary martyrdom. To understand Spiridonova as untainted, or “pure,” in response to an act of male sexual violence against her is to bind womanhood in two opposing categories of being statically </w:t>
      </w:r>
      <w:r w:rsidR="007D19C2" w:rsidRPr="00570413">
        <w:rPr>
          <w:rFonts w:ascii="Times New Roman" w:hAnsi="Times New Roman" w:cs="Times New Roman"/>
        </w:rPr>
        <w:t xml:space="preserve">incorruptible, </w:t>
      </w:r>
      <w:r w:rsidR="00F63C93" w:rsidRPr="00570413">
        <w:rPr>
          <w:rFonts w:ascii="Times New Roman" w:hAnsi="Times New Roman" w:cs="Times New Roman"/>
        </w:rPr>
        <w:t>while still being fragile and soft</w:t>
      </w:r>
      <w:r w:rsidR="007D19C2" w:rsidRPr="00570413">
        <w:rPr>
          <w:rFonts w:ascii="Times New Roman" w:hAnsi="Times New Roman" w:cs="Times New Roman"/>
        </w:rPr>
        <w:t xml:space="preserve">. </w:t>
      </w:r>
      <w:r w:rsidR="00F70C29" w:rsidRPr="00570413">
        <w:rPr>
          <w:rFonts w:ascii="Times New Roman" w:hAnsi="Times New Roman" w:cs="Times New Roman"/>
        </w:rPr>
        <w:t xml:space="preserve">For some politically active women in revolutionary Russia, womanhood was less categorized by dichotomies of hardness and softness, but rather by class differences. </w:t>
      </w:r>
    </w:p>
    <w:p w:rsidR="007D19C2" w:rsidRPr="00570413" w:rsidRDefault="007D19C2" w:rsidP="00B36C75">
      <w:pPr>
        <w:spacing w:line="480" w:lineRule="auto"/>
        <w:ind w:firstLine="720"/>
        <w:rPr>
          <w:rFonts w:ascii="Times New Roman" w:hAnsi="Times New Roman" w:cs="Times New Roman"/>
        </w:rPr>
      </w:pPr>
      <w:r w:rsidRPr="00570413">
        <w:rPr>
          <w:rFonts w:ascii="Times New Roman" w:hAnsi="Times New Roman" w:cs="Times New Roman"/>
        </w:rPr>
        <w:lastRenderedPageBreak/>
        <w:t>Aleksandra Kollontai was one of the most famous of the Bolshevechki, the plural female from of the word Bolshevik, working as the People’s Commissar for Welfare from 1917-1918 until she founded the Zhenotdel, or the women’s section of the party, in 1919.</w:t>
      </w:r>
      <w:r w:rsidR="00603120" w:rsidRPr="00570413">
        <w:rPr>
          <w:rStyle w:val="FootnoteReference"/>
          <w:rFonts w:ascii="Times New Roman" w:hAnsi="Times New Roman" w:cs="Times New Roman"/>
        </w:rPr>
        <w:footnoteReference w:id="147"/>
      </w:r>
      <w:r w:rsidRPr="00570413">
        <w:rPr>
          <w:rFonts w:ascii="Times New Roman" w:hAnsi="Times New Roman" w:cs="Times New Roman"/>
        </w:rPr>
        <w:t xml:space="preserve"> Like the women of the Shesterka, she was able to find a lot of freedom in radical political life, however she distanced herself greatly from a political feminism that started and ended at the western concept of equal rights. Throughout her revolutionary career, she published a </w:t>
      </w:r>
      <w:r w:rsidR="00324D57" w:rsidRPr="00570413">
        <w:rPr>
          <w:rFonts w:ascii="Times New Roman" w:hAnsi="Times New Roman" w:cs="Times New Roman"/>
        </w:rPr>
        <w:t xml:space="preserve">substantial amount </w:t>
      </w:r>
      <w:r w:rsidRPr="00570413">
        <w:rPr>
          <w:rFonts w:ascii="Times New Roman" w:hAnsi="Times New Roman" w:cs="Times New Roman"/>
        </w:rPr>
        <w:t>of writing that very clearly expressed her ethos of women’s liberation and how that tied into Marxists constructions of class.</w:t>
      </w:r>
      <w:r w:rsidR="00324D57" w:rsidRPr="00570413">
        <w:rPr>
          <w:rFonts w:ascii="Times New Roman" w:hAnsi="Times New Roman" w:cs="Times New Roman"/>
        </w:rPr>
        <w:t xml:space="preserve"> Kollontai wrote a lot about her own construction of the need to reject ‘feminism’ as being bourgeois in nature, mostly calling liberal western feminists “equal-righters.”</w:t>
      </w:r>
      <w:r w:rsidR="00324D57" w:rsidRPr="00570413">
        <w:rPr>
          <w:rStyle w:val="FootnoteReference"/>
          <w:rFonts w:ascii="Times New Roman" w:hAnsi="Times New Roman" w:cs="Times New Roman"/>
        </w:rPr>
        <w:footnoteReference w:id="148"/>
      </w:r>
      <w:r w:rsidR="00324D57" w:rsidRPr="00570413">
        <w:rPr>
          <w:rFonts w:ascii="Times New Roman" w:hAnsi="Times New Roman" w:cs="Times New Roman"/>
        </w:rPr>
        <w:t xml:space="preserve"> She argued that they would still have loyalties to “their own bourgeois class,” as they attempt to seek equality within a societal framework that is itself unequal in nature.</w:t>
      </w:r>
      <w:r w:rsidR="00324D57" w:rsidRPr="00570413">
        <w:rPr>
          <w:rStyle w:val="FootnoteReference"/>
          <w:rFonts w:ascii="Times New Roman" w:hAnsi="Times New Roman" w:cs="Times New Roman"/>
        </w:rPr>
        <w:footnoteReference w:id="149"/>
      </w:r>
      <w:r w:rsidR="00324D57" w:rsidRPr="00570413">
        <w:rPr>
          <w:rFonts w:ascii="Times New Roman" w:hAnsi="Times New Roman" w:cs="Times New Roman"/>
        </w:rPr>
        <w:t xml:space="preserve"> </w:t>
      </w:r>
      <w:r w:rsidRPr="00570413">
        <w:rPr>
          <w:rFonts w:ascii="Times New Roman" w:hAnsi="Times New Roman" w:cs="Times New Roman"/>
        </w:rPr>
        <w:t xml:space="preserve"> In one of her most famous pieces of writing, </w:t>
      </w:r>
      <w:r w:rsidRPr="00570413">
        <w:rPr>
          <w:rFonts w:ascii="Times New Roman" w:hAnsi="Times New Roman" w:cs="Times New Roman"/>
          <w:i/>
        </w:rPr>
        <w:t>The Social Basis of the Woman Question</w:t>
      </w:r>
      <w:r w:rsidRPr="00570413">
        <w:rPr>
          <w:rFonts w:ascii="Times New Roman" w:hAnsi="Times New Roman" w:cs="Times New Roman"/>
        </w:rPr>
        <w:t>, published in 1909 after the 1905 Revolution, she argued on an issue in gender and women’s history, declaring she outright reject</w:t>
      </w:r>
      <w:r w:rsidR="007954FF">
        <w:rPr>
          <w:rFonts w:ascii="Times New Roman" w:hAnsi="Times New Roman" w:cs="Times New Roman"/>
        </w:rPr>
        <w:t>ed</w:t>
      </w:r>
      <w:r w:rsidRPr="00570413">
        <w:rPr>
          <w:rFonts w:ascii="Times New Roman" w:hAnsi="Times New Roman" w:cs="Times New Roman"/>
        </w:rPr>
        <w:t xml:space="preserve"> the concept of a “woman question” at all that exist</w:t>
      </w:r>
      <w:r w:rsidR="007954FF">
        <w:rPr>
          <w:rFonts w:ascii="Times New Roman" w:hAnsi="Times New Roman" w:cs="Times New Roman"/>
        </w:rPr>
        <w:t>ed</w:t>
      </w:r>
      <w:r w:rsidRPr="00570413">
        <w:rPr>
          <w:rFonts w:ascii="Times New Roman" w:hAnsi="Times New Roman" w:cs="Times New Roman"/>
        </w:rPr>
        <w:t xml:space="preserve"> separate from any other social question.</w:t>
      </w:r>
      <w:r w:rsidRPr="00570413">
        <w:rPr>
          <w:rStyle w:val="FootnoteReference"/>
          <w:rFonts w:ascii="Times New Roman" w:hAnsi="Times New Roman" w:cs="Times New Roman"/>
        </w:rPr>
        <w:footnoteReference w:id="150"/>
      </w:r>
      <w:r w:rsidRPr="00570413">
        <w:rPr>
          <w:rFonts w:ascii="Times New Roman" w:hAnsi="Times New Roman" w:cs="Times New Roman"/>
        </w:rPr>
        <w:t xml:space="preserve"> </w:t>
      </w:r>
      <w:r w:rsidR="009F2B6F" w:rsidRPr="00570413">
        <w:rPr>
          <w:rFonts w:ascii="Times New Roman" w:hAnsi="Times New Roman" w:cs="Times New Roman"/>
        </w:rPr>
        <w:t>This could be a way to emphasize that gender</w:t>
      </w:r>
      <w:r w:rsidR="007954FF">
        <w:rPr>
          <w:rFonts w:ascii="Times New Roman" w:hAnsi="Times New Roman" w:cs="Times New Roman"/>
        </w:rPr>
        <w:t>-</w:t>
      </w:r>
      <w:r w:rsidR="009F2B6F" w:rsidRPr="00570413">
        <w:rPr>
          <w:rFonts w:ascii="Times New Roman" w:hAnsi="Times New Roman" w:cs="Times New Roman"/>
        </w:rPr>
        <w:t>based oppression and class</w:t>
      </w:r>
      <w:r w:rsidR="007954FF">
        <w:rPr>
          <w:rFonts w:ascii="Times New Roman" w:hAnsi="Times New Roman" w:cs="Times New Roman"/>
        </w:rPr>
        <w:t>-</w:t>
      </w:r>
      <w:r w:rsidR="009F2B6F" w:rsidRPr="00570413">
        <w:rPr>
          <w:rFonts w:ascii="Times New Roman" w:hAnsi="Times New Roman" w:cs="Times New Roman"/>
        </w:rPr>
        <w:t xml:space="preserve">based oppression were not understood to be different forms of oppression at all in pure Marxist thought. </w:t>
      </w:r>
      <w:r w:rsidRPr="00570413">
        <w:rPr>
          <w:rFonts w:ascii="Times New Roman" w:hAnsi="Times New Roman" w:cs="Times New Roman"/>
        </w:rPr>
        <w:t>The emphasis on anything female-centered existed opposite to the philosophy of what made a radical underground woman, radical in Russian revolutionary thought.</w:t>
      </w:r>
      <w:r w:rsidR="00324D57" w:rsidRPr="00570413">
        <w:rPr>
          <w:rFonts w:ascii="Times New Roman" w:hAnsi="Times New Roman" w:cs="Times New Roman"/>
        </w:rPr>
        <w:t xml:space="preserve"> The desire to engage in society without being limited by one’s gender emphasized that things considered to be feminine in nature was not compatible with Marxist revolutionary theory. </w:t>
      </w:r>
      <w:r w:rsidRPr="00570413">
        <w:rPr>
          <w:rFonts w:ascii="Times New Roman" w:hAnsi="Times New Roman" w:cs="Times New Roman"/>
        </w:rPr>
        <w:t xml:space="preserve">This is even more interesting considering this work of hers was first published in 1909, before her switch from the </w:t>
      </w:r>
      <w:r w:rsidRPr="00570413">
        <w:rPr>
          <w:rFonts w:ascii="Times New Roman" w:hAnsi="Times New Roman" w:cs="Times New Roman"/>
        </w:rPr>
        <w:lastRenderedPageBreak/>
        <w:t>Menshevik faction to the Bolshevik faction of the Social Democratic party, who, as will be discussed later, may have had a stronger emphasis on this construction of radical women than the Mensheviks did, at least within the written record.</w:t>
      </w:r>
      <w:r w:rsidR="007A7576">
        <w:rPr>
          <w:rStyle w:val="FootnoteReference"/>
          <w:rFonts w:ascii="Times New Roman" w:hAnsi="Times New Roman" w:cs="Times New Roman"/>
        </w:rPr>
        <w:footnoteReference w:id="151"/>
      </w:r>
      <w:r w:rsidR="00324D57" w:rsidRPr="00570413">
        <w:rPr>
          <w:rFonts w:ascii="Times New Roman" w:hAnsi="Times New Roman" w:cs="Times New Roman"/>
        </w:rPr>
        <w:t xml:space="preserve"> </w:t>
      </w:r>
    </w:p>
    <w:p w:rsidR="00B36C75" w:rsidRPr="00570413" w:rsidRDefault="00B36C75" w:rsidP="007D19C2">
      <w:pPr>
        <w:spacing w:line="480" w:lineRule="auto"/>
        <w:ind w:firstLine="720"/>
        <w:rPr>
          <w:rFonts w:ascii="Times New Roman" w:hAnsi="Times New Roman" w:cs="Times New Roman"/>
        </w:rPr>
      </w:pPr>
      <w:r w:rsidRPr="00570413">
        <w:rPr>
          <w:rFonts w:ascii="Times New Roman" w:hAnsi="Times New Roman" w:cs="Times New Roman"/>
        </w:rPr>
        <w:t xml:space="preserve">Interestingly enough, </w:t>
      </w:r>
      <w:r w:rsidR="00324D57" w:rsidRPr="00570413">
        <w:rPr>
          <w:rFonts w:ascii="Times New Roman" w:hAnsi="Times New Roman" w:cs="Times New Roman"/>
        </w:rPr>
        <w:t xml:space="preserve">one of the earliest constructions of radical Russian womanhood also featured this idea of radical women existing opposite </w:t>
      </w:r>
      <w:r w:rsidR="007954FF">
        <w:rPr>
          <w:rFonts w:ascii="Times New Roman" w:hAnsi="Times New Roman" w:cs="Times New Roman"/>
        </w:rPr>
        <w:t xml:space="preserve">to </w:t>
      </w:r>
      <w:r w:rsidR="00324D57" w:rsidRPr="00570413">
        <w:rPr>
          <w:rFonts w:ascii="Times New Roman" w:hAnsi="Times New Roman" w:cs="Times New Roman"/>
        </w:rPr>
        <w:t xml:space="preserve">their femininity. </w:t>
      </w:r>
      <w:r w:rsidRPr="00570413">
        <w:rPr>
          <w:rFonts w:ascii="Times New Roman" w:hAnsi="Times New Roman" w:cs="Times New Roman"/>
        </w:rPr>
        <w:t xml:space="preserve">One of the most influential books in defining Russian radicalism </w:t>
      </w:r>
      <w:r w:rsidR="007A612C" w:rsidRPr="00570413">
        <w:rPr>
          <w:rFonts w:ascii="Times New Roman" w:hAnsi="Times New Roman" w:cs="Times New Roman"/>
        </w:rPr>
        <w:t>from</w:t>
      </w:r>
      <w:r w:rsidRPr="00570413">
        <w:rPr>
          <w:rFonts w:ascii="Times New Roman" w:hAnsi="Times New Roman" w:cs="Times New Roman"/>
        </w:rPr>
        <w:t xml:space="preserve"> the late tsarist period </w:t>
      </w:r>
      <w:r w:rsidR="007A612C" w:rsidRPr="00570413">
        <w:rPr>
          <w:rFonts w:ascii="Times New Roman" w:hAnsi="Times New Roman" w:cs="Times New Roman"/>
        </w:rPr>
        <w:t xml:space="preserve">to early Bolshevik rule </w:t>
      </w:r>
      <w:r w:rsidRPr="00570413">
        <w:rPr>
          <w:rFonts w:ascii="Times New Roman" w:hAnsi="Times New Roman" w:cs="Times New Roman"/>
        </w:rPr>
        <w:t xml:space="preserve">was </w:t>
      </w:r>
      <w:proofErr w:type="spellStart"/>
      <w:r w:rsidRPr="00570413">
        <w:rPr>
          <w:rFonts w:ascii="Times New Roman" w:hAnsi="Times New Roman" w:cs="Times New Roman"/>
          <w:i/>
        </w:rPr>
        <w:t>Chto</w:t>
      </w:r>
      <w:proofErr w:type="spellEnd"/>
      <w:r w:rsidRPr="00570413">
        <w:rPr>
          <w:rFonts w:ascii="Times New Roman" w:hAnsi="Times New Roman" w:cs="Times New Roman"/>
          <w:i/>
        </w:rPr>
        <w:t xml:space="preserve"> </w:t>
      </w:r>
      <w:proofErr w:type="spellStart"/>
      <w:r w:rsidRPr="00570413">
        <w:rPr>
          <w:rFonts w:ascii="Times New Roman" w:hAnsi="Times New Roman" w:cs="Times New Roman"/>
          <w:i/>
        </w:rPr>
        <w:t>Delat</w:t>
      </w:r>
      <w:proofErr w:type="spellEnd"/>
      <w:r w:rsidRPr="00570413">
        <w:rPr>
          <w:rFonts w:ascii="Times New Roman" w:hAnsi="Times New Roman" w:cs="Times New Roman"/>
          <w:i/>
        </w:rPr>
        <w:t>?</w:t>
      </w:r>
      <w:r w:rsidRPr="00570413">
        <w:rPr>
          <w:rFonts w:ascii="Times New Roman" w:hAnsi="Times New Roman" w:cs="Times New Roman"/>
        </w:rPr>
        <w:t xml:space="preserve">, or in English, </w:t>
      </w:r>
      <w:r w:rsidRPr="00570413">
        <w:rPr>
          <w:rFonts w:ascii="Times New Roman" w:hAnsi="Times New Roman" w:cs="Times New Roman"/>
          <w:i/>
        </w:rPr>
        <w:t>What is to Be Done?</w:t>
      </w:r>
      <w:r w:rsidRPr="00570413">
        <w:rPr>
          <w:rFonts w:ascii="Times New Roman" w:hAnsi="Times New Roman" w:cs="Times New Roman"/>
        </w:rPr>
        <w:t>, written by Nikolai Chernyshevskii in 1862.</w:t>
      </w:r>
      <w:r w:rsidRPr="00570413">
        <w:rPr>
          <w:rStyle w:val="FootnoteReference"/>
          <w:rFonts w:ascii="Times New Roman" w:hAnsi="Times New Roman" w:cs="Times New Roman"/>
        </w:rPr>
        <w:footnoteReference w:id="152"/>
      </w:r>
      <w:r w:rsidRPr="00570413">
        <w:rPr>
          <w:rFonts w:ascii="Times New Roman" w:hAnsi="Times New Roman" w:cs="Times New Roman"/>
        </w:rPr>
        <w:t xml:space="preserve"> Though a fictional novel, it formed the framework for understanding what makes a good revolutionary, most notably that they are unsentimental, and embody the concept of ‘</w:t>
      </w:r>
      <w:proofErr w:type="spellStart"/>
      <w:r w:rsidRPr="00570413">
        <w:rPr>
          <w:rFonts w:ascii="Times New Roman" w:hAnsi="Times New Roman" w:cs="Times New Roman"/>
        </w:rPr>
        <w:t>tverdost</w:t>
      </w:r>
      <w:proofErr w:type="spellEnd"/>
      <w:r w:rsidRPr="00570413">
        <w:rPr>
          <w:rFonts w:ascii="Times New Roman" w:hAnsi="Times New Roman" w:cs="Times New Roman"/>
        </w:rPr>
        <w:t>’ or hardness.</w:t>
      </w:r>
      <w:r w:rsidRPr="00570413">
        <w:rPr>
          <w:rStyle w:val="FootnoteReference"/>
          <w:rFonts w:ascii="Times New Roman" w:hAnsi="Times New Roman" w:cs="Times New Roman"/>
        </w:rPr>
        <w:footnoteReference w:id="153"/>
      </w:r>
      <w:r w:rsidRPr="00570413">
        <w:rPr>
          <w:rStyle w:val="FootnoteReference"/>
          <w:rFonts w:ascii="Times New Roman" w:hAnsi="Times New Roman" w:cs="Times New Roman"/>
        </w:rPr>
        <w:footnoteReference w:id="154"/>
      </w:r>
      <w:r w:rsidRPr="00570413">
        <w:rPr>
          <w:rFonts w:ascii="Times New Roman" w:hAnsi="Times New Roman" w:cs="Times New Roman"/>
        </w:rPr>
        <w:t xml:space="preserve"> This suppression of emotion is gendered in and of itself because its emphasis on hardness is most associated with masculinity. It’s also quite interesting when juxtaposed to the goals and motivations of wanting to engage in revolutionary action. The radical Marxist political action of the Russian underground in many ways relies on a sense of empathy for working class people and peasants which does not necessarily work in tandem with a rejection of emotionality in achieving those goals. This is especially true when considering that many Bolsheviks came from middle or upper classes, and Bolshevichki were more likely than their male counterparts to be from more privileged classes.</w:t>
      </w:r>
      <w:r w:rsidR="007A7576">
        <w:rPr>
          <w:rStyle w:val="FootnoteReference"/>
          <w:rFonts w:ascii="Times New Roman" w:hAnsi="Times New Roman" w:cs="Times New Roman"/>
        </w:rPr>
        <w:footnoteReference w:id="155"/>
      </w:r>
      <w:r w:rsidRPr="00570413">
        <w:rPr>
          <w:rFonts w:ascii="Times New Roman" w:hAnsi="Times New Roman" w:cs="Times New Roman"/>
        </w:rPr>
        <w:t xml:space="preserve"> This concept of ‘</w:t>
      </w:r>
      <w:proofErr w:type="spellStart"/>
      <w:r w:rsidRPr="00570413">
        <w:rPr>
          <w:rFonts w:ascii="Times New Roman" w:hAnsi="Times New Roman" w:cs="Times New Roman"/>
        </w:rPr>
        <w:t>tverdost</w:t>
      </w:r>
      <w:proofErr w:type="spellEnd"/>
      <w:r w:rsidRPr="00570413">
        <w:rPr>
          <w:rFonts w:ascii="Times New Roman" w:hAnsi="Times New Roman" w:cs="Times New Roman"/>
        </w:rPr>
        <w:t xml:space="preserve">’ was of particular importance to most revolutionaries of the late tsarist period, but leading up the turn of the century, it became especially important to the Social Democrats, </w:t>
      </w:r>
      <w:r w:rsidR="007954FF">
        <w:rPr>
          <w:rFonts w:ascii="Times New Roman" w:hAnsi="Times New Roman" w:cs="Times New Roman"/>
        </w:rPr>
        <w:t xml:space="preserve">out </w:t>
      </w:r>
      <w:r w:rsidRPr="00570413">
        <w:rPr>
          <w:rFonts w:ascii="Times New Roman" w:hAnsi="Times New Roman" w:cs="Times New Roman"/>
        </w:rPr>
        <w:t>of whom the Bolshevik faction came.</w:t>
      </w:r>
      <w:r w:rsidRPr="00570413">
        <w:rPr>
          <w:rStyle w:val="FootnoteReference"/>
          <w:rFonts w:ascii="Times New Roman" w:hAnsi="Times New Roman" w:cs="Times New Roman"/>
        </w:rPr>
        <w:footnoteReference w:id="156"/>
      </w:r>
      <w:r w:rsidRPr="00570413">
        <w:rPr>
          <w:rFonts w:ascii="Times New Roman" w:hAnsi="Times New Roman" w:cs="Times New Roman"/>
        </w:rPr>
        <w:t xml:space="preserve"> And though this concept of ‘</w:t>
      </w:r>
      <w:proofErr w:type="spellStart"/>
      <w:r w:rsidRPr="00570413">
        <w:rPr>
          <w:rFonts w:ascii="Times New Roman" w:hAnsi="Times New Roman" w:cs="Times New Roman"/>
        </w:rPr>
        <w:t>tverdost</w:t>
      </w:r>
      <w:proofErr w:type="spellEnd"/>
      <w:r w:rsidRPr="00570413">
        <w:rPr>
          <w:rFonts w:ascii="Times New Roman" w:hAnsi="Times New Roman" w:cs="Times New Roman"/>
        </w:rPr>
        <w:t xml:space="preserve">’ as it applies to revolutionaries was coined in the 1860s, it was </w:t>
      </w:r>
      <w:r w:rsidRPr="00570413">
        <w:rPr>
          <w:rFonts w:ascii="Times New Roman" w:hAnsi="Times New Roman" w:cs="Times New Roman"/>
        </w:rPr>
        <w:lastRenderedPageBreak/>
        <w:t>still part of the culture of radical political life even as it moves into the mainstream more and more in the early 1900s</w:t>
      </w:r>
      <w:r w:rsidR="00C257C4" w:rsidRPr="00570413">
        <w:rPr>
          <w:rFonts w:ascii="Times New Roman" w:hAnsi="Times New Roman" w:cs="Times New Roman"/>
        </w:rPr>
        <w:t>.</w:t>
      </w:r>
      <w:r w:rsidR="00C257C4" w:rsidRPr="00570413">
        <w:rPr>
          <w:rStyle w:val="FootnoteReference"/>
          <w:rFonts w:ascii="Times New Roman" w:hAnsi="Times New Roman" w:cs="Times New Roman"/>
        </w:rPr>
        <w:footnoteReference w:id="157"/>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Historian Barbara Evans Clements argues that this preoccupation with hardness as a factor in revolutionary work stemmed from Marx’s desire to begin his writing on economics in the first place, feeling that the work of socialist writers who came before him were not writing based on a hard science and were not grounded enough in reality.</w:t>
      </w:r>
      <w:r w:rsidRPr="00570413">
        <w:rPr>
          <w:rStyle w:val="FootnoteReference"/>
          <w:rFonts w:ascii="Times New Roman" w:hAnsi="Times New Roman" w:cs="Times New Roman"/>
        </w:rPr>
        <w:footnoteReference w:id="158"/>
      </w:r>
      <w:r w:rsidRPr="00570413">
        <w:rPr>
          <w:rFonts w:ascii="Times New Roman" w:hAnsi="Times New Roman" w:cs="Times New Roman"/>
        </w:rPr>
        <w:t xml:space="preserve"> This concept of hardness as paramount to making a ‘good revolutionary’ was also notably rejected by Social Revolutionaries, like the women of the Shesterka, who devoted themselves to self-sacrifice, having origins in Russian religious conceptions that considered self-sacrifice to be associated with women.</w:t>
      </w:r>
      <w:r w:rsidRPr="00570413">
        <w:rPr>
          <w:rStyle w:val="FootnoteReference"/>
          <w:rFonts w:ascii="Times New Roman" w:hAnsi="Times New Roman" w:cs="Times New Roman"/>
        </w:rPr>
        <w:footnoteReference w:id="159"/>
      </w:r>
      <w:r w:rsidRPr="00570413">
        <w:rPr>
          <w:rFonts w:ascii="Times New Roman" w:hAnsi="Times New Roman" w:cs="Times New Roman"/>
        </w:rPr>
        <w:t xml:space="preserve"> But for Social Democrats, and particularly for Bolsheviks, an interest in objective rationality was paramount to what constituted their conception of the best Marxist revolution.</w:t>
      </w:r>
      <w:r w:rsidRPr="00570413">
        <w:rPr>
          <w:rStyle w:val="FootnoteReference"/>
          <w:rFonts w:ascii="Times New Roman" w:hAnsi="Times New Roman" w:cs="Times New Roman"/>
        </w:rPr>
        <w:footnoteReference w:id="160"/>
      </w:r>
      <w:r w:rsidRPr="00570413">
        <w:rPr>
          <w:rFonts w:ascii="Times New Roman" w:hAnsi="Times New Roman" w:cs="Times New Roman"/>
        </w:rPr>
        <w:t xml:space="preserve"> This rationality was a vestige of the </w:t>
      </w:r>
      <w:r w:rsidR="007954FF">
        <w:rPr>
          <w:rFonts w:ascii="Times New Roman" w:hAnsi="Times New Roman" w:cs="Times New Roman"/>
        </w:rPr>
        <w:t>E</w:t>
      </w:r>
      <w:r w:rsidRPr="00570413">
        <w:rPr>
          <w:rFonts w:ascii="Times New Roman" w:hAnsi="Times New Roman" w:cs="Times New Roman"/>
        </w:rPr>
        <w:t>nlightenment concepts that defined themselves in ‘logic’ that in many ways endorsed the various aspects of misogyny as it manifested in various European cultures. In any case, many female revolutionaries seemed to recognize that a rejection of emotion and sentiment did not naturally align with their revolutionary ethos, as many biographers of various Russian revolutionary women have noted the importance of romantic and platonic love in their radicalization and subsequent politics.</w:t>
      </w:r>
      <w:r w:rsidRPr="00570413">
        <w:rPr>
          <w:rStyle w:val="FootnoteReference"/>
          <w:rFonts w:ascii="Times New Roman" w:hAnsi="Times New Roman" w:cs="Times New Roman"/>
        </w:rPr>
        <w:footnoteReference w:id="161"/>
      </w:r>
      <w:r w:rsidRPr="00570413">
        <w:rPr>
          <w:rFonts w:ascii="Times New Roman" w:hAnsi="Times New Roman" w:cs="Times New Roman"/>
        </w:rPr>
        <w:t xml:space="preserve">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Regardless of gender, emotional bonds and a sense of collective was incredibly important to people in Russia engaged in revolutionary politics. Many people considered themselves to be family with their party, and in a literal sense, many female revolutionaries were first introduced </w:t>
      </w:r>
      <w:r w:rsidRPr="00570413">
        <w:rPr>
          <w:rFonts w:ascii="Times New Roman" w:hAnsi="Times New Roman" w:cs="Times New Roman"/>
        </w:rPr>
        <w:lastRenderedPageBreak/>
        <w:t>to revolutionary activity through their blood family.</w:t>
      </w:r>
      <w:r w:rsidRPr="00570413">
        <w:rPr>
          <w:rStyle w:val="FootnoteReference"/>
          <w:rFonts w:ascii="Times New Roman" w:hAnsi="Times New Roman" w:cs="Times New Roman"/>
        </w:rPr>
        <w:footnoteReference w:id="162"/>
      </w:r>
      <w:r w:rsidRPr="00570413">
        <w:rPr>
          <w:rFonts w:ascii="Times New Roman" w:hAnsi="Times New Roman" w:cs="Times New Roman"/>
        </w:rPr>
        <w:t xml:space="preserve"> Mariya Spiridonova, a Social Revolutionary, had two older sisters engaged in the underground, one of whom smuggled her letters out of prison.</w:t>
      </w:r>
      <w:r w:rsidRPr="00570413">
        <w:rPr>
          <w:rStyle w:val="FootnoteReference"/>
          <w:rFonts w:ascii="Times New Roman" w:hAnsi="Times New Roman" w:cs="Times New Roman"/>
        </w:rPr>
        <w:footnoteReference w:id="163"/>
      </w:r>
      <w:r w:rsidRPr="00570413">
        <w:rPr>
          <w:rFonts w:ascii="Times New Roman" w:hAnsi="Times New Roman" w:cs="Times New Roman"/>
        </w:rPr>
        <w:t xml:space="preserve"> Bolshevichka Aleksandra </w:t>
      </w:r>
      <w:proofErr w:type="spellStart"/>
      <w:r w:rsidRPr="00570413">
        <w:rPr>
          <w:rFonts w:ascii="Times New Roman" w:hAnsi="Times New Roman" w:cs="Times New Roman"/>
        </w:rPr>
        <w:t>Artiukhina’s</w:t>
      </w:r>
      <w:proofErr w:type="spellEnd"/>
      <w:r w:rsidRPr="00570413">
        <w:rPr>
          <w:rFonts w:ascii="Times New Roman" w:hAnsi="Times New Roman" w:cs="Times New Roman"/>
        </w:rPr>
        <w:t xml:space="preserve"> mother encouraged her at a young age to join her textile workers union, leading her to later join the Social Democratic party.</w:t>
      </w:r>
      <w:r w:rsidRPr="00570413">
        <w:rPr>
          <w:rStyle w:val="FootnoteReference"/>
          <w:rFonts w:ascii="Times New Roman" w:hAnsi="Times New Roman" w:cs="Times New Roman"/>
        </w:rPr>
        <w:footnoteReference w:id="164"/>
      </w:r>
      <w:r w:rsidRPr="00570413">
        <w:rPr>
          <w:rFonts w:ascii="Times New Roman" w:hAnsi="Times New Roman" w:cs="Times New Roman"/>
        </w:rPr>
        <w:t xml:space="preserve"> Many women involved in the underground were married to men they either met in entering revolutionary life or followed their male partners into radical politics, with half </w:t>
      </w:r>
      <w:r w:rsidR="007954FF">
        <w:rPr>
          <w:rFonts w:ascii="Times New Roman" w:hAnsi="Times New Roman" w:cs="Times New Roman"/>
        </w:rPr>
        <w:t xml:space="preserve">of the </w:t>
      </w:r>
      <w:r w:rsidRPr="00570413">
        <w:rPr>
          <w:rFonts w:ascii="Times New Roman" w:hAnsi="Times New Roman" w:cs="Times New Roman"/>
        </w:rPr>
        <w:t>women on the Executive Committee for the underground organization The People’s Will married to male members.</w:t>
      </w:r>
      <w:r w:rsidRPr="00570413">
        <w:rPr>
          <w:rStyle w:val="FootnoteReference"/>
          <w:rFonts w:ascii="Times New Roman" w:hAnsi="Times New Roman" w:cs="Times New Roman"/>
        </w:rPr>
        <w:footnoteReference w:id="165"/>
      </w:r>
      <w:r w:rsidRPr="00570413">
        <w:rPr>
          <w:rFonts w:ascii="Times New Roman" w:hAnsi="Times New Roman" w:cs="Times New Roman"/>
        </w:rPr>
        <w:t xml:space="preserve"> In fact, “37% of the Bolshevichki about whom we have information” were first exposed to radical politics through their family who were involved in the underground.</w:t>
      </w:r>
      <w:r w:rsidRPr="00570413">
        <w:rPr>
          <w:rStyle w:val="FootnoteReference"/>
          <w:rFonts w:ascii="Times New Roman" w:hAnsi="Times New Roman" w:cs="Times New Roman"/>
        </w:rPr>
        <w:footnoteReference w:id="166"/>
      </w:r>
      <w:r w:rsidRPr="00570413">
        <w:rPr>
          <w:rFonts w:ascii="Times New Roman" w:hAnsi="Times New Roman" w:cs="Times New Roman"/>
        </w:rPr>
        <w:t xml:space="preserve"> So in both literal and metaphorical terms, the party for a lot of women was family. </w:t>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 xml:space="preserve">In Engels’ </w:t>
      </w:r>
      <w:r w:rsidRPr="00570413">
        <w:rPr>
          <w:rFonts w:ascii="Times New Roman" w:hAnsi="Times New Roman" w:cs="Times New Roman"/>
          <w:i/>
        </w:rPr>
        <w:t>On the Origins of the Family</w:t>
      </w:r>
      <w:r w:rsidRPr="00570413">
        <w:rPr>
          <w:rFonts w:ascii="Times New Roman" w:hAnsi="Times New Roman" w:cs="Times New Roman"/>
        </w:rPr>
        <w:t>, he cited a quote from Marx describing how the family holds all of the contradictions and hypocrisies of the society the family existed in.</w:t>
      </w:r>
      <w:r w:rsidRPr="00570413">
        <w:rPr>
          <w:rStyle w:val="FootnoteReference"/>
          <w:rFonts w:ascii="Times New Roman" w:hAnsi="Times New Roman" w:cs="Times New Roman"/>
        </w:rPr>
        <w:footnoteReference w:id="167"/>
      </w:r>
      <w:r w:rsidRPr="00570413">
        <w:rPr>
          <w:rFonts w:ascii="Times New Roman" w:hAnsi="Times New Roman" w:cs="Times New Roman"/>
        </w:rPr>
        <w:t xml:space="preserve"> In many ways, this revolutionary ‘found’ family was bound by patriarchal framework, both that of an older Russia, as evident in works like </w:t>
      </w:r>
      <w:proofErr w:type="spellStart"/>
      <w:r w:rsidRPr="00570413">
        <w:rPr>
          <w:rFonts w:ascii="Times New Roman" w:hAnsi="Times New Roman" w:cs="Times New Roman"/>
          <w:i/>
        </w:rPr>
        <w:t>Chto</w:t>
      </w:r>
      <w:proofErr w:type="spellEnd"/>
      <w:r w:rsidRPr="00570413">
        <w:rPr>
          <w:rFonts w:ascii="Times New Roman" w:hAnsi="Times New Roman" w:cs="Times New Roman"/>
          <w:i/>
        </w:rPr>
        <w:t xml:space="preserve"> </w:t>
      </w:r>
      <w:proofErr w:type="spellStart"/>
      <w:r w:rsidRPr="00570413">
        <w:rPr>
          <w:rFonts w:ascii="Times New Roman" w:hAnsi="Times New Roman" w:cs="Times New Roman"/>
          <w:i/>
        </w:rPr>
        <w:t>Delat</w:t>
      </w:r>
      <w:proofErr w:type="spellEnd"/>
      <w:r w:rsidRPr="00570413">
        <w:rPr>
          <w:rFonts w:ascii="Times New Roman" w:hAnsi="Times New Roman" w:cs="Times New Roman"/>
          <w:i/>
        </w:rPr>
        <w:t>?</w:t>
      </w:r>
      <w:r w:rsidRPr="00570413">
        <w:rPr>
          <w:rFonts w:ascii="Times New Roman" w:hAnsi="Times New Roman" w:cs="Times New Roman"/>
        </w:rPr>
        <w:t>, and in the then present conceptions of revolutionary gender dynamics, where it was generally accepted, especially in the Bolshevik party after 1917 that women were oppressed in society but didn’t particularly care to actually do any tangible work to address those specific concerns.</w:t>
      </w:r>
      <w:r w:rsidRPr="00570413">
        <w:rPr>
          <w:rStyle w:val="FootnoteReference"/>
          <w:rFonts w:ascii="Times New Roman" w:hAnsi="Times New Roman" w:cs="Times New Roman"/>
        </w:rPr>
        <w:footnoteReference w:id="168"/>
      </w:r>
      <w:r w:rsidRPr="00570413">
        <w:rPr>
          <w:rFonts w:ascii="Times New Roman" w:hAnsi="Times New Roman" w:cs="Times New Roman"/>
        </w:rPr>
        <w:t xml:space="preserve"> The monogamous paired marriage described by Engels in </w:t>
      </w:r>
      <w:r w:rsidRPr="00570413">
        <w:rPr>
          <w:rFonts w:ascii="Times New Roman" w:hAnsi="Times New Roman" w:cs="Times New Roman"/>
          <w:i/>
        </w:rPr>
        <w:t>Origins</w:t>
      </w:r>
      <w:r w:rsidRPr="00570413">
        <w:rPr>
          <w:rFonts w:ascii="Times New Roman" w:hAnsi="Times New Roman" w:cs="Times New Roman"/>
        </w:rPr>
        <w:t xml:space="preserve"> is inherently both patriarchal and bourgeois</w:t>
      </w:r>
      <w:r w:rsidR="00B90F4B" w:rsidRPr="00570413">
        <w:rPr>
          <w:rFonts w:ascii="Times New Roman" w:hAnsi="Times New Roman" w:cs="Times New Roman"/>
        </w:rPr>
        <w:t>.</w:t>
      </w:r>
      <w:r w:rsidR="00B90F4B" w:rsidRPr="00570413">
        <w:rPr>
          <w:rStyle w:val="FootnoteReference"/>
          <w:rFonts w:ascii="Times New Roman" w:hAnsi="Times New Roman" w:cs="Times New Roman"/>
        </w:rPr>
        <w:footnoteReference w:id="169"/>
      </w:r>
      <w:r w:rsidR="00B90F4B" w:rsidRPr="00570413">
        <w:rPr>
          <w:rFonts w:ascii="Times New Roman" w:hAnsi="Times New Roman" w:cs="Times New Roman"/>
        </w:rPr>
        <w:t xml:space="preserve"> </w:t>
      </w:r>
      <w:r w:rsidRPr="00570413">
        <w:rPr>
          <w:rFonts w:ascii="Times New Roman" w:hAnsi="Times New Roman" w:cs="Times New Roman"/>
        </w:rPr>
        <w:t xml:space="preserve">According to his theory, if the system that functions on private property and capital is abolished and rewritten, </w:t>
      </w:r>
      <w:r w:rsidRPr="00570413">
        <w:rPr>
          <w:rFonts w:ascii="Times New Roman" w:hAnsi="Times New Roman" w:cs="Times New Roman"/>
        </w:rPr>
        <w:lastRenderedPageBreak/>
        <w:t xml:space="preserve">then the patriarchal nature of that system will therefore also cease to exist. This abolition of patriarchy seems to exist in a vacuum for Engels, where years of organization under a patriarchal </w:t>
      </w:r>
      <w:r w:rsidRPr="007954FF">
        <w:rPr>
          <w:rFonts w:ascii="Times New Roman" w:hAnsi="Times New Roman" w:cs="Times New Roman"/>
        </w:rPr>
        <w:t xml:space="preserve">monogamous marriage seem to have no </w:t>
      </w:r>
      <w:r w:rsidR="007954FF" w:rsidRPr="007954FF">
        <w:rPr>
          <w:rFonts w:ascii="Times New Roman" w:hAnsi="Times New Roman" w:cs="Times New Roman"/>
        </w:rPr>
        <w:t>effect on</w:t>
      </w:r>
      <w:r w:rsidRPr="007954FF">
        <w:rPr>
          <w:rFonts w:ascii="Times New Roman" w:hAnsi="Times New Roman" w:cs="Times New Roman"/>
        </w:rPr>
        <w:t xml:space="preserve"> the ways in which women were oppressed</w:t>
      </w:r>
      <w:r w:rsidR="00B90F4B" w:rsidRPr="007954FF">
        <w:rPr>
          <w:rFonts w:ascii="Times New Roman" w:hAnsi="Times New Roman" w:cs="Times New Roman"/>
        </w:rPr>
        <w:t>.</w:t>
      </w:r>
      <w:r w:rsidRPr="00570413">
        <w:rPr>
          <w:rFonts w:ascii="Times New Roman" w:hAnsi="Times New Roman" w:cs="Times New Roman"/>
        </w:rPr>
        <w:t xml:space="preserve"> This major problem with Engels’ theory as it concerns women’s liberation is reflected in the policies passed by the Bolshevik party in regards to the family</w:t>
      </w:r>
      <w:r w:rsidR="00B90F4B" w:rsidRPr="00570413">
        <w:rPr>
          <w:rFonts w:ascii="Times New Roman" w:hAnsi="Times New Roman" w:cs="Times New Roman"/>
        </w:rPr>
        <w:t>.</w:t>
      </w:r>
      <w:r w:rsidRPr="00570413">
        <w:rPr>
          <w:rFonts w:ascii="Times New Roman" w:hAnsi="Times New Roman" w:cs="Times New Roman"/>
        </w:rPr>
        <w:t xml:space="preserve"> </w:t>
      </w:r>
    </w:p>
    <w:p w:rsidR="00B36C75" w:rsidRPr="00570413" w:rsidRDefault="00B36C75" w:rsidP="00BB1D50">
      <w:pPr>
        <w:spacing w:line="480" w:lineRule="auto"/>
        <w:ind w:firstLine="720"/>
        <w:rPr>
          <w:rFonts w:ascii="Times New Roman" w:hAnsi="Times New Roman" w:cs="Times New Roman"/>
        </w:rPr>
      </w:pPr>
      <w:r w:rsidRPr="00570413">
        <w:rPr>
          <w:rFonts w:ascii="Times New Roman" w:hAnsi="Times New Roman" w:cs="Times New Roman"/>
        </w:rPr>
        <w:t xml:space="preserve">There was a concern within the Bolshevik party about transforming women’s lives particularly as </w:t>
      </w:r>
      <w:r w:rsidR="007954FF">
        <w:rPr>
          <w:rFonts w:ascii="Times New Roman" w:hAnsi="Times New Roman" w:cs="Times New Roman"/>
        </w:rPr>
        <w:t>they</w:t>
      </w:r>
      <w:r w:rsidRPr="00570413">
        <w:rPr>
          <w:rFonts w:ascii="Times New Roman" w:hAnsi="Times New Roman" w:cs="Times New Roman"/>
        </w:rPr>
        <w:t xml:space="preserve"> concerned the family, but did not have any plans or real concerns regarding altering the gender roles within the family.</w:t>
      </w:r>
      <w:r w:rsidRPr="00570413">
        <w:rPr>
          <w:rStyle w:val="FootnoteReference"/>
          <w:rFonts w:ascii="Times New Roman" w:hAnsi="Times New Roman" w:cs="Times New Roman"/>
        </w:rPr>
        <w:footnoteReference w:id="170"/>
      </w:r>
      <w:r w:rsidRPr="00570413">
        <w:rPr>
          <w:rFonts w:ascii="Times New Roman" w:hAnsi="Times New Roman" w:cs="Times New Roman"/>
        </w:rPr>
        <w:t xml:space="preserve"> This can be most clearly seen in debates between Bolshevik thinkers about the organization of the family and women’s role in society and the family. Most Bolshevik theorists agreed that childcare needed to be transferred from being the responsibility of the woman to the responsibility of the state.</w:t>
      </w:r>
      <w:r w:rsidRPr="00570413">
        <w:rPr>
          <w:rStyle w:val="FootnoteReference"/>
          <w:rFonts w:ascii="Times New Roman" w:hAnsi="Times New Roman" w:cs="Times New Roman"/>
        </w:rPr>
        <w:footnoteReference w:id="171"/>
      </w:r>
      <w:r w:rsidRPr="00570413">
        <w:rPr>
          <w:rFonts w:ascii="Times New Roman" w:hAnsi="Times New Roman" w:cs="Times New Roman"/>
        </w:rPr>
        <w:t xml:space="preserve"> The abolition of the family would grant women the ability to participate in public life the way men were able to without being burdened by childcare and various forms of household labor, through the creation of state daycares and laundromats.</w:t>
      </w:r>
      <w:r w:rsidRPr="00570413">
        <w:rPr>
          <w:rStyle w:val="FootnoteReference"/>
          <w:rFonts w:ascii="Times New Roman" w:hAnsi="Times New Roman" w:cs="Times New Roman"/>
        </w:rPr>
        <w:footnoteReference w:id="172"/>
      </w:r>
      <w:r w:rsidRPr="00570413">
        <w:rPr>
          <w:rFonts w:ascii="Times New Roman" w:hAnsi="Times New Roman" w:cs="Times New Roman"/>
        </w:rPr>
        <w:t xml:space="preserve"> While understanding that household labor was something that oppressed women in the home, in their vision of the Bolshevik ‘family,’ men were not encouraged to share in housework that could not be relegated by the state.</w:t>
      </w:r>
      <w:r w:rsidRPr="00570413">
        <w:rPr>
          <w:rStyle w:val="FootnoteReference"/>
          <w:rFonts w:ascii="Times New Roman" w:hAnsi="Times New Roman" w:cs="Times New Roman"/>
        </w:rPr>
        <w:footnoteReference w:id="173"/>
      </w:r>
      <w:r w:rsidRPr="00570413">
        <w:rPr>
          <w:rFonts w:ascii="Times New Roman" w:hAnsi="Times New Roman" w:cs="Times New Roman"/>
        </w:rPr>
        <w:t xml:space="preserve"> </w:t>
      </w:r>
      <w:r w:rsidR="00296C6C" w:rsidRPr="00570413">
        <w:rPr>
          <w:rFonts w:ascii="Times New Roman" w:hAnsi="Times New Roman" w:cs="Times New Roman"/>
        </w:rPr>
        <w:t xml:space="preserve">So while revolutionary orthodoxy was that the revolution should liberate </w:t>
      </w:r>
      <w:r w:rsidR="00296C6C" w:rsidRPr="007954FF">
        <w:rPr>
          <w:rFonts w:ascii="Times New Roman" w:hAnsi="Times New Roman" w:cs="Times New Roman"/>
        </w:rPr>
        <w:t>women and transform their lives, this transformation was mostly related to women’s actions in entering public life without being burdened by the family w</w:t>
      </w:r>
      <w:r w:rsidR="007954FF" w:rsidRPr="007954FF">
        <w:rPr>
          <w:rFonts w:ascii="Times New Roman" w:hAnsi="Times New Roman" w:cs="Times New Roman"/>
        </w:rPr>
        <w:t>hile not raising a</w:t>
      </w:r>
      <w:r w:rsidR="00296C6C" w:rsidRPr="007954FF">
        <w:rPr>
          <w:rFonts w:ascii="Times New Roman" w:hAnsi="Times New Roman" w:cs="Times New Roman"/>
        </w:rPr>
        <w:t xml:space="preserve"> concern for a transformation of men’s actions.</w:t>
      </w:r>
      <w:r w:rsidR="00296C6C" w:rsidRPr="00570413">
        <w:rPr>
          <w:rFonts w:ascii="Times New Roman" w:hAnsi="Times New Roman" w:cs="Times New Roman"/>
        </w:rPr>
        <w:t xml:space="preserve"> </w:t>
      </w:r>
      <w:r w:rsidRPr="00570413">
        <w:rPr>
          <w:rFonts w:ascii="Times New Roman" w:hAnsi="Times New Roman" w:cs="Times New Roman"/>
        </w:rPr>
        <w:t xml:space="preserve"> Many Bolsheviks also debated on the importance of the parent-child</w:t>
      </w:r>
      <w:r w:rsidR="00BB1D50" w:rsidRPr="00570413">
        <w:rPr>
          <w:rFonts w:ascii="Times New Roman" w:hAnsi="Times New Roman" w:cs="Times New Roman"/>
        </w:rPr>
        <w:t xml:space="preserve"> bond</w:t>
      </w:r>
      <w:r w:rsidRPr="00570413">
        <w:rPr>
          <w:rFonts w:ascii="Times New Roman" w:hAnsi="Times New Roman" w:cs="Times New Roman"/>
        </w:rPr>
        <w:t xml:space="preserve">, particularly the mother-child bond as it pertained to Bolshevik society after the abolition of the family. Though there </w:t>
      </w:r>
      <w:r w:rsidRPr="00570413">
        <w:rPr>
          <w:rFonts w:ascii="Times New Roman" w:hAnsi="Times New Roman" w:cs="Times New Roman"/>
        </w:rPr>
        <w:lastRenderedPageBreak/>
        <w:t>were people who felt that this bond would remain even after the creation of state sponsored childcare centers, many soviets felt that children could be raised without the need for mothers and solely by paid employees.</w:t>
      </w:r>
      <w:r w:rsidRPr="00570413">
        <w:rPr>
          <w:rStyle w:val="FootnoteReference"/>
          <w:rFonts w:ascii="Times New Roman" w:hAnsi="Times New Roman" w:cs="Times New Roman"/>
        </w:rPr>
        <w:footnoteReference w:id="174"/>
      </w:r>
      <w:r w:rsidRPr="00570413">
        <w:rPr>
          <w:rFonts w:ascii="Times New Roman" w:hAnsi="Times New Roman" w:cs="Times New Roman"/>
        </w:rPr>
        <w:t xml:space="preserve"> However, this rejection of the importance of emotional bonds in raising children is once again a reflection of the concept of ‘</w:t>
      </w:r>
      <w:proofErr w:type="spellStart"/>
      <w:r w:rsidRPr="00570413">
        <w:rPr>
          <w:rFonts w:ascii="Times New Roman" w:hAnsi="Times New Roman" w:cs="Times New Roman"/>
        </w:rPr>
        <w:t>tverdost</w:t>
      </w:r>
      <w:proofErr w:type="spellEnd"/>
      <w:r w:rsidRPr="00570413">
        <w:rPr>
          <w:rFonts w:ascii="Times New Roman" w:hAnsi="Times New Roman" w:cs="Times New Roman"/>
        </w:rPr>
        <w:t>’ that emphasized a suppression of one’s emotions as a commitment to their revolutionary ethos. It seemed that orthodoxy was a primary concern when it came to a rejection of all things typically considered feminine</w:t>
      </w:r>
      <w:r w:rsidR="00296C6C" w:rsidRPr="00570413">
        <w:rPr>
          <w:rFonts w:ascii="Times New Roman" w:hAnsi="Times New Roman" w:cs="Times New Roman"/>
        </w:rPr>
        <w:t xml:space="preserve"> and not when it came to addressing men’s lives and actions</w:t>
      </w:r>
      <w:r w:rsidRPr="00570413">
        <w:rPr>
          <w:rFonts w:ascii="Times New Roman" w:hAnsi="Times New Roman" w:cs="Times New Roman"/>
        </w:rPr>
        <w:t>. There was an idea that because this was baked into the philosophy that it would therefore be baked into the Revolutio</w:t>
      </w:r>
      <w:r w:rsidR="00296C6C" w:rsidRPr="00570413">
        <w:rPr>
          <w:rFonts w:ascii="Times New Roman" w:hAnsi="Times New Roman" w:cs="Times New Roman"/>
        </w:rPr>
        <w:t>n</w:t>
      </w:r>
      <w:r w:rsidRPr="00570413">
        <w:rPr>
          <w:rFonts w:ascii="Times New Roman" w:hAnsi="Times New Roman" w:cs="Times New Roman"/>
        </w:rPr>
        <w:t xml:space="preserve">. </w:t>
      </w:r>
      <w:r w:rsidR="00BB1D50" w:rsidRPr="00570413">
        <w:rPr>
          <w:rFonts w:ascii="Times New Roman" w:hAnsi="Times New Roman" w:cs="Times New Roman"/>
        </w:rPr>
        <w:t>This inability to actually directly discuss gender issues not related to class oppression</w:t>
      </w:r>
      <w:r w:rsidRPr="00570413">
        <w:rPr>
          <w:rFonts w:ascii="Times New Roman" w:hAnsi="Times New Roman" w:cs="Times New Roman"/>
        </w:rPr>
        <w:t xml:space="preserve"> eventually</w:t>
      </w:r>
      <w:r w:rsidR="00BB1D50" w:rsidRPr="00570413">
        <w:rPr>
          <w:rFonts w:ascii="Times New Roman" w:hAnsi="Times New Roman" w:cs="Times New Roman"/>
        </w:rPr>
        <w:t xml:space="preserve"> led to</w:t>
      </w:r>
      <w:r w:rsidRPr="00570413">
        <w:rPr>
          <w:rFonts w:ascii="Times New Roman" w:hAnsi="Times New Roman" w:cs="Times New Roman"/>
        </w:rPr>
        <w:t xml:space="preserve"> militarizing the party more during the civil war,</w:t>
      </w:r>
      <w:r w:rsidR="00BB1D50" w:rsidRPr="00570413">
        <w:rPr>
          <w:rFonts w:ascii="Times New Roman" w:hAnsi="Times New Roman" w:cs="Times New Roman"/>
        </w:rPr>
        <w:t xml:space="preserve"> with </w:t>
      </w:r>
      <w:r w:rsidRPr="00570413">
        <w:rPr>
          <w:rFonts w:ascii="Times New Roman" w:hAnsi="Times New Roman" w:cs="Times New Roman"/>
        </w:rPr>
        <w:t xml:space="preserve">women to take less and less leadership positions, and eventually </w:t>
      </w:r>
      <w:r w:rsidR="00BB1D50" w:rsidRPr="00570413">
        <w:rPr>
          <w:rFonts w:ascii="Times New Roman" w:hAnsi="Times New Roman" w:cs="Times New Roman"/>
        </w:rPr>
        <w:t xml:space="preserve">culminating in </w:t>
      </w:r>
      <w:r w:rsidRPr="00570413">
        <w:rPr>
          <w:rFonts w:ascii="Times New Roman" w:hAnsi="Times New Roman" w:cs="Times New Roman"/>
        </w:rPr>
        <w:t>the final blow of the hyper fixation on a hyper realized version of masculinity during the Stalin years.</w:t>
      </w:r>
      <w:r w:rsidR="007A7576">
        <w:rPr>
          <w:rStyle w:val="FootnoteReference"/>
          <w:rFonts w:ascii="Times New Roman" w:hAnsi="Times New Roman" w:cs="Times New Roman"/>
        </w:rPr>
        <w:footnoteReference w:id="175"/>
      </w:r>
    </w:p>
    <w:p w:rsidR="00B36C75" w:rsidRPr="00570413" w:rsidRDefault="00B36C75" w:rsidP="00B36C75">
      <w:pPr>
        <w:spacing w:line="480" w:lineRule="auto"/>
        <w:ind w:firstLine="720"/>
        <w:rPr>
          <w:rFonts w:ascii="Times New Roman" w:hAnsi="Times New Roman" w:cs="Times New Roman"/>
        </w:rPr>
      </w:pPr>
      <w:r w:rsidRPr="00570413">
        <w:rPr>
          <w:rFonts w:ascii="Times New Roman" w:hAnsi="Times New Roman" w:cs="Times New Roman"/>
        </w:rPr>
        <w:t>There are inherent issues evident in Engels</w:t>
      </w:r>
      <w:r w:rsidR="007954FF">
        <w:rPr>
          <w:rFonts w:ascii="Times New Roman" w:hAnsi="Times New Roman" w:cs="Times New Roman"/>
        </w:rPr>
        <w:t>’</w:t>
      </w:r>
      <w:r w:rsidRPr="00570413">
        <w:rPr>
          <w:rFonts w:ascii="Times New Roman" w:hAnsi="Times New Roman" w:cs="Times New Roman"/>
        </w:rPr>
        <w:t xml:space="preserve"> argument on women’s oppression and liberation as laid out in </w:t>
      </w:r>
      <w:r w:rsidRPr="00570413">
        <w:rPr>
          <w:rFonts w:ascii="Times New Roman" w:hAnsi="Times New Roman" w:cs="Times New Roman"/>
          <w:i/>
        </w:rPr>
        <w:t>Origins</w:t>
      </w:r>
      <w:r w:rsidRPr="00570413">
        <w:rPr>
          <w:rFonts w:ascii="Times New Roman" w:hAnsi="Times New Roman" w:cs="Times New Roman"/>
        </w:rPr>
        <w:t>. In his construction, private property leads to the onset of the patrilineal family which develops into the subjugation of women through the family.</w:t>
      </w:r>
      <w:r w:rsidR="007A7576">
        <w:rPr>
          <w:rStyle w:val="FootnoteReference"/>
          <w:rFonts w:ascii="Times New Roman" w:hAnsi="Times New Roman" w:cs="Times New Roman"/>
        </w:rPr>
        <w:footnoteReference w:id="176"/>
      </w:r>
      <w:r w:rsidRPr="00570413">
        <w:rPr>
          <w:rFonts w:ascii="Times New Roman" w:hAnsi="Times New Roman" w:cs="Times New Roman"/>
        </w:rPr>
        <w:t xml:space="preserve"> Then through an overthrow of capitalist structures, women would be emancipated.</w:t>
      </w:r>
      <w:r w:rsidR="007A7576">
        <w:rPr>
          <w:rStyle w:val="FootnoteReference"/>
          <w:rFonts w:ascii="Times New Roman" w:hAnsi="Times New Roman" w:cs="Times New Roman"/>
        </w:rPr>
        <w:footnoteReference w:id="177"/>
      </w:r>
      <w:r w:rsidRPr="00570413">
        <w:rPr>
          <w:rFonts w:ascii="Times New Roman" w:hAnsi="Times New Roman" w:cs="Times New Roman"/>
        </w:rPr>
        <w:t xml:space="preserve"> The problem is Engels seems to discuss this process like it happens in a vacuum. He does not account for the time it takes in between these stages of development, </w:t>
      </w:r>
      <w:r w:rsidR="007954FF">
        <w:rPr>
          <w:rFonts w:ascii="Times New Roman" w:hAnsi="Times New Roman" w:cs="Times New Roman"/>
        </w:rPr>
        <w:t>or</w:t>
      </w:r>
      <w:r w:rsidRPr="00570413">
        <w:rPr>
          <w:rFonts w:ascii="Times New Roman" w:hAnsi="Times New Roman" w:cs="Times New Roman"/>
        </w:rPr>
        <w:t xml:space="preserve"> how the formations of families during the progression of these stages informs culture and is then in turn informed by that same culture. There are various cultural repercussions of the patriarchal monogamous family, and in pure Marxist thought, there is a lot of time needed for a industrializing nation to reach the stage of </w:t>
      </w:r>
      <w:r w:rsidRPr="00570413">
        <w:rPr>
          <w:rFonts w:ascii="Times New Roman" w:hAnsi="Times New Roman" w:cs="Times New Roman"/>
        </w:rPr>
        <w:lastRenderedPageBreak/>
        <w:t>capitalism where a revolution can then occur. This time period allows the patriarchal nature of the monogamous family to embed the patriarchy that binds it into its greater culture and vice versa.</w:t>
      </w:r>
    </w:p>
    <w:p w:rsidR="00B36C75" w:rsidRPr="00570413" w:rsidRDefault="00B36C75" w:rsidP="00B36C75">
      <w:pPr>
        <w:spacing w:line="480" w:lineRule="auto"/>
        <w:rPr>
          <w:rFonts w:ascii="Times New Roman" w:hAnsi="Times New Roman" w:cs="Times New Roman"/>
        </w:rPr>
      </w:pPr>
      <w:r w:rsidRPr="00570413">
        <w:rPr>
          <w:rFonts w:ascii="Times New Roman" w:hAnsi="Times New Roman" w:cs="Times New Roman"/>
        </w:rPr>
        <w:tab/>
        <w:t>This inability for Engels to continue dissecting his theory of women’s subjugation is reflected in the Bolshevik party’s lack of effort in transforming the lives of women in a way that extends beyond simply pushing more women into wage labor and creating state childcare centers. Granted, the Bolshevik party did, especially up until 1917, provide opportunities for women to be politically engaged in a way that was otherwise impossible outside of the party, providing a strong feeling of liberation for many Bolshevichki.</w:t>
      </w:r>
      <w:r w:rsidRPr="00570413">
        <w:rPr>
          <w:rStyle w:val="FootnoteReference"/>
          <w:rFonts w:ascii="Times New Roman" w:hAnsi="Times New Roman" w:cs="Times New Roman"/>
        </w:rPr>
        <w:footnoteReference w:id="178"/>
      </w:r>
      <w:r w:rsidRPr="00570413">
        <w:rPr>
          <w:rFonts w:ascii="Times New Roman" w:hAnsi="Times New Roman" w:cs="Times New Roman"/>
        </w:rPr>
        <w:t xml:space="preserve"> That </w:t>
      </w:r>
      <w:r w:rsidR="007954FF">
        <w:rPr>
          <w:rFonts w:ascii="Times New Roman" w:hAnsi="Times New Roman" w:cs="Times New Roman"/>
        </w:rPr>
        <w:t xml:space="preserve">the </w:t>
      </w:r>
      <w:r w:rsidRPr="00570413">
        <w:rPr>
          <w:rFonts w:ascii="Times New Roman" w:hAnsi="Times New Roman" w:cs="Times New Roman"/>
        </w:rPr>
        <w:t>emancipation of women through wage labor during the revolution was one of their orthodoxies did not necessarily mean that there was any work to be done on this front since this concept is meant to just be a byproduct of the revolution.</w:t>
      </w:r>
      <w:r w:rsidRPr="00570413">
        <w:rPr>
          <w:rStyle w:val="FootnoteReference"/>
          <w:rFonts w:ascii="Times New Roman" w:hAnsi="Times New Roman" w:cs="Times New Roman"/>
        </w:rPr>
        <w:footnoteReference w:id="179"/>
      </w:r>
      <w:r w:rsidRPr="00570413">
        <w:rPr>
          <w:rFonts w:ascii="Times New Roman" w:hAnsi="Times New Roman" w:cs="Times New Roman"/>
        </w:rPr>
        <w:t xml:space="preserve"> </w:t>
      </w:r>
    </w:p>
    <w:p w:rsidR="009228BE" w:rsidRPr="00570413" w:rsidRDefault="00B36C75" w:rsidP="00F1363A">
      <w:pPr>
        <w:spacing w:line="480" w:lineRule="auto"/>
        <w:rPr>
          <w:rFonts w:ascii="Times New Roman" w:hAnsi="Times New Roman" w:cs="Times New Roman"/>
        </w:rPr>
      </w:pPr>
      <w:r w:rsidRPr="00570413">
        <w:rPr>
          <w:rFonts w:ascii="Times New Roman" w:hAnsi="Times New Roman" w:cs="Times New Roman"/>
        </w:rPr>
        <w:tab/>
        <w:t xml:space="preserve">From its early formation, the Russian women’s movement was always tied to an understanding of economic oppression and how these two forms of subjugation informed each other. Yet theories of economic oppression were not always tied to women’s liberation, as even in </w:t>
      </w:r>
      <w:r w:rsidRPr="00570413">
        <w:rPr>
          <w:rFonts w:ascii="Times New Roman" w:hAnsi="Times New Roman" w:cs="Times New Roman"/>
          <w:i/>
        </w:rPr>
        <w:t>Origins</w:t>
      </w:r>
      <w:r w:rsidRPr="00570413">
        <w:rPr>
          <w:rFonts w:ascii="Times New Roman" w:hAnsi="Times New Roman" w:cs="Times New Roman"/>
        </w:rPr>
        <w:t xml:space="preserve"> and other Marxist texts that touch on gender issues, gender exists almost on the periphery of their theories, or were at best fully baked theories with half-baked mentions of gender.</w:t>
      </w:r>
      <w:r w:rsidR="00C97E96" w:rsidRPr="00570413">
        <w:rPr>
          <w:rFonts w:ascii="Times New Roman" w:hAnsi="Times New Roman" w:cs="Times New Roman"/>
        </w:rPr>
        <w:t xml:space="preserve"> Engels’ </w:t>
      </w:r>
      <w:r w:rsidR="00C97E96" w:rsidRPr="007954FF">
        <w:rPr>
          <w:rFonts w:ascii="Times New Roman" w:hAnsi="Times New Roman" w:cs="Times New Roman"/>
          <w:i/>
        </w:rPr>
        <w:t>Origins</w:t>
      </w:r>
      <w:r w:rsidR="00C97E96" w:rsidRPr="00570413">
        <w:rPr>
          <w:rFonts w:ascii="Times New Roman" w:hAnsi="Times New Roman" w:cs="Times New Roman"/>
        </w:rPr>
        <w:t xml:space="preserve"> was not intended to be a text on women’s subjugation, but was rather a theory on the economic organization of modern societies that happened to discuss </w:t>
      </w:r>
      <w:r w:rsidR="007954FF">
        <w:rPr>
          <w:rFonts w:ascii="Times New Roman" w:hAnsi="Times New Roman" w:cs="Times New Roman"/>
        </w:rPr>
        <w:t xml:space="preserve">a </w:t>
      </w:r>
      <w:r w:rsidR="00C97E96" w:rsidRPr="00570413">
        <w:rPr>
          <w:rFonts w:ascii="Times New Roman" w:hAnsi="Times New Roman" w:cs="Times New Roman"/>
        </w:rPr>
        <w:t>wom</w:t>
      </w:r>
      <w:r w:rsidR="007954FF">
        <w:rPr>
          <w:rFonts w:ascii="Times New Roman" w:hAnsi="Times New Roman" w:cs="Times New Roman"/>
        </w:rPr>
        <w:t>a</w:t>
      </w:r>
      <w:r w:rsidR="00C97E96" w:rsidRPr="00570413">
        <w:rPr>
          <w:rFonts w:ascii="Times New Roman" w:hAnsi="Times New Roman" w:cs="Times New Roman"/>
        </w:rPr>
        <w:t>n’s subjugation because of her role in the family.</w:t>
      </w:r>
      <w:r w:rsidR="00C97E96" w:rsidRPr="00570413">
        <w:rPr>
          <w:rStyle w:val="FootnoteReference"/>
          <w:rFonts w:ascii="Times New Roman" w:hAnsi="Times New Roman" w:cs="Times New Roman"/>
        </w:rPr>
        <w:footnoteReference w:id="180"/>
      </w:r>
      <w:r w:rsidRPr="00570413">
        <w:rPr>
          <w:rFonts w:ascii="Times New Roman" w:hAnsi="Times New Roman" w:cs="Times New Roman"/>
        </w:rPr>
        <w:t xml:space="preserve"> For the Bolsheviks, women’s liberation </w:t>
      </w:r>
      <w:r w:rsidR="00C97E96" w:rsidRPr="00570413">
        <w:rPr>
          <w:rFonts w:ascii="Times New Roman" w:hAnsi="Times New Roman" w:cs="Times New Roman"/>
        </w:rPr>
        <w:t xml:space="preserve">was an important goal of the revolution, but not because of their commitment to women’s liberation, as </w:t>
      </w:r>
      <w:r w:rsidR="00C97E96" w:rsidRPr="00570413">
        <w:rPr>
          <w:rFonts w:ascii="Times New Roman" w:hAnsi="Times New Roman" w:cs="Times New Roman"/>
        </w:rPr>
        <w:lastRenderedPageBreak/>
        <w:t xml:space="preserve">they were more concerned with economic liberation. </w:t>
      </w:r>
      <w:r w:rsidRPr="00570413">
        <w:rPr>
          <w:rFonts w:ascii="Times New Roman" w:hAnsi="Times New Roman" w:cs="Times New Roman"/>
        </w:rPr>
        <w:t>The Bolshevik party particularly had an issue with presenting itself as being a party that among other things, was concerned with women’s liberation. And it was able to make many Bolshevichki feel liberated simply by being a working member of a political party</w:t>
      </w:r>
      <w:r w:rsidR="00C97E96" w:rsidRPr="00570413">
        <w:rPr>
          <w:rFonts w:ascii="Times New Roman" w:hAnsi="Times New Roman" w:cs="Times New Roman"/>
        </w:rPr>
        <w:t xml:space="preserve"> or an underground society</w:t>
      </w:r>
      <w:r w:rsidRPr="00570413">
        <w:rPr>
          <w:rFonts w:ascii="Times New Roman" w:hAnsi="Times New Roman" w:cs="Times New Roman"/>
        </w:rPr>
        <w:t xml:space="preserve">. </w:t>
      </w:r>
      <w:r w:rsidR="00C97E96" w:rsidRPr="00570413">
        <w:rPr>
          <w:rFonts w:ascii="Times New Roman" w:hAnsi="Times New Roman" w:cs="Times New Roman"/>
        </w:rPr>
        <w:t>Unfortunately with both Engels and then the Bolshevik party’s failures to discuss and understand women’s liberation outside of economic terms</w:t>
      </w:r>
      <w:r w:rsidR="00F1363A" w:rsidRPr="00570413">
        <w:rPr>
          <w:rFonts w:ascii="Times New Roman" w:hAnsi="Times New Roman" w:cs="Times New Roman"/>
        </w:rPr>
        <w:t>, while rejecting western, bourgeois feminism, Russian revolutionary women were trapped in an active-passive citizenship dichotomy. Instead of being liberated from class</w:t>
      </w:r>
      <w:r w:rsidR="007954FF">
        <w:rPr>
          <w:rFonts w:ascii="Times New Roman" w:hAnsi="Times New Roman" w:cs="Times New Roman"/>
        </w:rPr>
        <w:t>-</w:t>
      </w:r>
      <w:r w:rsidR="00F1363A" w:rsidRPr="00570413">
        <w:rPr>
          <w:rFonts w:ascii="Times New Roman" w:hAnsi="Times New Roman" w:cs="Times New Roman"/>
        </w:rPr>
        <w:t xml:space="preserve">based and therefore gender-based oppression, the ‘women’s movement’ during the Russian revolutions of 1905 and 1917 granted women the ability to exist in public life with less of the burden of private, family life, without ending gender-based oppression in totality. </w:t>
      </w:r>
    </w:p>
    <w:p w:rsidR="009228BE" w:rsidRPr="00570413" w:rsidRDefault="009228BE">
      <w:pPr>
        <w:rPr>
          <w:rFonts w:ascii="Times New Roman" w:hAnsi="Times New Roman" w:cs="Times New Roman"/>
        </w:rPr>
      </w:pPr>
    </w:p>
    <w:p w:rsidR="009228BE" w:rsidRPr="00570413" w:rsidRDefault="009228BE">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B90F4B" w:rsidRPr="00570413" w:rsidRDefault="00B90F4B">
      <w:pPr>
        <w:rPr>
          <w:rFonts w:ascii="Times New Roman" w:hAnsi="Times New Roman" w:cs="Times New Roman"/>
        </w:rPr>
      </w:pPr>
    </w:p>
    <w:p w:rsidR="00570413" w:rsidRDefault="00570413" w:rsidP="00570413">
      <w:pPr>
        <w:spacing w:line="480" w:lineRule="auto"/>
        <w:rPr>
          <w:rFonts w:ascii="Times New Roman" w:hAnsi="Times New Roman" w:cs="Times New Roman"/>
        </w:rPr>
      </w:pPr>
    </w:p>
    <w:p w:rsidR="007954FF" w:rsidRDefault="007954FF" w:rsidP="00570413">
      <w:pPr>
        <w:spacing w:line="480" w:lineRule="auto"/>
        <w:jc w:val="center"/>
        <w:rPr>
          <w:rFonts w:ascii="Times New Roman" w:hAnsi="Times New Roman" w:cs="Times New Roman"/>
          <w:b/>
        </w:rPr>
      </w:pPr>
    </w:p>
    <w:p w:rsidR="00F1363A" w:rsidRPr="00570413" w:rsidRDefault="009228BE" w:rsidP="00570413">
      <w:pPr>
        <w:spacing w:line="480" w:lineRule="auto"/>
        <w:jc w:val="center"/>
        <w:rPr>
          <w:rFonts w:ascii="Times New Roman" w:hAnsi="Times New Roman" w:cs="Times New Roman"/>
          <w:b/>
        </w:rPr>
      </w:pPr>
      <w:r w:rsidRPr="00570413">
        <w:rPr>
          <w:rFonts w:ascii="Times New Roman" w:hAnsi="Times New Roman" w:cs="Times New Roman"/>
          <w:b/>
        </w:rPr>
        <w:lastRenderedPageBreak/>
        <w:t>CONCLUSION:</w:t>
      </w:r>
    </w:p>
    <w:p w:rsidR="00F1363A" w:rsidRDefault="00275866" w:rsidP="00F63B4B">
      <w:pPr>
        <w:spacing w:line="480" w:lineRule="auto"/>
        <w:ind w:firstLine="720"/>
        <w:rPr>
          <w:rFonts w:ascii="Times New Roman" w:hAnsi="Times New Roman" w:cs="Times New Roman"/>
        </w:rPr>
      </w:pPr>
      <w:r w:rsidRPr="00570413">
        <w:rPr>
          <w:rFonts w:ascii="Times New Roman" w:hAnsi="Times New Roman" w:cs="Times New Roman"/>
        </w:rPr>
        <w:t>The French revolutionary legacy was of paramount concern to the Tsarist regime leading up to the turn of the 20</w:t>
      </w:r>
      <w:r w:rsidRPr="00570413">
        <w:rPr>
          <w:rFonts w:ascii="Times New Roman" w:hAnsi="Times New Roman" w:cs="Times New Roman"/>
          <w:vertAlign w:val="superscript"/>
        </w:rPr>
        <w:t>th</w:t>
      </w:r>
      <w:r w:rsidRPr="00570413">
        <w:rPr>
          <w:rFonts w:ascii="Times New Roman" w:hAnsi="Times New Roman" w:cs="Times New Roman"/>
        </w:rPr>
        <w:t xml:space="preserve"> century because of the rampant </w:t>
      </w:r>
      <w:r w:rsidR="00F1363A" w:rsidRPr="00570413">
        <w:rPr>
          <w:rFonts w:ascii="Times New Roman" w:hAnsi="Times New Roman" w:cs="Times New Roman"/>
        </w:rPr>
        <w:t>populist terrorism</w:t>
      </w:r>
      <w:r w:rsidRPr="00570413">
        <w:rPr>
          <w:rFonts w:ascii="Times New Roman" w:hAnsi="Times New Roman" w:cs="Times New Roman"/>
        </w:rPr>
        <w:t xml:space="preserve"> across the Russian Empire.</w:t>
      </w:r>
      <w:r w:rsidR="00F1363A" w:rsidRPr="00570413">
        <w:rPr>
          <w:rStyle w:val="FootnoteReference"/>
          <w:rFonts w:ascii="Times New Roman" w:hAnsi="Times New Roman" w:cs="Times New Roman"/>
        </w:rPr>
        <w:footnoteReference w:id="181"/>
      </w:r>
      <w:r w:rsidRPr="00570413">
        <w:rPr>
          <w:rFonts w:ascii="Times New Roman" w:hAnsi="Times New Roman" w:cs="Times New Roman"/>
        </w:rPr>
        <w:t xml:space="preserve"> </w:t>
      </w:r>
      <w:r w:rsidR="00F1363A" w:rsidRPr="00570413">
        <w:rPr>
          <w:rFonts w:ascii="Times New Roman" w:hAnsi="Times New Roman" w:cs="Times New Roman"/>
        </w:rPr>
        <w:t>Slavophiles, or people in Russia who wanted to avoid influences of the west, criticized France, and the west as a whole, for its preoccupation with violence, arguing that this was in the nature of western culture.</w:t>
      </w:r>
      <w:r w:rsidR="00F1363A" w:rsidRPr="00570413">
        <w:rPr>
          <w:rStyle w:val="FootnoteReference"/>
          <w:rFonts w:ascii="Times New Roman" w:hAnsi="Times New Roman" w:cs="Times New Roman"/>
        </w:rPr>
        <w:footnoteReference w:id="182"/>
      </w:r>
      <w:r w:rsidR="00F1363A" w:rsidRPr="00570413">
        <w:rPr>
          <w:rFonts w:ascii="Times New Roman" w:hAnsi="Times New Roman" w:cs="Times New Roman"/>
        </w:rPr>
        <w:t xml:space="preserve"> </w:t>
      </w:r>
      <w:r w:rsidR="00D617F6" w:rsidRPr="00570413">
        <w:rPr>
          <w:rFonts w:ascii="Times New Roman" w:hAnsi="Times New Roman" w:cs="Times New Roman"/>
        </w:rPr>
        <w:t xml:space="preserve">And while conservative defenders of the Russian monarchy were actively working against a repeat of the French Revolution on Russian soil, Marxist women in revolutionary Russia were also attempting to not repeat the constructions of women’s liberation in the French </w:t>
      </w:r>
      <w:r w:rsidR="00E832A3">
        <w:rPr>
          <w:rFonts w:ascii="Times New Roman" w:hAnsi="Times New Roman" w:cs="Times New Roman"/>
        </w:rPr>
        <w:t>r</w:t>
      </w:r>
      <w:r w:rsidR="00D617F6" w:rsidRPr="00570413">
        <w:rPr>
          <w:rFonts w:ascii="Times New Roman" w:hAnsi="Times New Roman" w:cs="Times New Roman"/>
        </w:rPr>
        <w:t>evolutionary legacy. Where French women were bound by the active</w:t>
      </w:r>
      <w:r w:rsidR="007954FF">
        <w:rPr>
          <w:rFonts w:ascii="Times New Roman" w:hAnsi="Times New Roman" w:cs="Times New Roman"/>
        </w:rPr>
        <w:t>-</w:t>
      </w:r>
      <w:r w:rsidR="00D617F6" w:rsidRPr="00570413">
        <w:rPr>
          <w:rFonts w:ascii="Times New Roman" w:hAnsi="Times New Roman" w:cs="Times New Roman"/>
        </w:rPr>
        <w:t xml:space="preserve">passive dichotomy as it pertained violence that either led to them being barred from any form of participation in the revolution or having their gender described away as flexible to conceptualize that violence, radical Russian women of the late tsarist period were working within </w:t>
      </w:r>
      <w:r w:rsidR="004505E8" w:rsidRPr="00570413">
        <w:rPr>
          <w:rFonts w:ascii="Times New Roman" w:hAnsi="Times New Roman" w:cs="Times New Roman"/>
        </w:rPr>
        <w:t>myths of womanhood defined by revolutionary martyrdom</w:t>
      </w:r>
      <w:r w:rsidR="00B861E5" w:rsidRPr="00570413">
        <w:rPr>
          <w:rFonts w:ascii="Times New Roman" w:hAnsi="Times New Roman" w:cs="Times New Roman"/>
        </w:rPr>
        <w:t xml:space="preserve"> and violence. </w:t>
      </w:r>
    </w:p>
    <w:p w:rsidR="00FC2E25" w:rsidRDefault="00FC2E25" w:rsidP="00F63B4B">
      <w:pPr>
        <w:spacing w:line="480" w:lineRule="auto"/>
        <w:ind w:firstLine="720"/>
        <w:rPr>
          <w:rFonts w:ascii="Times New Roman" w:hAnsi="Times New Roman" w:cs="Times New Roman"/>
        </w:rPr>
      </w:pPr>
      <w:r>
        <w:rPr>
          <w:rFonts w:ascii="Times New Roman" w:hAnsi="Times New Roman" w:cs="Times New Roman"/>
        </w:rPr>
        <w:t xml:space="preserve">In </w:t>
      </w:r>
      <w:r w:rsidR="00425CEE">
        <w:rPr>
          <w:rFonts w:ascii="Times New Roman" w:hAnsi="Times New Roman" w:cs="Times New Roman"/>
        </w:rPr>
        <w:t>France, ‘feminism,’ at least as defined by Olympe de Gouges, was aligned with royalty because of a conception that all women, regardless of class or status, needed to be aware of the subjugation they faced because of their sex.</w:t>
      </w:r>
      <w:r w:rsidR="00425CEE">
        <w:rPr>
          <w:rStyle w:val="FootnoteReference"/>
          <w:rFonts w:ascii="Times New Roman" w:hAnsi="Times New Roman" w:cs="Times New Roman"/>
        </w:rPr>
        <w:footnoteReference w:id="183"/>
      </w:r>
      <w:r w:rsidR="00425CEE">
        <w:rPr>
          <w:rFonts w:ascii="Times New Roman" w:hAnsi="Times New Roman" w:cs="Times New Roman"/>
        </w:rPr>
        <w:t xml:space="preserve"> This also had to do with Marie Antoinette’s image as the symbol of the feminine sin that plagued France. </w:t>
      </w:r>
      <w:r w:rsidR="003847CD">
        <w:rPr>
          <w:rFonts w:ascii="Times New Roman" w:hAnsi="Times New Roman" w:cs="Times New Roman"/>
        </w:rPr>
        <w:t>In a Rousseauian framework, Antoinette represented the dangerous and corruptive power women had to move men out of the second state of nature and into the effeminized civilization.</w:t>
      </w:r>
      <w:r w:rsidR="003847CD">
        <w:rPr>
          <w:rStyle w:val="FootnoteReference"/>
          <w:rFonts w:ascii="Times New Roman" w:hAnsi="Times New Roman" w:cs="Times New Roman"/>
        </w:rPr>
        <w:footnoteReference w:id="184"/>
      </w:r>
      <w:r w:rsidR="003847CD">
        <w:rPr>
          <w:rFonts w:ascii="Times New Roman" w:hAnsi="Times New Roman" w:cs="Times New Roman"/>
        </w:rPr>
        <w:t xml:space="preserve"> As women in France had to engage in politics and their constructions of women’s liberation on the grounds of Rousseau’s influence on </w:t>
      </w:r>
      <w:r w:rsidR="003847CD">
        <w:rPr>
          <w:rFonts w:ascii="Times New Roman" w:hAnsi="Times New Roman" w:cs="Times New Roman"/>
        </w:rPr>
        <w:lastRenderedPageBreak/>
        <w:t xml:space="preserve">revolutionaries, Antoinette needed to be included in de Gouges </w:t>
      </w:r>
      <w:r w:rsidR="003847CD" w:rsidRPr="003847CD">
        <w:rPr>
          <w:rFonts w:ascii="Times New Roman" w:hAnsi="Times New Roman" w:cs="Times New Roman"/>
          <w:i/>
        </w:rPr>
        <w:t>Declarations</w:t>
      </w:r>
      <w:r w:rsidR="003847CD">
        <w:rPr>
          <w:rFonts w:ascii="Times New Roman" w:hAnsi="Times New Roman" w:cs="Times New Roman"/>
        </w:rPr>
        <w:t xml:space="preserve"> because of her representation </w:t>
      </w:r>
      <w:r w:rsidR="007954FF">
        <w:rPr>
          <w:rFonts w:ascii="Times New Roman" w:hAnsi="Times New Roman" w:cs="Times New Roman"/>
        </w:rPr>
        <w:t>of</w:t>
      </w:r>
      <w:r w:rsidR="003847CD">
        <w:rPr>
          <w:rFonts w:ascii="Times New Roman" w:hAnsi="Times New Roman" w:cs="Times New Roman"/>
        </w:rPr>
        <w:t xml:space="preserve"> the varying dangerous and corruptive qualities women had. For Russia, because there was no strong Rousseauian influence on the gender politics of the Revolution, politically active women did not need to defend the monarchy from accusations of dissimulation. The monogamous family as defined in Engels</w:t>
      </w:r>
      <w:r w:rsidR="007954FF">
        <w:rPr>
          <w:rFonts w:ascii="Times New Roman" w:hAnsi="Times New Roman" w:cs="Times New Roman"/>
        </w:rPr>
        <w:t>’</w:t>
      </w:r>
      <w:r w:rsidR="003847CD">
        <w:rPr>
          <w:rFonts w:ascii="Times New Roman" w:hAnsi="Times New Roman" w:cs="Times New Roman"/>
        </w:rPr>
        <w:t xml:space="preserve"> </w:t>
      </w:r>
      <w:r w:rsidR="003847CD" w:rsidRPr="007C434A">
        <w:rPr>
          <w:rFonts w:ascii="Times New Roman" w:hAnsi="Times New Roman" w:cs="Times New Roman"/>
          <w:i/>
        </w:rPr>
        <w:t>Origins</w:t>
      </w:r>
      <w:r w:rsidR="003847CD">
        <w:rPr>
          <w:rFonts w:ascii="Times New Roman" w:hAnsi="Times New Roman" w:cs="Times New Roman"/>
        </w:rPr>
        <w:t xml:space="preserve"> </w:t>
      </w:r>
      <w:r w:rsidR="007954FF">
        <w:rPr>
          <w:rFonts w:ascii="Times New Roman" w:hAnsi="Times New Roman" w:cs="Times New Roman"/>
        </w:rPr>
        <w:t>w</w:t>
      </w:r>
      <w:r w:rsidR="00466045">
        <w:rPr>
          <w:rFonts w:ascii="Times New Roman" w:hAnsi="Times New Roman" w:cs="Times New Roman"/>
        </w:rPr>
        <w:t>a</w:t>
      </w:r>
      <w:r w:rsidR="003847CD">
        <w:rPr>
          <w:rFonts w:ascii="Times New Roman" w:hAnsi="Times New Roman" w:cs="Times New Roman"/>
        </w:rPr>
        <w:t xml:space="preserve">s bourgeois in nature </w:t>
      </w:r>
      <w:r w:rsidR="007954FF">
        <w:rPr>
          <w:rFonts w:ascii="Times New Roman" w:hAnsi="Times New Roman" w:cs="Times New Roman"/>
        </w:rPr>
        <w:t>and</w:t>
      </w:r>
      <w:r w:rsidR="003847CD">
        <w:rPr>
          <w:rFonts w:ascii="Times New Roman" w:hAnsi="Times New Roman" w:cs="Times New Roman"/>
        </w:rPr>
        <w:t xml:space="preserve"> function</w:t>
      </w:r>
      <w:r w:rsidR="007954FF">
        <w:rPr>
          <w:rFonts w:ascii="Times New Roman" w:hAnsi="Times New Roman" w:cs="Times New Roman"/>
        </w:rPr>
        <w:t>ed</w:t>
      </w:r>
      <w:r w:rsidR="003847CD">
        <w:rPr>
          <w:rFonts w:ascii="Times New Roman" w:hAnsi="Times New Roman" w:cs="Times New Roman"/>
        </w:rPr>
        <w:t xml:space="preserve"> on the transfer of wealth from one male patriarch to their male heir</w:t>
      </w:r>
      <w:r w:rsidR="00D4763F">
        <w:rPr>
          <w:rFonts w:ascii="Times New Roman" w:hAnsi="Times New Roman" w:cs="Times New Roman"/>
        </w:rPr>
        <w:t>.</w:t>
      </w:r>
      <w:r w:rsidR="00AE7A62">
        <w:rPr>
          <w:rStyle w:val="FootnoteReference"/>
          <w:rFonts w:ascii="Times New Roman" w:hAnsi="Times New Roman" w:cs="Times New Roman"/>
        </w:rPr>
        <w:footnoteReference w:id="185"/>
      </w:r>
      <w:r w:rsidR="00D4763F">
        <w:rPr>
          <w:rFonts w:ascii="Times New Roman" w:hAnsi="Times New Roman" w:cs="Times New Roman"/>
        </w:rPr>
        <w:t xml:space="preserve"> </w:t>
      </w:r>
      <w:r w:rsidR="00E832A3">
        <w:rPr>
          <w:rFonts w:ascii="Times New Roman" w:hAnsi="Times New Roman" w:cs="Times New Roman"/>
        </w:rPr>
        <w:t>In emancipating all women subjugated through monogamous marriage, women subjugated by their husbands in higher class families would also be emancipated. Without</w:t>
      </w:r>
      <w:r w:rsidR="007954FF">
        <w:rPr>
          <w:rFonts w:ascii="Times New Roman" w:hAnsi="Times New Roman" w:cs="Times New Roman"/>
        </w:rPr>
        <w:t xml:space="preserve"> the</w:t>
      </w:r>
      <w:r w:rsidR="00E832A3">
        <w:rPr>
          <w:rFonts w:ascii="Times New Roman" w:hAnsi="Times New Roman" w:cs="Times New Roman"/>
        </w:rPr>
        <w:t xml:space="preserve"> Rousseauian framework of women as inherently dissimilatory and a theory that works to liberate women from the economic oppression they face, richer women, particularly monarchical women did not need to be of concern for Russian women interested in women’s liberation.  </w:t>
      </w:r>
    </w:p>
    <w:p w:rsidR="00D4763F" w:rsidRDefault="00D4763F" w:rsidP="00F63B4B">
      <w:pPr>
        <w:spacing w:line="480" w:lineRule="auto"/>
        <w:ind w:firstLine="720"/>
        <w:rPr>
          <w:rFonts w:ascii="Times New Roman" w:hAnsi="Times New Roman" w:cs="Times New Roman"/>
        </w:rPr>
      </w:pPr>
      <w:r>
        <w:rPr>
          <w:rFonts w:ascii="Times New Roman" w:hAnsi="Times New Roman" w:cs="Times New Roman"/>
        </w:rPr>
        <w:t>This is to suggest that as the intellectual community ma</w:t>
      </w:r>
      <w:r w:rsidR="00E6066F">
        <w:rPr>
          <w:rFonts w:ascii="Times New Roman" w:hAnsi="Times New Roman" w:cs="Times New Roman"/>
        </w:rPr>
        <w:t xml:space="preserve">de </w:t>
      </w:r>
      <w:r>
        <w:rPr>
          <w:rFonts w:ascii="Times New Roman" w:hAnsi="Times New Roman" w:cs="Times New Roman"/>
        </w:rPr>
        <w:t>strides</w:t>
      </w:r>
      <w:r w:rsidR="00E832A3">
        <w:rPr>
          <w:rFonts w:ascii="Times New Roman" w:hAnsi="Times New Roman" w:cs="Times New Roman"/>
        </w:rPr>
        <w:t>, people interested in using theories not directly related to gender issues can use those theories and apply them with a gender liberationist lens. Wh</w:t>
      </w:r>
      <w:r w:rsidR="00E6066F">
        <w:rPr>
          <w:rFonts w:ascii="Times New Roman" w:hAnsi="Times New Roman" w:cs="Times New Roman"/>
        </w:rPr>
        <w:t>ile</w:t>
      </w:r>
      <w:r w:rsidR="00E832A3">
        <w:rPr>
          <w:rFonts w:ascii="Times New Roman" w:hAnsi="Times New Roman" w:cs="Times New Roman"/>
        </w:rPr>
        <w:t xml:space="preserve"> looking at the historic record it can be easy to classify Russian women’s dismissal of French and other western women’s feminism as an interaction with the French Revolutionary legacy itself, it may be that </w:t>
      </w:r>
      <w:r w:rsidR="007C434A">
        <w:rPr>
          <w:rFonts w:ascii="Times New Roman" w:hAnsi="Times New Roman" w:cs="Times New Roman"/>
        </w:rPr>
        <w:t xml:space="preserve">these are merely reflections of differences in theories that inform different revolutionary moments. In discussing Olympe de Gouges’ </w:t>
      </w:r>
      <w:r w:rsidR="007C434A" w:rsidRPr="007C434A">
        <w:rPr>
          <w:rFonts w:ascii="Times New Roman" w:hAnsi="Times New Roman" w:cs="Times New Roman"/>
          <w:i/>
        </w:rPr>
        <w:t>Declarations</w:t>
      </w:r>
      <w:r w:rsidR="007C434A">
        <w:rPr>
          <w:rFonts w:ascii="Times New Roman" w:hAnsi="Times New Roman" w:cs="Times New Roman"/>
        </w:rPr>
        <w:t xml:space="preserve">, </w:t>
      </w:r>
      <w:r w:rsidR="00E6066F">
        <w:rPr>
          <w:rFonts w:ascii="Times New Roman" w:hAnsi="Times New Roman" w:cs="Times New Roman"/>
        </w:rPr>
        <w:t xml:space="preserve">gender historian </w:t>
      </w:r>
      <w:r w:rsidR="007C434A">
        <w:rPr>
          <w:rFonts w:ascii="Times New Roman" w:hAnsi="Times New Roman" w:cs="Times New Roman"/>
        </w:rPr>
        <w:t>Joan Wallach Scott argued that feminism cannot be detached from the historical moment it was constructed in</w:t>
      </w:r>
      <w:r w:rsidR="00E6066F">
        <w:rPr>
          <w:rFonts w:ascii="Times New Roman" w:hAnsi="Times New Roman" w:cs="Times New Roman"/>
        </w:rPr>
        <w:t xml:space="preserve"> in</w:t>
      </w:r>
      <w:r w:rsidR="007C434A">
        <w:rPr>
          <w:rFonts w:ascii="Times New Roman" w:hAnsi="Times New Roman" w:cs="Times New Roman"/>
        </w:rPr>
        <w:t xml:space="preserve"> order to create a teleological timeline of women’s emancipation.</w:t>
      </w:r>
      <w:r w:rsidR="007A7576">
        <w:rPr>
          <w:rStyle w:val="FootnoteReference"/>
          <w:rFonts w:ascii="Times New Roman" w:hAnsi="Times New Roman" w:cs="Times New Roman"/>
        </w:rPr>
        <w:footnoteReference w:id="186"/>
      </w:r>
      <w:r w:rsidR="007C434A">
        <w:rPr>
          <w:rFonts w:ascii="Times New Roman" w:hAnsi="Times New Roman" w:cs="Times New Roman"/>
        </w:rPr>
        <w:t xml:space="preserve"> This thesis does not seek to understand Russian constructions of women’s liberation as a result of the feminism constructed during the French revolution. Rather, the changing intellectual landscape combined with distinct cultural phenomena does more to </w:t>
      </w:r>
      <w:r w:rsidR="007C434A">
        <w:rPr>
          <w:rFonts w:ascii="Times New Roman" w:hAnsi="Times New Roman" w:cs="Times New Roman"/>
        </w:rPr>
        <w:lastRenderedPageBreak/>
        <w:t>shape a feminism within a given cultural context than cross</w:t>
      </w:r>
      <w:r w:rsidR="007954FF">
        <w:rPr>
          <w:rFonts w:ascii="Times New Roman" w:hAnsi="Times New Roman" w:cs="Times New Roman"/>
        </w:rPr>
        <w:t>-</w:t>
      </w:r>
      <w:r w:rsidR="007C434A">
        <w:rPr>
          <w:rFonts w:ascii="Times New Roman" w:hAnsi="Times New Roman" w:cs="Times New Roman"/>
        </w:rPr>
        <w:t xml:space="preserve">cultural engagement between groups of women engaged in women’s liberationist politics. </w:t>
      </w:r>
    </w:p>
    <w:p w:rsidR="00E6066F" w:rsidRDefault="00E11682" w:rsidP="00E6066F">
      <w:pPr>
        <w:spacing w:line="480" w:lineRule="auto"/>
        <w:ind w:firstLine="720"/>
        <w:rPr>
          <w:rFonts w:ascii="Times New Roman" w:hAnsi="Times New Roman" w:cs="Times New Roman"/>
        </w:rPr>
      </w:pPr>
      <w:r>
        <w:rPr>
          <w:rFonts w:ascii="Times New Roman" w:hAnsi="Times New Roman" w:cs="Times New Roman"/>
        </w:rPr>
        <w:t>To</w:t>
      </w:r>
      <w:r w:rsidR="00C76D89">
        <w:rPr>
          <w:rFonts w:ascii="Times New Roman" w:hAnsi="Times New Roman" w:cs="Times New Roman"/>
        </w:rPr>
        <w:t xml:space="preserve"> somewhat</w:t>
      </w:r>
      <w:r>
        <w:rPr>
          <w:rFonts w:ascii="Times New Roman" w:hAnsi="Times New Roman" w:cs="Times New Roman"/>
        </w:rPr>
        <w:t xml:space="preserve"> disagree with Scott however, historians may find </w:t>
      </w:r>
      <w:r w:rsidR="00C54FFC">
        <w:rPr>
          <w:rFonts w:ascii="Times New Roman" w:hAnsi="Times New Roman" w:cs="Times New Roman"/>
        </w:rPr>
        <w:t xml:space="preserve">cross cultural comparison useful in reconstructing and understanding a feminism within a given moment. </w:t>
      </w:r>
      <w:r w:rsidR="00466045">
        <w:rPr>
          <w:rFonts w:ascii="Times New Roman" w:hAnsi="Times New Roman" w:cs="Times New Roman"/>
        </w:rPr>
        <w:t xml:space="preserve">This does not necessarily imply a single teleology of women’s emancipation, instead recognizing cultural and temporal differences as important in understanding how and why these constructions are different. </w:t>
      </w:r>
      <w:r w:rsidR="00E6066F">
        <w:rPr>
          <w:rFonts w:ascii="Times New Roman" w:hAnsi="Times New Roman" w:cs="Times New Roman"/>
        </w:rPr>
        <w:t>Difference in constructions of revolutionary women’s liberation are more influenced by theories that inform the revolutions they exist within</w:t>
      </w:r>
      <w:r w:rsidR="007954FF">
        <w:rPr>
          <w:rFonts w:ascii="Times New Roman" w:hAnsi="Times New Roman" w:cs="Times New Roman"/>
        </w:rPr>
        <w:t>,</w:t>
      </w:r>
      <w:r w:rsidR="00E6066F">
        <w:rPr>
          <w:rFonts w:ascii="Times New Roman" w:hAnsi="Times New Roman" w:cs="Times New Roman"/>
        </w:rPr>
        <w:t xml:space="preserve"> rather than </w:t>
      </w:r>
      <w:r w:rsidR="007954FF">
        <w:rPr>
          <w:rFonts w:ascii="Times New Roman" w:hAnsi="Times New Roman" w:cs="Times New Roman"/>
        </w:rPr>
        <w:t>by</w:t>
      </w:r>
      <w:r w:rsidR="00E6066F">
        <w:rPr>
          <w:rFonts w:ascii="Times New Roman" w:hAnsi="Times New Roman" w:cs="Times New Roman"/>
        </w:rPr>
        <w:t xml:space="preserve"> timeline of the evolution of the definition of ‘feminism.’ Theories that influence various revolutions are not just applicable to women trying to create a liberationist </w:t>
      </w:r>
      <w:r w:rsidR="007A1440">
        <w:rPr>
          <w:rFonts w:ascii="Times New Roman" w:hAnsi="Times New Roman" w:cs="Times New Roman"/>
        </w:rPr>
        <w:t xml:space="preserve">framework, they also influence male leaders of revolutions. This then in many cases, including in the cases of revolutionary France and Russia, creates a more nuanced, complicated engagement with those theories. </w:t>
      </w:r>
    </w:p>
    <w:p w:rsidR="007A1440" w:rsidRDefault="007A1440" w:rsidP="00E6066F">
      <w:pPr>
        <w:spacing w:line="480" w:lineRule="auto"/>
        <w:ind w:firstLine="720"/>
        <w:rPr>
          <w:rFonts w:ascii="Times New Roman" w:hAnsi="Times New Roman" w:cs="Times New Roman"/>
        </w:rPr>
      </w:pPr>
      <w:r>
        <w:rPr>
          <w:rFonts w:ascii="Times New Roman" w:hAnsi="Times New Roman" w:cs="Times New Roman"/>
        </w:rPr>
        <w:t xml:space="preserve">In the case of France, women’s violent engagement with the body politic can be better understood when placed in tandem with Russian Socialist Revolutionary women’s engagement with revolutionary martyrdom. </w:t>
      </w:r>
      <w:r w:rsidR="00713382">
        <w:rPr>
          <w:rFonts w:ascii="Times New Roman" w:hAnsi="Times New Roman" w:cs="Times New Roman"/>
        </w:rPr>
        <w:t>W</w:t>
      </w:r>
      <w:r w:rsidR="001C0E9B">
        <w:rPr>
          <w:rFonts w:ascii="Times New Roman" w:hAnsi="Times New Roman" w:cs="Times New Roman"/>
        </w:rPr>
        <w:t>hat made S</w:t>
      </w:r>
      <w:r w:rsidR="007954FF">
        <w:rPr>
          <w:rFonts w:ascii="Times New Roman" w:hAnsi="Times New Roman" w:cs="Times New Roman"/>
        </w:rPr>
        <w:t xml:space="preserve">ocialist </w:t>
      </w:r>
      <w:r w:rsidR="001C0E9B">
        <w:rPr>
          <w:rFonts w:ascii="Times New Roman" w:hAnsi="Times New Roman" w:cs="Times New Roman"/>
        </w:rPr>
        <w:t>R</w:t>
      </w:r>
      <w:r w:rsidR="007954FF">
        <w:rPr>
          <w:rFonts w:ascii="Times New Roman" w:hAnsi="Times New Roman" w:cs="Times New Roman"/>
        </w:rPr>
        <w:t>evolutionary</w:t>
      </w:r>
      <w:r w:rsidR="001C0E9B">
        <w:rPr>
          <w:rFonts w:ascii="Times New Roman" w:hAnsi="Times New Roman" w:cs="Times New Roman"/>
        </w:rPr>
        <w:t xml:space="preserve"> women in Russia capable of continuing to engage in violent methods of </w:t>
      </w:r>
      <w:r w:rsidR="00713382">
        <w:rPr>
          <w:rFonts w:ascii="Times New Roman" w:hAnsi="Times New Roman" w:cs="Times New Roman"/>
        </w:rPr>
        <w:t>political engagement was the tradition of revolutionary female martyrdom that forced the Russian monarchy to stop executing female terrorists.</w:t>
      </w:r>
      <w:r w:rsidR="00713382">
        <w:rPr>
          <w:rStyle w:val="FootnoteReference"/>
          <w:rFonts w:ascii="Times New Roman" w:hAnsi="Times New Roman" w:cs="Times New Roman"/>
        </w:rPr>
        <w:footnoteReference w:id="187"/>
      </w:r>
      <w:r w:rsidR="00713382">
        <w:rPr>
          <w:rFonts w:ascii="Times New Roman" w:hAnsi="Times New Roman" w:cs="Times New Roman"/>
        </w:rPr>
        <w:t xml:space="preserve"> </w:t>
      </w:r>
      <w:r w:rsidR="00B12666">
        <w:rPr>
          <w:rFonts w:ascii="Times New Roman" w:hAnsi="Times New Roman" w:cs="Times New Roman"/>
        </w:rPr>
        <w:t>For Charlotte Corday’s individual act of violent terrorism she was guillotined and there were notably no other women in the Revolution who attempted to assassinate male leaders.</w:t>
      </w:r>
      <w:r w:rsidR="00B12666">
        <w:rPr>
          <w:rStyle w:val="FootnoteReference"/>
          <w:rFonts w:ascii="Times New Roman" w:hAnsi="Times New Roman" w:cs="Times New Roman"/>
        </w:rPr>
        <w:footnoteReference w:id="188"/>
      </w:r>
      <w:r w:rsidR="00B12666">
        <w:rPr>
          <w:rFonts w:ascii="Times New Roman" w:hAnsi="Times New Roman" w:cs="Times New Roman"/>
        </w:rPr>
        <w:t xml:space="preserve"> </w:t>
      </w:r>
      <w:r w:rsidR="007954FF">
        <w:rPr>
          <w:rFonts w:ascii="Times New Roman" w:hAnsi="Times New Roman" w:cs="Times New Roman"/>
        </w:rPr>
        <w:t>V</w:t>
      </w:r>
      <w:r w:rsidR="00B12666">
        <w:rPr>
          <w:rFonts w:ascii="Times New Roman" w:hAnsi="Times New Roman" w:cs="Times New Roman"/>
        </w:rPr>
        <w:t xml:space="preserve">iewing her assassination of Marat as the sole instance of a woman actively removing a man from the body politic in tandem with the women of the Shesterka highlights the lack of a concept of revolutionary martyrdom in France. This may have made the reactions by various </w:t>
      </w:r>
      <w:r w:rsidR="00B12666">
        <w:rPr>
          <w:rFonts w:ascii="Times New Roman" w:hAnsi="Times New Roman" w:cs="Times New Roman"/>
        </w:rPr>
        <w:lastRenderedPageBreak/>
        <w:t xml:space="preserve">men in conceiving of her as both manly and lacking of gender more striking because of the impact of a single event </w:t>
      </w:r>
      <w:r w:rsidR="005F5F10">
        <w:rPr>
          <w:rFonts w:ascii="Times New Roman" w:hAnsi="Times New Roman" w:cs="Times New Roman"/>
        </w:rPr>
        <w:t xml:space="preserve">as a phenomenon. The only other example that existed in France at the </w:t>
      </w:r>
      <w:r w:rsidR="005F5F10" w:rsidRPr="007954FF">
        <w:rPr>
          <w:rFonts w:ascii="Times New Roman" w:hAnsi="Times New Roman" w:cs="Times New Roman"/>
        </w:rPr>
        <w:t xml:space="preserve">time </w:t>
      </w:r>
      <w:r w:rsidR="007954FF" w:rsidRPr="007954FF">
        <w:rPr>
          <w:rFonts w:ascii="Times New Roman" w:hAnsi="Times New Roman" w:cs="Times New Roman"/>
        </w:rPr>
        <w:t>of</w:t>
      </w:r>
      <w:r w:rsidR="005F5F10" w:rsidRPr="007954FF">
        <w:rPr>
          <w:rFonts w:ascii="Times New Roman" w:hAnsi="Times New Roman" w:cs="Times New Roman"/>
        </w:rPr>
        <w:t xml:space="preserve"> a </w:t>
      </w:r>
      <w:r w:rsidR="007954FF" w:rsidRPr="007954FF">
        <w:rPr>
          <w:rFonts w:ascii="Times New Roman" w:hAnsi="Times New Roman" w:cs="Times New Roman"/>
        </w:rPr>
        <w:t xml:space="preserve">female </w:t>
      </w:r>
      <w:r w:rsidR="005F5F10" w:rsidRPr="007954FF">
        <w:rPr>
          <w:rFonts w:ascii="Times New Roman" w:hAnsi="Times New Roman" w:cs="Times New Roman"/>
        </w:rPr>
        <w:t>revolutionary martyr</w:t>
      </w:r>
      <w:r w:rsidR="005F5F10">
        <w:rPr>
          <w:rFonts w:ascii="Times New Roman" w:hAnsi="Times New Roman" w:cs="Times New Roman"/>
        </w:rPr>
        <w:t xml:space="preserve"> would have been that of Joan of Arc</w:t>
      </w:r>
      <w:r w:rsidR="007954FF">
        <w:rPr>
          <w:rFonts w:ascii="Times New Roman" w:hAnsi="Times New Roman" w:cs="Times New Roman"/>
        </w:rPr>
        <w:t>,</w:t>
      </w:r>
      <w:r w:rsidR="005F5F10">
        <w:rPr>
          <w:rFonts w:ascii="Times New Roman" w:hAnsi="Times New Roman" w:cs="Times New Roman"/>
        </w:rPr>
        <w:t xml:space="preserve"> who was not canonized until long after the French Revolution.</w:t>
      </w:r>
      <w:r w:rsidR="005F5F10">
        <w:rPr>
          <w:rStyle w:val="FootnoteReference"/>
          <w:rFonts w:ascii="Times New Roman" w:hAnsi="Times New Roman" w:cs="Times New Roman"/>
        </w:rPr>
        <w:footnoteReference w:id="189"/>
      </w:r>
      <w:r w:rsidR="005F5F10">
        <w:rPr>
          <w:rFonts w:ascii="Times New Roman" w:hAnsi="Times New Roman" w:cs="Times New Roman"/>
        </w:rPr>
        <w:t xml:space="preserve"> </w:t>
      </w:r>
    </w:p>
    <w:p w:rsidR="005F5F10" w:rsidRDefault="005F5F10" w:rsidP="00E6066F">
      <w:pPr>
        <w:spacing w:line="480" w:lineRule="auto"/>
        <w:ind w:firstLine="720"/>
        <w:rPr>
          <w:rFonts w:ascii="Times New Roman" w:hAnsi="Times New Roman" w:cs="Times New Roman"/>
        </w:rPr>
      </w:pPr>
      <w:r>
        <w:rPr>
          <w:rFonts w:ascii="Times New Roman" w:hAnsi="Times New Roman" w:cs="Times New Roman"/>
        </w:rPr>
        <w:t>This idea of Marat’s assassination as a singular phenomenon is complicated when then looked at again through a Rousseauian lens. Not only did the event shock the press and certain male leaders, it both strengthened and weakened the concept of the deceitful dissimulating woman. As discussed in the earlier chapter on French revolutionary feminism, in keeping her actions to herself and then suddenly violently stabbing Marat</w:t>
      </w:r>
      <w:r w:rsidR="007954FF">
        <w:rPr>
          <w:rFonts w:ascii="Times New Roman" w:hAnsi="Times New Roman" w:cs="Times New Roman"/>
        </w:rPr>
        <w:t>, Corday</w:t>
      </w:r>
      <w:r>
        <w:rPr>
          <w:rFonts w:ascii="Times New Roman" w:hAnsi="Times New Roman" w:cs="Times New Roman"/>
        </w:rPr>
        <w:t xml:space="preserve"> emphasized that women could conceal horrible disruptive actions until the last second.</w:t>
      </w:r>
      <w:r>
        <w:rPr>
          <w:rStyle w:val="FootnoteReference"/>
          <w:rFonts w:ascii="Times New Roman" w:hAnsi="Times New Roman" w:cs="Times New Roman"/>
        </w:rPr>
        <w:footnoteReference w:id="190"/>
      </w:r>
      <w:r>
        <w:rPr>
          <w:rFonts w:ascii="Times New Roman" w:hAnsi="Times New Roman" w:cs="Times New Roman"/>
        </w:rPr>
        <w:t xml:space="preserve"> However, committing her actions alone weakened the idea that women as a sex are all </w:t>
      </w:r>
      <w:r w:rsidR="006916C9">
        <w:rPr>
          <w:rFonts w:ascii="Times New Roman" w:hAnsi="Times New Roman" w:cs="Times New Roman"/>
        </w:rPr>
        <w:t>dangerous to men, in this case not in effeminizing them, but in taking male roles of active violent participation in the body politic.</w:t>
      </w:r>
      <w:r w:rsidR="006916C9">
        <w:rPr>
          <w:rStyle w:val="FootnoteReference"/>
          <w:rFonts w:ascii="Times New Roman" w:hAnsi="Times New Roman" w:cs="Times New Roman"/>
        </w:rPr>
        <w:footnoteReference w:id="191"/>
      </w:r>
      <w:r w:rsidR="006916C9">
        <w:rPr>
          <w:rFonts w:ascii="Times New Roman" w:hAnsi="Times New Roman" w:cs="Times New Roman"/>
        </w:rPr>
        <w:t xml:space="preserve"> </w:t>
      </w:r>
      <w:r w:rsidR="00C76D89">
        <w:rPr>
          <w:rFonts w:ascii="Times New Roman" w:hAnsi="Times New Roman" w:cs="Times New Roman"/>
        </w:rPr>
        <w:t xml:space="preserve">At the same time it also disproves the idea that women’s corruptive power is so inherently dangerous because </w:t>
      </w:r>
      <w:r w:rsidR="00C76D89" w:rsidRPr="0094390D">
        <w:rPr>
          <w:rFonts w:ascii="Times New Roman" w:hAnsi="Times New Roman" w:cs="Times New Roman"/>
        </w:rPr>
        <w:t>it is covert and chaste.</w:t>
      </w:r>
      <w:r w:rsidR="00C76D89" w:rsidRPr="0094390D">
        <w:rPr>
          <w:rStyle w:val="FootnoteReference"/>
          <w:rFonts w:ascii="Times New Roman" w:hAnsi="Times New Roman" w:cs="Times New Roman"/>
        </w:rPr>
        <w:footnoteReference w:id="192"/>
      </w:r>
      <w:r w:rsidR="0094390D">
        <w:rPr>
          <w:rFonts w:ascii="Times New Roman" w:hAnsi="Times New Roman" w:cs="Times New Roman"/>
        </w:rPr>
        <w:t xml:space="preserve"> </w:t>
      </w:r>
      <w:r w:rsidR="008205D2">
        <w:rPr>
          <w:rFonts w:ascii="Times New Roman" w:hAnsi="Times New Roman" w:cs="Times New Roman"/>
        </w:rPr>
        <w:t xml:space="preserve">Discussions of women’s bodies as aspects of the historiography of both revolutionary cases can not only be helpful to better understanding gender as a lens of analysis in France but also in Russia.  </w:t>
      </w:r>
    </w:p>
    <w:p w:rsidR="008205D2" w:rsidRDefault="00D07F34" w:rsidP="008205D2">
      <w:pPr>
        <w:spacing w:line="480" w:lineRule="auto"/>
        <w:ind w:firstLine="720"/>
        <w:rPr>
          <w:rFonts w:ascii="Times New Roman" w:hAnsi="Times New Roman" w:cs="Times New Roman"/>
        </w:rPr>
      </w:pPr>
      <w:r>
        <w:rPr>
          <w:rFonts w:ascii="Times New Roman" w:hAnsi="Times New Roman" w:cs="Times New Roman"/>
        </w:rPr>
        <w:t>Robespierre described the newly created French Constitution as a “virgin… celestial being” in reference to its purity as well as its need to be</w:t>
      </w:r>
      <w:r w:rsidR="005109F2">
        <w:rPr>
          <w:rFonts w:ascii="Times New Roman" w:hAnsi="Times New Roman" w:cs="Times New Roman"/>
        </w:rPr>
        <w:t xml:space="preserve"> continuously</w:t>
      </w:r>
      <w:r>
        <w:rPr>
          <w:rFonts w:ascii="Times New Roman" w:hAnsi="Times New Roman" w:cs="Times New Roman"/>
        </w:rPr>
        <w:t xml:space="preserve"> protected by the revolutionaries.</w:t>
      </w:r>
      <w:r w:rsidR="007A7576">
        <w:rPr>
          <w:rStyle w:val="FootnoteReference"/>
          <w:rFonts w:ascii="Times New Roman" w:hAnsi="Times New Roman" w:cs="Times New Roman"/>
        </w:rPr>
        <w:footnoteReference w:id="193"/>
      </w:r>
      <w:r>
        <w:rPr>
          <w:rFonts w:ascii="Times New Roman" w:hAnsi="Times New Roman" w:cs="Times New Roman"/>
        </w:rPr>
        <w:t xml:space="preserve"> When the Russian press discussed the abuse and sexual assault Mariya Spiridonova recalled experiencing, they too described her as a “pure, virginal being” in reference </w:t>
      </w:r>
      <w:r>
        <w:rPr>
          <w:rFonts w:ascii="Times New Roman" w:hAnsi="Times New Roman" w:cs="Times New Roman"/>
        </w:rPr>
        <w:lastRenderedPageBreak/>
        <w:t>to her womanly innocence being tainted by male violence.</w:t>
      </w:r>
      <w:r>
        <w:rPr>
          <w:rStyle w:val="FootnoteReference"/>
          <w:rFonts w:ascii="Times New Roman" w:hAnsi="Times New Roman" w:cs="Times New Roman"/>
        </w:rPr>
        <w:footnoteReference w:id="194"/>
      </w:r>
      <w:r>
        <w:rPr>
          <w:rFonts w:ascii="Times New Roman" w:hAnsi="Times New Roman" w:cs="Times New Roman"/>
        </w:rPr>
        <w:t xml:space="preserve"> As discussed earlier this may have been the Russian press’ attempt to build against the myths of revolutionary womanhood and martyrdom present in the culture of the Russian underground</w:t>
      </w:r>
      <w:r w:rsidR="005109F2">
        <w:rPr>
          <w:rFonts w:ascii="Times New Roman" w:hAnsi="Times New Roman" w:cs="Times New Roman"/>
        </w:rPr>
        <w:t>. When viewed in tandem with Robespierre’s comments regarding the need to protect the new Constitution in classifying it as pure, this may add to the myth</w:t>
      </w:r>
      <w:r w:rsidR="007954FF">
        <w:rPr>
          <w:rFonts w:ascii="Times New Roman" w:hAnsi="Times New Roman" w:cs="Times New Roman"/>
        </w:rPr>
        <w:t>-</w:t>
      </w:r>
      <w:r w:rsidR="005109F2">
        <w:rPr>
          <w:rFonts w:ascii="Times New Roman" w:hAnsi="Times New Roman" w:cs="Times New Roman"/>
        </w:rPr>
        <w:t xml:space="preserve">building of the Russian press. Their designation of Spiridonova as pure not only references her innocence being tainted but may also be in reference to the need for her to also be protected. This would aid the press as a response to the myths of revolutionary martyrdom, where instead of having agency to </w:t>
      </w:r>
      <w:r w:rsidR="00B60AE8">
        <w:rPr>
          <w:rFonts w:ascii="Times New Roman" w:hAnsi="Times New Roman" w:cs="Times New Roman"/>
        </w:rPr>
        <w:t>participate in an underground subculture of political engagement Spiridonova is stripped of her agency. Instead, of her active engagement in aiding people economically oppressed in Russia, she instead need</w:t>
      </w:r>
      <w:r w:rsidR="008205D2">
        <w:rPr>
          <w:rFonts w:ascii="Times New Roman" w:hAnsi="Times New Roman" w:cs="Times New Roman"/>
        </w:rPr>
        <w:t>ed</w:t>
      </w:r>
      <w:r w:rsidR="00B60AE8">
        <w:rPr>
          <w:rFonts w:ascii="Times New Roman" w:hAnsi="Times New Roman" w:cs="Times New Roman"/>
        </w:rPr>
        <w:t xml:space="preserve"> to be protected by that same Russian public. </w:t>
      </w:r>
    </w:p>
    <w:p w:rsidR="008205D2" w:rsidRDefault="008205D2" w:rsidP="008205D2">
      <w:pPr>
        <w:spacing w:line="480" w:lineRule="auto"/>
        <w:ind w:firstLine="720"/>
        <w:rPr>
          <w:rFonts w:ascii="Times New Roman" w:hAnsi="Times New Roman" w:cs="Times New Roman"/>
        </w:rPr>
      </w:pPr>
      <w:r>
        <w:rPr>
          <w:rFonts w:ascii="Times New Roman" w:hAnsi="Times New Roman" w:cs="Times New Roman"/>
        </w:rPr>
        <w:t xml:space="preserve">Comparisons between different historical moments will never completely neatly overlap as culture and time period provide complex nuances that do not necessarily exist in other contexts. This thesis does not seek to compare even singular events from the historical moments of revolutionary France as a means of discussing the Russian Revolutions as a repetition or rewriting of the French Revolution. Though the theories that informed both revolutions featured many similarities, their manifestations in gender in that given revolutionary time frame were incredibly different. Where </w:t>
      </w:r>
      <w:r w:rsidR="005A3E1E">
        <w:rPr>
          <w:rFonts w:ascii="Times New Roman" w:hAnsi="Times New Roman" w:cs="Times New Roman"/>
        </w:rPr>
        <w:t xml:space="preserve">French women were mostly bound by the body politic and its preconceptions about the myths of womanhood as dissimilatory, Russian women were bound by myths of revolutionary martyrdom and the legacy of the birth of the Russian underground. Instead of understanding the Russian Revolutions of 1905 and 1917 as a point on the timeline of </w:t>
      </w:r>
      <w:r w:rsidR="005A3E1E">
        <w:rPr>
          <w:rFonts w:ascii="Times New Roman" w:hAnsi="Times New Roman" w:cs="Times New Roman"/>
        </w:rPr>
        <w:lastRenderedPageBreak/>
        <w:t xml:space="preserve">the teleology of women’s emancipation starting with the French Revolution, the women of each of these </w:t>
      </w:r>
      <w:r w:rsidR="00637011">
        <w:rPr>
          <w:rFonts w:ascii="Times New Roman" w:hAnsi="Times New Roman" w:cs="Times New Roman"/>
        </w:rPr>
        <w:t xml:space="preserve">occasions </w:t>
      </w:r>
      <w:r w:rsidR="005A3E1E">
        <w:rPr>
          <w:rFonts w:ascii="Times New Roman" w:hAnsi="Times New Roman" w:cs="Times New Roman"/>
        </w:rPr>
        <w:t xml:space="preserve">can be incredibly useful in analyzing gender in each revolutionary moment. </w:t>
      </w: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8205D2">
      <w:pPr>
        <w:spacing w:line="480" w:lineRule="auto"/>
        <w:ind w:firstLine="720"/>
        <w:rPr>
          <w:rFonts w:ascii="Times New Roman" w:hAnsi="Times New Roman" w:cs="Times New Roman"/>
        </w:rPr>
      </w:pPr>
    </w:p>
    <w:p w:rsidR="004F0BE3" w:rsidRDefault="004F0BE3" w:rsidP="004F0BE3">
      <w:pPr>
        <w:spacing w:line="480" w:lineRule="auto"/>
        <w:rPr>
          <w:rFonts w:ascii="Times New Roman" w:hAnsi="Times New Roman" w:cs="Times New Roman"/>
        </w:rPr>
      </w:pPr>
    </w:p>
    <w:p w:rsidR="008205D2" w:rsidRDefault="004F0BE3" w:rsidP="007A7576">
      <w:pPr>
        <w:spacing w:line="480" w:lineRule="auto"/>
        <w:jc w:val="center"/>
        <w:rPr>
          <w:rFonts w:ascii="Times New Roman" w:hAnsi="Times New Roman" w:cs="Times New Roman"/>
          <w:b/>
        </w:rPr>
      </w:pPr>
      <w:r w:rsidRPr="007954FF">
        <w:rPr>
          <w:rFonts w:ascii="Times New Roman" w:hAnsi="Times New Roman" w:cs="Times New Roman"/>
          <w:b/>
        </w:rPr>
        <w:lastRenderedPageBreak/>
        <w:t xml:space="preserve">Bibliography: </w:t>
      </w:r>
    </w:p>
    <w:p w:rsidR="00AE7A62" w:rsidRPr="00AE7A62" w:rsidRDefault="00AE7A62" w:rsidP="00AE7A62">
      <w:pPr>
        <w:pStyle w:val="Bibliography"/>
        <w:spacing w:line="480" w:lineRule="auto"/>
        <w:rPr>
          <w:rFonts w:ascii="Times New Roman" w:hAnsi="Times New Roman" w:cs="Times New Roman"/>
        </w:rPr>
      </w:pPr>
      <w:r>
        <w:rPr>
          <w:b/>
        </w:rPr>
        <w:fldChar w:fldCharType="begin"/>
      </w:r>
      <w:r>
        <w:rPr>
          <w:b/>
        </w:rPr>
        <w:instrText xml:space="preserve"> ADDIN ZOTERO_BIBL {"uncited":[],"omitted":[],"custom":[]} CSL_BIBLIOGRAPHY </w:instrText>
      </w:r>
      <w:r>
        <w:rPr>
          <w:b/>
        </w:rPr>
        <w:fldChar w:fldCharType="separate"/>
      </w:r>
      <w:proofErr w:type="spellStart"/>
      <w:r w:rsidRPr="00AE7A62">
        <w:rPr>
          <w:rFonts w:ascii="Times New Roman" w:hAnsi="Times New Roman" w:cs="Times New Roman"/>
        </w:rPr>
        <w:t>Boniece</w:t>
      </w:r>
      <w:proofErr w:type="spellEnd"/>
      <w:r w:rsidRPr="00AE7A62">
        <w:rPr>
          <w:rFonts w:ascii="Times New Roman" w:hAnsi="Times New Roman" w:cs="Times New Roman"/>
        </w:rPr>
        <w:t xml:space="preserve">, Sally A. “The ‘Shesterka’ of 1905-06: Terrorist Heroines of Revolutionary Russia.” </w:t>
      </w:r>
      <w:proofErr w:type="spellStart"/>
      <w:r w:rsidRPr="00AE7A62">
        <w:rPr>
          <w:rFonts w:ascii="Times New Roman" w:hAnsi="Times New Roman" w:cs="Times New Roman"/>
          <w:i/>
          <w:iCs/>
        </w:rPr>
        <w:t>Jahrbücher</w:t>
      </w:r>
      <w:proofErr w:type="spellEnd"/>
      <w:r w:rsidRPr="00AE7A62">
        <w:rPr>
          <w:rFonts w:ascii="Times New Roman" w:hAnsi="Times New Roman" w:cs="Times New Roman"/>
          <w:i/>
          <w:iCs/>
        </w:rPr>
        <w:t xml:space="preserve"> </w:t>
      </w:r>
      <w:proofErr w:type="spellStart"/>
      <w:r w:rsidRPr="00AE7A62">
        <w:rPr>
          <w:rFonts w:ascii="Times New Roman" w:hAnsi="Times New Roman" w:cs="Times New Roman"/>
          <w:i/>
          <w:iCs/>
        </w:rPr>
        <w:t>Für</w:t>
      </w:r>
      <w:proofErr w:type="spellEnd"/>
      <w:r w:rsidRPr="00AE7A62">
        <w:rPr>
          <w:rFonts w:ascii="Times New Roman" w:hAnsi="Times New Roman" w:cs="Times New Roman"/>
          <w:i/>
          <w:iCs/>
        </w:rPr>
        <w:t xml:space="preserve"> </w:t>
      </w:r>
      <w:proofErr w:type="spellStart"/>
      <w:r w:rsidRPr="00AE7A62">
        <w:rPr>
          <w:rFonts w:ascii="Times New Roman" w:hAnsi="Times New Roman" w:cs="Times New Roman"/>
          <w:i/>
          <w:iCs/>
        </w:rPr>
        <w:t>Geschichte</w:t>
      </w:r>
      <w:proofErr w:type="spellEnd"/>
      <w:r w:rsidRPr="00AE7A62">
        <w:rPr>
          <w:rFonts w:ascii="Times New Roman" w:hAnsi="Times New Roman" w:cs="Times New Roman"/>
          <w:i/>
          <w:iCs/>
        </w:rPr>
        <w:t xml:space="preserve"> </w:t>
      </w:r>
      <w:proofErr w:type="spellStart"/>
      <w:r w:rsidRPr="00AE7A62">
        <w:rPr>
          <w:rFonts w:ascii="Times New Roman" w:hAnsi="Times New Roman" w:cs="Times New Roman"/>
          <w:i/>
          <w:iCs/>
        </w:rPr>
        <w:t>Osteuropas</w:t>
      </w:r>
      <w:proofErr w:type="spellEnd"/>
      <w:r w:rsidRPr="00AE7A62">
        <w:rPr>
          <w:rFonts w:ascii="Times New Roman" w:hAnsi="Times New Roman" w:cs="Times New Roman"/>
        </w:rPr>
        <w:t xml:space="preserve">, </w:t>
      </w:r>
      <w:proofErr w:type="spellStart"/>
      <w:r w:rsidRPr="00AE7A62">
        <w:rPr>
          <w:rFonts w:ascii="Times New Roman" w:hAnsi="Times New Roman" w:cs="Times New Roman"/>
        </w:rPr>
        <w:t>Themenschwerpunkt</w:t>
      </w:r>
      <w:proofErr w:type="spellEnd"/>
      <w:r w:rsidRPr="00AE7A62">
        <w:rPr>
          <w:rFonts w:ascii="Times New Roman" w:hAnsi="Times New Roman" w:cs="Times New Roman"/>
        </w:rPr>
        <w:t xml:space="preserve"> on Modern Times? Terrorism in late Imperial Russia, 58, no. 2 (2010): 172–91.</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Clements, Barbara Evans. “Becoming a Revolutionary.” In </w:t>
      </w:r>
      <w:r w:rsidRPr="00AE7A62">
        <w:rPr>
          <w:rFonts w:ascii="Times New Roman" w:hAnsi="Times New Roman" w:cs="Times New Roman"/>
          <w:i/>
          <w:iCs/>
        </w:rPr>
        <w:t>Bolshevik Women</w:t>
      </w:r>
      <w:r w:rsidRPr="00AE7A62">
        <w:rPr>
          <w:rFonts w:ascii="Times New Roman" w:hAnsi="Times New Roman" w:cs="Times New Roman"/>
        </w:rPr>
        <w:t>, 22–54. Cambridge: Cambridge University Press, 1997.</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 “Introduction.” In </w:t>
      </w:r>
      <w:r w:rsidRPr="00AE7A62">
        <w:rPr>
          <w:rFonts w:ascii="Times New Roman" w:hAnsi="Times New Roman" w:cs="Times New Roman"/>
          <w:i/>
          <w:iCs/>
        </w:rPr>
        <w:t>Bolshevik Women</w:t>
      </w:r>
      <w:r w:rsidRPr="00AE7A62">
        <w:rPr>
          <w:rFonts w:ascii="Times New Roman" w:hAnsi="Times New Roman" w:cs="Times New Roman"/>
        </w:rPr>
        <w:t>, 1–21. Cambridge: Cambridge University Press, 1997.</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 “The Underground.” In </w:t>
      </w:r>
      <w:r w:rsidRPr="00AE7A62">
        <w:rPr>
          <w:rFonts w:ascii="Times New Roman" w:hAnsi="Times New Roman" w:cs="Times New Roman"/>
          <w:i/>
          <w:iCs/>
        </w:rPr>
        <w:t>Bolshevik Women</w:t>
      </w:r>
      <w:r w:rsidRPr="00AE7A62">
        <w:rPr>
          <w:rFonts w:ascii="Times New Roman" w:hAnsi="Times New Roman" w:cs="Times New Roman"/>
        </w:rPr>
        <w:t>, 55–119. Cambridge: Cambridge University Press, 1997.</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Engels, Friedrich. “Origins of the Family-- Chapter 2 (II).” Accessed May 13, 2021. https://www.marxists.org/archive/marx/works/1884/origin-family/ch02b.htm.</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“Origins of the Family-- Chapter 2 (III).” Accessed May 13, 2021. https://www.marxists.org/archive/marx/works/1884/origin-family/ch02c.htm.</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“Origins of the Family. Chapter 2 (IV).” Accessed May 13, 2021. https://www.marxists.org/archive/marx/works/1884/origin-family/ch02d.htm.</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“Origins of the Family-- Chapter II.” Accessed May 13, 2021. https://www.marxists.org/archive/marx/works/1884/origin-family/ch02.htm.</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Farnsworth, Beatrice Brodsky. “Bolshevism, the Woman Question, and Aleksandra Kollontai.” </w:t>
      </w:r>
      <w:r w:rsidRPr="00AE7A62">
        <w:rPr>
          <w:rFonts w:ascii="Times New Roman" w:hAnsi="Times New Roman" w:cs="Times New Roman"/>
          <w:i/>
          <w:iCs/>
        </w:rPr>
        <w:t>The American Historical Review</w:t>
      </w:r>
      <w:r w:rsidRPr="00AE7A62">
        <w:rPr>
          <w:rFonts w:ascii="Times New Roman" w:hAnsi="Times New Roman" w:cs="Times New Roman"/>
        </w:rPr>
        <w:t xml:space="preserve"> 81, no. 2 (A</w:t>
      </w:r>
      <w:r>
        <w:rPr>
          <w:rFonts w:ascii="Times New Roman" w:hAnsi="Times New Roman" w:cs="Times New Roman"/>
        </w:rPr>
        <w:t>p</w:t>
      </w:r>
      <w:r w:rsidRPr="00AE7A62">
        <w:rPr>
          <w:rFonts w:ascii="Times New Roman" w:hAnsi="Times New Roman" w:cs="Times New Roman"/>
        </w:rPr>
        <w:t>ril 1976): 292–316.</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Fraser, Erica L. </w:t>
      </w:r>
      <w:r w:rsidRPr="00AE7A62">
        <w:rPr>
          <w:rFonts w:ascii="Times New Roman" w:hAnsi="Times New Roman" w:cs="Times New Roman"/>
          <w:i/>
          <w:iCs/>
        </w:rPr>
        <w:t>Military Masculinity and Postwar Reconstruction in Soviet Union</w:t>
      </w:r>
      <w:r w:rsidRPr="00AE7A62">
        <w:rPr>
          <w:rFonts w:ascii="Times New Roman" w:hAnsi="Times New Roman" w:cs="Times New Roman"/>
        </w:rPr>
        <w:t>. University of Toronto Press, 2019.</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lastRenderedPageBreak/>
        <w:t xml:space="preserve">Goldman, Wendy Z. “The Origins of the Bolshevik Vision: Love Unfettered, Women Free.” In </w:t>
      </w:r>
      <w:r w:rsidRPr="00AE7A62">
        <w:rPr>
          <w:rFonts w:ascii="Times New Roman" w:hAnsi="Times New Roman" w:cs="Times New Roman"/>
          <w:i/>
          <w:iCs/>
        </w:rPr>
        <w:t>Women, the State &amp; Revolution: Soviet Family Policy &amp; Social Life, 1917-1936</w:t>
      </w:r>
      <w:r w:rsidRPr="00AE7A62">
        <w:rPr>
          <w:rFonts w:ascii="Times New Roman" w:hAnsi="Times New Roman" w:cs="Times New Roman"/>
        </w:rPr>
        <w:t>. Cambridge: Cambridge University Press, 1995.</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Goodman, Dena. “Enlightenment Salons: The Convergence of Female and Philosophic Ambitions.” </w:t>
      </w:r>
      <w:r w:rsidRPr="00AE7A62">
        <w:rPr>
          <w:rFonts w:ascii="Times New Roman" w:hAnsi="Times New Roman" w:cs="Times New Roman"/>
          <w:i/>
          <w:iCs/>
        </w:rPr>
        <w:t>Eighteenth-Century Studies</w:t>
      </w:r>
      <w:r w:rsidRPr="00AE7A62">
        <w:rPr>
          <w:rFonts w:ascii="Times New Roman" w:hAnsi="Times New Roman" w:cs="Times New Roman"/>
        </w:rPr>
        <w:t>, Special Issue on  The French Revolution in Culture, 22, no. 3 (Spring 1989): 329–50.</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Hartnett, Lynn. “The Making of a Revolutionary Icon: Vera </w:t>
      </w:r>
      <w:proofErr w:type="spellStart"/>
      <w:r w:rsidRPr="00AE7A62">
        <w:rPr>
          <w:rFonts w:ascii="Times New Roman" w:hAnsi="Times New Roman" w:cs="Times New Roman"/>
        </w:rPr>
        <w:t>Nikolaevna</w:t>
      </w:r>
      <w:proofErr w:type="spellEnd"/>
      <w:r w:rsidRPr="00AE7A62">
        <w:rPr>
          <w:rFonts w:ascii="Times New Roman" w:hAnsi="Times New Roman" w:cs="Times New Roman"/>
        </w:rPr>
        <w:t xml:space="preserve"> </w:t>
      </w:r>
      <w:proofErr w:type="spellStart"/>
      <w:r w:rsidRPr="00AE7A62">
        <w:rPr>
          <w:rFonts w:ascii="Times New Roman" w:hAnsi="Times New Roman" w:cs="Times New Roman"/>
        </w:rPr>
        <w:t>Figner</w:t>
      </w:r>
      <w:proofErr w:type="spellEnd"/>
      <w:r w:rsidRPr="00AE7A62">
        <w:rPr>
          <w:rFonts w:ascii="Times New Roman" w:hAnsi="Times New Roman" w:cs="Times New Roman"/>
        </w:rPr>
        <w:t xml:space="preserve"> and the People’s Will in the Wake of the Assassination of Tsar Aleksandr II.” </w:t>
      </w:r>
      <w:r w:rsidRPr="00AE7A62">
        <w:rPr>
          <w:rFonts w:ascii="Times New Roman" w:hAnsi="Times New Roman" w:cs="Times New Roman"/>
          <w:i/>
          <w:iCs/>
        </w:rPr>
        <w:t>Canadian Slavonic Papers</w:t>
      </w:r>
      <w:r w:rsidRPr="00AE7A62">
        <w:rPr>
          <w:rFonts w:ascii="Times New Roman" w:hAnsi="Times New Roman" w:cs="Times New Roman"/>
        </w:rPr>
        <w:t xml:space="preserve"> 43, no. 2/3 (September 2001): 249–2701.</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Hunt, Lynn. “The Bad Mother.” In </w:t>
      </w:r>
      <w:r w:rsidRPr="00AE7A62">
        <w:rPr>
          <w:rFonts w:ascii="Times New Roman" w:hAnsi="Times New Roman" w:cs="Times New Roman"/>
          <w:i/>
          <w:iCs/>
        </w:rPr>
        <w:t>The Family Romance of the French Revolution</w:t>
      </w:r>
      <w:r w:rsidRPr="00AE7A62">
        <w:rPr>
          <w:rFonts w:ascii="Times New Roman" w:hAnsi="Times New Roman" w:cs="Times New Roman"/>
        </w:rPr>
        <w:t>. University of California Press, 1992.</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Joan Wallach Scott. “French Feminists and the Rights of ‘Man’: Olymp</w:t>
      </w:r>
      <w:r>
        <w:rPr>
          <w:rFonts w:ascii="Times New Roman" w:hAnsi="Times New Roman" w:cs="Times New Roman"/>
        </w:rPr>
        <w:t>e</w:t>
      </w:r>
      <w:r w:rsidRPr="00AE7A62">
        <w:rPr>
          <w:rFonts w:ascii="Times New Roman" w:hAnsi="Times New Roman" w:cs="Times New Roman"/>
        </w:rPr>
        <w:t xml:space="preserve"> de Gouge’s Declarations.” </w:t>
      </w:r>
      <w:r w:rsidRPr="00AE7A62">
        <w:rPr>
          <w:rFonts w:ascii="Times New Roman" w:hAnsi="Times New Roman" w:cs="Times New Roman"/>
          <w:i/>
          <w:iCs/>
        </w:rPr>
        <w:t>History Workshop</w:t>
      </w:r>
      <w:r w:rsidRPr="00AE7A62">
        <w:rPr>
          <w:rFonts w:ascii="Times New Roman" w:hAnsi="Times New Roman" w:cs="Times New Roman"/>
        </w:rPr>
        <w:t>, no. No.28 (August 1989): 1–21.</w:t>
      </w:r>
    </w:p>
    <w:p w:rsidR="00AE7A62" w:rsidRPr="00AE7A62" w:rsidRDefault="00AE7A62" w:rsidP="00AE7A62">
      <w:pPr>
        <w:pStyle w:val="Bibliography"/>
        <w:spacing w:line="480" w:lineRule="auto"/>
        <w:rPr>
          <w:rFonts w:ascii="Times New Roman" w:hAnsi="Times New Roman" w:cs="Times New Roman"/>
        </w:rPr>
      </w:pPr>
      <w:proofErr w:type="spellStart"/>
      <w:r w:rsidRPr="00AE7A62">
        <w:rPr>
          <w:rFonts w:ascii="Times New Roman" w:hAnsi="Times New Roman" w:cs="Times New Roman"/>
        </w:rPr>
        <w:t>Kindleberger</w:t>
      </w:r>
      <w:proofErr w:type="spellEnd"/>
      <w:r w:rsidRPr="00AE7A62">
        <w:rPr>
          <w:rFonts w:ascii="Times New Roman" w:hAnsi="Times New Roman" w:cs="Times New Roman"/>
        </w:rPr>
        <w:t xml:space="preserve">, Elizabeth R. “Charlotte Corday in Text and Image: A Case Study in the French Revolution and Women’s History.” </w:t>
      </w:r>
      <w:r w:rsidRPr="00AE7A62">
        <w:rPr>
          <w:rFonts w:ascii="Times New Roman" w:hAnsi="Times New Roman" w:cs="Times New Roman"/>
          <w:i/>
          <w:iCs/>
        </w:rPr>
        <w:t>French Historical Studies</w:t>
      </w:r>
      <w:r w:rsidRPr="00AE7A62">
        <w:rPr>
          <w:rFonts w:ascii="Times New Roman" w:hAnsi="Times New Roman" w:cs="Times New Roman"/>
        </w:rPr>
        <w:t xml:space="preserve"> 18, no. 4 (Autumn 1994): 969–99.</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Kollontai, Alexandra, and Andy Blunden. “The Social Basis of the Woman Question by Alexandra Kollontai 1909.” Translated by Alix Holt, 2006. https://www.marxists.org/archive/kollonta/1909/social-basis.htm.</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“Les Droits de La Femme - Olympe de Gouges,” May 13, 2021. https://www.olympedegouges.eu/rights_of_women.php.</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Macarthur, Elizabeth. “Between the Republic of Virtue and the Republic of Letters; Marie-Jea</w:t>
      </w:r>
      <w:r>
        <w:rPr>
          <w:rFonts w:ascii="Times New Roman" w:hAnsi="Times New Roman" w:cs="Times New Roman"/>
        </w:rPr>
        <w:t>n</w:t>
      </w:r>
      <w:r w:rsidRPr="00AE7A62">
        <w:rPr>
          <w:rFonts w:ascii="Times New Roman" w:hAnsi="Times New Roman" w:cs="Times New Roman"/>
        </w:rPr>
        <w:t xml:space="preserve">ne Roland Practices Rousseau.” </w:t>
      </w:r>
      <w:r w:rsidRPr="00AE7A62">
        <w:rPr>
          <w:rFonts w:ascii="Times New Roman" w:hAnsi="Times New Roman" w:cs="Times New Roman"/>
          <w:i/>
          <w:iCs/>
        </w:rPr>
        <w:t>Yale French Studies</w:t>
      </w:r>
      <w:r w:rsidRPr="00AE7A62">
        <w:rPr>
          <w:rFonts w:ascii="Times New Roman" w:hAnsi="Times New Roman" w:cs="Times New Roman"/>
        </w:rPr>
        <w:t xml:space="preserve">, Exploring the Conversable </w:t>
      </w:r>
      <w:r w:rsidRPr="00AE7A62">
        <w:rPr>
          <w:rFonts w:ascii="Times New Roman" w:hAnsi="Times New Roman" w:cs="Times New Roman"/>
        </w:rPr>
        <w:lastRenderedPageBreak/>
        <w:t>World: Text and Sociability from the Classical Age to Enlightenment, no. 92 (1997): 184–203.</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Miller, Mary Ashburn. “Mountain, Become a Volcano.” In </w:t>
      </w:r>
      <w:r w:rsidRPr="00AE7A62">
        <w:rPr>
          <w:rFonts w:ascii="Times New Roman" w:hAnsi="Times New Roman" w:cs="Times New Roman"/>
          <w:i/>
          <w:iCs/>
        </w:rPr>
        <w:t>A Natural History of Revolution: Violence and Nature in the French Revolutionary Imagination, 1789-1794</w:t>
      </w:r>
      <w:r w:rsidRPr="00AE7A62">
        <w:rPr>
          <w:rFonts w:ascii="Times New Roman" w:hAnsi="Times New Roman" w:cs="Times New Roman"/>
        </w:rPr>
        <w:t>. Cornell University Press, 2011.</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Rousseau, Jean Jacques. “Discourse on Inequality,” 1775, 44.</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Saccarelli, Emanuele. “Machiavellian Rousseau: Gender and Family Relations in the Discourse on the Origin of Inequality.” </w:t>
      </w:r>
      <w:r w:rsidRPr="00AE7A62">
        <w:rPr>
          <w:rFonts w:ascii="Times New Roman" w:hAnsi="Times New Roman" w:cs="Times New Roman"/>
          <w:i/>
          <w:iCs/>
        </w:rPr>
        <w:t>Political Theory</w:t>
      </w:r>
      <w:r w:rsidRPr="00AE7A62">
        <w:rPr>
          <w:rFonts w:ascii="Times New Roman" w:hAnsi="Times New Roman" w:cs="Times New Roman"/>
        </w:rPr>
        <w:t xml:space="preserve"> 37, no. 4 (August 2009): 482–510.</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Schusterman, Noah C. “All of His Power Lies in the Distaff: Robespierre, Women, and the French Revolution.” </w:t>
      </w:r>
      <w:r w:rsidRPr="00AE7A62">
        <w:rPr>
          <w:rFonts w:ascii="Times New Roman" w:hAnsi="Times New Roman" w:cs="Times New Roman"/>
          <w:i/>
          <w:iCs/>
        </w:rPr>
        <w:t>Past &amp; Present</w:t>
      </w:r>
      <w:r w:rsidRPr="00AE7A62">
        <w:rPr>
          <w:rFonts w:ascii="Times New Roman" w:hAnsi="Times New Roman" w:cs="Times New Roman"/>
        </w:rPr>
        <w:t>, no. 223 (May 2014): 129–60.</w:t>
      </w:r>
    </w:p>
    <w:p w:rsidR="00AE7A62" w:rsidRPr="00AE7A62" w:rsidRDefault="00AE7A62" w:rsidP="00AE7A62">
      <w:pPr>
        <w:pStyle w:val="Bibliography"/>
        <w:spacing w:line="480" w:lineRule="auto"/>
        <w:rPr>
          <w:rFonts w:ascii="Times New Roman" w:hAnsi="Times New Roman" w:cs="Times New Roman"/>
        </w:rPr>
      </w:pPr>
      <w:proofErr w:type="spellStart"/>
      <w:r w:rsidRPr="00AE7A62">
        <w:rPr>
          <w:rFonts w:ascii="Times New Roman" w:hAnsi="Times New Roman" w:cs="Times New Roman"/>
        </w:rPr>
        <w:t>Shlapentokh</w:t>
      </w:r>
      <w:proofErr w:type="spellEnd"/>
      <w:r w:rsidRPr="00AE7A62">
        <w:rPr>
          <w:rFonts w:ascii="Times New Roman" w:hAnsi="Times New Roman" w:cs="Times New Roman"/>
        </w:rPr>
        <w:t xml:space="preserve">, Dmitry. “The French Revolution In Russian Political Life: The Case of Interaction Between History and Politics.” </w:t>
      </w:r>
      <w:r w:rsidRPr="00AE7A62">
        <w:rPr>
          <w:rFonts w:ascii="Times New Roman" w:hAnsi="Times New Roman" w:cs="Times New Roman"/>
          <w:i/>
          <w:iCs/>
        </w:rPr>
        <w:t>Revue Des Études Slaves</w:t>
      </w:r>
      <w:r w:rsidRPr="00AE7A62">
        <w:rPr>
          <w:rFonts w:ascii="Times New Roman" w:hAnsi="Times New Roman" w:cs="Times New Roman"/>
        </w:rPr>
        <w:t xml:space="preserve"> 61, no. 1/2 (1989): 131–42.</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Thomas, Chantal. “Heroism in the Feminine: The Examples of Charlotte Corday and Madame Roland.” </w:t>
      </w:r>
      <w:r w:rsidRPr="00AE7A62">
        <w:rPr>
          <w:rFonts w:ascii="Times New Roman" w:hAnsi="Times New Roman" w:cs="Times New Roman"/>
          <w:i/>
          <w:iCs/>
        </w:rPr>
        <w:t>The Eighteenth Century</w:t>
      </w:r>
      <w:r w:rsidRPr="00AE7A62">
        <w:rPr>
          <w:rFonts w:ascii="Times New Roman" w:hAnsi="Times New Roman" w:cs="Times New Roman"/>
        </w:rPr>
        <w:t>, The French Revolution 1789-1989: Two Hundred Years of Rethinking, 30, no. 2 (1989): 67–82.</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Trat, Josette. “Engels and the Emancipation of Women.” </w:t>
      </w:r>
      <w:r w:rsidRPr="00AE7A62">
        <w:rPr>
          <w:rFonts w:ascii="Times New Roman" w:hAnsi="Times New Roman" w:cs="Times New Roman"/>
          <w:i/>
          <w:iCs/>
        </w:rPr>
        <w:t>Science &amp; Society</w:t>
      </w:r>
      <w:r w:rsidRPr="00AE7A62">
        <w:rPr>
          <w:rFonts w:ascii="Times New Roman" w:hAnsi="Times New Roman" w:cs="Times New Roman"/>
        </w:rPr>
        <w:t xml:space="preserve"> 62, no. 1 (Spring 1998): 88–105.</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Wallach Scott, Joan. “French Feminists and the Rights of ‘Man’: Olympe de </w:t>
      </w:r>
      <w:proofErr w:type="spellStart"/>
      <w:r w:rsidRPr="00AE7A62">
        <w:rPr>
          <w:rFonts w:ascii="Times New Roman" w:hAnsi="Times New Roman" w:cs="Times New Roman"/>
        </w:rPr>
        <w:t>Gouges’s</w:t>
      </w:r>
      <w:proofErr w:type="spellEnd"/>
      <w:r w:rsidRPr="00AE7A62">
        <w:rPr>
          <w:rFonts w:ascii="Times New Roman" w:hAnsi="Times New Roman" w:cs="Times New Roman"/>
        </w:rPr>
        <w:t xml:space="preserve"> Declarations.” </w:t>
      </w:r>
      <w:r w:rsidRPr="00AE7A62">
        <w:rPr>
          <w:rFonts w:ascii="Times New Roman" w:hAnsi="Times New Roman" w:cs="Times New Roman"/>
          <w:i/>
          <w:iCs/>
        </w:rPr>
        <w:t>History Workshop</w:t>
      </w:r>
      <w:r w:rsidRPr="00AE7A62">
        <w:rPr>
          <w:rFonts w:ascii="Times New Roman" w:hAnsi="Times New Roman" w:cs="Times New Roman"/>
        </w:rPr>
        <w:t>, no. 28 (Autumn 1989): 1–21.</w:t>
      </w:r>
    </w:p>
    <w:p w:rsidR="00AE7A62" w:rsidRPr="00AE7A62" w:rsidRDefault="00AE7A62" w:rsidP="00AE7A62">
      <w:pPr>
        <w:pStyle w:val="Bibliography"/>
        <w:spacing w:line="480" w:lineRule="auto"/>
        <w:rPr>
          <w:rFonts w:ascii="Times New Roman" w:hAnsi="Times New Roman" w:cs="Times New Roman"/>
        </w:rPr>
      </w:pPr>
      <w:r w:rsidRPr="00AE7A62">
        <w:rPr>
          <w:rFonts w:ascii="Times New Roman" w:hAnsi="Times New Roman" w:cs="Times New Roman"/>
        </w:rPr>
        <w:t xml:space="preserve">Wood, Elizabeth A. “The Bolsheviks and the Genealogy of the Woman Question.” In </w:t>
      </w:r>
      <w:r w:rsidRPr="00AE7A62">
        <w:rPr>
          <w:rFonts w:ascii="Times New Roman" w:hAnsi="Times New Roman" w:cs="Times New Roman"/>
          <w:i/>
          <w:iCs/>
        </w:rPr>
        <w:t>The Baba and the Comrade: Gender and Politics in Revolutionary Russia</w:t>
      </w:r>
      <w:r w:rsidRPr="00AE7A62">
        <w:rPr>
          <w:rFonts w:ascii="Times New Roman" w:hAnsi="Times New Roman" w:cs="Times New Roman"/>
        </w:rPr>
        <w:t>. Bloomington, IN: Indiana University Press, 1997.</w:t>
      </w:r>
    </w:p>
    <w:p w:rsidR="007A7576" w:rsidRPr="007A7576" w:rsidRDefault="00AE7A62" w:rsidP="00AE7A62">
      <w:pPr>
        <w:spacing w:line="480" w:lineRule="auto"/>
        <w:rPr>
          <w:rFonts w:ascii="Times New Roman" w:hAnsi="Times New Roman" w:cs="Times New Roman"/>
          <w:b/>
        </w:rPr>
      </w:pPr>
      <w:r>
        <w:rPr>
          <w:rFonts w:ascii="Times New Roman" w:hAnsi="Times New Roman" w:cs="Times New Roman"/>
          <w:b/>
        </w:rPr>
        <w:fldChar w:fldCharType="end"/>
      </w:r>
    </w:p>
    <w:p w:rsidR="00F1363A" w:rsidRDefault="00F1363A" w:rsidP="007C434A">
      <w:pPr>
        <w:spacing w:line="480" w:lineRule="auto"/>
      </w:pPr>
    </w:p>
    <w:sectPr w:rsidR="00F1363A" w:rsidSect="00EE79F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A365A" w:rsidRDefault="000A365A" w:rsidP="00C566AA">
      <w:r>
        <w:separator/>
      </w:r>
    </w:p>
  </w:endnote>
  <w:endnote w:type="continuationSeparator" w:id="0">
    <w:p w:rsidR="000A365A" w:rsidRDefault="000A365A" w:rsidP="00C56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A365A" w:rsidRDefault="000A365A" w:rsidP="00C566AA">
      <w:r>
        <w:separator/>
      </w:r>
    </w:p>
  </w:footnote>
  <w:footnote w:type="continuationSeparator" w:id="0">
    <w:p w:rsidR="000A365A" w:rsidRDefault="000A365A" w:rsidP="00C566AA">
      <w:r>
        <w:continuationSeparator/>
      </w:r>
    </w:p>
  </w:footnote>
  <w:footnote w:id="1">
    <w:p w:rsidR="00637011" w:rsidRDefault="00637011" w:rsidP="00C566AA">
      <w:pPr>
        <w:pStyle w:val="FootnoteText"/>
      </w:pPr>
      <w:r w:rsidRPr="00171341">
        <w:rPr>
          <w:rStyle w:val="FootnoteReference"/>
        </w:rPr>
        <w:footnoteRef/>
      </w:r>
      <w:r>
        <w:t xml:space="preserve"> </w:t>
      </w:r>
      <w:r>
        <w:fldChar w:fldCharType="begin"/>
      </w:r>
      <w:r>
        <w:instrText xml:space="preserve"> ADDIN ZOTERO_ITEM CSL_CITATION {"citationID":"LHNIkJ71","properties":{"formattedCitation":"Wallach Scott, \\uc0\\u8220{}French Feminists and the Rights of \\uc0\\u8216{}Man\\uc0\\u8217{}: Olympe de Gouges\\uc0\\u8217{}s Declarations.\\uc0\\u8221{}","plainCitation":"Wallach Scott, “French Feminists and the Rights of ‘Man’: Olympe de Gouges’s Declarations.”","noteIndex":1},"citationItems":[{"id":59,"uris":["http://zotero.org/users/local/vdmAxuOJ/items/B3ARSSU8"],"uri":["http://zotero.org/users/local/vdmAxuOJ/items/B3ARSSU8"],"itemData":{"id":59,"type":"article-journal","container-title":"History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933FC9">
        <w:rPr>
          <w:rFonts w:ascii="Calibri" w:cs="Calibri"/>
        </w:rPr>
        <w:t>Wallach Scott, “French Feminists and the Rights of ‘Man’: Olympe de Gouges’s Declarations.”</w:t>
      </w:r>
      <w:r>
        <w:fldChar w:fldCharType="end"/>
      </w:r>
      <w:r>
        <w:t>, p. 7</w:t>
      </w:r>
    </w:p>
  </w:footnote>
  <w:footnote w:id="2">
    <w:p w:rsidR="007A7576" w:rsidRDefault="007A7576">
      <w:pPr>
        <w:pStyle w:val="FootnoteText"/>
      </w:pPr>
      <w:r>
        <w:rPr>
          <w:rStyle w:val="FootnoteReference"/>
        </w:rPr>
        <w:footnoteRef/>
      </w:r>
      <w:r>
        <w:t xml:space="preserve"> </w:t>
      </w:r>
      <w:r>
        <w:fldChar w:fldCharType="begin"/>
      </w:r>
      <w:r>
        <w:instrText xml:space="preserve"> ADDIN ZOTERO_ITEM CSL_CITATION {"citationID":"85JX2yBs","properties":{"formattedCitation":"Schusterman, \\uc0\\u8220{}All of His Power Lies in the Distaff: Robespierre, Women, and the French Revolution.\\uc0\\u8221{}","plainCitation":"Schusterman, “All of His Power Lies in the Distaff: Robespierre, Women, and the French Revolution.”","noteIndex":2},"citationItems":[{"id":82,"uris":["http://zotero.org/users/local/vdmAxuOJ/items/GTFGTK4N"],"uri":["http://zotero.org/users/local/vdmAxuOJ/items/GTFGTK4N"],"itemData":{"id":82,"type":"article-journal","container-title":"Past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Pr="007A7576">
        <w:rPr>
          <w:rFonts w:ascii="Calibri" w:cs="Calibri"/>
        </w:rPr>
        <w:t>Schusterman, “All of His Power Lies in the Distaff: Robespierre, Women, and the French Revolution.”</w:t>
      </w:r>
      <w:r>
        <w:fldChar w:fldCharType="end"/>
      </w:r>
    </w:p>
  </w:footnote>
  <w:footnote w:id="3">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614A31wp","properties":{"formattedCitation":"Schusterman.","plainCitation":"Schusterman.","noteIndex":3},"citationItems":[{"id":82,"uris":["http://zotero.org/users/local/vdmAxuOJ/items/GTFGTK4N"],"uri":["http://zotero.org/users/local/vdmAxuOJ/items/GTFGTK4N"],"itemData":{"id":82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007A7576">
        <w:rPr>
          <w:rFonts w:ascii="Calibri" w:cs="Calibri"/>
        </w:rPr>
        <w:t>Schusterman.</w:t>
      </w:r>
      <w:r>
        <w:fldChar w:fldCharType="end"/>
      </w:r>
    </w:p>
  </w:footnote>
  <w:footnote w:id="4">
    <w:p w:rsidR="00637011" w:rsidRDefault="00637011" w:rsidP="00C566AA">
      <w:pPr>
        <w:pStyle w:val="FootnoteText"/>
      </w:pPr>
      <w:r w:rsidRPr="00171341">
        <w:rPr>
          <w:rStyle w:val="FootnoteReference"/>
        </w:rPr>
        <w:footnoteRef/>
      </w:r>
      <w:r>
        <w:t xml:space="preserve"> </w:t>
      </w:r>
      <w:r>
        <w:fldChar w:fldCharType="begin"/>
      </w:r>
      <w:r w:rsidR="007954FF">
        <w:instrText xml:space="preserve"> ADDIN ZOTERO_ITEM CSL_CITATION {"citationID":"gYKVSu6n","properties":{"formattedCitation":"Kollontai and Blunden, \\uc0\\u8220{}The Social Basis of the Woman Question by Alexandra Kollontai 1909.\\uc0\\u8221{}","plainCitation":"Kollontai and Blunden, “The Social Basis of the Woman Question by Alexandra Kollontai 1909.”","noteIndex":4},"citationItems":[{"id":64,"uris":["http://zotero.org/users/local/vdmAxuOJ/items/3EHY96AV"],"uri":["http://zotero.org/users/local/vdmAxuOJ/items/3EHY96AV"],"itemData":{"id":64,"type":"webpage","title":"The Social Basis of the Woman Question by Alexandra Kollontai 1909","URL":"https://www.marxists.org/archive/kollonta/1909/social-basis.htm","author":[{"family":"Kollontai","given":"Alexandra"},{"family":"Blunden","given":"Andy"}],"translator":[{"family":"Holt","given":"Alix"}],"accessed":{"date-parts":[["2021",5,13]]},"issued":{"date-parts":[["2006"]]}}}],"schema":"https://github.com/citation-style-language/schema/raw/master/csl-citation.json"} </w:instrText>
      </w:r>
      <w:r>
        <w:fldChar w:fldCharType="separate"/>
      </w:r>
      <w:r w:rsidRPr="00933FC9">
        <w:rPr>
          <w:rFonts w:ascii="Calibri" w:cs="Calibri"/>
        </w:rPr>
        <w:t>Kollontai and Blunden, “The Social Basis of the Woman Question by Alexandra Kollontai 1909.”</w:t>
      </w:r>
      <w:r>
        <w:fldChar w:fldCharType="end"/>
      </w:r>
      <w:r>
        <w:t xml:space="preserve">, Paragraph 1, and continues to be a theme through the whole pamphlet </w:t>
      </w:r>
    </w:p>
  </w:footnote>
  <w:footnote w:id="5">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{"citationID":"1usgLwKS","properties":{"formattedCitation":"Boniece, \\uc0\\u8220{}The \\uc0\\u8216{}Shesterka\\uc0\\u8217{} of 1905-06: Terrorist Heroines of Revolutionary Russia.\\uc0\\u8221{}","plainCitation":"Boniece, “The ‘Shesterka’ of 1905-06: Terrorist Heroines of Revolutionary Russia.”","noteIndex":5},"citationItems":[{"id":62,"uris":["http://zotero.org/users/local/vdmAxuOJ/items/JVCWXJ2V"],"uri":["http://zotero.org/users/local/vdmAxuOJ/items/JVCWXJ2V"],"itemData":{"id":62,"type":"article-journal","collection-title":"Themenschwerpunkt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7B2EA1">
        <w:rPr>
          <w:rFonts w:ascii="Calibri" w:cs="Calibri"/>
        </w:rPr>
        <w:t>Boniece</w:t>
      </w:r>
      <w:proofErr w:type="spellEnd"/>
      <w:r w:rsidRPr="007B2EA1">
        <w:rPr>
          <w:rFonts w:ascii="Calibri" w:cs="Calibri"/>
        </w:rPr>
        <w:t>, “The ‘Shesterka’ of 1905-06: Terrorist Heroines of Revolutionary Russia.”</w:t>
      </w:r>
      <w:r>
        <w:fldChar w:fldCharType="end"/>
      </w:r>
    </w:p>
  </w:footnote>
  <w:footnote w:id="6">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{"citationID":"yimcNMk6","properties":{"formattedCitation":"Shlapentokh, \\uc0\\u8220{}The French Revolution In Russian Political Life: The Case of Interaction Between History and Politics.\\uc0\\u8221{}","plainCitation":"Shlapentokh, “The French Revolution In Russian Political Life: The Case of Interaction Between History and Politics.”","noteIndex":6},"citationItems":[{"id":153,"uris":["http://zotero.org/users/local/vdmAxuOJ/items/WALEWW7V"],"uri":["http://zotero.org/users/local/vdmAxuOJ/items/WALEWW7V"],"itemData":{"id":153,"type":"article-journal","container-title":"Revue des études slaves","issue":"1/2","page":"131-142","title":"The French Revolution In Russian Political Life: The Case of Interaction Between History and Politics","volume":"61","author":[{"family":"Shlapentokh","given":"Dmitry"}],"issued":{"date-parts":[["1989"]]}}}],"schema":"https://github.com/citation-style-language/schema/raw/master/csl-citation.json"} </w:instrText>
      </w:r>
      <w:r>
        <w:fldChar w:fldCharType="separate"/>
      </w:r>
      <w:proofErr w:type="spellStart"/>
      <w:r w:rsidRPr="00E257CB">
        <w:rPr>
          <w:rFonts w:ascii="Calibri" w:cs="Calibri"/>
        </w:rPr>
        <w:t>Shlapentokh</w:t>
      </w:r>
      <w:proofErr w:type="spellEnd"/>
      <w:r w:rsidRPr="00E257CB">
        <w:rPr>
          <w:rFonts w:ascii="Calibri" w:cs="Calibri"/>
        </w:rPr>
        <w:t>, “The French Revolution In Russian Political Life: The Case of Interaction Between History and Politics.”</w:t>
      </w:r>
      <w:r>
        <w:fldChar w:fldCharType="end"/>
      </w:r>
    </w:p>
  </w:footnote>
  <w:footnote w:id="7">
    <w:p w:rsidR="00637011" w:rsidRDefault="00637011">
      <w:pPr>
        <w:pStyle w:val="FootnoteText"/>
      </w:pPr>
      <w:r>
        <w:rPr>
          <w:rStyle w:val="FootnoteReference"/>
        </w:rPr>
        <w:footnoteRef/>
      </w:r>
      <w:r>
        <w:t xml:space="preserve"> </w:t>
      </w:r>
      <w:r>
        <w:fldChar w:fldCharType="begin"/>
      </w:r>
      <w:r>
        <w:instrText xml:space="preserve"> ADDIN ZOTERO_ITEM CSL_CITATION {"citationID":"36wZJnxT","properties":{"formattedCitation":"Wallach Scott, \\uc0\\u8220{}French Feminists and the Rights of \\uc0\\u8216{}Man\\uc0\\u8217{}: Olympe de Gouges\\uc0\\u8217{}s Declarations.\\uc0\\u8221{}","plainCitation":"Wallach Scott, “French Feminists and the Rights of ‘Man’: Olympe de Gouges’s Declarations.”","noteIndex":9},"citationItems":[{"id":59,"uris":["http://zotero.org/users/local/vdmAxuOJ/items/B3ARSSU8"],"uri":["http://zotero.org/users/local/vdmAxuOJ/items/B3ARSSU8"],"itemData":{"id":59,"type":"article-journal","container-title":"History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637011">
        <w:rPr>
          <w:rFonts w:ascii="Calibri" w:cs="Calibri"/>
        </w:rPr>
        <w:t>Wallach Scott, “French Feminists and the Rights of ‘Man’: Olympe de Gouges’s Declarations.”</w:t>
      </w:r>
      <w:r>
        <w:fldChar w:fldCharType="end"/>
      </w:r>
    </w:p>
  </w:footnote>
  <w:footnote w:id="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{"citationID":"dvtB5zDU","properties":{"formattedCitation":"Rousseau, \\uc0\\u8220{}Discourse on Inequality.\\uc0\\u8221{}","plainCitation":"Rousseau, “Discourse on Inequality.”","noteIndex":8},"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EC6E96">
        <w:rPr>
          <w:rFonts w:ascii="Calibri" w:cs="Calibri"/>
        </w:rPr>
        <w:t>Rousseau, “Discourse on Inequality</w:t>
      </w:r>
      <w:r>
        <w:rPr>
          <w:rFonts w:ascii="Calibri" w:cs="Calibri"/>
        </w:rPr>
        <w:t>.</w:t>
      </w:r>
      <w:r w:rsidRPr="00EC6E96">
        <w:rPr>
          <w:rFonts w:ascii="Calibri" w:cs="Calibri"/>
        </w:rPr>
        <w:t>”</w:t>
      </w:r>
      <w:r>
        <w:fldChar w:fldCharType="end"/>
      </w:r>
    </w:p>
  </w:footnote>
  <w:footnote w:id="9">
    <w:p w:rsidR="007A7576" w:rsidRDefault="007A7576">
      <w:pPr>
        <w:pStyle w:val="FootnoteText"/>
      </w:pPr>
      <w:r>
        <w:rPr>
          <w:rStyle w:val="FootnoteReference"/>
        </w:rPr>
        <w:footnoteRef/>
      </w:r>
      <w:r>
        <w:t xml:space="preserve"> </w:t>
      </w:r>
      <w:r>
        <w:fldChar w:fldCharType="begin"/>
      </w:r>
      <w:r>
        <w:instrText xml:space="preserve"> ADDIN ZOTERO_ITEM CSL_CITATION {"citationID":"FteSfTwb","properties":{"formattedCitation":"Engels, \\uc0\\u8220{}Origins of the Family. Chapter 2 (IV).\\uc0\\u8221{}","plainCitation":"Engels, “Origins of the Family. Chapter 2 (IV).”","noteIndex":9},"citationItems":[{"id":72,"uris":["http://zotero.org/users/local/vdmAxuOJ/items/IV73WUIB"],"uri":["http://zotero.org/users/local/vdmAxuOJ/items/IV73WUIB"],"itemData":{"id":72,"type":"webpage","title":"Origins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(IV).”</w:t>
      </w:r>
      <w:r>
        <w:fldChar w:fldCharType="end"/>
      </w:r>
    </w:p>
  </w:footnote>
  <w:footnote w:id="1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{"citationID":"zDxbKxUm","properties":{"formattedCitation":"Rousseau, \\uc0\\u8220{}Discourse on Inequality.\\uc0\\u8221{}","plainCitation":"Rousseau, “Discourse on Inequality.”","noteIndex":10},"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EC6E96">
        <w:rPr>
          <w:rFonts w:ascii="Calibri" w:cs="Calibri"/>
        </w:rPr>
        <w:t>Rousseau, “Discourse on Inequality.”</w:t>
      </w:r>
      <w:r>
        <w:fldChar w:fldCharType="end"/>
      </w:r>
    </w:p>
  </w:footnote>
  <w:footnote w:id="1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JF6joyrc","properties":{"formattedCitation":"Rousseau.","plainCitation":"Rousseau.","noteIndex":11},"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1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z39i74Wl","properties":{"formattedCitation":"Rousseau.","plainCitation":"Rousseau.","noteIndex":12},"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1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qFrN1r0v","properties":{"formattedCitation":"Rousseau.","plainCitation":"Rousseau.","noteIndex":13},"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14">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{"citationID":"N254Tm7V","properties":{"formattedCitation":"Saccarelli, \\uc0\\u8220{}Machiavellian Rousseau: Gender and Family Relations in the Discourse on the Origin of Inequality.\\uc0\\u8221{}","plainCitation":"Saccarelli, “Machiavellian Rousseau: Gender and Family Relations in the Discourse on the Origin of Inequality.”","noteIndex":14},"citationItems":[{"id":61,"uris":["http://zotero.org/users/local/vdmAxuOJ/items/VLT9D7AP"],"uri":["http://zotero.org/users/local/vdmAxuOJ/items/VLT9D7AP"],"itemData":{"id":61,"type":"article-journal","container-title":"Political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096BEC">
        <w:rPr>
          <w:rFonts w:ascii="Calibri" w:cs="Calibri"/>
        </w:rPr>
        <w:t>Saccarelli, “Machiavellian Rousseau: Gender and Family Relations in the Discourse on the Origin of Inequality.”</w:t>
      </w:r>
      <w:r>
        <w:fldChar w:fldCharType="end"/>
      </w:r>
      <w:r>
        <w:t>, p. 489</w:t>
      </w:r>
    </w:p>
  </w:footnote>
  <w:footnote w:id="1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l3pNOrZq","properties":{"formattedCitation":"Saccarelli.","plainCitation":"Saccarelli.","noteIndex":15},"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Pr>
          <w:noProof/>
        </w:rPr>
        <w:t>Saccarelli.</w:t>
      </w:r>
      <w:r>
        <w:fldChar w:fldCharType="end"/>
      </w:r>
      <w:r>
        <w:t>, p. 491</w:t>
      </w:r>
    </w:p>
  </w:footnote>
  <w:footnote w:id="1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mr5qYoI7","properties":{"formattedCitation":"Saccarelli.","plainCitation":"Saccarelli.","noteIndex":16},"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Pr>
          <w:noProof/>
        </w:rPr>
        <w:t>Saccarelli.</w:t>
      </w:r>
      <w:r>
        <w:fldChar w:fldCharType="end"/>
      </w:r>
      <w:r>
        <w:t>, p. 492</w:t>
      </w:r>
    </w:p>
  </w:footnote>
  <w:footnote w:id="17">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{"citationID":"bXEoXLZM","properties":{"formattedCitation":"Rousseau, \\uc0\\u8220{}Discourse on Inequality.\\uc0\\u8221{}","plainCitation":"Rousseau, “Discourse on Inequality.”","noteIndex":17},"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933FC9">
        <w:rPr>
          <w:rFonts w:ascii="Calibri" w:cs="Calibri"/>
        </w:rPr>
        <w:t>Rousseau, “Discourse on Inequality.”</w:t>
      </w:r>
      <w:r>
        <w:fldChar w:fldCharType="end"/>
      </w:r>
      <w:r w:rsidR="007954FF">
        <w:t>, 5</w:t>
      </w:r>
    </w:p>
  </w:footnote>
  <w:footnote w:id="1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5VBcdZmm","properties":{"formattedCitation":"Rousseau.","plainCitation":"Rousseau.","noteIndex":18},"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19">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Gd7DXqh1","properties":{"formattedCitation":"Rousseau.","plainCitation":"Rousseau.","noteIndex":19},"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2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4jMUDz9N","properties":{"formattedCitation":"Rousseau.","plainCitation":"Rousseau.","noteIndex":20},"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2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y34fIJyT","properties":{"formattedCitation":"Rousseau.","plainCitation":"Rousseau.","noteIndex":21},"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r w:rsidR="007A7576">
        <w:t>, 23</w:t>
      </w:r>
    </w:p>
  </w:footnote>
  <w:footnote w:id="2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H2TPa939","properties":{"formattedCitation":"Rousseau.","plainCitation":"Rousseau.","noteIndex":22},"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2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GvA9lusQ","properties":{"formattedCitation":"Rousseau.","plainCitation":"Rousseau.","noteIndex":23},"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24">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{"citationID":"KfpMQ02a","properties":{"formattedCitation":"Saccarelli, \\uc0\\u8220{}Machiavellian Rousseau: Gender and Family Relations in the Discourse on the Origin of Inequality.\\uc0\\u8221{}","plainCitation":"Saccarelli, “Machiavellian Rousseau: Gender and Family Relations in the Discourse on the Origin of Inequality.”","noteIndex":24},"citationItems":[{"id":61,"uris":["http://zotero.org/users/local/vdmAxuOJ/items/VLT9D7AP"],"uri":["http://zotero.org/users/local/vdmAxuOJ/items/VLT9D7AP"],"itemData":{"id":61,"type":"article-journal","container-title":"Political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096BEC">
        <w:rPr>
          <w:rFonts w:ascii="Calibri" w:cs="Calibri"/>
        </w:rPr>
        <w:t>Saccarelli, “Machiavellian Rousseau: Gender and Family Relations in the Discourse on the Origin of Inequality.”</w:t>
      </w:r>
      <w:r>
        <w:fldChar w:fldCharType="end"/>
      </w:r>
      <w:r>
        <w:t>, pp. 492, 495</w:t>
      </w:r>
    </w:p>
  </w:footnote>
  <w:footnote w:id="2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xfEJXaNF","properties":{"formattedCitation":"Saccarelli.","plainCitation":"Saccarelli.","noteIndex":25},"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Pr>
          <w:noProof/>
        </w:rPr>
        <w:t>Saccarelli.</w:t>
      </w:r>
      <w:r>
        <w:fldChar w:fldCharType="end"/>
      </w:r>
      <w:r>
        <w:t>, p. 496</w:t>
      </w:r>
    </w:p>
  </w:footnote>
  <w:footnote w:id="2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ssMRTfMz","properties":{"formattedCitation":"Saccarelli.","plainCitation":"Saccarelli.","noteIndex":26},"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Pr>
          <w:noProof/>
        </w:rPr>
        <w:t>Saccarelli.</w:t>
      </w:r>
      <w:r>
        <w:fldChar w:fldCharType="end"/>
      </w:r>
      <w:r>
        <w:t>, p. 497</w:t>
      </w:r>
    </w:p>
  </w:footnote>
  <w:footnote w:id="27">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kx3m0kmM","properties":{"formattedCitation":"Saccarelli.","plainCitation":"Saccarelli.","noteIndex":27},"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Pr>
          <w:noProof/>
        </w:rPr>
        <w:t>Saccarelli.</w:t>
      </w:r>
      <w:r>
        <w:fldChar w:fldCharType="end"/>
      </w:r>
      <w:r>
        <w:t>, p. 498</w:t>
      </w:r>
    </w:p>
  </w:footnote>
  <w:footnote w:id="28">
    <w:p w:rsidR="007A7576" w:rsidRDefault="007A7576">
      <w:pPr>
        <w:pStyle w:val="FootnoteText"/>
      </w:pPr>
      <w:r>
        <w:rPr>
          <w:rStyle w:val="FootnoteReference"/>
        </w:rPr>
        <w:footnoteRef/>
      </w:r>
      <w:r>
        <w:t xml:space="preserve"> </w:t>
      </w:r>
      <w:r>
        <w:fldChar w:fldCharType="begin"/>
      </w:r>
      <w:r>
        <w:instrText xml:space="preserve"> ADDIN ZOTERO_ITEM CSL_CITATION {"citationID":"GU4g5aB8","properties":{"formattedCitation":"Engels, \\uc0\\u8220{}Origins of the Family-- Chapter 2 (II).\\uc0\\u8221{}","plainCitation":"Engels, “Origins of the Family-- Chapter 2 (II).”","noteIndex":28},"citationItems":[{"id":68,"uris":["http://zotero.org/users/local/vdmAxuOJ/items/MHFB4SP7"],"uri":["http://zotero.org/users/local/vdmAxuOJ/items/MHFB4SP7"],"itemData":{"id":68,"type":"webpage","title":"Origins of the Family-- Chapter 2 (II)","URL":"https://www.marxists.org/archive/marx/works/1884/origin-family/ch02b.htm","author":[{"family":"Engels","given":"Friedrich"}],"accessed":{"date-parts":[["2021",5,13]]}}}],"schema":"https://github.com/citation-style-language/schema/raw/master/csl-citation.json"}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(II).”</w:t>
      </w:r>
      <w:r>
        <w:fldChar w:fldCharType="end"/>
      </w:r>
    </w:p>
  </w:footnote>
  <w:footnote w:id="29">
    <w:p w:rsidR="00637011" w:rsidRDefault="00637011" w:rsidP="00B36C75">
      <w:pPr>
        <w:pStyle w:val="FootnoteText"/>
      </w:pPr>
      <w:r>
        <w:rPr>
          <w:rStyle w:val="FootnoteReference"/>
        </w:rPr>
        <w:footnoteRef/>
      </w:r>
      <w:r w:rsidR="007A7576">
        <w:t xml:space="preserve"> </w:t>
      </w:r>
      <w:r>
        <w:fldChar w:fldCharType="begin"/>
      </w:r>
      <w:r w:rsidR="007A7576">
        <w:instrText xml:space="preserve"> ADDIN ZOTERO_ITEM CSL_CITATION {"citationID":"bbvq0HSG","properties":{"formattedCitation":"Engels, \\uc0\\u8220{}Origins of the Family-- Chapter 2 (III).\\uc0\\u8221{}","plainCitation":"Engels, “Origins of the Family-- Chapter 2 (III).”","noteIndex":29},"citationItems":[{"id":70,"uris":["http://zotero.org/users/local/vdmAxuOJ/items/7M9D34HD"],"uri":["http://zotero.org/users/local/vdmAxuOJ/items/7M9D34HD"],"itemData":{"id":70,"type":"webpage","title":"Origins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30">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dtWNE7Gu","properties":{"formattedCitation":"Engels.","plainCitation":"Engels.","noteIndex":30},"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Pr>
          <w:rFonts w:ascii="Calibri" w:cs="Calibri"/>
        </w:rPr>
        <w:t>Engels.</w:t>
      </w:r>
      <w:r>
        <w:fldChar w:fldCharType="end"/>
      </w:r>
      <w:r w:rsidR="00AE7A62">
        <w:t>, 30</w:t>
      </w:r>
    </w:p>
  </w:footnote>
  <w:footnote w:id="31">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So8dcrwa","properties":{"formattedCitation":"Engels.","plainCitation":"Engels.","noteIndex":31},"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Pr>
          <w:rFonts w:ascii="Calibri" w:cs="Calibri"/>
        </w:rPr>
        <w:t>Engels.</w:t>
      </w:r>
      <w:r>
        <w:fldChar w:fldCharType="end"/>
      </w:r>
      <w:r w:rsidR="00AE7A62">
        <w:t>, 30</w:t>
      </w:r>
    </w:p>
  </w:footnote>
  <w:footnote w:id="32">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4xegNB4W","properties":{"formattedCitation":"Engels.","plainCitation":"Engels.","noteIndex":32},"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Pr>
          <w:rFonts w:ascii="Calibri" w:cs="Calibri"/>
        </w:rPr>
        <w:t>Engels.</w:t>
      </w:r>
      <w:r>
        <w:fldChar w:fldCharType="end"/>
      </w:r>
    </w:p>
  </w:footnote>
  <w:footnote w:id="33">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{"citationID":"UDcfrtWX","properties":{"formattedCitation":"Engels, \\uc0\\u8220{}Origins of the Family. Chapter 2 (IV).\\uc0\\u8221{}","plainCitation":"Engels, “Origins of the Family. Chapter 2 (IV).”","noteIndex":33},"citationItems":[{"id":72,"uris":["http://zotero.org/users/local/vdmAxuOJ/items/IV73WUIB"],"uri":["http://zotero.org/users/local/vdmAxuOJ/items/IV73WUIB"],"itemData":{"id":72,"type":"webpage","title":"Origins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(IV).”</w:t>
      </w:r>
      <w:r>
        <w:fldChar w:fldCharType="end"/>
      </w:r>
    </w:p>
  </w:footnote>
  <w:footnote w:id="34">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{"citationID":"Vo3c2ktF","properties":{"formattedCitation":"Engels, \\uc0\\u8220{}Origins of the Family-- Chapter 2 (III).\\uc0\\u8221{}","plainCitation":"Engels, “Origins of the Family-- Chapter 2 (III).”","noteIndex":34},"citationItems":[{"id":70,"uris":["http://zotero.org/users/local/vdmAxuOJ/items/7M9D34HD"],"uri":["http://zotero.org/users/local/vdmAxuOJ/items/7M9D34HD"],"itemData":{"id":70,"type":"webpage","title":"Origins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35">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{"citationID":"yD5eL7gK","properties":{"formattedCitation":"Engels, \\uc0\\u8220{}Origins of the Family. Chapter 2 (IV).\\uc0\\u8221{}","plainCitation":"Engels, “Origins of the Family. Chapter 2 (IV).”","noteIndex":35},"citationItems":[{"id":72,"uris":["http://zotero.org/users/local/vdmAxuOJ/items/IV73WUIB"],"uri":["http://zotero.org/users/local/vdmAxuOJ/items/IV73WUIB"],"itemData":{"id":72,"type":"webpage","title":"Origins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(IV).”</w:t>
      </w:r>
      <w:r>
        <w:fldChar w:fldCharType="end"/>
      </w:r>
    </w:p>
  </w:footnote>
  <w:footnote w:id="36">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oKN5AC1f","properties":{"formattedCitation":"Engels.","plainCitation":"Engels.","noteIndex":36},"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Pr>
          <w:rFonts w:ascii="Calibri" w:cs="Calibri"/>
        </w:rPr>
        <w:t>Engels.</w:t>
      </w:r>
      <w:r>
        <w:fldChar w:fldCharType="end"/>
      </w:r>
    </w:p>
  </w:footnote>
  <w:footnote w:id="37">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cREApSQm","properties":{"formattedCitation":"Engels.","plainCitation":"Engels.","noteIndex":37},"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Pr>
          <w:rFonts w:ascii="Calibri" w:cs="Calibri"/>
        </w:rPr>
        <w:t>Engels.</w:t>
      </w:r>
      <w:r>
        <w:fldChar w:fldCharType="end"/>
      </w:r>
    </w:p>
  </w:footnote>
  <w:footnote w:id="3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{"citationID":"smT7GGZv","properties":{"formattedCitation":"Trat, \\uc0\\u8220{}Engels and the Emancipation of Women.\\uc0\\u8221{}","plainCitation":"Trat, “Engels and the Emancipation of Women.”","noteIndex":38},"citationItems":[{"id":157,"uris":["http://zotero.org/users/local/vdmAxuOJ/items/EHCWWCG8"],"uri":["http://zotero.org/users/local/vdmAxuOJ/items/EHCWWCG8"],"itemData":{"id":157,"type":"article-journal","container-title":"Science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sidRPr="00096BEC">
        <w:rPr>
          <w:rFonts w:ascii="Calibri" w:cs="Calibri"/>
        </w:rPr>
        <w:t>Trat, “Engels and the Emancipation of Women.”</w:t>
      </w:r>
      <w:r>
        <w:fldChar w:fldCharType="end"/>
      </w:r>
      <w:r>
        <w:t>, 93</w:t>
      </w:r>
    </w:p>
  </w:footnote>
  <w:footnote w:id="39">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xm7ABu2Z","properties":{"formattedCitation":"Trat.","plainCitation":"Trat.","noteIndex":39},"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Pr>
          <w:noProof/>
        </w:rPr>
        <w:t>Trat.</w:t>
      </w:r>
      <w:r>
        <w:fldChar w:fldCharType="end"/>
      </w:r>
    </w:p>
  </w:footnote>
  <w:footnote w:id="4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Gk999OJf","properties":{"formattedCitation":"Trat.","plainCitation":"Trat.","noteIndex":40},"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Pr>
          <w:noProof/>
        </w:rPr>
        <w:t>Trat.</w:t>
      </w:r>
      <w:r>
        <w:fldChar w:fldCharType="end"/>
      </w:r>
      <w:r>
        <w:t>, 94</w:t>
      </w:r>
    </w:p>
  </w:footnote>
  <w:footnote w:id="4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juOHO0TH","properties":{"formattedCitation":"Trat.","plainCitation":"Trat.","noteIndex":41},"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Pr>
          <w:noProof/>
        </w:rPr>
        <w:t>Trat.</w:t>
      </w:r>
      <w:r>
        <w:fldChar w:fldCharType="end"/>
      </w:r>
      <w:r>
        <w:t>, 94</w:t>
      </w:r>
    </w:p>
  </w:footnote>
  <w:footnote w:id="4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Jpbw6yUf","properties":{"formattedCitation":"Trat.","plainCitation":"Trat.","noteIndex":42},"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Pr>
          <w:noProof/>
        </w:rPr>
        <w:t>Trat.</w:t>
      </w:r>
      <w:r>
        <w:fldChar w:fldCharType="end"/>
      </w:r>
      <w:r>
        <w:t>, 94, 95</w:t>
      </w:r>
    </w:p>
  </w:footnote>
  <w:footnote w:id="43">
    <w:p w:rsidR="00AE7A62" w:rsidRDefault="00AE7A62">
      <w:pPr>
        <w:pStyle w:val="FootnoteText"/>
      </w:pPr>
      <w:r>
        <w:rPr>
          <w:rStyle w:val="FootnoteReference"/>
        </w:rPr>
        <w:footnoteRef/>
      </w:r>
      <w:r>
        <w:t xml:space="preserve"> </w:t>
      </w:r>
      <w:r>
        <w:fldChar w:fldCharType="begin"/>
      </w:r>
      <w:r>
        <w:instrText xml:space="preserve"> ADDIN ZOTERO_ITEM CSL_CITATION {"citationID":"E3J30A78","properties":{"formattedCitation":"Engels, \\uc0\\u8220{}Origins of the Family-- Chapter II.\\uc0\\u8221{}","plainCitation":"Engels, “Origins of the Family-- Chapter II.”","noteIndex":43},"citationItems":[{"id":66,"uris":["http://zotero.org/users/local/vdmAxuOJ/items/DS94JYZW"],"uri":["http://zotero.org/users/local/vdmAxuOJ/items/DS94JYZW"],"itemData":{"id":66,"type":"webpage","title":"Origins of the Family-- Chapter II","URL":"https://www.marxists.org/archive/marx/works/1884/origin-family/ch02.htm","author":[{"family":"Engels","given":"Friedrich"}],"accessed":{"date-parts":[["2021",5,13]]}}}],"schema":"https://github.com/citation-style-language/schema/raw/master/csl-citation.json"} </w:instrText>
      </w:r>
      <w:r>
        <w:fldChar w:fldCharType="separate"/>
      </w:r>
      <w:r w:rsidRPr="00AE7A62">
        <w:rPr>
          <w:rFonts w:ascii="Calibri" w:cs="Calibri"/>
        </w:rPr>
        <w:t>Engels, “Origins of the Family-- Chapter II.”</w:t>
      </w:r>
      <w:r>
        <w:fldChar w:fldCharType="end"/>
      </w:r>
      <w:r>
        <w:t xml:space="preserve">, </w:t>
      </w:r>
      <w:r>
        <w:fldChar w:fldCharType="begin"/>
      </w:r>
      <w:r>
        <w:instrText xml:space="preserve"> ADDIN ZOTERO_ITEM CSL_CITATION {"citationID":"f4AUOVwz","properties":{"formattedCitation":"Engels, \\uc0\\u8220{}Origins of the Family-- Chapter 2 (II).\\uc0\\u8221{}","plainCitation":"Engels, “Origins of the Family-- Chapter 2 (II).”","noteIndex":43},"citationItems":[{"id":68,"uris":["http://zotero.org/users/local/vdmAxuOJ/items/MHFB4SP7"],"uri":["http://zotero.org/users/local/vdmAxuOJ/items/MHFB4SP7"],"itemData":{"id":68,"type":"webpage","title":"Origins of the Family-- Chapter 2 (II)","URL":"https://www.marxists.org/archive/marx/works/1884/origin-family/ch02b.htm","author":[{"family":"Engels","given":"Friedrich"}],"accessed":{"date-parts":[["2021",5,13]]}}}],"schema":"https://github.com/citation-style-language/schema/raw/master/csl-citation.json"} </w:instrText>
      </w:r>
      <w:r>
        <w:fldChar w:fldCharType="separate"/>
      </w:r>
      <w:r w:rsidRPr="00AE7A62">
        <w:rPr>
          <w:rFonts w:ascii="Calibri" w:cs="Calibri"/>
        </w:rPr>
        <w:t>Engels, “Origins of the Family-- Chapter 2 (II).”</w:t>
      </w:r>
      <w:r>
        <w:fldChar w:fldCharType="end"/>
      </w:r>
      <w:r>
        <w:t xml:space="preserve">, </w:t>
      </w:r>
      <w:r>
        <w:fldChar w:fldCharType="begin"/>
      </w:r>
      <w:r>
        <w:instrText xml:space="preserve"> ADDIN ZOTERO_ITEM CSL_CITATION {"citationID":"90tBbCYd","properties":{"formattedCitation":"Engels, \\uc0\\u8220{}Origins of the Family-- Chapter 2 (III).\\uc0\\u8221{}","plainCitation":"Engels, “Origins of the Family-- Chapter 2 (III).”","noteIndex":43},"citationItems":[{"id":70,"uris":["http://zotero.org/users/local/vdmAxuOJ/items/7M9D34HD"],"uri":["http://zotero.org/users/local/vdmAxuOJ/items/7M9D34HD"],"itemData":{"id":70,"type":"webpage","title":"Origins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Pr="00AE7A62">
        <w:rPr>
          <w:rFonts w:ascii="Calibri" w:cs="Calibri"/>
        </w:rPr>
        <w:t>Engels, “Origins of the Family-- Chapter 2 (III).”</w:t>
      </w:r>
      <w:r>
        <w:fldChar w:fldCharType="end"/>
      </w:r>
      <w:r>
        <w:t xml:space="preserve">, </w:t>
      </w:r>
      <w:r>
        <w:fldChar w:fldCharType="begin"/>
      </w:r>
      <w:r>
        <w:instrText xml:space="preserve"> ADDIN ZOTERO_ITEM CSL_CITATION {"citationID":"U0PwqDY7","properties":{"formattedCitation":"Rousseau, \\uc0\\u8220{}Discourse on Inequality.\\uc0\\u8221{}","plainCitation":"Rousseau, “Discourse on Inequality.”","noteIndex":43},"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AE7A62">
        <w:rPr>
          <w:rFonts w:ascii="Calibri" w:cs="Calibri"/>
        </w:rPr>
        <w:t>Rousseau, “Discourse on Inequality.”</w:t>
      </w:r>
      <w:r>
        <w:fldChar w:fldCharType="end"/>
      </w:r>
    </w:p>
  </w:footnote>
  <w:footnote w:id="44">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{"citationID":"nLEObUiJ","properties":{"formattedCitation":"Engels, \\uc0\\u8220{}Origins of the Family-- Chapter 2 (III).\\uc0\\u8221{}","plainCitation":"Engels, “Origins of the Family-- Chapter 2 (III).”","noteIndex":44},"citationItems":[{"id":70,"uris":["http://zotero.org/users/local/vdmAxuOJ/items/7M9D34HD"],"uri":["http://zotero.org/users/local/vdmAxuOJ/items/7M9D34HD"],"itemData":{"id":70,"type":"webpage","title":"Origins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4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{"citationID":"27TA7MU8","properties":{"formattedCitation":"Rousseau, \\uc0\\u8220{}Discourse on Inequality.\\uc0\\u8221{}","plainCitation":"Rousseau, “Discourse on Inequality.”","noteIndex":45},"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F30125">
        <w:rPr>
          <w:rFonts w:ascii="Calibri" w:cs="Calibri"/>
        </w:rPr>
        <w:t>Rousseau, “Discourse on Inequality.”</w:t>
      </w:r>
      <w:r>
        <w:fldChar w:fldCharType="end"/>
      </w:r>
    </w:p>
  </w:footnote>
  <w:footnote w:id="46">
    <w:p w:rsidR="007A7576" w:rsidRDefault="007A7576">
      <w:pPr>
        <w:pStyle w:val="FootnoteText"/>
      </w:pPr>
      <w:r>
        <w:rPr>
          <w:rStyle w:val="FootnoteReference"/>
        </w:rPr>
        <w:footnoteRef/>
      </w:r>
      <w:r>
        <w:t xml:space="preserve"> </w:t>
      </w:r>
      <w:r>
        <w:fldChar w:fldCharType="begin"/>
      </w:r>
      <w:r>
        <w:instrText xml:space="preserve"> ADDIN ZOTERO_ITEM CSL_CITATION {"citationID":"WZ4jpJrk","properties":{"formattedCitation":"Engels, \\uc0\\u8220{}Origins of the Family-- Chapter 2 (II).\\uc0\\u8221{}","plainCitation":"Engels, “Origins of the Family-- Chapter 2 (II).”","noteIndex":46},"citationItems":[{"id":68,"uris":["http://zotero.org/users/local/vdmAxuOJ/items/MHFB4SP7"],"uri":["http://zotero.org/users/local/vdmAxuOJ/items/MHFB4SP7"],"itemData":{"id":68,"type":"webpage","title":"Origins of the Family-- Chapter 2 (II)","URL":"https://www.marxists.org/archive/marx/works/1884/origin-family/ch02b.htm","author":[{"family":"Engels","given":"Friedrich"}],"accessed":{"date-parts":[["2021",5,13]]}}}],"schema":"https://github.com/citation-style-language/schema/raw/master/csl-citation.json"}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(II).”</w:t>
      </w:r>
      <w:r>
        <w:fldChar w:fldCharType="end"/>
      </w:r>
    </w:p>
  </w:footnote>
  <w:footnote w:id="47">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{"citationID":"HnFkzCbX","properties":{"formattedCitation":"Engels, \\uc0\\u8220{}Origins of the Family-- Chapter 2 (III).\\uc0\\u8221{}","plainCitation":"Engels, “Origins of the Family-- Chapter 2 (III).”","noteIndex":47},"citationItems":[{"id":70,"uris":["http://zotero.org/users/local/vdmAxuOJ/items/7M9D34HD"],"uri":["http://zotero.org/users/local/vdmAxuOJ/items/7M9D34HD"],"itemData":{"id":70,"type":"webpage","title":"Origins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4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{"citationID":"Tlb2HSwt","properties":{"formattedCitation":"Rousseau, \\uc0\\u8220{}Discourse on Inequality.\\uc0\\u8221{}","plainCitation":"Rousseau, “Discourse on Inequality.”","noteIndex":48},"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500D6F">
        <w:rPr>
          <w:rFonts w:ascii="Calibri" w:cs="Calibri"/>
        </w:rPr>
        <w:t>Rousseau, “Discourse on Inequality.”</w:t>
      </w:r>
      <w:r>
        <w:fldChar w:fldCharType="end"/>
      </w:r>
    </w:p>
  </w:footnote>
  <w:footnote w:id="49">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{"citationID":"QzsA75P3","properties":{"formattedCitation":"Engels, \\uc0\\u8220{}Origins of the Family. Chapter 2 (IV).\\uc0\\u8221{}","plainCitation":"Engels, “Origins of the Family. Chapter 2 (IV).”","noteIndex":49},"citationItems":[{"id":72,"uris":["http://zotero.org/users/local/vdmAxuOJ/items/IV73WUIB"],"uri":["http://zotero.org/users/local/vdmAxuOJ/items/IV73WUIB"],"itemData":{"id":72,"type":"webpage","title":"Origins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(IV).”</w:t>
      </w:r>
      <w:r>
        <w:fldChar w:fldCharType="end"/>
      </w:r>
    </w:p>
  </w:footnote>
  <w:footnote w:id="50">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{"citationID":"2BjWZGfJ","properties":{"formattedCitation":"Engels, \\uc0\\u8220{}Origins of the Family-- Chapter 2 (II).\\uc0\\u8221{}","plainCitation":"Engels, “Origins of the Family-- Chapter 2 (II).”","noteIndex":50},"citationItems":[{"id":68,"uris":["http://zotero.org/users/local/vdmAxuOJ/items/MHFB4SP7"],"uri":["http://zotero.org/users/local/vdmAxuOJ/items/MHFB4SP7"],"itemData":{"id":68,"type":"webpage","title":"Origins of the Family-- Chapter 2 (II)","URL":"https://www.marxists.org/archive/marx/works/1884/origin-family/ch02b.htm","author":[{"family":"Engels","given":"Friedrich"}],"accessed":{"date-parts":[["2021",5,13]]}}}],"schema":"https://github.com/citation-style-language/schema/raw/master/csl-citation.json"}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w:t>
      </w:r>
      <w:r>
        <w:fldChar w:fldCharType="end"/>
      </w:r>
    </w:p>
  </w:footnote>
  <w:footnote w:id="5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{"citationID":"PBYGmAob","properties":{"formattedCitation":"Rousseau, \\uc0\\u8220{}Discourse on Inequality.\\uc0\\u8221{}","plainCitation":"Rousseau, “Discourse on Inequality.”","noteIndex":51},"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933778">
        <w:rPr>
          <w:rFonts w:ascii="Calibri" w:cs="Calibri"/>
        </w:rPr>
        <w:t>Rousseau, “Discourse on Inequality.”</w:t>
      </w:r>
      <w:r>
        <w:fldChar w:fldCharType="end"/>
      </w:r>
    </w:p>
  </w:footnote>
  <w:footnote w:id="5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2G2KZuBs","properties":{"formattedCitation":"Rousseau.","plainCitation":"Rousseau.","noteIndex":52},"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rFonts w:ascii="Calibri" w:cs="Calibri"/>
        </w:rPr>
        <w:t>Rousseau.</w:t>
      </w:r>
      <w:r>
        <w:fldChar w:fldCharType="end"/>
      </w:r>
    </w:p>
  </w:footnote>
  <w:footnote w:id="53">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{"citationID":"YSgMgXq2","properties":{"formattedCitation":"Saccarelli, \\uc0\\u8220{}Machiavellian Rousseau: Gender and Family Relations in the Discourse on the Origin of Inequality.\\uc0\\u8221{}","plainCitation":"Saccarelli, “Machiavellian Rousseau: Gender and Family Relations in the Discourse on the Origin of Inequality.”","noteIndex":53},"citationItems":[{"id":61,"uris":["http://zotero.org/users/local/vdmAxuOJ/items/VLT9D7AP"],"uri":["http://zotero.org/users/local/vdmAxuOJ/items/VLT9D7AP"],"itemData":{"id":61,"type":"article-journal","container-title":"Political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E257CB">
        <w:rPr>
          <w:rFonts w:ascii="Calibri" w:cs="Calibri"/>
        </w:rPr>
        <w:t>Saccarelli, “Machiavellian Rousseau: Gender and Family Relations in the Discourse on the Origin of Inequality.”</w:t>
      </w:r>
      <w:r>
        <w:fldChar w:fldCharType="end"/>
      </w:r>
    </w:p>
  </w:footnote>
  <w:footnote w:id="54">
    <w:p w:rsidR="007A7576" w:rsidRDefault="007A7576">
      <w:pPr>
        <w:pStyle w:val="FootnoteText"/>
      </w:pPr>
      <w:r>
        <w:rPr>
          <w:rStyle w:val="FootnoteReference"/>
        </w:rPr>
        <w:footnoteRef/>
      </w:r>
      <w:r>
        <w:t xml:space="preserve"> </w:t>
      </w:r>
      <w:r>
        <w:fldChar w:fldCharType="begin"/>
      </w:r>
      <w:r>
        <w:instrText xml:space="preserve"> ADDIN ZOTERO_ITEM CSL_CITATION {"citationID":"n1ydtB09","properties":{"formattedCitation":"Engels, \\uc0\\u8220{}Origins of the Family-- Chapter 2 (III).\\uc0\\u8221{}","plainCitation":"Engels, “Origins of the Family-- Chapter 2 (III).”","noteIndex":54},"citationItems":[{"id":70,"uris":["http://zotero.org/users/local/vdmAxuOJ/items/7M9D34HD"],"uri":["http://zotero.org/users/local/vdmAxuOJ/items/7M9D34HD"],"itemData":{"id":70,"type":"webpage","title":"Origins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(III).”</w:t>
      </w:r>
      <w:r>
        <w:fldChar w:fldCharType="end"/>
      </w:r>
    </w:p>
  </w:footnote>
  <w:footnote w:id="5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{"citationID":"6tGqq8cD","properties":{"formattedCitation":"Rousseau, \\uc0\\u8220{}Discourse on Inequality.\\uc0\\u8221{}","plainCitation":"Rousseau, “Discourse on Inequality.”","noteIndex":55},"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500D6F">
        <w:rPr>
          <w:rFonts w:ascii="Calibri" w:cs="Calibri"/>
        </w:rPr>
        <w:t>Rousseau, “Discourse on Inequality.”</w:t>
      </w:r>
      <w:r>
        <w:fldChar w:fldCharType="end"/>
      </w:r>
    </w:p>
  </w:footnote>
  <w:footnote w:id="5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SMhCAJcw","properties":{"formattedCitation":"Rousseau.","plainCitation":"Rousseau.","noteIndex":56},"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57">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EfVcYUKk","properties":{"formattedCitation":"Rousseau.","plainCitation":"Rousseau.","noteIndex":57},"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Pr>
          <w:noProof/>
        </w:rPr>
        <w:t>Rousseau.</w:t>
      </w:r>
      <w:r>
        <w:fldChar w:fldCharType="end"/>
      </w:r>
    </w:p>
  </w:footnote>
  <w:footnote w:id="58">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{"citationID":"qI6I4oee","properties":{"formattedCitation":"Saccarelli, \\uc0\\u8220{}Machiavellian Rousseau: Gender and Family Relations in the Discourse on the Origin of Inequality.\\uc0\\u8221{}","plainCitation":"Saccarelli, “Machiavellian Rousseau: Gender and Family Relations in the Discourse on the Origin of Inequality.”","noteIndex":58},"citationItems":[{"id":61,"uris":["http://zotero.org/users/local/vdmAxuOJ/items/VLT9D7AP"],"uri":["http://zotero.org/users/local/vdmAxuOJ/items/VLT9D7AP"],"itemData":{"id":61,"type":"article-journal","container-title":"Political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E257CB">
        <w:rPr>
          <w:rFonts w:ascii="Calibri" w:cs="Calibri"/>
        </w:rPr>
        <w:t>Saccarelli, “Machiavellian Rousseau: Gender and Family Relations in the Discourse on the Origin of Inequality.”</w:t>
      </w:r>
      <w:r>
        <w:fldChar w:fldCharType="end"/>
      </w:r>
    </w:p>
  </w:footnote>
  <w:footnote w:id="59">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{"citationID":"qbUgEDFp","properties":{"formattedCitation":"Rousseau, \\uc0\\u8220{}Discourse on Inequality.\\uc0\\u8221{}","plainCitation":"Rousseau, “Discourse on Inequality.”","noteIndex":59},"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E257CB">
        <w:rPr>
          <w:rFonts w:ascii="Calibri" w:cs="Calibri"/>
        </w:rPr>
        <w:t>Rousseau, “Discourse on Inequality.”</w:t>
      </w:r>
      <w:r>
        <w:fldChar w:fldCharType="end"/>
      </w:r>
    </w:p>
  </w:footnote>
  <w:footnote w:id="60">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{"citationID":"7x7rx3Nw","properties":{"formattedCitation":"Engels, \\uc0\\u8220{}Origins of the Family. Chapter 2 (IV).\\uc0\\u8221{}","plainCitation":"Engels, “Origins of the Family. Chapter 2 (IV).”","noteIndex":60},"citationItems":[{"id":72,"uris":["http://zotero.org/users/local/vdmAxuOJ/items/IV73WUIB"],"uri":["http://zotero.org/users/local/vdmAxuOJ/items/IV73WUIB"],"itemData":{"id":72,"type":"webpage","title":"Origins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(IV).”</w:t>
      </w:r>
      <w:r>
        <w:fldChar w:fldCharType="end"/>
      </w:r>
    </w:p>
  </w:footnote>
  <w:footnote w:id="61">
    <w:p w:rsidR="00637011" w:rsidRDefault="00637011" w:rsidP="00B36C75">
      <w:pPr>
        <w:pStyle w:val="FootnoteText"/>
      </w:pPr>
      <w:r>
        <w:rPr>
          <w:rStyle w:val="FootnoteReference"/>
        </w:rPr>
        <w:footnoteRef/>
      </w:r>
      <w:r w:rsidR="007954FF">
        <w:t xml:space="preserve"> </w:t>
      </w:r>
      <w:r>
        <w:fldChar w:fldCharType="begin"/>
      </w:r>
      <w:r w:rsidR="007A7576">
        <w:instrText xml:space="preserve"> ADDIN ZOTERO_ITEM CSL_CITATION {"citationID":"hsQNc8qE","properties":{"formattedCitation":"Engels, \\uc0\\u8220{}Origins of the Family-- Chapter 2 (III).\\uc0\\u8221{}","plainCitation":"Engels, “Origins of the Family-- Chapter 2 (III).”","noteIndex":61},"citationItems":[{"id":70,"uris":["http://zotero.org/users/local/vdmAxuOJ/items/7M9D34HD"],"uri":["http://zotero.org/users/local/vdmAxuOJ/items/7M9D34HD"],"itemData":{"id":70,"type":"webpage","title":"Origins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6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{"citationID":"5Nu57uPw","properties":{"formattedCitation":"Kollontai and Blunden, \\uc0\\u8220{}The Social Basis of the Woman Question by Alexandra Kollontai 1909.\\uc0\\u8221{}","plainCitation":"Kollontai and Blunden, “The Social Basis of the Woman Question by Alexandra Kollontai 1909.”","noteIndex":62},"citationItems":[{"id":64,"uris":["http://zotero.org/users/local/vdmAxuOJ/items/3EHY96AV"],"uri":["http://zotero.org/users/local/vdmAxuOJ/items/3EHY96AV"],"itemData":{"id":64,"type":"webpage","title":"The Social Basis of the Woman Question by Alexandra Kollontai 1909","URL":"https://www.marxists.org/archive/kollonta/1909/social-basis.htm","author":[{"family":"Kollontai","given":"Alexandra"},{"family":"Blunden","given":"Andy"}],"translator":[{"family":"Holt","given":"Alix"}],"accessed":{"date-parts":[["2021",5,13]]},"issued":{"date-parts":[["2006"]]}}}],"schema":"https://github.com/citation-style-language/schema/raw/master/csl-citation.json"} </w:instrText>
      </w:r>
      <w:r>
        <w:fldChar w:fldCharType="separate"/>
      </w:r>
      <w:r w:rsidRPr="00933778">
        <w:rPr>
          <w:rFonts w:ascii="Calibri" w:cs="Calibri"/>
        </w:rPr>
        <w:t>Kollontai and Blunden, “The Social Basis of the Woman Question by Alexandra Kollontai 1909.”</w:t>
      </w:r>
      <w:r>
        <w:fldChar w:fldCharType="end"/>
      </w:r>
    </w:p>
  </w:footnote>
  <w:footnote w:id="63">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{"citationID":"i1zq6D3j","properties":{"formattedCitation":"Schusterman, \\uc0\\u8220{}All of His Power Lies in the Distaff: Robespierre, Women, and the French Revolution.\\uc0\\u8221{}","plainCitation":"Schusterman, “All of His Power Lies in the Distaff: Robespierre, Women, and the French Revolution.”","noteIndex":63},"citationItems":[{"id":82,"uris":["http://zotero.org/users/local/vdmAxuOJ/items/GTFGTK4N"],"uri":["http://zotero.org/users/local/vdmAxuOJ/items/GTFGTK4N"],"itemData":{"id":82,"type":"article-journal","container-title":"Past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Pr="00E6533F">
        <w:rPr>
          <w:rFonts w:ascii="Calibri" w:cs="Calibri"/>
        </w:rPr>
        <w:t>Schusterman, “All of His Power Lies in the Distaff: Robespierre, Women, and the French Revolution.”</w:t>
      </w:r>
      <w:r>
        <w:fldChar w:fldCharType="end"/>
      </w:r>
      <w:r w:rsidR="007954FF">
        <w:t xml:space="preserve">, </w:t>
      </w:r>
      <w:r w:rsidR="007954FF">
        <w:fldChar w:fldCharType="begin"/>
      </w:r>
      <w:r w:rsidR="007A7576">
        <w:instrText xml:space="preserve"> ADDIN ZOTERO_ITEM CSL_CITATION {"citationID":"WHljcbIf","properties":{"formattedCitation":"Clements, \\uc0\\u8220{}The Underground.\\uc0\\u8221{}","plainCitation":"Clements, “The Underground.”","noteIndex":63},"citationItems":[{"id":154,"uris":["http://zotero.org/users/local/vdmAxuOJ/items/CXSM566L"],"uri":["http://zotero.org/users/local/vdmAxuOJ/items/CXSM566L"],"itemData":{"id":154,"type":"chapter","container-title":"Bolshevik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rsidR="007954FF">
        <w:fldChar w:fldCharType="separate"/>
      </w:r>
      <w:r w:rsidR="007954FF" w:rsidRPr="007954FF">
        <w:rPr>
          <w:rFonts w:ascii="Calibri" w:cs="Calibri"/>
        </w:rPr>
        <w:t>Clements, “The Underground.”</w:t>
      </w:r>
      <w:r w:rsidR="007954FF">
        <w:fldChar w:fldCharType="end"/>
      </w:r>
    </w:p>
  </w:footnote>
  <w:footnote w:id="64">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{"citationID":"PxwE6Cmy","properties":{"formattedCitation":"Joan Wallach Scott, \\uc0\\u8220{}French Feminists and the Rights of \\uc0\\u8216{}Man\\uc0\\u8217{}: Olymp de Gouge\\uc0\\u8217{}s Declarations.\\uc0\\u8221{}","plainCitation":"Joan Wallach Scott, “French Feminists and the Rights of ‘Man’: Olymp de Gouge’s Declarations.”","dontUpdate":true,"noteIndex":64},"citationItems":[{"id":140,"uris":["http://zotero.org/users/local/vdmAxuOJ/items/4U87QEFX"],"uri":["http://zotero.org/users/local/vdmAxuOJ/items/4U87QEFX"],"itemData":{"id":140,"type":"article-journal","container-title":"History Workshop","issue":"No.28","page":"pp. 1-21","title":"French Feminists and the Rights of 'Man': Olymp de Gouge's Declarations","author":[{"family":"Joan Wallach Scott","given":""}],"issued":{"date-parts":[["1989",8]]}}}],"schema":"https://github.com/citation-style-language/schema/raw/master/csl-citation.json"} </w:instrText>
      </w:r>
      <w:r>
        <w:fldChar w:fldCharType="separate"/>
      </w:r>
      <w:r w:rsidRPr="0078553E">
        <w:rPr>
          <w:rFonts w:ascii="Calibri" w:cs="Calibri"/>
        </w:rPr>
        <w:t>Joan Wallach Scott, “French Feminists and the Rights of ‘Man’: Olymp</w:t>
      </w:r>
      <w:r>
        <w:rPr>
          <w:rFonts w:ascii="Calibri" w:cs="Calibri"/>
        </w:rPr>
        <w:t>e</w:t>
      </w:r>
      <w:r w:rsidRPr="0078553E">
        <w:rPr>
          <w:rFonts w:ascii="Calibri" w:cs="Calibri"/>
        </w:rPr>
        <w:t xml:space="preserve"> de Gouge’s Declarations.”</w:t>
      </w:r>
      <w:r>
        <w:fldChar w:fldCharType="end"/>
      </w:r>
    </w:p>
  </w:footnote>
  <w:footnote w:id="65">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{"citationID":"SDmBXWqc","properties":{"formattedCitation":"Goodman, \\uc0\\u8220{}Enlightenment Salons: The Convergence of Female and Philosophic Ambitions.\\uc0\\u8221{}","plainCitation":"Goodman, “Enlightenment Salons: The Convergence of Female and Philosophic Ambitions.”","noteIndex":65},"citationItems":[{"id":60,"uris":["http://zotero.org/users/local/vdmAxuOJ/items/Y77U2F4P"],"uri":["http://zotero.org/users/local/vdmAxuOJ/items/Y77U2F4P"],"itemData":{"id":60,"type":"article-journal","collection-title":"Special Issue on  The French Revolution in Culture","container-title":"Eighteenth-Century Studies","issue":"3","page":"329-350","title":"Enlightenment Salons: The Convergence of Female and Philosophic Ambitions","volume":"22","author":[{"family":"Goodman","given":"Dena"}],"issued":{"date-parts":[["1989"]],"season":"Spring"}}}],"schema":"https://github.com/citation-style-language/schema/raw/master/csl-citation.json"} </w:instrText>
      </w:r>
      <w:r>
        <w:fldChar w:fldCharType="separate"/>
      </w:r>
      <w:r w:rsidRPr="0078553E">
        <w:rPr>
          <w:rFonts w:ascii="Calibri" w:cs="Calibri"/>
        </w:rPr>
        <w:t>Goodman, “Enlightenment Salons: The Convergence of Female and Philosophic Ambitions.”</w:t>
      </w:r>
      <w:r>
        <w:fldChar w:fldCharType="end"/>
      </w:r>
    </w:p>
  </w:footnote>
  <w:footnote w:id="66">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{"citationID":"Vey0zsjN","properties":{"formattedCitation":"Saccarelli, \\uc0\\u8220{}Machiavellian Rousseau: Gender and Family Relations in the Discourse on the Origin of Inequality.\\uc0\\u8221{}","plainCitation":"Saccarelli, “Machiavellian Rousseau: Gender and Family Relations in the Discourse on the Origin of Inequality.”","noteIndex":67},"citationItems":[{"id":61,"uris":["http://zotero.org/users/local/vdmAxuOJ/items/VLT9D7AP"],"uri":["http://zotero.org/users/local/vdmAxuOJ/items/VLT9D7AP"],"itemData":{"id":61,"type":"article-journal","container-title":"Political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31754E">
        <w:rPr>
          <w:rFonts w:ascii="Calibri" w:cs="Calibri"/>
        </w:rPr>
        <w:t>Saccarelli, “Machiavellian Rousseau: Gender and Family Relations in the Discourse on the Origin of Inequality.”</w:t>
      </w:r>
      <w:r>
        <w:fldChar w:fldCharType="end"/>
      </w:r>
    </w:p>
  </w:footnote>
  <w:footnote w:id="67">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{"citationID":"FQYaaJyS","properties":{"formattedCitation":"Joan Wallach Scott, \\uc0\\u8220{}French Feminists and the Rights of \\uc0\\u8216{}Man\\uc0\\u8217{}: Olymp de Gouge\\uc0\\u8217{}s Declarations.\\uc0\\u8221{}","plainCitation":"Joan Wallach Scott, “French Feminists and the Rights of ‘Man’: Olymp de Gouge’s Declarations.”","dontUpdate":true,"noteIndex":67},"citationItems":[{"id":140,"uris":["http://zotero.org/users/local/vdmAxuOJ/items/4U87QEFX"],"uri":["http://zotero.org/users/local/vdmAxuOJ/items/4U87QEFX"],"itemData":{"id":140,"type":"article-journal","container-title":"History Workshop","issue":"No.28","page":"pp. 1-21","title":"French Feminists and the Rights of 'Man': Olymp de Gouge's Declarations","author":[{"family":"Joan Wallach Scott","given":""}],"issued":{"date-parts":[["1989",8]]}}}],"schema":"https://github.com/citation-style-language/schema/raw/master/csl-citation.json"} </w:instrText>
      </w:r>
      <w:r>
        <w:fldChar w:fldCharType="separate"/>
      </w:r>
      <w:r w:rsidRPr="0078553E">
        <w:rPr>
          <w:rFonts w:ascii="Calibri" w:cs="Calibri"/>
        </w:rPr>
        <w:t>Joan Wallach Scott, “French Feminists and the Rights of ‘Man’: Olymp</w:t>
      </w:r>
      <w:r>
        <w:rPr>
          <w:rFonts w:ascii="Calibri" w:cs="Calibri"/>
        </w:rPr>
        <w:t>e</w:t>
      </w:r>
      <w:r w:rsidRPr="0078553E">
        <w:rPr>
          <w:rFonts w:ascii="Calibri" w:cs="Calibri"/>
        </w:rPr>
        <w:t xml:space="preserve"> de Gouge’s Declarations.”</w:t>
      </w:r>
      <w:r>
        <w:fldChar w:fldCharType="end"/>
      </w:r>
    </w:p>
  </w:footnote>
  <w:footnote w:id="68">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{"citationID":"qbdxjQhx","properties":{"formattedCitation":"Goodman, \\uc0\\u8220{}Enlightenment Salons: The Convergence of Female and Philosophic Ambitions.\\uc0\\u8221{}","plainCitation":"Goodman, “Enlightenment Salons: The Convergence of Female and Philosophic Ambitions.”","noteIndex":68},"citationItems":[{"id":60,"uris":["http://zotero.org/users/local/vdmAxuOJ/items/Y77U2F4P"],"uri":["http://zotero.org/users/local/vdmAxuOJ/items/Y77U2F4P"],"itemData":{"id":60,"type":"article-journal","collection-title":"Special Issue on  The French Revolution in Culture","container-title":"Eighteenth-Century Studies","issue":"3","page":"329-350","title":"Enlightenment Salons: The Convergence of Female and Philosophic Ambitions","volume":"22","author":[{"family":"Goodman","given":"Dena"}],"issued":{"date-parts":[["1989"]],"season":"Spring"}}}],"schema":"https://github.com/citation-style-language/schema/raw/master/csl-citation.json"} </w:instrText>
      </w:r>
      <w:r>
        <w:fldChar w:fldCharType="separate"/>
      </w:r>
      <w:r w:rsidRPr="0078553E">
        <w:rPr>
          <w:rFonts w:ascii="Calibri" w:cs="Calibri"/>
        </w:rPr>
        <w:t>Goodman, “Enlightenment Salons: The Convergence of Female and Philosophic Ambitions.”</w:t>
      </w:r>
      <w:r>
        <w:fldChar w:fldCharType="end"/>
      </w:r>
    </w:p>
  </w:footnote>
  <w:footnote w:id="69">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1JE4i9Ty","properties":{"formattedCitation":"Goodman.","plainCitation":"Goodman.","noteIndex":69},"citationItems":[{"id":60,"uris":["http://zotero.org/users/local/vdmAxuOJ/items/Y77U2F4P"],"uri":["http://zotero.org/users/local/vdmAxuOJ/items/Y77U2F4P"],"itemData":{"id":60,"type":"article-journal","collection-title":"Special Issue on  The French Revolution in Culture","container-title":"Eighteenth-Century Studies","issue":"3","page":"329-350","title":"Enlightenment Salons: The Convergence of Female and Philosophic Ambitions","volume":"22","author":[{"family":"Goodman","given":"Dena"}],"issued":{"date-parts":[["1989"]],"season":"Spring"}}}],"schema":"https://github.com/citation-style-language/schema/raw/master/csl-citation.json"} </w:instrText>
      </w:r>
      <w:r>
        <w:fldChar w:fldCharType="separate"/>
      </w:r>
      <w:r>
        <w:rPr>
          <w:noProof/>
        </w:rPr>
        <w:t>Goodman.</w:t>
      </w:r>
      <w:r>
        <w:fldChar w:fldCharType="end"/>
      </w:r>
    </w:p>
  </w:footnote>
  <w:footnote w:id="7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{"citationID":"uRkqqP1k","properties":{"formattedCitation":"Saccarelli, \\uc0\\u8220{}Machiavellian Rousseau: Gender and Family Relations in the Discourse on the Origin of Inequality.\\uc0\\u8221{}","plainCitation":"Saccarelli, “Machiavellian Rousseau: Gender and Family Relations in the Discourse on the Origin of Inequality.”","noteIndex":71},"citationItems":[{"id":61,"uris":["http://zotero.org/users/local/vdmAxuOJ/items/VLT9D7AP"],"uri":["http://zotero.org/users/local/vdmAxuOJ/items/VLT9D7AP"],"itemData":{"id":61,"type":"article-journal","container-title":"Political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E10DEE">
        <w:rPr>
          <w:rFonts w:ascii="Calibri" w:cs="Calibri"/>
        </w:rPr>
        <w:t>Saccarelli, “Machiavellian Rousseau: Gender and Family Relations in the Discourse on the Origin of Inequality.”</w:t>
      </w:r>
      <w:r>
        <w:fldChar w:fldCharType="end"/>
      </w:r>
      <w:r>
        <w:t>, p. 489, 492</w:t>
      </w:r>
    </w:p>
  </w:footnote>
  <w:footnote w:id="71">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{"citationID":"hL6OTBoT","properties":{"formattedCitation":"Goodman, \\uc0\\u8220{}Enlightenment Salons: The Convergence of Female and Philosophic Ambitions.\\uc0\\u8221{}","plainCitation":"Goodman, “Enlightenment Salons: The Convergence of Female and Philosophic Ambitions.”","noteIndex":71},"citationItems":[{"id":60,"uris":["http://zotero.org/users/local/vdmAxuOJ/items/Y77U2F4P"],"uri":["http://zotero.org/users/local/vdmAxuOJ/items/Y77U2F4P"],"itemData":{"id":60,"type":"article-journal","collection-title":"Special Issue on  The French Revolution in Culture","container-title":"Eighteenth-Century Studies","issue":"3","page":"329-350","title":"Enlightenment Salons: The Convergence of Female and Philosophic Ambitions","volume":"22","author":[{"family":"Goodman","given":"Dena"}],"issued":{"date-parts":[["1989"]],"season":"Spring"}}}],"schema":"https://github.com/citation-style-language/schema/raw/master/csl-citation.json"} </w:instrText>
      </w:r>
      <w:r>
        <w:fldChar w:fldCharType="separate"/>
      </w:r>
      <w:r w:rsidRPr="00E10DEE">
        <w:rPr>
          <w:rFonts w:ascii="Calibri" w:cs="Calibri"/>
        </w:rPr>
        <w:t>Goodman, “Enlightenment Salons: The Convergence of Female and Philosophic Ambitions.”</w:t>
      </w:r>
      <w:r>
        <w:fldChar w:fldCharType="end"/>
      </w:r>
    </w:p>
  </w:footnote>
  <w:footnote w:id="72">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{"citationID":"OKpXk8lI","properties":{"formattedCitation":"Schusterman, \\uc0\\u8220{}All of His Power Lies in the Distaff: Robespierre, Women, and the French Revolution.\\uc0\\u8221{}","plainCitation":"Schusterman, “All of His Power Lies in the Distaff: Robespierre, Women, and the French Revolution.”","noteIndex":72},"citationItems":[{"id":82,"uris":["http://zotero.org/users/local/vdmAxuOJ/items/GTFGTK4N"],"uri":["http://zotero.org/users/local/vdmAxuOJ/items/GTFGTK4N"],"itemData":{"id":82,"type":"article-journal","container-title":"Past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Pr="00E6533F">
        <w:rPr>
          <w:rFonts w:ascii="Calibri" w:cs="Calibri"/>
        </w:rPr>
        <w:t>Schusterman, “All of His Power Lies in the Distaff: Robespierre, Women, and the French Revolution.”</w:t>
      </w:r>
      <w:r>
        <w:fldChar w:fldCharType="end"/>
      </w:r>
    </w:p>
  </w:footnote>
  <w:footnote w:id="73">
    <w:p w:rsidR="007A7576" w:rsidRDefault="007A7576">
      <w:pPr>
        <w:pStyle w:val="FootnoteText"/>
      </w:pPr>
      <w:r>
        <w:rPr>
          <w:rStyle w:val="FootnoteReference"/>
        </w:rPr>
        <w:footnoteRef/>
      </w:r>
      <w:r>
        <w:t xml:space="preserve"> </w:t>
      </w:r>
      <w:r>
        <w:fldChar w:fldCharType="begin"/>
      </w:r>
      <w:r>
        <w:instrText xml:space="preserve"> ADDIN ZOTERO_ITEM CSL_CITATION {"citationID":"EXuSvJCM","properties":{"formattedCitation":"Wallach Scott, \\uc0\\u8220{}French Feminists and the Rights of \\uc0\\u8216{}Man\\uc0\\u8217{}: Olympe de Gouges\\uc0\\u8217{}s Declarations.\\uc0\\u8221{}","plainCitation":"Wallach Scott, “French Feminists and the Rights of ‘Man’: Olympe de Gouges’s Declarations.”","noteIndex":73},"citationItems":[{"id":59,"uris":["http://zotero.org/users/local/vdmAxuOJ/items/B3ARSSU8"],"uri":["http://zotero.org/users/local/vdmAxuOJ/items/B3ARSSU8"],"itemData":{"id":59,"type":"article-journal","container-title":"History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7A7576">
        <w:rPr>
          <w:rFonts w:ascii="Calibri" w:cs="Calibri"/>
        </w:rPr>
        <w:t xml:space="preserve">Wallach Scott, “French Feminists and the Rights of ‘Man’: Olympe de </w:t>
      </w:r>
      <w:proofErr w:type="spellStart"/>
      <w:r w:rsidRPr="007A7576">
        <w:rPr>
          <w:rFonts w:ascii="Calibri" w:cs="Calibri"/>
        </w:rPr>
        <w:t>Gouges’s</w:t>
      </w:r>
      <w:proofErr w:type="spellEnd"/>
      <w:r w:rsidRPr="007A7576">
        <w:rPr>
          <w:rFonts w:ascii="Calibri" w:cs="Calibri"/>
        </w:rPr>
        <w:t xml:space="preserve"> Declarations.”</w:t>
      </w:r>
      <w:r>
        <w:fldChar w:fldCharType="end"/>
      </w:r>
    </w:p>
  </w:footnote>
  <w:footnote w:id="74">
    <w:p w:rsidR="007A7576" w:rsidRDefault="007A7576">
      <w:pPr>
        <w:pStyle w:val="FootnoteText"/>
      </w:pPr>
      <w:r>
        <w:rPr>
          <w:rStyle w:val="FootnoteReference"/>
        </w:rPr>
        <w:footnoteRef/>
      </w:r>
      <w:r>
        <w:t xml:space="preserve"> </w:t>
      </w:r>
      <w:r>
        <w:fldChar w:fldCharType="begin"/>
      </w:r>
      <w:r>
        <w:instrText xml:space="preserve"> ADDIN ZOTERO_ITEM CSL_CITATION {"citationID":"UiFSO9Ju","properties":{"formattedCitation":"Schusterman, \\uc0\\u8220{}All of His Power Lies in the Distaff: Robespierre, Women and the French Revolution.\\uc0\\u8221{}","plainCitation":"Schusterman, “All of His Power Lies in the Distaff: Robespierre, Women and the French Revolution.”","noteIndex":74},"citationItems":[{"id":142,"uris":["http://zotero.org/users/local/vdmAxuOJ/items/N6NRRP5K"],"uri":["http://zotero.org/users/local/vdmAxuOJ/items/N6NRRP5K"],"itemData":{"id":142,"type":"article-journal","container-title":"Past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Pr="007A7576">
        <w:rPr>
          <w:rFonts w:ascii="Calibri" w:cs="Calibri"/>
        </w:rPr>
        <w:t>Schusterman, “All of His Power Lies in the Distaff: Robespierre, Women and the French Revolution.”</w:t>
      </w:r>
      <w:r>
        <w:fldChar w:fldCharType="end"/>
      </w:r>
    </w:p>
  </w:footnote>
  <w:footnote w:id="75">
    <w:p w:rsidR="007A7576" w:rsidRDefault="007A7576">
      <w:pPr>
        <w:pStyle w:val="FootnoteText"/>
      </w:pPr>
      <w:r>
        <w:rPr>
          <w:rStyle w:val="FootnoteReference"/>
        </w:rPr>
        <w:footnoteRef/>
      </w:r>
      <w:r>
        <w:t xml:space="preserve"> </w:t>
      </w:r>
      <w:r>
        <w:fldChar w:fldCharType="begin"/>
      </w:r>
      <w:r>
        <w:instrText xml:space="preserve"> ADDIN ZOTERO_ITEM CSL_CITATION {"citationID":"fNCHxi7z","properties":{"formattedCitation":"Schusterman.","plainCitation":"Schusterman.","noteIndex":75},"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Pr>
          <w:noProof/>
        </w:rPr>
        <w:t>Schusterman.</w:t>
      </w:r>
      <w:r>
        <w:fldChar w:fldCharType="end"/>
      </w:r>
    </w:p>
  </w:footnote>
  <w:footnote w:id="76">
    <w:p w:rsidR="007A7576" w:rsidRDefault="007A7576">
      <w:pPr>
        <w:pStyle w:val="FootnoteText"/>
      </w:pPr>
      <w:r>
        <w:rPr>
          <w:rStyle w:val="FootnoteReference"/>
        </w:rPr>
        <w:footnoteRef/>
      </w:r>
      <w:r>
        <w:t xml:space="preserve"> </w:t>
      </w:r>
      <w:r>
        <w:fldChar w:fldCharType="begin"/>
      </w:r>
      <w:r>
        <w:instrText xml:space="preserve"> ADDIN ZOTERO_ITEM CSL_CITATION {"citationID":"KNayMlMf","properties":{"formattedCitation":"Schusterman.","plainCitation":"Schusterman.","noteIndex":76},"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Pr>
          <w:noProof/>
        </w:rPr>
        <w:t>Schusterman.</w:t>
      </w:r>
      <w:r>
        <w:fldChar w:fldCharType="end"/>
      </w:r>
    </w:p>
  </w:footnote>
  <w:footnote w:id="77">
    <w:p w:rsidR="007A7576" w:rsidRDefault="007A7576">
      <w:pPr>
        <w:pStyle w:val="FootnoteText"/>
      </w:pPr>
      <w:r>
        <w:rPr>
          <w:rStyle w:val="FootnoteReference"/>
        </w:rPr>
        <w:footnoteRef/>
      </w:r>
      <w:r>
        <w:t xml:space="preserve"> </w:t>
      </w:r>
      <w:r>
        <w:fldChar w:fldCharType="begin"/>
      </w:r>
      <w:r>
        <w:instrText xml:space="preserve"> ADDIN ZOTERO_ITEM CSL_CITATION {"citationID":"I4uYQtGt","properties":{"formattedCitation":"Schusterman.","plainCitation":"Schusterman.","noteIndex":77},"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Pr>
          <w:noProof/>
        </w:rPr>
        <w:t>Schusterman.</w:t>
      </w:r>
      <w:r>
        <w:fldChar w:fldCharType="end"/>
      </w:r>
    </w:p>
  </w:footnote>
  <w:footnote w:id="78">
    <w:p w:rsidR="007A7576" w:rsidRDefault="007A7576">
      <w:pPr>
        <w:pStyle w:val="FootnoteText"/>
      </w:pPr>
      <w:r>
        <w:rPr>
          <w:rStyle w:val="FootnoteReference"/>
        </w:rPr>
        <w:footnoteRef/>
      </w:r>
      <w:r>
        <w:t xml:space="preserve"> </w:t>
      </w:r>
      <w:r>
        <w:fldChar w:fldCharType="begin"/>
      </w:r>
      <w:r>
        <w:instrText xml:space="preserve"> ADDIN ZOTERO_ITEM CSL_CITATION {"citationID":"qA7W0yA2","properties":{"formattedCitation":"Schusterman.","plainCitation":"Schusterman.","noteIndex":78},"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Pr>
          <w:noProof/>
        </w:rPr>
        <w:t>Schusterman.</w:t>
      </w:r>
      <w:r>
        <w:fldChar w:fldCharType="end"/>
      </w:r>
    </w:p>
  </w:footnote>
  <w:footnote w:id="79">
    <w:p w:rsidR="007A7576" w:rsidRDefault="007A7576">
      <w:pPr>
        <w:pStyle w:val="FootnoteText"/>
      </w:pPr>
      <w:r>
        <w:rPr>
          <w:rStyle w:val="FootnoteReference"/>
        </w:rPr>
        <w:footnoteRef/>
      </w:r>
      <w:r>
        <w:t xml:space="preserve"> </w:t>
      </w:r>
      <w:r>
        <w:fldChar w:fldCharType="begin"/>
      </w:r>
      <w:r>
        <w:instrText xml:space="preserve"> ADDIN ZOTERO_ITEM CSL_CITATION {"citationID":"vBvHwlQM","properties":{"formattedCitation":"Schusterman.","plainCitation":"Schusterman.","noteIndex":79},"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Pr>
          <w:rFonts w:ascii="Calibri" w:cs="Calibri"/>
        </w:rPr>
        <w:t>Schusterman.</w:t>
      </w:r>
      <w:r>
        <w:fldChar w:fldCharType="end"/>
      </w:r>
    </w:p>
  </w:footnote>
  <w:footnote w:id="80">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{"citationID":"rdZmmeym","properties":{"formattedCitation":"Kindleberger, \\uc0\\u8220{}Charlotte Corday in Text and Image: A Case Study in the French Revolution and Women\\uc0\\u8217{}s History.\\uc0\\u8221{}","plainCitation":"Kindleberger, “Charlotte Corday in Text and Image: A Case Study in the French Revolution and Women’s History.”","noteIndex":80},"citationItems":[{"id":158,"uris":["http://zotero.org/users/local/vdmAxuOJ/items/H5GWETI4"],"uri":["http://zotero.org/users/local/vdmAxuOJ/items/H5GWETI4"],"itemData":{"id":158,"type":"article-journal","container-title":"French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proofErr w:type="spellStart"/>
      <w:r w:rsidRPr="004911C4">
        <w:rPr>
          <w:rFonts w:ascii="Calibri" w:cs="Calibri"/>
        </w:rPr>
        <w:t>Kindleberger</w:t>
      </w:r>
      <w:proofErr w:type="spellEnd"/>
      <w:r w:rsidRPr="004911C4">
        <w:rPr>
          <w:rFonts w:ascii="Calibri" w:cs="Calibri"/>
        </w:rPr>
        <w:t>, “Charlotte Corday in Text and Image: A Case Study in the French Revolution and Women’s History.”</w:t>
      </w:r>
      <w:r>
        <w:fldChar w:fldCharType="end"/>
      </w:r>
    </w:p>
  </w:footnote>
  <w:footnote w:id="81">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{"citationID":"99aQV7Am","properties":{"formattedCitation":"Miller, \\uc0\\u8220{}Mountain, Become a Volcano.\\uc0\\u8221{}","plainCitation":"Miller, “Mountain, Become a Volcano.”","noteIndex":81},"citationItems":[{"id":144,"uris":["http://zotero.org/users/local/vdmAxuOJ/items/VQ9TV7J3"],"uri":["http://zotero.org/users/local/vdmAxuOJ/items/VQ9TV7J3"],"itemData":{"id":144,"type":"chapter","container-title":"A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sidRPr="0078553E">
        <w:rPr>
          <w:rFonts w:ascii="Calibri" w:cs="Calibri"/>
        </w:rPr>
        <w:t>Miller, “Mountain, Become a Volcano.”</w:t>
      </w:r>
      <w:r>
        <w:fldChar w:fldCharType="end"/>
      </w:r>
    </w:p>
  </w:footnote>
  <w:footnote w:id="82">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96WRASGI","properties":{"formattedCitation":"Miller.","plainCitation":"Miller.","noteIndex":82},"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Pr>
          <w:noProof/>
        </w:rPr>
        <w:t>Miller.</w:t>
      </w:r>
      <w:r>
        <w:fldChar w:fldCharType="end"/>
      </w:r>
    </w:p>
  </w:footnote>
  <w:footnote w:id="8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uGWGZX06","properties":{"formattedCitation":"Miller.","plainCitation":"Miller.","noteIndex":83},"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Pr>
          <w:noProof/>
        </w:rPr>
        <w:t>Miller.</w:t>
      </w:r>
      <w:r>
        <w:fldChar w:fldCharType="end"/>
      </w:r>
    </w:p>
  </w:footnote>
  <w:footnote w:id="84">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C9D0neSS","properties":{"formattedCitation":"Miller.","plainCitation":"Miller.","noteIndex":84},"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Pr>
          <w:noProof/>
        </w:rPr>
        <w:t>Miller.</w:t>
      </w:r>
      <w:r>
        <w:fldChar w:fldCharType="end"/>
      </w:r>
    </w:p>
  </w:footnote>
  <w:footnote w:id="85">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3ydzHjna","properties":{"formattedCitation":"Miller.","plainCitation":"Miller.","noteIndex":85},"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Pr>
          <w:noProof/>
        </w:rPr>
        <w:t>Miller.</w:t>
      </w:r>
      <w:r>
        <w:fldChar w:fldCharType="end"/>
      </w:r>
    </w:p>
  </w:footnote>
  <w:footnote w:id="86">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{"citationID":"y0ai8g2z","properties":{"formattedCitation":"Saccarelli, \\uc0\\u8220{}Machiavellian Rousseau: Gender and Family Relations in the Discourse on the Origin of Inequality.\\uc0\\u8221{}","plainCitation":"Saccarelli, “Machiavellian Rousseau: Gender and Family Relations in the Discourse on the Origin of Inequality.”","noteIndex":87},"citationItems":[{"id":61,"uris":["http://zotero.org/users/local/vdmAxuOJ/items/VLT9D7AP"],"uri":["http://zotero.org/users/local/vdmAxuOJ/items/VLT9D7AP"],"itemData":{"id":61,"type":"article-journal","container-title":"Political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78553E">
        <w:rPr>
          <w:rFonts w:ascii="Calibri" w:cs="Calibri"/>
        </w:rPr>
        <w:t>Saccarelli, “Machiavellian Rousseau: Gender and Family Relations in the Discourse on the Origin of Inequality.”</w:t>
      </w:r>
      <w:r>
        <w:fldChar w:fldCharType="end"/>
      </w:r>
    </w:p>
  </w:footnote>
  <w:footnote w:id="87">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{"citationID":"Yh8w5Rvg","properties":{"formattedCitation":"Miller, \\uc0\\u8220{}Mountain, Become a Volcano.\\uc0\\u8221{}","plainCitation":"Miller, “Mountain, Become a Volcano.”","noteIndex":87},"citationItems":[{"id":144,"uris":["http://zotero.org/users/local/vdmAxuOJ/items/VQ9TV7J3"],"uri":["http://zotero.org/users/local/vdmAxuOJ/items/VQ9TV7J3"],"itemData":{"id":144,"type":"chapter","container-title":"A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fldChar w:fldCharType="separate"/>
      </w:r>
      <w:r w:rsidRPr="0078553E">
        <w:rPr>
          <w:rFonts w:ascii="Calibri" w:cs="Calibri"/>
        </w:rPr>
        <w:t>Miller, “Mountain, Become a Volcano.”</w:t>
      </w:r>
      <w:r>
        <w:fldChar w:fldCharType="end"/>
      </w:r>
    </w:p>
  </w:footnote>
  <w:footnote w:id="88">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{"citationID":"vOkAs7x4","properties":{"formattedCitation":"Saccarelli, \\uc0\\u8220{}Machiavellian Rousseau: Gender and Family Relations in the Discourse on the Origin of Inequality.\\uc0\\u8221{}","plainCitation":"Saccarelli, “Machiavellian Rousseau: Gender and Family Relations in the Discourse on the Origin of Inequality.”","noteIndex":89},"citationItems":[{"id":61,"uris":["http://zotero.org/users/local/vdmAxuOJ/items/VLT9D7AP"],"uri":["http://zotero.org/users/local/vdmAxuOJ/items/VLT9D7AP"],"itemData":{"id":61,"type":"article-journal","container-title":"Political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3F6C65">
        <w:rPr>
          <w:rFonts w:ascii="Calibri" w:cs="Calibri"/>
        </w:rPr>
        <w:t>Saccarelli, “Machiavellian Rousseau: Gender and Family Relations in the Discourse on the Origin of Inequality.”</w:t>
      </w:r>
      <w:r>
        <w:fldChar w:fldCharType="end"/>
      </w:r>
    </w:p>
  </w:footnote>
  <w:footnote w:id="89">
    <w:p w:rsidR="007A7576" w:rsidRDefault="007A7576">
      <w:pPr>
        <w:pStyle w:val="FootnoteText"/>
      </w:pPr>
      <w:r>
        <w:rPr>
          <w:rStyle w:val="FootnoteReference"/>
        </w:rPr>
        <w:footnoteRef/>
      </w:r>
      <w:r>
        <w:t xml:space="preserve"> </w:t>
      </w:r>
      <w:r>
        <w:fldChar w:fldCharType="begin"/>
      </w:r>
      <w:r>
        <w:instrText xml:space="preserve"> ADDIN ZOTERO_ITEM CSL_CITATION {"citationID":"zMzmS66M","properties":{"formattedCitation":"Thomas, \\uc0\\u8220{}Heroism in the Feminine: The Examples of Charlotte Corday and Madame Roland.\\uc0\\u8221{}","plainCitation":"Thomas, “Heroism in the Feminine: The Examples of Charlotte Corday and Madame Roland.”","noteIndex":89},"citationItems":[{"id":146,"uris":["http://zotero.org/users/local/vdmAxuOJ/items/VZPV2LNK"],"uri":["http://zotero.org/users/local/vdmAxuOJ/items/VZPV2LNK"],"itemData":{"id":146,"type":"article-journal","collection-title":"The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sidRPr="007A7576">
        <w:rPr>
          <w:rFonts w:ascii="Calibri" w:cs="Calibri"/>
        </w:rPr>
        <w:t>Thomas, “Heroism in the Feminine: The Examples of Charlotte Corday and Madame Roland.”</w:t>
      </w:r>
      <w:r>
        <w:fldChar w:fldCharType="end"/>
      </w:r>
    </w:p>
  </w:footnote>
  <w:footnote w:id="90">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ydzgOOVj","properties":{"formattedCitation":"Thomas.","plainCitation":"Thomas.","noteIndex":90},"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Pr>
          <w:noProof/>
        </w:rPr>
        <w:t>Thomas.</w:t>
      </w:r>
      <w:r>
        <w:fldChar w:fldCharType="end"/>
      </w:r>
    </w:p>
  </w:footnote>
  <w:footnote w:id="91">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GywFD9Wv","properties":{"formattedCitation":"Thomas.","plainCitation":"Thomas.","noteIndex":91},"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Pr>
          <w:noProof/>
        </w:rPr>
        <w:t>Thomas.</w:t>
      </w:r>
      <w:r>
        <w:fldChar w:fldCharType="end"/>
      </w:r>
    </w:p>
  </w:footnote>
  <w:footnote w:id="92">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{"citationID":"93htbXhk","properties":{"formattedCitation":"Kindleberger, \\uc0\\u8220{}Charlotte Corday in Text and Image: A Case Study in the French Revolution and Women\\uc0\\u8217{}s History.\\uc0\\u8221{}","plainCitation":"Kindleberger, “Charlotte Corday in Text and Image: A Case Study in the French Revolution and Women’s History.”","noteIndex":92},"citationItems":[{"id":158,"uris":["http://zotero.org/users/local/vdmAxuOJ/items/H5GWETI4"],"uri":["http://zotero.org/users/local/vdmAxuOJ/items/H5GWETI4"],"itemData":{"id":158,"type":"article-journal","container-title":"French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proofErr w:type="spellStart"/>
      <w:r w:rsidRPr="00E76A49">
        <w:rPr>
          <w:rFonts w:ascii="Calibri" w:cs="Calibri"/>
        </w:rPr>
        <w:t>Kindleberger</w:t>
      </w:r>
      <w:proofErr w:type="spellEnd"/>
      <w:r w:rsidRPr="00E76A49">
        <w:rPr>
          <w:rFonts w:ascii="Calibri" w:cs="Calibri"/>
        </w:rPr>
        <w:t>, “Charlotte Corday in Text and Image: A Case Study in the French Revolution and Women’s History.”</w:t>
      </w:r>
      <w:r>
        <w:fldChar w:fldCharType="end"/>
      </w:r>
      <w:r>
        <w:t>, p. 976</w:t>
      </w:r>
    </w:p>
  </w:footnote>
  <w:footnote w:id="93">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{"citationID":"K5rhUhM1","properties":{"formattedCitation":"Thomas, \\uc0\\u8220{}Heroism in the Feminine: The Examples of Charlotte Corday and Madame Roland.\\uc0\\u8221{}","plainCitation":"Thomas, “Heroism in the Feminine: The Examples of Charlotte Corday and Madame Roland.”","noteIndex":93},"citationItems":[{"id":146,"uris":["http://zotero.org/users/local/vdmAxuOJ/items/VZPV2LNK"],"uri":["http://zotero.org/users/local/vdmAxuOJ/items/VZPV2LNK"],"itemData":{"id":146,"type":"article-journal","collection-title":"The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sidR="007A7576" w:rsidRPr="007A7576">
        <w:rPr>
          <w:rFonts w:ascii="Calibri" w:cs="Calibri"/>
        </w:rPr>
        <w:t>Thomas, “Heroism in the Feminine: The Examples of Charlotte Corday and Madame Roland.”</w:t>
      </w:r>
      <w:r>
        <w:fldChar w:fldCharType="end"/>
      </w:r>
    </w:p>
  </w:footnote>
  <w:footnote w:id="94">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{"citationID":"884zHEhu","properties":{"formattedCitation":"Kindleberger, \\uc0\\u8220{}Charlotte Corday in Text and Image: A Case Study in the French Revolution and Women\\uc0\\u8217{}s History.\\uc0\\u8221{}","plainCitation":"Kindleberger, “Charlotte Corday in Text and Image: A Case Study in the French Revolution and Women’s History.”","noteIndex":94},"citationItems":[{"id":158,"uris":["http://zotero.org/users/local/vdmAxuOJ/items/H5GWETI4"],"uri":["http://zotero.org/users/local/vdmAxuOJ/items/H5GWETI4"],"itemData":{"id":158,"type":"article-journal","container-title":"French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proofErr w:type="spellStart"/>
      <w:r w:rsidRPr="00E76A49">
        <w:rPr>
          <w:rFonts w:ascii="Calibri" w:cs="Calibri"/>
        </w:rPr>
        <w:t>Kindleberger</w:t>
      </w:r>
      <w:proofErr w:type="spellEnd"/>
      <w:r w:rsidRPr="00E76A49">
        <w:rPr>
          <w:rFonts w:ascii="Calibri" w:cs="Calibri"/>
        </w:rPr>
        <w:t>, “Charlotte Corday in Text and Image: A Case Study in the French Revolution and Women’s History.”</w:t>
      </w:r>
      <w:r>
        <w:fldChar w:fldCharType="end"/>
      </w:r>
    </w:p>
  </w:footnote>
  <w:footnote w:id="95">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KeeVFGZT","properties":{"formattedCitation":"Kindleberger.","plainCitation":"Kindleberger.","noteIndex":95},"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r>
        <w:rPr>
          <w:noProof/>
        </w:rPr>
        <w:t>Kindleberger.</w:t>
      </w:r>
      <w:r>
        <w:fldChar w:fldCharType="end"/>
      </w:r>
      <w:r>
        <w:t>, p. 983</w:t>
      </w:r>
    </w:p>
  </w:footnote>
  <w:footnote w:id="96">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2DoUJRD5","properties":{"formattedCitation":"Kindleberger.","plainCitation":"Kindleberger.","noteIndex":96},"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r>
        <w:rPr>
          <w:noProof/>
        </w:rPr>
        <w:t>Kindleberger.</w:t>
      </w:r>
      <w:r>
        <w:fldChar w:fldCharType="end"/>
      </w:r>
      <w:r>
        <w:t>, p. 985</w:t>
      </w:r>
    </w:p>
  </w:footnote>
  <w:footnote w:id="97">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AlQF1WMV","properties":{"formattedCitation":"Kindleberger.","plainCitation":"Kindleberger.","noteIndex":97},"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r>
        <w:rPr>
          <w:noProof/>
        </w:rPr>
        <w:t>Kindleberger.</w:t>
      </w:r>
      <w:r>
        <w:fldChar w:fldCharType="end"/>
      </w:r>
    </w:p>
  </w:footnote>
  <w:footnote w:id="98">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{"citationID":"xdgljN42","properties":{"formattedCitation":"Thomas, \\uc0\\u8220{}Heroism in the Feminine: The Examples of Charlotte Corday and Madame Roland.\\uc0\\u8221{}","plainCitation":"Thomas, “Heroism in the Feminine: The Examples of Charlotte Corday and Madame Roland.”","noteIndex":98},"citationItems":[{"id":146,"uris":["http://zotero.org/users/local/vdmAxuOJ/items/VZPV2LNK"],"uri":["http://zotero.org/users/local/vdmAxuOJ/items/VZPV2LNK"],"itemData":{"id":146,"type":"article-journal","collection-title":"The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sidR="007A7576" w:rsidRPr="007A7576">
        <w:rPr>
          <w:rFonts w:ascii="Calibri" w:cs="Calibri"/>
        </w:rPr>
        <w:t>Thomas, “Heroism in the Feminine: The Examples of Charlotte Corday and Madame Roland.”</w:t>
      </w:r>
      <w:r>
        <w:fldChar w:fldCharType="end"/>
      </w:r>
      <w:r w:rsidR="007954FF">
        <w:t xml:space="preserve">, </w:t>
      </w:r>
      <w:r w:rsidR="007954FF">
        <w:fldChar w:fldCharType="begin"/>
      </w:r>
      <w:r w:rsidR="007954FF">
        <w:instrText xml:space="preserve"> ADDIN ZOTERO_ITEM CSL_CITATION {"citationID":"BNSZBw3y","properties":{"formattedCitation":"Miller, \\uc0\\u8220{}Mountain, Become a Volcano.\\uc0\\u8221{}","plainCitation":"Miller, “Mountain, Become a Volcano.”","noteIndex":98},"citationItems":[{"id":144,"uris":["http://zotero.org/users/local/vdmAxuOJ/items/VQ9TV7J3"],"uri":["http://zotero.org/users/local/vdmAxuOJ/items/VQ9TV7J3"],"itemData":{"id":144,"type":"chapter","container-title":"A Natural History of Revolution: Violence and Nature in the French Revolutionary Imagination, 1789-1794","publisher":"Cornell University Press","title":"Mountain, Become a Volcano","author":[{"family":"Miller","given":"Mary Ashburn"}],"issued":{"date-parts":[["2011"]]}}}],"schema":"https://github.com/citation-style-language/schema/raw/master/csl-citation.json"} </w:instrText>
      </w:r>
      <w:r w:rsidR="007954FF">
        <w:fldChar w:fldCharType="separate"/>
      </w:r>
      <w:r w:rsidR="007954FF" w:rsidRPr="007954FF">
        <w:rPr>
          <w:rFonts w:ascii="Calibri" w:cs="Calibri"/>
        </w:rPr>
        <w:t>Miller, “Mountain, Become a Volcano.”</w:t>
      </w:r>
      <w:r w:rsidR="007954FF">
        <w:fldChar w:fldCharType="end"/>
      </w:r>
    </w:p>
  </w:footnote>
  <w:footnote w:id="99">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{"citationID":"26NztjAG","properties":{"formattedCitation":"Thomas, \\uc0\\u8220{}Heroism in the Feminine: The Examples of Charlotte Corday and Madame Roland.\\uc0\\u8221{}","plainCitation":"Thomas, “Heroism in the Feminine: The Examples of Charlotte Corday and Madame Roland.”","noteIndex":99},"citationItems":[{"id":146,"uris":["http://zotero.org/users/local/vdmAxuOJ/items/VZPV2LNK"],"uri":["http://zotero.org/users/local/vdmAxuOJ/items/VZPV2LNK"],"itemData":{"id":146,"type":"article-journal","collection-title":"The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sidR="007A7576" w:rsidRPr="007A7576">
        <w:rPr>
          <w:rFonts w:ascii="Calibri" w:cs="Calibri"/>
        </w:rPr>
        <w:t>Thomas, “Heroism in the Feminine: The Examples of Charlotte Corday and Madame Roland.”</w:t>
      </w:r>
      <w:r>
        <w:fldChar w:fldCharType="end"/>
      </w:r>
    </w:p>
  </w:footnote>
  <w:footnote w:id="100">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{"citationID":"CqsFp67f","properties":{"formattedCitation":"Hunt, \\uc0\\u8220{}The Bad Mother.\\uc0\\u8221{}","plainCitation":"Hunt, “The Bad Mother.”","noteIndex":100},"citationItems":[{"id":147,"uris":["http://zotero.org/users/local/vdmAxuOJ/items/G3GMXJXJ"],"uri":["http://zotero.org/users/local/vdmAxuOJ/items/G3GMXJXJ"],"itemData":{"id":147,"type":"chapter","container-title":"The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sidRPr="004C5EC4">
        <w:rPr>
          <w:rFonts w:ascii="Calibri" w:cs="Calibri"/>
        </w:rPr>
        <w:t>Hunt, “The Bad Mother.”</w:t>
      </w:r>
      <w:r>
        <w:fldChar w:fldCharType="end"/>
      </w:r>
    </w:p>
  </w:footnote>
  <w:footnote w:id="101">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PVlupfNn","properties":{"formattedCitation":"Hunt.","plainCitation":"Hunt.","noteIndex":101},"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Pr>
          <w:noProof/>
        </w:rPr>
        <w:t>Hunt.</w:t>
      </w:r>
      <w:r>
        <w:fldChar w:fldCharType="end"/>
      </w:r>
    </w:p>
  </w:footnote>
  <w:footnote w:id="10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{"citationID":"a1WLHfvK","properties":{"formattedCitation":"Saccarelli, \\uc0\\u8220{}Machiavellian Rousseau: Gender and Family Relations in the Discourse on the Origin of Inequality.\\uc0\\u8221{}","plainCitation":"Saccarelli, “Machiavellian Rousseau: Gender and Family Relations in the Discourse on the Origin of Inequality.”","noteIndex":104},"citationItems":[{"id":61,"uris":["http://zotero.org/users/local/vdmAxuOJ/items/VLT9D7AP"],"uri":["http://zotero.org/users/local/vdmAxuOJ/items/VLT9D7AP"],"itemData":{"id":61,"type":"article-journal","container-title":"Political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EA7085">
        <w:rPr>
          <w:rFonts w:ascii="Calibri" w:cs="Calibri"/>
        </w:rPr>
        <w:t>Saccarelli, “Machiavellian Rousseau: Gender and Family Relations in the Discourse on the Origin of Inequality.”</w:t>
      </w:r>
      <w:r>
        <w:fldChar w:fldCharType="end"/>
      </w:r>
      <w:r>
        <w:t>, p. 498</w:t>
      </w:r>
    </w:p>
  </w:footnote>
  <w:footnote w:id="103">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{"citationID":"55EEoyOE","properties":{"formattedCitation":"Hunt, \\uc0\\u8220{}The Bad Mother.\\uc0\\u8221{}","plainCitation":"Hunt, “The Bad Mother.”","noteIndex":103},"citationItems":[{"id":147,"uris":["http://zotero.org/users/local/vdmAxuOJ/items/G3GMXJXJ"],"uri":["http://zotero.org/users/local/vdmAxuOJ/items/G3GMXJXJ"],"itemData":{"id":147,"type":"chapter","container-title":"The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sidRPr="00EA7085">
        <w:rPr>
          <w:rFonts w:ascii="Calibri" w:cs="Calibri"/>
        </w:rPr>
        <w:t>Hunt, “The Bad Mother.”</w:t>
      </w:r>
      <w:r>
        <w:fldChar w:fldCharType="end"/>
      </w:r>
    </w:p>
  </w:footnote>
  <w:footnote w:id="104">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b7zItjM2","properties":{"formattedCitation":"Hunt.","plainCitation":"Hunt.","noteIndex":104},"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Pr>
          <w:noProof/>
        </w:rPr>
        <w:t>Hunt.</w:t>
      </w:r>
      <w:r>
        <w:fldChar w:fldCharType="end"/>
      </w:r>
    </w:p>
  </w:footnote>
  <w:footnote w:id="105">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4zt9vmEe","properties":{"formattedCitation":"Hunt.","plainCitation":"Hunt.","noteIndex":105},"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Pr>
          <w:noProof/>
        </w:rPr>
        <w:t>Hunt.</w:t>
      </w:r>
      <w:r>
        <w:fldChar w:fldCharType="end"/>
      </w:r>
    </w:p>
  </w:footnote>
  <w:footnote w:id="106">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jWDsdQAB","properties":{"formattedCitation":"Hunt.","plainCitation":"Hunt.","noteIndex":106},"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Pr>
          <w:noProof/>
        </w:rPr>
        <w:t>Hunt.</w:t>
      </w:r>
      <w:r>
        <w:fldChar w:fldCharType="end"/>
      </w:r>
    </w:p>
  </w:footnote>
  <w:footnote w:id="107">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EtUbtbBX","properties":{"formattedCitation":"Hunt.","plainCitation":"Hunt.","noteIndex":107},"citationItems":[{"id":147,"uris":["http://zotero.org/users/local/vdmAxuOJ/items/G3GMXJXJ"],"uri":["http://zotero.org/users/local/vdmAxuOJ/items/G3GMXJXJ"],"itemData":{"id":147,"type":"chapter","container-title":"The Family Romance of the French Revolution","publisher":"University of California Press","title":"The Bad Mother","author":[{"family":"Hunt","given":"Lynn"}],"issued":{"date-parts":[["1992"]]}}}],"schema":"https://github.com/citation-style-language/schema/raw/master/csl-citation.json"} </w:instrText>
      </w:r>
      <w:r>
        <w:fldChar w:fldCharType="separate"/>
      </w:r>
      <w:r>
        <w:rPr>
          <w:noProof/>
        </w:rPr>
        <w:t>Hunt.</w:t>
      </w:r>
      <w:r>
        <w:fldChar w:fldCharType="end"/>
      </w:r>
    </w:p>
  </w:footnote>
  <w:footnote w:id="108">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{"citationID":"0tyU2igf","properties":{"formattedCitation":"Macarthur, \\uc0\\u8220{}Between the Republic of Virtue and the Republic of Letters; Marie-Jeane Roland Practices Rousseau.\\uc0\\u8221{}","plainCitation":"Macarthur, “Between the Republic of Virtue and the Republic of Letters; Marie-Jeane Roland Practices Rousseau.”","noteIndex":108},"citationItems":[{"id":148,"uris":["http://zotero.org/users/local/vdmAxuOJ/items/7DPG2289"],"uri":["http://zotero.org/users/local/vdmAxuOJ/items/7DPG2289"],"itemData":{"id":148,"type":"article-journal","collection-title":"Exploring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sidRPr="00205F42">
        <w:rPr>
          <w:rFonts w:ascii="Calibri" w:cs="Calibri"/>
        </w:rPr>
        <w:t>Macarthur, “Between the Republic of Virtue and the Republic of Letters; Marie-Jeane Roland Practices Rousseau.”</w:t>
      </w:r>
      <w:r>
        <w:fldChar w:fldCharType="end"/>
      </w:r>
    </w:p>
  </w:footnote>
  <w:footnote w:id="109">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MUQfKIpf","properties":{"formattedCitation":"Macarthur.","plainCitation":"Macarthur.","noteIndex":109},"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Pr>
          <w:noProof/>
        </w:rPr>
        <w:t>Macarthur.</w:t>
      </w:r>
      <w:r>
        <w:fldChar w:fldCharType="end"/>
      </w:r>
    </w:p>
  </w:footnote>
  <w:footnote w:id="110">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1zEkhamx","properties":{"formattedCitation":"Macarthur.","plainCitation":"Macarthur.","noteIndex":110},"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Pr>
          <w:noProof/>
        </w:rPr>
        <w:t>Macarthur.</w:t>
      </w:r>
      <w:r>
        <w:fldChar w:fldCharType="end"/>
      </w:r>
    </w:p>
  </w:footnote>
  <w:footnote w:id="111">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peoqvDsI","properties":{"formattedCitation":"Macarthur.","plainCitation":"Macarthur.","noteIndex":111},"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Pr>
          <w:noProof/>
        </w:rPr>
        <w:t>Macarthur.</w:t>
      </w:r>
      <w:r>
        <w:fldChar w:fldCharType="end"/>
      </w:r>
    </w:p>
  </w:footnote>
  <w:footnote w:id="112">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i02xT9Hq","properties":{"formattedCitation":"Macarthur.","plainCitation":"Macarthur.","noteIndex":112},"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Pr>
          <w:noProof/>
        </w:rPr>
        <w:t>Macarthur.</w:t>
      </w:r>
      <w:r>
        <w:fldChar w:fldCharType="end"/>
      </w:r>
    </w:p>
  </w:footnote>
  <w:footnote w:id="113">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imYz7XRs","properties":{"formattedCitation":"Macarthur.","plainCitation":"Macarthur.","noteIndex":113},"citationItems":[{"id":148,"uris":["http://zotero.org/users/local/vdmAxuOJ/items/7DPG2289"],"uri":["http://zotero.org/users/local/vdmAxuOJ/items/7DPG2289"],"itemData":{"id":148,"type":"article-journal","collection-title":"Exploring the Conversible World: Text and Sociability from the Classical Age to Enlightenment","container-title":"Yale French Studies","issue":"92","page":"184-203","title":"Between the Republic of Virtue and the Republic of Letters; Marie-Jeane Roland Practices Rousseau","author":[{"family":"Macarthur","given":"Elizabeth"}],"issued":{"date-parts":[["1997"]]}}}],"schema":"https://github.com/citation-style-language/schema/raw/master/csl-citation.json"} </w:instrText>
      </w:r>
      <w:r>
        <w:fldChar w:fldCharType="separate"/>
      </w:r>
      <w:r>
        <w:rPr>
          <w:noProof/>
        </w:rPr>
        <w:t>Macarthur.</w:t>
      </w:r>
      <w:r>
        <w:fldChar w:fldCharType="end"/>
      </w:r>
    </w:p>
  </w:footnote>
  <w:footnote w:id="114">
    <w:p w:rsidR="007A7576" w:rsidRDefault="007A7576">
      <w:pPr>
        <w:pStyle w:val="FootnoteText"/>
      </w:pPr>
      <w:r>
        <w:rPr>
          <w:rStyle w:val="FootnoteReference"/>
        </w:rPr>
        <w:footnoteRef/>
      </w:r>
      <w:r>
        <w:t xml:space="preserve"> </w:t>
      </w:r>
      <w:r>
        <w:fldChar w:fldCharType="begin"/>
      </w:r>
      <w:r>
        <w:instrText xml:space="preserve"> ADDIN ZOTERO_ITEM CSL_CITATION {"citationID":"hJILo0pt","properties":{"formattedCitation":"Wallach Scott, \\uc0\\u8220{}French Feminists and the Rights of \\uc0\\u8216{}Man\\uc0\\u8217{}: Olympe de Gouges\\uc0\\u8217{}s Declarations.\\uc0\\u8221{}","plainCitation":"Wallach Scott, “French Feminists and the Rights of ‘Man’: Olympe de Gouges’s Declarations.”","noteIndex":114},"citationItems":[{"id":59,"uris":["http://zotero.org/users/local/vdmAxuOJ/items/B3ARSSU8"],"uri":["http://zotero.org/users/local/vdmAxuOJ/items/B3ARSSU8"],"itemData":{"id":59,"type":"article-journal","container-title":"History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7A7576">
        <w:rPr>
          <w:rFonts w:ascii="Calibri" w:cs="Calibri"/>
        </w:rPr>
        <w:t xml:space="preserve">Wallach Scott, “French Feminists and the Rights of ‘Man’: Olympe de </w:t>
      </w:r>
      <w:proofErr w:type="spellStart"/>
      <w:r w:rsidRPr="007A7576">
        <w:rPr>
          <w:rFonts w:ascii="Calibri" w:cs="Calibri"/>
        </w:rPr>
        <w:t>Gouges’s</w:t>
      </w:r>
      <w:proofErr w:type="spellEnd"/>
      <w:r w:rsidRPr="007A7576">
        <w:rPr>
          <w:rFonts w:ascii="Calibri" w:cs="Calibri"/>
        </w:rPr>
        <w:t xml:space="preserve"> Declarations.”</w:t>
      </w:r>
      <w:r>
        <w:fldChar w:fldCharType="end"/>
      </w:r>
    </w:p>
  </w:footnote>
  <w:footnote w:id="115">
    <w:p w:rsidR="007A7576" w:rsidRDefault="007A7576">
      <w:pPr>
        <w:pStyle w:val="FootnoteText"/>
      </w:pPr>
      <w:r>
        <w:rPr>
          <w:rStyle w:val="FootnoteReference"/>
        </w:rPr>
        <w:footnoteRef/>
      </w:r>
      <w:r>
        <w:t xml:space="preserve"> </w:t>
      </w:r>
      <w:r>
        <w:fldChar w:fldCharType="begin"/>
      </w:r>
      <w:r>
        <w:instrText xml:space="preserve"> ADDIN ZOTERO_ITEM CSL_CITATION {"citationID":"rql79RaK","properties":{"formattedCitation":"Wallach Scott.","plainCitation":"Wallach Scott.","noteIndex":115},"citationItems":[{"id":59,"uris":["http://zotero.org/users/local/vdmAxuOJ/items/B3ARSSU8"],"uri":["http://zotero.org/users/local/vdmAxuOJ/items/B3ARSSU8"],"itemData":{"id":59,"type":"article-journal","container-title":"History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Pr>
          <w:noProof/>
        </w:rPr>
        <w:t>Wallach Scott.</w:t>
      </w:r>
      <w:r>
        <w:fldChar w:fldCharType="end"/>
      </w:r>
    </w:p>
  </w:footnote>
  <w:footnote w:id="116">
    <w:p w:rsidR="00637011" w:rsidRDefault="00637011" w:rsidP="00B36C75">
      <w:pPr>
        <w:pStyle w:val="FootnoteText"/>
      </w:pPr>
      <w:r w:rsidRPr="0038549D">
        <w:rPr>
          <w:rStyle w:val="FootnoteReference"/>
        </w:rPr>
        <w:footnoteRef/>
      </w:r>
      <w:r>
        <w:t xml:space="preserve"> </w:t>
      </w:r>
      <w:r>
        <w:fldChar w:fldCharType="begin"/>
      </w:r>
      <w:r w:rsidR="007954FF">
        <w:instrText xml:space="preserve"> ADDIN ZOTERO_ITEM CSL_CITATION {"citationID":"bLf59P57","properties":{"formattedCitation":"Saccarelli, \\uc0\\u8220{}Machiavellian Rousseau: Gender and Family Relations in the Discourse on the Origin of Inequality.\\uc0\\u8221{}","plainCitation":"Saccarelli, “Machiavellian Rousseau: Gender and Family Relations in the Discourse on the Origin of Inequality.”","noteIndex":118},"citationItems":[{"id":61,"uris":["http://zotero.org/users/local/vdmAxuOJ/items/VLT9D7AP"],"uri":["http://zotero.org/users/local/vdmAxuOJ/items/VLT9D7AP"],"itemData":{"id":61,"type":"article-journal","container-title":"Political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78553E">
        <w:rPr>
          <w:rFonts w:ascii="Calibri" w:cs="Calibri"/>
        </w:rPr>
        <w:t>Saccarelli, “Machiavellian Rousseau: Gender and Family Relations in the Discourse on the Origin of Inequality.”</w:t>
      </w:r>
      <w:r>
        <w:fldChar w:fldCharType="end"/>
      </w:r>
    </w:p>
  </w:footnote>
  <w:footnote w:id="117">
    <w:p w:rsidR="007A7576" w:rsidRDefault="007A7576">
      <w:pPr>
        <w:pStyle w:val="FootnoteText"/>
      </w:pPr>
      <w:r>
        <w:rPr>
          <w:rStyle w:val="FootnoteReference"/>
        </w:rPr>
        <w:footnoteRef/>
      </w:r>
      <w:r>
        <w:t xml:space="preserve"> </w:t>
      </w:r>
      <w:r>
        <w:fldChar w:fldCharType="begin"/>
      </w:r>
      <w:r>
        <w:instrText xml:space="preserve"> ADDIN ZOTERO_ITEM CSL_CITATION {"citationID":"5H10ZRCL","properties":{"formattedCitation":"Wallach Scott, \\uc0\\u8220{}French Feminists and the Rights of \\uc0\\u8216{}Man\\uc0\\u8217{}: Olympe de Gouges\\uc0\\u8217{}s Declarations.\\uc0\\u8221{}","plainCitation":"Wallach Scott, “French Feminists and the Rights of ‘Man’: Olympe de Gouges’s Declarations.”","noteIndex":117},"citationItems":[{"id":59,"uris":["http://zotero.org/users/local/vdmAxuOJ/items/B3ARSSU8"],"uri":["http://zotero.org/users/local/vdmAxuOJ/items/B3ARSSU8"],"itemData":{"id":59,"type":"article-journal","container-title":"History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7A7576">
        <w:rPr>
          <w:rFonts w:ascii="Calibri" w:cs="Calibri"/>
        </w:rPr>
        <w:t xml:space="preserve">Wallach Scott, “French Feminists and the Rights of ‘Man’: Olympe de </w:t>
      </w:r>
      <w:proofErr w:type="spellStart"/>
      <w:r w:rsidRPr="007A7576">
        <w:rPr>
          <w:rFonts w:ascii="Calibri" w:cs="Calibri"/>
        </w:rPr>
        <w:t>Gouges’s</w:t>
      </w:r>
      <w:proofErr w:type="spellEnd"/>
      <w:r w:rsidRPr="007A7576">
        <w:rPr>
          <w:rFonts w:ascii="Calibri" w:cs="Calibri"/>
        </w:rPr>
        <w:t xml:space="preserve"> Declarations.”</w:t>
      </w:r>
      <w:r>
        <w:fldChar w:fldCharType="end"/>
      </w:r>
    </w:p>
  </w:footnote>
  <w:footnote w:id="118">
    <w:p w:rsidR="007A7576" w:rsidRDefault="007A7576">
      <w:pPr>
        <w:pStyle w:val="FootnoteText"/>
      </w:pPr>
      <w:r>
        <w:rPr>
          <w:rStyle w:val="FootnoteReference"/>
        </w:rPr>
        <w:footnoteRef/>
      </w:r>
      <w:r>
        <w:t xml:space="preserve"> </w:t>
      </w:r>
      <w:r>
        <w:fldChar w:fldCharType="begin"/>
      </w:r>
      <w:r>
        <w:instrText xml:space="preserve"> ADDIN ZOTERO_ITEM CSL_CITATION {"citationID":"RO1v3vvk","properties":{"formattedCitation":"Wallach Scott.","plainCitation":"Wallach Scott.","noteIndex":118},"citationItems":[{"id":59,"uris":["http://zotero.org/users/local/vdmAxuOJ/items/B3ARSSU8"],"uri":["http://zotero.org/users/local/vdmAxuOJ/items/B3ARSSU8"],"itemData":{"id":59,"type":"article-journal","container-title":"History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Pr>
          <w:noProof/>
        </w:rPr>
        <w:t>Wallach Scott.</w:t>
      </w:r>
      <w:r>
        <w:fldChar w:fldCharType="end"/>
      </w:r>
    </w:p>
  </w:footnote>
  <w:footnote w:id="119">
    <w:p w:rsidR="007A7576" w:rsidRDefault="007A7576">
      <w:pPr>
        <w:pStyle w:val="FootnoteText"/>
      </w:pPr>
      <w:r>
        <w:rPr>
          <w:rStyle w:val="FootnoteReference"/>
        </w:rPr>
        <w:footnoteRef/>
      </w:r>
      <w:r>
        <w:t xml:space="preserve"> </w:t>
      </w:r>
      <w:r>
        <w:fldChar w:fldCharType="begin"/>
      </w:r>
      <w:r>
        <w:instrText xml:space="preserve"> ADDIN ZOTERO_ITEM CSL_CITATION {"citationID":"ULWaqtye","properties":{"formattedCitation":"Wallach Scott.","plainCitation":"Wallach Scott.","noteIndex":119},"citationItems":[{"id":59,"uris":["http://zotero.org/users/local/vdmAxuOJ/items/B3ARSSU8"],"uri":["http://zotero.org/users/local/vdmAxuOJ/items/B3ARSSU8"],"itemData":{"id":59,"type":"article-journal","container-title":"History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Pr>
          <w:noProof/>
        </w:rPr>
        <w:t>Wallach Scott.</w:t>
      </w:r>
      <w:r>
        <w:fldChar w:fldCharType="end"/>
      </w:r>
    </w:p>
  </w:footnote>
  <w:footnote w:id="120">
    <w:p w:rsidR="007A7576" w:rsidRDefault="007A7576">
      <w:pPr>
        <w:pStyle w:val="FootnoteText"/>
      </w:pPr>
      <w:r>
        <w:rPr>
          <w:rStyle w:val="FootnoteReference"/>
        </w:rPr>
        <w:footnoteRef/>
      </w:r>
      <w:r>
        <w:t xml:space="preserve"> </w:t>
      </w:r>
      <w:r>
        <w:fldChar w:fldCharType="begin"/>
      </w:r>
      <w:r>
        <w:instrText xml:space="preserve"> ADDIN ZOTERO_ITEM CSL_CITATION {"citationID":"173N7rsH","properties":{"formattedCitation":"Wallach Scott.","plainCitation":"Wallach Scott.","noteIndex":120},"citationItems":[{"id":59,"uris":["http://zotero.org/users/local/vdmAxuOJ/items/B3ARSSU8"],"uri":["http://zotero.org/users/local/vdmAxuOJ/items/B3ARSSU8"],"itemData":{"id":59,"type":"article-journal","container-title":"History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Pr>
          <w:noProof/>
        </w:rPr>
        <w:t>Wallach Scott.</w:t>
      </w:r>
      <w:r>
        <w:fldChar w:fldCharType="end"/>
      </w:r>
    </w:p>
  </w:footnote>
  <w:footnote w:id="121">
    <w:p w:rsidR="007A7576" w:rsidRDefault="007A7576">
      <w:pPr>
        <w:pStyle w:val="FootnoteText"/>
      </w:pPr>
      <w:r>
        <w:rPr>
          <w:rStyle w:val="FootnoteReference"/>
        </w:rPr>
        <w:footnoteRef/>
      </w:r>
      <w:r>
        <w:t xml:space="preserve"> </w:t>
      </w:r>
      <w:r>
        <w:fldChar w:fldCharType="begin"/>
      </w:r>
      <w:r>
        <w:instrText xml:space="preserve"> ADDIN ZOTERO_ITEM CSL_CITATION {"citationID":"tG8j5WE6","properties":{"formattedCitation":"\\uc0\\u8220{}Les Droits de La Femme - Olympe de Gouges.\\uc0\\u8221{}","plainCitation":"“Les Droits de La Femme - Olympe de Gouges.”","noteIndex":121},"citationItems":[{"id":79,"uris":["http://zotero.org/users/local/vdmAxuOJ/items/3ZP397WD"],"uri":["http://zotero.org/users/local/vdmAxuOJ/items/3ZP397WD"],"itemData":{"id":79,"type":"webpage","title":"Les Droits de la Femme - Olympe de Gouges","URL":"https://www.olympedegouges.eu/rights_of_women.php","accessed":{"date-parts":[["2021",5,13]]},"issued":{"date-parts":[["2021",5,13]]}}}],"schema":"https://github.com/citation-style-language/schema/raw/master/csl-citation.json"} </w:instrText>
      </w:r>
      <w:r>
        <w:fldChar w:fldCharType="separate"/>
      </w:r>
      <w:r w:rsidRPr="007A7576">
        <w:rPr>
          <w:rFonts w:ascii="Calibri" w:cs="Calibri"/>
        </w:rPr>
        <w:t>“Les Droits de La Femme - Olympe de Gouges.”</w:t>
      </w:r>
      <w:r>
        <w:fldChar w:fldCharType="end"/>
      </w:r>
    </w:p>
  </w:footnote>
  <w:footnote w:id="122">
    <w:p w:rsidR="00637011" w:rsidRDefault="00637011" w:rsidP="00B36C75">
      <w:pPr>
        <w:pStyle w:val="FootnoteText"/>
      </w:pPr>
      <w:r w:rsidRPr="0038549D">
        <w:rPr>
          <w:rStyle w:val="FootnoteReference"/>
        </w:rPr>
        <w:footnoteRef/>
      </w:r>
      <w:r>
        <w:t xml:space="preserve"> </w:t>
      </w:r>
      <w:r>
        <w:fldChar w:fldCharType="begin"/>
      </w:r>
      <w:r w:rsidR="007A7576">
        <w:instrText xml:space="preserve"> ADDIN ZOTERO_ITEM CSL_CITATION {"citationID":"smRDhBQ1","properties":{"formattedCitation":"\\uc0\\u8220{}Les Droits de La Femme - Olympe de Gouges.\\uc0\\u8221{}","plainCitation":"“Les Droits de La Femme - Olympe de Gouges.”","noteIndex":122},"citationItems":[{"id":79,"uris":["http://zotero.org/users/local/vdmAxuOJ/items/3ZP397WD"],"uri":["http://zotero.org/users/local/vdmAxuOJ/items/3ZP397WD"],"itemData":{"id":79,"type":"webpage","title":"Les Droits de la Femme - Olympe de Gouges","URL":"https://www.olympedegouges.eu/rights_of_women.php","accessed":{"date-parts":[["2021",5,13]]},"issued":{"date-parts":[["2021",5,13]]}}}],"schema":"https://github.com/citation-style-language/schema/raw/master/csl-citation.json"} </w:instrText>
      </w:r>
      <w:r>
        <w:fldChar w:fldCharType="separate"/>
      </w:r>
      <w:r w:rsidR="007A7576" w:rsidRPr="007A7576">
        <w:rPr>
          <w:rFonts w:ascii="Calibri" w:cs="Calibri"/>
        </w:rPr>
        <w:t>“Les Droits de La Femme - Olympe de Gouges.”</w:t>
      </w:r>
      <w:r>
        <w:fldChar w:fldCharType="end"/>
      </w:r>
    </w:p>
  </w:footnote>
  <w:footnote w:id="12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{"citationID":"GgyGSlCx","properties":{"formattedCitation":"Wood, \\uc0\\u8220{}The Bolsheviks and the Genealogy of the Woman Question.\\uc0\\u8221{}","plainCitation":"Wood, “The Bolsheviks and the Genealogy of the Woman Question.”","noteIndex":123},"citationItems":[{"id":149,"uris":["http://zotero.org/users/local/vdmAxuOJ/items/FHJCDKM7"],"uri":["http://zotero.org/users/local/vdmAxuOJ/items/FHJCDKM7"],"itemData":{"id":149,"type":"chapter","container-title":"The Baba and the Comrade: Gender and Politics in Revolutionary Russia","event-place":"Bloomingtom, IN","publisher":"Indiana University Press","publisher-place":"Bloomingtom, IN","title":"The Bolsheviks and the Genealogy of the Woman Question","author":[{"family":"Wood","given":"Elizabeth A."}],"issued":{"date-parts":[["1997"]]}}}],"schema":"https://github.com/citation-style-language/schema/raw/master/csl-citation.json"} </w:instrText>
      </w:r>
      <w:r>
        <w:fldChar w:fldCharType="separate"/>
      </w:r>
      <w:r w:rsidRPr="00C97E96">
        <w:rPr>
          <w:rFonts w:ascii="Calibri" w:cs="Calibri"/>
        </w:rPr>
        <w:t>Wood, “The Bolsheviks and the Genealogy of the Woman Question.”</w:t>
      </w:r>
      <w:r>
        <w:fldChar w:fldCharType="end"/>
      </w:r>
    </w:p>
  </w:footnote>
  <w:footnote w:id="124">
    <w:p w:rsidR="007A7576" w:rsidRDefault="007A7576">
      <w:pPr>
        <w:pStyle w:val="FootnoteText"/>
      </w:pPr>
      <w:r>
        <w:rPr>
          <w:rStyle w:val="FootnoteReference"/>
        </w:rPr>
        <w:footnoteRef/>
      </w:r>
      <w:r>
        <w:t xml:space="preserve"> </w:t>
      </w:r>
      <w:r>
        <w:fldChar w:fldCharType="begin"/>
      </w:r>
      <w:r>
        <w:instrText xml:space="preserve"> ADDIN ZOTERO_ITEM CSL_CITATION {"citationID":"e1chcYN4","properties":{"formattedCitation":"Clements, \\uc0\\u8220{}Introduction.\\uc0\\u8221{}","plainCitation":"Clements, “Introduction.”","noteIndex":124},"citationItems":[{"id":150,"uris":["http://zotero.org/users/local/vdmAxuOJ/items/2QXVF2ES"],"uri":["http://zotero.org/users/local/vdmAxuOJ/items/2QXVF2ES"],"itemData":{"id":150,"type":"chapter","container-title":"Bolshevik Women","event-place":"Cambridge","page":"1-21","publisher":"Cambridge University Press","publisher-place":"Cambridge","title":"Introduction","author":[{"family":"Clements","given":"Barbara Evans"}],"issued":{"date-parts":[["1997"]]}}}],"schema":"https://github.com/citation-style-language/schema/raw/master/csl-citation.json"} </w:instrText>
      </w:r>
      <w:r>
        <w:fldChar w:fldCharType="separate"/>
      </w:r>
      <w:r w:rsidRPr="007A7576">
        <w:rPr>
          <w:rFonts w:ascii="Calibri" w:cs="Calibri"/>
        </w:rPr>
        <w:t>Clements, “Introduction.”</w:t>
      </w:r>
      <w:r>
        <w:fldChar w:fldCharType="end"/>
      </w:r>
    </w:p>
  </w:footnote>
  <w:footnote w:id="125">
    <w:p w:rsidR="007A7576" w:rsidRDefault="007A7576">
      <w:pPr>
        <w:pStyle w:val="FootnoteText"/>
      </w:pPr>
      <w:r>
        <w:rPr>
          <w:rStyle w:val="FootnoteReference"/>
        </w:rPr>
        <w:footnoteRef/>
      </w:r>
      <w:r>
        <w:t xml:space="preserve"> </w:t>
      </w:r>
      <w:r>
        <w:fldChar w:fldCharType="begin"/>
      </w:r>
      <w:r>
        <w:instrText xml:space="preserve"> ADDIN ZOTERO_ITEM CSL_CITATION {"citationID":"VgoPHm72","properties":{"formattedCitation":"Clements.","plainCitation":"Clements.","noteIndex":125},"citationItems":[{"id":150,"uris":["http://zotero.org/users/local/vdmAxuOJ/items/2QXVF2ES"],"uri":["http://zotero.org/users/local/vdmAxuOJ/items/2QXVF2ES"],"itemData":{"id":150,"type":"chapter","container-title":"Bolshevik Women","event-place":"Cambridge","page":"1-21","publisher":"Cambridge University Press","publisher-place":"Cambridge","title":"Introduction","author":[{"family":"Clements","given":"Barbara Evans"}],"issued":{"date-parts":[["1997"]]}}}],"schema":"https://github.com/citation-style-language/schema/raw/master/csl-citation.json"} </w:instrText>
      </w:r>
      <w:r>
        <w:fldChar w:fldCharType="separate"/>
      </w:r>
      <w:r>
        <w:rPr>
          <w:noProof/>
        </w:rPr>
        <w:t>Clements.</w:t>
      </w:r>
      <w:r>
        <w:fldChar w:fldCharType="end"/>
      </w:r>
    </w:p>
  </w:footnote>
  <w:footnote w:id="12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{"citationID":"ze9ma70t","properties":{"formattedCitation":"Wood, \\uc0\\u8220{}The Bolsheviks and the Genealogy of the Woman Question.\\uc0\\u8221{}","plainCitation":"Wood, “The Bolsheviks and the Genealogy of the Woman Question.”","noteIndex":126},"citationItems":[{"id":149,"uris":["http://zotero.org/users/local/vdmAxuOJ/items/FHJCDKM7"],"uri":["http://zotero.org/users/local/vdmAxuOJ/items/FHJCDKM7"],"itemData":{"id":149,"type":"chapter","container-title":"The Baba and the Comrade: Gender and Politics in Revolutionary Russia","event-place":"Bloomingtom, IN","publisher":"Indiana University Press","publisher-place":"Bloomingtom, IN","title":"The Bolsheviks and the Genealogy of the Woman Question","author":[{"family":"Wood","given":"Elizabeth A."}],"issued":{"date-parts":[["1997"]]}}}],"schema":"https://github.com/citation-style-language/schema/raw/master/csl-citation.json"} </w:instrText>
      </w:r>
      <w:r>
        <w:fldChar w:fldCharType="separate"/>
      </w:r>
      <w:r w:rsidRPr="00C97E96">
        <w:rPr>
          <w:rFonts w:ascii="Calibri" w:cs="Calibri"/>
        </w:rPr>
        <w:t>Wood, “The Bolsheviks and the Genealogy of the Woman Question.”</w:t>
      </w:r>
      <w:r>
        <w:fldChar w:fldCharType="end"/>
      </w:r>
    </w:p>
  </w:footnote>
  <w:footnote w:id="127">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{"citationID":"wXjuJJnz","properties":{"formattedCitation":"Goldman, \\uc0\\u8220{}The Origins of the Bolshevik Vision: Love Unfettered, Women Free.\\uc0\\u8221{}","plainCitation":"Goldman, “The Origins of the Bolshevik Vision: Love Unfettered, Women Free.”","noteIndex":127},"citationItems":[{"id":84,"uris":["http://zotero.org/users/local/vdmAxuOJ/items/MRU5DN4N"],"uri":["http://zotero.org/users/local/vdmAxuOJ/items/MRU5DN4N"],"itemData":{"id":84,"type":"chapter","container-title":"Women, the State &amp; Revolution: Soviet family Policy &amp; Social Life, 1917-1936","event-place":"Cambridge","publisher":"Cambridge University Press","publisher-place":"Cambridge","title":"The origins of the Bolshevik vision: Love unfettered, women free","author":[{"family":"Goldman","given":"Wendy Z."}],"issued":{"date-parts":[["1995"]]}}}],"schema":"https://github.com/citation-style-language/schema/raw/master/csl-citation.json"} </w:instrText>
      </w:r>
      <w:r>
        <w:fldChar w:fldCharType="separate"/>
      </w:r>
      <w:r w:rsidRPr="00933FC9">
        <w:rPr>
          <w:rFonts w:ascii="Calibri" w:cs="Calibri"/>
        </w:rPr>
        <w:t>Goldman, “The Origins of the Bolshevik Vision: Love Unfettered, Women Free.”</w:t>
      </w:r>
      <w:r>
        <w:fldChar w:fldCharType="end"/>
      </w:r>
    </w:p>
  </w:footnote>
  <w:footnote w:id="128">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{"citationID":"Q6DFDY0U","properties":{"formattedCitation":"Engels, \\uc0\\u8220{}Origins of the Family-- Chapter 2 (III).\\uc0\\u8221{}","plainCitation":"Engels, “Origins of the Family-- Chapter 2 (III).”","noteIndex":128},"citationItems":[{"id":70,"uris":["http://zotero.org/users/local/vdmAxuOJ/items/7M9D34HD"],"uri":["http://zotero.org/users/local/vdmAxuOJ/items/7M9D34HD"],"itemData":{"id":70,"type":"webpage","title":"Origins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129">
    <w:p w:rsidR="007A7576" w:rsidRDefault="007A7576">
      <w:pPr>
        <w:pStyle w:val="FootnoteText"/>
      </w:pPr>
      <w:r>
        <w:rPr>
          <w:rStyle w:val="FootnoteReference"/>
        </w:rPr>
        <w:footnoteRef/>
      </w:r>
      <w:r>
        <w:t xml:space="preserve"> </w:t>
      </w:r>
      <w:r>
        <w:fldChar w:fldCharType="begin"/>
      </w:r>
      <w:r>
        <w:instrText xml:space="preserve"> ADDIN ZOTERO_ITEM CSL_CITATION {"citationID":"997bGi6t","properties":{"formattedCitation":"Engels, \\uc0\\u8220{}Origins of the Family. Chapter 2 (IV).\\uc0\\u8221{}","plainCitation":"Engels, “Origins of the Family. Chapter 2 (IV).”","noteIndex":129},"citationItems":[{"id":72,"uris":["http://zotero.org/users/local/vdmAxuOJ/items/IV73WUIB"],"uri":["http://zotero.org/users/local/vdmAxuOJ/items/IV73WUIB"],"itemData":{"id":72,"type":"webpage","title":"Origins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(IV).”</w:t>
      </w:r>
      <w:r>
        <w:fldChar w:fldCharType="end"/>
      </w:r>
    </w:p>
  </w:footnote>
  <w:footnote w:id="130">
    <w:p w:rsidR="007A7576" w:rsidRDefault="007A7576">
      <w:pPr>
        <w:pStyle w:val="FootnoteText"/>
      </w:pPr>
      <w:r>
        <w:rPr>
          <w:rStyle w:val="FootnoteReference"/>
        </w:rPr>
        <w:footnoteRef/>
      </w:r>
      <w:r>
        <w:t xml:space="preserve"> </w:t>
      </w:r>
      <w:r>
        <w:fldChar w:fldCharType="begin"/>
      </w:r>
      <w:r>
        <w:instrText xml:space="preserve"> ADDIN ZOTERO_ITEM CSL_CITATION {"citationID":"fP8ZyYr5","properties":{"formattedCitation":"Clements, \\uc0\\u8220{}Becoming a Revolutionary.\\uc0\\u8221{}","plainCitation":"Clements, “Becoming a Revolutionary.”","noteIndex":130},"citationItems":[{"id":151,"uris":["http://zotero.org/users/local/vdmAxuOJ/items/LIWIJKDR"],"uri":["http://zotero.org/users/local/vdmAxuOJ/items/LIWIJKDR"],"itemData":{"id":151,"type":"chapter","container-title":"Bolshevik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sidRPr="007A7576">
        <w:rPr>
          <w:rFonts w:ascii="Calibri" w:cs="Calibri"/>
        </w:rPr>
        <w:t>Clements, “Becoming a Revolutionary.”</w:t>
      </w:r>
      <w:r>
        <w:fldChar w:fldCharType="end"/>
      </w:r>
    </w:p>
  </w:footnote>
  <w:footnote w:id="131">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SljLx2lK","properties":{"formattedCitation":"Clements.","plainCitation":"Clements.","noteIndex":131},"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Pr>
          <w:noProof/>
        </w:rPr>
        <w:t>Clements.</w:t>
      </w:r>
      <w:r>
        <w:fldChar w:fldCharType="end"/>
      </w:r>
    </w:p>
  </w:footnote>
  <w:footnote w:id="132">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73GsSmmf","properties":{"formattedCitation":"Clements.","plainCitation":"Clements.","noteIndex":132},"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Pr>
          <w:noProof/>
        </w:rPr>
        <w:t>Clements.</w:t>
      </w:r>
      <w:r>
        <w:fldChar w:fldCharType="end"/>
      </w:r>
    </w:p>
  </w:footnote>
  <w:footnote w:id="133">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OsXLbdrr","properties":{"formattedCitation":"Clements.","plainCitation":"Clements.","noteIndex":133},"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Pr>
          <w:noProof/>
        </w:rPr>
        <w:t>Clements.</w:t>
      </w:r>
      <w:r>
        <w:fldChar w:fldCharType="end"/>
      </w:r>
    </w:p>
  </w:footnote>
  <w:footnote w:id="134">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{"citationID":"MY0eMQEc","properties":{"formattedCitation":"Hartnett, \\uc0\\u8220{}The Making of a Revolutionary Icon: Vera Nikolaevna Figner and the People\\uc0\\u8217{}s Will in the Wake of the Assassination of Tsar Aleksandr II.\\uc0\\u8221{}","plainCitation":"Hartnett, “The Making of a Revolutionary Icon: Vera Nikolaevna Figner and the People’s Will in the Wake of the Assassination of Tsar Aleksandr II.”","noteIndex":134},"citationItems":[{"id":155,"uris":["http://zotero.org/users/local/vdmAxuOJ/items/F5JTUH9J"],"uri":["http://zotero.org/users/local/vdmAxuOJ/items/F5JTUH9J"],"itemData":{"id":155,"type":"article-journal","container-title":"Canadian Slavonic Papers","issue":"2/3","page":"249-2701","title":"The Making of a Revolutionary Icon: Vera Nikolaevna Figner and the People's Will in the Wake of the Assassination of Tsar Aleksandr II","volume":"43","author":[{"family":"Hartnett","given":"Lynn"}],"issued":{"date-parts":[["2001",9]]}}}],"schema":"https://github.com/citation-style-language/schema/raw/master/csl-citation.json"} </w:instrText>
      </w:r>
      <w:r>
        <w:fldChar w:fldCharType="separate"/>
      </w:r>
      <w:r w:rsidRPr="00FA4D64">
        <w:rPr>
          <w:rFonts w:ascii="Calibri" w:cs="Calibri"/>
        </w:rPr>
        <w:t>Hartnett, “The Making of a Revolutionary Icon: Vera Nikolaevna Figner and the People’s Will in the Wake of the Assassination of Tsar Aleksandr II.”</w:t>
      </w:r>
      <w:r>
        <w:fldChar w:fldCharType="end"/>
      </w:r>
    </w:p>
  </w:footnote>
  <w:footnote w:id="13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{"citationID":"7SF5mQWQ","properties":{"formattedCitation":"Boniece, \\uc0\\u8220{}The \\uc0\\u8216{}Shesterka\\uc0\\u8217{} of 1905-06: Terrorist Heroines of Revolutionary Russia.\\uc0\\u8221{}","plainCitation":"Boniece, “The ‘Shesterka’ of 1905-06: Terrorist Heroines of Revolutionary Russia.”","noteIndex":137},"citationItems":[{"id":62,"uris":["http://zotero.org/users/local/vdmAxuOJ/items/JVCWXJ2V"],"uri":["http://zotero.org/users/local/vdmAxuOJ/items/JVCWXJ2V"],"itemData":{"id":62,"type":"article-journal","collection-title":"Themenschwerpunkt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281EF9">
        <w:rPr>
          <w:rFonts w:ascii="Calibri" w:cs="Calibri"/>
        </w:rPr>
        <w:t>Boniece</w:t>
      </w:r>
      <w:proofErr w:type="spellEnd"/>
      <w:r w:rsidRPr="00281EF9">
        <w:rPr>
          <w:rFonts w:ascii="Calibri" w:cs="Calibri"/>
        </w:rPr>
        <w:t>, “The ‘Shesterka’ of 1905-06: Terrorist Heroines of Revolutionary Russia.”</w:t>
      </w:r>
      <w:r>
        <w:fldChar w:fldCharType="end"/>
      </w:r>
    </w:p>
  </w:footnote>
  <w:footnote w:id="13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{"citationID":"QeHW2cbm","properties":{"formattedCitation":"Hartnett, \\uc0\\u8220{}The Making of a Revolutionary Icon: Vera Nikolaevna Figner and the People\\uc0\\u8217{}s Will in the Wake of the Assassination of Tsar Aleksandr II.\\uc0\\u8221{}","plainCitation":"Hartnett, “The Making of a Revolutionary Icon: Vera Nikolaevna Figner and the People’s Will in the Wake of the Assassination of Tsar Aleksandr II.”","noteIndex":136},"citationItems":[{"id":155,"uris":["http://zotero.org/users/local/vdmAxuOJ/items/F5JTUH9J"],"uri":["http://zotero.org/users/local/vdmAxuOJ/items/F5JTUH9J"],"itemData":{"id":155,"type":"article-journal","container-title":"Canadian Slavonic Papers","issue":"2/3","page":"249-2701","title":"The Making of a Revolutionary Icon: Vera Nikolaevna Figner and the People's Will in the Wake of the Assassination of Tsar Aleksandr II","volume":"43","author":[{"family":"Hartnett","given":"Lynn"}],"issued":{"date-parts":[["2001",9]]}}}],"schema":"https://github.com/citation-style-language/schema/raw/master/csl-citation.json"} </w:instrText>
      </w:r>
      <w:r>
        <w:fldChar w:fldCharType="separate"/>
      </w:r>
      <w:r w:rsidRPr="00FA4D64">
        <w:rPr>
          <w:rFonts w:ascii="Calibri" w:cs="Calibri"/>
        </w:rPr>
        <w:t>Hartnett, “The Making of a Revolutionary Icon: Vera Nikolaevna Figner and the People’s Will in the Wake of the Assassination of Tsar Aleksandr II.”</w:t>
      </w:r>
      <w:r>
        <w:fldChar w:fldCharType="end"/>
      </w:r>
    </w:p>
  </w:footnote>
  <w:footnote w:id="137">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{"citationID":"1fgXXEjw","properties":{"formattedCitation":"Boniece, \\uc0\\u8220{}The \\uc0\\u8216{}Shesterka\\uc0\\u8217{} of 1905-06: Terrorist Heroines of Revolutionary Russia.\\uc0\\u8221{}","plainCitation":"Boniece, “The ‘Shesterka’ of 1905-06: Terrorist Heroines of Revolutionary Russia.”","noteIndex":139},"citationItems":[{"id":62,"uris":["http://zotero.org/users/local/vdmAxuOJ/items/JVCWXJ2V"],"uri":["http://zotero.org/users/local/vdmAxuOJ/items/JVCWXJ2V"],"itemData":{"id":62,"type":"article-journal","collection-title":"Themenschwerpunkt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FA4D64">
        <w:rPr>
          <w:rFonts w:ascii="Calibri" w:cs="Calibri"/>
        </w:rPr>
        <w:t>Boniece</w:t>
      </w:r>
      <w:proofErr w:type="spellEnd"/>
      <w:r w:rsidRPr="00FA4D64">
        <w:rPr>
          <w:rFonts w:ascii="Calibri" w:cs="Calibri"/>
        </w:rPr>
        <w:t>, “The ‘Shesterka’ of 1905-06: Terrorist Heroines of Revolutionary Russia.”</w:t>
      </w:r>
      <w:r>
        <w:fldChar w:fldCharType="end"/>
      </w:r>
    </w:p>
  </w:footnote>
  <w:footnote w:id="13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oj8H559z","properties":{"formattedCitation":"Boniece.","plainCitation":"Boniece.","noteIndex":140},"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39">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0872xjjR","properties":{"formattedCitation":"Boniece.","plainCitation":"Boniece.","noteIndex":141},"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qbYx0LgB","properties":{"formattedCitation":"Boniece.","plainCitation":"Boniece.","noteIndex":142},"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1">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JUWHCwWh","properties":{"formattedCitation":"Boniece.","plainCitation":"Boniece.","noteIndex":143},"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awiwuSx2","properties":{"formattedCitation":"Boniece.","plainCitation":"Boniece.","noteIndex":144},"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3">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CXSVUBdu","properties":{"formattedCitation":"Boniece.","plainCitation":"Boniece.","noteIndex":145},"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4">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kp5kyQdZ","properties":{"formattedCitation":"Boniece.","plainCitation":"Boniece.","noteIndex":146},"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sVOgN0PZ","properties":{"formattedCitation":"Boniece.","plainCitation":"Boniece.","noteIndex":147},"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6">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kN09utwi","properties":{"formattedCitation":"Boniece.","plainCitation":"Boniece.","noteIndex":148},"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47">
    <w:p w:rsidR="00637011" w:rsidRDefault="00637011">
      <w:pPr>
        <w:pStyle w:val="FootnoteText"/>
      </w:pPr>
      <w:r>
        <w:rPr>
          <w:rStyle w:val="FootnoteReference"/>
        </w:rPr>
        <w:footnoteRef/>
      </w:r>
      <w:r>
        <w:t xml:space="preserve"> </w:t>
      </w:r>
      <w:r>
        <w:fldChar w:fldCharType="begin"/>
      </w:r>
      <w:r>
        <w:instrText xml:space="preserve"> ADDIN ZOTERO_ITEM CSL_CITATION {"citationID":"kt5reQeI","properties":{"formattedCitation":"Farnsworth, \\uc0\\u8220{}Bolshevism, the Woman Question, and Aleksandra Kollontai.\\uc0\\u8221{}","plainCitation":"Farnsworth, “Bolshevism, the Woman Question, and Aleksandra Kollontai.”","noteIndex":151},"citationItems":[{"id":159,"uris":["http://zotero.org/users/local/vdmAxuOJ/items/Z9B4EI7F"],"uri":["http://zotero.org/users/local/vdmAxuOJ/items/Z9B4EI7F"],"itemData":{"id":159,"type":"article-journal","container-title":"The American Historical Review","issue":"2","page":"pp. 292-316","title":"Bolshevism, the Woman Question, and Aleksandra Kollontai","volume":"81","author":[{"family":"Farnsworth","given":"Beatrice Brodsky"}],"issued":{"date-parts":[["1976"]],"season":"Aoril"}}}],"schema":"https://github.com/citation-style-language/schema/raw/master/csl-citation.json"} </w:instrText>
      </w:r>
      <w:r>
        <w:fldChar w:fldCharType="separate"/>
      </w:r>
      <w:r w:rsidRPr="00603120">
        <w:rPr>
          <w:rFonts w:ascii="Calibri" w:cs="Calibri"/>
        </w:rPr>
        <w:t>Farnsworth, “Bolshevism, the Woman Question, and Aleksandra Kollontai.”</w:t>
      </w:r>
      <w:r>
        <w:fldChar w:fldCharType="end"/>
      </w:r>
    </w:p>
  </w:footnote>
  <w:footnote w:id="148">
    <w:p w:rsidR="00637011" w:rsidRDefault="00637011" w:rsidP="00324D57">
      <w:pPr>
        <w:pStyle w:val="FootnoteText"/>
      </w:pPr>
      <w:r>
        <w:rPr>
          <w:rStyle w:val="FootnoteReference"/>
        </w:rPr>
        <w:footnoteRef/>
      </w:r>
      <w:r>
        <w:t xml:space="preserve"> </w:t>
      </w:r>
      <w:r>
        <w:fldChar w:fldCharType="begin"/>
      </w:r>
      <w:r w:rsidR="007954FF">
        <w:instrText xml:space="preserve"> ADDIN ZOTERO_ITEM CSL_CITATION {"citationID":"u6F5UPHZ","properties":{"formattedCitation":"Kollontai and Blunden, \\uc0\\u8220{}The Social Basis of the Woman Question by Alexandra Kollontai 1909.\\uc0\\u8221{}","plainCitation":"Kollontai and Blunden, “The Social Basis of the Woman Question by Alexandra Kollontai 1909.”","noteIndex":150},"citationItems":[{"id":64,"uris":["http://zotero.org/users/local/vdmAxuOJ/items/3EHY96AV"],"uri":["http://zotero.org/users/local/vdmAxuOJ/items/3EHY96AV"],"itemData":{"id":64,"type":"webpage","title":"The Social Basis of the Woman Question by Alexandra Kollontai 1909","URL":"https://www.marxists.org/archive/kollonta/1909/social-basis.htm","author":[{"family":"Kollontai","given":"Alexandra"},{"family":"Blunden","given":"Andy"}],"translator":[{"family":"Holt","given":"Alix"}],"accessed":{"date-parts":[["2021",5,13]]},"issued":{"date-parts":[["2006"]]}}}],"schema":"https://github.com/citation-style-language/schema/raw/master/csl-citation.json"} </w:instrText>
      </w:r>
      <w:r>
        <w:fldChar w:fldCharType="separate"/>
      </w:r>
      <w:r w:rsidRPr="00603120">
        <w:rPr>
          <w:rFonts w:ascii="Calibri" w:cs="Calibri"/>
        </w:rPr>
        <w:t>Kollontai and Blunden, “The Social Basis of the Woman Question by Alexandra Kollontai 1909.”</w:t>
      </w:r>
      <w:r>
        <w:fldChar w:fldCharType="end"/>
      </w:r>
    </w:p>
  </w:footnote>
  <w:footnote w:id="149">
    <w:p w:rsidR="00637011" w:rsidRDefault="00637011" w:rsidP="00324D57">
      <w:pPr>
        <w:pStyle w:val="FootnoteText"/>
      </w:pPr>
      <w:r>
        <w:rPr>
          <w:rStyle w:val="FootnoteReference"/>
        </w:rPr>
        <w:footnoteRef/>
      </w:r>
      <w:r>
        <w:t xml:space="preserve"> </w:t>
      </w:r>
      <w:r>
        <w:fldChar w:fldCharType="begin"/>
      </w:r>
      <w:r w:rsidR="007954FF">
        <w:instrText xml:space="preserve"> ADDIN ZOTERO_ITEM CSL_CITATION {"citationID":"Ohv5zQhu","properties":{"formattedCitation":"Kollontai and Blunden.","plainCitation":"Kollontai and Blunden.","noteIndex":151},"citationItems":[{"id":64,"uris":["http://zotero.org/users/local/vdmAxuOJ/items/3EHY96AV"],"uri":["http://zotero.org/users/local/vdmAxuOJ/items/3EHY96AV"],"itemData":{"id":64,"type":"webpage","title":"The Social Basis of the Woman Question by Alexandra Kollontai 1909","URL":"https://www.marxists.org/archive/kollonta/1909/social-basis.htm","author":[{"family":"Kollontai","given":"Alexandra"},{"family":"Blunden","given":"Andy"}],"translator":[{"family":"Holt","given":"Alix"}],"accessed":{"date-parts":[["2021",5,13]]},"issued":{"date-parts":[["2006"]]}}}],"schema":"https://github.com/citation-style-language/schema/raw/master/csl-citation.json"} </w:instrText>
      </w:r>
      <w:r>
        <w:fldChar w:fldCharType="separate"/>
      </w:r>
      <w:r>
        <w:rPr>
          <w:noProof/>
        </w:rPr>
        <w:t>Kollontai and Blunden.</w:t>
      </w:r>
      <w:r>
        <w:fldChar w:fldCharType="end"/>
      </w:r>
    </w:p>
  </w:footnote>
  <w:footnote w:id="150">
    <w:p w:rsidR="00637011" w:rsidRDefault="00637011" w:rsidP="007D19C2">
      <w:pPr>
        <w:pStyle w:val="FootnoteText"/>
      </w:pPr>
      <w:r>
        <w:rPr>
          <w:rStyle w:val="FootnoteReference"/>
        </w:rPr>
        <w:footnoteRef/>
      </w:r>
      <w:r>
        <w:t xml:space="preserve"> </w:t>
      </w:r>
      <w:r>
        <w:fldChar w:fldCharType="begin"/>
      </w:r>
      <w:r w:rsidR="007954FF">
        <w:instrText xml:space="preserve"> ADDIN ZOTERO_ITEM CSL_CITATION {"citationID":"yxNtktAk","properties":{"formattedCitation":"Kollontai and Blunden.","plainCitation":"Kollontai and Blunden.","noteIndex":152},"citationItems":[{"id":64,"uris":["http://zotero.org/users/local/vdmAxuOJ/items/3EHY96AV"],"uri":["http://zotero.org/users/local/vdmAxuOJ/items/3EHY96AV"],"itemData":{"id":64,"type":"webpage","title":"The Social Basis of the Woman Question by Alexandra Kollontai 1909","URL":"https://www.marxists.org/archive/kollonta/1909/social-basis.htm","author":[{"family":"Kollontai","given":"Alexandra"},{"family":"Blunden","given":"Andy"}],"translator":[{"family":"Holt","given":"Alix"}],"accessed":{"date-parts":[["2021",5,13]]},"issued":{"date-parts":[["2006"]]}}}],"schema":"https://github.com/citation-style-language/schema/raw/master/csl-citation.json"} </w:instrText>
      </w:r>
      <w:r>
        <w:fldChar w:fldCharType="separate"/>
      </w:r>
      <w:r>
        <w:rPr>
          <w:rFonts w:ascii="Calibri" w:cs="Calibri"/>
        </w:rPr>
        <w:t>Kollontai and Blunden.</w:t>
      </w:r>
      <w:r>
        <w:fldChar w:fldCharType="end"/>
      </w:r>
    </w:p>
  </w:footnote>
  <w:footnote w:id="151">
    <w:p w:rsidR="007A7576" w:rsidRDefault="007A7576">
      <w:pPr>
        <w:pStyle w:val="FootnoteText"/>
      </w:pPr>
      <w:r>
        <w:rPr>
          <w:rStyle w:val="FootnoteReference"/>
        </w:rPr>
        <w:footnoteRef/>
      </w:r>
      <w:r>
        <w:t xml:space="preserve"> </w:t>
      </w:r>
      <w:r>
        <w:fldChar w:fldCharType="begin"/>
      </w:r>
      <w:r>
        <w:instrText xml:space="preserve"> ADDIN ZOTERO_ITEM CSL_CITATION {"citationID":"SHneVAXK","properties":{"formattedCitation":"Clements, \\uc0\\u8220{}The Underground.\\uc0\\u8221{}","plainCitation":"Clements, “The Underground.”","noteIndex":151},"citationItems":[{"id":154,"uris":["http://zotero.org/users/local/vdmAxuOJ/items/CXSM566L"],"uri":["http://zotero.org/users/local/vdmAxuOJ/items/CXSM566L"],"itemData":{"id":154,"type":"chapter","container-title":"Bolshevik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sidRPr="007A7576">
        <w:rPr>
          <w:rFonts w:ascii="Calibri" w:cs="Calibri"/>
        </w:rPr>
        <w:t>Clements, “The Underground.”</w:t>
      </w:r>
      <w:r>
        <w:fldChar w:fldCharType="end"/>
      </w:r>
    </w:p>
  </w:footnote>
  <w:footnote w:id="152">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gsgIiJfC","properties":{"formattedCitation":"Clements.","plainCitation":"Clements.","noteIndex":152},"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Pr>
          <w:rFonts w:ascii="Calibri" w:cs="Calibri"/>
        </w:rPr>
        <w:t>Clements.</w:t>
      </w:r>
      <w:r>
        <w:fldChar w:fldCharType="end"/>
      </w:r>
    </w:p>
  </w:footnote>
  <w:footnote w:id="15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{"citationID":"tbrXvOPd","properties":{"formattedCitation":"Boniece, \\uc0\\u8220{}The \\uc0\\u8216{}Shesterka\\uc0\\u8217{} of 1905-06: Terrorist Heroines of Revolutionary Russia.\\uc0\\u8221{}","plainCitation":"Boniece, “The ‘Shesterka’ of 1905-06: Terrorist Heroines of Revolutionary Russia.”","noteIndex":155},"citationItems":[{"id":62,"uris":["http://zotero.org/users/local/vdmAxuOJ/items/JVCWXJ2V"],"uri":["http://zotero.org/users/local/vdmAxuOJ/items/JVCWXJ2V"],"itemData":{"id":62,"type":"article-journal","collection-title":"Themenschwerpunkt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FA4D64">
        <w:rPr>
          <w:rFonts w:ascii="Calibri" w:cs="Calibri"/>
        </w:rPr>
        <w:t>Boniece</w:t>
      </w:r>
      <w:proofErr w:type="spellEnd"/>
      <w:r w:rsidRPr="00FA4D64">
        <w:rPr>
          <w:rFonts w:ascii="Calibri" w:cs="Calibri"/>
        </w:rPr>
        <w:t>, “The ‘Shesterka’ of 1905-06: Terrorist Heroines of Revolutionary Russia.”</w:t>
      </w:r>
      <w:r>
        <w:fldChar w:fldCharType="end"/>
      </w:r>
    </w:p>
  </w:footnote>
  <w:footnote w:id="154">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{"citationID":"iBBqOtaB","properties":{"formattedCitation":"Clements, \\uc0\\u8220{}The Underground.\\uc0\\u8221{}","plainCitation":"Clements, “The Underground.”","noteIndex":154},"citationItems":[{"id":154,"uris":["http://zotero.org/users/local/vdmAxuOJ/items/CXSM566L"],"uri":["http://zotero.org/users/local/vdmAxuOJ/items/CXSM566L"],"itemData":{"id":154,"type":"chapter","container-title":"Bolshevik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sidRPr="00FA4D64">
        <w:rPr>
          <w:rFonts w:ascii="Calibri" w:cs="Calibri"/>
        </w:rPr>
        <w:t>Clements, “The Underground.”</w:t>
      </w:r>
      <w:r>
        <w:fldChar w:fldCharType="end"/>
      </w:r>
    </w:p>
  </w:footnote>
  <w:footnote w:id="155">
    <w:p w:rsidR="007A7576" w:rsidRDefault="007A7576">
      <w:pPr>
        <w:pStyle w:val="FootnoteText"/>
      </w:pPr>
      <w:r>
        <w:rPr>
          <w:rStyle w:val="FootnoteReference"/>
        </w:rPr>
        <w:footnoteRef/>
      </w:r>
      <w:r>
        <w:t xml:space="preserve"> </w:t>
      </w:r>
      <w:r>
        <w:fldChar w:fldCharType="begin"/>
      </w:r>
      <w:r>
        <w:instrText xml:space="preserve"> ADDIN ZOTERO_ITEM CSL_CITATION {"citationID":"MwJ9fu91","properties":{"formattedCitation":"Clements, \\uc0\\u8220{}Introduction.\\uc0\\u8221{}","plainCitation":"Clements, “Introduction.”","noteIndex":155},"citationItems":[{"id":150,"uris":["http://zotero.org/users/local/vdmAxuOJ/items/2QXVF2ES"],"uri":["http://zotero.org/users/local/vdmAxuOJ/items/2QXVF2ES"],"itemData":{"id":150,"type":"chapter","container-title":"Bolshevik Women","event-place":"Cambridge","page":"1-21","publisher":"Cambridge University Press","publisher-place":"Cambridge","title":"Introduction","author":[{"family":"Clements","given":"Barbara Evans"}],"issued":{"date-parts":[["1997"]]}}}],"schema":"https://github.com/citation-style-language/schema/raw/master/csl-citation.json"} </w:instrText>
      </w:r>
      <w:r>
        <w:fldChar w:fldCharType="separate"/>
      </w:r>
      <w:r w:rsidRPr="007A7576">
        <w:rPr>
          <w:rFonts w:ascii="Calibri" w:cs="Calibri"/>
        </w:rPr>
        <w:t>Clements, “Introduction.”</w:t>
      </w:r>
      <w:r>
        <w:fldChar w:fldCharType="end"/>
      </w:r>
    </w:p>
  </w:footnote>
  <w:footnote w:id="156">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{"citationID":"JQspWpap","properties":{"formattedCitation":"Clements, \\uc0\\u8220{}The Underground.\\uc0\\u8221{}","plainCitation":"Clements, “The Underground.”","noteIndex":156},"citationItems":[{"id":154,"uris":["http://zotero.org/users/local/vdmAxuOJ/items/CXSM566L"],"uri":["http://zotero.org/users/local/vdmAxuOJ/items/CXSM566L"],"itemData":{"id":154,"type":"chapter","container-title":"Bolshevik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sidRPr="00FA4D64">
        <w:rPr>
          <w:rFonts w:ascii="Calibri" w:cs="Calibri"/>
        </w:rPr>
        <w:t>Clements, “The Underground.”</w:t>
      </w:r>
      <w:r>
        <w:fldChar w:fldCharType="end"/>
      </w:r>
    </w:p>
  </w:footnote>
  <w:footnote w:id="157">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bTwULy6M","properties":{"formattedCitation":"Clements.","plainCitation":"Clements.","noteIndex":157},"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Pr>
          <w:noProof/>
        </w:rPr>
        <w:t>Clements.</w:t>
      </w:r>
      <w:r>
        <w:fldChar w:fldCharType="end"/>
      </w:r>
    </w:p>
  </w:footnote>
  <w:footnote w:id="158">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xOVU1uiv","properties":{"formattedCitation":"Clements.","plainCitation":"Clements.","noteIndex":158},"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Pr>
          <w:noProof/>
        </w:rPr>
        <w:t>Clements.</w:t>
      </w:r>
      <w:r>
        <w:fldChar w:fldCharType="end"/>
      </w:r>
    </w:p>
  </w:footnote>
  <w:footnote w:id="159">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jrlunlrc","properties":{"formattedCitation":"Clements.","plainCitation":"Clements.","noteIndex":159},"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Pr>
          <w:noProof/>
        </w:rPr>
        <w:t>Clements.</w:t>
      </w:r>
      <w:r>
        <w:fldChar w:fldCharType="end"/>
      </w:r>
    </w:p>
  </w:footnote>
  <w:footnote w:id="160">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grBTDACB","properties":{"formattedCitation":"Clements.","plainCitation":"Clements.","noteIndex":160},"citationItems":[{"id":154,"uris":["http://zotero.org/users/local/vdmAxuOJ/items/CXSM566L"],"uri":["http://zotero.org/users/local/vdmAxuOJ/items/CXSM566L"],"itemData":{"id":154,"type":"chapter","container-title":"Bolshevik Women","event-place":"Cambridge","page":"55-119","publisher":"Cambridge University Press","publisher-place":"Cambridge","title":"The Underground","author":[{"family":"Clements","given":"Barbara Evans"}],"issued":{"date-parts":[["1997"]]}}}],"schema":"https://github.com/citation-style-language/schema/raw/master/csl-citation.json"} </w:instrText>
      </w:r>
      <w:r>
        <w:fldChar w:fldCharType="separate"/>
      </w:r>
      <w:r>
        <w:rPr>
          <w:noProof/>
        </w:rPr>
        <w:t>Clements.</w:t>
      </w:r>
      <w:r>
        <w:fldChar w:fldCharType="end"/>
      </w:r>
    </w:p>
  </w:footnote>
  <w:footnote w:id="16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{"citationID":"XBRX0g2t","properties":{"formattedCitation":"Boniece, \\uc0\\u8220{}The \\uc0\\u8216{}Shesterka\\uc0\\u8217{} of 1905-06: Terrorist Heroines of Revolutionary Russia.\\uc0\\u8221{}","plainCitation":"Boniece, “The ‘Shesterka’ of 1905-06: Terrorist Heroines of Revolutionary Russia.”","noteIndex":163},"citationItems":[{"id":62,"uris":["http://zotero.org/users/local/vdmAxuOJ/items/JVCWXJ2V"],"uri":["http://zotero.org/users/local/vdmAxuOJ/items/JVCWXJ2V"],"itemData":{"id":62,"type":"article-journal","collection-title":"Themenschwerpunkt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FA4D64">
        <w:rPr>
          <w:rFonts w:ascii="Calibri" w:cs="Calibri"/>
        </w:rPr>
        <w:t>Boniece</w:t>
      </w:r>
      <w:proofErr w:type="spellEnd"/>
      <w:r w:rsidRPr="00FA4D64">
        <w:rPr>
          <w:rFonts w:ascii="Calibri" w:cs="Calibri"/>
        </w:rPr>
        <w:t>, “The ‘Shesterka’ of 1905-06: Terrorist Heroines of Revolutionary Russia.”</w:t>
      </w:r>
      <w:r>
        <w:fldChar w:fldCharType="end"/>
      </w:r>
    </w:p>
  </w:footnote>
  <w:footnote w:id="16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ExzekaWn","properties":{"formattedCitation":"Boniece.","plainCitation":"Boniece.","noteIndex":164},"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6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6TNSKj5F","properties":{"formattedCitation":"Boniece.","plainCitation":"Boniece.","noteIndex":165},"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r>
        <w:rPr>
          <w:noProof/>
        </w:rPr>
        <w:t>Boniece.</w:t>
      </w:r>
      <w:r>
        <w:fldChar w:fldCharType="end"/>
      </w:r>
    </w:p>
  </w:footnote>
  <w:footnote w:id="164">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{"citationID":"dNy4TYC3","properties":{"formattedCitation":"Clements, \\uc0\\u8220{}Becoming a Revolutionary.\\uc0\\u8221{}","plainCitation":"Clements, “Becoming a Revolutionary.”","noteIndex":164},"citationItems":[{"id":151,"uris":["http://zotero.org/users/local/vdmAxuOJ/items/LIWIJKDR"],"uri":["http://zotero.org/users/local/vdmAxuOJ/items/LIWIJKDR"],"itemData":{"id":151,"type":"chapter","container-title":"Bolshevik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sidRPr="00FA4D64">
        <w:rPr>
          <w:rFonts w:ascii="Calibri" w:cs="Calibri"/>
        </w:rPr>
        <w:t>Clements, “Becoming a Revolutionary.”</w:t>
      </w:r>
      <w:r>
        <w:fldChar w:fldCharType="end"/>
      </w:r>
    </w:p>
  </w:footnote>
  <w:footnote w:id="165">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{"citationID":"H73TxCmi","properties":{"formattedCitation":"Boniece, \\uc0\\u8220{}The \\uc0\\u8216{}Shesterka\\uc0\\u8217{} of 1905-06: Terrorist Heroines of Revolutionary Russia.\\uc0\\u8221{}","plainCitation":"Boniece, “The ‘Shesterka’ of 1905-06: Terrorist Heroines of Revolutionary Russia.”","noteIndex":167},"citationItems":[{"id":62,"uris":["http://zotero.org/users/local/vdmAxuOJ/items/JVCWXJ2V"],"uri":["http://zotero.org/users/local/vdmAxuOJ/items/JVCWXJ2V"],"itemData":{"id":62,"type":"article-journal","collection-title":"Themenschwerpunkt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D91D8B">
        <w:rPr>
          <w:rFonts w:ascii="Calibri" w:cs="Calibri"/>
        </w:rPr>
        <w:t>Boniece</w:t>
      </w:r>
      <w:proofErr w:type="spellEnd"/>
      <w:r w:rsidRPr="00D91D8B">
        <w:rPr>
          <w:rFonts w:ascii="Calibri" w:cs="Calibri"/>
        </w:rPr>
        <w:t>, “The ‘Shesterka’ of 1905-06: Terrorist Heroines of Revolutionary Russia.”</w:t>
      </w:r>
      <w:r>
        <w:fldChar w:fldCharType="end"/>
      </w:r>
    </w:p>
  </w:footnote>
  <w:footnote w:id="166">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{"citationID":"FWmadrbS","properties":{"formattedCitation":"Clements, \\uc0\\u8220{}Becoming a Revolutionary.\\uc0\\u8221{}","plainCitation":"Clements, “Becoming a Revolutionary.”","noteIndex":166},"citationItems":[{"id":151,"uris":["http://zotero.org/users/local/vdmAxuOJ/items/LIWIJKDR"],"uri":["http://zotero.org/users/local/vdmAxuOJ/items/LIWIJKDR"],"itemData":{"id":151,"type":"chapter","container-title":"Bolshevik Women","event-place":"Cambridge","page":"22-54","publisher":"Cambridge University Press","publisher-place":"Cambridge","title":"Becoming a Revolutionary","author":[{"family":"Clements","given":"Barbara Evans"}],"issued":{"date-parts":[["1997"]]}}}],"schema":"https://github.com/citation-style-language/schema/raw/master/csl-citation.json"} </w:instrText>
      </w:r>
      <w:r>
        <w:fldChar w:fldCharType="separate"/>
      </w:r>
      <w:r w:rsidRPr="00D91D8B">
        <w:rPr>
          <w:rFonts w:ascii="Calibri" w:cs="Calibri"/>
        </w:rPr>
        <w:t>Clements, “Becoming a Revolutionary.”</w:t>
      </w:r>
      <w:r>
        <w:fldChar w:fldCharType="end"/>
      </w:r>
    </w:p>
  </w:footnote>
  <w:footnote w:id="167">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{"citationID":"VGTwm57R","properties":{"formattedCitation":"Engels, \\uc0\\u8220{}Origins of the Family-- Chapter 2 (III).\\uc0\\u8221{}","plainCitation":"Engels, “Origins of the Family-- Chapter 2 (III).”","noteIndex":167},"citationItems":[{"id":70,"uris":["http://zotero.org/users/local/vdmAxuOJ/items/7M9D34HD"],"uri":["http://zotero.org/users/local/vdmAxuOJ/items/7M9D34HD"],"itemData":{"id":70,"type":"webpage","title":"Origins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168">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{"citationID":"3oWjoWG7","properties":{"formattedCitation":"Wood, \\uc0\\u8220{}The Bolsheviks and the Genealogy of the Woman Question.\\uc0\\u8221{}","plainCitation":"Wood, “The Bolsheviks and the Genealogy of the Woman Question.”","noteIndex":168},"citationItems":[{"id":149,"uris":["http://zotero.org/users/local/vdmAxuOJ/items/FHJCDKM7"],"uri":["http://zotero.org/users/local/vdmAxuOJ/items/FHJCDKM7"],"itemData":{"id":149,"type":"chapter","container-title":"The Baba and the Comrade: Gender and Politics in Revolutionary Russia","event-place":"Bloomingtom, IN","publisher":"Indiana University Press","publisher-place":"Bloomingtom, IN","title":"The Bolsheviks and the Genealogy of the Woman Question","author":[{"family":"Wood","given":"Elizabeth A."}],"issued":{"date-parts":[["1997"]]}}}],"schema":"https://github.com/citation-style-language/schema/raw/master/csl-citation.json"} </w:instrText>
      </w:r>
      <w:r>
        <w:fldChar w:fldCharType="separate"/>
      </w:r>
      <w:r w:rsidRPr="00C97E96">
        <w:rPr>
          <w:rFonts w:ascii="Calibri" w:cs="Calibri"/>
        </w:rPr>
        <w:t>Wood, “The Bolsheviks and the Genealogy of the Woman Question.”</w:t>
      </w:r>
      <w:r>
        <w:fldChar w:fldCharType="end"/>
      </w:r>
    </w:p>
  </w:footnote>
  <w:footnote w:id="169">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{"citationID":"BZQ3C3gO","properties":{"formattedCitation":"Engels, \\uc0\\u8220{}Origins of the Family-- Chapter 2 (III).\\uc0\\u8221{}","plainCitation":"Engels, “Origins of the Family-- Chapter 2 (III).”","noteIndex":169},"citationItems":[{"id":70,"uris":["http://zotero.org/users/local/vdmAxuOJ/items/7M9D34HD"],"uri":["http://zotero.org/users/local/vdmAxuOJ/items/7M9D34HD"],"itemData":{"id":70,"type":"webpage","title":"Origins of the Family-- Chapter 2 (III)","URL":"https://www.marxists.org/archive/marx/works/1884/origin-family/ch02c.htm","author":[{"family":"Engels","given":"Friedrich"}],"accessed":{"date-parts":[["2021",5,13]]}}}],"schema":"https://github.com/citation-style-language/schema/raw/master/csl-citation.json"} </w:instrText>
      </w:r>
      <w:r>
        <w:fldChar w:fldCharType="separate"/>
      </w:r>
      <w:r w:rsidR="007A7576" w:rsidRPr="007A7576">
        <w:rPr>
          <w:rFonts w:ascii="Calibri" w:cs="Calibri"/>
        </w:rPr>
        <w:t>Engels, “Origins of the Family-- Chapter 2 (III).”</w:t>
      </w:r>
      <w:r>
        <w:fldChar w:fldCharType="end"/>
      </w:r>
    </w:p>
  </w:footnote>
  <w:footnote w:id="170">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{"citationID":"grAFOTrb","properties":{"formattedCitation":"Wood, \\uc0\\u8220{}The Bolsheviks and the Genealogy of the Woman Question.\\uc0\\u8221{}","plainCitation":"Wood, “The Bolsheviks and the Genealogy of the Woman Question.”","noteIndex":170},"citationItems":[{"id":149,"uris":["http://zotero.org/users/local/vdmAxuOJ/items/FHJCDKM7"],"uri":["http://zotero.org/users/local/vdmAxuOJ/items/FHJCDKM7"],"itemData":{"id":149,"type":"chapter","container-title":"The Baba and the Comrade: Gender and Politics in Revolutionary Russia","event-place":"Bloomingtom, IN","publisher":"Indiana University Press","publisher-place":"Bloomingtom, IN","title":"The Bolsheviks and the Genealogy of the Woman Question","author":[{"family":"Wood","given":"Elizabeth A."}],"issued":{"date-parts":[["1997"]]}}}],"schema":"https://github.com/citation-style-language/schema/raw/master/csl-citation.json"} </w:instrText>
      </w:r>
      <w:r>
        <w:fldChar w:fldCharType="separate"/>
      </w:r>
      <w:r w:rsidRPr="00B90F4B">
        <w:rPr>
          <w:rFonts w:ascii="Calibri" w:cs="Calibri"/>
        </w:rPr>
        <w:t>Wood, “The Bolsheviks and the Genealogy of the Woman Question.”</w:t>
      </w:r>
      <w:r>
        <w:fldChar w:fldCharType="end"/>
      </w:r>
    </w:p>
  </w:footnote>
  <w:footnote w:id="171">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{"citationID":"Io2cLXQI","properties":{"formattedCitation":"Goldman, \\uc0\\u8220{}The Origins of the Bolshevik Vision: Love Unfettered, Women Free.\\uc0\\u8221{}","plainCitation":"Goldman, “The Origins of the Bolshevik Vision: Love Unfettered, Women Free.”","noteIndex":171},"citationItems":[{"id":84,"uris":["http://zotero.org/users/local/vdmAxuOJ/items/MRU5DN4N"],"uri":["http://zotero.org/users/local/vdmAxuOJ/items/MRU5DN4N"],"itemData":{"id":84,"type":"chapter","container-title":"Women, the State &amp; Revolution: Soviet family Policy &amp; Social Life, 1917-1936","event-place":"Cambridge","publisher":"Cambridge University Press","publisher-place":"Cambridge","title":"The origins of the Bolshevik vision: Love unfettered, women free","author":[{"family":"Goldman","given":"Wendy Z."}],"issued":{"date-parts":[["1995"]]}}}],"schema":"https://github.com/citation-style-language/schema/raw/master/csl-citation.json"} </w:instrText>
      </w:r>
      <w:r>
        <w:fldChar w:fldCharType="separate"/>
      </w:r>
      <w:r w:rsidRPr="00A279B3">
        <w:rPr>
          <w:rFonts w:ascii="Calibri" w:cs="Calibri"/>
        </w:rPr>
        <w:t>Goldman, “The Origins of the Bolshevik Vision: Love Unfettered, Women Free.”</w:t>
      </w:r>
      <w:r>
        <w:fldChar w:fldCharType="end"/>
      </w:r>
    </w:p>
  </w:footnote>
  <w:footnote w:id="172">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I4xlfPa3","properties":{"formattedCitation":"Goldman.","plainCitation":"Goldman.","noteIndex":172},"citationItems":[{"id":84,"uris":["http://zotero.org/users/local/vdmAxuOJ/items/MRU5DN4N"],"uri":["http://zotero.org/users/local/vdmAxuOJ/items/MRU5DN4N"],"itemData":{"id":84,"type":"chapter","container-title":"Women, the State &amp; Revolution: Soviet family Policy &amp; Social Life, 1917-1936","event-place":"Cambridge","publisher":"Cambridge University Press","publisher-place":"Cambridge","title":"The origins of the Bolshevik vision: Love unfettered, women free","author":[{"family":"Goldman","given":"Wendy Z."}],"issued":{"date-parts":[["1995"]]}}}],"schema":"https://github.com/citation-style-language/schema/raw/master/csl-citation.json"} </w:instrText>
      </w:r>
      <w:r>
        <w:fldChar w:fldCharType="separate"/>
      </w:r>
      <w:r>
        <w:rPr>
          <w:noProof/>
        </w:rPr>
        <w:t>Goldman.</w:t>
      </w:r>
      <w:r>
        <w:fldChar w:fldCharType="end"/>
      </w:r>
    </w:p>
  </w:footnote>
  <w:footnote w:id="173">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ZxvxKXPI","properties":{"formattedCitation":"Goldman.","plainCitation":"Goldman.","noteIndex":173},"citationItems":[{"id":84,"uris":["http://zotero.org/users/local/vdmAxuOJ/items/MRU5DN4N"],"uri":["http://zotero.org/users/local/vdmAxuOJ/items/MRU5DN4N"],"itemData":{"id":84,"type":"chapter","container-title":"Women, the State &amp; Revolution: Soviet family Policy &amp; Social Life, 1917-1936","event-place":"Cambridge","publisher":"Cambridge University Press","publisher-place":"Cambridge","title":"The origins of the Bolshevik vision: Love unfettered, women free","author":[{"family":"Goldman","given":"Wendy Z."}],"issued":{"date-parts":[["1995"]]}}}],"schema":"https://github.com/citation-style-language/schema/raw/master/csl-citation.json"} </w:instrText>
      </w:r>
      <w:r>
        <w:fldChar w:fldCharType="separate"/>
      </w:r>
      <w:r>
        <w:rPr>
          <w:noProof/>
        </w:rPr>
        <w:t>Goldman.</w:t>
      </w:r>
      <w:r>
        <w:fldChar w:fldCharType="end"/>
      </w:r>
    </w:p>
  </w:footnote>
  <w:footnote w:id="174">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WrpnoLfQ","properties":{"formattedCitation":"Goldman.","plainCitation":"Goldman.","noteIndex":174},"citationItems":[{"id":84,"uris":["http://zotero.org/users/local/vdmAxuOJ/items/MRU5DN4N"],"uri":["http://zotero.org/users/local/vdmAxuOJ/items/MRU5DN4N"],"itemData":{"id":84,"type":"chapter","container-title":"Women, the State &amp; Revolution: Soviet family Policy &amp; Social Life, 1917-1936","event-place":"Cambridge","publisher":"Cambridge University Press","publisher-place":"Cambridge","title":"The origins of the Bolshevik vision: Love unfettered, women free","author":[{"family":"Goldman","given":"Wendy Z."}],"issued":{"date-parts":[["1995"]]}}}],"schema":"https://github.com/citation-style-language/schema/raw/master/csl-citation.json"} </w:instrText>
      </w:r>
      <w:r>
        <w:fldChar w:fldCharType="separate"/>
      </w:r>
      <w:r>
        <w:rPr>
          <w:noProof/>
        </w:rPr>
        <w:t>Goldman.</w:t>
      </w:r>
      <w:r>
        <w:fldChar w:fldCharType="end"/>
      </w:r>
    </w:p>
  </w:footnote>
  <w:footnote w:id="175">
    <w:p w:rsidR="007A7576" w:rsidRDefault="007A7576">
      <w:pPr>
        <w:pStyle w:val="FootnoteText"/>
      </w:pPr>
      <w:r>
        <w:rPr>
          <w:rStyle w:val="FootnoteReference"/>
        </w:rPr>
        <w:footnoteRef/>
      </w:r>
      <w:r>
        <w:t xml:space="preserve"> </w:t>
      </w:r>
      <w:r>
        <w:fldChar w:fldCharType="begin"/>
      </w:r>
      <w:r>
        <w:instrText xml:space="preserve"> ADDIN ZOTERO_ITEM CSL_CITATION {"citationID":"w7wDPl9Q","properties":{"formattedCitation":"Clements, \\uc0\\u8220{}Introduction.\\uc0\\u8221{}","plainCitation":"Clements, “Introduction.”","noteIndex":175},"citationItems":[{"id":150,"uris":["http://zotero.org/users/local/vdmAxuOJ/items/2QXVF2ES"],"uri":["http://zotero.org/users/local/vdmAxuOJ/items/2QXVF2ES"],"itemData":{"id":150,"type":"chapter","container-title":"Bolshevik Women","event-place":"Cambridge","page":"1-21","publisher":"Cambridge University Press","publisher-place":"Cambridge","title":"Introduction","author":[{"family":"Clements","given":"Barbara Evans"}],"issued":{"date-parts":[["1997"]]}}}],"schema":"https://github.com/citation-style-language/schema/raw/master/csl-citation.json"} </w:instrText>
      </w:r>
      <w:r>
        <w:fldChar w:fldCharType="separate"/>
      </w:r>
      <w:r w:rsidRPr="007A7576">
        <w:rPr>
          <w:rFonts w:ascii="Calibri" w:cs="Calibri"/>
        </w:rPr>
        <w:t>Clements, “Introduction.”</w:t>
      </w:r>
      <w:r>
        <w:fldChar w:fldCharType="end"/>
      </w:r>
      <w:r>
        <w:t xml:space="preserve">, </w:t>
      </w:r>
      <w:r>
        <w:fldChar w:fldCharType="begin"/>
      </w:r>
      <w:r>
        <w:instrText xml:space="preserve"> ADDIN ZOTERO_ITEM CSL_CITATION {"citationID":"K1s7skoD","properties":{"formattedCitation":"Fraser, {\\i{}Military Masculinity and Postwar Reconstruction in Soviet Union}.","plainCitation":"Fraser, Military Masculinity and Postwar Reconstruction in Soviet Union.","noteIndex":175},"citationItems":[{"id":28,"uris":["http://zotero.org/users/local/vdmAxuOJ/items/QMTZ9UEC"],"uri":["http://zotero.org/users/local/vdmAxuOJ/items/QMTZ9UEC"],"itemData":{"id":28,"type":"book","publisher":"University of Toronto Press","title":"Military Masculinity and Postwar Reconstruction in Soviet Union","author":[{"family":"Fraser","given":"Erica L."}],"issued":{"date-parts":[["2019"]]}}}],"schema":"https://github.com/citation-style-language/schema/raw/master/csl-citation.json"} </w:instrText>
      </w:r>
      <w:r>
        <w:fldChar w:fldCharType="separate"/>
      </w:r>
      <w:r w:rsidRPr="007A7576">
        <w:rPr>
          <w:rFonts w:ascii="Calibri" w:cs="Calibri"/>
        </w:rPr>
        <w:t xml:space="preserve">Fraser, </w:t>
      </w:r>
      <w:r w:rsidRPr="007A7576">
        <w:rPr>
          <w:rFonts w:ascii="Calibri" w:cs="Calibri"/>
          <w:i/>
          <w:iCs/>
        </w:rPr>
        <w:t>Military Masculinity and Postwar Reconstruction in Soviet Union</w:t>
      </w:r>
      <w:r w:rsidRPr="007A7576">
        <w:rPr>
          <w:rFonts w:ascii="Calibri" w:cs="Calibri"/>
        </w:rPr>
        <w:t>.</w:t>
      </w:r>
      <w:r>
        <w:fldChar w:fldCharType="end"/>
      </w:r>
    </w:p>
  </w:footnote>
  <w:footnote w:id="176">
    <w:p w:rsidR="007A7576" w:rsidRDefault="007A7576">
      <w:pPr>
        <w:pStyle w:val="FootnoteText"/>
      </w:pPr>
      <w:r>
        <w:rPr>
          <w:rStyle w:val="FootnoteReference"/>
        </w:rPr>
        <w:footnoteRef/>
      </w:r>
      <w:r>
        <w:t xml:space="preserve"> </w:t>
      </w:r>
      <w:r>
        <w:fldChar w:fldCharType="begin"/>
      </w:r>
      <w:r>
        <w:instrText xml:space="preserve"> ADDIN ZOTERO_ITEM CSL_CITATION {"citationID":"Ft3JuSsE","properties":{"formattedCitation":"Engels, \\uc0\\u8220{}Origins of the Family. Chapter 2 (IV).\\uc0\\u8221{}","plainCitation":"Engels, “Origins of the Family. Chapter 2 (IV).”","noteIndex":176},"citationItems":[{"id":72,"uris":["http://zotero.org/users/local/vdmAxuOJ/items/IV73WUIB"],"uri":["http://zotero.org/users/local/vdmAxuOJ/items/IV73WUIB"],"itemData":{"id":72,"type":"webpage","title":"Origins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Pr="007A7576">
        <w:rPr>
          <w:rFonts w:ascii="Calibri" w:cs="Calibri"/>
        </w:rPr>
        <w:t>Engels, “Origins of the Family. Chapter 2 (IV).”</w:t>
      </w:r>
      <w:r>
        <w:fldChar w:fldCharType="end"/>
      </w:r>
    </w:p>
  </w:footnote>
  <w:footnote w:id="177">
    <w:p w:rsidR="007A7576" w:rsidRDefault="007A7576">
      <w:pPr>
        <w:pStyle w:val="FootnoteText"/>
      </w:pPr>
      <w:r>
        <w:rPr>
          <w:rStyle w:val="FootnoteReference"/>
        </w:rPr>
        <w:footnoteRef/>
      </w:r>
      <w:r>
        <w:t xml:space="preserve"> </w:t>
      </w:r>
      <w:r>
        <w:fldChar w:fldCharType="begin"/>
      </w:r>
      <w:r>
        <w:instrText xml:space="preserve"> ADDIN ZOTERO_ITEM CSL_CITATION {"citationID":"gxEXWQ0E","properties":{"formattedCitation":"Engels.","plainCitation":"Engels.","noteIndex":177},"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Pr>
          <w:rFonts w:ascii="Calibri" w:cs="Calibri"/>
        </w:rPr>
        <w:t>Engels.</w:t>
      </w:r>
      <w:r>
        <w:fldChar w:fldCharType="end"/>
      </w:r>
    </w:p>
  </w:footnote>
  <w:footnote w:id="178">
    <w:p w:rsidR="00637011" w:rsidRDefault="00637011" w:rsidP="00B36C75">
      <w:pPr>
        <w:pStyle w:val="FootnoteText"/>
      </w:pPr>
      <w:r>
        <w:rPr>
          <w:rStyle w:val="FootnoteReference"/>
        </w:rPr>
        <w:footnoteRef/>
      </w:r>
      <w:r>
        <w:t xml:space="preserve"> </w:t>
      </w:r>
      <w:r>
        <w:fldChar w:fldCharType="begin"/>
      </w:r>
      <w:r w:rsidR="007A7576">
        <w:instrText xml:space="preserve"> ADDIN ZOTERO_ITEM CSL_CITATION {"citationID":"2AxTE0Y6","properties":{"formattedCitation":"Clements, \\uc0\\u8220{}Introduction.\\uc0\\u8221{}","plainCitation":"Clements, “Introduction.”","noteIndex":178},"citationItems":[{"id":150,"uris":["http://zotero.org/users/local/vdmAxuOJ/items/2QXVF2ES"],"uri":["http://zotero.org/users/local/vdmAxuOJ/items/2QXVF2ES"],"itemData":{"id":150,"type":"chapter","container-title":"Bolshevik Women","event-place":"Cambridge","page":"1-21","publisher":"Cambridge University Press","publisher-place":"Cambridge","title":"Introduction","author":[{"family":"Clements","given":"Barbara Evans"}],"issued":{"date-parts":[["1997"]]}}}],"schema":"https://github.com/citation-style-language/schema/raw/master/csl-citation.json"} </w:instrText>
      </w:r>
      <w:r>
        <w:fldChar w:fldCharType="separate"/>
      </w:r>
      <w:r w:rsidRPr="008D42D1">
        <w:rPr>
          <w:rFonts w:ascii="Calibri" w:cs="Calibri"/>
        </w:rPr>
        <w:t>Clements, “Introduction.”</w:t>
      </w:r>
      <w:r>
        <w:fldChar w:fldCharType="end"/>
      </w:r>
    </w:p>
  </w:footnote>
  <w:footnote w:id="179">
    <w:p w:rsidR="00637011" w:rsidRDefault="00637011" w:rsidP="00B36C75">
      <w:pPr>
        <w:pStyle w:val="FootnoteText"/>
      </w:pPr>
      <w:r>
        <w:rPr>
          <w:rStyle w:val="FootnoteReference"/>
        </w:rPr>
        <w:footnoteRef/>
      </w:r>
      <w:r>
        <w:t xml:space="preserve"> </w:t>
      </w:r>
      <w:r>
        <w:fldChar w:fldCharType="begin"/>
      </w:r>
      <w:r w:rsidR="007954FF">
        <w:instrText xml:space="preserve"> ADDIN ZOTERO_ITEM CSL_CITATION {"citationID":"2zTTtfpZ","properties":{"formattedCitation":"Wood, \\uc0\\u8220{}The Bolsheviks and the Genealogy of the Woman Question.\\uc0\\u8221{}","plainCitation":"Wood, “The Bolsheviks and the Genealogy of the Woman Question.”","noteIndex":180},"citationItems":[{"id":149,"uris":["http://zotero.org/users/local/vdmAxuOJ/items/FHJCDKM7"],"uri":["http://zotero.org/users/local/vdmAxuOJ/items/FHJCDKM7"],"itemData":{"id":149,"type":"chapter","container-title":"The Baba and the Comrade: Gender and Politics in Revolutionary Russia","event-place":"Bloomingtom, IN","publisher":"Indiana University Press","publisher-place":"Bloomingtom, IN","title":"The Bolsheviks and the Genealogy of the Woman Question","author":[{"family":"Wood","given":"Elizabeth A."}],"issued":{"date-parts":[["1997"]]}}}],"schema":"https://github.com/citation-style-language/schema/raw/master/csl-citation.json"} </w:instrText>
      </w:r>
      <w:r>
        <w:fldChar w:fldCharType="separate"/>
      </w:r>
      <w:r w:rsidRPr="00C97E96">
        <w:rPr>
          <w:rFonts w:ascii="Calibri" w:cs="Calibri"/>
        </w:rPr>
        <w:t>Wood, “The Bolsheviks and the Genealogy of the Woman Question.”</w:t>
      </w:r>
      <w:r>
        <w:fldChar w:fldCharType="end"/>
      </w:r>
    </w:p>
  </w:footnote>
  <w:footnote w:id="180">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{"citationID":"QnRC83iM","properties":{"formattedCitation":"Trat, \\uc0\\u8220{}Engels and the Emancipation of Women.\\uc0\\u8221{}","plainCitation":"Trat, “Engels and the Emancipation of Women.”","noteIndex":183},"citationItems":[{"id":157,"uris":["http://zotero.org/users/local/vdmAxuOJ/items/EHCWWCG8"],"uri":["http://zotero.org/users/local/vdmAxuOJ/items/EHCWWCG8"],"itemData":{"id":157,"type":"article-journal","container-title":"Science &amp; Society","issue":"1","page":"88-105","title":"Engels and the Emancipation of Women","volume":"62","author":[{"family":"Trat","given":"Josette"}],"issued":{"date-parts":[["1998"]],"season":"Spring"}}}],"schema":"https://github.com/citation-style-language/schema/raw/master/csl-citation.json"} </w:instrText>
      </w:r>
      <w:r>
        <w:fldChar w:fldCharType="separate"/>
      </w:r>
      <w:r w:rsidRPr="00C97E96">
        <w:rPr>
          <w:rFonts w:ascii="Calibri" w:cs="Calibri"/>
        </w:rPr>
        <w:t>Trat, “Engels and the Emancipation of Women.”</w:t>
      </w:r>
      <w:r>
        <w:fldChar w:fldCharType="end"/>
      </w:r>
    </w:p>
  </w:footnote>
  <w:footnote w:id="181">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{"citationID":"7KmueaEE","properties":{"formattedCitation":"Shlapentokh, \\uc0\\u8220{}The French Revolution In Russian Political Life: The Case of Interaction Between History and Politics.\\uc0\\u8221{}","plainCitation":"Shlapentokh, “The French Revolution In Russian Political Life: The Case of Interaction Between History and Politics.”","noteIndex":184},"citationItems":[{"id":153,"uris":["http://zotero.org/users/local/vdmAxuOJ/items/WALEWW7V"],"uri":["http://zotero.org/users/local/vdmAxuOJ/items/WALEWW7V"],"itemData":{"id":153,"type":"article-journal","container-title":"Revue des études slaves","issue":"1/2","page":"131-142","title":"The French Revolution In Russian Political Life: The Case of Interaction Between History and Politics","volume":"61","author":[{"family":"Shlapentokh","given":"Dmitry"}],"issued":{"date-parts":[["1989"]]}}}],"schema":"https://github.com/citation-style-language/schema/raw/master/csl-citation.json"} </w:instrText>
      </w:r>
      <w:r>
        <w:fldChar w:fldCharType="separate"/>
      </w:r>
      <w:proofErr w:type="spellStart"/>
      <w:r w:rsidRPr="00F1363A">
        <w:rPr>
          <w:rFonts w:ascii="Calibri" w:cs="Calibri"/>
        </w:rPr>
        <w:t>Shlapentokh</w:t>
      </w:r>
      <w:proofErr w:type="spellEnd"/>
      <w:r w:rsidRPr="00F1363A">
        <w:rPr>
          <w:rFonts w:ascii="Calibri" w:cs="Calibri"/>
        </w:rPr>
        <w:t>, “The French Revolution In Russian Political Life: The Case of Interaction Between History and Politics.”</w:t>
      </w:r>
      <w:r>
        <w:fldChar w:fldCharType="end"/>
      </w:r>
    </w:p>
  </w:footnote>
  <w:footnote w:id="182">
    <w:p w:rsidR="00637011" w:rsidRDefault="00637011" w:rsidP="00F1363A">
      <w:pPr>
        <w:pStyle w:val="FootnoteText"/>
      </w:pPr>
      <w:r>
        <w:rPr>
          <w:rStyle w:val="FootnoteReference"/>
        </w:rPr>
        <w:footnoteRef/>
      </w:r>
      <w:r>
        <w:t xml:space="preserve"> </w:t>
      </w:r>
      <w:r>
        <w:fldChar w:fldCharType="begin"/>
      </w:r>
      <w:r w:rsidR="007954FF">
        <w:instrText xml:space="preserve"> ADDIN ZOTERO_ITEM CSL_CITATION {"citationID":"7PbidAbM","properties":{"formattedCitation":"Shlapentokh.","plainCitation":"Shlapentokh.","noteIndex":185},"citationItems":[{"id":153,"uris":["http://zotero.org/users/local/vdmAxuOJ/items/WALEWW7V"],"uri":["http://zotero.org/users/local/vdmAxuOJ/items/WALEWW7V"],"itemData":{"id":153,"type":"article-journal","container-title":"Revue des études slaves","issue":"1/2","page":"131-142","title":"The French Revolution In Russian Political Life: The Case of Interaction Between History and Politics","volume":"61","author":[{"family":"Shlapentokh","given":"Dmitry"}],"issued":{"date-parts":[["1989"]]}}}],"schema":"https://github.com/citation-style-language/schema/raw/master/csl-citation.json"} </w:instrText>
      </w:r>
      <w:r>
        <w:fldChar w:fldCharType="separate"/>
      </w:r>
      <w:r>
        <w:rPr>
          <w:noProof/>
        </w:rPr>
        <w:t>Shlapentokh.</w:t>
      </w:r>
      <w:r>
        <w:fldChar w:fldCharType="end"/>
      </w:r>
    </w:p>
  </w:footnote>
  <w:footnote w:id="183">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{"citationID":"t04Rc2GB","properties":{"formattedCitation":"\\uc0\\u8220{}Les Droits de La Femme - Olympe de Gouges.\\uc0\\u8221{}","plainCitation":"“Les Droits de La Femme - Olympe de Gouges.”","noteIndex":183},"citationItems":[{"id":79,"uris":["http://zotero.org/users/local/vdmAxuOJ/items/3ZP397WD"],"uri":["http://zotero.org/users/local/vdmAxuOJ/items/3ZP397WD"],"itemData":{"id":79,"type":"webpage","title":"Les Droits de la Femme - Olympe de Gouges","URL":"https://www.olympedegouges.eu/rights_of_women.php","accessed":{"date-parts":[["2021",5,13]]},"issued":{"date-parts":[["2021",5,13]]}}}],"schema":"https://github.com/citation-style-language/schema/raw/master/csl-citation.json"} </w:instrText>
      </w:r>
      <w:r>
        <w:fldChar w:fldCharType="separate"/>
      </w:r>
      <w:r w:rsidR="007A7576" w:rsidRPr="007A7576">
        <w:rPr>
          <w:rFonts w:ascii="Calibri" w:cs="Calibri"/>
        </w:rPr>
        <w:t>“Les Droits de La Femme - Olympe de Gouges.”</w:t>
      </w:r>
      <w:r>
        <w:fldChar w:fldCharType="end"/>
      </w:r>
    </w:p>
  </w:footnote>
  <w:footnote w:id="184">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{"citationID":"IoTZ50p1","properties":{"formattedCitation":"Rousseau, \\uc0\\u8220{}Discourse on Inequality.\\uc0\\u8221{}","plainCitation":"Rousseau, “Discourse on Inequality.”","noteIndex":187},"citationItems":[{"id":139,"uris":["http://zotero.org/users/local/vdmAxuOJ/items/N4KZJKFE"],"uri":["http://zotero.org/users/local/vdmAxuOJ/items/N4KZJKFE"],"itemData":{"id":139,"type":"article-journal","language":"English","page":"44","source":"Zotero","title":"Discourse on Inequality","author":[{"family":"Rousseau","given":"Jean Jacques"}],"issued":{"date-parts":[["1775"]]}}}],"schema":"https://github.com/citation-style-language/schema/raw/master/csl-citation.json"} </w:instrText>
      </w:r>
      <w:r>
        <w:fldChar w:fldCharType="separate"/>
      </w:r>
      <w:r w:rsidRPr="003847CD">
        <w:rPr>
          <w:rFonts w:ascii="Calibri" w:cs="Calibri"/>
        </w:rPr>
        <w:t>Rousseau, “Discourse on Inequality.”</w:t>
      </w:r>
      <w:r>
        <w:fldChar w:fldCharType="end"/>
      </w:r>
    </w:p>
  </w:footnote>
  <w:footnote w:id="185">
    <w:p w:rsidR="00AE7A62" w:rsidRDefault="00AE7A62">
      <w:pPr>
        <w:pStyle w:val="FootnoteText"/>
      </w:pPr>
      <w:r>
        <w:rPr>
          <w:rStyle w:val="FootnoteReference"/>
        </w:rPr>
        <w:footnoteRef/>
      </w:r>
      <w:r>
        <w:t xml:space="preserve"> </w:t>
      </w:r>
      <w:r>
        <w:fldChar w:fldCharType="begin"/>
      </w:r>
      <w:r>
        <w:instrText xml:space="preserve"> ADDIN ZOTERO_ITEM CSL_CITATION {"citationID":"q9A4mw84","properties":{"formattedCitation":"Engels, \\uc0\\u8220{}Origins of the Family. Chapter 2 (IV).\\uc0\\u8221{}","plainCitation":"Engels, “Origins of the Family. Chapter 2 (IV).”","noteIndex":185},"citationItems":[{"id":72,"uris":["http://zotero.org/users/local/vdmAxuOJ/items/IV73WUIB"],"uri":["http://zotero.org/users/local/vdmAxuOJ/items/IV73WUIB"],"itemData":{"id":72,"type":"webpage","title":"Origins of the Family. Chapter 2 (IV)","URL":"https://www.marxists.org/archive/marx/works/1884/origin-family/ch02d.htm","author":[{"family":"Engels","given":"Friedrich"}],"accessed":{"date-parts":[["2021",5,13]]}}}],"schema":"https://github.com/citation-style-language/schema/raw/master/csl-citation.json"} </w:instrText>
      </w:r>
      <w:r>
        <w:fldChar w:fldCharType="separate"/>
      </w:r>
      <w:r w:rsidRPr="00AE7A62">
        <w:rPr>
          <w:rFonts w:ascii="Calibri" w:cs="Calibri"/>
        </w:rPr>
        <w:t>Engels, “Origins of the Family. Chapter 2 (IV).”</w:t>
      </w:r>
      <w:r>
        <w:fldChar w:fldCharType="end"/>
      </w:r>
    </w:p>
  </w:footnote>
  <w:footnote w:id="186">
    <w:p w:rsidR="007A7576" w:rsidRDefault="007A7576">
      <w:pPr>
        <w:pStyle w:val="FootnoteText"/>
      </w:pPr>
      <w:r>
        <w:rPr>
          <w:rStyle w:val="FootnoteReference"/>
        </w:rPr>
        <w:footnoteRef/>
      </w:r>
      <w:r>
        <w:t xml:space="preserve"> </w:t>
      </w:r>
      <w:r>
        <w:fldChar w:fldCharType="begin"/>
      </w:r>
      <w:r>
        <w:instrText xml:space="preserve"> ADDIN ZOTERO_ITEM CSL_CITATION {"citationID":"BBA6Vc6i","properties":{"formattedCitation":"Wallach Scott, \\uc0\\u8220{}French Feminists and the Rights of \\uc0\\u8216{}Man\\uc0\\u8217{}: Olympe de Gouges\\uc0\\u8217{}s Declarations.\\uc0\\u8221{}","plainCitation":"Wallach Scott, “French Feminists and the Rights of ‘Man’: Olympe de Gouges’s Declarations.”","noteIndex":186},"citationItems":[{"id":59,"uris":["http://zotero.org/users/local/vdmAxuOJ/items/B3ARSSU8"],"uri":["http://zotero.org/users/local/vdmAxuOJ/items/B3ARSSU8"],"itemData":{"id":59,"type":"article-journal","container-title":"History Workshop","issue":"28","page":"1-21","title":"French Feminists and the Rights of 'Man': Olympe de Gouges's Declarations","author":[{"family":"Wallach Scott","given":"Joan"}],"issued":{"date-parts":[["1989"]],"season":"Autumn"}}}],"schema":"https://github.com/citation-style-language/schema/raw/master/csl-citation.json"} </w:instrText>
      </w:r>
      <w:r>
        <w:fldChar w:fldCharType="separate"/>
      </w:r>
      <w:r w:rsidRPr="007A7576">
        <w:rPr>
          <w:rFonts w:ascii="Calibri" w:cs="Calibri"/>
        </w:rPr>
        <w:t xml:space="preserve">Wallach Scott, “French Feminists and the Rights of ‘Man’: Olympe de </w:t>
      </w:r>
      <w:proofErr w:type="spellStart"/>
      <w:r w:rsidRPr="007A7576">
        <w:rPr>
          <w:rFonts w:ascii="Calibri" w:cs="Calibri"/>
        </w:rPr>
        <w:t>Gouges’s</w:t>
      </w:r>
      <w:proofErr w:type="spellEnd"/>
      <w:r w:rsidRPr="007A7576">
        <w:rPr>
          <w:rFonts w:ascii="Calibri" w:cs="Calibri"/>
        </w:rPr>
        <w:t xml:space="preserve"> Declarations.”</w:t>
      </w:r>
      <w:r>
        <w:fldChar w:fldCharType="end"/>
      </w:r>
    </w:p>
  </w:footnote>
  <w:footnote w:id="187">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{"citationID":"QxCG4lWg","properties":{"formattedCitation":"Boniece, \\uc0\\u8220{}The \\uc0\\u8216{}Shesterka\\uc0\\u8217{} of 1905-06: Terrorist Heroines of Revolutionary Russia.\\uc0\\u8221{}","plainCitation":"Boniece, “The ‘Shesterka’ of 1905-06: Terrorist Heroines of Revolutionary Russia.”","noteIndex":190},"citationItems":[{"id":62,"uris":["http://zotero.org/users/local/vdmAxuOJ/items/JVCWXJ2V"],"uri":["http://zotero.org/users/local/vdmAxuOJ/items/JVCWXJ2V"],"itemData":{"id":62,"type":"article-journal","collection-title":"Themenschwerpunkt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713382">
        <w:rPr>
          <w:rFonts w:ascii="Calibri" w:cs="Calibri"/>
        </w:rPr>
        <w:t>Boniece</w:t>
      </w:r>
      <w:proofErr w:type="spellEnd"/>
      <w:r w:rsidRPr="00713382">
        <w:rPr>
          <w:rFonts w:ascii="Calibri" w:cs="Calibri"/>
        </w:rPr>
        <w:t>, “The ‘Shesterka’ of 1905-06: Terrorist Heroines of Revolutionary Russia.”</w:t>
      </w:r>
      <w:r>
        <w:fldChar w:fldCharType="end"/>
      </w:r>
    </w:p>
  </w:footnote>
  <w:footnote w:id="188">
    <w:p w:rsidR="00637011" w:rsidRDefault="00637011">
      <w:pPr>
        <w:pStyle w:val="FootnoteText"/>
      </w:pPr>
      <w:r>
        <w:rPr>
          <w:rStyle w:val="FootnoteReference"/>
        </w:rPr>
        <w:footnoteRef/>
      </w:r>
      <w:r>
        <w:t xml:space="preserve"> </w:t>
      </w:r>
      <w:r>
        <w:fldChar w:fldCharType="begin"/>
      </w:r>
      <w:r w:rsidR="007A7576">
        <w:instrText xml:space="preserve"> ADDIN ZOTERO_ITEM CSL_CITATION {"citationID":"zD7PeZ1j","properties":{"formattedCitation":"Thomas, \\uc0\\u8220{}Heroism in the Feminine: The Examples of Charlotte Corday and Madame Roland.\\uc0\\u8221{}","plainCitation":"Thomas, “Heroism in the Feminine: The Examples of Charlotte Corday and Madame Roland.”","noteIndex":188},"citationItems":[{"id":146,"uris":["http://zotero.org/users/local/vdmAxuOJ/items/VZPV2LNK"],"uri":["http://zotero.org/users/local/vdmAxuOJ/items/VZPV2LNK"],"itemData":{"id":146,"type":"article-journal","collection-title":"The French Revolution 1789-1989: Two Hundred Years of Rethinking","container-title":"The Eighteenth Century","issue":"2","page":"67-82","title":"Heroism in the Feminine: The Examples of Charlotte Corday and Madame Roland","volume":"30","author":[{"family":"Thomas","given":"Chantal"}],"issued":{"date-parts":[["1989"]]}}}],"schema":"https://github.com/citation-style-language/schema/raw/master/csl-citation.json"} </w:instrText>
      </w:r>
      <w:r>
        <w:fldChar w:fldCharType="separate"/>
      </w:r>
      <w:r w:rsidR="007A7576" w:rsidRPr="007A7576">
        <w:rPr>
          <w:rFonts w:ascii="Calibri" w:cs="Calibri"/>
        </w:rPr>
        <w:t>Thomas, “Heroism in the Feminine: The Examples of Charlotte Corday and Madame Roland.”</w:t>
      </w:r>
      <w:r>
        <w:fldChar w:fldCharType="end"/>
      </w:r>
    </w:p>
  </w:footnote>
  <w:footnote w:id="189">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{"citationID":"WCuLL5os","properties":{"formattedCitation":"Kindleberger, \\uc0\\u8220{}Charlotte Corday in Text and Image: A Case Study in the French Revolution and Women\\uc0\\u8217{}s History.\\uc0\\u8221{}","plainCitation":"Kindleberger, “Charlotte Corday in Text and Image: A Case Study in the French Revolution and Women’s History.”","noteIndex":191},"citationItems":[{"id":158,"uris":["http://zotero.org/users/local/vdmAxuOJ/items/H5GWETI4"],"uri":["http://zotero.org/users/local/vdmAxuOJ/items/H5GWETI4"],"itemData":{"id":158,"type":"article-journal","container-title":"French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proofErr w:type="spellStart"/>
      <w:r w:rsidRPr="005F5F10">
        <w:rPr>
          <w:rFonts w:ascii="Calibri" w:cs="Calibri"/>
        </w:rPr>
        <w:t>Kindleberger</w:t>
      </w:r>
      <w:proofErr w:type="spellEnd"/>
      <w:r w:rsidRPr="005F5F10">
        <w:rPr>
          <w:rFonts w:ascii="Calibri" w:cs="Calibri"/>
        </w:rPr>
        <w:t>, “Charlotte Corday in Text and Image: A Case Study in the French Revolution and Women’s History.”</w:t>
      </w:r>
      <w:r>
        <w:fldChar w:fldCharType="end"/>
      </w:r>
    </w:p>
  </w:footnote>
  <w:footnote w:id="190">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YHWtCxlP","properties":{"formattedCitation":"Kindleberger.","plainCitation":"Kindleberger.","noteIndex":192},"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r>
        <w:rPr>
          <w:noProof/>
        </w:rPr>
        <w:t>Kindleberger.</w:t>
      </w:r>
      <w:r>
        <w:fldChar w:fldCharType="end"/>
      </w:r>
    </w:p>
  </w:footnote>
  <w:footnote w:id="191">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pZfJCVkW","properties":{"formattedCitation":"Kindleberger.","plainCitation":"Kindleberger.","noteIndex":193},"citationItems":[{"id":158,"uris":["http://zotero.org/users/local/vdmAxuOJ/items/H5GWETI4"],"uri":["http://zotero.org/users/local/vdmAxuOJ/items/H5GWETI4"],"itemData":{"id":158,"type":"article-journal","container-title":"French Historical Studies","issue":"4","page":"pp. 969-999","title":"Charlotte Corday in Text and Image: A Case Study in the French Revolution and Women's History","volume":"18","author":[{"family":"Kindleberger","given":"Elizabeth R."}],"issued":{"date-parts":[["1994"]],"season":"Autumn"}}}],"schema":"https://github.com/citation-style-language/schema/raw/master/csl-citation.json"} </w:instrText>
      </w:r>
      <w:r>
        <w:fldChar w:fldCharType="separate"/>
      </w:r>
      <w:r>
        <w:rPr>
          <w:noProof/>
        </w:rPr>
        <w:t>Kindleberger.</w:t>
      </w:r>
      <w:r>
        <w:fldChar w:fldCharType="end"/>
      </w:r>
    </w:p>
  </w:footnote>
  <w:footnote w:id="192">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{"citationID":"bT90F9Gg","properties":{"formattedCitation":"Saccarelli, \\uc0\\u8220{}Machiavellian Rousseau: Gender and Family Relations in the Discourse on the Origin of Inequality.\\uc0\\u8221{}","plainCitation":"Saccarelli, “Machiavellian Rousseau: Gender and Family Relations in the Discourse on the Origin of Inequality.”","noteIndex":195},"citationItems":[{"id":61,"uris":["http://zotero.org/users/local/vdmAxuOJ/items/VLT9D7AP"],"uri":["http://zotero.org/users/local/vdmAxuOJ/items/VLT9D7AP"],"itemData":{"id":61,"type":"article-journal","container-title":"Political Theory","issue":"4","page":"482-510","title":"Machiavellian Rousseau: Gender and Family Relations in the Discourse on the Origin of Inequality","volume":"37","author":[{"family":"Saccarelli","given":"Emanuele"}],"issued":{"date-parts":[["2009",8]]}}}],"schema":"https://github.com/citation-style-language/schema/raw/master/csl-citation.json"} </w:instrText>
      </w:r>
      <w:r>
        <w:fldChar w:fldCharType="separate"/>
      </w:r>
      <w:r w:rsidRPr="00C76D89">
        <w:rPr>
          <w:rFonts w:ascii="Calibri" w:cs="Calibri"/>
        </w:rPr>
        <w:t>Saccarelli, “Machiavellian Rousseau: Gender and Family Relations in the Discourse on the Origin of Inequality.”</w:t>
      </w:r>
      <w:r>
        <w:fldChar w:fldCharType="end"/>
      </w:r>
    </w:p>
  </w:footnote>
  <w:footnote w:id="193">
    <w:p w:rsidR="007A7576" w:rsidRDefault="007A7576">
      <w:pPr>
        <w:pStyle w:val="FootnoteText"/>
      </w:pPr>
      <w:r>
        <w:rPr>
          <w:rStyle w:val="FootnoteReference"/>
        </w:rPr>
        <w:footnoteRef/>
      </w:r>
      <w:r>
        <w:t xml:space="preserve"> </w:t>
      </w:r>
      <w:r>
        <w:fldChar w:fldCharType="begin"/>
      </w:r>
      <w:r>
        <w:instrText xml:space="preserve"> ADDIN ZOTERO_ITEM CSL_CITATION {"citationID":"6ReHnw6D","properties":{"formattedCitation":"Schusterman, \\uc0\\u8220{}All of His Power Lies in the Distaff: Robespierre, Women and the French Revolution.\\uc0\\u8221{}","plainCitation":"Schusterman, “All of His Power Lies in the Distaff: Robespierre, Women and the French Revolution.”","noteIndex":193},"citationItems":[{"id":142,"uris":["http://zotero.org/users/local/vdmAxuOJ/items/N6NRRP5K"],"uri":["http://zotero.org/users/local/vdmAxuOJ/items/N6NRRP5K"],"itemData":{"id":142,"type":"article-journal","container-title":"Past &amp; Present","issue":"223","page":"129-160","title":"All of His Power Lies in the Distaff: Robespierre, Women and the French Revolution","author":[{"family":"Schusterman","given":"Noah C."}],"issued":{"date-parts":[["2014",5]]}}}],"schema":"https://github.com/citation-style-language/schema/raw/master/csl-citation.json"} </w:instrText>
      </w:r>
      <w:r>
        <w:fldChar w:fldCharType="separate"/>
      </w:r>
      <w:r w:rsidRPr="007A7576">
        <w:rPr>
          <w:rFonts w:ascii="Calibri" w:cs="Calibri"/>
        </w:rPr>
        <w:t>Schusterman, “All of His Power Lies in the Distaff: Robespierre, Women and the French Revolution.”</w:t>
      </w:r>
      <w:r>
        <w:fldChar w:fldCharType="end"/>
      </w:r>
    </w:p>
  </w:footnote>
  <w:footnote w:id="194">
    <w:p w:rsidR="00637011" w:rsidRDefault="00637011">
      <w:pPr>
        <w:pStyle w:val="FootnoteText"/>
      </w:pPr>
      <w:r>
        <w:rPr>
          <w:rStyle w:val="FootnoteReference"/>
        </w:rPr>
        <w:footnoteRef/>
      </w:r>
      <w:r>
        <w:t xml:space="preserve"> </w:t>
      </w:r>
      <w:r>
        <w:fldChar w:fldCharType="begin"/>
      </w:r>
      <w:r w:rsidR="007954FF">
        <w:instrText xml:space="preserve"> ADDIN ZOTERO_ITEM CSL_CITATION {"citationID":"SsAMCqpJ","properties":{"formattedCitation":"Boniece, \\uc0\\u8220{}The \\uc0\\u8216{}Shesterka\\uc0\\u8217{} of 1905-06: Terrorist Heroines of Revolutionary Russia.\\uc0\\u8221{}","plainCitation":"Boniece, “The ‘Shesterka’ of 1905-06: Terrorist Heroines of Revolutionary Russia.”","noteIndex":197},"citationItems":[{"id":62,"uris":["http://zotero.org/users/local/vdmAxuOJ/items/JVCWXJ2V"],"uri":["http://zotero.org/users/local/vdmAxuOJ/items/JVCWXJ2V"],"itemData":{"id":62,"type":"article-journal","collection-title":"Themenschwerpunkt on Modern Times? Terrorism in late Imperial Russia","container-title":"Jahrbücher für Geschichte Osteuropas","issue":"2","page":"172-191","title":"The \"Shesterka\" of 1905-06: terrorist Heroines of Revolutionary Russia","volume":"58","author":[{"family":"Boniece","given":"Sally A."}],"issued":{"date-parts":[["2010"]]}}}],"schema":"https://github.com/citation-style-language/schema/raw/master/csl-citation.json"} </w:instrText>
      </w:r>
      <w:r>
        <w:fldChar w:fldCharType="separate"/>
      </w:r>
      <w:proofErr w:type="spellStart"/>
      <w:r w:rsidRPr="00D07F34">
        <w:rPr>
          <w:rFonts w:ascii="Calibri" w:cs="Calibri"/>
        </w:rPr>
        <w:t>Boniece</w:t>
      </w:r>
      <w:proofErr w:type="spellEnd"/>
      <w:r w:rsidRPr="00D07F34">
        <w:rPr>
          <w:rFonts w:ascii="Calibri" w:cs="Calibri"/>
        </w:rPr>
        <w:t>, “The ‘Shesterka’ of 1905-06: Terrorist Heroines of Revolutionary Russia.”</w:t>
      </w:r>
      <w:r>
        <w:fldChar w:fldCharType="end"/>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66AA"/>
    <w:rsid w:val="000A21E0"/>
    <w:rsid w:val="000A365A"/>
    <w:rsid w:val="001104E5"/>
    <w:rsid w:val="001263A7"/>
    <w:rsid w:val="001431E8"/>
    <w:rsid w:val="0017130A"/>
    <w:rsid w:val="00185844"/>
    <w:rsid w:val="001C0E9B"/>
    <w:rsid w:val="001D4886"/>
    <w:rsid w:val="001F05FB"/>
    <w:rsid w:val="001F26FC"/>
    <w:rsid w:val="0020690B"/>
    <w:rsid w:val="00231D1D"/>
    <w:rsid w:val="00275866"/>
    <w:rsid w:val="00275ACF"/>
    <w:rsid w:val="00282C70"/>
    <w:rsid w:val="00282DF4"/>
    <w:rsid w:val="00296C6C"/>
    <w:rsid w:val="002A105A"/>
    <w:rsid w:val="002D7D27"/>
    <w:rsid w:val="00315135"/>
    <w:rsid w:val="00315E79"/>
    <w:rsid w:val="003166D1"/>
    <w:rsid w:val="0031754E"/>
    <w:rsid w:val="00324D57"/>
    <w:rsid w:val="003448CE"/>
    <w:rsid w:val="00361A15"/>
    <w:rsid w:val="003847CD"/>
    <w:rsid w:val="003F6C65"/>
    <w:rsid w:val="004156F8"/>
    <w:rsid w:val="00425CEE"/>
    <w:rsid w:val="00447116"/>
    <w:rsid w:val="004505E8"/>
    <w:rsid w:val="00466045"/>
    <w:rsid w:val="0049119E"/>
    <w:rsid w:val="004911C4"/>
    <w:rsid w:val="004F0BE3"/>
    <w:rsid w:val="00500D2C"/>
    <w:rsid w:val="005109F2"/>
    <w:rsid w:val="0052129B"/>
    <w:rsid w:val="00522C28"/>
    <w:rsid w:val="00570413"/>
    <w:rsid w:val="005A3E1E"/>
    <w:rsid w:val="005F5F10"/>
    <w:rsid w:val="00603120"/>
    <w:rsid w:val="00637011"/>
    <w:rsid w:val="00660E29"/>
    <w:rsid w:val="00686971"/>
    <w:rsid w:val="006916C9"/>
    <w:rsid w:val="00695DD2"/>
    <w:rsid w:val="006A1CF0"/>
    <w:rsid w:val="00713382"/>
    <w:rsid w:val="00777A65"/>
    <w:rsid w:val="0078341F"/>
    <w:rsid w:val="007954FF"/>
    <w:rsid w:val="007A1440"/>
    <w:rsid w:val="007A612C"/>
    <w:rsid w:val="007A752B"/>
    <w:rsid w:val="007A7576"/>
    <w:rsid w:val="007B2EA1"/>
    <w:rsid w:val="007C434A"/>
    <w:rsid w:val="007D19C2"/>
    <w:rsid w:val="007D4759"/>
    <w:rsid w:val="007E79A2"/>
    <w:rsid w:val="007F56E5"/>
    <w:rsid w:val="008205D2"/>
    <w:rsid w:val="008234B8"/>
    <w:rsid w:val="008519D4"/>
    <w:rsid w:val="00863AC9"/>
    <w:rsid w:val="00877660"/>
    <w:rsid w:val="008863D6"/>
    <w:rsid w:val="008E0093"/>
    <w:rsid w:val="008E2578"/>
    <w:rsid w:val="009228BE"/>
    <w:rsid w:val="00933FC9"/>
    <w:rsid w:val="0094390D"/>
    <w:rsid w:val="00966615"/>
    <w:rsid w:val="00967031"/>
    <w:rsid w:val="009A24E2"/>
    <w:rsid w:val="009F2B6F"/>
    <w:rsid w:val="009F4530"/>
    <w:rsid w:val="00A87653"/>
    <w:rsid w:val="00AC6884"/>
    <w:rsid w:val="00AE7A62"/>
    <w:rsid w:val="00B12666"/>
    <w:rsid w:val="00B36C75"/>
    <w:rsid w:val="00B57E47"/>
    <w:rsid w:val="00B60AE8"/>
    <w:rsid w:val="00B861E5"/>
    <w:rsid w:val="00B90F4B"/>
    <w:rsid w:val="00BB1D50"/>
    <w:rsid w:val="00BB6770"/>
    <w:rsid w:val="00BC44DF"/>
    <w:rsid w:val="00BD741D"/>
    <w:rsid w:val="00C257C4"/>
    <w:rsid w:val="00C542D1"/>
    <w:rsid w:val="00C54FFC"/>
    <w:rsid w:val="00C566AA"/>
    <w:rsid w:val="00C66227"/>
    <w:rsid w:val="00C76D89"/>
    <w:rsid w:val="00C97E96"/>
    <w:rsid w:val="00CC460A"/>
    <w:rsid w:val="00CE769E"/>
    <w:rsid w:val="00CF3E75"/>
    <w:rsid w:val="00D07F34"/>
    <w:rsid w:val="00D4763F"/>
    <w:rsid w:val="00D617F6"/>
    <w:rsid w:val="00D733EA"/>
    <w:rsid w:val="00E11682"/>
    <w:rsid w:val="00E257CB"/>
    <w:rsid w:val="00E6066F"/>
    <w:rsid w:val="00E6533F"/>
    <w:rsid w:val="00E76A49"/>
    <w:rsid w:val="00E832A3"/>
    <w:rsid w:val="00EE79FC"/>
    <w:rsid w:val="00EF4325"/>
    <w:rsid w:val="00F1363A"/>
    <w:rsid w:val="00F16612"/>
    <w:rsid w:val="00F406F0"/>
    <w:rsid w:val="00F63B4B"/>
    <w:rsid w:val="00F63C93"/>
    <w:rsid w:val="00F673B9"/>
    <w:rsid w:val="00F70C29"/>
    <w:rsid w:val="00FC2E25"/>
    <w:rsid w:val="00FC5D44"/>
    <w:rsid w:val="00FE66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258809F"/>
  <w15:chartTrackingRefBased/>
  <w15:docId w15:val="{FC33A1C6-F33E-3444-B825-1964AE257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66A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566AA"/>
    <w:rPr>
      <w:sz w:val="20"/>
      <w:szCs w:val="20"/>
    </w:rPr>
  </w:style>
  <w:style w:type="character" w:customStyle="1" w:styleId="FootnoteTextChar">
    <w:name w:val="Footnote Text Char"/>
    <w:basedOn w:val="DefaultParagraphFont"/>
    <w:link w:val="FootnoteText"/>
    <w:uiPriority w:val="99"/>
    <w:semiHidden/>
    <w:rsid w:val="00C566AA"/>
    <w:rPr>
      <w:sz w:val="20"/>
      <w:szCs w:val="20"/>
    </w:rPr>
  </w:style>
  <w:style w:type="character" w:styleId="FootnoteReference">
    <w:name w:val="footnote reference"/>
    <w:basedOn w:val="DefaultParagraphFont"/>
    <w:uiPriority w:val="99"/>
    <w:semiHidden/>
    <w:unhideWhenUsed/>
    <w:rsid w:val="00C566AA"/>
    <w:rPr>
      <w:vertAlign w:val="superscript"/>
    </w:rPr>
  </w:style>
  <w:style w:type="paragraph" w:styleId="Bibliography">
    <w:name w:val="Bibliography"/>
    <w:basedOn w:val="Normal"/>
    <w:next w:val="Normal"/>
    <w:uiPriority w:val="37"/>
    <w:unhideWhenUsed/>
    <w:rsid w:val="00EF4325"/>
    <w:pPr>
      <w:ind w:left="720" w:hanging="720"/>
    </w:pPr>
  </w:style>
  <w:style w:type="paragraph" w:styleId="Header">
    <w:name w:val="header"/>
    <w:basedOn w:val="Normal"/>
    <w:link w:val="HeaderChar"/>
    <w:uiPriority w:val="99"/>
    <w:unhideWhenUsed/>
    <w:rsid w:val="007A7576"/>
    <w:pPr>
      <w:tabs>
        <w:tab w:val="center" w:pos="4680"/>
        <w:tab w:val="right" w:pos="9360"/>
      </w:tabs>
    </w:pPr>
  </w:style>
  <w:style w:type="character" w:customStyle="1" w:styleId="HeaderChar">
    <w:name w:val="Header Char"/>
    <w:basedOn w:val="DefaultParagraphFont"/>
    <w:link w:val="Header"/>
    <w:uiPriority w:val="99"/>
    <w:rsid w:val="007A7576"/>
  </w:style>
  <w:style w:type="paragraph" w:styleId="Footer">
    <w:name w:val="footer"/>
    <w:basedOn w:val="Normal"/>
    <w:link w:val="FooterChar"/>
    <w:uiPriority w:val="99"/>
    <w:unhideWhenUsed/>
    <w:rsid w:val="007A7576"/>
    <w:pPr>
      <w:tabs>
        <w:tab w:val="center" w:pos="4680"/>
        <w:tab w:val="right" w:pos="9360"/>
      </w:tabs>
    </w:pPr>
  </w:style>
  <w:style w:type="character" w:customStyle="1" w:styleId="FooterChar">
    <w:name w:val="Footer Char"/>
    <w:basedOn w:val="DefaultParagraphFont"/>
    <w:link w:val="Footer"/>
    <w:uiPriority w:val="99"/>
    <w:rsid w:val="007A75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61</Pages>
  <Words>16739</Words>
  <Characters>87545</Characters>
  <Application>Microsoft Office Word</Application>
  <DocSecurity>0</DocSecurity>
  <Lines>1151</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2021-12-10T19:51:00Z</dcterms:created>
  <dcterms:modified xsi:type="dcterms:W3CDTF">2021-12-10T19:52:00Z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id="T7LcNu7Z"/&gt;&lt;style id="http://www.zotero.org/styles/chicago-note-bibliography" locale="en-US" hasBibliography="1" bibliographyStyleHasBeenSet="1"/&gt;&lt;prefs&gt;&lt;pref name="fieldType" value="Field"/&gt;&lt;p</vt:lpwstr>
  </property>
  <property fmtid="{D5CDD505-2E9C-101B-9397-08002B2CF9AE}" pid="3" name="ZOTERO_PREF_2">
    <vt:lpwstr>ref name="automaticJournalAbbreviations" value="true"/&gt;&lt;pref name="noteType" value="1"/&gt;&lt;/prefs&gt;&lt;/data&gt;</vt:lpwstr>
  </property>
</Properties>
</file>