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F6FC8F" w14:textId="77777777" w:rsidR="00846C1F" w:rsidRDefault="00846C1F"/>
    <w:p w14:paraId="3043D8A9" w14:textId="77777777" w:rsidR="00846C1F" w:rsidRDefault="00846C1F"/>
    <w:p w14:paraId="35DB95A6" w14:textId="77777777" w:rsidR="00846C1F" w:rsidRPr="00846C1F" w:rsidRDefault="00846C1F">
      <w:pPr>
        <w:rPr>
          <w:sz w:val="28"/>
          <w:szCs w:val="28"/>
        </w:rPr>
      </w:pPr>
    </w:p>
    <w:p w14:paraId="4408DB5E" w14:textId="77777777" w:rsidR="00846C1F" w:rsidRPr="00846C1F" w:rsidRDefault="00846C1F" w:rsidP="00846C1F">
      <w:pPr>
        <w:rPr>
          <w:sz w:val="24"/>
          <w:szCs w:val="24"/>
        </w:rPr>
      </w:pPr>
      <w:r w:rsidRPr="00846C1F">
        <w:rPr>
          <w:sz w:val="24"/>
          <w:szCs w:val="24"/>
        </w:rPr>
        <w:t xml:space="preserve">[Add rights statement and/or Creative Commons license the work is on here, e.g. </w:t>
      </w:r>
      <w:r w:rsidRPr="00846C1F">
        <w:rPr>
          <w:rFonts w:ascii="Calibri" w:eastAsia="Times New Roman" w:hAnsi="Calibri" w:cs="Times New Roman"/>
          <w:color w:val="000000"/>
          <w:sz w:val="24"/>
          <w:szCs w:val="24"/>
        </w:rPr>
        <w:t xml:space="preserve">“© 2019 Optical Society of America. Users may use, reuse, and build upon the article, or use the article for text or data mining, so long as such uses are for non-commercial purposes and appropriate attribution is maintained. All other rights are reserved,” or “This work is on a Creative Commons Attribution 4.0 International (CC DY 4.0) license, </w:t>
      </w:r>
      <w:hyperlink r:id="rId5" w:history="1">
        <w:r w:rsidRPr="00846C1F">
          <w:rPr>
            <w:rStyle w:val="Hyperlink"/>
            <w:sz w:val="24"/>
            <w:szCs w:val="24"/>
          </w:rPr>
          <w:t>https://creativecommons.org/licenses/by/4.0/</w:t>
        </w:r>
      </w:hyperlink>
      <w:r w:rsidRPr="00846C1F">
        <w:rPr>
          <w:sz w:val="24"/>
          <w:szCs w:val="24"/>
        </w:rPr>
        <w:t>.”]</w:t>
      </w:r>
      <w:r>
        <w:rPr>
          <w:sz w:val="24"/>
          <w:szCs w:val="24"/>
        </w:rPr>
        <w:t xml:space="preserve"> </w:t>
      </w:r>
      <w:r w:rsidRPr="00846C1F">
        <w:rPr>
          <w:sz w:val="24"/>
          <w:szCs w:val="24"/>
        </w:rPr>
        <w:t xml:space="preserve">Access to this work was provided by the University of Maryland, Baltimore County (UMBC) </w:t>
      </w:r>
      <w:proofErr w:type="spellStart"/>
      <w:r w:rsidRPr="00846C1F">
        <w:rPr>
          <w:sz w:val="24"/>
          <w:szCs w:val="24"/>
        </w:rPr>
        <w:t>ScholarWorks@UMBC</w:t>
      </w:r>
      <w:proofErr w:type="spellEnd"/>
      <w:r w:rsidRPr="00846C1F">
        <w:rPr>
          <w:sz w:val="24"/>
          <w:szCs w:val="24"/>
        </w:rPr>
        <w:t xml:space="preserve"> digital repository on the Maryland Shared Open Access (MD-SOAR) platform. </w:t>
      </w:r>
    </w:p>
    <w:p w14:paraId="22D48BBA" w14:textId="77777777" w:rsidR="00846C1F" w:rsidRPr="00E22C8D" w:rsidRDefault="00846C1F">
      <w:pPr>
        <w:rPr>
          <w:sz w:val="40"/>
          <w:szCs w:val="40"/>
        </w:rPr>
      </w:pPr>
    </w:p>
    <w:p w14:paraId="4F012B99" w14:textId="77777777" w:rsidR="00846C1F" w:rsidRPr="00E22C8D" w:rsidRDefault="00846C1F">
      <w:pPr>
        <w:rPr>
          <w:sz w:val="40"/>
          <w:szCs w:val="40"/>
        </w:rPr>
      </w:pPr>
      <w:r w:rsidRPr="00E22C8D">
        <w:rPr>
          <w:sz w:val="40"/>
          <w:szCs w:val="40"/>
        </w:rPr>
        <w:t>Please provide feedback</w:t>
      </w:r>
    </w:p>
    <w:p w14:paraId="7AF25BEE" w14:textId="77777777" w:rsidR="00214B63" w:rsidRPr="00E22C8D" w:rsidRDefault="00416356">
      <w:pPr>
        <w:rPr>
          <w:sz w:val="40"/>
          <w:szCs w:val="40"/>
        </w:rPr>
      </w:pPr>
      <w:r w:rsidRPr="00E22C8D">
        <w:rPr>
          <w:sz w:val="40"/>
          <w:szCs w:val="40"/>
        </w:rPr>
        <w:t xml:space="preserve">Please support the </w:t>
      </w:r>
      <w:r w:rsidR="00A44F34">
        <w:rPr>
          <w:sz w:val="40"/>
          <w:szCs w:val="40"/>
        </w:rPr>
        <w:t>ScholarWorks@</w:t>
      </w:r>
      <w:r w:rsidRPr="00E22C8D">
        <w:rPr>
          <w:sz w:val="40"/>
          <w:szCs w:val="40"/>
        </w:rPr>
        <w:t xml:space="preserve">UMBC repository by emailing </w:t>
      </w:r>
      <w:hyperlink r:id="rId6" w:history="1">
        <w:r w:rsidRPr="00E22C8D">
          <w:rPr>
            <w:rStyle w:val="Hyperlink"/>
            <w:sz w:val="40"/>
            <w:szCs w:val="40"/>
          </w:rPr>
          <w:t>scholarworks-group@umbc.edu</w:t>
        </w:r>
      </w:hyperlink>
      <w:r w:rsidRPr="00E22C8D">
        <w:rPr>
          <w:sz w:val="40"/>
          <w:szCs w:val="40"/>
        </w:rPr>
        <w:t xml:space="preserve"> and telling us what having access to this work means to you and why it’s important to you. Thank you. </w:t>
      </w:r>
    </w:p>
    <w:p w14:paraId="3EBDA103" w14:textId="3772C0BB" w:rsidR="00EF5926" w:rsidRDefault="00EF5926">
      <w:pPr>
        <w:rPr>
          <w:sz w:val="28"/>
          <w:szCs w:val="28"/>
        </w:rPr>
      </w:pPr>
      <w:r>
        <w:rPr>
          <w:sz w:val="28"/>
          <w:szCs w:val="28"/>
        </w:rPr>
        <w:br w:type="page"/>
      </w:r>
    </w:p>
    <w:p w14:paraId="0B385DA1" w14:textId="77777777" w:rsidR="00EF5926" w:rsidRPr="00EE426C" w:rsidRDefault="00EF5926" w:rsidP="00EF5926">
      <w:pPr>
        <w:pStyle w:val="papertitle"/>
      </w:pPr>
      <w:r w:rsidRPr="00E309C0">
        <w:lastRenderedPageBreak/>
        <w:t>Organizing an Accessibility-Themed Mini-Hackathon</w:t>
      </w:r>
    </w:p>
    <w:p w14:paraId="0C6CB0D3" w14:textId="77777777" w:rsidR="00EF5926" w:rsidRPr="00EE426C" w:rsidRDefault="00EF5926" w:rsidP="00EF5926">
      <w:pPr>
        <w:pStyle w:val="author"/>
      </w:pPr>
      <w:r>
        <w:t>Ravi Kuber</w:t>
      </w:r>
      <w:r w:rsidRPr="00EE426C">
        <w:rPr>
          <w:vertAlign w:val="superscript"/>
        </w:rPr>
        <w:t>1</w:t>
      </w:r>
      <w:r>
        <w:t>, Shivani Sinnarkar</w:t>
      </w:r>
      <w:r w:rsidRPr="00EE426C">
        <w:rPr>
          <w:vertAlign w:val="superscript"/>
        </w:rPr>
        <w:t>1</w:t>
      </w:r>
      <w:r>
        <w:t>, Maya Gupta</w:t>
      </w:r>
      <w:r w:rsidRPr="00EE426C">
        <w:rPr>
          <w:vertAlign w:val="superscript"/>
        </w:rPr>
        <w:t>2</w:t>
      </w:r>
      <w:r>
        <w:t xml:space="preserve">, Antony </w:t>
      </w:r>
      <w:proofErr w:type="spellStart"/>
      <w:r>
        <w:t>Rishin</w:t>
      </w:r>
      <w:proofErr w:type="spellEnd"/>
      <w:r>
        <w:t xml:space="preserve"> </w:t>
      </w:r>
      <w:proofErr w:type="spellStart"/>
      <w:r>
        <w:t>Mukkath</w:t>
      </w:r>
      <w:proofErr w:type="spellEnd"/>
      <w:r>
        <w:t xml:space="preserve"> Roy</w:t>
      </w:r>
      <w:r w:rsidRPr="00EE426C">
        <w:rPr>
          <w:vertAlign w:val="superscript"/>
        </w:rPr>
        <w:t>1</w:t>
      </w:r>
      <w:r>
        <w:t xml:space="preserve"> and Ali Abdolrahmani</w:t>
      </w:r>
      <w:r w:rsidRPr="00EE426C">
        <w:rPr>
          <w:vertAlign w:val="superscript"/>
        </w:rPr>
        <w:t>1</w:t>
      </w:r>
      <w:r>
        <w:t xml:space="preserve"> </w:t>
      </w:r>
      <w:r w:rsidRPr="00EE426C" w:rsidDel="009B3862">
        <w:rPr>
          <w:vertAlign w:val="superscript"/>
        </w:rPr>
        <w:t xml:space="preserve"> </w:t>
      </w:r>
    </w:p>
    <w:p w14:paraId="40C83F22" w14:textId="77777777" w:rsidR="00EF5926" w:rsidRDefault="00EF5926" w:rsidP="00EF5926">
      <w:pPr>
        <w:pStyle w:val="address"/>
      </w:pPr>
      <w:r w:rsidRPr="00EE426C">
        <w:rPr>
          <w:vertAlign w:val="superscript"/>
        </w:rPr>
        <w:t>1</w:t>
      </w:r>
      <w:r w:rsidRPr="00EE426C">
        <w:t xml:space="preserve"> </w:t>
      </w:r>
      <w:r>
        <w:t>University of Maryland Baltimore County (UMBC)</w:t>
      </w:r>
    </w:p>
    <w:p w14:paraId="5D2AC2D5" w14:textId="77777777" w:rsidR="00EF5926" w:rsidRDefault="00EF5926" w:rsidP="00EF5926">
      <w:pPr>
        <w:pStyle w:val="address"/>
      </w:pPr>
      <w:r>
        <w:rPr>
          <w:vertAlign w:val="superscript"/>
        </w:rPr>
        <w:t>2</w:t>
      </w:r>
      <w:r w:rsidRPr="00EE426C">
        <w:t xml:space="preserve"> </w:t>
      </w:r>
      <w:r>
        <w:t>University of California Irvine (UCI)</w:t>
      </w:r>
    </w:p>
    <w:p w14:paraId="4C814A28" w14:textId="77777777" w:rsidR="00EF5926" w:rsidRPr="00EE426C" w:rsidRDefault="00EF5926" w:rsidP="00EF5926">
      <w:pPr>
        <w:pStyle w:val="address"/>
      </w:pPr>
    </w:p>
    <w:p w14:paraId="1706C623" w14:textId="77777777" w:rsidR="00EF5926" w:rsidRDefault="00EF5926" w:rsidP="00EF5926">
      <w:pPr>
        <w:pStyle w:val="address"/>
        <w:rPr>
          <w:rStyle w:val="e-mail"/>
        </w:rPr>
      </w:pPr>
      <w:r w:rsidRPr="00EE426C">
        <w:rPr>
          <w:vertAlign w:val="superscript"/>
        </w:rPr>
        <w:t>1</w:t>
      </w:r>
      <w:r>
        <w:rPr>
          <w:vertAlign w:val="superscript"/>
        </w:rPr>
        <w:t xml:space="preserve"> </w:t>
      </w:r>
      <w:r>
        <w:rPr>
          <w:rStyle w:val="e-mail"/>
        </w:rPr>
        <w:t>{rkuber,shivani5,antonyr1,aliab1}@umbc.edu</w:t>
      </w:r>
    </w:p>
    <w:p w14:paraId="79EBEBE0" w14:textId="77777777" w:rsidR="00EF5926" w:rsidRDefault="00EF5926" w:rsidP="00EF5926">
      <w:pPr>
        <w:pStyle w:val="address"/>
        <w:rPr>
          <w:rStyle w:val="e-mail"/>
        </w:rPr>
      </w:pPr>
      <w:r>
        <w:rPr>
          <w:vertAlign w:val="superscript"/>
        </w:rPr>
        <w:t xml:space="preserve">2 </w:t>
      </w:r>
      <w:r w:rsidRPr="009B3862">
        <w:rPr>
          <w:rStyle w:val="e-mail"/>
        </w:rPr>
        <w:t>guptamh@uci.edu</w:t>
      </w:r>
      <w:r>
        <w:rPr>
          <w:rStyle w:val="e-mail"/>
        </w:rPr>
        <w:t xml:space="preserve"> </w:t>
      </w:r>
    </w:p>
    <w:p w14:paraId="6AC4F54C" w14:textId="77777777" w:rsidR="00EF5926" w:rsidRPr="006809AE" w:rsidRDefault="00EF5926" w:rsidP="00EF5926">
      <w:pPr>
        <w:pStyle w:val="address"/>
      </w:pPr>
    </w:p>
    <w:p w14:paraId="21034771" w14:textId="77777777" w:rsidR="00EF5926" w:rsidRPr="00EE426C" w:rsidRDefault="00EF5926" w:rsidP="00EF5926">
      <w:pPr>
        <w:pStyle w:val="abstract"/>
        <w:spacing w:after="0"/>
        <w:ind w:firstLine="0"/>
      </w:pPr>
      <w:r w:rsidRPr="00EE426C">
        <w:rPr>
          <w:b/>
          <w:bCs/>
        </w:rPr>
        <w:t xml:space="preserve">Abstract. </w:t>
      </w:r>
      <w:r w:rsidRPr="00E309C0">
        <w:t xml:space="preserve">This paper describes the structure of a </w:t>
      </w:r>
      <w:proofErr w:type="gramStart"/>
      <w:r w:rsidRPr="00E309C0">
        <w:t>mini-hackathon</w:t>
      </w:r>
      <w:proofErr w:type="gramEnd"/>
      <w:r w:rsidRPr="00E309C0">
        <w:t xml:space="preserve"> which was organized to better understand ways in which navigational technologies can be used to support individuals with disabilities when exploring indoor environments. Pairs of programmers worked together with a navigational API to develop mobile apps to provide route-based information in accessible format. Experiences from the </w:t>
      </w:r>
      <w:proofErr w:type="gramStart"/>
      <w:r w:rsidRPr="00E309C0">
        <w:t>mini-hackathon</w:t>
      </w:r>
      <w:proofErr w:type="gramEnd"/>
      <w:r w:rsidRPr="00E309C0">
        <w:t xml:space="preserve"> are described, along with lessons learned.  Insights gained from organizing the event </w:t>
      </w:r>
      <w:r>
        <w:t xml:space="preserve">may </w:t>
      </w:r>
      <w:r w:rsidRPr="00E309C0">
        <w:t xml:space="preserve">offer promise to accessibility researchers interested in hosting similar types of </w:t>
      </w:r>
      <w:proofErr w:type="gramStart"/>
      <w:r w:rsidRPr="00E309C0">
        <w:t>event</w:t>
      </w:r>
      <w:proofErr w:type="gramEnd"/>
      <w:r w:rsidRPr="00E309C0">
        <w:t>.</w:t>
      </w:r>
    </w:p>
    <w:p w14:paraId="15D88402" w14:textId="77777777" w:rsidR="00EF5926" w:rsidRPr="00EE426C" w:rsidRDefault="00EF5926" w:rsidP="00EF5926">
      <w:pPr>
        <w:pStyle w:val="keywords"/>
      </w:pPr>
      <w:r w:rsidRPr="00EE426C">
        <w:rPr>
          <w:b/>
          <w:bCs/>
        </w:rPr>
        <w:t>Keywords:</w:t>
      </w:r>
      <w:r w:rsidRPr="00EE426C">
        <w:t xml:space="preserve"> </w:t>
      </w:r>
      <w:r>
        <w:t>Accessibility, Hackathon, Navigation.</w:t>
      </w:r>
    </w:p>
    <w:p w14:paraId="2E4CFEEB" w14:textId="77777777" w:rsidR="00EF5926" w:rsidRDefault="00EF5926" w:rsidP="00EF5926">
      <w:pPr>
        <w:pStyle w:val="heading1"/>
      </w:pPr>
      <w:r>
        <w:t>Introduction</w:t>
      </w:r>
    </w:p>
    <w:p w14:paraId="5ADC4E11" w14:textId="77777777" w:rsidR="00EF5926" w:rsidRDefault="00EF5926" w:rsidP="00EF5926">
      <w:pPr>
        <w:pStyle w:val="p1a"/>
      </w:pPr>
      <w:r w:rsidRPr="00E309C0">
        <w:t xml:space="preserve">Hackathons offer a means for individuals to come together to prototype technologies to address a common purpose or specific set of goals. These types of </w:t>
      </w:r>
      <w:proofErr w:type="gramStart"/>
      <w:r w:rsidRPr="00E309C0">
        <w:t>event</w:t>
      </w:r>
      <w:proofErr w:type="gramEnd"/>
      <w:r w:rsidRPr="00E309C0">
        <w:t xml:space="preserve"> are often organized with a view to determining the technical or commercial feasibility of products, or as a means to generate innovative ideas [</w:t>
      </w:r>
      <w:r>
        <w:t>7</w:t>
      </w:r>
      <w:r w:rsidRPr="00E309C0">
        <w:t>].  More recently, they have been used to address areas of accessible design (e.g. [</w:t>
      </w:r>
      <w:r>
        <w:t>1,4,6</w:t>
      </w:r>
      <w:r w:rsidRPr="00E309C0">
        <w:t>]).  However, researchers suggest that there are few systematically reported experiences about these events [</w:t>
      </w:r>
      <w:r>
        <w:t>7</w:t>
      </w:r>
      <w:r w:rsidRPr="00E309C0">
        <w:t xml:space="preserve">], leading to organizers developing their own strategies for running hackathons.  In this paper, we describe the format and our experiences of organizing a </w:t>
      </w:r>
      <w:proofErr w:type="gramStart"/>
      <w:r w:rsidRPr="00E309C0">
        <w:t>mini-hackathon</w:t>
      </w:r>
      <w:proofErr w:type="gramEnd"/>
      <w:r w:rsidRPr="00E309C0">
        <w:t xml:space="preserve"> to evaluate a navigational API used to support accessible indoor navigation.  We aim to offer guidance to researchers interested in using hackathons as a method of obtaining design ideas for aiding indoor </w:t>
      </w:r>
      <w:proofErr w:type="gramStart"/>
      <w:r w:rsidRPr="00E309C0">
        <w:t>navigation, and</w:t>
      </w:r>
      <w:proofErr w:type="gramEnd"/>
      <w:r w:rsidRPr="00E309C0">
        <w:t xml:space="preserve"> identifying the feasibility of technologies to better match the needs of individuals with diverse needs and abilities.</w:t>
      </w:r>
    </w:p>
    <w:p w14:paraId="50ABD411" w14:textId="77777777" w:rsidR="00EF5926" w:rsidRDefault="00EF5926" w:rsidP="00EF5926">
      <w:pPr>
        <w:pStyle w:val="heading1"/>
      </w:pPr>
      <w:r>
        <w:t>Related Work</w:t>
      </w:r>
    </w:p>
    <w:p w14:paraId="6AF36D9C" w14:textId="77777777" w:rsidR="00EF5926" w:rsidRDefault="00EF5926" w:rsidP="00EF5926">
      <w:r w:rsidRPr="00E309C0">
        <w:t xml:space="preserve">In unfamiliar settings, particularly indoor venues, challenges when orienting one’s position and navigating can be faced by a range of users, particularly those with disabilities.  </w:t>
      </w:r>
      <w:proofErr w:type="gramStart"/>
      <w:r w:rsidRPr="00E309C0">
        <w:t>The majority of</w:t>
      </w:r>
      <w:proofErr w:type="gramEnd"/>
      <w:r w:rsidRPr="00E309C0">
        <w:t xml:space="preserve"> </w:t>
      </w:r>
      <w:r>
        <w:t xml:space="preserve">navigational </w:t>
      </w:r>
      <w:r w:rsidRPr="00E309C0">
        <w:t xml:space="preserve">technologies developed have focused on outdoor navigation, often using GPS. However, researchers have begun developing assistive </w:t>
      </w:r>
      <w:r>
        <w:t xml:space="preserve">solutions to support </w:t>
      </w:r>
      <w:r w:rsidRPr="00E309C0">
        <w:t>indoor navigation (e.g. [</w:t>
      </w:r>
      <w:r>
        <w:t>2</w:t>
      </w:r>
      <w:r w:rsidRPr="00E309C0">
        <w:t>,</w:t>
      </w:r>
      <w:r>
        <w:t>8</w:t>
      </w:r>
      <w:r w:rsidRPr="00E309C0">
        <w:t>]). Recommendations have also been made that indoor navigation interfaces should be customizable as to fulfill the needs of users with a range of abilities [</w:t>
      </w:r>
      <w:r>
        <w:t>5</w:t>
      </w:r>
      <w:r w:rsidRPr="00E309C0">
        <w:t>].  In terms of commercial solutions, TRX Systems have developed an API to support indoor navigation [</w:t>
      </w:r>
      <w:r>
        <w:t>9</w:t>
      </w:r>
      <w:r w:rsidRPr="00E309C0">
        <w:t xml:space="preserve">].  Beacons can be mounted on walls around an indoor venue (e.g., a shopping mall, </w:t>
      </w:r>
      <w:proofErr w:type="gramStart"/>
      <w:r w:rsidRPr="00E309C0">
        <w:t>hospital</w:t>
      </w:r>
      <w:proofErr w:type="gramEnd"/>
      <w:r w:rsidRPr="00E309C0">
        <w:t xml:space="preserve"> or school). Rooms and features/points of interest (POIs) within the environment (e.g., restrooms, benches, water fountains, texture of flooring etc.) can be labeled. The user can then use their mobile device to locate specific rooms/features/POIs within the environment to support their intended task. </w:t>
      </w:r>
    </w:p>
    <w:p w14:paraId="17C0E6EC" w14:textId="77777777" w:rsidR="00EF5926" w:rsidRDefault="00EF5926" w:rsidP="00EF5926">
      <w:r w:rsidRPr="00E309C0">
        <w:t xml:space="preserve">Our </w:t>
      </w:r>
      <w:proofErr w:type="gramStart"/>
      <w:r w:rsidRPr="00E309C0">
        <w:t>mini-hackathon</w:t>
      </w:r>
      <w:proofErr w:type="gramEnd"/>
      <w:r w:rsidRPr="00E309C0">
        <w:t xml:space="preserve"> aimed to determine how effectively TRX’s API [</w:t>
      </w:r>
      <w:r>
        <w:t>9</w:t>
      </w:r>
      <w:r w:rsidRPr="00E309C0">
        <w:t>] could be used to develop navigation applications.</w:t>
      </w:r>
      <w:r>
        <w:t xml:space="preserve">  In this paper, we describe experiences of running the </w:t>
      </w:r>
      <w:proofErr w:type="gramStart"/>
      <w:r>
        <w:t>mini-hackathon</w:t>
      </w:r>
      <w:proofErr w:type="gramEnd"/>
      <w:r>
        <w:t xml:space="preserve">, along </w:t>
      </w:r>
      <w:r>
        <w:lastRenderedPageBreak/>
        <w:t xml:space="preserve">with lessons learned from the process.  These may offer benefit to other accessibility researchers considering organizing similar types of </w:t>
      </w:r>
      <w:proofErr w:type="gramStart"/>
      <w:r>
        <w:t>event</w:t>
      </w:r>
      <w:proofErr w:type="gramEnd"/>
      <w:r>
        <w:t>.</w:t>
      </w:r>
    </w:p>
    <w:p w14:paraId="5E6798EA" w14:textId="77777777" w:rsidR="00EF5926" w:rsidRDefault="00EF5926" w:rsidP="00EF5926">
      <w:pPr>
        <w:pStyle w:val="heading1"/>
      </w:pPr>
      <w:r>
        <w:t>Mini-Hackathon Format</w:t>
      </w:r>
    </w:p>
    <w:p w14:paraId="47623727" w14:textId="77777777" w:rsidR="00EF5926" w:rsidRDefault="00EF5926" w:rsidP="00EF5926">
      <w:pPr>
        <w:pStyle w:val="heading2"/>
      </w:pPr>
      <w:r>
        <w:t>Recruitment and Set-up</w:t>
      </w:r>
    </w:p>
    <w:p w14:paraId="1DEAAD75" w14:textId="77777777" w:rsidR="00EF5926" w:rsidRDefault="00EF5926" w:rsidP="00EF5926">
      <w:r>
        <w:t>Six participants aged 20-39 (5 male, 1 female), with more than one year of experience coding Android applications, were recruited through a mailing list. Each participant was contacted prior to the event to describe the aims, and to ensure that the development environment was set-up on their PCs and Android phones.  A university-owned building was selected for the event. It was equipped with beacons, and rooms/features in the venue were labeled on a virtual floorplan, which the API could interface with.</w:t>
      </w:r>
    </w:p>
    <w:p w14:paraId="4F0D369F" w14:textId="77777777" w:rsidR="00EF5926" w:rsidRDefault="00EF5926" w:rsidP="00EF5926">
      <w:r>
        <w:t xml:space="preserve">Three types of prompts were formulated relating to navigating unfamiliar indoor environments based on findings from a set of interviews conducted with individuals with disabilities [3]: a warm-up prompt, a main prompt, and a handful of supplementary prompts. Prompts related to the needs of individuals with visual and/or mobility impairments and older adults who needed to locate or gain information about certain rooms or features within a university building. Requirements specified in prompts included (1) provide directions from point A to point B in the building, (2) provide turn-by-turn directions, (3) use speech-based output for visually impaired users. </w:t>
      </w:r>
    </w:p>
    <w:p w14:paraId="48F558CA" w14:textId="77777777" w:rsidR="00EF5926" w:rsidRPr="00E309C0" w:rsidRDefault="00EF5926" w:rsidP="00EF5926">
      <w:pPr>
        <w:pStyle w:val="ListParagraph"/>
        <w:numPr>
          <w:ilvl w:val="0"/>
          <w:numId w:val="4"/>
        </w:numPr>
        <w:overflowPunct w:val="0"/>
        <w:autoSpaceDE w:val="0"/>
        <w:autoSpaceDN w:val="0"/>
        <w:adjustRightInd w:val="0"/>
        <w:spacing w:after="0" w:line="240" w:lineRule="atLeast"/>
        <w:jc w:val="both"/>
        <w:textAlignment w:val="baseline"/>
        <w:rPr>
          <w:i/>
        </w:rPr>
      </w:pPr>
      <w:r w:rsidRPr="001C7481">
        <w:rPr>
          <w:b/>
          <w:i/>
        </w:rPr>
        <w:t>Warm up prompt</w:t>
      </w:r>
      <w:r w:rsidRPr="00E309C0">
        <w:rPr>
          <w:i/>
        </w:rPr>
        <w:t xml:space="preserve"> - Using the navigation API, try and identify the position of the nearest exit from your current position.  Output this information on your mobile device screen.</w:t>
      </w:r>
    </w:p>
    <w:p w14:paraId="075C0DDC" w14:textId="77777777" w:rsidR="00EF5926" w:rsidRPr="00E309C0" w:rsidRDefault="00EF5926" w:rsidP="00EF5926">
      <w:pPr>
        <w:pStyle w:val="ListParagraph"/>
        <w:numPr>
          <w:ilvl w:val="0"/>
          <w:numId w:val="4"/>
        </w:numPr>
        <w:overflowPunct w:val="0"/>
        <w:autoSpaceDE w:val="0"/>
        <w:autoSpaceDN w:val="0"/>
        <w:adjustRightInd w:val="0"/>
        <w:spacing w:after="0" w:line="240" w:lineRule="atLeast"/>
        <w:jc w:val="both"/>
        <w:textAlignment w:val="baseline"/>
        <w:rPr>
          <w:i/>
        </w:rPr>
      </w:pPr>
      <w:r w:rsidRPr="001C7481">
        <w:rPr>
          <w:b/>
          <w:i/>
        </w:rPr>
        <w:t>Main prompt</w:t>
      </w:r>
      <w:r w:rsidRPr="00E309C0">
        <w:rPr>
          <w:i/>
        </w:rPr>
        <w:t xml:space="preserve"> - A user with a visual impairment is looking for </w:t>
      </w:r>
      <w:proofErr w:type="gramStart"/>
      <w:r w:rsidRPr="00E309C0">
        <w:rPr>
          <w:i/>
        </w:rPr>
        <w:t>a the</w:t>
      </w:r>
      <w:proofErr w:type="gramEnd"/>
      <w:r w:rsidRPr="00E309C0">
        <w:rPr>
          <w:i/>
        </w:rPr>
        <w:t xml:space="preserve"> large lecture</w:t>
      </w:r>
      <w:r>
        <w:rPr>
          <w:i/>
        </w:rPr>
        <w:t xml:space="preserve"> theat</w:t>
      </w:r>
      <w:r w:rsidRPr="00E309C0">
        <w:rPr>
          <w:i/>
        </w:rPr>
        <w:t>e</w:t>
      </w:r>
      <w:r>
        <w:rPr>
          <w:i/>
        </w:rPr>
        <w:t>r</w:t>
      </w:r>
      <w:r w:rsidRPr="00E309C0">
        <w:rPr>
          <w:i/>
        </w:rPr>
        <w:t>, so she would like to use the voice turn-by-turn instruction guide to navigate towards her intended destination. She would like information about features (</w:t>
      </w:r>
      <w:proofErr w:type="gramStart"/>
      <w:r w:rsidRPr="00E309C0">
        <w:rPr>
          <w:i/>
        </w:rPr>
        <w:t>e.g.</w:t>
      </w:r>
      <w:proofErr w:type="gramEnd"/>
      <w:r w:rsidRPr="00E309C0">
        <w:rPr>
          <w:i/>
        </w:rPr>
        <w:t xml:space="preserve"> elevators, water fountains, benches etc.) and rooms that she passes by on her way to l</w:t>
      </w:r>
      <w:r>
        <w:rPr>
          <w:i/>
        </w:rPr>
        <w:t>ecture theat</w:t>
      </w:r>
      <w:r w:rsidRPr="00E309C0">
        <w:rPr>
          <w:i/>
        </w:rPr>
        <w:t>e</w:t>
      </w:r>
      <w:r>
        <w:rPr>
          <w:i/>
        </w:rPr>
        <w:t>r</w:t>
      </w:r>
      <w:r w:rsidRPr="00E309C0">
        <w:rPr>
          <w:i/>
        </w:rPr>
        <w:t>. Present this information through audio to assist the user.</w:t>
      </w:r>
    </w:p>
    <w:p w14:paraId="718C678B" w14:textId="77777777" w:rsidR="00EF5926" w:rsidRDefault="00EF5926" w:rsidP="00EF5926">
      <w:r>
        <w:t xml:space="preserve">A team of researchers were on-hand during the event to address questions relating to the API, able to offer domain-based expertise (e.g., how users with disabilities navigate), and able to check-in at points to record critical incidents. </w:t>
      </w:r>
    </w:p>
    <w:p w14:paraId="326D294C" w14:textId="77777777" w:rsidR="00EF5926" w:rsidRPr="00E309C0" w:rsidRDefault="00EF5926" w:rsidP="00EF5926">
      <w:r>
        <w:t xml:space="preserve">Towards the end of the mini-hackathon, participants presented a </w:t>
      </w:r>
      <w:proofErr w:type="gramStart"/>
      <w:r>
        <w:t>high level</w:t>
      </w:r>
      <w:proofErr w:type="gramEnd"/>
      <w:r>
        <w:t xml:space="preserve"> overview of their solution(s) relating to each prompt, and responded to questions posed by the researchers relating to how their prototypes would offer promise to individuals with disabilities.  Prizes in the form of cash were then distributed.</w:t>
      </w:r>
    </w:p>
    <w:p w14:paraId="20D60E5F" w14:textId="77777777" w:rsidR="00EF5926" w:rsidRDefault="00EF5926" w:rsidP="00EF5926"/>
    <w:p w14:paraId="4EF20A1C" w14:textId="77777777" w:rsidR="00EF5926" w:rsidRDefault="00EF5926" w:rsidP="00EF5926">
      <w:pPr>
        <w:pStyle w:val="heading2"/>
      </w:pPr>
      <w:r>
        <w:t>Structure of Mini-Hackathon</w:t>
      </w:r>
    </w:p>
    <w:p w14:paraId="367AA578" w14:textId="77777777" w:rsidR="00EF5926" w:rsidRDefault="00EF5926" w:rsidP="00EF5926">
      <w:r>
        <w:t xml:space="preserve">The </w:t>
      </w:r>
      <w:proofErr w:type="gramStart"/>
      <w:r>
        <w:t>mini-hackathon</w:t>
      </w:r>
      <w:proofErr w:type="gramEnd"/>
      <w:r>
        <w:t xml:space="preserve"> lasted for 7 hours. After distribution of consent forms, an overview of the objectives was presented, along with some of the considerations which are made/challenges which are faced by individuals with disabilities when planning </w:t>
      </w:r>
      <w:proofErr w:type="gramStart"/>
      <w:r>
        <w:t>routes, and</w:t>
      </w:r>
      <w:proofErr w:type="gramEnd"/>
      <w:r>
        <w:t xml:space="preserve"> navigating within unfamiliar indoor environments (15 mins).  A short overview was then given of the capabilities of the API (10 mins).  Details about the judging process, prizes, and expectations for prototypes were communicated (5 mins).</w:t>
      </w:r>
    </w:p>
    <w:p w14:paraId="1A2AC982" w14:textId="77777777" w:rsidR="00EF5926" w:rsidRPr="00E309C0" w:rsidRDefault="00EF5926" w:rsidP="00EF5926">
      <w:r>
        <w:lastRenderedPageBreak/>
        <w:t xml:space="preserve">After presenting a simple warm-up prompt (30 mins), participants had two coding sessions (120 mins each) to work on the main and supplementary prompts separated by a break (60 minutes).  They were asked to complete as many </w:t>
      </w:r>
      <w:proofErr w:type="gramStart"/>
      <w:r>
        <w:t>tasks</w:t>
      </w:r>
      <w:proofErr w:type="gramEnd"/>
      <w:r>
        <w:t xml:space="preserve"> within the time allocated for coding. The final coding session was followed by judging, prize distribution, and post-task interviews (60 mins).  The interview questions related to the usability of the API, and to identify design ideas for accessible navigation apps.</w:t>
      </w:r>
    </w:p>
    <w:p w14:paraId="76813CB1" w14:textId="77777777" w:rsidR="00EF5926" w:rsidRDefault="00EF5926" w:rsidP="00EF5926">
      <w:pPr>
        <w:pStyle w:val="heading1"/>
      </w:pPr>
      <w:r>
        <w:t>What Worked Well</w:t>
      </w:r>
    </w:p>
    <w:p w14:paraId="5702428B" w14:textId="77777777" w:rsidR="00EF5926" w:rsidRDefault="00EF5926" w:rsidP="00EF5926">
      <w:pPr>
        <w:pStyle w:val="ListParagraph"/>
        <w:numPr>
          <w:ilvl w:val="0"/>
          <w:numId w:val="5"/>
        </w:numPr>
        <w:overflowPunct w:val="0"/>
        <w:autoSpaceDE w:val="0"/>
        <w:autoSpaceDN w:val="0"/>
        <w:adjustRightInd w:val="0"/>
        <w:spacing w:after="0" w:line="240" w:lineRule="atLeast"/>
        <w:jc w:val="both"/>
        <w:textAlignment w:val="baseline"/>
      </w:pPr>
      <w:r>
        <w:t xml:space="preserve">The </w:t>
      </w:r>
      <w:r w:rsidRPr="001C7481">
        <w:rPr>
          <w:b/>
        </w:rPr>
        <w:t>warm-up prompt</w:t>
      </w:r>
      <w:r>
        <w:t xml:space="preserve"> selected was </w:t>
      </w:r>
      <w:proofErr w:type="gramStart"/>
      <w:r>
        <w:t>fairly straightforward</w:t>
      </w:r>
      <w:proofErr w:type="gramEnd"/>
      <w:r>
        <w:t xml:space="preserve"> to complete, as only a few functions would need to be called from the API.  The task could be easily conducted within the 30 minutes allocated, by referencing the accompanying documentation. This allowed participants to gain confidence in developing prototypes using the </w:t>
      </w:r>
      <w:proofErr w:type="gramStart"/>
      <w:r>
        <w:t>API, and</w:t>
      </w:r>
      <w:proofErr w:type="gramEnd"/>
      <w:r>
        <w:t xml:space="preserve"> enabled the research team to address any issues with set-up of the development environment prior to participants conducting the remaining coding tasks.</w:t>
      </w:r>
    </w:p>
    <w:p w14:paraId="0CBFAC3C" w14:textId="77777777" w:rsidR="00EF5926" w:rsidRDefault="00EF5926" w:rsidP="00EF5926">
      <w:pPr>
        <w:pStyle w:val="ListParagraph"/>
        <w:numPr>
          <w:ilvl w:val="0"/>
          <w:numId w:val="5"/>
        </w:numPr>
        <w:overflowPunct w:val="0"/>
        <w:autoSpaceDE w:val="0"/>
        <w:autoSpaceDN w:val="0"/>
        <w:adjustRightInd w:val="0"/>
        <w:spacing w:after="0" w:line="240" w:lineRule="atLeast"/>
        <w:jc w:val="both"/>
        <w:textAlignment w:val="baseline"/>
      </w:pPr>
      <w:r>
        <w:t xml:space="preserve">Having a team of organizers with both </w:t>
      </w:r>
      <w:r w:rsidRPr="001C7481">
        <w:rPr>
          <w:b/>
        </w:rPr>
        <w:t>domain expertise</w:t>
      </w:r>
      <w:r>
        <w:t xml:space="preserve"> and </w:t>
      </w:r>
      <w:r w:rsidRPr="001C7481">
        <w:rPr>
          <w:b/>
        </w:rPr>
        <w:t>on-hand technical support</w:t>
      </w:r>
      <w:r>
        <w:t xml:space="preserve"> proved to be advantageous for addressing queries and issues efficiently.  Examples included questions regarding the experiences of individuals with disabilities when navigating, and technical challenges (</w:t>
      </w:r>
      <w:proofErr w:type="gramStart"/>
      <w:r>
        <w:t>e.g.</w:t>
      </w:r>
      <w:proofErr w:type="gramEnd"/>
      <w:r>
        <w:t xml:space="preserve"> connecting to beacons etc.).  Speaking with blind researchers enabled participants to better understand the mental models of target users.</w:t>
      </w:r>
    </w:p>
    <w:p w14:paraId="303F3631" w14:textId="77777777" w:rsidR="00EF5926" w:rsidRDefault="00EF5926" w:rsidP="00EF5926">
      <w:pPr>
        <w:pStyle w:val="ListParagraph"/>
        <w:numPr>
          <w:ilvl w:val="0"/>
          <w:numId w:val="5"/>
        </w:numPr>
        <w:overflowPunct w:val="0"/>
        <w:autoSpaceDE w:val="0"/>
        <w:autoSpaceDN w:val="0"/>
        <w:adjustRightInd w:val="0"/>
        <w:spacing w:after="0" w:line="240" w:lineRule="atLeast"/>
        <w:jc w:val="both"/>
        <w:textAlignment w:val="baseline"/>
      </w:pPr>
      <w:r w:rsidRPr="001C7481">
        <w:rPr>
          <w:b/>
        </w:rPr>
        <w:t>Pairing participants together</w:t>
      </w:r>
      <w:r>
        <w:t xml:space="preserve"> offered the opportunity for each member of the pair to obtain programming assistance from the other, bounce ideas of one another, and provided a means to discuss the pros/cons of design decisions.   </w:t>
      </w:r>
    </w:p>
    <w:p w14:paraId="040EB8B7" w14:textId="77777777" w:rsidR="00EF5926" w:rsidRPr="005919AC" w:rsidRDefault="00EF5926" w:rsidP="00EF5926">
      <w:pPr>
        <w:pStyle w:val="ListParagraph"/>
        <w:numPr>
          <w:ilvl w:val="0"/>
          <w:numId w:val="5"/>
        </w:numPr>
        <w:overflowPunct w:val="0"/>
        <w:autoSpaceDE w:val="0"/>
        <w:autoSpaceDN w:val="0"/>
        <w:adjustRightInd w:val="0"/>
        <w:spacing w:after="0" w:line="240" w:lineRule="atLeast"/>
        <w:jc w:val="both"/>
        <w:textAlignment w:val="baseline"/>
      </w:pPr>
      <w:proofErr w:type="gramStart"/>
      <w:r>
        <w:t>In order to</w:t>
      </w:r>
      <w:proofErr w:type="gramEnd"/>
      <w:r>
        <w:t xml:space="preserve"> reduce waiting time by participants, </w:t>
      </w:r>
      <w:r w:rsidRPr="001C7481">
        <w:rPr>
          <w:b/>
        </w:rPr>
        <w:t>judging was performed at multiple poin</w:t>
      </w:r>
      <w:r>
        <w:rPr>
          <w:b/>
        </w:rPr>
        <w:t>ts</w:t>
      </w:r>
      <w:r>
        <w:t xml:space="preserve"> during the afternoon session, rather than just at the end of the day. Participants would provide a brief overview of their prototype. Judges could then test out the prototype while navigating the indoor venue to assess efficacy of the solution.  Feedback was provided, which participants could use for the design of apps for subsequent tasks (</w:t>
      </w:r>
      <w:proofErr w:type="spellStart"/>
      <w:r>
        <w:t>i.e</w:t>
      </w:r>
      <w:proofErr w:type="spellEnd"/>
      <w:r>
        <w:t>, supplementary prompts).</w:t>
      </w:r>
    </w:p>
    <w:p w14:paraId="43D0FFD3" w14:textId="77777777" w:rsidR="00EF5926" w:rsidRDefault="00EF5926" w:rsidP="00EF5926">
      <w:pPr>
        <w:pStyle w:val="heading1"/>
      </w:pPr>
      <w:r>
        <w:t>Lessons Learned</w:t>
      </w:r>
    </w:p>
    <w:p w14:paraId="43F31619" w14:textId="77777777" w:rsidR="00EF5926" w:rsidRDefault="00EF5926" w:rsidP="00EF5926">
      <w:pPr>
        <w:pStyle w:val="p1a"/>
        <w:numPr>
          <w:ilvl w:val="0"/>
          <w:numId w:val="5"/>
        </w:numPr>
      </w:pPr>
      <w:r>
        <w:t xml:space="preserve">Although participants were given access to the API prior to the hackathon, we </w:t>
      </w:r>
      <w:r w:rsidRPr="001C7481">
        <w:rPr>
          <w:b/>
        </w:rPr>
        <w:t>underestimated the time</w:t>
      </w:r>
      <w:r>
        <w:t xml:space="preserve"> needed for participants to familiarize themselves with content.  Having technical support on-hand helped reduce the time taken to locate functions or identify the capabilities of the API.  Each pair of participants posed similar questions relating to the functionality available in the API, and how to work with these functions.  </w:t>
      </w:r>
      <w:r w:rsidRPr="00FB31D0">
        <w:rPr>
          <w:b/>
        </w:rPr>
        <w:t xml:space="preserve">Documenting questions as they </w:t>
      </w:r>
      <w:proofErr w:type="gramStart"/>
      <w:r w:rsidRPr="00FB31D0">
        <w:rPr>
          <w:b/>
        </w:rPr>
        <w:t>arise</w:t>
      </w:r>
      <w:r>
        <w:t>, and</w:t>
      </w:r>
      <w:proofErr w:type="gramEnd"/>
      <w:r>
        <w:t xml:space="preserve"> presenting these on-screen along with their respective answers would promote awareness of common issues.  This would reduce the time spent by researchers addressing questions which were similar in nature.  </w:t>
      </w:r>
    </w:p>
    <w:p w14:paraId="5FA38BC1" w14:textId="77777777" w:rsidR="00EF5926" w:rsidRDefault="00EF5926" w:rsidP="00EF5926">
      <w:pPr>
        <w:pStyle w:val="p1a"/>
        <w:numPr>
          <w:ilvl w:val="0"/>
          <w:numId w:val="5"/>
        </w:numPr>
      </w:pPr>
      <w:r>
        <w:t xml:space="preserve">In order to reduce the time spent during the </w:t>
      </w:r>
      <w:proofErr w:type="gramStart"/>
      <w:r>
        <w:t>mini-hackathon</w:t>
      </w:r>
      <w:proofErr w:type="gramEnd"/>
      <w:r>
        <w:t>, a decision was taken to forego an</w:t>
      </w:r>
      <w:r w:rsidRPr="001C7481">
        <w:rPr>
          <w:b/>
        </w:rPr>
        <w:t xml:space="preserve"> ideation phase</w:t>
      </w:r>
      <w:r>
        <w:t xml:space="preserve">.  In post-task interviews, participants described innovative ways of interacting with navigational applications (e.g., presenting information through using multiple modalities etc.), and suggested that </w:t>
      </w:r>
      <w:r w:rsidRPr="00FB31D0">
        <w:rPr>
          <w:b/>
        </w:rPr>
        <w:t>more time to design prior to coding</w:t>
      </w:r>
      <w:r>
        <w:t xml:space="preserve"> would be advantageous. It would lead to a </w:t>
      </w:r>
      <w:r>
        <w:rPr>
          <w:b/>
        </w:rPr>
        <w:t>sh</w:t>
      </w:r>
      <w:r w:rsidRPr="001C7481">
        <w:rPr>
          <w:b/>
        </w:rPr>
        <w:t>ared blueprint</w:t>
      </w:r>
      <w:r>
        <w:t xml:space="preserve"> which could be used by pairs of programmers for purposes of implementation.</w:t>
      </w:r>
    </w:p>
    <w:p w14:paraId="203560AE" w14:textId="77777777" w:rsidR="00EF5926" w:rsidRDefault="00EF5926" w:rsidP="00EF5926">
      <w:pPr>
        <w:pStyle w:val="p1a"/>
        <w:ind w:firstLine="227"/>
      </w:pPr>
    </w:p>
    <w:p w14:paraId="3ACAA676" w14:textId="77777777" w:rsidR="00EF5926" w:rsidRDefault="00EF5926" w:rsidP="00EF5926">
      <w:pPr>
        <w:pStyle w:val="heading1"/>
      </w:pPr>
      <w:r>
        <w:t>Conclusion and Future Work</w:t>
      </w:r>
    </w:p>
    <w:p w14:paraId="0B60E000" w14:textId="77777777" w:rsidR="00EF5926" w:rsidRDefault="00EF5926" w:rsidP="00EF5926">
      <w:pPr>
        <w:pStyle w:val="p1a"/>
      </w:pPr>
      <w:r>
        <w:t xml:space="preserve">In this paper, we described the format, experiences and lessons learned from organizing a </w:t>
      </w:r>
      <w:proofErr w:type="gramStart"/>
      <w:r>
        <w:t>mini-hackathon</w:t>
      </w:r>
      <w:proofErr w:type="gramEnd"/>
      <w:r>
        <w:t xml:space="preserve">.  Organizing such an event offers considerable potential to accessibility researchers to identify the effectiveness of tools (e.g., APIs) </w:t>
      </w:r>
      <w:r>
        <w:lastRenderedPageBreak/>
        <w:t xml:space="preserve">or systems. The </w:t>
      </w:r>
      <w:proofErr w:type="gramStart"/>
      <w:r>
        <w:t>mini-hackathon</w:t>
      </w:r>
      <w:proofErr w:type="gramEnd"/>
      <w:r>
        <w:t xml:space="preserve"> represents the first step in our work.  Based upon the success of the event, we aim to conduct a larger-scale hackathon, focusing on similar tasks with a view to better evaluating API functionality and identifying design ideas.  </w:t>
      </w:r>
    </w:p>
    <w:p w14:paraId="1E7E1F64" w14:textId="77777777" w:rsidR="00EF5926" w:rsidRDefault="00EF5926" w:rsidP="00EF5926">
      <w:pPr>
        <w:pStyle w:val="heading1"/>
        <w:numPr>
          <w:ilvl w:val="0"/>
          <w:numId w:val="0"/>
        </w:numPr>
        <w:ind w:left="567" w:hanging="567"/>
      </w:pPr>
      <w:r>
        <w:t>Acknowledgements</w:t>
      </w:r>
    </w:p>
    <w:p w14:paraId="67870C6D" w14:textId="77777777" w:rsidR="00EF5926" w:rsidRDefault="00EF5926" w:rsidP="00EF5926">
      <w:pPr>
        <w:pStyle w:val="p1a"/>
      </w:pPr>
      <w:r>
        <w:t xml:space="preserve">The authors thank Carol </w:t>
      </w:r>
      <w:proofErr w:type="spellStart"/>
      <w:r>
        <w:t>Politi</w:t>
      </w:r>
      <w:proofErr w:type="spellEnd"/>
      <w:r>
        <w:t>, Travis Young and Jay Bracht from TRX Systems (http://www.trxsystems.com) for their input to this work.  The project was sponsored by Maryland Industrial Partnerships (MIPS).</w:t>
      </w:r>
    </w:p>
    <w:p w14:paraId="42F4AE47" w14:textId="77777777" w:rsidR="00EF5926" w:rsidRDefault="00EF5926" w:rsidP="00EF5926">
      <w:pPr>
        <w:pStyle w:val="heading1"/>
        <w:numPr>
          <w:ilvl w:val="0"/>
          <w:numId w:val="0"/>
        </w:numPr>
        <w:ind w:left="567" w:hanging="567"/>
      </w:pPr>
      <w:r>
        <w:t>References</w:t>
      </w:r>
    </w:p>
    <w:p w14:paraId="3FCEBD39" w14:textId="77777777" w:rsidR="00EF5926" w:rsidRDefault="00EF5926" w:rsidP="00EF5926">
      <w:pPr>
        <w:pStyle w:val="referenceitem"/>
        <w:jc w:val="left"/>
      </w:pPr>
      <w:proofErr w:type="spellStart"/>
      <w:r w:rsidRPr="00002E04">
        <w:t>evoHaX</w:t>
      </w:r>
      <w:proofErr w:type="spellEnd"/>
      <w:r w:rsidRPr="00002E04">
        <w:t>: Accessibility Hackathons</w:t>
      </w:r>
      <w:r>
        <w:t xml:space="preserve">, </w:t>
      </w:r>
      <w:r w:rsidRPr="00002E04">
        <w:rPr>
          <w:rStyle w:val="e-mail"/>
        </w:rPr>
        <w:t>http://www.washington.edu/accesscomputing/evohax-accessibility-hackathons</w:t>
      </w:r>
    </w:p>
    <w:p w14:paraId="793E0EF7" w14:textId="77777777" w:rsidR="00EF5926" w:rsidRDefault="00EF5926" w:rsidP="00EF5926">
      <w:pPr>
        <w:pStyle w:val="referenceitem"/>
      </w:pPr>
      <w:r>
        <w:t xml:space="preserve">Gleason, C., Guo, A., </w:t>
      </w:r>
      <w:proofErr w:type="spellStart"/>
      <w:r>
        <w:t>Laput</w:t>
      </w:r>
      <w:proofErr w:type="spellEnd"/>
      <w:r>
        <w:t xml:space="preserve">, G., </w:t>
      </w:r>
      <w:proofErr w:type="spellStart"/>
      <w:r>
        <w:t>Kitani</w:t>
      </w:r>
      <w:proofErr w:type="spellEnd"/>
      <w:r>
        <w:t xml:space="preserve">, K., Bigham, J.: </w:t>
      </w:r>
      <w:proofErr w:type="spellStart"/>
      <w:r>
        <w:t>VizMap</w:t>
      </w:r>
      <w:proofErr w:type="spellEnd"/>
      <w:r>
        <w:t xml:space="preserve">.: Accessible visual information through crowdsourced map reconstruction. In: </w:t>
      </w:r>
      <w:r w:rsidRPr="00720ABC">
        <w:t>18th International ACM SIGACCESS Conference on Computers and Accessibility</w:t>
      </w:r>
      <w:r>
        <w:t xml:space="preserve">, pp. 273-274 (2016). </w:t>
      </w:r>
    </w:p>
    <w:p w14:paraId="5CD12313" w14:textId="77777777" w:rsidR="00EF5926" w:rsidRDefault="00EF5926" w:rsidP="00EF5926">
      <w:pPr>
        <w:pStyle w:val="referenceitem"/>
      </w:pPr>
      <w:r w:rsidRPr="00720ABC">
        <w:t xml:space="preserve">Gupta, M., </w:t>
      </w:r>
      <w:proofErr w:type="spellStart"/>
      <w:r w:rsidRPr="00720ABC">
        <w:t>Abdolrahmani</w:t>
      </w:r>
      <w:proofErr w:type="spellEnd"/>
      <w:r w:rsidRPr="00720ABC">
        <w:t xml:space="preserve">, A., Edwards, E., Cortez, M., </w:t>
      </w:r>
      <w:proofErr w:type="spellStart"/>
      <w:r w:rsidRPr="00720ABC">
        <w:t>Tumang</w:t>
      </w:r>
      <w:proofErr w:type="spellEnd"/>
      <w:r w:rsidRPr="00720ABC">
        <w:t xml:space="preserve">, A., </w:t>
      </w:r>
      <w:proofErr w:type="spellStart"/>
      <w:r w:rsidRPr="00720ABC">
        <w:t>Majali</w:t>
      </w:r>
      <w:proofErr w:type="spellEnd"/>
      <w:r w:rsidRPr="00720ABC">
        <w:t xml:space="preserve">, Y., </w:t>
      </w:r>
      <w:proofErr w:type="spellStart"/>
      <w:r w:rsidRPr="00720ABC">
        <w:t>Lazaga</w:t>
      </w:r>
      <w:proofErr w:type="spellEnd"/>
      <w:r w:rsidRPr="00720ABC">
        <w:t xml:space="preserve">, M., Tarra, S., Patil, P., </w:t>
      </w:r>
      <w:proofErr w:type="spellStart"/>
      <w:r w:rsidRPr="00720ABC">
        <w:t>Kuber</w:t>
      </w:r>
      <w:proofErr w:type="spellEnd"/>
      <w:r w:rsidRPr="00720ABC">
        <w:t>, R.</w:t>
      </w:r>
      <w:r>
        <w:t>,</w:t>
      </w:r>
      <w:r w:rsidRPr="00720ABC">
        <w:t xml:space="preserve"> and Branham, S.M.</w:t>
      </w:r>
      <w:r>
        <w:t xml:space="preserve">: </w:t>
      </w:r>
      <w:r w:rsidRPr="00720ABC">
        <w:t>Towards more universal wayfinding technologies: navigation preferences across disabilities</w:t>
      </w:r>
      <w:r>
        <w:t xml:space="preserve">. In: </w:t>
      </w:r>
      <w:r w:rsidRPr="00720ABC">
        <w:t>2020 CHI Conference on Human Factors in Computing Systems</w:t>
      </w:r>
      <w:r>
        <w:t>, pp.1-13 (2020).</w:t>
      </w:r>
    </w:p>
    <w:p w14:paraId="5E3B67CB" w14:textId="77777777" w:rsidR="00EF5926" w:rsidRDefault="00EF5926" w:rsidP="00EF5926">
      <w:pPr>
        <w:pStyle w:val="referenceitem"/>
      </w:pPr>
      <w:r>
        <w:t xml:space="preserve">Hurst, A., </w:t>
      </w:r>
      <w:proofErr w:type="spellStart"/>
      <w:r>
        <w:t>Findlater</w:t>
      </w:r>
      <w:proofErr w:type="spellEnd"/>
      <w:r>
        <w:t>, L., Morris, M.R.: Overview of the ASSETS 2017 conference. ACM SIGACCESS Accessibility and Computing, (120), 3-10 (2018).</w:t>
      </w:r>
    </w:p>
    <w:p w14:paraId="2809B30F" w14:textId="77777777" w:rsidR="00EF5926" w:rsidRDefault="00EF5926" w:rsidP="00EF5926">
      <w:pPr>
        <w:pStyle w:val="referenceitem"/>
      </w:pPr>
      <w:r>
        <w:t xml:space="preserve">Montague, K.: Accessible indoor navigation. In: </w:t>
      </w:r>
      <w:r w:rsidRPr="00720ABC">
        <w:t xml:space="preserve">12th </w:t>
      </w:r>
      <w:r>
        <w:t>I</w:t>
      </w:r>
      <w:r w:rsidRPr="00720ABC">
        <w:t xml:space="preserve">nternational ACM SIGACCESS </w:t>
      </w:r>
      <w:r>
        <w:t>C</w:t>
      </w:r>
      <w:r w:rsidRPr="00720ABC">
        <w:t xml:space="preserve">onference on Computers and </w:t>
      </w:r>
      <w:r>
        <w:t>A</w:t>
      </w:r>
      <w:r w:rsidRPr="00720ABC">
        <w:t>ccessibility</w:t>
      </w:r>
      <w:r>
        <w:t xml:space="preserve">, pp. 305-306 (2010). </w:t>
      </w:r>
    </w:p>
    <w:p w14:paraId="172717E6" w14:textId="77777777" w:rsidR="00EF5926" w:rsidRDefault="00EF5926" w:rsidP="00EF5926">
      <w:pPr>
        <w:pStyle w:val="referenceitem"/>
      </w:pPr>
      <w:proofErr w:type="spellStart"/>
      <w:r w:rsidRPr="00002E04">
        <w:t>Narain</w:t>
      </w:r>
      <w:proofErr w:type="spellEnd"/>
      <w:r w:rsidRPr="00002E04">
        <w:t xml:space="preserve">, J., </w:t>
      </w:r>
      <w:proofErr w:type="spellStart"/>
      <w:r w:rsidRPr="00002E04">
        <w:t>Ananthabhotla</w:t>
      </w:r>
      <w:proofErr w:type="spellEnd"/>
      <w:r w:rsidRPr="00002E04">
        <w:t xml:space="preserve">, I., Mendez, S., Taylor, C., Siu, H., </w:t>
      </w:r>
      <w:proofErr w:type="spellStart"/>
      <w:r w:rsidRPr="00002E04">
        <w:t>Brugnaro</w:t>
      </w:r>
      <w:proofErr w:type="spellEnd"/>
      <w:r w:rsidRPr="00002E04">
        <w:t>, L.</w:t>
      </w:r>
      <w:r>
        <w:t>,</w:t>
      </w:r>
      <w:r w:rsidRPr="00002E04">
        <w:t xml:space="preserve"> and </w:t>
      </w:r>
      <w:proofErr w:type="spellStart"/>
      <w:r w:rsidRPr="00002E04">
        <w:t>Mallozzi</w:t>
      </w:r>
      <w:proofErr w:type="spellEnd"/>
      <w:r w:rsidRPr="00002E04">
        <w:t>, A.</w:t>
      </w:r>
      <w:r>
        <w:t>:</w:t>
      </w:r>
      <w:r w:rsidRPr="00002E04">
        <w:t xml:space="preserve"> </w:t>
      </w:r>
      <w:proofErr w:type="spellStart"/>
      <w:r w:rsidRPr="00002E04">
        <w:t>ATHack</w:t>
      </w:r>
      <w:proofErr w:type="spellEnd"/>
      <w:r w:rsidRPr="00002E04">
        <w:t>: Co-design and education in assistive technology development. In</w:t>
      </w:r>
      <w:r>
        <w:t>:</w:t>
      </w:r>
      <w:r w:rsidRPr="00002E04">
        <w:t xml:space="preserve"> 2020 CHI Conference on Huma</w:t>
      </w:r>
      <w:r>
        <w:t>n Factors in Computing Systems (Extended Abstracts), pp. 1-7 (2020)</w:t>
      </w:r>
      <w:r w:rsidRPr="00002E04">
        <w:t>.</w:t>
      </w:r>
    </w:p>
    <w:p w14:paraId="51CC970A" w14:textId="77777777" w:rsidR="00EF5926" w:rsidRDefault="00EF5926" w:rsidP="00EF5926">
      <w:pPr>
        <w:pStyle w:val="referenceitem"/>
      </w:pPr>
      <w:proofErr w:type="spellStart"/>
      <w:r>
        <w:t>Raatikainen</w:t>
      </w:r>
      <w:proofErr w:type="spellEnd"/>
      <w:r>
        <w:t xml:space="preserve">, M., </w:t>
      </w:r>
      <w:proofErr w:type="spellStart"/>
      <w:r>
        <w:t>Komssi</w:t>
      </w:r>
      <w:proofErr w:type="spellEnd"/>
      <w:r>
        <w:t xml:space="preserve">, M., Dal Bianco, V., </w:t>
      </w:r>
      <w:proofErr w:type="spellStart"/>
      <w:r>
        <w:t>Kindstöm</w:t>
      </w:r>
      <w:proofErr w:type="spellEnd"/>
      <w:r>
        <w:t xml:space="preserve">, K., </w:t>
      </w:r>
      <w:proofErr w:type="spellStart"/>
      <w:r>
        <w:t>Järvinen</w:t>
      </w:r>
      <w:proofErr w:type="spellEnd"/>
      <w:r>
        <w:t xml:space="preserve">, J.: Industrial experiences of organizing a hackathon to assess a device-centric cloud ecosystem. In: </w:t>
      </w:r>
      <w:r w:rsidRPr="00720ABC">
        <w:t>IEEE 37th Annual Computer Software and Applications Conference</w:t>
      </w:r>
      <w:r>
        <w:t xml:space="preserve">, pp. 790-799 (2013). </w:t>
      </w:r>
    </w:p>
    <w:p w14:paraId="30CB3539" w14:textId="77777777" w:rsidR="00EF5926" w:rsidRDefault="00EF5926" w:rsidP="00EF5926">
      <w:pPr>
        <w:pStyle w:val="referenceitem"/>
      </w:pPr>
      <w:r>
        <w:t xml:space="preserve">Sato, D., Oh, U., Naito, K., Takagi, H., </w:t>
      </w:r>
      <w:proofErr w:type="spellStart"/>
      <w:r>
        <w:t>Kitani</w:t>
      </w:r>
      <w:proofErr w:type="spellEnd"/>
      <w:r>
        <w:t xml:space="preserve">, K., Asakawa, C.: NavCog3. An evaluation of a smartphone-based blind indoor navigation assistant with semantic features in a large-scale environment. In: </w:t>
      </w:r>
      <w:r w:rsidRPr="00720ABC">
        <w:t>19th International ACM SIGACCESS Conference on Computers and Accessibility</w:t>
      </w:r>
      <w:r>
        <w:t>, pp. 270-290 (2017).</w:t>
      </w:r>
    </w:p>
    <w:p w14:paraId="7EC59655" w14:textId="77777777" w:rsidR="00EF5926" w:rsidRPr="00606587" w:rsidRDefault="00EF5926" w:rsidP="00EF5926">
      <w:pPr>
        <w:pStyle w:val="referenceitem"/>
        <w:jc w:val="left"/>
      </w:pPr>
      <w:r>
        <w:t xml:space="preserve">TRX Systems, Android API Tutorial, </w:t>
      </w:r>
      <w:r w:rsidRPr="006668AC">
        <w:rPr>
          <w:rStyle w:val="e-mail"/>
        </w:rPr>
        <w:t>https://docs.trxsystems.com/android-api-tutorial</w:t>
      </w:r>
    </w:p>
    <w:p w14:paraId="4858A17F" w14:textId="77777777" w:rsidR="00416356" w:rsidRPr="00846C1F" w:rsidRDefault="00416356">
      <w:pPr>
        <w:rPr>
          <w:sz w:val="28"/>
          <w:szCs w:val="28"/>
        </w:rPr>
      </w:pPr>
    </w:p>
    <w:sectPr w:rsidR="00416356" w:rsidRPr="00846C1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10042D"/>
    <w:multiLevelType w:val="hybridMultilevel"/>
    <w:tmpl w:val="06CC24BE"/>
    <w:lvl w:ilvl="0" w:tplc="92763ED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27D38"/>
    <w:multiLevelType w:val="hybridMultilevel"/>
    <w:tmpl w:val="69A2E98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B53837"/>
    <w:multiLevelType w:val="hybridMultilevel"/>
    <w:tmpl w:val="B6E4DA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7D9521C8"/>
    <w:multiLevelType w:val="multilevel"/>
    <w:tmpl w:val="F35CB8F2"/>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1896"/>
        </w:tabs>
        <w:ind w:left="1896" w:hanging="360"/>
      </w:pPr>
      <w:rPr>
        <w:rFonts w:hint="default"/>
      </w:rPr>
    </w:lvl>
    <w:lvl w:ilvl="2">
      <w:start w:val="1"/>
      <w:numFmt w:val="lowerRoman"/>
      <w:lvlText w:val="%3."/>
      <w:lvlJc w:val="right"/>
      <w:pPr>
        <w:tabs>
          <w:tab w:val="num" w:pos="2616"/>
        </w:tabs>
        <w:ind w:left="2616" w:hanging="180"/>
      </w:pPr>
      <w:rPr>
        <w:rFonts w:hint="default"/>
      </w:rPr>
    </w:lvl>
    <w:lvl w:ilvl="3">
      <w:start w:val="1"/>
      <w:numFmt w:val="decimal"/>
      <w:lvlText w:val="%4."/>
      <w:lvlJc w:val="left"/>
      <w:pPr>
        <w:tabs>
          <w:tab w:val="num" w:pos="3336"/>
        </w:tabs>
        <w:ind w:left="3336" w:hanging="360"/>
      </w:pPr>
      <w:rPr>
        <w:rFonts w:hint="default"/>
      </w:rPr>
    </w:lvl>
    <w:lvl w:ilvl="4">
      <w:start w:val="1"/>
      <w:numFmt w:val="lowerLetter"/>
      <w:lvlText w:val="%5."/>
      <w:lvlJc w:val="left"/>
      <w:pPr>
        <w:tabs>
          <w:tab w:val="num" w:pos="4056"/>
        </w:tabs>
        <w:ind w:left="4056" w:hanging="360"/>
      </w:pPr>
      <w:rPr>
        <w:rFonts w:hint="default"/>
      </w:rPr>
    </w:lvl>
    <w:lvl w:ilvl="5">
      <w:start w:val="1"/>
      <w:numFmt w:val="lowerRoman"/>
      <w:lvlText w:val="%6."/>
      <w:lvlJc w:val="right"/>
      <w:pPr>
        <w:tabs>
          <w:tab w:val="num" w:pos="4776"/>
        </w:tabs>
        <w:ind w:left="4776" w:hanging="180"/>
      </w:pPr>
      <w:rPr>
        <w:rFonts w:hint="default"/>
      </w:rPr>
    </w:lvl>
    <w:lvl w:ilvl="6">
      <w:start w:val="1"/>
      <w:numFmt w:val="decimal"/>
      <w:lvlText w:val="%7."/>
      <w:lvlJc w:val="left"/>
      <w:pPr>
        <w:tabs>
          <w:tab w:val="num" w:pos="5496"/>
        </w:tabs>
        <w:ind w:left="5496" w:hanging="360"/>
      </w:pPr>
      <w:rPr>
        <w:rFonts w:hint="default"/>
      </w:rPr>
    </w:lvl>
    <w:lvl w:ilvl="7">
      <w:start w:val="1"/>
      <w:numFmt w:val="lowerLetter"/>
      <w:lvlText w:val="%8."/>
      <w:lvlJc w:val="left"/>
      <w:pPr>
        <w:tabs>
          <w:tab w:val="num" w:pos="6216"/>
        </w:tabs>
        <w:ind w:left="6216" w:hanging="360"/>
      </w:pPr>
      <w:rPr>
        <w:rFonts w:hint="default"/>
      </w:rPr>
    </w:lvl>
    <w:lvl w:ilvl="8">
      <w:start w:val="1"/>
      <w:numFmt w:val="lowerRoman"/>
      <w:lvlText w:val="%9."/>
      <w:lvlJc w:val="right"/>
      <w:pPr>
        <w:tabs>
          <w:tab w:val="num" w:pos="6936"/>
        </w:tabs>
        <w:ind w:left="6936" w:hanging="180"/>
      </w:pPr>
      <w:rPr>
        <w:rFonts w:hint="default"/>
      </w:rPr>
    </w:lvl>
  </w:abstractNum>
  <w:num w:numId="1">
    <w:abstractNumId w:val="1"/>
  </w:num>
  <w:num w:numId="2">
    <w:abstractNumId w:val="3"/>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6533"/>
    <w:rsid w:val="0009682C"/>
    <w:rsid w:val="00231A43"/>
    <w:rsid w:val="00416356"/>
    <w:rsid w:val="00456AC1"/>
    <w:rsid w:val="00607B38"/>
    <w:rsid w:val="007B14C3"/>
    <w:rsid w:val="00846C1F"/>
    <w:rsid w:val="008E3D45"/>
    <w:rsid w:val="008F0AED"/>
    <w:rsid w:val="00A44F34"/>
    <w:rsid w:val="00B62546"/>
    <w:rsid w:val="00E06533"/>
    <w:rsid w:val="00E22C8D"/>
    <w:rsid w:val="00EF59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3B7F10"/>
  <w15:chartTrackingRefBased/>
  <w15:docId w15:val="{394DF294-D507-452C-94AA-AB2A464244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16356"/>
    <w:rPr>
      <w:color w:val="0563C1" w:themeColor="hyperlink"/>
      <w:u w:val="single"/>
    </w:rPr>
  </w:style>
  <w:style w:type="paragraph" w:styleId="ListParagraph">
    <w:name w:val="List Paragraph"/>
    <w:basedOn w:val="Normal"/>
    <w:qFormat/>
    <w:rsid w:val="00607B38"/>
    <w:pPr>
      <w:ind w:left="720"/>
      <w:contextualSpacing/>
    </w:pPr>
  </w:style>
  <w:style w:type="paragraph" w:customStyle="1" w:styleId="abstract">
    <w:name w:val="abstract"/>
    <w:basedOn w:val="Normal"/>
    <w:rsid w:val="00EF5926"/>
    <w:pPr>
      <w:overflowPunct w:val="0"/>
      <w:autoSpaceDE w:val="0"/>
      <w:autoSpaceDN w:val="0"/>
      <w:adjustRightInd w:val="0"/>
      <w:spacing w:before="600" w:after="360" w:line="220" w:lineRule="atLeast"/>
      <w:ind w:left="567" w:right="567" w:firstLine="227"/>
      <w:contextualSpacing/>
      <w:jc w:val="both"/>
      <w:textAlignment w:val="baseline"/>
    </w:pPr>
    <w:rPr>
      <w:rFonts w:ascii="Times New Roman" w:eastAsia="Times New Roman" w:hAnsi="Times New Roman" w:cs="Times New Roman"/>
      <w:sz w:val="18"/>
      <w:szCs w:val="20"/>
    </w:rPr>
  </w:style>
  <w:style w:type="paragraph" w:customStyle="1" w:styleId="address">
    <w:name w:val="address"/>
    <w:basedOn w:val="Normal"/>
    <w:rsid w:val="00EF5926"/>
    <w:pPr>
      <w:overflowPunct w:val="0"/>
      <w:autoSpaceDE w:val="0"/>
      <w:autoSpaceDN w:val="0"/>
      <w:adjustRightInd w:val="0"/>
      <w:spacing w:after="200" w:line="220" w:lineRule="atLeast"/>
      <w:contextualSpacing/>
      <w:jc w:val="center"/>
      <w:textAlignment w:val="baseline"/>
    </w:pPr>
    <w:rPr>
      <w:rFonts w:ascii="Times New Roman" w:eastAsia="Times New Roman" w:hAnsi="Times New Roman" w:cs="Times New Roman"/>
      <w:sz w:val="18"/>
      <w:szCs w:val="20"/>
    </w:rPr>
  </w:style>
  <w:style w:type="paragraph" w:customStyle="1" w:styleId="author">
    <w:name w:val="author"/>
    <w:basedOn w:val="Normal"/>
    <w:next w:val="address"/>
    <w:rsid w:val="00EF5926"/>
    <w:pPr>
      <w:overflowPunct w:val="0"/>
      <w:autoSpaceDE w:val="0"/>
      <w:autoSpaceDN w:val="0"/>
      <w:adjustRightInd w:val="0"/>
      <w:spacing w:after="200" w:line="220" w:lineRule="atLeast"/>
      <w:jc w:val="center"/>
      <w:textAlignment w:val="baseline"/>
    </w:pPr>
    <w:rPr>
      <w:rFonts w:ascii="Times New Roman" w:eastAsia="Times New Roman" w:hAnsi="Times New Roman" w:cs="Times New Roman"/>
      <w:sz w:val="20"/>
      <w:szCs w:val="20"/>
    </w:rPr>
  </w:style>
  <w:style w:type="character" w:customStyle="1" w:styleId="e-mail">
    <w:name w:val="e-mail"/>
    <w:basedOn w:val="DefaultParagraphFont"/>
    <w:rsid w:val="00EF5926"/>
    <w:rPr>
      <w:rFonts w:ascii="Courier" w:hAnsi="Courier"/>
      <w:noProof/>
    </w:rPr>
  </w:style>
  <w:style w:type="paragraph" w:customStyle="1" w:styleId="heading1">
    <w:name w:val="heading1"/>
    <w:basedOn w:val="Normal"/>
    <w:next w:val="p1a"/>
    <w:qFormat/>
    <w:rsid w:val="00EF5926"/>
    <w:pPr>
      <w:keepNext/>
      <w:keepLines/>
      <w:numPr>
        <w:numId w:val="2"/>
      </w:numPr>
      <w:suppressAutoHyphens/>
      <w:overflowPunct w:val="0"/>
      <w:autoSpaceDE w:val="0"/>
      <w:autoSpaceDN w:val="0"/>
      <w:adjustRightInd w:val="0"/>
      <w:spacing w:before="360" w:after="240" w:line="300" w:lineRule="atLeast"/>
      <w:textAlignment w:val="baseline"/>
      <w:outlineLvl w:val="0"/>
    </w:pPr>
    <w:rPr>
      <w:rFonts w:ascii="Times New Roman" w:eastAsia="Times New Roman" w:hAnsi="Times New Roman" w:cs="Times New Roman"/>
      <w:b/>
      <w:sz w:val="24"/>
      <w:szCs w:val="20"/>
    </w:rPr>
  </w:style>
  <w:style w:type="paragraph" w:customStyle="1" w:styleId="heading2">
    <w:name w:val="heading2"/>
    <w:basedOn w:val="Normal"/>
    <w:next w:val="p1a"/>
    <w:qFormat/>
    <w:rsid w:val="00EF5926"/>
    <w:pPr>
      <w:keepNext/>
      <w:keepLines/>
      <w:numPr>
        <w:ilvl w:val="1"/>
        <w:numId w:val="2"/>
      </w:numPr>
      <w:suppressAutoHyphens/>
      <w:overflowPunct w:val="0"/>
      <w:autoSpaceDE w:val="0"/>
      <w:autoSpaceDN w:val="0"/>
      <w:adjustRightInd w:val="0"/>
      <w:spacing w:before="360" w:line="240" w:lineRule="atLeast"/>
      <w:textAlignment w:val="baseline"/>
      <w:outlineLvl w:val="1"/>
    </w:pPr>
    <w:rPr>
      <w:rFonts w:ascii="Times New Roman" w:eastAsia="Times New Roman" w:hAnsi="Times New Roman" w:cs="Times New Roman"/>
      <w:b/>
      <w:sz w:val="20"/>
      <w:szCs w:val="20"/>
    </w:rPr>
  </w:style>
  <w:style w:type="numbering" w:customStyle="1" w:styleId="headings">
    <w:name w:val="headings"/>
    <w:basedOn w:val="NoList"/>
    <w:rsid w:val="00EF5926"/>
    <w:pPr>
      <w:numPr>
        <w:numId w:val="2"/>
      </w:numPr>
    </w:pPr>
  </w:style>
  <w:style w:type="paragraph" w:customStyle="1" w:styleId="keywords">
    <w:name w:val="keywords"/>
    <w:basedOn w:val="abstract"/>
    <w:next w:val="heading1"/>
    <w:rsid w:val="00EF5926"/>
    <w:pPr>
      <w:spacing w:before="220"/>
      <w:ind w:firstLine="0"/>
      <w:contextualSpacing w:val="0"/>
      <w:jc w:val="left"/>
    </w:pPr>
  </w:style>
  <w:style w:type="paragraph" w:customStyle="1" w:styleId="p1a">
    <w:name w:val="p1a"/>
    <w:basedOn w:val="Normal"/>
    <w:next w:val="Normal"/>
    <w:rsid w:val="00EF5926"/>
    <w:pPr>
      <w:overflowPunct w:val="0"/>
      <w:autoSpaceDE w:val="0"/>
      <w:autoSpaceDN w:val="0"/>
      <w:adjustRightInd w:val="0"/>
      <w:spacing w:after="0" w:line="240" w:lineRule="atLeast"/>
      <w:jc w:val="both"/>
      <w:textAlignment w:val="baseline"/>
    </w:pPr>
    <w:rPr>
      <w:rFonts w:ascii="Times New Roman" w:eastAsia="Times New Roman" w:hAnsi="Times New Roman" w:cs="Times New Roman"/>
      <w:sz w:val="20"/>
      <w:szCs w:val="20"/>
    </w:rPr>
  </w:style>
  <w:style w:type="paragraph" w:customStyle="1" w:styleId="referenceitem">
    <w:name w:val="referenceitem"/>
    <w:basedOn w:val="Normal"/>
    <w:rsid w:val="00EF5926"/>
    <w:pPr>
      <w:numPr>
        <w:numId w:val="3"/>
      </w:numPr>
      <w:overflowPunct w:val="0"/>
      <w:autoSpaceDE w:val="0"/>
      <w:autoSpaceDN w:val="0"/>
      <w:adjustRightInd w:val="0"/>
      <w:spacing w:after="0" w:line="220" w:lineRule="atLeast"/>
      <w:jc w:val="both"/>
      <w:textAlignment w:val="baseline"/>
    </w:pPr>
    <w:rPr>
      <w:rFonts w:ascii="Times New Roman" w:eastAsia="Times New Roman" w:hAnsi="Times New Roman" w:cs="Times New Roman"/>
      <w:sz w:val="18"/>
      <w:szCs w:val="20"/>
    </w:rPr>
  </w:style>
  <w:style w:type="numbering" w:customStyle="1" w:styleId="referencelist">
    <w:name w:val="referencelist"/>
    <w:basedOn w:val="NoList"/>
    <w:semiHidden/>
    <w:rsid w:val="00EF5926"/>
    <w:pPr>
      <w:numPr>
        <w:numId w:val="3"/>
      </w:numPr>
    </w:pPr>
  </w:style>
  <w:style w:type="paragraph" w:customStyle="1" w:styleId="papertitle">
    <w:name w:val="papertitle"/>
    <w:basedOn w:val="Normal"/>
    <w:next w:val="author"/>
    <w:rsid w:val="00EF5926"/>
    <w:pPr>
      <w:keepNext/>
      <w:keepLines/>
      <w:suppressAutoHyphens/>
      <w:overflowPunct w:val="0"/>
      <w:autoSpaceDE w:val="0"/>
      <w:autoSpaceDN w:val="0"/>
      <w:adjustRightInd w:val="0"/>
      <w:spacing w:after="480" w:line="360" w:lineRule="atLeast"/>
      <w:jc w:val="center"/>
      <w:textAlignment w:val="baseline"/>
    </w:pPr>
    <w:rPr>
      <w:rFonts w:ascii="Times New Roman" w:eastAsia="Times New Roman" w:hAnsi="Times New Roman" w:cs="Times New Roman"/>
      <w:b/>
      <w:sz w:val="2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9646725">
      <w:bodyDiv w:val="1"/>
      <w:marLeft w:val="0"/>
      <w:marRight w:val="0"/>
      <w:marTop w:val="0"/>
      <w:marBottom w:val="0"/>
      <w:divBdr>
        <w:top w:val="none" w:sz="0" w:space="0" w:color="auto"/>
        <w:left w:val="none" w:sz="0" w:space="0" w:color="auto"/>
        <w:bottom w:val="none" w:sz="0" w:space="0" w:color="auto"/>
        <w:right w:val="none" w:sz="0" w:space="0" w:color="auto"/>
      </w:divBdr>
    </w:div>
    <w:div w:id="1867055471">
      <w:bodyDiv w:val="1"/>
      <w:marLeft w:val="0"/>
      <w:marRight w:val="0"/>
      <w:marTop w:val="0"/>
      <w:marBottom w:val="0"/>
      <w:divBdr>
        <w:top w:val="none" w:sz="0" w:space="0" w:color="auto"/>
        <w:left w:val="none" w:sz="0" w:space="0" w:color="auto"/>
        <w:bottom w:val="none" w:sz="0" w:space="0" w:color="auto"/>
        <w:right w:val="none" w:sz="0" w:space="0" w:color="auto"/>
      </w:divBdr>
    </w:div>
    <w:div w:id="191011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cholarworks-group@umbc.edu" TargetMode="External"/><Relationship Id="rId5" Type="http://schemas.openxmlformats.org/officeDocument/2006/relationships/hyperlink" Target="https://creativecommons.org/licenses/by/4.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1965</Words>
  <Characters>11204</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Flinchbaugh</dc:creator>
  <cp:keywords/>
  <dc:description/>
  <cp:lastModifiedBy>Michelle Flinchbaugh</cp:lastModifiedBy>
  <cp:revision>2</cp:revision>
  <dcterms:created xsi:type="dcterms:W3CDTF">2021-11-25T18:43:00Z</dcterms:created>
  <dcterms:modified xsi:type="dcterms:W3CDTF">2021-11-25T18:43:00Z</dcterms:modified>
</cp:coreProperties>
</file>