
<file path=[Content_Types].xml><?xml version="1.0" encoding="utf-8"?>
<Types xmlns="http://schemas.openxmlformats.org/package/2006/content-types">
  <Default Extension="tiff" ContentType="image/tif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0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Hlk144125004"/>
      <w:r>
        <w:rPr>
          <w:rFonts w:ascii="Times New Roman" w:hAnsi="Times New Roman" w:cs="Times New Roman"/>
          <w:b/>
          <w:bCs/>
          <w:sz w:val="28"/>
          <w:szCs w:val="28"/>
        </w:rPr>
        <w:t>Joint multi-s</w:t>
      </w:r>
      <w:r>
        <w:rPr>
          <w:rFonts w:hint="eastAsia" w:ascii="Times New Roman" w:hAnsi="Times New Roman" w:cs="Times New Roman"/>
          <w:b/>
          <w:bCs/>
          <w:sz w:val="28"/>
          <w:szCs w:val="28"/>
        </w:rPr>
        <w:t>ite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domain adaptation and </w:t>
      </w: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multi-modality f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eature selection for the diagnosis of </w:t>
      </w:r>
      <w:bookmarkStart w:id="1" w:name="_Hlk148617123"/>
      <w:r>
        <w:rPr>
          <w:rFonts w:ascii="Times New Roman" w:hAnsi="Times New Roman" w:cs="Times New Roman"/>
          <w:b/>
          <w:bCs/>
          <w:sz w:val="28"/>
          <w:szCs w:val="28"/>
        </w:rPr>
        <w:t>psychiatric disorders</w:t>
      </w:r>
      <w:bookmarkEnd w:id="1"/>
    </w:p>
    <w:bookmarkEnd w:id="0"/>
    <w:p>
      <w:pPr>
        <w:snapToGri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>
      <w:pPr>
        <w:snapToGrid w:val="0"/>
        <w:spacing w:after="40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Yixin Ji#</w:t>
      </w:r>
      <w:r>
        <w:rPr>
          <w:rFonts w:hint="eastAsia" w:ascii="Times New Roman" w:hAnsi="Times New Roman" w:cs="Times New Roman"/>
          <w:bCs/>
          <w:sz w:val="24"/>
          <w:szCs w:val="24"/>
          <w:vertAlign w:val="superscript"/>
        </w:rPr>
        <w:t>1,</w:t>
      </w:r>
      <w:r>
        <w:rPr>
          <w:rFonts w:ascii="Times New Roman" w:hAnsi="Times New Roman" w:cs="Times New Roman"/>
          <w:bCs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Rogers F. Silva#</w:t>
      </w:r>
      <w:r>
        <w:rPr>
          <w:rFonts w:ascii="Times New Roman" w:hAnsi="Times New Roman"/>
          <w:sz w:val="24"/>
          <w:szCs w:val="24"/>
          <w:vertAlign w:val="superscript"/>
        </w:rPr>
        <w:t>3</w:t>
      </w:r>
      <w:r>
        <w:rPr>
          <w:rFonts w:ascii="Times New Roman" w:hAnsi="Times New Roman"/>
          <w:sz w:val="24"/>
          <w:szCs w:val="24"/>
        </w:rPr>
        <w:t>, Tülay Adali</w:t>
      </w:r>
      <w:r>
        <w:rPr>
          <w:rFonts w:ascii="Times New Roman" w:hAnsi="Times New Roman"/>
          <w:sz w:val="24"/>
          <w:szCs w:val="24"/>
          <w:vertAlign w:val="superscript"/>
        </w:rPr>
        <w:t>4</w:t>
      </w:r>
      <w:r>
        <w:rPr>
          <w:rFonts w:ascii="Times New Roman" w:hAnsi="Times New Roman"/>
          <w:sz w:val="24"/>
          <w:szCs w:val="24"/>
        </w:rPr>
        <w:t>, Xuyun Wen</w:t>
      </w:r>
      <w:r>
        <w:rPr>
          <w:rFonts w:ascii="Times New Roman" w:hAnsi="Times New Roman"/>
          <w:sz w:val="24"/>
          <w:szCs w:val="24"/>
          <w:vertAlign w:val="superscript"/>
        </w:rPr>
        <w:t>1,2</w:t>
      </w:r>
      <w:r>
        <w:rPr>
          <w:rFonts w:ascii="Times New Roman" w:hAnsi="Times New Roman"/>
          <w:sz w:val="24"/>
          <w:szCs w:val="24"/>
        </w:rPr>
        <w:t>, Qi Zhu</w:t>
      </w:r>
      <w:r>
        <w:rPr>
          <w:rFonts w:ascii="Times New Roman" w:hAnsi="Times New Roman"/>
          <w:sz w:val="24"/>
          <w:szCs w:val="24"/>
          <w:vertAlign w:val="superscript"/>
        </w:rPr>
        <w:t>1,2</w:t>
      </w:r>
      <w:r>
        <w:rPr>
          <w:rFonts w:ascii="Times New Roman" w:hAnsi="Times New Roman"/>
          <w:sz w:val="24"/>
          <w:szCs w:val="24"/>
        </w:rPr>
        <w:t>, Rongtao Jiang</w:t>
      </w:r>
      <w:r>
        <w:rPr>
          <w:rFonts w:ascii="Times New Roman" w:hAnsi="Times New Roman"/>
          <w:sz w:val="24"/>
          <w:szCs w:val="24"/>
          <w:vertAlign w:val="superscript"/>
        </w:rPr>
        <w:t>5</w:t>
      </w:r>
      <w:r>
        <w:rPr>
          <w:rFonts w:ascii="Times New Roman" w:hAnsi="Times New Roman"/>
          <w:sz w:val="24"/>
          <w:szCs w:val="24"/>
        </w:rPr>
        <w:t>, Daoqiang Zhang*</w:t>
      </w:r>
      <w:r>
        <w:rPr>
          <w:rFonts w:hint="eastAsia"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  <w:vertAlign w:val="superscript"/>
        </w:rPr>
        <w:t>,2</w:t>
      </w:r>
      <w:r>
        <w:rPr>
          <w:rFonts w:ascii="Times New Roman" w:hAnsi="Times New Roman"/>
          <w:sz w:val="24"/>
          <w:szCs w:val="24"/>
        </w:rPr>
        <w:t>, Shile Qi*</w:t>
      </w:r>
      <w:r>
        <w:rPr>
          <w:rFonts w:hint="eastAsia" w:ascii="Times New Roman" w:hAnsi="Times New Roman"/>
          <w:sz w:val="24"/>
          <w:szCs w:val="24"/>
          <w:vertAlign w:val="superscript"/>
        </w:rPr>
        <w:t>1</w:t>
      </w:r>
      <w:r>
        <w:rPr>
          <w:rFonts w:ascii="Times New Roman" w:hAnsi="Times New Roman"/>
          <w:sz w:val="24"/>
          <w:szCs w:val="24"/>
          <w:vertAlign w:val="superscript"/>
        </w:rPr>
        <w:t>,2</w:t>
      </w:r>
      <w:r>
        <w:rPr>
          <w:rFonts w:ascii="Times New Roman" w:hAnsi="Times New Roman"/>
          <w:sz w:val="24"/>
          <w:szCs w:val="24"/>
        </w:rPr>
        <w:t xml:space="preserve"> and Vince D. Calhoun</w:t>
      </w:r>
      <w:r>
        <w:rPr>
          <w:rFonts w:ascii="Times New Roman" w:hAnsi="Times New Roman"/>
          <w:sz w:val="24"/>
          <w:szCs w:val="24"/>
          <w:vertAlign w:val="superscript"/>
        </w:rPr>
        <w:t>3</w:t>
      </w:r>
    </w:p>
    <w:p>
      <w:pPr>
        <w:adjustRightInd w:val="0"/>
        <w:snapToGrid w:val="0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College of Computer Science and Technology, Nanjing University of Aeronautics and Astronautics, Nanjing, China</w:t>
      </w:r>
    </w:p>
    <w:p>
      <w:pPr>
        <w:adjustRightInd w:val="0"/>
        <w:snapToGrid w:val="0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Key Laboratory of Brain-Machine Intelligence Technology, Ministry of Education, Nanjing, China</w:t>
      </w:r>
    </w:p>
    <w:p>
      <w:pPr>
        <w:autoSpaceDE w:val="0"/>
        <w:autoSpaceDN w:val="0"/>
        <w:adjustRightInd w:val="0"/>
        <w:snapToGrid w:val="0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Tri-institutional Center for Translational Research in Neuroimaging and Data Science (TReNDS), Georgia State University, Georgia Institute of Technology, Emory University, Atlanta, GA, USA</w:t>
      </w:r>
    </w:p>
    <w:p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Times New Roman" w:hAnsi="Times New Roman" w:cs="Times New Roman"/>
          <w:sz w:val="24"/>
          <w:szCs w:val="24"/>
        </w:rPr>
        <w:t>Department of Computer Science and Electrical Engineering, University of Maryland, Baltimore County, Baltimore, MD, USA</w:t>
      </w:r>
    </w:p>
    <w:p>
      <w:pPr>
        <w:widowControl/>
        <w:adjustRightInd w:val="0"/>
        <w:snapToGrid w:val="0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Department of Psychiatry and Neuroscience, Yale School of Medicine, New Haven, CT, USA</w:t>
      </w:r>
      <w:bookmarkStart w:id="7" w:name="_GoBack"/>
      <w:bookmarkEnd w:id="7"/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14:textFill>
            <w14:solidFill>
              <w14:schemeClr w14:val="tx1"/>
            </w14:solidFill>
          </w14:textFill>
        </w:rPr>
        <w:t xml:space="preserve"> </w:t>
      </w:r>
    </w:p>
    <w:p>
      <w:pPr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autoSpaceDE w:val="0"/>
        <w:autoSpaceDN w:val="0"/>
        <w:adjustRightInd w:val="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widowControl/>
        <w:jc w:val="left"/>
      </w:pPr>
      <w:r>
        <w:br w:type="page"/>
      </w:r>
    </w:p>
    <w:p>
      <w:pPr>
        <w:pStyle w:val="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Supplementary information</w:t>
      </w:r>
    </w:p>
    <w:p>
      <w:pPr>
        <w:rPr>
          <w:rFonts w:ascii="Times New Roman" w:hAnsi="Times New Roman" w:cs="Times New Roman"/>
          <w:b/>
          <w:bCs/>
          <w:sz w:val="24"/>
          <w:szCs w:val="24"/>
        </w:rPr>
      </w:pP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_Hlk144198424"/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Table 1. </w:t>
      </w:r>
      <w:r>
        <w:rPr>
          <w:rFonts w:ascii="Times New Roman" w:hAnsi="Times New Roman" w:cs="Times New Roman"/>
          <w:sz w:val="24"/>
          <w:szCs w:val="24"/>
        </w:rPr>
        <w:t>Demographics for FBIRN subjects.</w:t>
      </w:r>
    </w:p>
    <w:bookmarkEnd w:id="2"/>
    <w:tbl>
      <w:tblPr>
        <w:tblStyle w:val="5"/>
        <w:tblW w:w="9766" w:type="dxa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1936"/>
        <w:gridCol w:w="1937"/>
        <w:gridCol w:w="1937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Measure</w:t>
            </w:r>
          </w:p>
        </w:tc>
        <w:tc>
          <w:tcPr>
            <w:tcW w:w="1936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HC</w:t>
            </w:r>
          </w:p>
        </w:tc>
        <w:tc>
          <w:tcPr>
            <w:tcW w:w="1937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SZ</w:t>
            </w:r>
          </w:p>
        </w:tc>
        <w:tc>
          <w:tcPr>
            <w:tcW w:w="1937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number</w:t>
            </w:r>
          </w:p>
        </w:tc>
        <w:tc>
          <w:tcPr>
            <w:tcW w:w="1936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=154</w:t>
            </w:r>
          </w:p>
        </w:tc>
        <w:tc>
          <w:tcPr>
            <w:tcW w:w="1937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=152</w:t>
            </w:r>
          </w:p>
        </w:tc>
        <w:tc>
          <w:tcPr>
            <w:tcW w:w="1937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Age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39.0±11.5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37.4±11.4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0.2414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Gender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(M/F)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114/40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107/45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0.4799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 of samples in site UCI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 of samples in site UCSF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 of samples in site DU/UNC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 of samples in site UNM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 of samples in site UI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Number of samples in site UM</w:t>
            </w:r>
          </w:p>
        </w:tc>
        <w:tc>
          <w:tcPr>
            <w:tcW w:w="1936" w:type="dxa"/>
            <w:tcBorders>
              <w:top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937" w:type="dxa"/>
            <w:tcBorders>
              <w:top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937" w:type="dxa"/>
            <w:tcBorders>
              <w:top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</w:p>
        </w:tc>
      </w:tr>
    </w:tbl>
    <w:p>
      <w:pPr>
        <w:rPr>
          <w:rFonts w:ascii="Times New Roman" w:hAnsi="Times New Roman" w:cs="Times New Roman"/>
          <w:b/>
          <w:bCs/>
          <w:sz w:val="24"/>
          <w:szCs w:val="24"/>
        </w:rPr>
      </w:pP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3" w:name="_Hlk144198447"/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Table 2. </w:t>
      </w:r>
      <w:r>
        <w:rPr>
          <w:rFonts w:ascii="Times New Roman" w:hAnsi="Times New Roman" w:cs="Times New Roman"/>
          <w:sz w:val="24"/>
          <w:szCs w:val="24"/>
        </w:rPr>
        <w:t>Demographics for ABIDE I subjects.</w:t>
      </w:r>
    </w:p>
    <w:bookmarkEnd w:id="3"/>
    <w:tbl>
      <w:tblPr>
        <w:tblStyle w:val="5"/>
        <w:tblW w:w="9766" w:type="dxa"/>
        <w:tblInd w:w="0" w:type="dxa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1936"/>
        <w:gridCol w:w="1937"/>
        <w:gridCol w:w="1937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M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easure</w:t>
            </w:r>
          </w:p>
        </w:tc>
        <w:tc>
          <w:tcPr>
            <w:tcW w:w="1936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H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1937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ASD</w:t>
            </w:r>
          </w:p>
        </w:tc>
        <w:tc>
          <w:tcPr>
            <w:tcW w:w="1937" w:type="dxa"/>
            <w:tcBorders>
              <w:top w:val="single" w:color="auto" w:sz="12" w:space="0"/>
              <w:bottom w:val="single" w:color="auto" w:sz="12" w:space="0"/>
            </w:tcBorders>
            <w:shd w:val="clear" w:color="auto" w:fill="FFFFCC"/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number</w:t>
            </w:r>
          </w:p>
        </w:tc>
        <w:tc>
          <w:tcPr>
            <w:tcW w:w="1936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=100</w:t>
            </w:r>
          </w:p>
        </w:tc>
        <w:tc>
          <w:tcPr>
            <w:tcW w:w="1937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=100</w:t>
            </w:r>
          </w:p>
        </w:tc>
        <w:tc>
          <w:tcPr>
            <w:tcW w:w="1937" w:type="dxa"/>
            <w:tcBorders>
              <w:top w:val="single" w:color="auto" w:sz="12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17.8±7.5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16.4±6.2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.1371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G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ender 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M/F)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</w:t>
            </w:r>
            <w:r>
              <w:rPr>
                <w:rFonts w:hint="eastAsia"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.0116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umber of samples in site NYU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umber of samples in site PITT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umber of samples in site USM</w:t>
            </w:r>
          </w:p>
        </w:tc>
        <w:tc>
          <w:tcPr>
            <w:tcW w:w="1936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dotted" w:color="auto" w:sz="8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956" w:type="dxa"/>
            <w:tcBorders>
              <w:top w:val="dotted" w:color="auto" w:sz="8" w:space="0"/>
              <w:bottom w:val="single" w:color="auto" w:sz="12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umber of samples in site Y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  <w:szCs w:val="24"/>
              </w:rPr>
              <w:t>ale</w:t>
            </w:r>
          </w:p>
        </w:tc>
        <w:tc>
          <w:tcPr>
            <w:tcW w:w="1936" w:type="dxa"/>
            <w:tcBorders>
              <w:top w:val="dotted" w:color="auto" w:sz="8" w:space="0"/>
              <w:bottom w:val="single" w:color="auto" w:sz="12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single" w:color="auto" w:sz="12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37" w:type="dxa"/>
            <w:tcBorders>
              <w:top w:val="dotted" w:color="auto" w:sz="8" w:space="0"/>
              <w:bottom w:val="single" w:color="auto" w:sz="12" w:space="0"/>
            </w:tcBorders>
          </w:tcPr>
          <w:p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</w:tbl>
    <w:p>
      <w:pPr>
        <w:rPr>
          <w:rFonts w:ascii="Times New Roman" w:hAnsi="Times New Roman" w:cs="Times New Roman"/>
          <w:b/>
          <w:bCs/>
          <w:sz w:val="24"/>
          <w:szCs w:val="24"/>
        </w:rPr>
      </w:pPr>
    </w:p>
    <w:p>
      <w:pPr>
        <w:spacing w:line="480" w:lineRule="auto"/>
      </w:pPr>
      <w:r>
        <w:rPr>
          <w:rFonts w:ascii="Times New Roman" w:hAnsi="Times New Roman" w:cs="Times New Roman"/>
          <w:b/>
          <w:bCs/>
          <w:sz w:val="24"/>
          <w:szCs w:val="24"/>
        </w:rPr>
        <w:t>Multi-modality imaging parameters and preprocessing</w:t>
      </w: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FBIRN imaging parameters</w:t>
      </w:r>
    </w:p>
    <w:p>
      <w:pPr>
        <w:spacing w:line="48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FBIRN dataset was collected from seven sites. The same resting-state fMRI parameters were used across all sites: a standard gradient EPI sequence, repetition time (TR)/echo time (TE) = 2,000/30ms, voxel spacing size = 3.4375 × 3.4375 × 4 mm, slice gap = 1 mm, flip angle (FA) = 77°, field of view (FOV) = 220 × 220 mm, and a total of 162 volume. Six of the seven sites used 3-Tesla Siemens Tim Trio scanners, and one site used a 3-Tesla General Electric Discovery MR750 scanner.</w:t>
      </w:r>
    </w:p>
    <w:p>
      <w:pPr>
        <w:spacing w:line="48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sMRI data were also acquired on six 3T Siemens Tim Trio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System and one 3T GE Discovery MR750 scanner using standardized sequences. Siemens MP-RAGE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scan parameters were TR/TE/TI = 2300/2.94/1100 ms, flip angle = 9°, resolution = 256 × 256 × 160. GE IR_SPGR scan parameters were TR/TE/TI = 5.95/1.99/45 ms, FA= 12°, resolution = 256 ×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256 × 166. All scans covered the entire brain with FOV = 220 mm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voxel size = 0.86 × 0.86 ×1.2 mm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>, sagittal scan plane, GRAPPA/ASSET acceleration factor = 2, and NEX = 1.</w:t>
      </w: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ABIDE I imaging parameters</w:t>
      </w:r>
    </w:p>
    <w:p>
      <w:pPr>
        <w:spacing w:line="48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hint="eastAsia"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esting-state fMRI and sMRI parameters were found in the ABIDE I website:  </w:t>
      </w:r>
      <w:r>
        <w:fldChar w:fldCharType="begin"/>
      </w:r>
      <w:r>
        <w:instrText xml:space="preserve"> HYPERLINK "https://fcon_1000.projects.nitrc.org/indi/abide/abide_I.html" </w:instrText>
      </w:r>
      <w:r>
        <w:fldChar w:fldCharType="separate"/>
      </w:r>
      <w:r>
        <w:rPr>
          <w:rStyle w:val="7"/>
          <w:rFonts w:ascii="Times New Roman" w:hAnsi="Times New Roman" w:cs="Times New Roman"/>
          <w:sz w:val="24"/>
          <w:szCs w:val="24"/>
        </w:rPr>
        <w:t>https://fcon_1000.projects.nitrc.org/indi/abide/abide_I.html</w:t>
      </w:r>
      <w:r>
        <w:rPr>
          <w:rStyle w:val="7"/>
          <w:rFonts w:ascii="Times New Roman" w:hAnsi="Times New Roman" w:cs="Times New Roman"/>
          <w:sz w:val="24"/>
          <w:szCs w:val="24"/>
        </w:rPr>
        <w:fldChar w:fldCharType="end"/>
      </w:r>
      <w:r>
        <w:rPr>
          <w:rFonts w:ascii="Times New Roman" w:hAnsi="Times New Roman" w:cs="Times New Roman"/>
          <w:sz w:val="24"/>
          <w:szCs w:val="24"/>
        </w:rPr>
        <w:t>.</w:t>
      </w: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MRI preprocessing</w:t>
      </w:r>
    </w:p>
    <w:p>
      <w:pPr>
        <w:spacing w:line="48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the fMRI data, standard preprocessing based on statistical parametric mapping (SPM12,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http://www.fil.ion.ucl.ac.uk/spm/) under MATLAB 2019 environment included the following: 1) the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first five dummy scans have been discarded to retain only scans when the scanner approach to the steady state; 2) slice timing correction; 3) realignment; 4) normalization to the EPI template with 3 ×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 × 3 mm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resolution; 5) spatial smoothing using a 6-mm full width half-maximum Gaussian kernel;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After that, nuisance covariates (6 head motions + cerebrospinal fluid [CSF] + white matter [WM]) +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global signal were regressed out via a general linear model from the voxel time series, and 7)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calculation of fractional amplitude of low frequency fluctuations (fALFF).</w:t>
      </w:r>
    </w:p>
    <w:p>
      <w:pPr>
        <w:spacing w:line="48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sMRI data were normalized to MNI space using the unified segmentation method in SPM12, resliced to 3 × 3 × 3 mm, and segmented into gray matter (GM), white matter (WM), and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cerebral spinal fluid (CSF) using modulated normalization algorithms, resulting outputs as gray matter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volume (GMV). Then the GMV were smoothed using a Gaussian kernel with a full width at half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maximum (FWHM) = 6 mm. Subject outlier detection was further performed using a spatial Pearson</w:t>
      </w:r>
      <w:r>
        <w:rPr>
          <w:rFonts w:hint="eastAsia"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correlation with the template image to ensure that all subjects were properly segmented.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4" w:name="_Hlk144366040"/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Table </w:t>
      </w:r>
      <w:r>
        <w:rPr>
          <w:rFonts w:hint="eastAsia" w:ascii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The pseudo of optimizing Eq. (</w:t>
      </w:r>
      <w:r>
        <w:rPr>
          <w:rFonts w:hint="eastAsia"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).</w:t>
      </w:r>
    </w:p>
    <w:bookmarkEnd w:id="4"/>
    <w:tbl>
      <w:tblPr>
        <w:tblStyle w:val="5"/>
        <w:tblW w:w="0" w:type="auto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12" w:space="0"/>
          <w:insideV w:val="single" w:color="auto" w:sz="1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89" w:type="dxa"/>
            <w:shd w:val="clear" w:color="auto" w:fill="auto"/>
          </w:tcPr>
          <w:p>
            <w:pP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 xml:space="preserve">Algorithm 1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HMSDA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89" w:type="dxa"/>
          </w:tcPr>
          <w:p>
            <w:pPr>
              <w:spacing w:line="360" w:lineRule="auto"/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 xml:space="preserve">Input: </w:t>
            </w:r>
            <m:oMath>
              <m:sSubSup>
                <m:sSub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S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1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b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,…,</m:t>
              </m:r>
              <m:sSubSup>
                <m:sSub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S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bSup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T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m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h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τ, λ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.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 xml:space="preserve">Initialize: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Randomly initializing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Z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m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and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E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m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, respectively.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Introducing two relaxation variables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J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 xml:space="preserve">m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Z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m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and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N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 xml:space="preserve">m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Z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m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.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.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kern w:val="0"/>
                <w:sz w:val="24"/>
                <w:szCs w:val="24"/>
              </w:rPr>
              <w:t>μ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=1; </w:t>
            </w:r>
            <w:r>
              <w:rPr>
                <w:rFonts w:ascii="Times New Roman" w:hAnsi="Times New Roman" w:cs="Times New Roman"/>
                <w:i/>
                <w:iCs/>
                <w:kern w:val="0"/>
                <w:sz w:val="24"/>
                <w:szCs w:val="24"/>
              </w:rPr>
              <w:t>μ</w:t>
            </w:r>
            <w:r>
              <w:rPr>
                <w:rFonts w:ascii="Times New Roman" w:hAnsi="Times New Roman" w:cs="Times New Roman"/>
                <w:i/>
                <w:iCs/>
                <w:kern w:val="0"/>
                <w:sz w:val="24"/>
                <w:szCs w:val="24"/>
                <w:vertAlign w:val="subscript"/>
              </w:rPr>
              <w:t>max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=10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vertAlign w:val="superscript"/>
              </w:rPr>
              <w:t>30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  <w:kern w:val="0"/>
                <w:sz w:val="24"/>
                <w:szCs w:val="24"/>
              </w:rPr>
              <w:t>ρ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=1.1; </w:t>
            </w:r>
            <w:r>
              <w:rPr>
                <w:rFonts w:ascii="Times New Roman" w:hAnsi="Times New Roman" w:cs="Times New Roman"/>
                <w:i/>
                <w:iCs/>
                <w:kern w:val="0"/>
                <w:sz w:val="24"/>
                <w:szCs w:val="24"/>
              </w:rPr>
              <w:t>ε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=10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  <w:vertAlign w:val="superscript"/>
              </w:rPr>
              <w:t>-8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.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while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not converged do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</w:t>
            </w:r>
            <m:oMath>
              <m:sSubSup>
                <m:sSub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W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b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T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Z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+</m:t>
                      </m:r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E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b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S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b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i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b>
                            <m: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p>
                          </m:sSubSup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'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</m:t>
                  </m:r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μ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Y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1,i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b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S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b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i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b>
                            <m: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p>
                          </m:sSubSup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'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S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i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bSup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sSubSup>
                                <m:sSubSup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SubSup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S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  <m:sub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i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ub>
                                <m: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m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up>
                              </m:sSubSup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</m:d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'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−1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, i=1,…,S</m:t>
              </m:r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</w:t>
            </w:r>
            <m:oMath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H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bSup>
                    <m:sSub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W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bSup>
                  <m:sSubSup>
                    <m:sSub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S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b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,...,</m:t>
                  </m:r>
                  <m:sSubSup>
                    <m:sSub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W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S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bSup>
                  <m:sSubSup>
                    <m:sSub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S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S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bSup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</w:t>
            </w:r>
            <m:oMath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J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r>
                <m:rPr>
                  <m:sty m:val="p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argmin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μ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d>
                        <m:dPr>
                          <m:begChr m:val="‖"/>
                          <m:endChr m:val="‖"/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J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p>
                          </m:sSup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∗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2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SupPr>
                        <m:e>
                          <m:d>
                            <m:dPr>
                              <m:begChr m:val="‖"/>
                              <m:endChr m:val="‖"/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J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  <m: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m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up>
                              </m:s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−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dPr>
                                <m:e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p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Z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p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m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p>
                                  </m:s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+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fPr>
                                    <m:num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 w:eastAsia="等线" w:cs="Times New Roman"/>
                                              <w:i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m:rPr>
                                              <m:sty m:val="bi"/>
                                            </m:rPr>
                                            <w:rPr>
                                              <w:rFonts w:ascii="Cambria Math" w:hAnsi="Cambria Math" w:eastAsia="等线" w:cs="Times New Roman"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  <m:t>Y</m:t>
                                          </m:r>
                                          <m:ctrlPr>
                                            <w:rPr>
                                              <w:rFonts w:ascii="Cambria Math" w:hAnsi="Cambria Math" w:eastAsia="等线" w:cs="Times New Roman"/>
                                              <w:i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</m:ctrlPr>
                                        </m:e>
                                        <m:sub>
                                          <m:r>
                                            <m:rPr/>
                                            <w:rPr>
                                              <w:rFonts w:ascii="Cambria Math" w:hAnsi="Cambria Math" w:eastAsia="等线" w:cs="Times New Roman"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  <m:t>2</m:t>
                                          </m:r>
                                          <m:ctrlPr>
                                            <w:rPr>
                                              <w:rFonts w:ascii="Cambria Math" w:hAnsi="Cambria Math" w:eastAsia="等线" w:cs="Times New Roman"/>
                                              <w:i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</m:ctrlPr>
                                        </m:sub>
                                      </m:sSub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num>
                                    <m:den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μ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den>
                                  </m:f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</m:d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</m:d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F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2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b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Update</w:t>
            </w:r>
            <m:oMath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Z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T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  <m: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m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up>
                              </m:sSup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</m:d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'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T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+2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−1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T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p>
                          </m:sSup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'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H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E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J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N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μ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T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  <m: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m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up>
                              </m:sSup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</m:d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'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Y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1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Y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2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Y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3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</w:t>
            </w:r>
            <m:oMath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E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r>
                <m:rPr>
                  <m:sty m:val="p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argmin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τ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μ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d>
                        <m:dPr>
                          <m:begChr m:val="‖"/>
                          <m:endChr m:val="‖"/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E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p>
                          </m:sSup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2,1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2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bSup>
                        <m:sSub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SupPr>
                        <m:e>
                          <m:d>
                            <m:dPr>
                              <m:begChr m:val="‖"/>
                              <m:endChr m:val="‖"/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sSup>
                                <m:sSup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SupPr>
                                <m:e>
                                  <m:r>
                                    <m:rPr>
                                      <m:sty m:val="bi"/>
                                    </m:rPr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E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  <m: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m</m:t>
                                  </m: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sup>
                              </m:s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−</m:t>
                              </m:r>
                              <m:d>
                                <m:dPr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dPr>
                                <m:e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p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H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p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m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p>
                                  </m:s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−</m:t>
                                  </m:r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p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T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p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m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p>
                                  </m:sSup>
                                  <m:sSup>
                                    <m:sSup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p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Z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p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m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p>
                                  </m:sSup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+</m:t>
                                  </m:r>
                                  <m:f>
                                    <m:f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fPr>
                                    <m:num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hAnsi="Cambria Math" w:eastAsia="等线" w:cs="Times New Roman"/>
                                              <w:i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m:rPr>
                                              <m:sty m:val="bi"/>
                                            </m:rPr>
                                            <w:rPr>
                                              <w:rFonts w:ascii="Cambria Math" w:hAnsi="Cambria Math" w:eastAsia="等线" w:cs="Times New Roman"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  <m:t>Y</m:t>
                                          </m:r>
                                          <m:ctrlPr>
                                            <w:rPr>
                                              <w:rFonts w:ascii="Cambria Math" w:hAnsi="Cambria Math" w:eastAsia="等线" w:cs="Times New Roman"/>
                                              <w:i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</m:ctrlPr>
                                        </m:e>
                                        <m:sub>
                                          <m:r>
                                            <m:rPr/>
                                            <w:rPr>
                                              <w:rFonts w:ascii="Cambria Math" w:hAnsi="Cambria Math" w:eastAsia="等线" w:cs="Times New Roman"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  <m:t>1</m:t>
                                          </m:r>
                                          <m:ctrlPr>
                                            <w:rPr>
                                              <w:rFonts w:ascii="Cambria Math" w:hAnsi="Cambria Math" w:eastAsia="等线" w:cs="Times New Roman"/>
                                              <w:i/>
                                              <w:kern w:val="0"/>
                                              <w:sz w:val="24"/>
                                              <w:szCs w:val="24"/>
                                            </w:rPr>
                                          </m:ctrlPr>
                                        </m:sub>
                                      </m:sSub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num>
                                    <m:den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μ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den>
                                  </m:f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</m:d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</m:d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F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2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b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</w:t>
            </w:r>
            <m:oMath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N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Y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3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+μ</m:t>
                  </m:r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Z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λ</m:t>
                      </m:r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L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ℎ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+μ</m:t>
                      </m:r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−1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multipliers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1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and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via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1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1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μ</w:t>
            </w:r>
            <m:oMath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H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</m:t>
                  </m:r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T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Z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2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2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μ</w:t>
            </w:r>
            <m:oMath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Z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</m:t>
                  </m:r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J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3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3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+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μ</w:t>
            </w:r>
            <m:oMath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Z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</m:t>
                  </m:r>
                  <m:sSup>
                    <m:s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N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p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Update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μ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via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 xml:space="preserve">μ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= min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(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ρμ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μ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bscript"/>
              </w:rPr>
              <w:t>max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);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Check the convergence conditions: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H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T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Z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∞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&lt;ε</m:t>
              </m:r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Z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J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∞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&lt;ε</m:t>
              </m:r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Z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p>
                        <m:s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N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∞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&lt;ε</m:t>
              </m:r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 xml:space="preserve">t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t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+1;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end while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Output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: </w:t>
            </w:r>
            <m:oMath>
              <m:sSubSup>
                <m:sSub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W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b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,</m:t>
              </m:r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Z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,</m:t>
              </m:r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E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, i=1,...,S</m:t>
              </m:r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.</w:t>
            </w:r>
          </w:p>
        </w:tc>
      </w:tr>
    </w:tbl>
    <w:p>
      <w:pPr>
        <w:rPr>
          <w:rFonts w:ascii="Times New Roman" w:hAnsi="Times New Roman" w:cs="Times New Roman"/>
          <w:sz w:val="24"/>
          <w:szCs w:val="24"/>
        </w:rPr>
      </w:pPr>
    </w:p>
    <w:p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Supplementary Table </w:t>
      </w:r>
      <w:r>
        <w:rPr>
          <w:rFonts w:hint="eastAsia"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The pseudo of optimizing Eq. (</w:t>
      </w:r>
      <w:r>
        <w:rPr>
          <w:rFonts w:hint="eastAsia"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>).</w:t>
      </w:r>
    </w:p>
    <w:tbl>
      <w:tblPr>
        <w:tblStyle w:val="5"/>
        <w:tblW w:w="0" w:type="auto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single" w:color="auto" w:sz="12" w:space="0"/>
          <w:insideV w:val="single" w:color="auto" w:sz="12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89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89" w:type="dxa"/>
            <w:shd w:val="clear" w:color="auto" w:fill="auto"/>
          </w:tcPr>
          <w:p>
            <w:pP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 xml:space="preserve">Algorithm 2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LOSMFS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single" w:color="auto" w:sz="12" w:space="0"/>
            <w:insideV w:val="single" w:color="auto" w:sz="1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789" w:type="dxa"/>
          </w:tcPr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Input:</w:t>
            </w:r>
            <w:r>
              <w:rPr>
                <w:rFonts w:ascii="Cambria Math" w:hAnsi="Cambria Math" w:cs="Times New Roman"/>
                <w:b/>
                <w:i/>
                <w:color w:val="FF0000"/>
                <w:sz w:val="24"/>
                <w:szCs w:val="24"/>
              </w:rPr>
              <w:t xml:space="preserve">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b/>
                      <w:i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X</m:t>
                  </m:r>
                  <m:ctrlPr>
                    <w:rPr>
                      <w:rFonts w:ascii="Cambria Math" w:hAnsi="Cambria Math" w:cs="Times New Roman"/>
                      <w:b/>
                      <w:i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e>
                <m:sup>
                  <m:r>
                    <m:rPr/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m</m:t>
                  </m:r>
                  <m:ctrlPr>
                    <w:rPr>
                      <w:rFonts w:ascii="Cambria Math" w:hAnsi="Cambria Math" w:cs="Times New Roman"/>
                      <w:b/>
                      <w:i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up>
              </m:sSup>
              <m:r>
                <m:rPr>
                  <m:sty m:val="bi"/>
                </m:rPr>
                <w:rPr>
                  <w:rFonts w:ascii="Cambria Math" w:hAnsi="Cambria Math" w:cs="Times New Roman"/>
                  <w:color w:val="000000" w:themeColor="text1"/>
                  <w:sz w:val="24"/>
                  <w:szCs w:val="24"/>
                  <w14:textFill>
                    <w14:solidFill>
                      <w14:schemeClr w14:val="tx1"/>
                    </w14:solidFill>
                  </w14:textFill>
                </w:rPr>
                <m:t>∈</m:t>
              </m:r>
              <m:sSup>
                <m:sSupPr>
                  <m:ctrlPr>
                    <w:rPr>
                      <w:rFonts w:ascii="Cambria Math" w:hAnsi="Cambria Math" w:cs="Times New Roman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SupPr>
                <m:e>
                  <m:r>
                    <m:rPr>
                      <m:sty m:val="bi"/>
                      <m:scr m:val="double-struck"/>
                    </m:rP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ℝ</m:t>
                  </m:r>
                  <m:ctrlPr>
                    <w:rPr>
                      <w:rFonts w:ascii="Cambria Math" w:hAnsi="Cambria Math" w:cs="Times New Roman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e>
                <m:sup>
                  <m:sSub>
                    <m:sSubPr>
                      <m:ctrlPr>
                        <w:rPr>
                          <w:rFonts w:ascii="Cambria Math" w:hAnsi="Cambria Math" w:eastAsia="宋体" w:cs="Times New Roman"/>
                          <w:i/>
                          <w:color w:val="000000" w:themeColor="text1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m:ctrlPr>
                    </m:sSubPr>
                    <m:e>
                      <m:r>
                        <m:rPr/>
                        <w:rPr>
                          <w:rFonts w:ascii="Cambria Math" w:hAnsi="Cambria Math" w:eastAsia="宋体" w:cs="Times New Roman"/>
                          <w:color w:val="000000" w:themeColor="text1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m:t>D</m:t>
                      </m:r>
                      <m:ctrlPr>
                        <w:rPr>
                          <w:rFonts w:ascii="Cambria Math" w:hAnsi="Cambria Math" w:eastAsia="宋体" w:cs="Times New Roman"/>
                          <w:i/>
                          <w:color w:val="000000" w:themeColor="text1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宋体" w:cs="Times New Roman"/>
                          <w:color w:val="000000" w:themeColor="text1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m:t>m</m:t>
                      </m:r>
                      <m:ctrlPr>
                        <w:rPr>
                          <w:rFonts w:ascii="Cambria Math" w:hAnsi="Cambria Math" w:eastAsia="宋体" w:cs="Times New Roman"/>
                          <w:i/>
                          <w:color w:val="000000" w:themeColor="text1"/>
                          <w:sz w:val="24"/>
                          <w:szCs w:val="24"/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 w:eastAsia="宋体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×N</m:t>
                  </m:r>
                  <m:ctrlPr>
                    <w:rPr>
                      <w:rFonts w:ascii="Cambria Math" w:hAnsi="Cambria Math" w:cs="Times New Roman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up>
              </m:sSup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y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perscript"/>
              </w:rPr>
              <w:t>m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m:oMath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y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1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,...,</m:t>
                      </m:r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y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n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,...,</m:t>
                      </m:r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y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N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T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∈</m:t>
              </m:r>
              <m:sSup>
                <m:sSup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pPr>
                <m:e>
                  <m:r>
                    <m:rPr>
                      <m:scr m:val="double-struck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ℝ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N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p>
              </m:sSup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m:oMath>
              <m:sSup>
                <m:sSupPr>
                  <m:ctrlPr>
                    <w:rPr>
                      <w:rFonts w:ascii="Cambria Math" w:hAnsi="Cambria Math" w:cs="Times New Roman"/>
                      <w:b/>
                      <w:i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L</m:t>
                  </m:r>
                  <m:ctrlPr>
                    <w:rPr>
                      <w:rFonts w:ascii="Cambria Math" w:hAnsi="Cambria Math" w:cs="Times New Roman"/>
                      <w:b/>
                      <w:i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e>
                <m:sup>
                  <m:r>
                    <m:rPr/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m</m:t>
                  </m:r>
                  <m:ctrlPr>
                    <w:rPr>
                      <w:rFonts w:ascii="Cambria Math" w:hAnsi="Cambria Math" w:cs="Times New Roman"/>
                      <w:b/>
                      <w:i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up>
              </m:sSup>
              <m:r>
                <m:rPr>
                  <m:sty m:val="bi"/>
                </m:rPr>
                <w:rPr>
                  <w:rFonts w:ascii="Cambria Math" w:hAnsi="Cambria Math" w:cs="Times New Roman"/>
                  <w:color w:val="000000" w:themeColor="text1"/>
                  <w:sz w:val="24"/>
                  <w:szCs w:val="24"/>
                  <w14:textFill>
                    <w14:solidFill>
                      <w14:schemeClr w14:val="tx1"/>
                    </w14:solidFill>
                  </w14:textFill>
                </w:rPr>
                <m:t>∈</m:t>
              </m:r>
              <m:sSup>
                <m:sSupPr>
                  <m:ctrlPr>
                    <w:rPr>
                      <w:rFonts w:ascii="Cambria Math" w:hAnsi="Cambria Math" w:cs="Times New Roman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SupPr>
                <m:e>
                  <m:r>
                    <m:rPr>
                      <m:sty m:val="bi"/>
                      <m:scr m:val="double-struck"/>
                    </m:rP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ℝ</m:t>
                  </m:r>
                  <m:ctrlPr>
                    <w:rPr>
                      <w:rFonts w:ascii="Cambria Math" w:hAnsi="Cambria Math" w:cs="Times New Roman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e>
                <m:sup>
                  <m:r>
                    <m:rPr/>
                    <w:rPr>
                      <w:rFonts w:ascii="Cambria Math" w:hAnsi="Cambria Math" w:eastAsia="宋体" w:cs="Times New Roman"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  <m:t>N×N</m:t>
                  </m:r>
                  <m:ctrlPr>
                    <w:rPr>
                      <w:rFonts w:ascii="Cambria Math" w:hAnsi="Cambria Math" w:cs="Times New Roman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14:textFill>
                        <w14:solidFill>
                          <w14:schemeClr w14:val="tx1"/>
                        </w14:solidFill>
                      </w14:textFill>
                    </w:rPr>
                  </m:ctrlPr>
                </m:sup>
              </m:sSup>
            </m:oMath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Initialize: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α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≥0,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β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≥0,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0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&gt;0,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 xml:space="preserve"> σ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&gt;1,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0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1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= 0,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 xml:space="preserve"> ρ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0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= 1, separating the objective function into the smooth part and non-smooth part as following: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m:oMath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f</m:t>
              </m:r>
              <m:r>
                <m:rPr>
                  <m:sty m:val="p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(</m:t>
              </m:r>
              <m:r>
                <m:rPr>
                  <m:sty m:val="bi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P</m:t>
              </m:r>
              <m:r>
                <m:rPr>
                  <m:sty m:val="p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)=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fPr>
                <m:num>
                  <m:r>
                    <m:rPr/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num>
                <m:den>
                  <m:r>
                    <m:rPr/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den>
              </m:f>
              <m:nary>
                <m:naryPr>
                  <m:chr m:val="∑"/>
                  <m:limLoc m:val="undOvr"/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naryPr>
                <m:sub>
                  <m:r>
                    <m:rPr/>
                    <w:rPr>
                      <w:rFonts w:ascii="Cambria Math" w:hAnsi="Cambria Math" w:cs="Times New Roman"/>
                      <w:sz w:val="24"/>
                      <w:szCs w:val="24"/>
                    </w:rPr>
                    <m:t>m=1</m:t>
                  </m: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ub>
                <m:sup>
                  <m:r>
                    <m:rPr/>
                    <w:rPr>
                      <w:rFonts w:ascii="Cambria Math" w:hAnsi="Cambria Math" w:cs="Times New Roman"/>
                      <w:sz w:val="24"/>
                      <w:szCs w:val="24"/>
                    </w:rPr>
                    <m:t>M</m:t>
                  </m: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up>
                <m:e>
                  <m:sSubSup>
                    <m:sSub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SubSupPr>
                    <m:e>
                      <m:d>
                        <m:dPr>
                          <m:begChr m:val="‖"/>
                          <m:endChr m:val="‖"/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dPr>
                        <m:e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b/>
                                  <w:i/>
                                  <w:sz w:val="24"/>
                                  <w:szCs w:val="24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y</m:t>
                              </m:r>
                              <m:ctrlPr>
                                <w:rPr>
                                  <w:rFonts w:ascii="Cambria Math" w:hAnsi="Cambria Math" w:cs="Times New Roman"/>
                                  <w:b/>
                                  <w:i/>
                                  <w:sz w:val="24"/>
                                  <w:szCs w:val="24"/>
                                </w:rPr>
                              </m:ctrlPr>
                            </m:e>
                            <m:sup>
                              <m:r>
                                <m:rPr/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cs="Times New Roman"/>
                                  <w:b/>
                                  <w:i/>
                                  <w:sz w:val="24"/>
                                  <w:szCs w:val="24"/>
                                </w:rPr>
                              </m:ctrlPr>
                            </m:sup>
                          </m:sSup>
                          <m:r>
                            <m:rPr/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−</m:t>
                          </m:r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X</m:t>
                              </m:r>
                              <m:ctrlPr>
                                <w:rPr>
                                  <w:rFonts w:ascii="Cambria Math" w:hAnsi="Cambria Math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m:ctrlPr>
                            </m:e>
                            <m:sup>
                              <m:r>
                                <m:rPr/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m:ctrlPr>
                            </m:sup>
                          </m:sSup>
                          <m:sSup>
                            <m:sSupPr>
                              <m:ctrlPr>
                                <w:rPr>
                                  <w:rFonts w:ascii="Cambria Math" w:hAnsi="Cambria Math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m:ctrlPr>
                            </m:sSupPr>
                            <m:e>
                              <m:r>
                                <m:rPr>
                                  <m:sty m:val="bi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</m:t>
                              </m:r>
                              <m:ctrlPr>
                                <w:rPr>
                                  <w:rFonts w:ascii="Cambria Math" w:hAnsi="Cambria Math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m:ctrlPr>
                            </m:e>
                            <m:sup>
                              <m:r>
                                <m:rPr/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m</m:t>
                              </m:r>
                              <m:ctrlPr>
                                <w:rPr>
                                  <w:rFonts w:ascii="Cambria Math" w:hAnsi="Cambria Math" w:cs="Times New Roman"/>
                                  <w:i/>
                                  <w:iCs/>
                                  <w:sz w:val="24"/>
                                  <w:szCs w:val="24"/>
                                </w:rPr>
                              </m:ctrlPr>
                            </m:sup>
                          </m:sSup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F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p>
                  </m:sSubSup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e>
              </m:nary>
              <m:r>
                <m:rPr/>
                <w:rPr>
                  <w:rFonts w:ascii="Cambria Math" w:hAnsi="Cambria Math" w:cs="Times New Roman"/>
                  <w:sz w:val="24"/>
                  <w:szCs w:val="24"/>
                </w:rPr>
                <m:t>+βtr</m:t>
              </m:r>
              <m:d>
                <m:dP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p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T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p>
                  </m:sSup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X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p>
                  </m:sSup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L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p>
                  </m:sSup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sSup>
                        <m:sSupP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X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e>
                        <m:sup>
                          <m:r>
                            <m:rPr/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m</m:t>
                          </m:r>
                          <m:ctrlPr>
                            <w:rPr>
                              <w:rFonts w:ascii="Cambria Math" w:hAnsi="Cambria Math" w:cs="Times New Roman"/>
                              <w:i/>
                              <w:iCs/>
                              <w:sz w:val="24"/>
                              <w:szCs w:val="24"/>
                            </w:rPr>
                          </m:ctrlPr>
                        </m:sup>
                      </m:sSup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T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p>
                  </m:sSup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Sup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  <m:sup>
                      <m:r>
                        <m:rPr/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m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sup>
                  </m:sSup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m:oMath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g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P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r>
                <m:rPr/>
                <w:rPr>
                  <w:rFonts w:ascii="Cambria Math" w:hAnsi="Cambria Math" w:cs="Times New Roman"/>
                  <w:sz w:val="24"/>
                  <w:szCs w:val="24"/>
                </w:rPr>
                <m:t>α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cs="Times New Roman"/>
                          <w:i/>
                          <w:iCs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cs="Times New Roman"/>
                      <w:sz w:val="24"/>
                      <w:szCs w:val="24"/>
                    </w:rPr>
                    <m:t>2,1</m:t>
                  </m:r>
                  <m:ctrlPr>
                    <w:rPr>
                      <w:rFonts w:ascii="Cambria Math" w:hAnsi="Cambria Math" w:cs="Times New Roman"/>
                      <w:i/>
                      <w:iCs/>
                      <w:sz w:val="24"/>
                      <w:szCs w:val="24"/>
                    </w:rPr>
                  </m:ctrlPr>
                </m:sub>
              </m:sSub>
            </m:oMath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等线" w:cs="Times New Roman"/>
                <w:kern w:val="0"/>
                <w:sz w:val="24"/>
                <w:szCs w:val="24"/>
              </w:rPr>
              <w:t>D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efine the approximation function</w:t>
            </w: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 xml:space="preserve"> </w:t>
            </w: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Ω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l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d>
                <m:dPr>
                  <m:ctrlPr>
                    <w:rPr>
                      <w:rFonts w:ascii="Cambria Math" w:hAnsi="Cambria Math" w:eastAsia="等线" w:cs="Times New Roman"/>
                      <w:b/>
                      <w:bCs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 xml:space="preserve">P, </m:t>
                  </m:r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ctrlPr>
                    <w:rPr>
                      <w:rFonts w:ascii="Cambria Math" w:hAnsi="Cambria Math" w:eastAsia="等线" w:cs="Times New Roman"/>
                      <w:b/>
                      <w:bCs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: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Ω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l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d>
                <m:dPr>
                  <m:ctrlPr>
                    <w:rPr>
                      <w:rFonts w:ascii="Cambria Math" w:hAnsi="Cambria Math" w:eastAsia="等线" w:cs="Times New Roman"/>
                      <w:b/>
                      <w:bCs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 xml:space="preserve">P, </m:t>
                  </m:r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ctrlPr>
                    <w:rPr>
                      <w:rFonts w:ascii="Cambria Math" w:hAnsi="Cambria Math" w:eastAsia="等线" w:cs="Times New Roman"/>
                      <w:b/>
                      <w:bCs/>
                      <w:i/>
                      <w:kern w:val="0"/>
                      <w:sz w:val="24"/>
                      <w:szCs w:val="24"/>
                    </w:rPr>
                  </m:ctrlPr>
                </m:e>
              </m:d>
              <m:r>
                <m:rPr>
                  <m:sty m:val="bi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f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  <m:r>
                <m:rPr>
                  <m:sty m:val="bi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+</m:t>
              </m:r>
              <m:d>
                <m:dPr>
                  <m:begChr m:val="〈"/>
                  <m:endChr m:val="〉"/>
                  <m:ctrlPr>
                    <w:rPr>
                      <w:rFonts w:ascii="Cambria Math" w:hAnsi="Cambria Math" w:eastAsia="等线" w:cs="Times New Roman"/>
                      <w:b/>
                      <w:bCs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P−</m:t>
                  </m:r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 xml:space="preserve">, </m:t>
                  </m:r>
                  <m:r>
                    <m:rPr>
                      <m:sty m:val="p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∇</m:t>
                  </m:r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f</m:t>
                  </m:r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b/>
                              <w:bCs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P</m:t>
                          </m:r>
                          <m:ctrlPr>
                            <w:rPr>
                              <w:rFonts w:ascii="Cambria Math" w:hAnsi="Cambria Math" w:eastAsia="等线" w:cs="Times New Roman"/>
                              <w:b/>
                              <w:bCs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i</m:t>
                          </m:r>
                          <m:ctrlPr>
                            <w:rPr>
                              <w:rFonts w:ascii="Cambria Math" w:hAnsi="Cambria Math" w:eastAsia="等线" w:cs="Times New Roman"/>
                              <w:b/>
                              <w:bCs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b/>
                      <w:bCs/>
                      <w:i/>
                      <w:kern w:val="0"/>
                      <w:sz w:val="24"/>
                      <w:szCs w:val="24"/>
                    </w:rPr>
                  </m:ctrlPr>
                </m:e>
              </m:d>
              <m:r>
                <m:rPr>
                  <m:sty m:val="bi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+</m:t>
              </m:r>
              <m:f>
                <m:f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fPr>
                <m:num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l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num>
                <m:den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2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en>
              </m:f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‖"/>
                      <m:endChr m:val="‖"/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−</m:t>
                      </m:r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P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i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F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r>
                <m:rPr>
                  <m:sty m:val="bi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+</m:t>
              </m:r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g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P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hint="eastAsia"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 xml:space="preserve">for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i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=1 to max iteration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I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 xml:space="preserve">Compute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kern w:val="0"/>
                <w:sz w:val="24"/>
                <w:szCs w:val="24"/>
              </w:rPr>
              <w:t>Q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 xml:space="preserve"> by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kern w:val="0"/>
                <w:sz w:val="24"/>
                <w:szCs w:val="24"/>
              </w:rPr>
              <w:t>Q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  <w:vertAlign w:val="subscript"/>
              </w:rPr>
              <w:t xml:space="preserve">i </w:t>
            </w: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 xml:space="preserve">=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</w:rPr>
              <w:t>+ γ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eastAsia="等线" w:cs="Times New Roman"/>
                <w:b/>
                <w:bCs/>
                <w:i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 xml:space="preserve"> -</w:t>
            </w:r>
            <w:r>
              <w:rPr>
                <w:rFonts w:ascii="Times New Roman" w:hAnsi="Times New Roman" w:eastAsia="等线" w:cs="Times New Roman"/>
                <w:b/>
                <w:bCs/>
                <w:i/>
                <w:kern w:val="0"/>
                <w:sz w:val="24"/>
                <w:szCs w:val="24"/>
              </w:rPr>
              <w:t xml:space="preserve"> P</w:t>
            </w:r>
            <w:r>
              <w:rPr>
                <w:rFonts w:ascii="Times New Roman" w:hAnsi="Times New Roman" w:eastAsia="等线" w:cs="Times New Roman"/>
                <w:i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  <w:vertAlign w:val="subscript"/>
              </w:rPr>
              <w:t>-1</w:t>
            </w:r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 xml:space="preserve">), with </w:t>
            </w: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γ</m:t>
                  </m: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</m:t>
                  </m: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sub>
              </m:sSub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f>
                <m:fP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ρ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i−1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−1</m:t>
                  </m: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num>
                <m:den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ρ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den>
              </m:f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 xml:space="preserve">, </m:t>
              </m:r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ρ</m:t>
                  </m: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</m:t>
                  </m: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sub>
              </m:sSub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f>
                <m:fP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fPr>
                <m:num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1+</m:t>
                  </m:r>
                  <m:rad>
                    <m:radPr>
                      <m:degHide m:val="1"/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radPr>
                    <m:deg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deg>
                    <m:e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1+4</m:t>
                      </m:r>
                      <m:sSubSup>
                        <m:sSubSupPr>
                          <m:ctrlPr>
                            <w:rPr>
                              <w:rFonts w:ascii="Cambria Math" w:hAnsi="Cambria Math" w:eastAsia="等线" w:cs="Times New Roman"/>
                              <w:i/>
                              <w:iCs/>
                              <w:kern w:val="0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ρ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iCs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i−1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iCs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  <m: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2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iCs/>
                              <w:kern w:val="0"/>
                              <w:sz w:val="24"/>
                              <w:szCs w:val="24"/>
                            </w:rPr>
                          </m:ctrlPr>
                        </m:sup>
                      </m:sSubSup>
                      <m:ctrlPr>
                        <w:rPr>
                          <w:rFonts w:ascii="Cambria Math" w:hAnsi="Cambria Math" w:eastAsia="等线" w:cs="Times New Roman"/>
                          <w:i/>
                          <w:iCs/>
                          <w:kern w:val="0"/>
                          <w:sz w:val="24"/>
                          <w:szCs w:val="24"/>
                        </w:rPr>
                      </m:ctrlPr>
                    </m:e>
                  </m:rad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num>
                <m:den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2</m:t>
                  </m:r>
                  <m:ctrlPr>
                    <w:rPr>
                      <w:rFonts w:ascii="Cambria Math" w:hAnsi="Cambria Math" w:eastAsia="等线" w:cs="Times New Roman"/>
                      <w:i/>
                      <w:iCs/>
                      <w:kern w:val="0"/>
                      <w:sz w:val="24"/>
                      <w:szCs w:val="24"/>
                    </w:rPr>
                  </m:ctrlPr>
                </m:den>
              </m:f>
            </m:oMath>
            <w:r>
              <w:rPr>
                <w:rFonts w:ascii="Times New Roman" w:hAnsi="Times New Roman" w:eastAsia="等线" w:cs="Times New Roman"/>
                <w:iCs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=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-1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while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f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(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+1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) + </w:t>
            </w:r>
            <m:oMath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g</m:t>
              </m:r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(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>+1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) &gt;</w:t>
            </w: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Ω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l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i+1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 xml:space="preserve">, </m:t>
                  </m:r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Q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= 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σl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Compute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P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bscript"/>
              </w:rPr>
              <w:t>i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  <w:vertAlign w:val="subscript"/>
              </w:rPr>
              <w:t xml:space="preserve">+1 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using </w:t>
            </w:r>
            <m:oMath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P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i+1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r>
                <m:rPr>
                  <m:sty m:val="p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  <w:vertAlign w:val="subscript"/>
                </w:rPr>
                <m:t>=</m:t>
              </m:r>
              <m:func>
                <m:func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funcPr>
                <m:fName>
                  <m:limLow>
                    <m:limLow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limLow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arg min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lim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lim>
                  </m:limLow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fName>
                <m:e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2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sSubSup>
                    <m:sSubSup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SubSupPr>
                    <m:e>
                      <m:d>
                        <m:dPr>
                          <m:begChr m:val="‖"/>
                          <m:endChr m:val="‖"/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P</m:t>
                          </m:r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−</m:t>
                          </m:r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V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F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2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</m:sSubSup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l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g</m:t>
                  </m:r>
                  <m:d>
                    <m:d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d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func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+</m:t>
              </m:r>
              <m:func>
                <m:func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funcPr>
                <m:fName>
                  <m:limLow>
                    <m:limLow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limLow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arg min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lim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p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1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,  ...,</m:t>
                      </m:r>
                      <m:sSub>
                        <m:sSub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p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  <m:sub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d</m:t>
                          </m: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sub>
                      </m:sSub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lim>
                  </m:limLow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fName>
                <m:e>
                  <m:f>
                    <m:fP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fPr>
                    <m:num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um>
                    <m:den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2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den>
                  </m:f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naryPr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j=1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  <m:sup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d</m:t>
                      </m:r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sup>
                    <m:e>
                      <m:d>
                        <m:dPr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dPr>
                        <m:e>
                          <m:sSubSup>
                            <m:sSubSup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bSupPr>
                            <m:e>
                              <m:d>
                                <m:dPr>
                                  <m:begChr m:val="‖"/>
                                  <m:endChr m:val="‖"/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b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p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b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j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b>
                                  </m:sSub>
                                  <m:r>
                                    <m:rPr/>
                                    <w:rPr>
                                      <w:rFonts w:ascii="Cambria Math" w:hAnsi="Cambria Math" w:eastAsia="等线" w:cs="Times New Roman"/>
                                      <w:kern w:val="0"/>
                                      <w:sz w:val="24"/>
                                      <w:szCs w:val="24"/>
                                    </w:rPr>
                                    <m:t>−</m:t>
                                  </m:r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b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v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b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j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b>
                                  </m:sSub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</m:d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b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2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b>
                            <m:sup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2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p>
                          </m:sSubSup>
                          <m:r>
                            <m:rPr/>
                            <w:rPr>
                              <w:rFonts w:ascii="Cambria Math" w:hAnsi="Cambria Math" w:eastAsia="等线" w:cs="Times New Roman"/>
                              <w:kern w:val="0"/>
                              <w:sz w:val="24"/>
                              <w:szCs w:val="24"/>
                            </w:rPr>
                            <m:t>+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fPr>
                            <m:num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α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num>
                            <m:den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l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den>
                          </m:f>
                          <m:sSub>
                            <m:sSubP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SubPr>
                            <m:e>
                              <m:d>
                                <m:dPr>
                                  <m:begChr m:val="‖"/>
                                  <m:endChr m:val="‖"/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dPr>
                                <m:e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SubPr>
                                    <m:e>
                                      <m:r>
                                        <m:rPr>
                                          <m:sty m:val="bi"/>
                                        </m:rPr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p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e>
                                    <m:sub>
                                      <m:r>
                                        <m:rPr/>
                                        <w:rPr>
                                          <w:rFonts w:ascii="Cambria Math" w:hAnsi="Cambria Math" w:eastAsia="等线" w:cs="Times New Roman"/>
                                          <w:kern w:val="0"/>
                                          <w:sz w:val="24"/>
                                          <w:szCs w:val="24"/>
                                        </w:rPr>
                                        <m:t>j</m:t>
                                      </m:r>
                                      <m:ctrlPr>
                                        <w:rPr>
                                          <w:rFonts w:ascii="Cambria Math" w:hAnsi="Cambria Math" w:eastAsia="等线" w:cs="Times New Roman"/>
                                          <w:i/>
                                          <w:kern w:val="0"/>
                                          <w:sz w:val="24"/>
                                          <w:szCs w:val="24"/>
                                        </w:rPr>
                                      </m:ctrlPr>
                                    </m:sub>
                                  </m:sSub>
                                  <m:ctrlPr>
                                    <w:rPr>
                                      <w:rFonts w:ascii="Cambria Math" w:hAnsi="Cambria Math" w:eastAsia="等线" w:cs="Times New Roman"/>
                                      <w:i/>
                                      <w:kern w:val="0"/>
                                      <w:sz w:val="24"/>
                                      <w:szCs w:val="24"/>
                                    </w:rPr>
                                  </m:ctrlPr>
                                </m:e>
                              </m:d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e>
                            <m:sub>
                              <m:r>
                                <m:rPr/>
                                <w:rPr>
                                  <w:rFonts w:ascii="Cambria Math" w:hAnsi="Cambria Math" w:eastAsia="等线" w:cs="Times New Roman"/>
                                  <w:kern w:val="0"/>
                                  <w:sz w:val="24"/>
                                  <w:szCs w:val="24"/>
                                </w:rPr>
                                <m:t>2</m:t>
                              </m:r>
                              <m:ctrlPr>
                                <w:rPr>
                                  <w:rFonts w:ascii="Cambria Math" w:hAnsi="Cambria Math" w:eastAsia="等线" w:cs="Times New Roman"/>
                                  <w:i/>
                                  <w:kern w:val="0"/>
                                  <w:sz w:val="24"/>
                                  <w:szCs w:val="24"/>
                                </w:rPr>
                              </m:ctrlPr>
                            </m:sub>
                          </m:sSub>
                          <m:ctrlPr>
                            <w:rPr>
                              <w:rFonts w:ascii="Cambria Math" w:hAnsi="Cambria Math" w:eastAsia="等线" w:cs="Times New Roman"/>
                              <w:i/>
                              <w:kern w:val="0"/>
                              <w:sz w:val="24"/>
                              <w:szCs w:val="24"/>
                            </w:rPr>
                          </m:ctrlPr>
                        </m:e>
                      </m:d>
                      <m:ctrlPr>
                        <w:rPr>
                          <w:rFonts w:ascii="Cambria Math" w:hAnsi="Cambria Math" w:eastAsia="等线" w:cs="Times New Roman"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</m:nary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func>
            </m:oMath>
            <w:r>
              <w:rPr>
                <w:rFonts w:hint="eastAsia" w:ascii="Times New Roman" w:hAnsi="Times New Roman" w:eastAsia="等线" w:cs="Times New Roman"/>
                <w:kern w:val="0"/>
                <w:sz w:val="24"/>
                <w:szCs w:val="24"/>
              </w:rPr>
              <w:t>,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 with </w:t>
            </w:r>
            <m:oMath>
              <m:r>
                <m:rPr>
                  <m:sty m:val="bi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V</m:t>
              </m:r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=</m:t>
              </m:r>
              <m:sSub>
                <m:sSub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P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  <m:sub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i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sub>
              </m:sSub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−</m:t>
              </m:r>
              <m:f>
                <m:f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fPr>
                <m:num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1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num>
                <m:den>
                  <m:r>
                    <m:rPr/>
                    <w:rPr>
                      <w:rFonts w:ascii="Cambria Math" w:hAnsi="Cambria Math" w:eastAsia="等线" w:cs="Times New Roman"/>
                      <w:kern w:val="0"/>
                      <w:sz w:val="24"/>
                      <w:szCs w:val="24"/>
                    </w:rPr>
                    <m:t>l</m:t>
                  </m: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en>
              </m:f>
              <m:r>
                <m:rPr>
                  <m:sty m:val="p"/>
                </m:rPr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∇</m:t>
              </m:r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</w:rPr>
                <m:t>f</m:t>
              </m:r>
              <m:d>
                <m:dPr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P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e>
                    <m:sub>
                      <m:r>
                        <m:rPr/>
                        <w:rPr>
                          <w:rFonts w:ascii="Cambria Math" w:hAnsi="Cambria Math" w:eastAsia="等线" w:cs="Times New Roman"/>
                          <w:kern w:val="0"/>
                          <w:sz w:val="24"/>
                          <w:szCs w:val="24"/>
                        </w:rPr>
                        <m:t>i</m:t>
                      </m:r>
                      <m:ctrlPr>
                        <w:rPr>
                          <w:rFonts w:ascii="Cambria Math" w:hAnsi="Cambria Math" w:eastAsia="等线" w:cs="Times New Roman"/>
                          <w:b/>
                          <w:bCs/>
                          <w:i/>
                          <w:kern w:val="0"/>
                          <w:sz w:val="24"/>
                          <w:szCs w:val="24"/>
                        </w:rPr>
                      </m:ctrlPr>
                    </m:sub>
                  </m:sSub>
                  <m:ctrlPr>
                    <w:rPr>
                      <w:rFonts w:ascii="Cambria Math" w:hAnsi="Cambria Math" w:eastAsia="等线" w:cs="Times New Roman"/>
                      <w:i/>
                      <w:kern w:val="0"/>
                      <w:sz w:val="24"/>
                      <w:szCs w:val="24"/>
                    </w:rPr>
                  </m:ctrlPr>
                </m:e>
              </m:d>
            </m:oMath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  <w:vertAlign w:val="subscript"/>
              </w:rPr>
              <w:t>i</w:t>
            </w:r>
            <m:oMath>
              <m:r>
                <m:rPr/>
                <w:rPr>
                  <w:rFonts w:ascii="Cambria Math" w:hAnsi="Cambria Math" w:eastAsia="等线" w:cs="Times New Roman"/>
                  <w:kern w:val="0"/>
                  <w:sz w:val="24"/>
                  <w:szCs w:val="24"/>
                  <w:vertAlign w:val="subscript"/>
                </w:rPr>
                <m:t>←</m:t>
              </m:r>
            </m:oMath>
            <w:r>
              <w:rPr>
                <w:rFonts w:ascii="Times New Roman" w:hAnsi="Times New Roman" w:eastAsia="等线" w:cs="Times New Roman"/>
                <w:i/>
                <w:iCs/>
                <w:kern w:val="0"/>
                <w:sz w:val="24"/>
                <w:szCs w:val="24"/>
              </w:rPr>
              <w:t>l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>;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end while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end</w:t>
            </w:r>
          </w:p>
          <w:p>
            <w:pPr>
              <w:spacing w:line="360" w:lineRule="auto"/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等线" w:cs="Times New Roman"/>
                <w:b/>
                <w:bCs/>
                <w:kern w:val="0"/>
                <w:sz w:val="24"/>
                <w:szCs w:val="24"/>
              </w:rPr>
              <w:t>Output</w:t>
            </w:r>
            <w:r>
              <w:rPr>
                <w:rFonts w:ascii="Times New Roman" w:hAnsi="Times New Roman" w:eastAsia="等线" w:cs="Times New Roman"/>
                <w:kern w:val="0"/>
                <w:sz w:val="24"/>
                <w:szCs w:val="24"/>
              </w:rPr>
              <w:t xml:space="preserve">: </w:t>
            </w:r>
            <w:r>
              <w:rPr>
                <w:rFonts w:ascii="Times New Roman" w:hAnsi="Times New Roman" w:eastAsia="等线" w:cs="Times New Roman"/>
                <w:b/>
                <w:bCs/>
                <w:i/>
                <w:iCs/>
                <w:kern w:val="0"/>
                <w:sz w:val="24"/>
                <w:szCs w:val="24"/>
              </w:rPr>
              <w:t>P</w:t>
            </w:r>
          </w:p>
        </w:tc>
      </w:tr>
    </w:tbl>
    <w:p>
      <w:pPr>
        <w:rPr>
          <w:rFonts w:ascii="Times New Roman" w:hAnsi="Times New Roman" w:cs="Times New Roman"/>
          <w:sz w:val="24"/>
          <w:szCs w:val="24"/>
        </w:rPr>
      </w:pPr>
    </w:p>
    <w:p>
      <w:pPr>
        <w:spacing w:line="48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Supplementary Table 5.</w:t>
      </w:r>
      <w:r>
        <w:rPr>
          <w:rFonts w:ascii="Times New Roman" w:hAnsi="Times New Roman" w:cs="Times New Roman"/>
          <w:sz w:val="24"/>
          <w:szCs w:val="24"/>
        </w:rPr>
        <w:t xml:space="preserve"> Multi-modality single-site classification performance (STD) in SZ vs. NC</w:t>
      </w:r>
    </w:p>
    <w:tbl>
      <w:tblPr>
        <w:tblStyle w:val="13"/>
        <w:tblW w:w="0" w:type="auto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2"/>
        <w:gridCol w:w="934"/>
        <w:gridCol w:w="934"/>
        <w:gridCol w:w="934"/>
        <w:gridCol w:w="934"/>
        <w:gridCol w:w="934"/>
        <w:gridCol w:w="934"/>
        <w:gridCol w:w="934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2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Domain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ACC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SEN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SPE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BAC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PPV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NPV</w:t>
            </w:r>
          </w:p>
        </w:tc>
        <w:tc>
          <w:tcPr>
            <w:tcW w:w="934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AUC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2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UCI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0.8311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0.0253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0.9067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0.0156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0.7632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0.0812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0.8350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0.0369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0.8209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0.0458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0.8580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0.0224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0.6372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0.0477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2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U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CSF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0.7903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0.0288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0.8057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0.0603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0.7861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0.0244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0.7959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0.0330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0.8087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0.0219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0.7991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0.0531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0.5806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0.0546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2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D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U/UNC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0.7785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0.0394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0.7793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0.0710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0.8026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0.0871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0.7910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0.0436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0.7972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0.0586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0.7796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0.0419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0.5753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0.0661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2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U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NM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0.8013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0.0208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0.7367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0.1023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0.8587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0.0476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0.7977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0.0569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0.8125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0.0369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0.8007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0.0152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0.4442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0.0963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022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U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I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0.8494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0.0301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0.9220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0.0446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0.7975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0.0233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0.8597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0.0216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0.8186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0.0166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0.9139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0.0494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0.6901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0.0530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22" w:type="dxa"/>
            <w:tcBorders>
              <w:top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U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M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0.8067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0.0196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0.7640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0.0695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0.8449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0.0272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0.8045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0.0295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0.7964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0.0462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0.8132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0.0286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4" w:type="dxa"/>
            <w:tcBorders>
              <w:top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0.5860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0.0511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</w:tbl>
    <w:p>
      <w:pPr>
        <w:spacing w:line="480" w:lineRule="auto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p>
      <w:pPr>
        <w:spacing w:line="480" w:lineRule="auto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Supplementary Table 6.</w:t>
      </w:r>
      <w:r>
        <w:rPr>
          <w:rFonts w:ascii="Times New Roman" w:hAnsi="Times New Roman" w:cs="Times New Roman"/>
          <w:sz w:val="24"/>
          <w:szCs w:val="24"/>
        </w:rPr>
        <w:t xml:space="preserve"> Multi-modality single-site classification performance (STD) in ASD vs. NC</w:t>
      </w:r>
    </w:p>
    <w:tbl>
      <w:tblPr>
        <w:tblStyle w:val="14"/>
        <w:tblW w:w="0" w:type="auto"/>
        <w:jc w:val="center"/>
        <w:tblBorders>
          <w:top w:val="single" w:color="auto" w:sz="12" w:space="0"/>
          <w:left w:val="none" w:color="auto" w:sz="0" w:space="0"/>
          <w:bottom w:val="single" w:color="auto" w:sz="12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6"/>
        <w:gridCol w:w="936"/>
        <w:gridCol w:w="936"/>
        <w:gridCol w:w="936"/>
        <w:gridCol w:w="936"/>
        <w:gridCol w:w="936"/>
        <w:gridCol w:w="936"/>
        <w:gridCol w:w="936"/>
      </w:tblGrid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Domain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ACC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SEN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SPE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BAC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PPV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NPV</w:t>
            </w:r>
          </w:p>
        </w:tc>
        <w:tc>
          <w:tcPr>
            <w:tcW w:w="936" w:type="dxa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AUC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NYU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0.7280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0.0502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0.7398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0.0847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0.7322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0.0514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0.7360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0.0494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0.7388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0.0480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0.7472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0.0706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single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0.5185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0.0814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Pitt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0.6680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0.0363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0.7836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0.0522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0.5911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0.1141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0.6874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0.0616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0.6546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0.0673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0.7227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0.0446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0.4315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0.0517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USM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0.8160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0.0385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0.8279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0.0702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0.8060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0.0218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0.8170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0.0372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0.8179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0.0419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0.8380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0.0526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dotted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0.7653</w:t>
            </w:r>
          </w:p>
          <w:p>
            <w:pPr>
              <w:jc w:val="left"/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0.0156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0"/>
                <w:szCs w:val="20"/>
              </w:rPr>
              <w:t>)</w:t>
            </w:r>
          </w:p>
        </w:tc>
      </w:tr>
      <w:tr>
        <w:tblPrEx>
          <w:tblBorders>
            <w:top w:val="single" w:color="auto" w:sz="12" w:space="0"/>
            <w:left w:val="none" w:color="auto" w:sz="0" w:space="0"/>
            <w:bottom w:val="single" w:color="auto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spacing w:before="156" w:beforeLines="50"/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Yale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0.7040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0.0456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0.7765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0.0507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0.6444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0.0901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0.7105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0.0440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0.6995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0.0495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0.7355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0.0684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936" w:type="dxa"/>
            <w:tcBorders>
              <w:top w:val="dotted" w:color="auto" w:sz="12" w:space="0"/>
              <w:bottom w:val="single" w:color="auto" w:sz="12" w:space="0"/>
            </w:tcBorders>
          </w:tcPr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0.7130</w:t>
            </w:r>
          </w:p>
          <w:p>
            <w:pPr>
              <w:jc w:val="left"/>
              <w:rPr>
                <w:rFonts w:ascii="Times New Roman" w:hAnsi="Times New Roman" w:eastAsia="宋体" w:cs="Times New Roman"/>
                <w:kern w:val="0"/>
                <w:sz w:val="20"/>
                <w:szCs w:val="21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Times New Roman" w:hAnsi="Times New Roman" w:eastAsia="宋体" w:cs="Times New Roman"/>
                <w:kern w:val="0"/>
                <w:sz w:val="20"/>
                <w:szCs w:val="20"/>
              </w:rPr>
              <w:t>0.0221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</w:tr>
    </w:tbl>
    <w:p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5523865" cy="2519680"/>
            <wp:effectExtent l="0" t="0" r="635" b="0"/>
            <wp:docPr id="66901131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9011317" name="图片 3"/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5926" cy="2539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Supplementary Figure </w:t>
      </w:r>
      <w:r>
        <w:rPr>
          <w:rFonts w:hint="eastAsia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Results on synthetic data 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through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HMSDA, with the same color 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representing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data from the same domain.</w:t>
      </w:r>
    </w:p>
    <w:p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6188710" cy="3517900"/>
            <wp:effectExtent l="0" t="0" r="2540" b="6350"/>
            <wp:docPr id="30518718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187187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517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Supplementary Figure </w:t>
      </w:r>
      <w:r>
        <w:rPr>
          <w:rFonts w:hint="eastAsia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Classification accuracies with respect to different parameter values of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τ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bookmarkStart w:id="5" w:name="_Hlk142515001"/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by fixing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α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β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(with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α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β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=0.1), and tune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α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β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while fixing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τ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(with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τ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= 0.1) in FBIRN dataset</w:t>
      </w:r>
      <w:bookmarkEnd w:id="5"/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 All results generated by our method using different target domains.</w:t>
      </w:r>
    </w:p>
    <w:p>
      <w:pPr>
        <w:spacing w:line="48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6188710" cy="2970530"/>
            <wp:effectExtent l="0" t="0" r="2540" b="1270"/>
            <wp:docPr id="155866010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660100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97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Supplementary Figure </w:t>
      </w:r>
      <w:r>
        <w:rPr>
          <w:rFonts w:hint="eastAsia"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3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Classification accuracies with respect to </w:t>
      </w:r>
      <w:bookmarkStart w:id="6" w:name="_Hlk142515109"/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different parameter values of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τ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by fixing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α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β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(with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α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β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=0.1), and tune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α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β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while fixing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τ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and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(with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τ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ascii="Times New Roman" w:hAnsi="Times New Roman" w:cs="Times New Roman"/>
          <w:i/>
          <w:i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λ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= 0.1) in ABIDE I dataset.</w:t>
      </w:r>
      <w:bookmarkEnd w:id="6"/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All results generated by our method using different target domains.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ZhNDZmNmZjYmY4NjAwODFlMGFjMTYwNWRkOWM1ZWEifQ=="/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0D27E8"/>
    <w:rsid w:val="00052417"/>
    <w:rsid w:val="00064E09"/>
    <w:rsid w:val="000836B2"/>
    <w:rsid w:val="00090E77"/>
    <w:rsid w:val="000A0265"/>
    <w:rsid w:val="000B26EF"/>
    <w:rsid w:val="000D1628"/>
    <w:rsid w:val="000D27E8"/>
    <w:rsid w:val="000E1039"/>
    <w:rsid w:val="000E4BFE"/>
    <w:rsid w:val="000F54A7"/>
    <w:rsid w:val="00115091"/>
    <w:rsid w:val="001227D6"/>
    <w:rsid w:val="001273E5"/>
    <w:rsid w:val="00141395"/>
    <w:rsid w:val="00193F46"/>
    <w:rsid w:val="001A27A0"/>
    <w:rsid w:val="001B5001"/>
    <w:rsid w:val="001E5FBD"/>
    <w:rsid w:val="00236D3F"/>
    <w:rsid w:val="002421DD"/>
    <w:rsid w:val="002513E5"/>
    <w:rsid w:val="00257A80"/>
    <w:rsid w:val="002768C1"/>
    <w:rsid w:val="00284CDD"/>
    <w:rsid w:val="0030785E"/>
    <w:rsid w:val="00312E74"/>
    <w:rsid w:val="00317BD0"/>
    <w:rsid w:val="003445AD"/>
    <w:rsid w:val="003603D1"/>
    <w:rsid w:val="003655DE"/>
    <w:rsid w:val="00387F07"/>
    <w:rsid w:val="003C1A8A"/>
    <w:rsid w:val="003C7972"/>
    <w:rsid w:val="00473031"/>
    <w:rsid w:val="004A2791"/>
    <w:rsid w:val="004C19F8"/>
    <w:rsid w:val="004E32EB"/>
    <w:rsid w:val="004F3D75"/>
    <w:rsid w:val="00564253"/>
    <w:rsid w:val="0059599D"/>
    <w:rsid w:val="005A6604"/>
    <w:rsid w:val="005C3386"/>
    <w:rsid w:val="00634870"/>
    <w:rsid w:val="00640002"/>
    <w:rsid w:val="00670612"/>
    <w:rsid w:val="006871E4"/>
    <w:rsid w:val="00692F4B"/>
    <w:rsid w:val="006A5D27"/>
    <w:rsid w:val="006A7C19"/>
    <w:rsid w:val="006C24D9"/>
    <w:rsid w:val="006F29E1"/>
    <w:rsid w:val="00710346"/>
    <w:rsid w:val="00736ABB"/>
    <w:rsid w:val="007864F5"/>
    <w:rsid w:val="007D03F0"/>
    <w:rsid w:val="007E34B9"/>
    <w:rsid w:val="007F5A1F"/>
    <w:rsid w:val="007F78CA"/>
    <w:rsid w:val="00815E60"/>
    <w:rsid w:val="008255CB"/>
    <w:rsid w:val="008278F1"/>
    <w:rsid w:val="00827ED8"/>
    <w:rsid w:val="0084376C"/>
    <w:rsid w:val="008954F3"/>
    <w:rsid w:val="008A7576"/>
    <w:rsid w:val="008F7A13"/>
    <w:rsid w:val="00902959"/>
    <w:rsid w:val="00903BA8"/>
    <w:rsid w:val="00930AAD"/>
    <w:rsid w:val="00944B17"/>
    <w:rsid w:val="00945AA0"/>
    <w:rsid w:val="00952776"/>
    <w:rsid w:val="0097674A"/>
    <w:rsid w:val="0098214A"/>
    <w:rsid w:val="009F7A7E"/>
    <w:rsid w:val="00A80F1D"/>
    <w:rsid w:val="00AA1EBC"/>
    <w:rsid w:val="00AC3B13"/>
    <w:rsid w:val="00AC5BE7"/>
    <w:rsid w:val="00AC72C2"/>
    <w:rsid w:val="00AD1DD3"/>
    <w:rsid w:val="00AD7D60"/>
    <w:rsid w:val="00B2625B"/>
    <w:rsid w:val="00B86A91"/>
    <w:rsid w:val="00BA6E55"/>
    <w:rsid w:val="00C11E01"/>
    <w:rsid w:val="00C27AB4"/>
    <w:rsid w:val="00C415FD"/>
    <w:rsid w:val="00C56DA4"/>
    <w:rsid w:val="00CE71F0"/>
    <w:rsid w:val="00D40A5C"/>
    <w:rsid w:val="00DB4FCD"/>
    <w:rsid w:val="00DC40EC"/>
    <w:rsid w:val="00DF02F7"/>
    <w:rsid w:val="00E0054A"/>
    <w:rsid w:val="00E00C83"/>
    <w:rsid w:val="00E20813"/>
    <w:rsid w:val="00E25F7B"/>
    <w:rsid w:val="00E42581"/>
    <w:rsid w:val="00EA3598"/>
    <w:rsid w:val="00EB1849"/>
    <w:rsid w:val="00EE7D44"/>
    <w:rsid w:val="00F1281F"/>
    <w:rsid w:val="00F3650F"/>
    <w:rsid w:val="00F505A1"/>
    <w:rsid w:val="00F74F5C"/>
    <w:rsid w:val="00F76204"/>
    <w:rsid w:val="00FB0592"/>
    <w:rsid w:val="00FF4FF0"/>
    <w:rsid w:val="00FF5113"/>
    <w:rsid w:val="3EDF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99" w:name="Placeholder Text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Hyperlink"/>
    <w:basedOn w:val="6"/>
    <w:unhideWhenUsed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3"/>
    <w:uiPriority w:val="99"/>
    <w:rPr>
      <w:sz w:val="18"/>
      <w:szCs w:val="18"/>
    </w:rPr>
  </w:style>
  <w:style w:type="character" w:customStyle="1" w:styleId="9">
    <w:name w:val="页脚 字符"/>
    <w:basedOn w:val="6"/>
    <w:link w:val="2"/>
    <w:uiPriority w:val="99"/>
    <w:rPr>
      <w:sz w:val="18"/>
      <w:szCs w:val="18"/>
    </w:rPr>
  </w:style>
  <w:style w:type="paragraph" w:styleId="10">
    <w:name w:val="No Spacing"/>
    <w:link w:val="11"/>
    <w:qFormat/>
    <w:uiPriority w:val="1"/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customStyle="1" w:styleId="11">
    <w:name w:val="无间隔 字符"/>
    <w:basedOn w:val="6"/>
    <w:link w:val="10"/>
    <w:uiPriority w:val="1"/>
    <w:rPr>
      <w:kern w:val="0"/>
      <w:sz w:val="22"/>
    </w:rPr>
  </w:style>
  <w:style w:type="character" w:customStyle="1" w:styleId="12">
    <w:name w:val="未处理的提及1"/>
    <w:basedOn w:val="6"/>
    <w:semiHidden/>
    <w:unhideWhenUsed/>
    <w:uiPriority w:val="99"/>
    <w:rPr>
      <w:color w:val="605E5C"/>
      <w:shd w:val="clear" w:color="auto" w:fill="E1DFDD"/>
    </w:rPr>
  </w:style>
  <w:style w:type="table" w:customStyle="1" w:styleId="13">
    <w:name w:val="网格型2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4">
    <w:name w:val="网格型3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laceholder Text"/>
    <w:basedOn w:val="6"/>
    <w:semiHidden/>
    <w:uiPriority w:val="99"/>
    <w:rPr>
      <w:color w:val="66666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1290</Words>
  <Characters>7353</Characters>
  <Lines>61</Lines>
  <Paragraphs>17</Paragraphs>
  <TotalTime>0</TotalTime>
  <ScaleCrop>false</ScaleCrop>
  <LinksUpToDate>false</LinksUpToDate>
  <CharactersWithSpaces>8626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2023-10-21T03:28:00Z</dcterms:created>
  <dc:creator>季 一新</dc:creator>
  <cp:lastModifiedBy>我的女神叫</cp:lastModifiedBy>
  <dcterms:modified xsi:type="dcterms:W3CDTF">2024-04-20T15:23:13Z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D3870DCA509C43C6BFAE85A2AF59C247_12</vt:lpwstr>
  </property>
</Properties>
</file>