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77953B" w14:textId="77777777" w:rsidR="00F90C74" w:rsidRDefault="00F90C74" w:rsidP="006867C8">
      <w:pPr>
        <w:jc w:val="center"/>
        <w:rPr>
          <w:rFonts w:ascii="Times New Roman" w:hAnsi="Times New Roman" w:cs="Times New Roman"/>
        </w:rPr>
      </w:pPr>
    </w:p>
    <w:p w14:paraId="21A4CE9A" w14:textId="77777777" w:rsidR="006867C8" w:rsidRDefault="006867C8" w:rsidP="006867C8">
      <w:pPr>
        <w:jc w:val="center"/>
        <w:rPr>
          <w:rFonts w:ascii="Times New Roman" w:hAnsi="Times New Roman" w:cs="Times New Roman"/>
        </w:rPr>
      </w:pPr>
    </w:p>
    <w:p w14:paraId="4A96BF70" w14:textId="77777777" w:rsidR="006867C8" w:rsidRDefault="006867C8" w:rsidP="006867C8">
      <w:pPr>
        <w:jc w:val="center"/>
        <w:rPr>
          <w:rFonts w:ascii="Times New Roman" w:hAnsi="Times New Roman" w:cs="Times New Roman"/>
        </w:rPr>
      </w:pPr>
    </w:p>
    <w:p w14:paraId="143B0F32" w14:textId="77777777" w:rsidR="006867C8" w:rsidRDefault="006867C8" w:rsidP="006867C8">
      <w:pPr>
        <w:jc w:val="center"/>
        <w:rPr>
          <w:rFonts w:ascii="Times New Roman" w:hAnsi="Times New Roman" w:cs="Times New Roman"/>
        </w:rPr>
      </w:pPr>
    </w:p>
    <w:p w14:paraId="38C2AD08" w14:textId="77777777" w:rsidR="006867C8" w:rsidRDefault="006867C8" w:rsidP="006867C8">
      <w:pPr>
        <w:jc w:val="center"/>
        <w:rPr>
          <w:rFonts w:ascii="Times New Roman" w:hAnsi="Times New Roman" w:cs="Times New Roman"/>
        </w:rPr>
      </w:pPr>
    </w:p>
    <w:p w14:paraId="1F74EAC5" w14:textId="77777777" w:rsidR="006867C8" w:rsidRDefault="006867C8" w:rsidP="006867C8">
      <w:pPr>
        <w:jc w:val="center"/>
        <w:rPr>
          <w:rFonts w:ascii="Times New Roman" w:hAnsi="Times New Roman" w:cs="Times New Roman"/>
        </w:rPr>
      </w:pPr>
    </w:p>
    <w:p w14:paraId="635F3964" w14:textId="77777777" w:rsidR="006867C8" w:rsidRDefault="006867C8" w:rsidP="006867C8">
      <w:pPr>
        <w:jc w:val="center"/>
        <w:rPr>
          <w:rFonts w:ascii="Times New Roman" w:hAnsi="Times New Roman" w:cs="Times New Roman"/>
        </w:rPr>
      </w:pPr>
    </w:p>
    <w:p w14:paraId="5729A983" w14:textId="77777777" w:rsidR="006867C8" w:rsidRDefault="006867C8" w:rsidP="006867C8">
      <w:pPr>
        <w:jc w:val="center"/>
        <w:rPr>
          <w:rFonts w:ascii="Times New Roman" w:hAnsi="Times New Roman" w:cs="Times New Roman"/>
        </w:rPr>
      </w:pPr>
    </w:p>
    <w:p w14:paraId="7458EDEA" w14:textId="77777777" w:rsidR="006867C8" w:rsidRDefault="006867C8" w:rsidP="006867C8">
      <w:pPr>
        <w:jc w:val="center"/>
        <w:rPr>
          <w:rFonts w:ascii="Times New Roman" w:hAnsi="Times New Roman" w:cs="Times New Roman"/>
        </w:rPr>
      </w:pPr>
    </w:p>
    <w:p w14:paraId="12AC165B" w14:textId="77777777" w:rsidR="006867C8" w:rsidRDefault="006867C8" w:rsidP="006867C8">
      <w:pPr>
        <w:jc w:val="center"/>
        <w:rPr>
          <w:rFonts w:ascii="Times New Roman" w:hAnsi="Times New Roman" w:cs="Times New Roman"/>
        </w:rPr>
      </w:pPr>
    </w:p>
    <w:p w14:paraId="6EE26DB5" w14:textId="77777777" w:rsidR="006867C8" w:rsidRDefault="006867C8" w:rsidP="006867C8">
      <w:pPr>
        <w:jc w:val="center"/>
        <w:rPr>
          <w:rFonts w:ascii="Times New Roman" w:hAnsi="Times New Roman" w:cs="Times New Roman"/>
        </w:rPr>
      </w:pPr>
    </w:p>
    <w:p w14:paraId="7F97B1FC" w14:textId="77777777" w:rsidR="006867C8" w:rsidRDefault="006867C8" w:rsidP="006867C8">
      <w:pPr>
        <w:jc w:val="center"/>
        <w:rPr>
          <w:rFonts w:ascii="Times New Roman" w:hAnsi="Times New Roman" w:cs="Times New Roman"/>
        </w:rPr>
      </w:pPr>
    </w:p>
    <w:p w14:paraId="79940CDA" w14:textId="77777777" w:rsidR="006867C8" w:rsidRDefault="006867C8" w:rsidP="006867C8">
      <w:pPr>
        <w:jc w:val="center"/>
        <w:rPr>
          <w:rFonts w:ascii="Times New Roman" w:hAnsi="Times New Roman" w:cs="Times New Roman"/>
        </w:rPr>
      </w:pPr>
    </w:p>
    <w:p w14:paraId="3FBDEE39" w14:textId="77777777" w:rsidR="006867C8" w:rsidRDefault="006867C8" w:rsidP="006867C8">
      <w:pPr>
        <w:jc w:val="center"/>
        <w:rPr>
          <w:rFonts w:ascii="Times New Roman" w:hAnsi="Times New Roman" w:cs="Times New Roman"/>
        </w:rPr>
      </w:pPr>
    </w:p>
    <w:p w14:paraId="7468D141" w14:textId="77777777" w:rsidR="006867C8" w:rsidRDefault="006867C8" w:rsidP="006867C8">
      <w:pPr>
        <w:jc w:val="center"/>
        <w:rPr>
          <w:rFonts w:ascii="Times New Roman" w:hAnsi="Times New Roman" w:cs="Times New Roman"/>
        </w:rPr>
      </w:pPr>
    </w:p>
    <w:p w14:paraId="74308E91" w14:textId="77777777" w:rsidR="006867C8" w:rsidRDefault="006867C8" w:rsidP="006867C8">
      <w:pPr>
        <w:jc w:val="center"/>
        <w:rPr>
          <w:rFonts w:ascii="Times New Roman" w:hAnsi="Times New Roman" w:cs="Times New Roman"/>
        </w:rPr>
      </w:pPr>
    </w:p>
    <w:p w14:paraId="05DA3682"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A Theological Framework for Understanding Interfaith Engagement</w:t>
      </w:r>
    </w:p>
    <w:p w14:paraId="1F69C703"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Allison Stickley-Miner</w:t>
      </w:r>
    </w:p>
    <w:p w14:paraId="380470E4"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Senior Honors Thesis</w:t>
      </w:r>
    </w:p>
    <w:p w14:paraId="1D6BBA84"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Religion Program</w:t>
      </w:r>
    </w:p>
    <w:p w14:paraId="48DF0BB5"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Goucher College</w:t>
      </w:r>
    </w:p>
    <w:p w14:paraId="2FD0E99C"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t>Spring 2019</w:t>
      </w:r>
    </w:p>
    <w:p w14:paraId="7C9ECAC1" w14:textId="77777777" w:rsidR="006867C8" w:rsidRDefault="006867C8" w:rsidP="006867C8">
      <w:pPr>
        <w:spacing w:line="480" w:lineRule="auto"/>
        <w:jc w:val="center"/>
        <w:rPr>
          <w:rFonts w:ascii="Times New Roman" w:hAnsi="Times New Roman" w:cs="Times New Roman"/>
        </w:rPr>
      </w:pPr>
    </w:p>
    <w:p w14:paraId="72D53A15" w14:textId="77777777" w:rsidR="006867C8" w:rsidRDefault="006867C8" w:rsidP="006867C8">
      <w:pPr>
        <w:spacing w:line="480" w:lineRule="auto"/>
        <w:jc w:val="center"/>
        <w:rPr>
          <w:rFonts w:ascii="Times New Roman" w:hAnsi="Times New Roman" w:cs="Times New Roman"/>
        </w:rPr>
      </w:pPr>
    </w:p>
    <w:p w14:paraId="79222E16" w14:textId="77777777" w:rsidR="006867C8" w:rsidRDefault="006867C8" w:rsidP="006867C8">
      <w:pPr>
        <w:spacing w:line="480" w:lineRule="auto"/>
        <w:jc w:val="center"/>
        <w:rPr>
          <w:rFonts w:ascii="Times New Roman" w:hAnsi="Times New Roman" w:cs="Times New Roman"/>
        </w:rPr>
      </w:pPr>
    </w:p>
    <w:p w14:paraId="2F4F08F0" w14:textId="77777777" w:rsidR="006867C8" w:rsidRDefault="006867C8" w:rsidP="006867C8">
      <w:pPr>
        <w:spacing w:line="480" w:lineRule="auto"/>
        <w:jc w:val="center"/>
        <w:rPr>
          <w:rFonts w:ascii="Times New Roman" w:hAnsi="Times New Roman" w:cs="Times New Roman"/>
        </w:rPr>
      </w:pPr>
    </w:p>
    <w:p w14:paraId="0616BE46" w14:textId="77777777" w:rsidR="006867C8" w:rsidRDefault="006867C8" w:rsidP="006867C8">
      <w:pPr>
        <w:spacing w:line="480" w:lineRule="auto"/>
        <w:jc w:val="center"/>
        <w:rPr>
          <w:rFonts w:ascii="Times New Roman" w:hAnsi="Times New Roman" w:cs="Times New Roman"/>
        </w:rPr>
      </w:pPr>
    </w:p>
    <w:p w14:paraId="318E4A2A" w14:textId="77777777" w:rsidR="006867C8" w:rsidRDefault="006867C8" w:rsidP="006867C8">
      <w:pPr>
        <w:spacing w:line="480" w:lineRule="auto"/>
        <w:jc w:val="center"/>
        <w:rPr>
          <w:rFonts w:ascii="Times New Roman" w:hAnsi="Times New Roman" w:cs="Times New Roman"/>
        </w:rPr>
      </w:pPr>
    </w:p>
    <w:p w14:paraId="3ABFF2B8" w14:textId="77777777" w:rsidR="006867C8" w:rsidRDefault="006867C8" w:rsidP="006867C8">
      <w:pPr>
        <w:spacing w:line="480" w:lineRule="auto"/>
        <w:jc w:val="center"/>
        <w:rPr>
          <w:rFonts w:ascii="Times New Roman" w:hAnsi="Times New Roman" w:cs="Times New Roman"/>
        </w:rPr>
      </w:pPr>
    </w:p>
    <w:p w14:paraId="70CF3EEE" w14:textId="77777777" w:rsidR="006867C8" w:rsidRDefault="006867C8" w:rsidP="006867C8">
      <w:pPr>
        <w:spacing w:line="480" w:lineRule="auto"/>
        <w:jc w:val="center"/>
        <w:rPr>
          <w:rFonts w:ascii="Times New Roman" w:hAnsi="Times New Roman" w:cs="Times New Roman"/>
        </w:rPr>
      </w:pPr>
    </w:p>
    <w:p w14:paraId="59AE123E" w14:textId="77777777" w:rsidR="006867C8" w:rsidRDefault="006867C8" w:rsidP="006867C8">
      <w:pPr>
        <w:spacing w:line="480" w:lineRule="auto"/>
        <w:jc w:val="center"/>
        <w:rPr>
          <w:rFonts w:ascii="Times New Roman" w:hAnsi="Times New Roman" w:cs="Times New Roman"/>
        </w:rPr>
      </w:pPr>
    </w:p>
    <w:p w14:paraId="05FEB004" w14:textId="77777777" w:rsidR="006867C8" w:rsidRDefault="006867C8" w:rsidP="006867C8">
      <w:pPr>
        <w:spacing w:line="480" w:lineRule="auto"/>
        <w:jc w:val="center"/>
        <w:rPr>
          <w:rFonts w:ascii="Times New Roman" w:hAnsi="Times New Roman" w:cs="Times New Roman"/>
        </w:rPr>
      </w:pPr>
      <w:r>
        <w:rPr>
          <w:rFonts w:ascii="Times New Roman" w:hAnsi="Times New Roman" w:cs="Times New Roman"/>
        </w:rPr>
        <w:lastRenderedPageBreak/>
        <w:t>Table of Contents</w:t>
      </w:r>
    </w:p>
    <w:p w14:paraId="028F4514" w14:textId="77777777" w:rsidR="00E452A2" w:rsidRDefault="00E452A2" w:rsidP="006867C8">
      <w:pPr>
        <w:spacing w:line="480" w:lineRule="auto"/>
        <w:rPr>
          <w:rFonts w:ascii="Times New Roman" w:hAnsi="Times New Roman" w:cs="Times New Roman"/>
        </w:rPr>
      </w:pPr>
    </w:p>
    <w:p w14:paraId="32B09091" w14:textId="7E8A4B3E" w:rsidR="00353CC3" w:rsidRDefault="006867C8" w:rsidP="006867C8">
      <w:pPr>
        <w:spacing w:line="480" w:lineRule="auto"/>
        <w:rPr>
          <w:rFonts w:ascii="Times New Roman" w:hAnsi="Times New Roman" w:cs="Times New Roman"/>
        </w:rPr>
      </w:pPr>
      <w:r>
        <w:rPr>
          <w:rFonts w:ascii="Times New Roman" w:hAnsi="Times New Roman" w:cs="Times New Roman"/>
        </w:rPr>
        <w:t>Introduction</w:t>
      </w:r>
      <w:r w:rsidR="00353CC3">
        <w:rPr>
          <w:rFonts w:ascii="Times New Roman" w:hAnsi="Times New Roman" w:cs="Times New Roman"/>
        </w:rPr>
        <w:t xml:space="preserve">    3</w:t>
      </w:r>
    </w:p>
    <w:p w14:paraId="73F6367C" w14:textId="7D93EB58" w:rsidR="006867C8" w:rsidRDefault="00353CC3" w:rsidP="006867C8">
      <w:pPr>
        <w:spacing w:line="480" w:lineRule="auto"/>
        <w:rPr>
          <w:rFonts w:ascii="Times New Roman" w:hAnsi="Times New Roman" w:cs="Times New Roman"/>
        </w:rPr>
      </w:pPr>
      <w:r>
        <w:rPr>
          <w:rFonts w:ascii="Times New Roman" w:hAnsi="Times New Roman" w:cs="Times New Roman"/>
        </w:rPr>
        <w:t>Interfaith Engagement Then and Now    13</w:t>
      </w:r>
    </w:p>
    <w:p w14:paraId="47952FE1" w14:textId="3FB32342" w:rsidR="006867C8" w:rsidRDefault="00353CC3" w:rsidP="006867C8">
      <w:pPr>
        <w:spacing w:line="480" w:lineRule="auto"/>
        <w:rPr>
          <w:rFonts w:ascii="Times New Roman" w:hAnsi="Times New Roman" w:cs="Times New Roman"/>
        </w:rPr>
      </w:pPr>
      <w:r>
        <w:rPr>
          <w:rFonts w:ascii="Times New Roman" w:hAnsi="Times New Roman" w:cs="Times New Roman"/>
        </w:rPr>
        <w:t>Moving Forward: Critiques and Suggestions    25</w:t>
      </w:r>
    </w:p>
    <w:p w14:paraId="415A95E4" w14:textId="651DA9A7" w:rsidR="006867C8" w:rsidRDefault="006867C8" w:rsidP="006867C8">
      <w:pPr>
        <w:spacing w:line="480" w:lineRule="auto"/>
        <w:rPr>
          <w:rFonts w:ascii="Times New Roman" w:hAnsi="Times New Roman" w:cs="Times New Roman"/>
        </w:rPr>
      </w:pPr>
      <w:r>
        <w:rPr>
          <w:rFonts w:ascii="Times New Roman" w:hAnsi="Times New Roman" w:cs="Times New Roman"/>
        </w:rPr>
        <w:t>Theological Framework</w:t>
      </w:r>
      <w:r w:rsidR="00C06FA2">
        <w:rPr>
          <w:rFonts w:ascii="Times New Roman" w:hAnsi="Times New Roman" w:cs="Times New Roman"/>
        </w:rPr>
        <w:t xml:space="preserve">     35</w:t>
      </w:r>
    </w:p>
    <w:p w14:paraId="4B352CC9" w14:textId="22957C21" w:rsidR="006867C8" w:rsidRDefault="006867C8" w:rsidP="006867C8">
      <w:pPr>
        <w:spacing w:line="480" w:lineRule="auto"/>
        <w:rPr>
          <w:rFonts w:ascii="Times New Roman" w:hAnsi="Times New Roman" w:cs="Times New Roman"/>
        </w:rPr>
      </w:pPr>
      <w:r>
        <w:rPr>
          <w:rFonts w:ascii="Times New Roman" w:hAnsi="Times New Roman" w:cs="Times New Roman"/>
        </w:rPr>
        <w:t>Conclusion</w:t>
      </w:r>
      <w:r w:rsidR="00C06FA2">
        <w:rPr>
          <w:rFonts w:ascii="Times New Roman" w:hAnsi="Times New Roman" w:cs="Times New Roman"/>
        </w:rPr>
        <w:t xml:space="preserve">     50</w:t>
      </w:r>
    </w:p>
    <w:p w14:paraId="5203F682" w14:textId="77BD109E" w:rsidR="006867C8" w:rsidRDefault="006867C8" w:rsidP="006867C8">
      <w:pPr>
        <w:spacing w:line="480" w:lineRule="auto"/>
        <w:rPr>
          <w:rFonts w:ascii="Times New Roman" w:hAnsi="Times New Roman" w:cs="Times New Roman"/>
        </w:rPr>
      </w:pPr>
      <w:r>
        <w:rPr>
          <w:rFonts w:ascii="Times New Roman" w:hAnsi="Times New Roman" w:cs="Times New Roman"/>
        </w:rPr>
        <w:t>Works Cited</w:t>
      </w:r>
      <w:r w:rsidR="00D565B1">
        <w:rPr>
          <w:rFonts w:ascii="Times New Roman" w:hAnsi="Times New Roman" w:cs="Times New Roman"/>
        </w:rPr>
        <w:t xml:space="preserve">     54</w:t>
      </w:r>
    </w:p>
    <w:p w14:paraId="4EEAF026" w14:textId="260BB9FF" w:rsidR="00481231" w:rsidRDefault="00481231" w:rsidP="006867C8">
      <w:pPr>
        <w:spacing w:line="480" w:lineRule="auto"/>
        <w:rPr>
          <w:rFonts w:ascii="Times New Roman" w:hAnsi="Times New Roman" w:cs="Times New Roman"/>
        </w:rPr>
      </w:pPr>
    </w:p>
    <w:p w14:paraId="2AEB3D76" w14:textId="1DA198D5" w:rsidR="00481231" w:rsidRDefault="00481231" w:rsidP="006867C8">
      <w:pPr>
        <w:spacing w:line="480" w:lineRule="auto"/>
        <w:rPr>
          <w:rFonts w:ascii="Times New Roman" w:hAnsi="Times New Roman" w:cs="Times New Roman"/>
        </w:rPr>
      </w:pPr>
    </w:p>
    <w:p w14:paraId="5B70E95C" w14:textId="15B5614A" w:rsidR="00481231" w:rsidRDefault="00481231" w:rsidP="006867C8">
      <w:pPr>
        <w:spacing w:line="480" w:lineRule="auto"/>
        <w:rPr>
          <w:rFonts w:ascii="Times New Roman" w:hAnsi="Times New Roman" w:cs="Times New Roman"/>
        </w:rPr>
      </w:pPr>
    </w:p>
    <w:p w14:paraId="6A6218D1" w14:textId="505EE7F6" w:rsidR="00481231" w:rsidRDefault="00481231" w:rsidP="006867C8">
      <w:pPr>
        <w:spacing w:line="480" w:lineRule="auto"/>
        <w:rPr>
          <w:rFonts w:ascii="Times New Roman" w:hAnsi="Times New Roman" w:cs="Times New Roman"/>
        </w:rPr>
      </w:pPr>
    </w:p>
    <w:p w14:paraId="63F5A0A1" w14:textId="61203FA4" w:rsidR="00481231" w:rsidRDefault="00481231" w:rsidP="006867C8">
      <w:pPr>
        <w:spacing w:line="480" w:lineRule="auto"/>
        <w:rPr>
          <w:rFonts w:ascii="Times New Roman" w:hAnsi="Times New Roman" w:cs="Times New Roman"/>
        </w:rPr>
      </w:pPr>
    </w:p>
    <w:p w14:paraId="2D3659C9" w14:textId="191F3A61" w:rsidR="00481231" w:rsidRDefault="00481231" w:rsidP="006867C8">
      <w:pPr>
        <w:spacing w:line="480" w:lineRule="auto"/>
        <w:rPr>
          <w:rFonts w:ascii="Times New Roman" w:hAnsi="Times New Roman" w:cs="Times New Roman"/>
        </w:rPr>
      </w:pPr>
    </w:p>
    <w:p w14:paraId="5E0F6438" w14:textId="0F848F0A" w:rsidR="00481231" w:rsidRDefault="00481231" w:rsidP="006867C8">
      <w:pPr>
        <w:spacing w:line="480" w:lineRule="auto"/>
        <w:rPr>
          <w:rFonts w:ascii="Times New Roman" w:hAnsi="Times New Roman" w:cs="Times New Roman"/>
        </w:rPr>
      </w:pPr>
    </w:p>
    <w:p w14:paraId="6B702C2D" w14:textId="495BA75E" w:rsidR="00481231" w:rsidRDefault="00481231" w:rsidP="006867C8">
      <w:pPr>
        <w:spacing w:line="480" w:lineRule="auto"/>
        <w:rPr>
          <w:rFonts w:ascii="Times New Roman" w:hAnsi="Times New Roman" w:cs="Times New Roman"/>
        </w:rPr>
      </w:pPr>
    </w:p>
    <w:p w14:paraId="5C30A613" w14:textId="51601A71" w:rsidR="00481231" w:rsidRDefault="00481231" w:rsidP="006867C8">
      <w:pPr>
        <w:spacing w:line="480" w:lineRule="auto"/>
        <w:rPr>
          <w:rFonts w:ascii="Times New Roman" w:hAnsi="Times New Roman" w:cs="Times New Roman"/>
        </w:rPr>
      </w:pPr>
    </w:p>
    <w:p w14:paraId="6EE33E55" w14:textId="1EDB488E" w:rsidR="00481231" w:rsidRDefault="00481231" w:rsidP="006867C8">
      <w:pPr>
        <w:spacing w:line="480" w:lineRule="auto"/>
        <w:rPr>
          <w:rFonts w:ascii="Times New Roman" w:hAnsi="Times New Roman" w:cs="Times New Roman"/>
        </w:rPr>
      </w:pPr>
    </w:p>
    <w:p w14:paraId="5D7B24DC" w14:textId="5841EB61" w:rsidR="00481231" w:rsidRDefault="00481231" w:rsidP="006867C8">
      <w:pPr>
        <w:spacing w:line="480" w:lineRule="auto"/>
        <w:rPr>
          <w:rFonts w:ascii="Times New Roman" w:hAnsi="Times New Roman" w:cs="Times New Roman"/>
        </w:rPr>
      </w:pPr>
    </w:p>
    <w:p w14:paraId="73EFD1CF" w14:textId="5250EFC7" w:rsidR="00481231" w:rsidRDefault="00481231" w:rsidP="006867C8">
      <w:pPr>
        <w:spacing w:line="480" w:lineRule="auto"/>
        <w:rPr>
          <w:rFonts w:ascii="Times New Roman" w:hAnsi="Times New Roman" w:cs="Times New Roman"/>
        </w:rPr>
      </w:pPr>
    </w:p>
    <w:p w14:paraId="060B8F9F" w14:textId="04917093" w:rsidR="00481231" w:rsidRDefault="00481231" w:rsidP="006867C8">
      <w:pPr>
        <w:spacing w:line="480" w:lineRule="auto"/>
        <w:rPr>
          <w:rFonts w:ascii="Times New Roman" w:hAnsi="Times New Roman" w:cs="Times New Roman"/>
        </w:rPr>
      </w:pPr>
    </w:p>
    <w:p w14:paraId="5A987884" w14:textId="265433E0" w:rsidR="00481231" w:rsidRDefault="00481231" w:rsidP="006867C8">
      <w:pPr>
        <w:spacing w:line="480" w:lineRule="auto"/>
        <w:rPr>
          <w:rFonts w:ascii="Times New Roman" w:hAnsi="Times New Roman" w:cs="Times New Roman"/>
        </w:rPr>
      </w:pPr>
    </w:p>
    <w:p w14:paraId="2F31E455" w14:textId="281150DF" w:rsidR="00481231" w:rsidRDefault="00481231" w:rsidP="006867C8">
      <w:pPr>
        <w:spacing w:line="480" w:lineRule="auto"/>
        <w:rPr>
          <w:rFonts w:ascii="Times New Roman" w:hAnsi="Times New Roman" w:cs="Times New Roman"/>
        </w:rPr>
      </w:pPr>
    </w:p>
    <w:p w14:paraId="14941C9C"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u w:val="single"/>
        </w:rPr>
        <w:lastRenderedPageBreak/>
        <w:t>Introduction</w:t>
      </w:r>
    </w:p>
    <w:p w14:paraId="111A404D" w14:textId="150828B4"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When I was a kid, I made friends with a girl because of advocacy and activist work our parents were doing together. Her family is Sikh and mine is Christian. I did not have a good grasp of what it meant that we had different religions. We liked the same toys and that was enough. My mo</w:t>
      </w:r>
      <w:r w:rsidR="00154C18">
        <w:rPr>
          <w:rFonts w:ascii="TimesNewRomanPSMT" w:hAnsi="TimesNewRomanPSMT" w:cs="TimesNewRomanPSMT"/>
        </w:rPr>
        <w:t>ther</w:t>
      </w:r>
      <w:r>
        <w:rPr>
          <w:rFonts w:ascii="TimesNewRomanPSMT" w:hAnsi="TimesNewRomanPSMT" w:cs="TimesNewRomanPSMT"/>
        </w:rPr>
        <w:t xml:space="preserve"> would kindly try to explain to me why my friend's dad wore a turban, why </w:t>
      </w:r>
      <w:r w:rsidR="00D565B1">
        <w:rPr>
          <w:rFonts w:ascii="TimesNewRomanPSMT" w:hAnsi="TimesNewRomanPSMT" w:cs="TimesNewRomanPSMT"/>
        </w:rPr>
        <w:t>she</w:t>
      </w:r>
      <w:r>
        <w:rPr>
          <w:rFonts w:ascii="TimesNewRomanPSMT" w:hAnsi="TimesNewRomanPSMT" w:cs="TimesNewRomanPSMT"/>
        </w:rPr>
        <w:t xml:space="preserve"> and her sister had such long hair, or why she did not eat the same foods as me because her </w:t>
      </w:r>
      <w:r w:rsidR="00D565B1">
        <w:rPr>
          <w:rFonts w:ascii="TimesNewRomanPSMT" w:hAnsi="TimesNewRomanPSMT" w:cs="TimesNewRomanPSMT"/>
        </w:rPr>
        <w:t>family</w:t>
      </w:r>
      <w:r>
        <w:rPr>
          <w:rFonts w:ascii="TimesNewRomanPSMT" w:hAnsi="TimesNewRomanPSMT" w:cs="TimesNewRomanPSMT"/>
        </w:rPr>
        <w:t xml:space="preserve"> chose to follow rules that made them vegetarian. I always thought it was nice that they were different</w:t>
      </w:r>
      <w:r w:rsidR="00154C18">
        <w:rPr>
          <w:rFonts w:ascii="TimesNewRomanPSMT" w:hAnsi="TimesNewRomanPSMT" w:cs="TimesNewRomanPSMT"/>
        </w:rPr>
        <w:t>.</w:t>
      </w:r>
      <w:r>
        <w:rPr>
          <w:rFonts w:ascii="TimesNewRomanPSMT" w:hAnsi="TimesNewRomanPSMT" w:cs="TimesNewRomanPSMT"/>
        </w:rPr>
        <w:t xml:space="preserve"> I thought their clothes were pretty and they said pretty prayers at meals, but I did not know anything about Sikhism or their practices until a lot later in my life, and long after we were friends. As a kid, I dismissed the differences my friend</w:t>
      </w:r>
      <w:r w:rsidR="009B0476">
        <w:rPr>
          <w:rFonts w:ascii="TimesNewRomanPSMT" w:hAnsi="TimesNewRomanPSMT" w:cs="TimesNewRomanPSMT"/>
        </w:rPr>
        <w:t xml:space="preserve"> and I</w:t>
      </w:r>
      <w:r>
        <w:rPr>
          <w:rFonts w:ascii="TimesNewRomanPSMT" w:hAnsi="TimesNewRomanPSMT" w:cs="TimesNewRomanPSMT"/>
        </w:rPr>
        <w:t xml:space="preserve"> had because they ultimately did not </w:t>
      </w:r>
      <w:r w:rsidR="00D92A13">
        <w:rPr>
          <w:rFonts w:ascii="TimesNewRomanPSMT" w:hAnsi="TimesNewRomanPSMT" w:cs="TimesNewRomanPSMT"/>
        </w:rPr>
        <w:t>affect</w:t>
      </w:r>
      <w:r>
        <w:rPr>
          <w:rFonts w:ascii="TimesNewRomanPSMT" w:hAnsi="TimesNewRomanPSMT" w:cs="TimesNewRomanPSMT"/>
        </w:rPr>
        <w:t xml:space="preserve"> our playing together. The fact that I believe in Jesus and she did not was something I</w:t>
      </w:r>
      <w:r w:rsidR="00671D61">
        <w:rPr>
          <w:rFonts w:ascii="TimesNewRomanPSMT" w:hAnsi="TimesNewRomanPSMT" w:cs="TimesNewRomanPSMT"/>
        </w:rPr>
        <w:t xml:space="preserve"> did not</w:t>
      </w:r>
      <w:r>
        <w:rPr>
          <w:rFonts w:ascii="TimesNewRomanPSMT" w:hAnsi="TimesNewRomanPSMT" w:cs="TimesNewRomanPSMT"/>
        </w:rPr>
        <w:t xml:space="preserve"> care about</w:t>
      </w:r>
      <w:r w:rsidR="00D565B1">
        <w:rPr>
          <w:rFonts w:ascii="TimesNewRomanPSMT" w:hAnsi="TimesNewRomanPSMT" w:cs="TimesNewRomanPSMT"/>
        </w:rPr>
        <w:t>.</w:t>
      </w:r>
      <w:r>
        <w:rPr>
          <w:rFonts w:ascii="TimesNewRomanPSMT" w:hAnsi="TimesNewRomanPSMT" w:cs="TimesNewRomanPSMT"/>
        </w:rPr>
        <w:t xml:space="preserve"> </w:t>
      </w:r>
      <w:r w:rsidR="00D565B1">
        <w:rPr>
          <w:rFonts w:ascii="TimesNewRomanPSMT" w:hAnsi="TimesNewRomanPSMT" w:cs="TimesNewRomanPSMT"/>
        </w:rPr>
        <w:t>A</w:t>
      </w:r>
      <w:r>
        <w:rPr>
          <w:rFonts w:ascii="TimesNewRomanPSMT" w:hAnsi="TimesNewRomanPSMT" w:cs="TimesNewRomanPSMT"/>
        </w:rPr>
        <w:t xml:space="preserve">ll that mattered was that she was just a little bit faster than me when we played tag and we both liked playing astronauts. </w:t>
      </w:r>
    </w:p>
    <w:p w14:paraId="37218338" w14:textId="4F931289"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As a </w:t>
      </w:r>
      <w:r w:rsidR="00D92A13">
        <w:rPr>
          <w:rFonts w:ascii="TimesNewRomanPSMT" w:hAnsi="TimesNewRomanPSMT" w:cs="TimesNewRomanPSMT"/>
        </w:rPr>
        <w:t>seven-year-old</w:t>
      </w:r>
      <w:r>
        <w:rPr>
          <w:rFonts w:ascii="TimesNewRomanPSMT" w:hAnsi="TimesNewRomanPSMT" w:cs="TimesNewRomanPSMT"/>
        </w:rPr>
        <w:t xml:space="preserve">, I did not have much of an inclination to reflect on the religious differences my friend and I had and how they </w:t>
      </w:r>
      <w:r w:rsidR="009B0476">
        <w:rPr>
          <w:rFonts w:ascii="TimesNewRomanPSMT" w:hAnsi="TimesNewRomanPSMT" w:cs="TimesNewRomanPSMT"/>
        </w:rPr>
        <w:t>a</w:t>
      </w:r>
      <w:r>
        <w:rPr>
          <w:rFonts w:ascii="TimesNewRomanPSMT" w:hAnsi="TimesNewRomanPSMT" w:cs="TimesNewRomanPSMT"/>
        </w:rPr>
        <w:t xml:space="preserve">ffect the way we live our lives. I really only cared about what me and my friend had in common when we played together because any differences meant it might be harder to play and get along with one another. </w:t>
      </w:r>
      <w:r w:rsidR="00D565B1">
        <w:rPr>
          <w:rFonts w:ascii="TimesNewRomanPSMT" w:hAnsi="TimesNewRomanPSMT" w:cs="TimesNewRomanPSMT"/>
        </w:rPr>
        <w:t>S</w:t>
      </w:r>
      <w:r>
        <w:rPr>
          <w:rFonts w:ascii="TimesNewRomanPSMT" w:hAnsi="TimesNewRomanPSMT" w:cs="TimesNewRomanPSMT"/>
        </w:rPr>
        <w:t>imilarly, interfaith engagement can tend toward</w:t>
      </w:r>
      <w:r w:rsidR="00735FC4">
        <w:rPr>
          <w:rFonts w:ascii="TimesNewRomanPSMT" w:hAnsi="TimesNewRomanPSMT" w:cs="TimesNewRomanPSMT"/>
        </w:rPr>
        <w:t>s</w:t>
      </w:r>
      <w:r>
        <w:rPr>
          <w:rFonts w:ascii="TimesNewRomanPSMT" w:hAnsi="TimesNewRomanPSMT" w:cs="TimesNewRomanPSMT"/>
        </w:rPr>
        <w:t xml:space="preserve"> focusing on what makes one another similar so it is easier to get along with each other while leaving major differences aside.</w:t>
      </w:r>
      <w:r w:rsidR="00735FC4">
        <w:rPr>
          <w:rFonts w:ascii="TimesNewRomanPSMT" w:hAnsi="TimesNewRomanPSMT" w:cs="TimesNewRomanPSMT"/>
        </w:rPr>
        <w:t xml:space="preserve"> T</w:t>
      </w:r>
      <w:r>
        <w:rPr>
          <w:rFonts w:ascii="TimesNewRomanPSMT" w:hAnsi="TimesNewRomanPSMT" w:cs="TimesNewRomanPSMT"/>
        </w:rPr>
        <w:t>he things we have in common are important because that is what brings us together. If there was absolutely nothing in common, my mo</w:t>
      </w:r>
      <w:r w:rsidR="000C6C1C">
        <w:rPr>
          <w:rFonts w:ascii="TimesNewRomanPSMT" w:hAnsi="TimesNewRomanPSMT" w:cs="TimesNewRomanPSMT"/>
        </w:rPr>
        <w:t>ther</w:t>
      </w:r>
      <w:r>
        <w:rPr>
          <w:rFonts w:ascii="TimesNewRomanPSMT" w:hAnsi="TimesNewRomanPSMT" w:cs="TimesNewRomanPSMT"/>
        </w:rPr>
        <w:t xml:space="preserve"> and her </w:t>
      </w:r>
      <w:r w:rsidR="000C6C1C">
        <w:rPr>
          <w:rFonts w:ascii="TimesNewRomanPSMT" w:hAnsi="TimesNewRomanPSMT" w:cs="TimesNewRomanPSMT"/>
        </w:rPr>
        <w:t>father</w:t>
      </w:r>
      <w:r>
        <w:rPr>
          <w:rFonts w:ascii="TimesNewRomanPSMT" w:hAnsi="TimesNewRomanPSMT" w:cs="TimesNewRomanPSMT"/>
        </w:rPr>
        <w:t xml:space="preserve"> would never have worked together, and we would never have been friends. </w:t>
      </w:r>
    </w:p>
    <w:p w14:paraId="1BB3CC7E" w14:textId="4B8B5065"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Interfaith engagement seeks to create a community that understands each other across perceived boundaries and differences, much in the way my mo</w:t>
      </w:r>
      <w:r w:rsidR="000C6C1C">
        <w:rPr>
          <w:rFonts w:ascii="TimesNewRomanPSMT" w:hAnsi="TimesNewRomanPSMT" w:cs="TimesNewRomanPSMT"/>
        </w:rPr>
        <w:t>ther</w:t>
      </w:r>
      <w:r>
        <w:rPr>
          <w:rFonts w:ascii="TimesNewRomanPSMT" w:hAnsi="TimesNewRomanPSMT" w:cs="TimesNewRomanPSMT"/>
        </w:rPr>
        <w:t xml:space="preserve"> was trying to get me to </w:t>
      </w:r>
      <w:r>
        <w:rPr>
          <w:rFonts w:ascii="TimesNewRomanPSMT" w:hAnsi="TimesNewRomanPSMT" w:cs="TimesNewRomanPSMT"/>
        </w:rPr>
        <w:lastRenderedPageBreak/>
        <w:t>understand the differences between me and my friend. In recent years, interfaith work and dialogue have really taken off in the United State</w:t>
      </w:r>
      <w:r w:rsidR="00D565B1">
        <w:rPr>
          <w:rFonts w:ascii="TimesNewRomanPSMT" w:hAnsi="TimesNewRomanPSMT" w:cs="TimesNewRomanPSMT"/>
        </w:rPr>
        <w:t>s</w:t>
      </w:r>
      <w:r>
        <w:rPr>
          <w:rFonts w:ascii="TimesNewRomanPSMT" w:hAnsi="TimesNewRomanPSMT" w:cs="TimesNewRomanPSMT"/>
        </w:rPr>
        <w:t>; colleges are building interfaith centers, religious communities are reach</w:t>
      </w:r>
      <w:r w:rsidR="009B0476">
        <w:rPr>
          <w:rFonts w:ascii="TimesNewRomanPSMT" w:hAnsi="TimesNewRomanPSMT" w:cs="TimesNewRomanPSMT"/>
        </w:rPr>
        <w:t>ing</w:t>
      </w:r>
      <w:r>
        <w:rPr>
          <w:rFonts w:ascii="TimesNewRomanPSMT" w:hAnsi="TimesNewRomanPSMT" w:cs="TimesNewRomanPSMT"/>
        </w:rPr>
        <w:t xml:space="preserve"> out to each other to build connections and have conversations, and organizations are popping up around the country to help facilitate interfaith action and dialogue in their communities. Finding common ground is really important to interfaith work, just like when you need a friend to play astronauts with</w:t>
      </w:r>
      <w:r w:rsidR="006A37B9">
        <w:rPr>
          <w:rFonts w:ascii="TimesNewRomanPSMT" w:hAnsi="TimesNewRomanPSMT" w:cs="TimesNewRomanPSMT"/>
        </w:rPr>
        <w:t>,</w:t>
      </w:r>
      <w:r>
        <w:rPr>
          <w:rFonts w:ascii="TimesNewRomanPSMT" w:hAnsi="TimesNewRomanPSMT" w:cs="TimesNewRomanPSMT"/>
        </w:rPr>
        <w:t xml:space="preserve"> because it allows people to work together to build a better world. However, people participating in interfaith work need to be comfortable with recognizing and valuing the differences among themselves, something I was unable to do with my friend.</w:t>
      </w:r>
    </w:p>
    <w:p w14:paraId="5BB8CCBF" w14:textId="6267BF78" w:rsidR="00481231" w:rsidRDefault="00DC4827"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The work to create interfaith community has cultivated a strong sense of how people should act in the world through interfaith practices and engagement</w:t>
      </w:r>
      <w:r w:rsidR="00481231">
        <w:rPr>
          <w:rFonts w:ascii="TimesNewRomanPSMT" w:hAnsi="TimesNewRomanPSMT" w:cs="TimesNewRomanPSMT"/>
        </w:rPr>
        <w:t>. In an effort to appeal to the most people as a way to engage diverse religious, spiritual, and worldview backgrounds, interfaith engagement has moved away from finding grounding in religion and spirituality and exists as a secular activity in which people of faith can be involved. For example, my friend and I were both people of faith playing tag together, but not necessarily because there was any particular religious or spiritual motivation or justification to do so. Interfaith engagement exists primarily as practice because that is how it started. People came together from all sorts of religious and spiritual backgrounds to do something</w:t>
      </w:r>
      <w:r w:rsidR="002C658C">
        <w:rPr>
          <w:rFonts w:ascii="TimesNewRomanPSMT" w:hAnsi="TimesNewRomanPSMT" w:cs="TimesNewRomanPSMT"/>
        </w:rPr>
        <w:t>—</w:t>
      </w:r>
      <w:r w:rsidR="00481231">
        <w:rPr>
          <w:rFonts w:ascii="TimesNewRomanPSMT" w:hAnsi="TimesNewRomanPSMT" w:cs="TimesNewRomanPSMT"/>
        </w:rPr>
        <w:t>to be in action together. This means there is not much grounding in theory, or even theology, which is not necessarily a bad thing, but it does mean there is room for improvement in building a stronger sense of praxis instead of solely practice.</w:t>
      </w:r>
      <w:r w:rsidR="003423BF">
        <w:rPr>
          <w:rFonts w:ascii="TimesNewRomanPSMT" w:hAnsi="TimesNewRomanPSMT" w:cs="TimesNewRomanPSMT"/>
        </w:rPr>
        <w:t xml:space="preserve"> By finding ways to incorporate theology into interfaith dialogue and community building, it can provide an avenue into interfaith engagement for members of religious communities who are interested in serving the same goal of building a better world to which interfaith engagement is </w:t>
      </w:r>
      <w:r w:rsidR="003423BF">
        <w:rPr>
          <w:rFonts w:ascii="TimesNewRomanPSMT" w:hAnsi="TimesNewRomanPSMT" w:cs="TimesNewRomanPSMT"/>
        </w:rPr>
        <w:lastRenderedPageBreak/>
        <w:t xml:space="preserve">committed. Using theology as a tool in interfaith cooperation can </w:t>
      </w:r>
      <w:r w:rsidR="004C0AF9">
        <w:rPr>
          <w:rFonts w:ascii="TimesNewRomanPSMT" w:hAnsi="TimesNewRomanPSMT" w:cs="TimesNewRomanPSMT"/>
        </w:rPr>
        <w:t>also provide an invitation to others who may not see the value of participating in interfaith work to see the ways in which the values and goals of interfaith engagement overlap with the values and goals of their personal beliefs and practices.</w:t>
      </w:r>
    </w:p>
    <w:p w14:paraId="5B93A675" w14:textId="3E8411D5"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As a person of </w:t>
      </w:r>
      <w:proofErr w:type="gramStart"/>
      <w:r>
        <w:rPr>
          <w:rFonts w:ascii="TimesNewRomanPSMT" w:hAnsi="TimesNewRomanPSMT" w:cs="TimesNewRomanPSMT"/>
        </w:rPr>
        <w:t>faith</w:t>
      </w:r>
      <w:proofErr w:type="gramEnd"/>
      <w:r>
        <w:rPr>
          <w:rFonts w:ascii="TimesNewRomanPSMT" w:hAnsi="TimesNewRomanPSMT" w:cs="TimesNewRomanPSMT"/>
        </w:rPr>
        <w:t xml:space="preserve"> myself</w:t>
      </w:r>
      <w:r w:rsidR="00D565B1">
        <w:rPr>
          <w:rFonts w:ascii="TimesNewRomanPSMT" w:hAnsi="TimesNewRomanPSMT" w:cs="TimesNewRomanPSMT"/>
        </w:rPr>
        <w:t>,</w:t>
      </w:r>
      <w:r>
        <w:rPr>
          <w:rFonts w:ascii="TimesNewRomanPSMT" w:hAnsi="TimesNewRomanPSMT" w:cs="TimesNewRomanPSMT"/>
        </w:rPr>
        <w:t xml:space="preserve"> who is committed to my Christian practice and theology, I know I want something that grounds interfaith work in my scripture, tradition, and practice. As someone</w:t>
      </w:r>
      <w:r w:rsidR="00D565B1">
        <w:rPr>
          <w:rFonts w:ascii="TimesNewRomanPSMT" w:hAnsi="TimesNewRomanPSMT" w:cs="TimesNewRomanPSMT"/>
        </w:rPr>
        <w:t xml:space="preserve"> also</w:t>
      </w:r>
      <w:r>
        <w:rPr>
          <w:rFonts w:ascii="TimesNewRomanPSMT" w:hAnsi="TimesNewRomanPSMT" w:cs="TimesNewRomanPSMT"/>
        </w:rPr>
        <w:t xml:space="preserve"> committed interfaith work, I want to know why other people participate in dialogues and activities beyond </w:t>
      </w:r>
      <w:r w:rsidR="00D565B1">
        <w:rPr>
          <w:rFonts w:ascii="TimesNewRomanPSMT" w:hAnsi="TimesNewRomanPSMT" w:cs="TimesNewRomanPSMT"/>
        </w:rPr>
        <w:t>simply</w:t>
      </w:r>
      <w:r>
        <w:rPr>
          <w:rFonts w:ascii="TimesNewRomanPSMT" w:hAnsi="TimesNewRomanPSMT" w:cs="TimesNewRomanPSMT"/>
        </w:rPr>
        <w:t xml:space="preserve"> wanting to learn more about other people's faiths. I often get questions from people in my own tradition that want to know why I participate in interfaith work and while I can talk about all the things I personally value about </w:t>
      </w:r>
      <w:r w:rsidR="009A025F">
        <w:rPr>
          <w:rFonts w:ascii="TimesNewRomanPSMT" w:hAnsi="TimesNewRomanPSMT" w:cs="TimesNewRomanPSMT"/>
        </w:rPr>
        <w:t>my involvement</w:t>
      </w:r>
      <w:r>
        <w:rPr>
          <w:rFonts w:ascii="TimesNewRomanPSMT" w:hAnsi="TimesNewRomanPSMT" w:cs="TimesNewRomanPSMT"/>
        </w:rPr>
        <w:t xml:space="preserve">, I </w:t>
      </w:r>
      <w:r w:rsidR="00D565B1">
        <w:rPr>
          <w:rFonts w:ascii="TimesNewRomanPSMT" w:hAnsi="TimesNewRomanPSMT" w:cs="TimesNewRomanPSMT"/>
        </w:rPr>
        <w:t>long for</w:t>
      </w:r>
      <w:r>
        <w:rPr>
          <w:rFonts w:ascii="TimesNewRomanPSMT" w:hAnsi="TimesNewRomanPSMT" w:cs="TimesNewRomanPSMT"/>
        </w:rPr>
        <w:t xml:space="preserve"> a better way to communicate that in a way that other members of my tradition could understand. By being able to explain my motives clearly</w:t>
      </w:r>
      <w:r w:rsidR="003423BF">
        <w:rPr>
          <w:rFonts w:ascii="TimesNewRomanPSMT" w:hAnsi="TimesNewRomanPSMT" w:cs="TimesNewRomanPSMT"/>
        </w:rPr>
        <w:t xml:space="preserve"> through theology</w:t>
      </w:r>
      <w:r>
        <w:rPr>
          <w:rFonts w:ascii="TimesNewRomanPSMT" w:hAnsi="TimesNewRomanPSMT" w:cs="TimesNewRomanPSMT"/>
        </w:rPr>
        <w:t xml:space="preserve">, not only can I </w:t>
      </w:r>
      <w:r w:rsidR="00D565B1">
        <w:rPr>
          <w:rFonts w:ascii="TimesNewRomanPSMT" w:hAnsi="TimesNewRomanPSMT" w:cs="TimesNewRomanPSMT"/>
        </w:rPr>
        <w:t>enable</w:t>
      </w:r>
      <w:r>
        <w:rPr>
          <w:rFonts w:ascii="TimesNewRomanPSMT" w:hAnsi="TimesNewRomanPSMT" w:cs="TimesNewRomanPSMT"/>
        </w:rPr>
        <w:t xml:space="preserve"> others to understand the work that I do, but also</w:t>
      </w:r>
      <w:r w:rsidR="009A025F">
        <w:rPr>
          <w:rFonts w:ascii="TimesNewRomanPSMT" w:hAnsi="TimesNewRomanPSMT" w:cs="TimesNewRomanPSMT"/>
        </w:rPr>
        <w:t xml:space="preserve"> help them</w:t>
      </w:r>
      <w:r>
        <w:rPr>
          <w:rFonts w:ascii="TimesNewRomanPSMT" w:hAnsi="TimesNewRomanPSMT" w:cs="TimesNewRomanPSMT"/>
        </w:rPr>
        <w:t xml:space="preserve"> understand that it is still fundamentally rooted in what I believe.</w:t>
      </w:r>
    </w:p>
    <w:p w14:paraId="4A65C5FF" w14:textId="593F50EB"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Currently, interfaith engagement only scratches the surface; we want to be kind to one another, we want to learn, we want to build community. These are all great things, but if we were to go deeper, to really look at what drives passion for interfaith</w:t>
      </w:r>
      <w:r w:rsidR="00BD1BCD">
        <w:rPr>
          <w:rFonts w:ascii="TimesNewRomanPSMT" w:hAnsi="TimesNewRomanPSMT" w:cs="TimesNewRomanPSMT"/>
        </w:rPr>
        <w:t xml:space="preserve"> work</w:t>
      </w:r>
      <w:r>
        <w:rPr>
          <w:rFonts w:ascii="TimesNewRomanPSMT" w:hAnsi="TimesNewRomanPSMT" w:cs="TimesNewRomanPSMT"/>
        </w:rPr>
        <w:t xml:space="preserve"> from different faith communities, we could deepen the work that is already being done. By looking at how groups theologically ground interfaith work</w:t>
      </w:r>
      <w:r w:rsidR="0078367C">
        <w:rPr>
          <w:rFonts w:ascii="TimesNewRomanPSMT" w:hAnsi="TimesNewRomanPSMT" w:cs="TimesNewRomanPSMT"/>
        </w:rPr>
        <w:t>,</w:t>
      </w:r>
      <w:r>
        <w:rPr>
          <w:rFonts w:ascii="TimesNewRomanPSMT" w:hAnsi="TimesNewRomanPSMT" w:cs="TimesNewRomanPSMT"/>
        </w:rPr>
        <w:t xml:space="preserve"> </w:t>
      </w:r>
      <w:r w:rsidR="0078367C">
        <w:rPr>
          <w:rFonts w:ascii="TimesNewRomanPSMT" w:hAnsi="TimesNewRomanPSMT" w:cs="TimesNewRomanPSMT"/>
        </w:rPr>
        <w:t>we can</w:t>
      </w:r>
      <w:r>
        <w:rPr>
          <w:rFonts w:ascii="TimesNewRomanPSMT" w:hAnsi="TimesNewRomanPSMT" w:cs="TimesNewRomanPSMT"/>
        </w:rPr>
        <w:t xml:space="preserve"> move beyond conversations about what our holidays are</w:t>
      </w:r>
      <w:r w:rsidR="001B29D7">
        <w:rPr>
          <w:rFonts w:ascii="TimesNewRomanPSMT" w:hAnsi="TimesNewRomanPSMT" w:cs="TimesNewRomanPSMT"/>
        </w:rPr>
        <w:t xml:space="preserve"> and</w:t>
      </w:r>
      <w:r>
        <w:rPr>
          <w:rFonts w:ascii="TimesNewRomanPSMT" w:hAnsi="TimesNewRomanPSMT" w:cs="TimesNewRomanPSMT"/>
        </w:rPr>
        <w:t xml:space="preserve"> what our basic beliefs are, to why people feel called or drawn to spend time with and interact with those who hold deeply different beliefs and practices. Not addressing our deep differences is not an oversight. It is a way to avoid what makes us nervous about engaging with people from other traditions. In</w:t>
      </w:r>
      <w:r w:rsidR="00DC4827">
        <w:rPr>
          <w:rFonts w:ascii="TimesNewRomanPSMT" w:hAnsi="TimesNewRomanPSMT" w:cs="TimesNewRomanPSMT"/>
        </w:rPr>
        <w:t xml:space="preserve"> student interfaith dialogue groups at Goucher College, </w:t>
      </w:r>
      <w:r>
        <w:rPr>
          <w:rFonts w:ascii="TimesNewRomanPSMT" w:hAnsi="TimesNewRomanPSMT" w:cs="TimesNewRomanPSMT"/>
        </w:rPr>
        <w:t xml:space="preserve">it has </w:t>
      </w:r>
      <w:r>
        <w:rPr>
          <w:rFonts w:ascii="TimesNewRomanPSMT" w:hAnsi="TimesNewRomanPSMT" w:cs="TimesNewRomanPSMT"/>
        </w:rPr>
        <w:lastRenderedPageBreak/>
        <w:t>come up several times</w:t>
      </w:r>
      <w:r w:rsidR="00DC4827">
        <w:rPr>
          <w:rFonts w:ascii="TimesNewRomanPSMT" w:hAnsi="TimesNewRomanPSMT" w:cs="TimesNewRomanPSMT"/>
        </w:rPr>
        <w:t xml:space="preserve"> </w:t>
      </w:r>
      <w:r>
        <w:rPr>
          <w:rFonts w:ascii="TimesNewRomanPSMT" w:hAnsi="TimesNewRomanPSMT" w:cs="TimesNewRomanPSMT"/>
        </w:rPr>
        <w:t xml:space="preserve">that delving into the theological and philosophical parts of religion and spirituality is scary and uncomfortable for people because they are afraid that something will come up that they so deeply disagree about that they may no longer be able to relate to someone as a result. While that is a valid fear, it is important to keep in mind that our differences still bring us to the same place to be involved in interfaith cooperation. </w:t>
      </w:r>
    </w:p>
    <w:p w14:paraId="3D69AC44" w14:textId="1A02845F"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Our theologies inform more of our actions than we perhaps are always aware of, so to look at and understand what aspects of different faiths are really speaking to those who find interfaith work important is to more deeply understand the roots of interfaith communities. </w:t>
      </w:r>
    </w:p>
    <w:p w14:paraId="3BB4B081" w14:textId="0204B6B4" w:rsidR="00481231" w:rsidRDefault="0068710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rPr>
        <w:t>Interfaith Engagement Resources and Narratives</w:t>
      </w:r>
    </w:p>
    <w:p w14:paraId="1DE416B0" w14:textId="6E3D4FC1"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Much of what has been written on the topic of interfaith engagement revolves around community building and dialogue. There is a lot of literature on personal encounters of interfaith engagement,</w:t>
      </w:r>
      <w:r w:rsidR="00687101">
        <w:rPr>
          <w:rFonts w:ascii="TimesNewRomanPSMT" w:hAnsi="TimesNewRomanPSMT" w:cs="TimesNewRomanPSMT"/>
        </w:rPr>
        <w:t xml:space="preserve"> how interfaith engagement has changed over time,</w:t>
      </w:r>
      <w:r>
        <w:rPr>
          <w:rFonts w:ascii="TimesNewRomanPSMT" w:hAnsi="TimesNewRomanPSMT" w:cs="TimesNewRomanPSMT"/>
        </w:rPr>
        <w:t xml:space="preserve"> how to build and maintain an interfaith community, and some even on how to build interfaith churches. However, many of these materials do not do much in the way of touching on what is missing or avoided in interfaith work, so some things still go unresolved. These resources provide a detailed look into what interfaith engagement is like currently, as described previously.  </w:t>
      </w:r>
    </w:p>
    <w:p w14:paraId="52471EE6"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i/>
        </w:rPr>
        <w:t>Community Building Resources</w:t>
      </w:r>
    </w:p>
    <w:p w14:paraId="0D7949E8" w14:textId="1D85483A"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rPr>
        <w:t xml:space="preserve"> The Interfaith Youth Core (IFYC) is the largest provider of </w:t>
      </w:r>
      <w:r w:rsidR="00885835">
        <w:rPr>
          <w:rFonts w:ascii="TimesNewRomanPSMT" w:hAnsi="TimesNewRomanPSMT" w:cs="TimesNewRomanPSMT"/>
        </w:rPr>
        <w:t>interfaith community building</w:t>
      </w:r>
      <w:r>
        <w:rPr>
          <w:rFonts w:ascii="TimesNewRomanPSMT" w:hAnsi="TimesNewRomanPSMT" w:cs="TimesNewRomanPSMT"/>
        </w:rPr>
        <w:t xml:space="preserve"> resources, which can be downloaded or viewed on their website.</w:t>
      </w:r>
      <w:r>
        <w:rPr>
          <w:rFonts w:ascii="TimesNewRomanPSMT" w:hAnsi="TimesNewRomanPSMT" w:cs="TimesNewRomanPSMT"/>
          <w:vertAlign w:val="superscript"/>
        </w:rPr>
        <w:footnoteReference w:id="1"/>
      </w:r>
      <w:r>
        <w:rPr>
          <w:rFonts w:ascii="TimesNewRomanPSMT" w:hAnsi="TimesNewRomanPSMT" w:cs="TimesNewRomanPSMT"/>
          <w:kern w:val="1"/>
        </w:rPr>
        <w:t xml:space="preserve"> Such resources include ways for colleges and universities to begin teaching and instilling values of interfaith cooperation among their freshman students (Best Practices for Interfaith Learning and Development in the First Year of College), lists of ideas for campus events (7 Popular Interfaith Student Events), and </w:t>
      </w:r>
      <w:r>
        <w:rPr>
          <w:rFonts w:ascii="TimesNewRomanPSMT" w:hAnsi="TimesNewRomanPSMT" w:cs="TimesNewRomanPSMT"/>
          <w:kern w:val="1"/>
        </w:rPr>
        <w:lastRenderedPageBreak/>
        <w:t xml:space="preserve">even bibliographies of helpful academic sources for Interfaith and Interreligious </w:t>
      </w:r>
      <w:r w:rsidR="00885835">
        <w:rPr>
          <w:rFonts w:ascii="TimesNewRomanPSMT" w:hAnsi="TimesNewRomanPSMT" w:cs="TimesNewRomanPSMT"/>
          <w:kern w:val="1"/>
        </w:rPr>
        <w:t>S</w:t>
      </w:r>
      <w:r>
        <w:rPr>
          <w:rFonts w:ascii="TimesNewRomanPSMT" w:hAnsi="TimesNewRomanPSMT" w:cs="TimesNewRomanPSMT"/>
          <w:kern w:val="1"/>
        </w:rPr>
        <w:t xml:space="preserve">tudies (Bibliography for Interfaith and Interreligious studies). On top of this, IFYC offers resources and training around how to engage and lead interfaith dialogues, with programs for college faculty and staff, as well as a large program for college students. These materials are certainly well used and provide a lot of guidance and support for growing interfaith communities, but these resources are specifically geared toward fostering interfaith community on college campuses. They also focus on how to develop skills as a leader and how to translate interfaith dialogue into places beyond interfaith communities so that dialogue becomes a marketable skill when students begin applying to post-graduation jobs. This kind of narrow focus on skill building means that the focus of IFYC's work tends toward the end product, not the process. Planning religious literacy events or hosting open dialogues at a college campus is not necessarily geared toward creating time for personal, theological reflection on why students are choosing to be involved in interfaith engagement.  </w:t>
      </w:r>
    </w:p>
    <w:p w14:paraId="0114EF6D"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 xml:space="preserve"> Another resource for interfaith community building is </w:t>
      </w:r>
      <w:r>
        <w:rPr>
          <w:rFonts w:ascii="TimesNewRomanPSMT" w:hAnsi="TimesNewRomanPSMT" w:cs="TimesNewRomanPSMT"/>
          <w:i/>
          <w:kern w:val="1"/>
        </w:rPr>
        <w:t>Practical Interfaith: How to Find our Common Humanity as we Celebrate Diversity</w:t>
      </w:r>
      <w:r>
        <w:rPr>
          <w:rFonts w:ascii="TimesNewRomanPSMT" w:hAnsi="TimesNewRomanPSMT" w:cs="TimesNewRomanPSMT"/>
          <w:kern w:val="1"/>
        </w:rPr>
        <w:t>, which builds a framework for an Interfaith Church. The author provides resources for congregations to pick the right minister for their church, as well as a guide on how to create an interfaith worships service.</w:t>
      </w:r>
      <w:r>
        <w:rPr>
          <w:rFonts w:ascii="TimesNewRomanPSMT" w:hAnsi="TimesNewRomanPSMT" w:cs="TimesNewRomanPSMT"/>
          <w:kern w:val="1"/>
          <w:vertAlign w:val="superscript"/>
        </w:rPr>
        <w:footnoteReference w:id="2"/>
      </w:r>
      <w:r>
        <w:rPr>
          <w:rFonts w:ascii="TimesNewRomanPSMT" w:hAnsi="TimesNewRomanPSMT" w:cs="TimesNewRomanPSMT"/>
          <w:kern w:val="1"/>
        </w:rPr>
        <w:t xml:space="preserve"> However, all the author seems to do is find the lowest common denominator that the majority of people can agree to believe and build the church around that shared value. This seems to actually, in many ways, ignore the diversity of traditions that could exist in an interfaith congregation, and does not address the wide variety of practices and doctrines that people follow. By focusing too much on what people in an interfaith community have in common, the differences and nuances of the </w:t>
      </w:r>
      <w:r>
        <w:rPr>
          <w:rFonts w:ascii="TimesNewRomanPSMT" w:hAnsi="TimesNewRomanPSMT" w:cs="TimesNewRomanPSMT"/>
          <w:kern w:val="1"/>
        </w:rPr>
        <w:lastRenderedPageBreak/>
        <w:t>traditions represented can be lost. This completely avoids reflection on what makes people different and how their traditions lead them all to the same space and community, even though an interfaith church sounds like it could be the perfect place for personal theological reflection. The issue with this book, as well as IFYC's community resources is that they do not make much room for personal experiences of interfaith engagement to be unpacked and contemplated in the context of a person's individual beliefs, but rather asks people to consider their experiences through the lens of interfaith values.</w:t>
      </w:r>
    </w:p>
    <w:p w14:paraId="1B31C72C"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kern w:val="1"/>
        </w:rPr>
      </w:pPr>
      <w:r>
        <w:rPr>
          <w:rFonts w:ascii="TimesNewRomanPSMT" w:hAnsi="TimesNewRomanPSMT" w:cs="TimesNewRomanPSMT"/>
          <w:i/>
          <w:kern w:val="1"/>
        </w:rPr>
        <w:t>Personal Interfaith Engagement</w:t>
      </w:r>
    </w:p>
    <w:p w14:paraId="5FB29AA8" w14:textId="17EDC308"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 xml:space="preserve">Beyond tools for building interfaith communities, there are plenty of books that cover personal encounters with interfaith engagement. In fact, there is a large emphasis in interfaith literature on personal experiences of other religious and spiritual traditions. The book, </w:t>
      </w:r>
      <w:r>
        <w:rPr>
          <w:rFonts w:ascii="TimesNewRomanPSMT" w:hAnsi="TimesNewRomanPSMT" w:cs="TimesNewRomanPSMT"/>
          <w:i/>
          <w:kern w:val="1"/>
        </w:rPr>
        <w:t>My Neighbor's Faith: Stories of Interreligious Encounter, Growth, and Transformation</w:t>
      </w:r>
      <w:r>
        <w:rPr>
          <w:rFonts w:ascii="TimesNewRomanPSMT" w:hAnsi="TimesNewRomanPSMT" w:cs="TimesNewRomanPSMT"/>
          <w:kern w:val="1"/>
        </w:rPr>
        <w:t xml:space="preserve">, for example is a collection of personal narratives collected at a conference to show the wide range of encounters people have had with others and how that has changed the way they think about that which they encountered, or themselves. Many of the stories follow a template of encounter, reflection, growth, where people are able to see something different, reflect on what they learned, and then grow in their knowledge and actions. Each essay reflects a different experience, and therefore, a different lesson learned. From learning of the </w:t>
      </w:r>
      <w:r w:rsidR="0078367C">
        <w:rPr>
          <w:rFonts w:ascii="TimesNewRomanPSMT" w:hAnsi="TimesNewRomanPSMT" w:cs="TimesNewRomanPSMT"/>
          <w:kern w:val="1"/>
        </w:rPr>
        <w:t>deep-seated</w:t>
      </w:r>
      <w:r>
        <w:rPr>
          <w:rFonts w:ascii="TimesNewRomanPSMT" w:hAnsi="TimesNewRomanPSMT" w:cs="TimesNewRomanPSMT"/>
          <w:kern w:val="1"/>
        </w:rPr>
        <w:t xml:space="preserve"> mistrust and animosity between two religious groups, to finding a friend through a mutual life experience, each story provides a glimpse into the diversity of interfaith encounters.</w:t>
      </w:r>
      <w:r>
        <w:rPr>
          <w:rFonts w:ascii="TimesNewRomanPSMT" w:hAnsi="TimesNewRomanPSMT" w:cs="TimesNewRomanPSMT"/>
          <w:kern w:val="1"/>
          <w:vertAlign w:val="superscript"/>
        </w:rPr>
        <w:footnoteReference w:id="3"/>
      </w:r>
      <w:r>
        <w:rPr>
          <w:rFonts w:ascii="TimesNewRomanPSMT" w:hAnsi="TimesNewRomanPSMT" w:cs="TimesNewRomanPSMT"/>
          <w:kern w:val="1"/>
        </w:rPr>
        <w:t xml:space="preserve"> These stories provide a diversity of interactions that have happened around the world. Their authors do reflect on their experiences, but not necessarily from the perspective of engaging their personal theological </w:t>
      </w:r>
      <w:r>
        <w:rPr>
          <w:rFonts w:ascii="TimesNewRomanPSMT" w:hAnsi="TimesNewRomanPSMT" w:cs="TimesNewRomanPSMT"/>
          <w:kern w:val="1"/>
        </w:rPr>
        <w:lastRenderedPageBreak/>
        <w:t xml:space="preserve">understandings of the world. Many of the stories center around how another person changed their perspective about another religious tradition, or some aspect of being human. These stories get the closest to creating a space to use personal reflection to understand the role of interfaith engagement in someone's personal religious and spiritual practices, but it could still go further into discussing what drew people into the experiences in the first place beyond simple curiosity or academic pursuits. </w:t>
      </w:r>
    </w:p>
    <w:p w14:paraId="5B44A5FD" w14:textId="287E6961" w:rsidR="00BD1BCD" w:rsidRPr="00E325D5" w:rsidRDefault="00481231" w:rsidP="00E325D5">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 xml:space="preserve">Other books focus on a singular journey through interfaith encounters and community building. </w:t>
      </w:r>
      <w:r>
        <w:rPr>
          <w:rFonts w:ascii="TimesNewRomanPSMT" w:hAnsi="TimesNewRomanPSMT" w:cs="TimesNewRomanPSMT"/>
          <w:i/>
          <w:kern w:val="1"/>
        </w:rPr>
        <w:t>Without Buddha I Could not be a Christian</w:t>
      </w:r>
      <w:r>
        <w:rPr>
          <w:rFonts w:ascii="TimesNewRomanPSMT" w:hAnsi="TimesNewRomanPSMT" w:cs="TimesNewRomanPSMT"/>
          <w:kern w:val="1"/>
        </w:rPr>
        <w:t xml:space="preserve"> centers around the author's experiences with Buddhism and how that helped develop his personal Christian practices into something more comfortable and authentic to himself. </w:t>
      </w:r>
      <w:proofErr w:type="spellStart"/>
      <w:r>
        <w:rPr>
          <w:rFonts w:ascii="TimesNewRomanPSMT" w:hAnsi="TimesNewRomanPSMT" w:cs="TimesNewRomanPSMT"/>
          <w:i/>
          <w:kern w:val="1"/>
        </w:rPr>
        <w:t>Faithiest</w:t>
      </w:r>
      <w:proofErr w:type="spellEnd"/>
      <w:r>
        <w:rPr>
          <w:rFonts w:ascii="TimesNewRomanPSMT" w:hAnsi="TimesNewRomanPSMT" w:cs="TimesNewRomanPSMT"/>
          <w:i/>
          <w:kern w:val="1"/>
        </w:rPr>
        <w:t>: How an Atheist Found Common Ground with the Religious</w:t>
      </w:r>
      <w:r>
        <w:rPr>
          <w:rFonts w:ascii="TimesNewRomanPSMT" w:hAnsi="TimesNewRomanPSMT" w:cs="TimesNewRomanPSMT"/>
          <w:kern w:val="1"/>
        </w:rPr>
        <w:t xml:space="preserve"> focuses on one man's journey from being deeply religious to not being religious at all, and the struggles he has faced in engaging religiousness when he himself has no inclination to believe in anything other than the power of a person and their actions. Both of these examples are like </w:t>
      </w:r>
      <w:r>
        <w:rPr>
          <w:rFonts w:ascii="TimesNewRomanPSMT" w:hAnsi="TimesNewRomanPSMT" w:cs="TimesNewRomanPSMT"/>
          <w:i/>
          <w:kern w:val="1"/>
        </w:rPr>
        <w:t>My Neighbor's Faith</w:t>
      </w:r>
      <w:r>
        <w:rPr>
          <w:rFonts w:ascii="TimesNewRomanPSMT" w:hAnsi="TimesNewRomanPSMT" w:cs="TimesNewRomanPSMT"/>
          <w:kern w:val="1"/>
        </w:rPr>
        <w:t>, in that they focus on the experiences people are having in interfaith settings. Since both books are about a single person's experience with interfaith engagement, there is more analysis of why these experiences happened and what they contributed to the person's experience of the world. With these narratives and the ones mentioned previously, there is still a lack of theological perspectives. Theology plays a huge role in determining what people can and will do within their religious practices and understanding how that relates to people's participation in interfaith engagement is still missing.</w:t>
      </w:r>
    </w:p>
    <w:p w14:paraId="3A6D9083" w14:textId="58B60E04"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rPr>
        <w:t>What Next?</w:t>
      </w:r>
    </w:p>
    <w:p w14:paraId="184DC044" w14:textId="6C4042FF"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Individual encounters, experiences, as well as resources for building community and engaging in dialogue are wonderful materials</w:t>
      </w:r>
      <w:r w:rsidR="000F0A4F">
        <w:rPr>
          <w:rFonts w:ascii="TimesNewRomanPSMT" w:hAnsi="TimesNewRomanPSMT" w:cs="TimesNewRomanPSMT"/>
        </w:rPr>
        <w:t xml:space="preserve"> for understanding interfaith engagement and how it </w:t>
      </w:r>
      <w:r w:rsidR="000F0A4F">
        <w:rPr>
          <w:rFonts w:ascii="TimesNewRomanPSMT" w:hAnsi="TimesNewRomanPSMT" w:cs="TimesNewRomanPSMT"/>
        </w:rPr>
        <w:lastRenderedPageBreak/>
        <w:t>works</w:t>
      </w:r>
      <w:r>
        <w:rPr>
          <w:rFonts w:ascii="TimesNewRomanPSMT" w:hAnsi="TimesNewRomanPSMT" w:cs="TimesNewRomanPSMT"/>
        </w:rPr>
        <w:t xml:space="preserve">, but they leave a lot of unanswered questions. Primarily, questions about why we do not talk about interfaith through the lens of theology. </w:t>
      </w:r>
    </w:p>
    <w:p w14:paraId="79D5BFE6"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If bringing people from all kinds of religious and spiritual backgrounds is so important, then the theological justifications and motivations should be important as well. For some, it cannot just be okay to participate in interfaith dialogue and community, but something that their religion calls them to do. In that sense, by understanding interfaith engagement theologically could open more avenues for a more diverse group of people participating in interfaith activity. It has long been a struggle for interfaith to include those who seem to disagree with the idea of interfaith work and dialogue, and people have consistently asking how those people could be included. </w:t>
      </w:r>
    </w:p>
    <w:p w14:paraId="182FDA89" w14:textId="5029D0E6"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By only discussing what people do, instead of the theology behind it, we also miss the opportunity to discuss what is possible if interfaith engagement is thought about theologically. There is a level of depth and analysis that can be explored through theology that cannot be explored only through the lens of dialogue and community building practices. By laying the ground work, and using a theological framework, there is potential to engage and invite even more people to participate in interfaith engagement. Connecting interfaith cooperation to theology acts as a justification for participation in activity that is not necessarily built into the practices and traditions of a particular tradition.</w:t>
      </w:r>
      <w:r w:rsidR="00D92A13">
        <w:rPr>
          <w:rFonts w:ascii="TimesNewRomanPSMT" w:hAnsi="TimesNewRomanPSMT" w:cs="TimesNewRomanPSMT"/>
        </w:rPr>
        <w:t xml:space="preserve"> </w:t>
      </w:r>
      <w:r>
        <w:rPr>
          <w:rFonts w:ascii="TimesNewRomanPSMT" w:hAnsi="TimesNewRomanPSMT" w:cs="TimesNewRomanPSMT"/>
        </w:rPr>
        <w:t xml:space="preserve">Avoiding one of the most integral parts of religion can lend itself to attracting a very specific group of people who do not feel the need to have theological basis for their work in interfaith engagement. By including theology and showing that it can be part of the calling of a religious group opens interfaith work to a wider audience. Based in the work of interfaith dialogue and community, building a theological framework seems like the next step in understanding interfaith engagement in a more holistic way. This helps add depth, open new dialogue, includes more people, and can accomplish </w:t>
      </w:r>
      <w:r>
        <w:rPr>
          <w:rFonts w:ascii="TimesNewRomanPSMT" w:hAnsi="TimesNewRomanPSMT" w:cs="TimesNewRomanPSMT"/>
        </w:rPr>
        <w:lastRenderedPageBreak/>
        <w:t xml:space="preserve">answering some of the questions that interfaith cooperation has faced for a long time. Theological reflection can bring out the ways in which traditions support building relationships with others across religious boundaries. As our world becomes more diverse and we interact with people who are different from ourselves more frequently, having the ability to understand one's own personal commitments to bridging divides can make it easier to connect with others as they do the same work for themselves. People participating in interfaith engagement need to start thinking more deeply and theologically about their commitments to interfaith cooperation. </w:t>
      </w:r>
    </w:p>
    <w:p w14:paraId="462546BE"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rPr>
        <w:t>Chapter Summaries</w:t>
      </w:r>
    </w:p>
    <w:p w14:paraId="1F17C07D"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The following sections will go into various aspects of interfaith engagement and how theology can exist as part of interfaith work. The first chapter will cover the history of interfaith through civic engagement and interreligious dialogue. Both of these elements continue to be foundational elements to modern models of interfaith engagement, so understanding some of the history of these two characteristics will be helpful in contextualizing modern interfaith engagement and possible next steps. This chapter also discusses some of the ways civic engagement and interreligious dialogue continue to exist through organizations like the Interfaith Youth Core. Current models of interfaith engagement show where interfaith cooperation is today, what has already been improved, and what can still be improved. </w:t>
      </w:r>
    </w:p>
    <w:p w14:paraId="6D40509A"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The second chapter will discuss the limits of current practices and the real possibilities that could come with theology and Interfaith. By critiquing some of the ways in which interfaith engagement manifests today, we can see the areas of interfaith cooperation that can still be improved. This chapter suggests the idea of using theology as a tool to interact with interfaith engagement in a new, deeper, and more personal way than what currently exists. This creates the </w:t>
      </w:r>
      <w:r>
        <w:rPr>
          <w:rFonts w:ascii="TimesNewRomanPSMT" w:hAnsi="TimesNewRomanPSMT" w:cs="TimesNewRomanPSMT"/>
        </w:rPr>
        <w:lastRenderedPageBreak/>
        <w:t>opportunity to delve deeper into what possible future models could look like, and what a theological framework could be.</w:t>
      </w:r>
    </w:p>
    <w:p w14:paraId="576111F0"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 The third chapter will be an explanation of the proposed theological framework as well as a case study to show how the framework can be used. By following interfaith traditions, I will be using my own personal faith tradition of the United Methodist Church to show how the framework functions and how it can be used to justify participation in interfaith engagement. Using several key aspects of interfaith engagement values, as well as several Methodist values, I use the framework to reflect not only on my personal reasons for participating in interfaith engagement, but also how this reflection can be used by others in my tradition to understand the reasoning and theological foundation for interfaith engagement in our context. </w:t>
      </w:r>
    </w:p>
    <w:p w14:paraId="41FA16E7" w14:textId="77777777"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All of this is to fill a gap in interfaith engagement where theology often gets left out of what should be a place full of reflection and analysis of how someone can understand their role in a movement that was not created specifically for their tradition. We should be able to see how people are able to use vastly different beliefs to come to the conclusion that interfaith engagement is important to their understanding of what their religious traditions ask of them. It shows how our differences build the foundation for the common ground interfaith engagement relies on. </w:t>
      </w:r>
    </w:p>
    <w:p w14:paraId="6D9CF7EA" w14:textId="42B9F0A0" w:rsidR="00481231" w:rsidRDefault="00481231"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72510A55" w14:textId="2A064169" w:rsidR="00353CC3" w:rsidRDefault="00353CC3"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4D082D97" w14:textId="4DC9C888" w:rsidR="00353CC3" w:rsidRDefault="00353CC3" w:rsidP="00481231">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794E23E2" w14:textId="77777777" w:rsidR="00BD1BCD" w:rsidRDefault="00BD1BCD"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p>
    <w:p w14:paraId="52A7A817" w14:textId="77777777" w:rsidR="007C7502" w:rsidRDefault="007C7502"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b/>
          <w:u w:val="single"/>
        </w:rPr>
      </w:pPr>
    </w:p>
    <w:p w14:paraId="60576F4F" w14:textId="77777777" w:rsidR="007C7502" w:rsidRDefault="007C7502"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b/>
          <w:u w:val="single"/>
        </w:rPr>
      </w:pPr>
    </w:p>
    <w:p w14:paraId="3BA0B9A6" w14:textId="04E856D2"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u w:val="single"/>
        </w:rPr>
        <w:lastRenderedPageBreak/>
        <w:t>Interfaith Engagement Then and Now</w:t>
      </w:r>
    </w:p>
    <w:p w14:paraId="1FFEDA8A" w14:textId="30519720"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Interfaith engagement has existed since the first time religious traditions interacted with each other. Calling it interfaith is relatively new, but the</w:t>
      </w:r>
      <w:r w:rsidR="000F0A4F">
        <w:rPr>
          <w:rFonts w:ascii="TimesNewRomanPSMT" w:hAnsi="TimesNewRomanPSMT" w:cs="TimesNewRomanPSMT"/>
        </w:rPr>
        <w:t>re are patterns in</w:t>
      </w:r>
      <w:r w:rsidR="00C04A73">
        <w:rPr>
          <w:rFonts w:ascii="TimesNewRomanPSMT" w:hAnsi="TimesNewRomanPSMT" w:cs="TimesNewRomanPSMT"/>
        </w:rPr>
        <w:t xml:space="preserve"> interfaith</w:t>
      </w:r>
      <w:r w:rsidR="000F0A4F">
        <w:rPr>
          <w:rFonts w:ascii="TimesNewRomanPSMT" w:hAnsi="TimesNewRomanPSMT" w:cs="TimesNewRomanPSMT"/>
        </w:rPr>
        <w:t xml:space="preserve"> </w:t>
      </w:r>
      <w:r w:rsidR="00C04A73">
        <w:rPr>
          <w:rFonts w:ascii="TimesNewRomanPSMT" w:hAnsi="TimesNewRomanPSMT" w:cs="TimesNewRomanPSMT"/>
        </w:rPr>
        <w:t xml:space="preserve">engagement that can be seen throughout history that still look similar today. </w:t>
      </w:r>
      <w:r>
        <w:rPr>
          <w:rFonts w:ascii="TimesNewRomanPSMT" w:hAnsi="TimesNewRomanPSMT" w:cs="TimesNewRomanPSMT"/>
        </w:rPr>
        <w:t xml:space="preserve">This chapter examines the origins of interfaith engagement and where it is </w:t>
      </w:r>
      <w:r w:rsidR="007C7502">
        <w:rPr>
          <w:rFonts w:ascii="TimesNewRomanPSMT" w:hAnsi="TimesNewRomanPSMT" w:cs="TimesNewRomanPSMT"/>
        </w:rPr>
        <w:t>currently</w:t>
      </w:r>
      <w:r>
        <w:rPr>
          <w:rFonts w:ascii="TimesNewRomanPSMT" w:hAnsi="TimesNewRomanPSMT" w:cs="TimesNewRomanPSMT"/>
        </w:rPr>
        <w:t xml:space="preserve">. Interfaith engagement and cooperation today </w:t>
      </w:r>
      <w:proofErr w:type="gramStart"/>
      <w:r>
        <w:rPr>
          <w:rFonts w:ascii="TimesNewRomanPSMT" w:hAnsi="TimesNewRomanPSMT" w:cs="TimesNewRomanPSMT"/>
        </w:rPr>
        <w:t>emphasizes</w:t>
      </w:r>
      <w:proofErr w:type="gramEnd"/>
      <w:r>
        <w:rPr>
          <w:rFonts w:ascii="TimesNewRomanPSMT" w:hAnsi="TimesNewRomanPSMT" w:cs="TimesNewRomanPSMT"/>
        </w:rPr>
        <w:t xml:space="preserve"> and prioritizes dialogue and community action</w:t>
      </w:r>
      <w:r w:rsidR="007C7502">
        <w:rPr>
          <w:rFonts w:ascii="TimesNewRomanPSMT" w:hAnsi="TimesNewRomanPSMT" w:cs="TimesNewRomanPSMT"/>
        </w:rPr>
        <w:t xml:space="preserve"> because of the commitment to creating interfaith communities that </w:t>
      </w:r>
      <w:r w:rsidR="00316096">
        <w:rPr>
          <w:rFonts w:ascii="TimesNewRomanPSMT" w:hAnsi="TimesNewRomanPSMT" w:cs="TimesNewRomanPSMT"/>
        </w:rPr>
        <w:t>want to build a better world through interfaith cooperation</w:t>
      </w:r>
      <w:r>
        <w:rPr>
          <w:rFonts w:ascii="TimesNewRomanPSMT" w:hAnsi="TimesNewRomanPSMT" w:cs="TimesNewRomanPSMT"/>
        </w:rPr>
        <w:t xml:space="preserve">. It would be difficult to cover the entire span of human interaction to show the evolution of interfaith cooperation, so this chapter aims to look at a couple of aspects that have directly impacted interfaith engagement as it currently exists today. </w:t>
      </w:r>
    </w:p>
    <w:p w14:paraId="2059F355" w14:textId="77777777" w:rsidR="00316096" w:rsidRDefault="00353CC3" w:rsidP="00316096">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Civic action as well as dialogue between religious leaders spurred action toward the more grassroots and community focused interfaith engagement we see currently. This has led to current models of interfaith engagement, some of which put an emphasis on interfaith dialogue and engagement as tools for teaching people how to engage in not only a religiously diverse, but also culturally diverse society. In order to track this change over time, this chapter will chart the history of interfaith engagement by showing how examples like the Civil Rights Movement and the United Religions Initiative has influenced modern interfaith engagement, especially through the example of the Interfaith Youth Core. In order to understand what steps can be taken to improve interfaith engagement, looking at its growth, especially in the last several decades, can offer a clearer picture of what has already been done. This allows for a more solid grounding for moving forward into potential next steps for building better interfaith engagement.</w:t>
      </w:r>
    </w:p>
    <w:p w14:paraId="5AAAB9EE" w14:textId="77777777" w:rsidR="00316096" w:rsidRDefault="00316096" w:rsidP="00316096">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2E45967F" w14:textId="77777777" w:rsidR="00316096" w:rsidRDefault="00316096" w:rsidP="00316096">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p>
    <w:p w14:paraId="5B83E1FE" w14:textId="72AB3CBA" w:rsidR="00353CC3" w:rsidRPr="0068213A" w:rsidRDefault="00353CC3" w:rsidP="00316096">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sidRPr="0068213A">
        <w:rPr>
          <w:rFonts w:ascii="TimesNewRomanPSMT" w:hAnsi="TimesNewRomanPSMT" w:cs="TimesNewRomanPSMT"/>
          <w:b/>
        </w:rPr>
        <w:lastRenderedPageBreak/>
        <w:t>Interfaith History</w:t>
      </w:r>
    </w:p>
    <w:p w14:paraId="6D81A78F" w14:textId="175FD43D"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The two aspects of interfaith history that are being emphasized in this chapter are civic engagement and interreligious dialogue. Both intertwine at different points, but each have unique characteristics that have influenced how we think of interfaith engagement today. With civic engagement, interfaith cooperation can be seen in community organizing around single issues and events that are not necessarily directly related to a specific religion. These issues often find multiple religions that feel compelled, because of their beliefs</w:t>
      </w:r>
      <w:r w:rsidR="0078367C">
        <w:rPr>
          <w:rFonts w:ascii="TimesNewRomanPSMT" w:hAnsi="TimesNewRomanPSMT" w:cs="TimesNewRomanPSMT"/>
        </w:rPr>
        <w:t>,</w:t>
      </w:r>
      <w:r>
        <w:rPr>
          <w:rFonts w:ascii="TimesNewRomanPSMT" w:hAnsi="TimesNewRomanPSMT" w:cs="TimesNewRomanPSMT"/>
        </w:rPr>
        <w:t xml:space="preserve"> to take a side and fight for it. Interreligious dialogue provides another lens through which to look at modern interfaith and the increase in encouragement for dialogue between people of different religious and spiritual traditions. </w:t>
      </w:r>
    </w:p>
    <w:p w14:paraId="2206146F" w14:textId="77777777" w:rsidR="00353CC3" w:rsidRPr="0068213A"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rPr>
      </w:pPr>
      <w:r>
        <w:rPr>
          <w:rFonts w:ascii="TimesNewRomanPSMT" w:hAnsi="TimesNewRomanPSMT" w:cs="TimesNewRomanPSMT"/>
          <w:i/>
        </w:rPr>
        <w:t>Civic Engagement</w:t>
      </w:r>
    </w:p>
    <w:p w14:paraId="5E4AA6FC" w14:textId="496F6EB3"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When the first attempt at the march from Selma, Alabama to Montgomery, Alabama failed, Rev. Martin Luther King Jr. called for religious leaders around the country to come to Selma and march with him and others as they protested racist voter laws in Alabama.</w:t>
      </w:r>
      <w:r>
        <w:rPr>
          <w:rFonts w:ascii="TimesNewRomanPSMT" w:hAnsi="TimesNewRomanPSMT" w:cs="TimesNewRomanPSMT"/>
          <w:vertAlign w:val="superscript"/>
        </w:rPr>
        <w:footnoteReference w:id="4"/>
      </w:r>
      <w:r>
        <w:rPr>
          <w:rFonts w:ascii="TimesNewRomanPSMT" w:hAnsi="TimesNewRomanPSMT" w:cs="TimesNewRomanPSMT"/>
          <w:vertAlign w:val="superscript"/>
        </w:rPr>
        <w:t xml:space="preserve"> </w:t>
      </w:r>
      <w:r>
        <w:rPr>
          <w:rFonts w:ascii="TimesNewRomanPSMT" w:hAnsi="TimesNewRomanPSMT" w:cs="TimesNewRomanPSMT"/>
        </w:rPr>
        <w:t>In the end, 2,000 people marched with Dr. King. Religious leaders brought groups of people with them to show solidarity in a struggle that was hard to ignore. In images, one can see Protestant ministers linking arms with Jewish Rabbis, and Catholic nuns and priests.</w:t>
      </w:r>
      <w:r>
        <w:rPr>
          <w:rFonts w:ascii="TimesNewRomanPSMT" w:hAnsi="TimesNewRomanPSMT" w:cs="TimesNewRomanPSMT"/>
          <w:vertAlign w:val="superscript"/>
        </w:rPr>
        <w:footnoteReference w:id="5"/>
      </w:r>
      <w:r>
        <w:rPr>
          <w:rFonts w:ascii="TimesNewRomanPSMT" w:hAnsi="TimesNewRomanPSMT" w:cs="TimesNewRomanPSMT"/>
          <w:vertAlign w:val="superscript"/>
        </w:rPr>
        <w:t xml:space="preserve"> </w:t>
      </w:r>
      <w:r>
        <w:rPr>
          <w:rFonts w:ascii="TimesNewRomanPSMT" w:hAnsi="TimesNewRomanPSMT" w:cs="TimesNewRomanPSMT"/>
        </w:rPr>
        <w:t>During that march people came together, regardless of religion</w:t>
      </w:r>
      <w:r w:rsidR="0078367C">
        <w:rPr>
          <w:rFonts w:ascii="TimesNewRomanPSMT" w:hAnsi="TimesNewRomanPSMT" w:cs="TimesNewRomanPSMT"/>
        </w:rPr>
        <w:t>,</w:t>
      </w:r>
      <w:r>
        <w:rPr>
          <w:rFonts w:ascii="TimesNewRomanPSMT" w:hAnsi="TimesNewRomanPSMT" w:cs="TimesNewRomanPSMT"/>
        </w:rPr>
        <w:t xml:space="preserve"> to prove that people cared about and were paying attention to what was happening in Alabama and the Civil Rights Movement. Differences were set aside to fight for what Christians would call 'the least of these'. </w:t>
      </w:r>
    </w:p>
    <w:p w14:paraId="70F50861" w14:textId="727146D8"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lastRenderedPageBreak/>
        <w:t>This is often how common ground is discovered, through something that a majority of people can agree upon, like black people having the right to vote. Anything else that does not aide in the agreement of that is left to the side for later, when there are not such pressing matters at hand. Once the march was over people left, certainly changed by the feat of the march, but the relationships and conversations stayed in Alabama on the road to Montgomery. While Dr. King maintained relationships with some of the leaders like Rabbi Abraham Joshua Heschel, even their relationship continued to exist primarily through social movements and action. They would both continue to speak out against racism and racially charged hate, both speaking at the same events and supporting each other’s speeches and deeply agree</w:t>
      </w:r>
      <w:r w:rsidR="0078367C">
        <w:rPr>
          <w:rFonts w:ascii="TimesNewRomanPSMT" w:hAnsi="TimesNewRomanPSMT" w:cs="TimesNewRomanPSMT"/>
        </w:rPr>
        <w:t>ing</w:t>
      </w:r>
      <w:r>
        <w:rPr>
          <w:rFonts w:ascii="TimesNewRomanPSMT" w:hAnsi="TimesNewRomanPSMT" w:cs="TimesNewRomanPSMT"/>
        </w:rPr>
        <w:t xml:space="preserve"> on one of Dr. King's most famous quotes: that "injustice anywhere is a threat to justice everywhere."</w:t>
      </w:r>
      <w:r>
        <w:rPr>
          <w:rFonts w:ascii="TimesNewRomanPSMT" w:hAnsi="TimesNewRomanPSMT" w:cs="TimesNewRomanPSMT"/>
          <w:vertAlign w:val="superscript"/>
        </w:rPr>
        <w:footnoteReference w:id="6"/>
      </w:r>
      <w:r>
        <w:rPr>
          <w:rFonts w:ascii="TimesNewRomanPSMT" w:hAnsi="TimesNewRomanPSMT" w:cs="TimesNewRomanPSMT"/>
          <w:vertAlign w:val="superscript"/>
        </w:rPr>
        <w:t xml:space="preserve"> </w:t>
      </w:r>
      <w:r>
        <w:rPr>
          <w:rFonts w:ascii="TimesNewRomanPSMT" w:hAnsi="TimesNewRomanPSMT" w:cs="TimesNewRomanPSMT"/>
        </w:rPr>
        <w:t xml:space="preserve">They would go on to protest the Vietnam war together, along with Thich </w:t>
      </w:r>
      <w:proofErr w:type="spellStart"/>
      <w:r>
        <w:rPr>
          <w:rFonts w:ascii="TimesNewRomanPSMT" w:hAnsi="TimesNewRomanPSMT" w:cs="TimesNewRomanPSMT"/>
        </w:rPr>
        <w:t>Nhat</w:t>
      </w:r>
      <w:proofErr w:type="spellEnd"/>
      <w:r>
        <w:rPr>
          <w:rFonts w:ascii="TimesNewRomanPSMT" w:hAnsi="TimesNewRomanPSMT" w:cs="TimesNewRomanPSMT"/>
        </w:rPr>
        <w:t xml:space="preserve"> Hanh, a Buddhist monk from Vietnam</w:t>
      </w:r>
      <w:r w:rsidR="00A35688">
        <w:rPr>
          <w:rFonts w:ascii="TimesNewRomanPSMT" w:hAnsi="TimesNewRomanPSMT" w:cs="TimesNewRomanPSMT"/>
        </w:rPr>
        <w:t>,</w:t>
      </w:r>
      <w:r>
        <w:rPr>
          <w:rFonts w:ascii="TimesNewRomanPSMT" w:hAnsi="TimesNewRomanPSMT" w:cs="TimesNewRomanPSMT"/>
        </w:rPr>
        <w:t xml:space="preserve"> after he asked for their help in shedding light on the suffering of the Vietnamese people. This kind of model gets used in these situations because it can be easy to connect with a large amount of people on a singular issue and mobilize</w:t>
      </w:r>
      <w:r w:rsidR="0078367C">
        <w:rPr>
          <w:rFonts w:ascii="TimesNewRomanPSMT" w:hAnsi="TimesNewRomanPSMT" w:cs="TimesNewRomanPSMT"/>
        </w:rPr>
        <w:t xml:space="preserve"> them</w:t>
      </w:r>
      <w:r>
        <w:rPr>
          <w:rFonts w:ascii="TimesNewRomanPSMT" w:hAnsi="TimesNewRomanPSMT" w:cs="TimesNewRomanPSMT"/>
        </w:rPr>
        <w:t xml:space="preserve"> quickly in support of their cause. This works great in civic action because people will show up and help with protests and marches, so their impact is larger and more forceful.   </w:t>
      </w:r>
    </w:p>
    <w:p w14:paraId="034F7497"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Looking at how religious people interacted with one another around issues like Civil Rights and war protests says something significant about those issues—that they transcend religious and spiritual differences. The struggle to rectify those issues is not born out of a specific doctrine or culture but resonates across traditions and gets people involved. Religious traditions, often seen as the moral foundation of society, are all able to agree that something has to change, and they do so even though they are different.</w:t>
      </w:r>
    </w:p>
    <w:p w14:paraId="1A38885E" w14:textId="6A5CA0D2"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lastRenderedPageBreak/>
        <w:t xml:space="preserve">  A lot of good has come from religious and spiritual traditions being active in civic engagement, but in the scope of this project, there are still short comings</w:t>
      </w:r>
      <w:r w:rsidR="00C04A73">
        <w:rPr>
          <w:rFonts w:ascii="TimesNewRomanPSMT" w:hAnsi="TimesNewRomanPSMT" w:cs="TimesNewRomanPSMT"/>
        </w:rPr>
        <w:t xml:space="preserve"> when it comes to creating complex and in-depth engagement between people.</w:t>
      </w:r>
      <w:r>
        <w:rPr>
          <w:rFonts w:ascii="TimesNewRomanPSMT" w:hAnsi="TimesNewRomanPSMT" w:cs="TimesNewRomanPSMT"/>
        </w:rPr>
        <w:t xml:space="preserve"> This model of interfaith engagement does not have much to go on outside the main objective of engaging through a particular issue</w:t>
      </w:r>
      <w:r w:rsidR="00C04A73">
        <w:rPr>
          <w:rFonts w:ascii="TimesNewRomanPSMT" w:hAnsi="TimesNewRomanPSMT" w:cs="TimesNewRomanPSMT"/>
        </w:rPr>
        <w:t xml:space="preserve"> with a very finite amount of time in which to engage</w:t>
      </w:r>
      <w:r>
        <w:rPr>
          <w:rFonts w:ascii="TimesNewRomanPSMT" w:hAnsi="TimesNewRomanPSMT" w:cs="TimesNewRomanPSMT"/>
        </w:rPr>
        <w:t xml:space="preserve">. Much of the reflection and learning can be left up to the individual traditions and their members that are participating, instead of it happening with in the larger collective. It is not guaranteed that once the issue has been properly addressed, the interfaith community that has formed will stay because it was built solely to address that issue. This model is not sustainable long-term because it only has short term goals. Instead of having its foundations in community building and developing relationships, it is rooted in action. Relationships and community can be seen as more coincidental rather than integral, which leads to the group fading out once there is no longer a need for it to exist. This is contrary to models that rely heavily on interfaith dialogue as a foundational tool to building their communities. </w:t>
      </w:r>
    </w:p>
    <w:p w14:paraId="05D44AE2" w14:textId="77777777" w:rsidR="00353CC3" w:rsidRPr="00FC43E7"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rPr>
      </w:pPr>
      <w:r>
        <w:rPr>
          <w:rFonts w:ascii="TimesNewRomanPSMT" w:hAnsi="TimesNewRomanPSMT" w:cs="TimesNewRomanPSMT"/>
          <w:i/>
        </w:rPr>
        <w:t>Interreligious Dialogue</w:t>
      </w:r>
    </w:p>
    <w:p w14:paraId="3C496438" w14:textId="475F764A"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Interreligious dialogue, the second characteristic being examined here, has played an important role in setting up the parameters for current interfaith practices. A lot of these dialogues were started amongst religious and spiritual leaders, like the World Parliament of Religions in 1893 in Chicago during the </w:t>
      </w:r>
      <w:r w:rsidR="0078367C">
        <w:rPr>
          <w:rFonts w:ascii="TimesNewRomanPSMT" w:hAnsi="TimesNewRomanPSMT" w:cs="TimesNewRomanPSMT"/>
        </w:rPr>
        <w:t>W</w:t>
      </w:r>
      <w:r>
        <w:rPr>
          <w:rFonts w:ascii="TimesNewRomanPSMT" w:hAnsi="TimesNewRomanPSMT" w:cs="TimesNewRomanPSMT"/>
        </w:rPr>
        <w:t xml:space="preserve">orld's </w:t>
      </w:r>
      <w:r w:rsidR="0078367C">
        <w:rPr>
          <w:rFonts w:ascii="TimesNewRomanPSMT" w:hAnsi="TimesNewRomanPSMT" w:cs="TimesNewRomanPSMT"/>
        </w:rPr>
        <w:t>F</w:t>
      </w:r>
      <w:r>
        <w:rPr>
          <w:rFonts w:ascii="TimesNewRomanPSMT" w:hAnsi="TimesNewRomanPSMT" w:cs="TimesNewRomanPSMT"/>
        </w:rPr>
        <w:t>air. This first meeting of the Parliament was aimed at unifying against atheists, who were seen as a threat against religion, and espousing the Golden Rule as the basis for all religious coexistence.</w:t>
      </w:r>
      <w:r>
        <w:rPr>
          <w:rFonts w:ascii="TimesNewRomanPSMT" w:hAnsi="TimesNewRomanPSMT" w:cs="TimesNewRomanPSMT"/>
          <w:vertAlign w:val="superscript"/>
        </w:rPr>
        <w:footnoteReference w:id="7"/>
      </w:r>
      <w:r>
        <w:rPr>
          <w:rFonts w:ascii="TimesNewRomanPSMT" w:hAnsi="TimesNewRomanPSMT" w:cs="TimesNewRomanPSMT"/>
        </w:rPr>
        <w:t xml:space="preserve"> The planners for this first meeting were all Christian, except for one Jewish rabbi. Most of the people who were invited, and most of </w:t>
      </w:r>
      <w:r>
        <w:rPr>
          <w:rFonts w:ascii="TimesNewRomanPSMT" w:hAnsi="TimesNewRomanPSMT" w:cs="TimesNewRomanPSMT"/>
        </w:rPr>
        <w:lastRenderedPageBreak/>
        <w:t>those who came to the parliament were Christian in some form or another. There was some representation outside Christianity, which provided the first experience of non-Judeo-Christian religions for a majority of the people who attended and in that respect, offered an opportunity for those in attendance to learn something new about a different faith tradition. While it was an overwhelmingly Christian event that gave a platform to a wide variety of Christians, it was still an opportunity to participate in dialogue in a way that was not so publicly available before. There were certainly aims to prove that Christianity is the superior religion, especially since they felt there was a threat from the number of non-religious people in the United States. However, there was still an effort toward an inclusive dialogue with other traditions the planners saw as being compatible with their values, especially the Golden Rule.</w:t>
      </w:r>
      <w:r>
        <w:rPr>
          <w:rFonts w:ascii="TimesNewRomanPSMT" w:hAnsi="TimesNewRomanPSMT" w:cs="TimesNewRomanPSMT"/>
          <w:vertAlign w:val="superscript"/>
        </w:rPr>
        <w:footnoteReference w:id="8"/>
      </w:r>
      <w:r>
        <w:rPr>
          <w:rFonts w:ascii="TimesNewRomanPSMT" w:hAnsi="TimesNewRomanPSMT" w:cs="TimesNewRomanPSMT"/>
        </w:rPr>
        <w:t xml:space="preserve"> This first parliament was not as successful as the planners had hoped, with large US Christian denominations refusing to attend, and several withdrawing from the meeting after discovering there would be non-Christian traditions represented that they did not like.</w:t>
      </w:r>
      <w:r>
        <w:rPr>
          <w:rFonts w:ascii="TimesNewRomanPSMT" w:hAnsi="TimesNewRomanPSMT" w:cs="TimesNewRomanPSMT"/>
          <w:vertAlign w:val="superscript"/>
        </w:rPr>
        <w:footnoteReference w:id="9"/>
      </w:r>
      <w:r>
        <w:rPr>
          <w:rFonts w:ascii="TimesNewRomanPSMT" w:hAnsi="TimesNewRomanPSMT" w:cs="TimesNewRomanPSMT"/>
        </w:rPr>
        <w:t xml:space="preserve"> The event shook things up a little bit and offered a new lens for understanding the relationship between religious traditions. It showed that there was an opportunity for positive relationships to exist between traditions, no matter how different they might be, even if the Parliament was never organized again during that time.</w:t>
      </w:r>
    </w:p>
    <w:p w14:paraId="669680F2" w14:textId="1B064741"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Exactly one hundred years later, in 1993, another World Parliament was held. This one was vastly different from the first, beginning with those who were behind the planning and their goals. The planners wanted the gathering to foster interreligious dialogue, understanding, reflection, as well as, "inspire action and change around the world."</w:t>
      </w:r>
      <w:r>
        <w:rPr>
          <w:rFonts w:ascii="TimesNewRomanPSMT" w:hAnsi="TimesNewRomanPSMT" w:cs="TimesNewRomanPSMT"/>
          <w:vertAlign w:val="superscript"/>
        </w:rPr>
        <w:footnoteReference w:id="10"/>
      </w:r>
      <w:r>
        <w:rPr>
          <w:rFonts w:ascii="TimesNewRomanPSMT" w:hAnsi="TimesNewRomanPSMT" w:cs="TimesNewRomanPSMT"/>
        </w:rPr>
        <w:t xml:space="preserve"> The planning group looked much different as well,</w:t>
      </w:r>
      <w:r w:rsidR="0078367C">
        <w:rPr>
          <w:rFonts w:ascii="TimesNewRomanPSMT" w:hAnsi="TimesNewRomanPSMT" w:cs="TimesNewRomanPSMT"/>
        </w:rPr>
        <w:t xml:space="preserve"> as</w:t>
      </w:r>
      <w:r>
        <w:rPr>
          <w:rFonts w:ascii="TimesNewRomanPSMT" w:hAnsi="TimesNewRomanPSMT" w:cs="TimesNewRomanPSMT"/>
        </w:rPr>
        <w:t xml:space="preserve"> Christian, Baha'i, Hindu, Buddhist, Muslim, and Zoroastrian </w:t>
      </w:r>
      <w:r>
        <w:rPr>
          <w:rFonts w:ascii="TimesNewRomanPSMT" w:hAnsi="TimesNewRomanPSMT" w:cs="TimesNewRomanPSMT"/>
        </w:rPr>
        <w:lastRenderedPageBreak/>
        <w:t xml:space="preserve">practitioners were all represented in the planning process. This led to a parliament meeting that was extremely diverse and did not espouse explicitly Christian beliefs and fears like in 1893. Their keynote speaker, the fourteenth Dalai Lama, as well as other prominent religious figures from around the world attracted nearly seven thousand people, almost 18 times more people than the 1893 meeting. </w:t>
      </w:r>
    </w:p>
    <w:p w14:paraId="36DDC47E"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This second parliament demonstrated significant growth in the understanding of diversity in religion. Instead of an overwhelming number of Christian leaders, academics, and missionaries presenting their work, presenters included leaders, practitioners, and academics from a multitude of religious backgrounds presenting their work in 1993.</w:t>
      </w:r>
      <w:r>
        <w:rPr>
          <w:rFonts w:ascii="TimesNewRomanPSMT" w:hAnsi="TimesNewRomanPSMT" w:cs="TimesNewRomanPSMT"/>
          <w:vertAlign w:val="superscript"/>
        </w:rPr>
        <w:footnoteReference w:id="11"/>
      </w:r>
      <w:r>
        <w:rPr>
          <w:rFonts w:ascii="TimesNewRomanPSMT" w:hAnsi="TimesNewRomanPSMT" w:cs="TimesNewRomanPSMT"/>
        </w:rPr>
        <w:t xml:space="preserve"> Significantly, people representing religions with origins in Asia were overwhelmingly present in 1993, which put the focus actually on world religions, not just primarily on American Christianity. This advance to be more inclusive in how religion is defined shows a significant step toward the incredible inclusivity we see in current interfaith models. Starting with the 1993 Parliament of World Religions, an organization was created to continue to gather leaders from around the world to engage with one another. To date, there have been five other World Parliament gatherings since 1993, including one in 2018.</w:t>
      </w:r>
      <w:r>
        <w:rPr>
          <w:rFonts w:ascii="TimesNewRomanPSMT" w:hAnsi="TimesNewRomanPSMT" w:cs="TimesNewRomanPSMT"/>
          <w:vertAlign w:val="superscript"/>
        </w:rPr>
        <w:footnoteReference w:id="12"/>
      </w:r>
      <w:r>
        <w:rPr>
          <w:rFonts w:ascii="TimesNewRomanPSMT" w:hAnsi="TimesNewRomanPSMT" w:cs="TimesNewRomanPSMT"/>
        </w:rPr>
        <w:t xml:space="preserve"> Each meeting has become more inclusive and open as they expand, grow, and become more well known around the world.</w:t>
      </w:r>
    </w:p>
    <w:p w14:paraId="1B336612" w14:textId="7E928DC6" w:rsidR="0078367C" w:rsidRDefault="00353CC3" w:rsidP="00C04A7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The Parliament of World Religions has done a lot to make interfaith dialogue more well known, but there is still an issue with who is visibly speaking about dialogue. Keynote speakers like the Dali Lama are still religious leaders, so the public face of interreligious dialogue is still religious leaders. This creates some questions as to who is allowed to participate in interfaith </w:t>
      </w:r>
      <w:r>
        <w:rPr>
          <w:rFonts w:ascii="TimesNewRomanPSMT" w:hAnsi="TimesNewRomanPSMT" w:cs="TimesNewRomanPSMT"/>
        </w:rPr>
        <w:lastRenderedPageBreak/>
        <w:t>dialogue, and if it really can only be religious and spiritual leaders, even if that is not the intention. If individuals are meant to participate in dialogue, there is not necessarily a good model for what it looks like for laity to engage with one another because they are only seeing people who can be classified as experts partake in dialogue. There needs to be more room for members of religious communities to see themselves in interfaith work so they will also participate in dialogue.</w:t>
      </w:r>
    </w:p>
    <w:p w14:paraId="337FBFE2" w14:textId="77777777" w:rsidR="00353CC3" w:rsidRPr="006871BB"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rPr>
      </w:pPr>
      <w:r>
        <w:rPr>
          <w:rFonts w:ascii="TimesNewRomanPSMT" w:hAnsi="TimesNewRomanPSMT" w:cs="TimesNewRomanPSMT"/>
          <w:i/>
        </w:rPr>
        <w:t>Civic Engagement and Dialogue Together</w:t>
      </w:r>
    </w:p>
    <w:p w14:paraId="46F1115A"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This is where the United Religions Initiative comes in. While the Parliament of World Religions has been growing and encouraging interfaith dialogue, the United Religions Initiative has been as well, but through a grassroots model. The idea behind this initiative started with a service the United Nations asked an Episcopal Bishop, William Swing, to organize a service to celebrate their fiftieth anniversary.</w:t>
      </w:r>
      <w:r>
        <w:rPr>
          <w:rFonts w:ascii="TimesNewRomanPSMT" w:hAnsi="TimesNewRomanPSMT" w:cs="TimesNewRomanPSMT"/>
          <w:vertAlign w:val="superscript"/>
        </w:rPr>
        <w:footnoteReference w:id="13"/>
      </w:r>
      <w:r>
        <w:rPr>
          <w:rFonts w:ascii="TimesNewRomanPSMT" w:hAnsi="TimesNewRomanPSMT" w:cs="TimesNewRomanPSMT"/>
        </w:rPr>
        <w:t xml:space="preserve"> Bishop Swing was told that the UN would be inviting ambassadors and religious leaders from around the world to celebrate the anniversary together. </w:t>
      </w:r>
      <w:r>
        <w:rPr>
          <w:rFonts w:ascii="TimesNewRomanPSMT" w:hAnsi="TimesNewRomanPSMT" w:cs="TimesNewRomanPSMT"/>
          <w:vertAlign w:val="superscript"/>
        </w:rPr>
        <w:footnoteReference w:id="14"/>
      </w:r>
      <w:r>
        <w:rPr>
          <w:rFonts w:ascii="TimesNewRomanPSMT" w:hAnsi="TimesNewRomanPSMT" w:cs="TimesNewRomanPSMT"/>
        </w:rPr>
        <w:t>Although he accepted the offer, there was a lot about the idea that caused him to think deeply about the state of interreligious relationships in the world. At the time, in 1993, religion was in the news a lot, but not for good reasons. It was being used to justify and sustain so much violence around the world, it spurred Bishop Swing to do something about it.</w:t>
      </w:r>
      <w:r>
        <w:rPr>
          <w:rFonts w:ascii="TimesNewRomanPSMT" w:hAnsi="TimesNewRomanPSMT" w:cs="TimesNewRomanPSMT"/>
          <w:vertAlign w:val="superscript"/>
        </w:rPr>
        <w:footnoteReference w:id="15"/>
      </w:r>
      <w:r>
        <w:rPr>
          <w:rFonts w:ascii="TimesNewRomanPSMT" w:hAnsi="TimesNewRomanPSMT" w:cs="TimesNewRomanPSMT"/>
        </w:rPr>
        <w:t xml:space="preserve"> The result of that service and the Bishop's worries was the UN's United Religions Initiative (URI). </w:t>
      </w:r>
    </w:p>
    <w:p w14:paraId="293371C7"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URI describes itself as "a global grassroots interfaith network," that works to build relationships across religious and spiritual boundaries so people can work together around </w:t>
      </w:r>
      <w:r>
        <w:rPr>
          <w:rFonts w:ascii="TimesNewRomanPSMT" w:hAnsi="TimesNewRomanPSMT" w:cs="TimesNewRomanPSMT"/>
        </w:rPr>
        <w:lastRenderedPageBreak/>
        <w:t>specific issues in their communities.</w:t>
      </w:r>
      <w:r>
        <w:rPr>
          <w:rFonts w:ascii="TimesNewRomanPSMT" w:hAnsi="TimesNewRomanPSMT" w:cs="TimesNewRomanPSMT"/>
          <w:vertAlign w:val="superscript"/>
        </w:rPr>
        <w:footnoteReference w:id="16"/>
      </w:r>
      <w:r>
        <w:rPr>
          <w:rFonts w:ascii="TimesNewRomanPSMT" w:hAnsi="TimesNewRomanPSMT" w:cs="TimesNewRomanPSMT"/>
        </w:rPr>
        <w:t xml:space="preserve"> By using global and local initiatives, URI hopes to bolster communities around the world to continue their work toward, "a world at peace."</w:t>
      </w:r>
      <w:r>
        <w:rPr>
          <w:rFonts w:ascii="TimesNewRomanPSMT" w:hAnsi="TimesNewRomanPSMT" w:cs="TimesNewRomanPSMT"/>
          <w:vertAlign w:val="superscript"/>
        </w:rPr>
        <w:footnoteReference w:id="17"/>
      </w:r>
      <w:r>
        <w:rPr>
          <w:rFonts w:ascii="TimesNewRomanPSMT" w:hAnsi="TimesNewRomanPSMT" w:cs="TimesNewRomanPSMT"/>
        </w:rPr>
        <w:t xml:space="preserve"> URI officially began its work in 2000, after their charter was signed. Their organization combines interreligious dialogue and action under one name. URI uses dialogue to create groups called cooperation circles, which are groups consisting of individuals and organizations from various religious and spiritual traditions.</w:t>
      </w:r>
      <w:r>
        <w:rPr>
          <w:rFonts w:ascii="TimesNewRomanPSMT" w:hAnsi="TimesNewRomanPSMT" w:cs="TimesNewRomanPSMT"/>
          <w:vertAlign w:val="superscript"/>
        </w:rPr>
        <w:footnoteReference w:id="18"/>
      </w:r>
      <w:r>
        <w:rPr>
          <w:rFonts w:ascii="TimesNewRomanPSMT" w:hAnsi="TimesNewRomanPSMT" w:cs="TimesNewRomanPSMT"/>
        </w:rPr>
        <w:t xml:space="preserve"> These groups then use their newfound connections to work together around issues in their communities. URI's organizational method means that cooperation circles get a say in how URI functions and who gets to be in leadership.</w:t>
      </w:r>
      <w:r>
        <w:rPr>
          <w:rFonts w:ascii="TimesNewRomanPSMT" w:hAnsi="TimesNewRomanPSMT" w:cs="TimesNewRomanPSMT"/>
          <w:vertAlign w:val="superscript"/>
        </w:rPr>
        <w:footnoteReference w:id="19"/>
      </w:r>
      <w:r>
        <w:rPr>
          <w:rFonts w:ascii="TimesNewRomanPSMT" w:hAnsi="TimesNewRomanPSMT" w:cs="TimesNewRomanPSMT"/>
        </w:rPr>
        <w:t xml:space="preserve"> They are able to engage people from different religious and spiritual backgrounds who are committed to making people's lives better, build quality relationships rooted in URI's principles and purpose, and pool resources to make a bigger impact in local communities across the world.</w:t>
      </w:r>
      <w:r>
        <w:rPr>
          <w:rFonts w:ascii="TimesNewRomanPSMT" w:hAnsi="TimesNewRomanPSMT" w:cs="TimesNewRomanPSMT"/>
          <w:vertAlign w:val="superscript"/>
        </w:rPr>
        <w:footnoteReference w:id="20"/>
      </w:r>
    </w:p>
    <w:p w14:paraId="35A0AF18"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URI works with many organizations that share their commitment to interfaith cooperation as well as their commitment to better their world through that cooperation. They partner with organizations like the Parliament of World Religions and the UN to better support their cooperation circles and the work they do. Such an example has made way for other organizations to meld the work of interfaith cooperation and action with interfaith dialogue. </w:t>
      </w:r>
    </w:p>
    <w:p w14:paraId="7069F05A" w14:textId="77777777" w:rsidR="00353CC3" w:rsidRPr="00065F4C"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sidRPr="00065F4C">
        <w:rPr>
          <w:rFonts w:ascii="TimesNewRomanPSMT" w:hAnsi="TimesNewRomanPSMT" w:cs="TimesNewRomanPSMT"/>
          <w:b/>
        </w:rPr>
        <w:t>Interfaith Today</w:t>
      </w:r>
    </w:p>
    <w:p w14:paraId="2B369539" w14:textId="7CDB65E2"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Interfaith engagement has existed in all of these different models throughout history and ha</w:t>
      </w:r>
      <w:r w:rsidR="0078367C">
        <w:rPr>
          <w:rFonts w:ascii="TimesNewRomanPSMT" w:hAnsi="TimesNewRomanPSMT" w:cs="TimesNewRomanPSMT"/>
        </w:rPr>
        <w:t>s</w:t>
      </w:r>
      <w:r>
        <w:rPr>
          <w:rFonts w:ascii="TimesNewRomanPSMT" w:hAnsi="TimesNewRomanPSMT" w:cs="TimesNewRomanPSMT"/>
        </w:rPr>
        <w:t xml:space="preserve"> influenced some of the modern iterations of interfaith engagement we see today. Leading the way into modern understandings of how interfaith as a whole can benefit society is the Interfaith </w:t>
      </w:r>
      <w:r>
        <w:rPr>
          <w:rFonts w:ascii="TimesNewRomanPSMT" w:hAnsi="TimesNewRomanPSMT" w:cs="TimesNewRomanPSMT"/>
        </w:rPr>
        <w:lastRenderedPageBreak/>
        <w:t>Youth Core (IFYC). Their focus is on engaging with college and university aged students, as well as faculty, staff, and higher education institutions as a whole in the United States. This strategy is not only to facilitate and grow interfaith cooperation on college campuses, but to build up groups of young people who can take their knowledge of interfaith work beyond their campuses and into the rest of the world; as they put it, "when interfaith cooperation becomes a part of the college experience, it becomes a part of the American experience."</w:t>
      </w:r>
      <w:r>
        <w:rPr>
          <w:rFonts w:ascii="TimesNewRomanPSMT" w:hAnsi="TimesNewRomanPSMT" w:cs="TimesNewRomanPSMT"/>
          <w:vertAlign w:val="superscript"/>
        </w:rPr>
        <w:footnoteReference w:id="21"/>
      </w:r>
      <w:r>
        <w:rPr>
          <w:rFonts w:ascii="TimesNewRomanPSMT" w:hAnsi="TimesNewRomanPSMT" w:cs="TimesNewRomanPSMT"/>
        </w:rPr>
        <w:t xml:space="preserve"> IFYC posits that the United States is one of the most religiously diverse places in the world, so setting college students up with the tools necessary to navigate that diversity is important in creating a society and culture of respect and commitment to the common good through strong relationships.</w:t>
      </w:r>
      <w:r>
        <w:rPr>
          <w:rFonts w:ascii="TimesNewRomanPSMT" w:hAnsi="TimesNewRomanPSMT" w:cs="TimesNewRomanPSMT"/>
          <w:vertAlign w:val="superscript"/>
        </w:rPr>
        <w:footnoteReference w:id="22"/>
      </w:r>
      <w:r>
        <w:rPr>
          <w:rFonts w:ascii="TimesNewRomanPSMT" w:hAnsi="TimesNewRomanPSMT" w:cs="TimesNewRomanPSMT"/>
        </w:rPr>
        <w:t xml:space="preserve"> By gearing their materials and programs toward these goals, they are able to work on campuses to build those skills on a small scale, which can then be expanded upon once students leave their schools. IFYC has turned the idea of interfaith dialogue into something larger than something a select few people choose to participate in, but rather put it into the context of the current demographics and opportunities young people face in America today.  Being able to talk about religion and deep-seated identity differences is a great step toward being able to converse, build relationships, and work with people is a marketable skill, and IFYC is using that to teach people to overcome differences to serve the common good. </w:t>
      </w:r>
    </w:p>
    <w:p w14:paraId="68076E2B"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Interfaith Youth Core's founder, Eboo Patel, has used his own personal narrative as a way to explain why Interfaith cooperation is such a vital part of teaching college students how to interact with each other, especially when major differences may arise. Like Bishop William Swing, Patel has spent a lot of time thinking about the ramifications of conflict on religion, especially as a Muslim American. Unfortunately, conflict and religious disagreement are still </w:t>
      </w:r>
      <w:r>
        <w:rPr>
          <w:rFonts w:ascii="TimesNewRomanPSMT" w:hAnsi="TimesNewRomanPSMT" w:cs="TimesNewRomanPSMT"/>
        </w:rPr>
        <w:lastRenderedPageBreak/>
        <w:t xml:space="preserve">widely prevalent in the world today. In Patel's book, </w:t>
      </w:r>
      <w:r>
        <w:rPr>
          <w:rFonts w:ascii="TimesNewRomanPSMT" w:hAnsi="TimesNewRomanPSMT" w:cs="TimesNewRomanPSMT"/>
          <w:i/>
        </w:rPr>
        <w:t>Sacred Ground</w:t>
      </w:r>
      <w:r>
        <w:rPr>
          <w:rFonts w:ascii="TimesNewRomanPSMT" w:hAnsi="TimesNewRomanPSMT" w:cs="TimesNewRomanPSMT"/>
        </w:rPr>
        <w:t>, he says that, "part of the work of Interfaith Youth Core is to convince people that religious prejudice is a serious problem, and that it should be considered as un-American as racism or sexism."</w:t>
      </w:r>
      <w:r>
        <w:rPr>
          <w:rFonts w:ascii="TimesNewRomanPSMT" w:hAnsi="TimesNewRomanPSMT" w:cs="TimesNewRomanPSMT"/>
          <w:vertAlign w:val="superscript"/>
        </w:rPr>
        <w:footnoteReference w:id="23"/>
      </w:r>
      <w:r>
        <w:rPr>
          <w:rFonts w:ascii="TimesNewRomanPSMT" w:hAnsi="TimesNewRomanPSMT" w:cs="TimesNewRomanPSMT"/>
        </w:rPr>
        <w:t xml:space="preserve"> For Eboo Patel and IFYC, the ongoing crisis of religious prejudice and conflict is the primary focus of their work. In many ways, once there can be a way to overcome those prejudices and conflict, participating in work done by groups like the United Religions Initiative, or in work against larger societal ailments like war, and income inequality become easier because people are able to do like IFYC says and work for the common good, instead of the good of just a few. </w:t>
      </w:r>
    </w:p>
    <w:p w14:paraId="001A45E3" w14:textId="301133E8"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The relevance of interfaith dialogue and cooperation is evident </w:t>
      </w:r>
      <w:r w:rsidR="0078367C">
        <w:rPr>
          <w:rFonts w:ascii="TimesNewRomanPSMT" w:hAnsi="TimesNewRomanPSMT" w:cs="TimesNewRomanPSMT"/>
        </w:rPr>
        <w:t>in</w:t>
      </w:r>
      <w:r>
        <w:rPr>
          <w:rFonts w:ascii="TimesNewRomanPSMT" w:hAnsi="TimesNewRomanPSMT" w:cs="TimesNewRomanPSMT"/>
        </w:rPr>
        <w:t xml:space="preserve"> the success of IFYC. They are still a thriving organization that continues their core work with colleges and universities and their students but has also branched out to find ways globally to incorporate their dialogue values in other countries and contexts. IFYC has also been working with researchers to conduct longitudinal surveys on students' worldview over the course of the four years they spend on a college campus. So, not only are they working to build valuable skills in students, but they are providing evidence that campuses are diverse in ways people may not have previously thought about</w:t>
      </w:r>
      <w:r w:rsidR="0078367C">
        <w:rPr>
          <w:rFonts w:ascii="TimesNewRomanPSMT" w:hAnsi="TimesNewRomanPSMT" w:cs="TimesNewRomanPSMT"/>
        </w:rPr>
        <w:t>. Thus, they are able to build the case that,</w:t>
      </w:r>
      <w:r>
        <w:rPr>
          <w:rFonts w:ascii="TimesNewRomanPSMT" w:hAnsi="TimesNewRomanPSMT" w:cs="TimesNewRomanPSMT"/>
        </w:rPr>
        <w:t xml:space="preserve"> by incorporating </w:t>
      </w:r>
      <w:r w:rsidR="0078367C">
        <w:rPr>
          <w:rFonts w:ascii="TimesNewRomanPSMT" w:hAnsi="TimesNewRomanPSMT" w:cs="TimesNewRomanPSMT"/>
        </w:rPr>
        <w:t>i</w:t>
      </w:r>
      <w:r>
        <w:rPr>
          <w:rFonts w:ascii="TimesNewRomanPSMT" w:hAnsi="TimesNewRomanPSMT" w:cs="TimesNewRomanPSMT"/>
        </w:rPr>
        <w:t>nterfaith cooperation into their campuses, students will be better equipped to engage with their peers and understand their perspectives.</w:t>
      </w:r>
    </w:p>
    <w:p w14:paraId="0AF7B5EA"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Those involved in religious studies at colleges and universities seem to be divided on whether the work IFYC does is actually beneficial, or if it is coopting work already being done in religious studies as an academic field. Some are excited and willing to accept grants and workshops, while others remain skeptical and see it as a hinderance to the work and </w:t>
      </w:r>
      <w:r>
        <w:rPr>
          <w:rFonts w:ascii="TimesNewRomanPSMT" w:hAnsi="TimesNewRomanPSMT" w:cs="TimesNewRomanPSMT"/>
        </w:rPr>
        <w:lastRenderedPageBreak/>
        <w:t>conversations that are already happening around religion. However, there is a slow shift happening, as Interfaith and Interreligious Studies becomes more accepted as a field of study. Most notably, it has become an official section of the American Academy of Religion, which means people are able to share work on interfaith engagement within the academic community. This positive growth toward acceptance shows that even though there may be people who disagree, interfaith work has something constructive to add to the field of Religious Studies.</w:t>
      </w:r>
    </w:p>
    <w:p w14:paraId="5C0A7812" w14:textId="3A6BF705"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While the work IFYC has done </w:t>
      </w:r>
      <w:r w:rsidR="0078367C">
        <w:rPr>
          <w:rFonts w:ascii="TimesNewRomanPSMT" w:hAnsi="TimesNewRomanPSMT" w:cs="TimesNewRomanPSMT"/>
        </w:rPr>
        <w:t>h</w:t>
      </w:r>
      <w:r>
        <w:rPr>
          <w:rFonts w:ascii="TimesNewRomanPSMT" w:hAnsi="TimesNewRomanPSMT" w:cs="TimesNewRomanPSMT"/>
        </w:rPr>
        <w:t>as certainly been beneficial in raising religious literacy across American higher education, the motivation behind creating the organization has some potential pitfalls as they think about the context of their work and what they are willing to participate in. IFYC was founded in 2002, after 9/11. The president, Eboo Patel, has said that some of the motivation behind his work is being able to, "stand up for your values when they are under attack,"</w:t>
      </w:r>
      <w:r>
        <w:rPr>
          <w:rFonts w:ascii="TimesNewRomanPSMT" w:hAnsi="TimesNewRomanPSMT" w:cs="TimesNewRomanPSMT"/>
          <w:vertAlign w:val="superscript"/>
        </w:rPr>
        <w:footnoteReference w:id="24"/>
      </w:r>
      <w:r>
        <w:rPr>
          <w:rFonts w:ascii="TimesNewRomanPSMT" w:hAnsi="TimesNewRomanPSMT" w:cs="TimesNewRomanPSMT"/>
        </w:rPr>
        <w:t xml:space="preserve"> from his perspective as a Muslim man. This kind of motivation, while helpful to get started, cannot sustain a movement once that goal is able to be realized. There needs to be something</w:t>
      </w:r>
      <w:r w:rsidR="00E67200">
        <w:rPr>
          <w:rFonts w:ascii="TimesNewRomanPSMT" w:hAnsi="TimesNewRomanPSMT" w:cs="TimesNewRomanPSMT"/>
        </w:rPr>
        <w:t xml:space="preserve"> beyond simply</w:t>
      </w:r>
      <w:r>
        <w:rPr>
          <w:rFonts w:ascii="TimesNewRomanPSMT" w:hAnsi="TimesNewRomanPSMT" w:cs="TimesNewRomanPSMT"/>
        </w:rPr>
        <w:t xml:space="preserve"> promoting religious literacy and dialogue between people from different religious and worldview traditions, that continues to bolster the work being done. </w:t>
      </w:r>
    </w:p>
    <w:p w14:paraId="18AD3D3F"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rPr>
        <w:t>Conclusion</w:t>
      </w:r>
    </w:p>
    <w:p w14:paraId="491367F6" w14:textId="77777777"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By looking at the history of interfaith engagement through civic action and interreligious dialogue and how they have come together to form current models of interfaith engagement, we are able to get a better understanding for the context of this project. Civic action and interreligious dialogue make up the foundations of interfaith cooperation and without understanding how they influence interfaith work; it would be difficult to move forward and </w:t>
      </w:r>
      <w:r>
        <w:rPr>
          <w:rFonts w:ascii="TimesNewRomanPSMT" w:hAnsi="TimesNewRomanPSMT" w:cs="TimesNewRomanPSMT"/>
        </w:rPr>
        <w:lastRenderedPageBreak/>
        <w:t xml:space="preserve">consider how interfaith engagement could continue to grow. Since there is a melding of both in contemporary models, they are aspects to keep in mind moving forward. </w:t>
      </w:r>
    </w:p>
    <w:p w14:paraId="08882C8D" w14:textId="07E1DA76" w:rsidR="00353CC3" w:rsidRDefault="00353CC3"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Improvement upon something cannot happen just by looking at what is currently happening. It is something that has to happen in context because it can be informative as to why things are the way they are. Knowing the history also prevents repeating it. By knowing that there are models of interfaith engagement that existed that focused solely on civic action or interreligious dialogue and knowing that they are not as prevalent as they once were says something about the improvements current models have already made. This also indicates that it would not be advantageous to try and recreate those older models of interfaith engagement. Moving forward into the next chapter, these are things I want to be able to keep in mind, especially as I look at several current models of interfaith engagement and consider what steps can be taken to improve the way those models function before introducing a potential solution. </w:t>
      </w:r>
    </w:p>
    <w:p w14:paraId="7E8696F6" w14:textId="0C5A611E"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024C7838" w14:textId="4AACB849"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5F26AE59" w14:textId="69FB7767"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6F2099E9" w14:textId="50BD6446"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0CBCA92D" w14:textId="3CB2CB5C"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3230621D" w14:textId="0530B646"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38CD56B3" w14:textId="3883DE81"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35FBCDA9" w14:textId="180D9B39"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5D08907A" w14:textId="2C9B900F"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66F24CF7" w14:textId="787F7E70" w:rsidR="0084464B" w:rsidRDefault="0084464B" w:rsidP="00353CC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p>
    <w:p w14:paraId="6E36EDED" w14:textId="4C528ACB" w:rsidR="0084464B" w:rsidRDefault="0084464B" w:rsidP="00E67200">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59519473"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u w:val="single"/>
        </w:rPr>
        <w:lastRenderedPageBreak/>
        <w:t>Moving Forward: Critiques and Suggestions</w:t>
      </w:r>
    </w:p>
    <w:p w14:paraId="29B8E0BC"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The history of interfaith engagement as seen through civic action and interreligious dialogue give context to what current models of interfaith engagement look like. It is important information to use in order to craft what the next steps could be. Current models of interfaith engagement are proficient in what they do. Whether it is engaging in dialogue, community activism, or some combination thereof, these models accomplish what they initially set out to do. It would be a misstep, however, to assume there is not work to be done to improve the ways in which interfaith engagement occurs. These models still have their pitfalls and can continue to grow and become even better at what they do in their work.</w:t>
      </w:r>
      <w:r w:rsidRPr="00A23A8A">
        <w:rPr>
          <w:rFonts w:ascii="TimesNewRomanPSMT" w:hAnsi="TimesNewRomanPSMT" w:cs="TimesNewRomanPSMT"/>
        </w:rPr>
        <w:t xml:space="preserve"> </w:t>
      </w:r>
      <w:r>
        <w:rPr>
          <w:rFonts w:ascii="TimesNewRomanPSMT" w:hAnsi="TimesNewRomanPSMT" w:cs="TimesNewRomanPSMT"/>
        </w:rPr>
        <w:t xml:space="preserve">Often, these models can become too focused on a single aspect of interfaith engagement, whether it is how to combat community issues and religious prejudice, or how to overcome the differences between religious and spiritual traditions, other facets of interfaith engagement and human experience can accidentally fall away in favor of achieving a specific goal. By engaging beyond just dialogue and community action, there is an opportunity to create deeper connections to the activities, especially through theological reflection, which allows people to connect their work and commitment to interfaith engagement to their beliefs and traditions. </w:t>
      </w:r>
    </w:p>
    <w:p w14:paraId="6FA45B8A" w14:textId="77777777" w:rsidR="0084464B" w:rsidRPr="003E411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b/>
        </w:rPr>
      </w:pPr>
      <w:r>
        <w:rPr>
          <w:rFonts w:ascii="TimesNewRomanPSMT" w:hAnsi="TimesNewRomanPSMT" w:cs="TimesNewRomanPSMT"/>
          <w:b/>
        </w:rPr>
        <w:t>Critiques</w:t>
      </w:r>
    </w:p>
    <w:p w14:paraId="0F58AEF4" w14:textId="6247AF01" w:rsidR="0084464B" w:rsidRDefault="00424841"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By investigating the ways in which interfaith engagement is perhaps lacking, potential next steps will be able to fill in the gaps and support the work that is already successful. The role of theology is meant to be supportive of interfaith engagement, and not reshape it entirely, so understanding what needs work and how theological reflection can fill in some of the gaps will be helpful later on. Some of the issues, like finite engagement, hyper-focused engagement, and </w:t>
      </w:r>
      <w:r>
        <w:rPr>
          <w:rFonts w:ascii="TimesNewRomanPSMT" w:hAnsi="TimesNewRomanPSMT" w:cs="TimesNewRomanPSMT"/>
        </w:rPr>
        <w:lastRenderedPageBreak/>
        <w:t>too much emphasis on common ground could have potential resolutions in a theological framework for understanding people’s roles in interfaith engagement.</w:t>
      </w:r>
    </w:p>
    <w:p w14:paraId="583C76D2" w14:textId="1A1BA686" w:rsidR="0084464B" w:rsidRPr="003E411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rPr>
      </w:pPr>
      <w:r>
        <w:rPr>
          <w:rFonts w:ascii="TimesNewRomanPSMT" w:hAnsi="TimesNewRomanPSMT" w:cs="TimesNewRomanPSMT"/>
          <w:i/>
        </w:rPr>
        <w:t>Single-minded</w:t>
      </w:r>
      <w:r w:rsidR="00A27CFB">
        <w:rPr>
          <w:rFonts w:ascii="TimesNewRomanPSMT" w:hAnsi="TimesNewRomanPSMT" w:cs="TimesNewRomanPSMT"/>
          <w:i/>
        </w:rPr>
        <w:t xml:space="preserve"> and Finite </w:t>
      </w:r>
      <w:r>
        <w:rPr>
          <w:rFonts w:ascii="TimesNewRomanPSMT" w:hAnsi="TimesNewRomanPSMT" w:cs="TimesNewRomanPSMT"/>
          <w:i/>
        </w:rPr>
        <w:t>Engagement</w:t>
      </w:r>
    </w:p>
    <w:p w14:paraId="06B6B217" w14:textId="05709C2F" w:rsidR="00263E53"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While much of single-issue action has evolved into long term community engagement, there are some aspects of interfaith engagement that still occur as single-issue action and crisis motivation. Eboo Patel describes some of his motivation to start IFYC coming from the after effects of 9/11 and a desire to show how Islam can be compatible with western ideals.</w:t>
      </w:r>
      <w:r>
        <w:rPr>
          <w:rFonts w:ascii="TimesNewRomanPSMT" w:hAnsi="TimesNewRomanPSMT" w:cs="TimesNewRomanPSMT"/>
          <w:vertAlign w:val="superscript"/>
        </w:rPr>
        <w:footnoteReference w:id="25"/>
      </w:r>
      <w:r>
        <w:rPr>
          <w:rFonts w:ascii="TimesNewRomanPSMT" w:hAnsi="TimesNewRomanPSMT" w:cs="TimesNewRomanPSMT"/>
        </w:rPr>
        <w:t xml:space="preserve"> </w:t>
      </w:r>
      <w:r>
        <w:rPr>
          <w:rFonts w:ascii="TimesNewRomanPSMT" w:hAnsi="TimesNewRomanPSMT" w:cs="TimesNewRomanPSMT"/>
          <w:vertAlign w:val="superscript"/>
        </w:rPr>
        <w:t xml:space="preserve"> </w:t>
      </w:r>
      <w:r>
        <w:rPr>
          <w:rFonts w:ascii="TimesNewRomanPSMT" w:hAnsi="TimesNewRomanPSMT" w:cs="TimesNewRomanPSMT"/>
        </w:rPr>
        <w:t xml:space="preserve">After 9/11, many conversations around religion and religious beliefs were brought to the forefront to discuss </w:t>
      </w:r>
      <w:r w:rsidR="00263E53">
        <w:rPr>
          <w:rFonts w:ascii="TimesNewRomanPSMT" w:hAnsi="TimesNewRomanPSMT" w:cs="TimesNewRomanPSMT"/>
        </w:rPr>
        <w:t>how Islam was fundamentally different from all other religious traditions, especially Christianity</w:t>
      </w:r>
      <w:r>
        <w:rPr>
          <w:rFonts w:ascii="TimesNewRomanPSMT" w:hAnsi="TimesNewRomanPSMT" w:cs="TimesNewRomanPSMT"/>
        </w:rPr>
        <w:t>.</w:t>
      </w:r>
      <w:r w:rsidR="00263E53">
        <w:rPr>
          <w:rFonts w:ascii="TimesNewRomanPSMT" w:hAnsi="TimesNewRomanPSMT" w:cs="TimesNewRomanPSMT"/>
        </w:rPr>
        <w:t xml:space="preserve"> These kinds of conversations were meant to pit Muslims against others to perpetuate the myth that Islam is incompatible with American, Christian ideals of what is right.</w:t>
      </w:r>
      <w:r>
        <w:rPr>
          <w:rFonts w:ascii="TimesNewRomanPSMT" w:hAnsi="TimesNewRomanPSMT" w:cs="TimesNewRomanPSMT"/>
        </w:rPr>
        <w:t xml:space="preserve"> Other conversations</w:t>
      </w:r>
      <w:r w:rsidR="00263E53">
        <w:rPr>
          <w:rFonts w:ascii="TimesNewRomanPSMT" w:hAnsi="TimesNewRomanPSMT" w:cs="TimesNewRomanPSMT"/>
        </w:rPr>
        <w:t xml:space="preserve"> after 9/11</w:t>
      </w:r>
      <w:r>
        <w:rPr>
          <w:rFonts w:ascii="TimesNewRomanPSMT" w:hAnsi="TimesNewRomanPSMT" w:cs="TimesNewRomanPSMT"/>
        </w:rPr>
        <w:t xml:space="preserve"> revolved around asking Muslims to defend their religion, which does not follow the model of interfaith dialogue that people like Eboo Patel promote as best practice when engaging in conversation across religious and spiritual boundaries.</w:t>
      </w:r>
      <w:r w:rsidR="00263E53">
        <w:rPr>
          <w:rFonts w:ascii="TimesNewRomanPSMT" w:hAnsi="TimesNewRomanPSMT" w:cs="TimesNewRomanPSMT"/>
        </w:rPr>
        <w:t xml:space="preserve"> Interfaith dialogue asks people to speak from their individual experiences of their tradition and seeks to dispel the myth that someone must be an authority on their religious tradition in order to speak about how they practice their faith. Asking Muslims to defend the entirety of their religion’s beliefs and practices is in direct conflict with this ideal. Just like with anyone else, a Muslim person need only speak from their experience and share what they know to be true for themselves. This could mean that they openly condemn terrorist</w:t>
      </w:r>
      <w:r w:rsidR="0078367C">
        <w:rPr>
          <w:rFonts w:ascii="TimesNewRomanPSMT" w:hAnsi="TimesNewRomanPSMT" w:cs="TimesNewRomanPSMT"/>
        </w:rPr>
        <w:t>s</w:t>
      </w:r>
      <w:r w:rsidR="00263E53">
        <w:rPr>
          <w:rFonts w:ascii="TimesNewRomanPSMT" w:hAnsi="TimesNewRomanPSMT" w:cs="TimesNewRomanPSMT"/>
        </w:rPr>
        <w:t xml:space="preserve"> who harm people in the name of Islam, but in interfaith dialogue, there is no pressure or obligation to do such a thing.</w:t>
      </w:r>
    </w:p>
    <w:p w14:paraId="22A72843" w14:textId="545FABD9"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rPr>
        <w:lastRenderedPageBreak/>
        <w:t xml:space="preserve"> </w:t>
      </w:r>
      <w:r w:rsidR="00263E53">
        <w:rPr>
          <w:rFonts w:ascii="TimesNewRomanPSMT" w:hAnsi="TimesNewRomanPSMT" w:cs="TimesNewRomanPSMT"/>
        </w:rPr>
        <w:t xml:space="preserve">Eboo </w:t>
      </w:r>
      <w:r>
        <w:rPr>
          <w:rFonts w:ascii="TimesNewRomanPSMT" w:hAnsi="TimesNewRomanPSMT" w:cs="TimesNewRomanPSMT"/>
        </w:rPr>
        <w:t xml:space="preserve">Patel discusses how easy it can be to get caught up in a single issue and forget that there are other things going on that can </w:t>
      </w:r>
      <w:r w:rsidR="00B80A31">
        <w:rPr>
          <w:rFonts w:ascii="TimesNewRomanPSMT" w:hAnsi="TimesNewRomanPSMT" w:cs="TimesNewRomanPSMT"/>
        </w:rPr>
        <w:t>affect</w:t>
      </w:r>
      <w:r>
        <w:rPr>
          <w:rFonts w:ascii="TimesNewRomanPSMT" w:hAnsi="TimesNewRomanPSMT" w:cs="TimesNewRomanPSMT"/>
        </w:rPr>
        <w:t xml:space="preserve"> people in similar ways. He uses the example of an intern who worked at IFYC. The intern, Nick, worked on reading as many news articles he could on the protests of the Cordoba House Project</w:t>
      </w:r>
      <w:r w:rsidR="00B80A31">
        <w:rPr>
          <w:rFonts w:ascii="TimesNewRomanPSMT" w:hAnsi="TimesNewRomanPSMT" w:cs="TimesNewRomanPSMT"/>
        </w:rPr>
        <w:t xml:space="preserve">, </w:t>
      </w:r>
      <w:r w:rsidR="00B80A31">
        <w:rPr>
          <w:rFonts w:ascii="TimesNewRomanPSMT" w:hAnsi="TimesNewRomanPSMT" w:cs="TimesNewRomanPSMT"/>
        </w:rPr>
        <w:t xml:space="preserve">which was </w:t>
      </w:r>
      <w:r w:rsidR="00B80A31">
        <w:rPr>
          <w:rFonts w:ascii="TimesNewRomanPSMT" w:hAnsi="TimesNewRomanPSMT" w:cs="TimesNewRomanPSMT"/>
        </w:rPr>
        <w:t>a proposed project to</w:t>
      </w:r>
      <w:r w:rsidR="00B80A31">
        <w:rPr>
          <w:rFonts w:ascii="TimesNewRomanPSMT" w:hAnsi="TimesNewRomanPSMT" w:cs="TimesNewRomanPSMT"/>
        </w:rPr>
        <w:t xml:space="preserve"> build an Islamic community center near Ground-Zero in New York</w:t>
      </w:r>
      <w:r w:rsidR="00B80A31">
        <w:rPr>
          <w:rFonts w:ascii="TimesNewRomanPSMT" w:hAnsi="TimesNewRomanPSMT" w:cs="TimesNewRomanPSMT"/>
        </w:rPr>
        <w:t xml:space="preserve"> that would be open to the public</w:t>
      </w:r>
      <w:r>
        <w:rPr>
          <w:rFonts w:ascii="TimesNewRomanPSMT" w:hAnsi="TimesNewRomanPSMT" w:cs="TimesNewRomanPSMT"/>
        </w:rPr>
        <w:t>.</w:t>
      </w:r>
      <w:r>
        <w:rPr>
          <w:rFonts w:ascii="TimesNewRomanPSMT" w:hAnsi="TimesNewRomanPSMT" w:cs="TimesNewRomanPSMT"/>
          <w:vertAlign w:val="superscript"/>
        </w:rPr>
        <w:footnoteReference w:id="26"/>
      </w:r>
      <w:r w:rsidR="00B80A31">
        <w:rPr>
          <w:rFonts w:ascii="TimesNewRomanPSMT" w:hAnsi="TimesNewRomanPSMT" w:cs="TimesNewRomanPSMT"/>
        </w:rPr>
        <w:t xml:space="preserve"> Tensions were high as aggressive protests against the project took place across the country.</w:t>
      </w:r>
      <w:r w:rsidR="00B80A31">
        <w:rPr>
          <w:rStyle w:val="FootnoteReference"/>
          <w:rFonts w:ascii="TimesNewRomanPSMT" w:hAnsi="TimesNewRomanPSMT" w:cs="TimesNewRomanPSMT"/>
        </w:rPr>
        <w:footnoteReference w:id="27"/>
      </w:r>
      <w:r>
        <w:rPr>
          <w:rFonts w:ascii="TimesNewRomanPSMT" w:hAnsi="TimesNewRomanPSMT" w:cs="TimesNewRomanPSMT"/>
        </w:rPr>
        <w:t xml:space="preserve"> During the protests against the project</w:t>
      </w:r>
      <w:r w:rsidR="00B80A31">
        <w:rPr>
          <w:rFonts w:ascii="TimesNewRomanPSMT" w:hAnsi="TimesNewRomanPSMT" w:cs="TimesNewRomanPSMT"/>
        </w:rPr>
        <w:t>,</w:t>
      </w:r>
      <w:r>
        <w:rPr>
          <w:rFonts w:ascii="TimesNewRomanPSMT" w:hAnsi="TimesNewRomanPSMT" w:cs="TimesNewRomanPSMT"/>
        </w:rPr>
        <w:t xml:space="preserve"> Nick wrote an article about Tyler Clementi, a gay Rutgers student who committed suicide after his roommate filmed him having sex without his consent.</w:t>
      </w:r>
      <w:r>
        <w:rPr>
          <w:rFonts w:ascii="TimesNewRomanPSMT" w:hAnsi="TimesNewRomanPSMT" w:cs="TimesNewRomanPSMT"/>
          <w:vertAlign w:val="superscript"/>
        </w:rPr>
        <w:footnoteReference w:id="28"/>
      </w:r>
      <w:r>
        <w:rPr>
          <w:rFonts w:ascii="TimesNewRomanPSMT" w:hAnsi="TimesNewRomanPSMT" w:cs="TimesNewRomanPSMT"/>
          <w:kern w:val="1"/>
        </w:rPr>
        <w:t xml:space="preserve"> Patel says that this article, and the work the intern was doing for IFYC made him stop and think about how easy it is to get so caught up in one issue that he had "completely missed the bigotry others were suffering at the same time."</w:t>
      </w:r>
      <w:r>
        <w:rPr>
          <w:rFonts w:ascii="TimesNewRomanPSMT" w:hAnsi="TimesNewRomanPSMT" w:cs="TimesNewRomanPSMT"/>
          <w:kern w:val="1"/>
          <w:vertAlign w:val="superscript"/>
        </w:rPr>
        <w:footnoteReference w:id="29"/>
      </w:r>
      <w:r>
        <w:rPr>
          <w:rFonts w:ascii="TimesNewRomanPSMT" w:hAnsi="TimesNewRomanPSMT" w:cs="TimesNewRomanPSMT"/>
          <w:kern w:val="1"/>
        </w:rPr>
        <w:t xml:space="preserve"> He goes on to say that he was amazed that a member of another marginalized community was so willing to support and defend another marginalized community.</w:t>
      </w:r>
      <w:r>
        <w:rPr>
          <w:rFonts w:ascii="TimesNewRomanPSMT" w:hAnsi="TimesNewRomanPSMT" w:cs="TimesNewRomanPSMT"/>
          <w:kern w:val="1"/>
          <w:vertAlign w:val="superscript"/>
        </w:rPr>
        <w:footnoteReference w:id="30"/>
      </w:r>
      <w:r w:rsidR="00867AC4">
        <w:rPr>
          <w:rFonts w:ascii="TimesNewRomanPSMT" w:hAnsi="TimesNewRomanPSMT" w:cs="TimesNewRomanPSMT"/>
          <w:kern w:val="1"/>
        </w:rPr>
        <w:t xml:space="preserve"> Getting caught up in one issue and one group’s suffering can mean that people forget that there are others suffering just as much and therefore are also in need of support. This is not to say that interfaith work should try to address the suffering of all people, just that even if there is a priority, not to forget that other people may have an entirely different priority to fix a different suffering in the world. </w:t>
      </w:r>
    </w:p>
    <w:p w14:paraId="01C0613E" w14:textId="415E8081"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Crisis motivation also still manifests in ways that are very similar to single issue action interfaith engagement. People come together for things like marches and protests to create a unified voice, then go their separate ways when the event is over.</w:t>
      </w:r>
      <w:r w:rsidR="00867AC4">
        <w:rPr>
          <w:rFonts w:ascii="TimesNewRomanPSMT" w:hAnsi="TimesNewRomanPSMT" w:cs="TimesNewRomanPSMT"/>
          <w:kern w:val="1"/>
        </w:rPr>
        <w:t xml:space="preserve"> Those who plan such events </w:t>
      </w:r>
      <w:r w:rsidR="00867AC4">
        <w:rPr>
          <w:rFonts w:ascii="TimesNewRomanPSMT" w:hAnsi="TimesNewRomanPSMT" w:cs="TimesNewRomanPSMT"/>
          <w:kern w:val="1"/>
        </w:rPr>
        <w:lastRenderedPageBreak/>
        <w:t xml:space="preserve">may have stronger connections to the issue at hand because they have spent the time to create an event and organize people to be there, but those who just show up to be in solidarity and participate in the single event do not necessarily get the same level </w:t>
      </w:r>
      <w:r w:rsidR="00A27CFB">
        <w:rPr>
          <w:rFonts w:ascii="TimesNewRomanPSMT" w:hAnsi="TimesNewRomanPSMT" w:cs="TimesNewRomanPSMT"/>
          <w:kern w:val="1"/>
        </w:rPr>
        <w:t>attachment to the work and the people involved.</w:t>
      </w:r>
      <w:r>
        <w:rPr>
          <w:rFonts w:ascii="TimesNewRomanPSMT" w:hAnsi="TimesNewRomanPSMT" w:cs="TimesNewRomanPSMT"/>
          <w:kern w:val="1"/>
        </w:rPr>
        <w:t xml:space="preserve"> This method does not allow for meaningful relationships to be built and as a result, does not allow for dialogue to take place since engagement is limited and has very finite beginnings and endings. People do not necessarily create significant ties to the work </w:t>
      </w:r>
      <w:r w:rsidR="00A27CFB">
        <w:rPr>
          <w:rFonts w:ascii="TimesNewRomanPSMT" w:hAnsi="TimesNewRomanPSMT" w:cs="TimesNewRomanPSMT"/>
          <w:kern w:val="1"/>
        </w:rPr>
        <w:t>in which they are participating</w:t>
      </w:r>
      <w:r>
        <w:rPr>
          <w:rFonts w:ascii="TimesNewRomanPSMT" w:hAnsi="TimesNewRomanPSMT" w:cs="TimesNewRomanPSMT"/>
          <w:kern w:val="1"/>
        </w:rPr>
        <w:t xml:space="preserve"> in these models, and since there is not as much room for reflection</w:t>
      </w:r>
      <w:r w:rsidR="00A27CFB">
        <w:rPr>
          <w:rFonts w:ascii="TimesNewRomanPSMT" w:hAnsi="TimesNewRomanPSMT" w:cs="TimesNewRomanPSMT"/>
          <w:kern w:val="1"/>
        </w:rPr>
        <w:t xml:space="preserve"> unless it is built into the event itself</w:t>
      </w:r>
      <w:r>
        <w:rPr>
          <w:rFonts w:ascii="TimesNewRomanPSMT" w:hAnsi="TimesNewRomanPSMT" w:cs="TimesNewRomanPSMT"/>
          <w:kern w:val="1"/>
        </w:rPr>
        <w:t>, there is not much care put into understanding how protests and work on a single issue have roots in one’s own beliefs.</w:t>
      </w:r>
      <w:r w:rsidR="00A27CFB">
        <w:rPr>
          <w:rFonts w:ascii="TimesNewRomanPSMT" w:hAnsi="TimesNewRomanPSMT" w:cs="TimesNewRomanPSMT"/>
          <w:kern w:val="1"/>
        </w:rPr>
        <w:t xml:space="preserve"> This work would have to happen on someone’s own time, separate from the work and people. It would have to be reflection before or after of how participation in a specific activity relates to someone’s personal beliefs. Instead of it being solely up to the individual, interfaith communities should use their space to keep people accountable for reflecting, sharing, and growing together as the whole community figures out how their work relates to their personal beliefs.</w:t>
      </w:r>
    </w:p>
    <w:p w14:paraId="4C5F4544" w14:textId="77777777" w:rsidR="0084464B" w:rsidRPr="00CD0CF1"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kern w:val="1"/>
        </w:rPr>
      </w:pPr>
      <w:r>
        <w:rPr>
          <w:rFonts w:ascii="TimesNewRomanPSMT" w:hAnsi="TimesNewRomanPSMT" w:cs="TimesNewRomanPSMT"/>
          <w:i/>
          <w:kern w:val="1"/>
        </w:rPr>
        <w:t xml:space="preserve">Hyper-focused Engagement </w:t>
      </w:r>
    </w:p>
    <w:p w14:paraId="7DF10EF4" w14:textId="034E92C5"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While interfaith engagement can be too finite, it can also become hyper-focused on one area of engagement. IFYC for example, focuses almost exclusively on building interfaith leadership and community on college campuses. The intent is that once students graduate, they will carry the values and structure of interfaith dialogue and engagement into the world where they will be able to effectively use it in work and social environments they will encounter outside academia.</w:t>
      </w:r>
      <w:r w:rsidR="00B17D4A">
        <w:rPr>
          <w:rFonts w:ascii="TimesNewRomanPSMT" w:hAnsi="TimesNewRomanPSMT" w:cs="TimesNewRomanPSMT"/>
          <w:kern w:val="1"/>
        </w:rPr>
        <w:t xml:space="preserve"> This means that, in theory, an entire generation of college graduates are being equip with the tools to engage in conversation with people who have differing opinions and worldviews.</w:t>
      </w:r>
      <w:r>
        <w:rPr>
          <w:rFonts w:ascii="TimesNewRomanPSMT" w:hAnsi="TimesNewRomanPSMT" w:cs="TimesNewRomanPSMT"/>
          <w:kern w:val="1"/>
        </w:rPr>
        <w:t xml:space="preserve"> However, this model is not very inclusive. While it does engage young </w:t>
      </w:r>
      <w:r w:rsidR="00B17D4A">
        <w:rPr>
          <w:rFonts w:ascii="TimesNewRomanPSMT" w:hAnsi="TimesNewRomanPSMT" w:cs="TimesNewRomanPSMT"/>
          <w:kern w:val="1"/>
        </w:rPr>
        <w:t>college-aged people</w:t>
      </w:r>
      <w:r>
        <w:rPr>
          <w:rFonts w:ascii="TimesNewRomanPSMT" w:hAnsi="TimesNewRomanPSMT" w:cs="TimesNewRomanPSMT"/>
          <w:kern w:val="1"/>
        </w:rPr>
        <w:t xml:space="preserve"> and </w:t>
      </w:r>
      <w:r>
        <w:rPr>
          <w:rFonts w:ascii="TimesNewRomanPSMT" w:hAnsi="TimesNewRomanPSMT" w:cs="TimesNewRomanPSMT"/>
          <w:kern w:val="1"/>
        </w:rPr>
        <w:lastRenderedPageBreak/>
        <w:t>teaches them how to dialogue with people who are different from themselves, it does not necessarily take into account the number of religious and spiritual communities that are overwhelmingly older (this is especially true with Christianity in America), and therefore do not have many young people participating or holding leadership roles. This means that such communities are not benefitting from IFYC's efforts and are being left out of dialogue spaces</w:t>
      </w:r>
      <w:r w:rsidR="00B17D4A">
        <w:rPr>
          <w:rFonts w:ascii="TimesNewRomanPSMT" w:hAnsi="TimesNewRomanPSMT" w:cs="TimesNewRomanPSMT"/>
          <w:kern w:val="1"/>
        </w:rPr>
        <w:t xml:space="preserve"> because IFYC directs its time and resources to young college students</w:t>
      </w:r>
      <w:r>
        <w:rPr>
          <w:rFonts w:ascii="TimesNewRomanPSMT" w:hAnsi="TimesNewRomanPSMT" w:cs="TimesNewRomanPSMT"/>
          <w:kern w:val="1"/>
        </w:rPr>
        <w:t>.</w:t>
      </w:r>
      <w:r w:rsidR="00E27485">
        <w:rPr>
          <w:rFonts w:ascii="TimesNewRomanPSMT" w:hAnsi="TimesNewRomanPSMT" w:cs="TimesNewRomanPSMT"/>
          <w:kern w:val="1"/>
        </w:rPr>
        <w:t xml:space="preserve"> Teaching people the skills of interfaith dialogue as a way to learn how to communicate with others should not be exclusive to just people who are participating through college and university campuses.</w:t>
      </w:r>
      <w:r w:rsidR="00B17D4A">
        <w:rPr>
          <w:rFonts w:ascii="TimesNewRomanPSMT" w:hAnsi="TimesNewRomanPSMT" w:cs="TimesNewRomanPSMT"/>
          <w:kern w:val="1"/>
        </w:rPr>
        <w:t xml:space="preserve"> Engaging with primarily college students also means engaging with a population that has been shifting the religious landscape. Many young people identify as ‘unaffiliated’ when asked </w:t>
      </w:r>
      <w:r w:rsidR="00E27485">
        <w:rPr>
          <w:rFonts w:ascii="TimesNewRomanPSMT" w:hAnsi="TimesNewRomanPSMT" w:cs="TimesNewRomanPSMT"/>
          <w:kern w:val="1"/>
        </w:rPr>
        <w:t>about</w:t>
      </w:r>
      <w:r w:rsidR="00B17D4A">
        <w:rPr>
          <w:rFonts w:ascii="TimesNewRomanPSMT" w:hAnsi="TimesNewRomanPSMT" w:cs="TimesNewRomanPSMT"/>
          <w:kern w:val="1"/>
        </w:rPr>
        <w:t xml:space="preserve"> their religious tradition. Consequently, this means that IFYC is engaging with people who may not take their skills back to religious communities at all. </w:t>
      </w:r>
      <w:r>
        <w:rPr>
          <w:rFonts w:ascii="TimesNewRomanPSMT" w:hAnsi="TimesNewRomanPSMT" w:cs="TimesNewRomanPSMT"/>
          <w:kern w:val="1"/>
        </w:rPr>
        <w:t xml:space="preserve"> If the goal of interfaith work is to involve as many people as possible, effort should be put in to reaching out to communities that are traditionally excluded from such circles</w:t>
      </w:r>
      <w:r w:rsidR="00B17D4A">
        <w:rPr>
          <w:rFonts w:ascii="TimesNewRomanPSMT" w:hAnsi="TimesNewRomanPSMT" w:cs="TimesNewRomanPSMT"/>
          <w:kern w:val="1"/>
        </w:rPr>
        <w:t>, which includes some religious communities, especially those that lean more conservative</w:t>
      </w:r>
      <w:r>
        <w:rPr>
          <w:rFonts w:ascii="TimesNewRomanPSMT" w:hAnsi="TimesNewRomanPSMT" w:cs="TimesNewRomanPSMT"/>
          <w:kern w:val="1"/>
        </w:rPr>
        <w:t xml:space="preserve">. While it may take more time and energy to get those people fully involved in interfaith engagement than people who are more accepting of interfaith ideals, it should be the job of interfaith engagement to actually engage, even if it is difficult. </w:t>
      </w:r>
    </w:p>
    <w:p w14:paraId="23D7A1E6" w14:textId="04BB326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In a similar vein, considering groups that may not necessarily think to participate with an organization like IFYC</w:t>
      </w:r>
      <w:r w:rsidR="00142B2D">
        <w:rPr>
          <w:rFonts w:ascii="TimesNewRomanPSMT" w:hAnsi="TimesNewRomanPSMT" w:cs="TimesNewRomanPSMT"/>
          <w:kern w:val="1"/>
        </w:rPr>
        <w:t xml:space="preserve"> or the URI</w:t>
      </w:r>
      <w:r>
        <w:rPr>
          <w:rFonts w:ascii="TimesNewRomanPSMT" w:hAnsi="TimesNewRomanPSMT" w:cs="TimesNewRomanPSMT"/>
          <w:kern w:val="1"/>
        </w:rPr>
        <w:t xml:space="preserve"> are still important when it comes to thinking about the full effect of interfaith engagement in an ideal setting. As stated previously, diversity of voices and opinions is important to the mission of interfaith cooperation, so diversifying who is at the table is important. Interest in interfaith engagement tends to be a more liberal concern, which means that many conservative religious and spiritual communities are being left out, feel unwelcome, or </w:t>
      </w:r>
      <w:r>
        <w:rPr>
          <w:rFonts w:ascii="TimesNewRomanPSMT" w:hAnsi="TimesNewRomanPSMT" w:cs="TimesNewRomanPSMT"/>
          <w:kern w:val="1"/>
        </w:rPr>
        <w:lastRenderedPageBreak/>
        <w:t>do not see a value to interfaith work. Interfaith engagement should never proselytize or force people to participate</w:t>
      </w:r>
      <w:r w:rsidR="00D321B5">
        <w:rPr>
          <w:rFonts w:ascii="TimesNewRomanPSMT" w:hAnsi="TimesNewRomanPSMT" w:cs="TimesNewRomanPSMT"/>
          <w:kern w:val="1"/>
        </w:rPr>
        <w:t>.</w:t>
      </w:r>
      <w:r w:rsidR="00142B2D">
        <w:rPr>
          <w:rFonts w:ascii="TimesNewRomanPSMT" w:hAnsi="TimesNewRomanPSMT" w:cs="TimesNewRomanPSMT"/>
          <w:kern w:val="1"/>
        </w:rPr>
        <w:t xml:space="preserve"> </w:t>
      </w:r>
      <w:r w:rsidR="00D321B5">
        <w:rPr>
          <w:rFonts w:ascii="TimesNewRomanPSMT" w:hAnsi="TimesNewRomanPSMT" w:cs="TimesNewRomanPSMT"/>
          <w:kern w:val="1"/>
        </w:rPr>
        <w:t>T</w:t>
      </w:r>
      <w:r w:rsidR="00142B2D">
        <w:rPr>
          <w:rFonts w:ascii="TimesNewRomanPSMT" w:hAnsi="TimesNewRomanPSMT" w:cs="TimesNewRomanPSMT"/>
          <w:kern w:val="1"/>
        </w:rPr>
        <w:t>hat being said,</w:t>
      </w:r>
      <w:r>
        <w:rPr>
          <w:rFonts w:ascii="TimesNewRomanPSMT" w:hAnsi="TimesNewRomanPSMT" w:cs="TimesNewRomanPSMT"/>
          <w:kern w:val="1"/>
        </w:rPr>
        <w:t xml:space="preserve"> </w:t>
      </w:r>
      <w:r w:rsidR="00142B2D">
        <w:rPr>
          <w:rFonts w:ascii="TimesNewRomanPSMT" w:hAnsi="TimesNewRomanPSMT" w:cs="TimesNewRomanPSMT"/>
          <w:kern w:val="1"/>
        </w:rPr>
        <w:t>t</w:t>
      </w:r>
      <w:r>
        <w:rPr>
          <w:rFonts w:ascii="TimesNewRomanPSMT" w:hAnsi="TimesNewRomanPSMT" w:cs="TimesNewRomanPSMT"/>
          <w:kern w:val="1"/>
        </w:rPr>
        <w:t>here should still be an effort to engage and educate those who are unsure or know nothing about interfaith work, so they can more fully consider participating in a way that makes them comfortable.</w:t>
      </w:r>
      <w:r w:rsidR="00E80572">
        <w:rPr>
          <w:rFonts w:ascii="TimesNewRomanPSMT" w:hAnsi="TimesNewRomanPSMT" w:cs="TimesNewRomanPSMT"/>
          <w:kern w:val="1"/>
        </w:rPr>
        <w:t xml:space="preserve"> This not only increases the number of </w:t>
      </w:r>
      <w:r w:rsidR="00C27217">
        <w:rPr>
          <w:rFonts w:ascii="TimesNewRomanPSMT" w:hAnsi="TimesNewRomanPSMT" w:cs="TimesNewRomanPSMT"/>
          <w:kern w:val="1"/>
        </w:rPr>
        <w:t>voices being heard but provides greater opportunity to interact with people who are different from yourself.</w:t>
      </w:r>
    </w:p>
    <w:p w14:paraId="226AC6C1" w14:textId="77777777" w:rsidR="0084464B" w:rsidRPr="00CD0CF1"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i/>
          <w:kern w:val="1"/>
        </w:rPr>
      </w:pPr>
      <w:r>
        <w:rPr>
          <w:rFonts w:ascii="TimesNewRomanPSMT" w:hAnsi="TimesNewRomanPSMT" w:cs="TimesNewRomanPSMT"/>
          <w:i/>
          <w:kern w:val="1"/>
        </w:rPr>
        <w:t>Common Ground</w:t>
      </w:r>
    </w:p>
    <w:p w14:paraId="7557978D" w14:textId="699B7B26"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kern w:val="1"/>
        </w:rPr>
      </w:pPr>
      <w:r>
        <w:rPr>
          <w:rFonts w:ascii="TimesNewRomanPSMT" w:hAnsi="TimesNewRomanPSMT" w:cs="TimesNewRomanPSMT"/>
          <w:kern w:val="1"/>
        </w:rPr>
        <w:t xml:space="preserve">It is important that the common ground that is so sought after in interfaith engagement does not overwhelm the conversation as to erase differences entirely. This can lead to something like the Living Interfaith Church in Steven Greenbaum's book, </w:t>
      </w:r>
      <w:r>
        <w:rPr>
          <w:rFonts w:ascii="TimesNewRomanPSMT" w:hAnsi="TimesNewRomanPSMT" w:cs="TimesNewRomanPSMT"/>
          <w:i/>
          <w:kern w:val="1"/>
        </w:rPr>
        <w:t>Practical Interfaith</w:t>
      </w:r>
      <w:r>
        <w:rPr>
          <w:rFonts w:ascii="TimesNewRomanPSMT" w:hAnsi="TimesNewRomanPSMT" w:cs="TimesNewRomanPSMT"/>
          <w:kern w:val="1"/>
        </w:rPr>
        <w:t>. Greenbaum uses the church, which he is the pastor of, to show how interfaith can act as a faith.</w:t>
      </w:r>
      <w:r>
        <w:rPr>
          <w:rFonts w:ascii="TimesNewRomanPSMT" w:hAnsi="TimesNewRomanPSMT" w:cs="TimesNewRomanPSMT"/>
          <w:kern w:val="1"/>
          <w:vertAlign w:val="superscript"/>
        </w:rPr>
        <w:footnoteReference w:id="31"/>
      </w:r>
      <w:r>
        <w:rPr>
          <w:rFonts w:ascii="TimesNewRomanPSMT" w:hAnsi="TimesNewRomanPSMT" w:cs="TimesNewRomanPSMT"/>
          <w:kern w:val="1"/>
          <w:vertAlign w:val="superscript"/>
        </w:rPr>
        <w:t xml:space="preserve"> </w:t>
      </w:r>
      <w:r>
        <w:rPr>
          <w:rFonts w:ascii="TimesNewRomanPSMT" w:hAnsi="TimesNewRomanPSMT" w:cs="TimesNewRomanPSMT"/>
          <w:kern w:val="1"/>
        </w:rPr>
        <w:t>In theory, members are able to retain their personal practices while participating and attending the church.</w:t>
      </w:r>
      <w:r>
        <w:rPr>
          <w:rFonts w:ascii="TimesNewRomanPSMT" w:hAnsi="TimesNewRomanPSMT" w:cs="TimesNewRomanPSMT"/>
          <w:kern w:val="1"/>
          <w:vertAlign w:val="superscript"/>
        </w:rPr>
        <w:footnoteReference w:id="32"/>
      </w:r>
      <w:r>
        <w:rPr>
          <w:rFonts w:ascii="TimesNewRomanPSMT" w:hAnsi="TimesNewRomanPSMT" w:cs="TimesNewRomanPSMT"/>
          <w:kern w:val="1"/>
        </w:rPr>
        <w:t xml:space="preserve"> This method allows people to practice however they feel comfortable while letting go of the original intentions behind the practices, since the church is not about, "the religion we practice, but how we practice our religion."</w:t>
      </w:r>
      <w:r>
        <w:rPr>
          <w:rFonts w:ascii="TimesNewRomanPSMT" w:hAnsi="TimesNewRomanPSMT" w:cs="TimesNewRomanPSMT"/>
          <w:kern w:val="1"/>
          <w:vertAlign w:val="superscript"/>
        </w:rPr>
        <w:footnoteReference w:id="33"/>
      </w:r>
      <w:r>
        <w:rPr>
          <w:rFonts w:ascii="TimesNewRomanPSMT" w:hAnsi="TimesNewRomanPSMT" w:cs="TimesNewRomanPSMT"/>
          <w:kern w:val="1"/>
        </w:rPr>
        <w:t xml:space="preserve">  This particular church does maintain some of the core values of interfaith, those of respect, compassion, and love.</w:t>
      </w:r>
      <w:r>
        <w:rPr>
          <w:rFonts w:ascii="TimesNewRomanPSMT" w:hAnsi="TimesNewRomanPSMT" w:cs="TimesNewRomanPSMT"/>
          <w:kern w:val="1"/>
          <w:vertAlign w:val="superscript"/>
        </w:rPr>
        <w:footnoteReference w:id="34"/>
      </w:r>
      <w:r>
        <w:rPr>
          <w:rFonts w:ascii="TimesNewRomanPSMT" w:hAnsi="TimesNewRomanPSMT" w:cs="TimesNewRomanPSMT"/>
          <w:kern w:val="1"/>
        </w:rPr>
        <w:t xml:space="preserve"> Greenbaum cites the Golden Rule as something that many religious traditions have in common and is therefore the core of his church's values.</w:t>
      </w:r>
      <w:r>
        <w:rPr>
          <w:rFonts w:ascii="TimesNewRomanPSMT" w:hAnsi="TimesNewRomanPSMT" w:cs="TimesNewRomanPSMT"/>
          <w:kern w:val="1"/>
          <w:vertAlign w:val="superscript"/>
        </w:rPr>
        <w:footnoteReference w:id="35"/>
      </w:r>
      <w:r>
        <w:rPr>
          <w:rFonts w:ascii="TimesNewRomanPSMT" w:hAnsi="TimesNewRomanPSMT" w:cs="TimesNewRomanPSMT"/>
          <w:kern w:val="1"/>
          <w:vertAlign w:val="superscript"/>
        </w:rPr>
        <w:t xml:space="preserve"> </w:t>
      </w:r>
      <w:r>
        <w:rPr>
          <w:rFonts w:ascii="TimesNewRomanPSMT" w:hAnsi="TimesNewRomanPSMT" w:cs="TimesNewRomanPSMT"/>
          <w:kern w:val="1"/>
        </w:rPr>
        <w:t>With this example they take the things people often disagree over</w:t>
      </w:r>
      <w:r w:rsidR="00A35688">
        <w:rPr>
          <w:rFonts w:ascii="TimesNewRomanPSMT" w:hAnsi="TimesNewRomanPSMT" w:cs="TimesNewRomanPSMT"/>
          <w:kern w:val="1"/>
        </w:rPr>
        <w:t>—</w:t>
      </w:r>
      <w:r>
        <w:rPr>
          <w:rFonts w:ascii="TimesNewRomanPSMT" w:hAnsi="TimesNewRomanPSMT" w:cs="TimesNewRomanPSMT"/>
          <w:kern w:val="1"/>
        </w:rPr>
        <w:t>theology and doctrine</w:t>
      </w:r>
      <w:r w:rsidR="00A35688">
        <w:rPr>
          <w:rFonts w:ascii="TimesNewRomanPSMT" w:hAnsi="TimesNewRomanPSMT" w:cs="TimesNewRomanPSMT"/>
          <w:kern w:val="1"/>
        </w:rPr>
        <w:t>—</w:t>
      </w:r>
      <w:r>
        <w:rPr>
          <w:rFonts w:ascii="TimesNewRomanPSMT" w:hAnsi="TimesNewRomanPSMT" w:cs="TimesNewRomanPSMT"/>
          <w:kern w:val="1"/>
        </w:rPr>
        <w:t>out of the equation. Doctrine and belief are central to how one navigates a tradition, and interfaith as a faith dismisses those things because they create divides.</w:t>
      </w:r>
      <w:r>
        <w:rPr>
          <w:rFonts w:ascii="TimesNewRomanPSMT" w:hAnsi="TimesNewRomanPSMT" w:cs="TimesNewRomanPSMT"/>
          <w:kern w:val="1"/>
          <w:vertAlign w:val="superscript"/>
        </w:rPr>
        <w:footnoteReference w:id="36"/>
      </w:r>
      <w:r>
        <w:rPr>
          <w:rFonts w:ascii="TimesNewRomanPSMT" w:hAnsi="TimesNewRomanPSMT" w:cs="TimesNewRomanPSMT"/>
          <w:kern w:val="1"/>
          <w:vertAlign w:val="superscript"/>
        </w:rPr>
        <w:t xml:space="preserve"> </w:t>
      </w:r>
      <w:r>
        <w:rPr>
          <w:rFonts w:ascii="TimesNewRomanPSMT" w:hAnsi="TimesNewRomanPSMT" w:cs="TimesNewRomanPSMT"/>
          <w:kern w:val="1"/>
        </w:rPr>
        <w:t xml:space="preserve">There are </w:t>
      </w:r>
      <w:r>
        <w:rPr>
          <w:rFonts w:ascii="TimesNewRomanPSMT" w:hAnsi="TimesNewRomanPSMT" w:cs="TimesNewRomanPSMT"/>
          <w:kern w:val="1"/>
        </w:rPr>
        <w:lastRenderedPageBreak/>
        <w:t xml:space="preserve">ways in which those values of respect, compassion, and love can still be central to how one understands their relationships to others in interfaith work without disregarding the beliefs they hold because they clash. In many ways, the structure and focus of the Living Interfaith Church seems to be a way to opt out of the discomfort inherent in building relationships with people who might have conflicting views and opinions. </w:t>
      </w:r>
    </w:p>
    <w:p w14:paraId="3C5DFA54"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 xml:space="preserve">One of the major issues seen not only with the Living Interfaith Church, but with other examples is that they can often fall into setting aside disagreement in order to maintain the integrity of the common ground they have worked toward creating. While Rev. </w:t>
      </w:r>
      <w:proofErr w:type="spellStart"/>
      <w:r>
        <w:rPr>
          <w:rFonts w:ascii="TimesNewRomanPSMT" w:hAnsi="TimesNewRomanPSMT" w:cs="TimesNewRomanPSMT"/>
        </w:rPr>
        <w:t>Greenebaum</w:t>
      </w:r>
      <w:proofErr w:type="spellEnd"/>
      <w:r>
        <w:rPr>
          <w:rFonts w:ascii="TimesNewRomanPSMT" w:hAnsi="TimesNewRomanPSMT" w:cs="TimesNewRomanPSMT"/>
        </w:rPr>
        <w:t xml:space="preserve"> gets at the idea of religious superiority being the wrong way to view your own tradition,</w:t>
      </w:r>
      <w:r>
        <w:rPr>
          <w:rFonts w:ascii="TimesNewRomanPSMT" w:hAnsi="TimesNewRomanPSMT" w:cs="TimesNewRomanPSMT"/>
          <w:vertAlign w:val="superscript"/>
        </w:rPr>
        <w:footnoteReference w:id="37"/>
      </w:r>
      <w:r>
        <w:rPr>
          <w:rFonts w:ascii="TimesNewRomanPSMT" w:hAnsi="TimesNewRomanPSMT" w:cs="TimesNewRomanPSMT"/>
        </w:rPr>
        <w:t xml:space="preserve"> but that should not mean that a specific tradition cannot be the right path and contain the best way to see or connect with the divine for that person. While it is important for common ground to exist in order for interfaith engagement to work, it is also important that people be able to learn from one another and be able to see more than just what may be similar or agreeable. Interfaith engagement is built on the idea that people are coming together from many different backgrounds in order to build a new community. This does not mean that they are necessarily leaving their personal religious or spiritual communities but are bringing the gifts and insights of that tradition to a new context. Erasing what makes traditions unique means erasing the different qualities people bring to the table when they engage with interfaith work. Rev. </w:t>
      </w:r>
      <w:proofErr w:type="spellStart"/>
      <w:r>
        <w:rPr>
          <w:rFonts w:ascii="TimesNewRomanPSMT" w:hAnsi="TimesNewRomanPSMT" w:cs="TimesNewRomanPSMT"/>
        </w:rPr>
        <w:t>Greenebaum</w:t>
      </w:r>
      <w:proofErr w:type="spellEnd"/>
      <w:r>
        <w:rPr>
          <w:rFonts w:ascii="TimesNewRomanPSMT" w:hAnsi="TimesNewRomanPSMT" w:cs="TimesNewRomanPSMT"/>
        </w:rPr>
        <w:t xml:space="preserve"> and his church boil interfaith engagement down to its basics and build their church, and what can be seen as a new religion, from those basic principles.  </w:t>
      </w:r>
    </w:p>
    <w:p w14:paraId="59214CD4" w14:textId="78614F67" w:rsidR="00D321B5" w:rsidRDefault="0084464B" w:rsidP="00E27485">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ab/>
        <w:t xml:space="preserve">Interfaith engagement and especially interfaith dialogue need to be a place where disagreement can happen, tension can be worked through, and differences are acknowledged. It </w:t>
      </w:r>
      <w:r>
        <w:rPr>
          <w:rFonts w:ascii="TimesNewRomanPSMT" w:hAnsi="TimesNewRomanPSMT" w:cs="TimesNewRomanPSMT"/>
        </w:rPr>
        <w:lastRenderedPageBreak/>
        <w:t xml:space="preserve">may not seem as if people's differences are entirely important if everyone has agreed to take part in interfaith work, but the things people do not have in common are why interfaith cooperation seeks to build relationships across religious and spiritual boundaries. Interfaith engagement is not just about, as </w:t>
      </w:r>
      <w:proofErr w:type="spellStart"/>
      <w:r>
        <w:rPr>
          <w:rFonts w:ascii="TimesNewRomanPSMT" w:hAnsi="TimesNewRomanPSMT" w:cs="TimesNewRomanPSMT"/>
        </w:rPr>
        <w:t>Greenebaum</w:t>
      </w:r>
      <w:proofErr w:type="spellEnd"/>
      <w:r>
        <w:rPr>
          <w:rFonts w:ascii="TimesNewRomanPSMT" w:hAnsi="TimesNewRomanPSMT" w:cs="TimesNewRomanPSMT"/>
        </w:rPr>
        <w:t xml:space="preserve"> puts it, our "common core,"</w:t>
      </w:r>
      <w:r>
        <w:rPr>
          <w:rFonts w:ascii="TimesNewRomanPSMT" w:hAnsi="TimesNewRomanPSMT" w:cs="TimesNewRomanPSMT"/>
          <w:vertAlign w:val="superscript"/>
        </w:rPr>
        <w:footnoteReference w:id="38"/>
      </w:r>
      <w:r>
        <w:rPr>
          <w:rFonts w:ascii="TimesNewRomanPSMT" w:hAnsi="TimesNewRomanPSMT" w:cs="TimesNewRomanPSMT"/>
        </w:rPr>
        <w:t xml:space="preserve"> but also our differences and how those differences can strengthen a community and provide skills and knowledge that do not come from one way of thinking about the world. In my own experience of interfaith dialogue, it can be difficult to get beyond learning about the beliefs and practices of each other and finding the things we have in common. It is fun and enlightening to see that all these different religious and spiritual experiences have so many similarities but approach those things in different ways. Our commonalities are how we build communities, but our differences are how we can sustain communities because our differences provide various strengths and skill sets that cannot be found in one tradition. </w:t>
      </w:r>
    </w:p>
    <w:p w14:paraId="059E8264" w14:textId="77777777" w:rsidR="0084464B" w:rsidRPr="004D59C5"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NewRomanPSMT" w:hAnsi="TimesNewRomanPSMT" w:cs="TimesNewRomanPSMT"/>
        </w:rPr>
      </w:pPr>
      <w:r>
        <w:rPr>
          <w:rFonts w:ascii="TimesNewRomanPSMT" w:hAnsi="TimesNewRomanPSMT" w:cs="TimesNewRomanPSMT"/>
          <w:b/>
        </w:rPr>
        <w:t>Next Steps</w:t>
      </w:r>
    </w:p>
    <w:p w14:paraId="2CFCF618" w14:textId="267A9828"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tab/>
        <w:t xml:space="preserve">Rarely do we get to a place of personal reflection on our participation in an interfaith community. A lot of interfaith reflection is focused on the larger group and its actions. Dialogue can be an opportunity to discuss individual motivations for participating in interfaith engagement, but since there is an anxiety about bringing up too many differences, it can be difficult to start the conversation. Creating a framework </w:t>
      </w:r>
      <w:r w:rsidR="008124F8">
        <w:rPr>
          <w:rFonts w:ascii="TimesNewRomanPSMT" w:hAnsi="TimesNewRomanPSMT" w:cs="TimesNewRomanPSMT"/>
        </w:rPr>
        <w:t>to guide conversation and give structure to personal theological reflection on interfaith engagement can help nudge people in the direction of these conversations.</w:t>
      </w:r>
      <w:r>
        <w:rPr>
          <w:rFonts w:ascii="TimesNewRomanPSMT" w:hAnsi="TimesNewRomanPSMT" w:cs="TimesNewRomanPSMT"/>
        </w:rPr>
        <w:t xml:space="preserve"> Personal reflection on what makes it possible to participate in interfaith community adds another layer of reflection to interfaith dialogue that gets beyond the communal to what brings you to the community. For this project, I see that as being especially urgent for </w:t>
      </w:r>
      <w:r>
        <w:rPr>
          <w:rFonts w:ascii="TimesNewRomanPSMT" w:hAnsi="TimesNewRomanPSMT" w:cs="TimesNewRomanPSMT"/>
        </w:rPr>
        <w:lastRenderedPageBreak/>
        <w:t>those who follow a specific religious tradition like Islam or Hinduism. There should be more reflection on how a specific tradition can be compatible with the values of interfaith cooperation, so the conversation does not end with participation being the right thing to do. Instead, it should get at what specifically calls a person of a particular tradition with distinct history, practices, and beliefs to be in community with people outside that tradition. The point being, there must be something in that tradition that compels some of its members to participate in interfaith engagement. That motivation is also going to look different across traditions, which requires bringing forth more differences in order to better understand one another once we enter interfaith spaces and conversations. Interfaith groups and projects are already doing a great job of addressing community needs, getting people involved in activism, and engaging people in conversation around those things, as well as around ways in which we are similar. However, interfaith work still has a lot of growing to do when trying to connect religious traditions to the driving values of their work.</w:t>
      </w:r>
      <w:r w:rsidR="008124F8">
        <w:rPr>
          <w:rFonts w:ascii="TimesNewRomanPSMT" w:hAnsi="TimesNewRomanPSMT" w:cs="TimesNewRomanPSMT"/>
        </w:rPr>
        <w:t xml:space="preserve"> Leaders in interfaith work should allow space for and encourage theological reflections on interfaith engagement because it will strengthen dialogue and encourage people to think more critically about how their actions align with their faith traditions. Additionally, religious communities should take steps toward engaging in interfaith work rooted in the strongest way possible through their theological beliefs. This creates more authenticity among participants in interfaith engagement because they are coming to the table with their deepest beliefs in hand.</w:t>
      </w:r>
      <w:r>
        <w:rPr>
          <w:rFonts w:ascii="TimesNewRomanPSMT" w:hAnsi="TimesNewRomanPSMT" w:cs="TimesNewRomanPSMT"/>
        </w:rPr>
        <w:t xml:space="preserve"> By having some sort of method or framework for personal, theological reflection on interfaith engagement and a specific tradition, creating those connections will be a lot easier, as well as create opportunities for deeper conversations around motivation and purpose for people in interfaith communities.    </w:t>
      </w:r>
    </w:p>
    <w:p w14:paraId="7F79C04B" w14:textId="3BE24822"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NewRomanPSMT" w:hAnsi="TimesNewRomanPSMT" w:cs="TimesNewRomanPSMT"/>
        </w:rPr>
      </w:pPr>
      <w:r>
        <w:rPr>
          <w:rFonts w:ascii="TimesNewRomanPSMT" w:hAnsi="TimesNewRomanPSMT" w:cs="TimesNewRomanPSMT"/>
        </w:rPr>
        <w:lastRenderedPageBreak/>
        <w:tab/>
        <w:t>Moving forward, I would like to put forth and explore a theological framework to reflect on how a tradition can interact with interfaith engagement and what it means to look at interfaith</w:t>
      </w:r>
      <w:r w:rsidR="00C27217">
        <w:rPr>
          <w:rFonts w:ascii="TimesNewRomanPSMT" w:hAnsi="TimesNewRomanPSMT" w:cs="TimesNewRomanPSMT"/>
        </w:rPr>
        <w:t xml:space="preserve"> cooperation</w:t>
      </w:r>
      <w:r>
        <w:rPr>
          <w:rFonts w:ascii="TimesNewRomanPSMT" w:hAnsi="TimesNewRomanPSMT" w:cs="TimesNewRomanPSMT"/>
        </w:rPr>
        <w:t xml:space="preserve"> theologically, especially since a trend in interfaith</w:t>
      </w:r>
      <w:r w:rsidR="00C27217">
        <w:rPr>
          <w:rFonts w:ascii="TimesNewRomanPSMT" w:hAnsi="TimesNewRomanPSMT" w:cs="TimesNewRomanPSMT"/>
        </w:rPr>
        <w:t xml:space="preserve"> work</w:t>
      </w:r>
      <w:r>
        <w:rPr>
          <w:rFonts w:ascii="TimesNewRomanPSMT" w:hAnsi="TimesNewRomanPSMT" w:cs="TimesNewRomanPSMT"/>
        </w:rPr>
        <w:t xml:space="preserve"> is to keep things fairly secular as a way to remain neutral towards the traditions that participate, but also to appeal to as many religious, spiritual, and worldview traditions as possible.</w:t>
      </w:r>
      <w:r w:rsidR="00C27217">
        <w:rPr>
          <w:rFonts w:ascii="TimesNewRomanPSMT" w:hAnsi="TimesNewRomanPSMT" w:cs="TimesNewRomanPSMT"/>
        </w:rPr>
        <w:t xml:space="preserve"> By introducing this framework, not only will it provide current participants with a way to engage more deeply with interfaith work, but also provide new or potential participants the opportunity to deeply consider their values as well as the values of interfaith engagement and how both can work together. This helps in addressing the lack of space for theological reflection in current interfaith models and also provides a new way to engage new people in interfaith work.</w:t>
      </w:r>
      <w:r>
        <w:rPr>
          <w:rFonts w:ascii="TimesNewRomanPSMT" w:hAnsi="TimesNewRomanPSMT" w:cs="TimesNewRomanPSMT"/>
        </w:rPr>
        <w:t xml:space="preserve"> </w:t>
      </w:r>
      <w:r w:rsidR="00C27217">
        <w:rPr>
          <w:rFonts w:ascii="TimesNewRomanPSMT" w:hAnsi="TimesNewRomanPSMT" w:cs="TimesNewRomanPSMT"/>
        </w:rPr>
        <w:t>T</w:t>
      </w:r>
      <w:r>
        <w:rPr>
          <w:rFonts w:ascii="TimesNewRomanPSMT" w:hAnsi="TimesNewRomanPSMT" w:cs="TimesNewRomanPSMT"/>
        </w:rPr>
        <w:t xml:space="preserve">here is something valuable to gain from utilizing theology to understand interfaith engagement because it can reaffirm what people are already doing, as well as encourage others to see the justification of interfaith engagement from their own tradition, which can foster wider participation in interfaith work. </w:t>
      </w:r>
    </w:p>
    <w:p w14:paraId="66BC36F2" w14:textId="48301955" w:rsidR="00C27217" w:rsidRDefault="00C27217"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7848A678" w14:textId="16274C92"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7CB143FE" w14:textId="378A6800"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53C4A43C" w14:textId="39DD82A4"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01E99630" w14:textId="79336349"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4374DC09" w14:textId="752A210E"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6C43037B" w14:textId="61E96704"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5221DC7E" w14:textId="7814B805"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4DE48762" w14:textId="532AA646"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3C4B3869" w14:textId="77777777" w:rsidR="00E27485" w:rsidRDefault="00E27485" w:rsidP="00C27217">
      <w:pPr>
        <w:tabs>
          <w:tab w:val="left" w:pos="360"/>
          <w:tab w:val="left" w:pos="720"/>
          <w:tab w:val="left" w:pos="1080"/>
          <w:tab w:val="left" w:pos="1440"/>
          <w:tab w:val="left" w:pos="1800"/>
          <w:tab w:val="left" w:pos="2160"/>
          <w:tab w:val="left" w:pos="2880"/>
          <w:tab w:val="left" w:pos="3600"/>
          <w:tab w:val="left" w:pos="4320"/>
        </w:tabs>
        <w:spacing w:line="480" w:lineRule="auto"/>
        <w:rPr>
          <w:rFonts w:ascii="TimesNewRomanPSMT" w:hAnsi="TimesNewRomanPSMT" w:cs="TimesNewRomanPSMT"/>
        </w:rPr>
      </w:pPr>
    </w:p>
    <w:p w14:paraId="6CAAFADC" w14:textId="77777777" w:rsidR="0084464B" w:rsidRPr="001F6C70"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rPr>
      </w:pPr>
      <w:r w:rsidRPr="001F6C70">
        <w:rPr>
          <w:rFonts w:ascii="Times New Roman" w:hAnsi="Times New Roman" w:cs="Times New Roman"/>
          <w:b/>
          <w:u w:val="single"/>
        </w:rPr>
        <w:lastRenderedPageBreak/>
        <w:t>Theological Framework</w:t>
      </w:r>
    </w:p>
    <w:p w14:paraId="7666AE53"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In this chapter, I would like to put forth a new way of thinking about people's engagement with interfaith work and how someone's beliefs and theology can help create a new way of thinking about how engagement happens.</w:t>
      </w:r>
      <w:r>
        <w:rPr>
          <w:rFonts w:ascii="Times New Roman" w:hAnsi="Times New Roman" w:cs="Times New Roman"/>
        </w:rPr>
        <w:t xml:space="preserve"> After seeing where interfaith engagement has been, what it is today, and some of the current problems it has, now I want to turn to a way to understand interfaith engagement from a theological perspective as a next step in interfaith engagement. </w:t>
      </w:r>
      <w:r w:rsidRPr="009860BF">
        <w:rPr>
          <w:rFonts w:ascii="Times New Roman" w:hAnsi="Times New Roman" w:cs="Times New Roman"/>
        </w:rPr>
        <w:t>To do so, I will use a framework for thinking theologically about interfaith engagement, along with some structure for theological reflection.</w:t>
      </w:r>
      <w:r>
        <w:rPr>
          <w:rFonts w:ascii="Times New Roman" w:hAnsi="Times New Roman" w:cs="Times New Roman"/>
        </w:rPr>
        <w:t xml:space="preserve"> To do so requires setting up the guidelines of interfaith engagement, as well as the theological framework to be applied to the interfaith guidelines. In order to show how the framework can be used to understand interfaith engagement in a specific tradition, I will be using the United Methodist Church as a case study. </w:t>
      </w:r>
    </w:p>
    <w:p w14:paraId="5C3A8F46"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r w:rsidRPr="009860BF">
        <w:rPr>
          <w:rFonts w:ascii="Times New Roman" w:hAnsi="Times New Roman" w:cs="Times New Roman"/>
        </w:rPr>
        <w:tab/>
        <w:t>Interfaith</w:t>
      </w:r>
      <w:r>
        <w:rPr>
          <w:rFonts w:ascii="Times New Roman" w:hAnsi="Times New Roman" w:cs="Times New Roman"/>
        </w:rPr>
        <w:t xml:space="preserve"> engagement has been around since different religions began interacting with one another, although we call it something different now, it</w:t>
      </w:r>
      <w:r w:rsidRPr="009860BF">
        <w:rPr>
          <w:rFonts w:ascii="Times New Roman" w:hAnsi="Times New Roman" w:cs="Times New Roman"/>
        </w:rPr>
        <w:t xml:space="preserve"> is still growing and changing and it would be a disservice to interfaith work to say that it has nothing to improve upon when there is always going to be something that needs to be stronger. Interfaith work, especially dialogue has </w:t>
      </w:r>
      <w:r>
        <w:rPr>
          <w:rFonts w:ascii="Times New Roman" w:hAnsi="Times New Roman" w:cs="Times New Roman"/>
        </w:rPr>
        <w:t>tended toward</w:t>
      </w:r>
      <w:r w:rsidRPr="009860BF">
        <w:rPr>
          <w:rFonts w:ascii="Times New Roman" w:hAnsi="Times New Roman" w:cs="Times New Roman"/>
        </w:rPr>
        <w:t xml:space="preserve"> a secular focus</w:t>
      </w:r>
      <w:r>
        <w:rPr>
          <w:rFonts w:ascii="Times New Roman" w:hAnsi="Times New Roman" w:cs="Times New Roman"/>
        </w:rPr>
        <w:t>, especially within the last twenty years</w:t>
      </w:r>
      <w:r w:rsidRPr="009860BF">
        <w:rPr>
          <w:rFonts w:ascii="Times New Roman" w:hAnsi="Times New Roman" w:cs="Times New Roman"/>
        </w:rPr>
        <w:t xml:space="preserve">. While this is an important aspect to interfaith work to engage people across a wide spectrum of beliefs, both religious and non-religious, a large aspect of interfaith work is still to engage religious and spiritual people and sometimes purely secular beliefs are not enough to convince people that their participation in interfaith engagement is worth it, or that it aligns with their beliefs. Inherent in interfaith work is that there are going to be differences between the people coming together, but through the process of engagement, it is possible to find similarities and common ground. In order to delve below the surface of noticing differences and similarities among people, it is important to give </w:t>
      </w:r>
      <w:r w:rsidRPr="009860BF">
        <w:rPr>
          <w:rFonts w:ascii="Times New Roman" w:hAnsi="Times New Roman" w:cs="Times New Roman"/>
        </w:rPr>
        <w:lastRenderedPageBreak/>
        <w:t xml:space="preserve">individuals the tools to understand their own participation and how it grows from their personal beliefs and traditions. Understanding this framework is not only helpful in understanding current participation but can be useful in understanding ways to engage with people who have yet to participate in interfaith work because it allows them to consider how their engagement is connected to and even informed by what is already familiar. To more fully understand what this framework could look like, </w:t>
      </w:r>
      <w:r>
        <w:rPr>
          <w:rFonts w:ascii="Times New Roman" w:hAnsi="Times New Roman" w:cs="Times New Roman"/>
        </w:rPr>
        <w:t>we need</w:t>
      </w:r>
      <w:r w:rsidRPr="009860BF">
        <w:rPr>
          <w:rFonts w:ascii="Times New Roman" w:hAnsi="Times New Roman" w:cs="Times New Roman"/>
        </w:rPr>
        <w:t xml:space="preserve"> to</w:t>
      </w:r>
      <w:r>
        <w:rPr>
          <w:rFonts w:ascii="Times New Roman" w:hAnsi="Times New Roman" w:cs="Times New Roman"/>
        </w:rPr>
        <w:t xml:space="preserve"> </w:t>
      </w:r>
      <w:r w:rsidRPr="009860BF">
        <w:rPr>
          <w:rFonts w:ascii="Times New Roman" w:hAnsi="Times New Roman" w:cs="Times New Roman"/>
        </w:rPr>
        <w:t>look at the structure of interfaith engagement as it exists currently, and what is being asked of those who choose to participate</w:t>
      </w:r>
      <w:r>
        <w:rPr>
          <w:rFonts w:ascii="Times New Roman" w:hAnsi="Times New Roman" w:cs="Times New Roman"/>
        </w:rPr>
        <w:t xml:space="preserve"> to have a set of interfaith guidelines that can be reflected upon later.</w:t>
      </w:r>
    </w:p>
    <w:p w14:paraId="4D976AA3"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Very generally, interfaith engagement is just what the name describes; engagement between faiths. It is people coming together from various backgrounds to build community together. It may be helpful to begin with dialogue, which has a specific set of guidelines that extend beyond conversation and into the rest of interfaith activit</w:t>
      </w:r>
      <w:r>
        <w:rPr>
          <w:rFonts w:ascii="Times New Roman" w:hAnsi="Times New Roman" w:cs="Times New Roman"/>
        </w:rPr>
        <w:t>y because it offers up the most guidelines for how to interact with others and sets the sturdiest parameters for what can happen in an interfaith space.</w:t>
      </w:r>
    </w:p>
    <w:p w14:paraId="44E2D2DF" w14:textId="77777777" w:rsidR="0084464B" w:rsidRPr="00EF5D8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rPr>
      </w:pPr>
      <w:r>
        <w:rPr>
          <w:rFonts w:ascii="Times New Roman" w:hAnsi="Times New Roman" w:cs="Times New Roman"/>
          <w:b/>
        </w:rPr>
        <w:t>Guidelines of Interfaith Engagement</w:t>
      </w:r>
    </w:p>
    <w:p w14:paraId="4CC07ED1"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 xml:space="preserve">In order to understand interfaith engagement theologically, it is important to first understand what guidelines exist in interfaith engagement. In the introduction to </w:t>
      </w:r>
      <w:r w:rsidRPr="009860BF">
        <w:rPr>
          <w:rFonts w:ascii="Times New Roman" w:hAnsi="Times New Roman" w:cs="Times New Roman"/>
          <w:i/>
        </w:rPr>
        <w:t>The Myth of Religious Superiority</w:t>
      </w:r>
      <w:r w:rsidRPr="009860BF">
        <w:rPr>
          <w:rFonts w:ascii="Times New Roman" w:hAnsi="Times New Roman" w:cs="Times New Roman"/>
        </w:rPr>
        <w:t xml:space="preserve">, Paul Knitter sets out a list of </w:t>
      </w:r>
      <w:r>
        <w:rPr>
          <w:rFonts w:ascii="Times New Roman" w:hAnsi="Times New Roman" w:cs="Times New Roman"/>
        </w:rPr>
        <w:t>characteristics</w:t>
      </w:r>
      <w:r w:rsidRPr="009860BF">
        <w:rPr>
          <w:rFonts w:ascii="Times New Roman" w:hAnsi="Times New Roman" w:cs="Times New Roman"/>
        </w:rPr>
        <w:t xml:space="preserve"> that are true of interfaith and pluralistic engagement, and more specifically, dialogue, a few of which I would like to expand upon here because they will be helpful in naming important factors in interfaith work. Firstly, </w:t>
      </w:r>
      <w:r>
        <w:rPr>
          <w:rFonts w:ascii="Times New Roman" w:hAnsi="Times New Roman" w:cs="Times New Roman"/>
        </w:rPr>
        <w:t xml:space="preserve">he argues </w:t>
      </w:r>
      <w:r w:rsidRPr="009860BF">
        <w:rPr>
          <w:rFonts w:ascii="Times New Roman" w:hAnsi="Times New Roman" w:cs="Times New Roman"/>
        </w:rPr>
        <w:t>that “in all their encounters and dialogues, the religions must respect freedom of conscience.”</w:t>
      </w:r>
      <w:r w:rsidRPr="009860BF">
        <w:rPr>
          <w:rStyle w:val="FootnoteReference"/>
          <w:rFonts w:ascii="Times New Roman" w:hAnsi="Times New Roman" w:cs="Times New Roman"/>
        </w:rPr>
        <w:footnoteReference w:id="39"/>
      </w:r>
      <w:r w:rsidRPr="009860BF">
        <w:rPr>
          <w:rFonts w:ascii="Times New Roman" w:hAnsi="Times New Roman" w:cs="Times New Roman"/>
        </w:rPr>
        <w:t xml:space="preserve"> Knitter wants to emphasize that interfaith dialogue is not about proselytizing or trying to change </w:t>
      </w:r>
      <w:r w:rsidRPr="009860BF">
        <w:rPr>
          <w:rFonts w:ascii="Times New Roman" w:hAnsi="Times New Roman" w:cs="Times New Roman"/>
        </w:rPr>
        <w:lastRenderedPageBreak/>
        <w:t>the beliefs of another, but is about what he calls witnessing, which is the act of listening, and sharing, and learning about, "what one has found to be true and precious."</w:t>
      </w:r>
      <w:r w:rsidRPr="009860BF">
        <w:rPr>
          <w:rFonts w:ascii="Times New Roman" w:hAnsi="Times New Roman" w:cs="Times New Roman"/>
          <w:vertAlign w:val="superscript"/>
        </w:rPr>
        <w:footnoteReference w:id="40"/>
      </w:r>
      <w:r w:rsidRPr="009860BF">
        <w:rPr>
          <w:rFonts w:ascii="Times New Roman" w:hAnsi="Times New Roman" w:cs="Times New Roman"/>
        </w:rPr>
        <w:t xml:space="preserve"> </w:t>
      </w:r>
    </w:p>
    <w:p w14:paraId="0FCDEE8C"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This statement can be broken down to into a couple of different characteristics that are integral to interfaith dialogue.</w:t>
      </w:r>
      <w:r w:rsidRPr="009860BF">
        <w:rPr>
          <w:rFonts w:ascii="Times New Roman" w:hAnsi="Times New Roman" w:cs="Times New Roman"/>
        </w:rPr>
        <w:t xml:space="preserve"> First, </w:t>
      </w:r>
      <w:r>
        <w:rPr>
          <w:rFonts w:ascii="Times New Roman" w:hAnsi="Times New Roman" w:cs="Times New Roman"/>
        </w:rPr>
        <w:t>by prohibiting proselytizing, one signals</w:t>
      </w:r>
      <w:r w:rsidRPr="009860BF">
        <w:rPr>
          <w:rFonts w:ascii="Times New Roman" w:hAnsi="Times New Roman" w:cs="Times New Roman"/>
        </w:rPr>
        <w:t xml:space="preserve"> something important about interfaith work</w:t>
      </w:r>
      <w:r>
        <w:rPr>
          <w:rFonts w:ascii="Times New Roman" w:hAnsi="Times New Roman" w:cs="Times New Roman"/>
        </w:rPr>
        <w:t>—</w:t>
      </w:r>
      <w:r w:rsidRPr="009860BF">
        <w:rPr>
          <w:rFonts w:ascii="Times New Roman" w:hAnsi="Times New Roman" w:cs="Times New Roman"/>
        </w:rPr>
        <w:t>that it is not an opportunity to convince people that their beliefs are, to put it bluntly, wrong. This connotes that there is somehow a true, right, or correct religious path, which means it is superior to all others.</w:t>
      </w:r>
      <w:r>
        <w:rPr>
          <w:rFonts w:ascii="Times New Roman" w:hAnsi="Times New Roman" w:cs="Times New Roman"/>
        </w:rPr>
        <w:t xml:space="preserve"> By favoring proselytizing, one signals that they believe their religion to be superior, which can exclude them from another aspect of interfaith engagement:</w:t>
      </w:r>
      <w:r w:rsidRPr="009860BF">
        <w:rPr>
          <w:rFonts w:ascii="Times New Roman" w:hAnsi="Times New Roman" w:cs="Times New Roman"/>
        </w:rPr>
        <w:t xml:space="preserve"> learning from each other the ways in which each tradition offers that truth and preciousness Knitter talks about. Hearing each other's personal religious or spiritual narratives is a significant part of dialogue practices in interfaith engagement. Many spaces ask that participants use "I" statements, speak only from their personal experiences, and try not to speak for their entire tradition. These are all guidelines to ensure that people share only what they know to be true for themselves. </w:t>
      </w:r>
    </w:p>
    <w:p w14:paraId="6A45236F" w14:textId="41F101CB"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Interfaith dialogue is concerned not only with understanding one another, but with discussing and thinking of solutions to issues that face communities. In many ways, interfaith engagement asks people to advocate for one another and others whose voices are not being heard. Interfaith engagement asks people of religious and spiritual backgrounds to take action and call out injustices where they can in a society that is full of inequity. An aspect of interfaith work that Knitter highlights as being integral in interreligious encounters today is "ethical dialogue."</w:t>
      </w:r>
      <w:r w:rsidRPr="009860BF">
        <w:rPr>
          <w:rFonts w:ascii="Times New Roman" w:hAnsi="Times New Roman" w:cs="Times New Roman"/>
          <w:vertAlign w:val="superscript"/>
        </w:rPr>
        <w:footnoteReference w:id="41"/>
      </w:r>
      <w:r w:rsidRPr="009860BF">
        <w:rPr>
          <w:rFonts w:ascii="Times New Roman" w:hAnsi="Times New Roman" w:cs="Times New Roman"/>
        </w:rPr>
        <w:t xml:space="preserve"> He says, "the ethical issues and crises presently facing humankind provide the religions with both the </w:t>
      </w:r>
      <w:r w:rsidRPr="009860BF">
        <w:rPr>
          <w:rFonts w:ascii="Times New Roman" w:hAnsi="Times New Roman" w:cs="Times New Roman"/>
          <w:i/>
        </w:rPr>
        <w:t>necessity</w:t>
      </w:r>
      <w:r w:rsidRPr="009860BF">
        <w:rPr>
          <w:rFonts w:ascii="Times New Roman" w:hAnsi="Times New Roman" w:cs="Times New Roman"/>
        </w:rPr>
        <w:t xml:space="preserve"> of an interreligious contribution to human and ecological wellbeing and at the same </w:t>
      </w:r>
      <w:r w:rsidRPr="009860BF">
        <w:rPr>
          <w:rFonts w:ascii="Times New Roman" w:hAnsi="Times New Roman" w:cs="Times New Roman"/>
        </w:rPr>
        <w:lastRenderedPageBreak/>
        <w:t xml:space="preserve">time an </w:t>
      </w:r>
      <w:r w:rsidRPr="009860BF">
        <w:rPr>
          <w:rFonts w:ascii="Times New Roman" w:hAnsi="Times New Roman" w:cs="Times New Roman"/>
          <w:i/>
        </w:rPr>
        <w:t>opportunity</w:t>
      </w:r>
      <w:r w:rsidRPr="009860BF">
        <w:rPr>
          <w:rFonts w:ascii="Times New Roman" w:hAnsi="Times New Roman" w:cs="Times New Roman"/>
        </w:rPr>
        <w:t xml:space="preserve"> for the religions to understand each other and evaluate their differences."</w:t>
      </w:r>
      <w:r w:rsidRPr="009860BF">
        <w:rPr>
          <w:rFonts w:ascii="Times New Roman" w:hAnsi="Times New Roman" w:cs="Times New Roman"/>
          <w:vertAlign w:val="superscript"/>
        </w:rPr>
        <w:footnoteReference w:id="42"/>
      </w:r>
      <w:r w:rsidRPr="009860BF">
        <w:rPr>
          <w:rFonts w:ascii="Times New Roman" w:hAnsi="Times New Roman" w:cs="Times New Roman"/>
        </w:rPr>
        <w:t xml:space="preserve"> This speaks to the very foundation of why interfaith dialogue matters. Inherent in interfaith participation is the notion that you and your understanding of your tradition implore you to be in community with those who are different and to also take on the betterment of your community, whatever that may look like. Looking at the activist roots of interfaith work, it would seem impossible to have interfaith without action. It may take </w:t>
      </w:r>
      <w:r w:rsidR="00D321B5" w:rsidRPr="009860BF">
        <w:rPr>
          <w:rFonts w:ascii="Times New Roman" w:hAnsi="Times New Roman" w:cs="Times New Roman"/>
        </w:rPr>
        <w:t>a while</w:t>
      </w:r>
      <w:r w:rsidRPr="009860BF">
        <w:rPr>
          <w:rFonts w:ascii="Times New Roman" w:hAnsi="Times New Roman" w:cs="Times New Roman"/>
        </w:rPr>
        <w:t xml:space="preserve"> for a group to get to a place where they can take action, but it is still the very foundation of what it means to participate in interfaith communities. Additionally, as Knitter points out, dialogue is an opportunity for people to understand each other and discuss their differences. One of the reasons interfaith dialogue has guidelines that narrow the focus to personal experiences </w:t>
      </w:r>
      <w:proofErr w:type="gramStart"/>
      <w:r w:rsidRPr="009860BF">
        <w:rPr>
          <w:rFonts w:ascii="Times New Roman" w:hAnsi="Times New Roman" w:cs="Times New Roman"/>
        </w:rPr>
        <w:t>is</w:t>
      </w:r>
      <w:proofErr w:type="gramEnd"/>
      <w:r w:rsidRPr="009860BF">
        <w:rPr>
          <w:rFonts w:ascii="Times New Roman" w:hAnsi="Times New Roman" w:cs="Times New Roman"/>
        </w:rPr>
        <w:t xml:space="preserve"> so people are able to build personal relationships with each other. This is not only a learning opportunity, but an opportunity to get to know someone with whom you would otherwise not interact. The book, </w:t>
      </w:r>
      <w:r w:rsidRPr="009860BF">
        <w:rPr>
          <w:rFonts w:ascii="Times New Roman" w:hAnsi="Times New Roman" w:cs="Times New Roman"/>
          <w:i/>
        </w:rPr>
        <w:t>My Neighbor's Faith</w:t>
      </w:r>
      <w:r w:rsidRPr="009860BF">
        <w:rPr>
          <w:rFonts w:ascii="Times New Roman" w:hAnsi="Times New Roman" w:cs="Times New Roman"/>
        </w:rPr>
        <w:t xml:space="preserve"> is full of personal accounts of relationship building between the writers and people of different faith traditions that they have met. Each one has its own unique learning experience, relationship, and interaction in it, but still provides some insight into how dialogue is an opportunity for understanding and evaluating differences.</w:t>
      </w:r>
    </w:p>
    <w:p w14:paraId="796D4A76" w14:textId="77777777" w:rsidR="0084464B" w:rsidRPr="00EF5D8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b/>
        </w:rPr>
      </w:pPr>
      <w:r>
        <w:rPr>
          <w:rFonts w:ascii="Times New Roman" w:hAnsi="Times New Roman" w:cs="Times New Roman"/>
          <w:b/>
        </w:rPr>
        <w:t>Moving Toward a Theology of Interfaith</w:t>
      </w:r>
    </w:p>
    <w:p w14:paraId="70CE9BB5"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 xml:space="preserve">By using the above ideas, those of openness to other religious and spiritual beliefs, respecting the traditions of others, speaking from your own experiences, and engaging in dialogue that leads to community action, we can now have a foundation for what we are looking at through the theological framework. All of these aspects are integral to how dialogue and engagement are carried out in interfaith settings because it sets up the boundaries of what is possible and </w:t>
      </w:r>
      <w:r w:rsidRPr="009860BF">
        <w:rPr>
          <w:rFonts w:ascii="Times New Roman" w:hAnsi="Times New Roman" w:cs="Times New Roman"/>
        </w:rPr>
        <w:lastRenderedPageBreak/>
        <w:t xml:space="preserve">achievable within interfaith spaces and gives focus to what the theological framework is looking </w:t>
      </w:r>
      <w:r>
        <w:rPr>
          <w:rFonts w:ascii="Times New Roman" w:hAnsi="Times New Roman" w:cs="Times New Roman"/>
        </w:rPr>
        <w:t>to achieve</w:t>
      </w:r>
      <w:r w:rsidRPr="009860BF">
        <w:rPr>
          <w:rFonts w:ascii="Times New Roman" w:hAnsi="Times New Roman" w:cs="Times New Roman"/>
        </w:rPr>
        <w:t>. Since the framework requires knowing something about interfaith engagement, it is important to have a solid understanding of what interfaith engagement and dialogue are and what their foundational guidelines and principles are to engage them in theological reflection.</w:t>
      </w:r>
    </w:p>
    <w:p w14:paraId="41385EEC"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sidRPr="009860BF">
        <w:rPr>
          <w:rFonts w:ascii="Times New Roman" w:hAnsi="Times New Roman" w:cs="Times New Roman"/>
        </w:rPr>
        <w:t xml:space="preserve">In order to reflect theologically on interfaith engagement, we need a framework to do so. The theological framework being used in this section borrows its structure from John Hick in his chapter, "The Next Step Beyond Dialogue" in </w:t>
      </w:r>
      <w:r w:rsidRPr="009860BF">
        <w:rPr>
          <w:rFonts w:ascii="Times New Roman" w:hAnsi="Times New Roman" w:cs="Times New Roman"/>
          <w:i/>
        </w:rPr>
        <w:t>The Myth of Religious Superiority</w:t>
      </w:r>
      <w:r w:rsidRPr="009860BF">
        <w:rPr>
          <w:rFonts w:ascii="Times New Roman" w:hAnsi="Times New Roman" w:cs="Times New Roman"/>
        </w:rPr>
        <w:t>. Hick offers up a potential way to think about interfaith engagement from the perspective of individual religious traditions.</w:t>
      </w:r>
      <w:r w:rsidRPr="009860BF">
        <w:rPr>
          <w:rFonts w:ascii="Times New Roman" w:hAnsi="Times New Roman" w:cs="Times New Roman"/>
          <w:vertAlign w:val="superscript"/>
        </w:rPr>
        <w:footnoteReference w:id="43"/>
      </w:r>
      <w:r w:rsidRPr="009860BF">
        <w:rPr>
          <w:rFonts w:ascii="Times New Roman" w:hAnsi="Times New Roman" w:cs="Times New Roman"/>
        </w:rPr>
        <w:t xml:space="preserve"> For this, I would like to use an example to show how it could look in action and in the tradition of interfaith dialogue, speak from my own experience. As </w:t>
      </w:r>
      <w:r>
        <w:rPr>
          <w:rFonts w:ascii="Times New Roman" w:hAnsi="Times New Roman" w:cs="Times New Roman"/>
        </w:rPr>
        <w:t>discussed above</w:t>
      </w:r>
      <w:r w:rsidRPr="009860BF">
        <w:rPr>
          <w:rFonts w:ascii="Times New Roman" w:hAnsi="Times New Roman" w:cs="Times New Roman"/>
        </w:rPr>
        <w:t>, interfaith dialogue asks participants to use "I" statements and not to be an authority for your entire tradition. I will use my experience and knowledge of my own faith tradition, United Methodism, a Protestant Christian denomination, to show how this framework can be used to understand how a tradition can support interfaith engagement and its principles by using the traditions own beliefs and practices.</w:t>
      </w:r>
    </w:p>
    <w:p w14:paraId="2A9E5A6E" w14:textId="1BCB0AB6"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 xml:space="preserve">I will be using my denomination and its values as a way to look at interfaith engagement theologically. </w:t>
      </w:r>
      <w:r w:rsidRPr="009860BF">
        <w:rPr>
          <w:rFonts w:ascii="Times New Roman" w:hAnsi="Times New Roman" w:cs="Times New Roman"/>
        </w:rPr>
        <w:t>In Hick's chapter, he posits that the best way to include theology as interfaith engagement continues to grow and change is for people to look at the structure of interfaith engagement and see how the values of interfaith engagement can align with their institutional values and commitments.</w:t>
      </w:r>
      <w:r w:rsidRPr="009860BF">
        <w:rPr>
          <w:rFonts w:ascii="Times New Roman" w:hAnsi="Times New Roman" w:cs="Times New Roman"/>
          <w:vertAlign w:val="superscript"/>
        </w:rPr>
        <w:footnoteReference w:id="44"/>
      </w:r>
      <w:r w:rsidRPr="009860BF">
        <w:rPr>
          <w:rFonts w:ascii="Times New Roman" w:hAnsi="Times New Roman" w:cs="Times New Roman"/>
        </w:rPr>
        <w:t xml:space="preserve"> Doing it the other way around, looking at the structure of a tradition and seeing what interfaith engagement looks like based on that tradition, Hick says restricts </w:t>
      </w:r>
      <w:r w:rsidRPr="009860BF">
        <w:rPr>
          <w:rFonts w:ascii="Times New Roman" w:hAnsi="Times New Roman" w:cs="Times New Roman"/>
        </w:rPr>
        <w:lastRenderedPageBreak/>
        <w:t>interfaith engagement to the rules governing a specific tradition instead of keeping it free and flexible to be inviting to the greatest number of people.</w:t>
      </w:r>
      <w:r w:rsidRPr="009860BF">
        <w:rPr>
          <w:rFonts w:ascii="Times New Roman" w:hAnsi="Times New Roman" w:cs="Times New Roman"/>
          <w:vertAlign w:val="superscript"/>
        </w:rPr>
        <w:footnoteReference w:id="45"/>
      </w:r>
      <w:r w:rsidRPr="009860BF">
        <w:rPr>
          <w:rFonts w:ascii="Times New Roman" w:hAnsi="Times New Roman" w:cs="Times New Roman"/>
        </w:rPr>
        <w:t xml:space="preserve"> </w:t>
      </w:r>
      <w:r w:rsidR="009D0187">
        <w:rPr>
          <w:rFonts w:ascii="Times New Roman" w:hAnsi="Times New Roman" w:cs="Times New Roman"/>
        </w:rPr>
        <w:t>Beyond creating the distinction between these two methods, Hick does not expand upon how to go about implementing this framework for reflection. His work is used as a jumping off point to think more deeply about how possible it is to create such a framework, and what it would look like when actually put into action.</w:t>
      </w:r>
    </w:p>
    <w:p w14:paraId="17FFE782" w14:textId="5766AA94"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rPr>
        <w:t>To facilitate and give some structure to the theological reflection that is being asked of in this, I</w:t>
      </w:r>
      <w:r>
        <w:rPr>
          <w:rFonts w:ascii="Times New Roman" w:hAnsi="Times New Roman" w:cs="Times New Roman"/>
        </w:rPr>
        <w:t xml:space="preserve"> will use the framework used by John Wesley, one of the founders of Methodism, to describe his own theological reflection.</w:t>
      </w:r>
      <w:r w:rsidRPr="009860BF">
        <w:rPr>
          <w:rFonts w:ascii="Times New Roman" w:hAnsi="Times New Roman" w:cs="Times New Roman"/>
          <w:vertAlign w:val="superscript"/>
        </w:rPr>
        <w:footnoteReference w:id="46"/>
      </w:r>
      <w:r w:rsidRPr="009860BF">
        <w:rPr>
          <w:rFonts w:ascii="Times New Roman" w:hAnsi="Times New Roman" w:cs="Times New Roman"/>
        </w:rPr>
        <w:t xml:space="preserve"> The concept is called the Wesleyan Quadrilateral which consists of four elements necessary to complete a true theological reflection: scripture, tradition, reason, and experience.</w:t>
      </w:r>
      <w:r w:rsidRPr="009860BF">
        <w:rPr>
          <w:rFonts w:ascii="Times New Roman" w:hAnsi="Times New Roman" w:cs="Times New Roman"/>
          <w:vertAlign w:val="superscript"/>
        </w:rPr>
        <w:footnoteReference w:id="47"/>
      </w:r>
      <w:r w:rsidRPr="009860BF">
        <w:rPr>
          <w:rFonts w:ascii="Times New Roman" w:hAnsi="Times New Roman" w:cs="Times New Roman"/>
          <w:kern w:val="1"/>
        </w:rPr>
        <w:t xml:space="preserve"> </w:t>
      </w:r>
      <w:r>
        <w:rPr>
          <w:rFonts w:ascii="Times New Roman" w:hAnsi="Times New Roman" w:cs="Times New Roman"/>
          <w:kern w:val="1"/>
        </w:rPr>
        <w:t xml:space="preserve">The Methodist tradition has a </w:t>
      </w:r>
      <w:r w:rsidRPr="009860BF">
        <w:rPr>
          <w:rFonts w:ascii="Times New Roman" w:hAnsi="Times New Roman" w:cs="Times New Roman"/>
          <w:kern w:val="1"/>
        </w:rPr>
        <w:t>hierarchy to</w:t>
      </w:r>
      <w:r>
        <w:rPr>
          <w:rFonts w:ascii="Times New Roman" w:hAnsi="Times New Roman" w:cs="Times New Roman"/>
          <w:kern w:val="1"/>
        </w:rPr>
        <w:t xml:space="preserve"> how these elements are valued in theological reflection</w:t>
      </w:r>
      <w:r w:rsidRPr="009860BF">
        <w:rPr>
          <w:rFonts w:ascii="Times New Roman" w:hAnsi="Times New Roman" w:cs="Times New Roman"/>
          <w:kern w:val="1"/>
        </w:rPr>
        <w:t xml:space="preserve">, however, what that hierarchy is, and if there is one, can be up to the individual using these elements in their own context. The point of using scripture, tradition, reason, and experience is that they are all common elements across many different religious traditions and can provide a standard basis for reflection across </w:t>
      </w:r>
      <w:r>
        <w:rPr>
          <w:rFonts w:ascii="Times New Roman" w:hAnsi="Times New Roman" w:cs="Times New Roman"/>
          <w:kern w:val="1"/>
        </w:rPr>
        <w:t>them</w:t>
      </w:r>
      <w:r w:rsidRPr="009860BF">
        <w:rPr>
          <w:rFonts w:ascii="Times New Roman" w:hAnsi="Times New Roman" w:cs="Times New Roman"/>
          <w:kern w:val="1"/>
        </w:rPr>
        <w:t xml:space="preserve">. In this </w:t>
      </w:r>
      <w:r>
        <w:rPr>
          <w:rFonts w:ascii="Times New Roman" w:hAnsi="Times New Roman" w:cs="Times New Roman"/>
          <w:kern w:val="1"/>
        </w:rPr>
        <w:t>case study to show how the framework can be put to use</w:t>
      </w:r>
      <w:r w:rsidRPr="009860BF">
        <w:rPr>
          <w:rFonts w:ascii="Times New Roman" w:hAnsi="Times New Roman" w:cs="Times New Roman"/>
          <w:kern w:val="1"/>
        </w:rPr>
        <w:t>, I will be taking the structures and characteristics of interfaith engagement and looking at how my experience of the United Methodist Church (UMC) can positively interact with that interfaith structure.</w:t>
      </w:r>
    </w:p>
    <w:p w14:paraId="18AACE07" w14:textId="6BAEA959" w:rsidR="009D0187" w:rsidRDefault="009D0187"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p>
    <w:p w14:paraId="26A3AE20" w14:textId="77777777" w:rsidR="009D0187" w:rsidRDefault="009D0187"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p>
    <w:p w14:paraId="4F612CE2" w14:textId="77777777" w:rsidR="0084464B" w:rsidRPr="00924965"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b/>
          <w:kern w:val="1"/>
        </w:rPr>
      </w:pPr>
      <w:r>
        <w:rPr>
          <w:rFonts w:ascii="Times New Roman" w:hAnsi="Times New Roman" w:cs="Times New Roman"/>
          <w:b/>
          <w:kern w:val="1"/>
        </w:rPr>
        <w:lastRenderedPageBreak/>
        <w:t>The United Methodist Church and Interfaith Engagement</w:t>
      </w:r>
    </w:p>
    <w:p w14:paraId="5E03BEF4" w14:textId="1169E79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In order to use my tradition, there are a few things to set forth for the bases of my analysis. First, the mode through which I interpret different aspects of the world in general, and interfaith engagement more specifically</w:t>
      </w:r>
      <w:r w:rsidR="00D321B5">
        <w:rPr>
          <w:rFonts w:ascii="Times New Roman" w:hAnsi="Times New Roman" w:cs="Times New Roman"/>
          <w:kern w:val="1"/>
        </w:rPr>
        <w:t xml:space="preserve"> is driven by</w:t>
      </w:r>
      <w:r w:rsidRPr="009860BF">
        <w:rPr>
          <w:rFonts w:ascii="Times New Roman" w:hAnsi="Times New Roman" w:cs="Times New Roman"/>
          <w:kern w:val="1"/>
        </w:rPr>
        <w:t xml:space="preserve"> </w:t>
      </w:r>
      <w:r>
        <w:rPr>
          <w:rFonts w:ascii="Times New Roman" w:hAnsi="Times New Roman" w:cs="Times New Roman"/>
          <w:kern w:val="1"/>
        </w:rPr>
        <w:t>t</w:t>
      </w:r>
      <w:r w:rsidRPr="009860BF">
        <w:rPr>
          <w:rFonts w:ascii="Times New Roman" w:hAnsi="Times New Roman" w:cs="Times New Roman"/>
          <w:kern w:val="1"/>
        </w:rPr>
        <w:t>he four elements of the</w:t>
      </w:r>
      <w:r>
        <w:rPr>
          <w:rFonts w:ascii="Times New Roman" w:hAnsi="Times New Roman" w:cs="Times New Roman"/>
          <w:kern w:val="1"/>
        </w:rPr>
        <w:t xml:space="preserve"> Wesleyan</w:t>
      </w:r>
      <w:r w:rsidRPr="009860BF">
        <w:rPr>
          <w:rFonts w:ascii="Times New Roman" w:hAnsi="Times New Roman" w:cs="Times New Roman"/>
          <w:kern w:val="1"/>
        </w:rPr>
        <w:t xml:space="preserve"> quadrilateral</w:t>
      </w:r>
      <w:r w:rsidR="00D321B5">
        <w:rPr>
          <w:rFonts w:ascii="Times New Roman" w:hAnsi="Times New Roman" w:cs="Times New Roman"/>
          <w:kern w:val="1"/>
        </w:rPr>
        <w:t>.</w:t>
      </w:r>
      <w:r>
        <w:rPr>
          <w:rFonts w:ascii="Times New Roman" w:hAnsi="Times New Roman" w:cs="Times New Roman"/>
          <w:kern w:val="1"/>
        </w:rPr>
        <w:t xml:space="preserve"> </w:t>
      </w:r>
      <w:r w:rsidR="00D321B5">
        <w:rPr>
          <w:rFonts w:ascii="Times New Roman" w:hAnsi="Times New Roman" w:cs="Times New Roman"/>
          <w:kern w:val="1"/>
        </w:rPr>
        <w:t>The quadrilateral</w:t>
      </w:r>
      <w:r w:rsidRPr="009860BF">
        <w:rPr>
          <w:rFonts w:ascii="Times New Roman" w:hAnsi="Times New Roman" w:cs="Times New Roman"/>
          <w:kern w:val="1"/>
        </w:rPr>
        <w:t xml:space="preserve"> </w:t>
      </w:r>
      <w:r w:rsidR="00D321B5">
        <w:rPr>
          <w:rFonts w:ascii="Times New Roman" w:hAnsi="Times New Roman" w:cs="Times New Roman"/>
          <w:kern w:val="1"/>
        </w:rPr>
        <w:t>is</w:t>
      </w:r>
      <w:r w:rsidRPr="009860BF">
        <w:rPr>
          <w:rFonts w:ascii="Times New Roman" w:hAnsi="Times New Roman" w:cs="Times New Roman"/>
          <w:kern w:val="1"/>
        </w:rPr>
        <w:t xml:space="preserve"> meant to be the basis for reflecting on what is possible as right practice and belief for a Methodist. </w:t>
      </w:r>
      <w:r>
        <w:rPr>
          <w:rFonts w:ascii="Times New Roman" w:hAnsi="Times New Roman" w:cs="Times New Roman"/>
          <w:kern w:val="1"/>
        </w:rPr>
        <w:t>In</w:t>
      </w:r>
      <w:r w:rsidRPr="009860BF">
        <w:rPr>
          <w:rFonts w:ascii="Times New Roman" w:hAnsi="Times New Roman" w:cs="Times New Roman"/>
          <w:kern w:val="1"/>
        </w:rPr>
        <w:t xml:space="preserve"> the Methodist context, scripture is held above the others, followed by tradition, experience, and then reason.</w:t>
      </w:r>
      <w:r w:rsidRPr="009860BF">
        <w:rPr>
          <w:rFonts w:ascii="Times New Roman" w:hAnsi="Times New Roman" w:cs="Times New Roman"/>
          <w:kern w:val="1"/>
          <w:vertAlign w:val="superscript"/>
        </w:rPr>
        <w:footnoteReference w:id="48"/>
      </w:r>
      <w:r w:rsidRPr="009860BF">
        <w:rPr>
          <w:rFonts w:ascii="Times New Roman" w:hAnsi="Times New Roman" w:cs="Times New Roman"/>
          <w:kern w:val="1"/>
        </w:rPr>
        <w:t xml:space="preserve"> </w:t>
      </w:r>
    </w:p>
    <w:p w14:paraId="50C18336"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Secondly, I think it is important to say that in the scope of the Methodist church, which boasts being a global denomination (12.6 million members worldwide)</w:t>
      </w:r>
      <w:r>
        <w:rPr>
          <w:rFonts w:ascii="Times New Roman" w:hAnsi="Times New Roman" w:cs="Times New Roman"/>
          <w:kern w:val="1"/>
        </w:rPr>
        <w:t>,</w:t>
      </w:r>
      <w:r w:rsidRPr="009860BF">
        <w:rPr>
          <w:rFonts w:ascii="Times New Roman" w:hAnsi="Times New Roman" w:cs="Times New Roman"/>
          <w:kern w:val="1"/>
          <w:vertAlign w:val="superscript"/>
        </w:rPr>
        <w:footnoteReference w:id="49"/>
      </w:r>
      <w:r w:rsidRPr="009860BF">
        <w:rPr>
          <w:rFonts w:ascii="Times New Roman" w:hAnsi="Times New Roman" w:cs="Times New Roman"/>
          <w:kern w:val="1"/>
        </w:rPr>
        <w:t xml:space="preserve"> and therefore having a diverse set of members, I personally stand firmly in the category of liberal Methodism. This is important because when weighing decisions related to my religion, I have a tendency to rely more on the reason and experience aspects of the Wesleyan Quadrilateral than on tradition and scripture. This is not to say that I never use tradition and scripture, but that they are not always the first things I think of when determining what I can reasonably do as a Methodist, even though it breaks the hierarchy we built for ourselves. </w:t>
      </w:r>
    </w:p>
    <w:p w14:paraId="2AD39007" w14:textId="2E478505"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Another important and less personal aspect to this is the United Methodist Book of Discipline and the Book of Resolutions which contains, among a multitude of other things, a set of Social Principles which are meant to explain how we, as Methodists, are meant to live in the world and what actions the church is allowed to take on an official basis.</w:t>
      </w:r>
      <w:r w:rsidRPr="009860BF">
        <w:rPr>
          <w:rFonts w:ascii="Times New Roman" w:hAnsi="Times New Roman" w:cs="Times New Roman"/>
          <w:kern w:val="1"/>
          <w:vertAlign w:val="superscript"/>
        </w:rPr>
        <w:footnoteReference w:id="50"/>
      </w:r>
      <w:r w:rsidRPr="009860BF">
        <w:rPr>
          <w:rFonts w:ascii="Times New Roman" w:hAnsi="Times New Roman" w:cs="Times New Roman"/>
          <w:kern w:val="1"/>
        </w:rPr>
        <w:t xml:space="preserve"> I will be drawing on these principles as part of tradition because they have been part of the United Methodist canon longer </w:t>
      </w:r>
      <w:r w:rsidRPr="009860BF">
        <w:rPr>
          <w:rFonts w:ascii="Times New Roman" w:hAnsi="Times New Roman" w:cs="Times New Roman"/>
          <w:kern w:val="1"/>
        </w:rPr>
        <w:lastRenderedPageBreak/>
        <w:t>than I have been participating in the denomination. All of these aspects play a role in how this framework will be explained through this specific case study. I want to use a couple of examples of things the United Methodist Church does that lends itself to aligning with interfaith ideals. These examples are ecumenism, social justice and activism, and our resolution on interreligious relationships.</w:t>
      </w:r>
    </w:p>
    <w:p w14:paraId="1149151E" w14:textId="77777777" w:rsidR="0084464B" w:rsidRPr="00924965"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i/>
          <w:kern w:val="1"/>
        </w:rPr>
      </w:pPr>
      <w:r w:rsidRPr="00924965">
        <w:rPr>
          <w:rFonts w:ascii="Times New Roman" w:hAnsi="Times New Roman" w:cs="Times New Roman"/>
          <w:i/>
          <w:kern w:val="1"/>
        </w:rPr>
        <w:t>Ecumenism</w:t>
      </w:r>
    </w:p>
    <w:p w14:paraId="3BBBD8B2" w14:textId="26E646C0"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kern w:val="1"/>
        </w:rPr>
      </w:pPr>
      <w:r>
        <w:rPr>
          <w:rFonts w:ascii="Times New Roman" w:hAnsi="Times New Roman" w:cs="Times New Roman"/>
          <w:kern w:val="1"/>
        </w:rPr>
        <w:tab/>
      </w:r>
      <w:r w:rsidRPr="009860BF">
        <w:rPr>
          <w:rFonts w:ascii="Times New Roman" w:hAnsi="Times New Roman" w:cs="Times New Roman"/>
          <w:kern w:val="1"/>
        </w:rPr>
        <w:t>An important aspect of interfaith engagement is a willingness to engage with people outside your particular denomination. Without the willingness to do so, interfaith engagement cannot move forward. In the case of the UMC, there is nothing prohibiting people from engaging outside the denomination. Scripture tells us that one of the greatest commandments is to "love your neighbor as yourself."</w:t>
      </w:r>
      <w:r w:rsidRPr="009860BF">
        <w:rPr>
          <w:rFonts w:ascii="Times New Roman" w:hAnsi="Times New Roman" w:cs="Times New Roman"/>
          <w:kern w:val="1"/>
          <w:vertAlign w:val="superscript"/>
        </w:rPr>
        <w:footnoteReference w:id="51"/>
      </w:r>
      <w:r w:rsidRPr="009860BF">
        <w:rPr>
          <w:rFonts w:ascii="Times New Roman" w:hAnsi="Times New Roman" w:cs="Times New Roman"/>
          <w:kern w:val="1"/>
        </w:rPr>
        <w:t xml:space="preserve"> When pressed to be specific about who our neighbor is, Jesus uses the story of the Good Samaritan to show that our neighbor is not just the people with whom we share similarities, but those who are different from ourselves but extend compassion and mercy to us when we need it.</w:t>
      </w:r>
      <w:r w:rsidRPr="009860BF">
        <w:rPr>
          <w:rFonts w:ascii="Times New Roman" w:hAnsi="Times New Roman" w:cs="Times New Roman"/>
          <w:kern w:val="1"/>
          <w:vertAlign w:val="superscript"/>
        </w:rPr>
        <w:footnoteReference w:id="52"/>
      </w:r>
      <w:r w:rsidRPr="009860BF">
        <w:rPr>
          <w:rFonts w:ascii="Times New Roman" w:hAnsi="Times New Roman" w:cs="Times New Roman"/>
          <w:kern w:val="1"/>
        </w:rPr>
        <w:t xml:space="preserve"> We are asked to extend that same compassion and mercy in return, which is where the loving your neighbor as yourself comes into action. If we look at Methodist tradition, it would be impossible for the United Methodist Church to exist without ecumenism. In 1968, the Methodist Episcopal Church and the Evangelical United Brethren Church joined together to create the United Methodist Church.</w:t>
      </w:r>
      <w:r w:rsidRPr="009860BF">
        <w:rPr>
          <w:rFonts w:ascii="Times New Roman" w:hAnsi="Times New Roman" w:cs="Times New Roman"/>
          <w:kern w:val="1"/>
          <w:vertAlign w:val="superscript"/>
        </w:rPr>
        <w:footnoteReference w:id="53"/>
      </w:r>
      <w:r w:rsidRPr="009860BF">
        <w:rPr>
          <w:rFonts w:ascii="Times New Roman" w:hAnsi="Times New Roman" w:cs="Times New Roman"/>
          <w:kern w:val="1"/>
        </w:rPr>
        <w:t xml:space="preserve"> Without joining together, both denominations would have ceased to exist due to low member numbers and funding. Each church extended a level of compassion and care to each other when they needed it most to create a sustainable solution. Ecumenism is literally built into to foundation of the denomination. </w:t>
      </w:r>
    </w:p>
    <w:p w14:paraId="3074F25E"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lastRenderedPageBreak/>
        <w:t>Outside the United Methodist Church, there are quite a few denominations that share the same Methodist roots we have, like the churches that participate in the Pan-Methodist Commission, The Uniting Church of Sweden, and others. In those cases, the denominations have reached an agreement called 'full communion' which means we share enough in common theologically and structurally that we can share clergy with one another. Additionally, the denomination participates in the World Council of Churches, which consists of many different denominations around the world who all work together on mission and activist work across the globe. The UMC is able to use these relationships to learn more about Christianity, about themselves, and about how God may manifest in the world through other people. This is again an important step in being able to participate in interfaith engagement because it means that there is already an openness and willingness to interact with and build relationships with people from other traditions, which can be built upon to encourage interfaith engagement.</w:t>
      </w:r>
    </w:p>
    <w:p w14:paraId="1182C17D" w14:textId="77777777" w:rsidR="0084464B" w:rsidRPr="00924965"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i/>
          <w:kern w:val="1"/>
        </w:rPr>
      </w:pPr>
      <w:r w:rsidRPr="00924965">
        <w:rPr>
          <w:rFonts w:ascii="Times New Roman" w:hAnsi="Times New Roman" w:cs="Times New Roman"/>
          <w:i/>
          <w:kern w:val="1"/>
        </w:rPr>
        <w:t>Interreligious relationships</w:t>
      </w:r>
    </w:p>
    <w:p w14:paraId="60459ADF" w14:textId="231C7FB3"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Respect for other traditions and their truths is another important aspect to interfaith work and efforts to proselytize are not tolerated in interfaith settings because it indicates and unwillingness to respect that everyone has their own truths that they hold dear. Turning firstly to scripture, in Paul's letter to the Hebrews, he tells them to, "pursue peace with everyone."</w:t>
      </w:r>
      <w:r w:rsidRPr="009860BF">
        <w:rPr>
          <w:rFonts w:ascii="Times New Roman" w:hAnsi="Times New Roman" w:cs="Times New Roman"/>
          <w:kern w:val="1"/>
          <w:vertAlign w:val="superscript"/>
        </w:rPr>
        <w:footnoteReference w:id="54"/>
      </w:r>
      <w:r w:rsidRPr="009860BF">
        <w:rPr>
          <w:rFonts w:ascii="Times New Roman" w:hAnsi="Times New Roman" w:cs="Times New Roman"/>
          <w:kern w:val="1"/>
        </w:rPr>
        <w:t xml:space="preserve"> In the United Methodist Book of Resolutions, that verse, along with a verse from Ephesians, "one God and Father of all, who is above all and through all and in all,"</w:t>
      </w:r>
      <w:r w:rsidRPr="009860BF">
        <w:rPr>
          <w:rFonts w:ascii="Times New Roman" w:hAnsi="Times New Roman" w:cs="Times New Roman"/>
          <w:kern w:val="1"/>
          <w:vertAlign w:val="superscript"/>
        </w:rPr>
        <w:footnoteReference w:id="55"/>
      </w:r>
      <w:r w:rsidRPr="009860BF">
        <w:rPr>
          <w:rFonts w:ascii="Times New Roman" w:hAnsi="Times New Roman" w:cs="Times New Roman"/>
          <w:kern w:val="1"/>
        </w:rPr>
        <w:t xml:space="preserve"> are used to understand what role the UMC has in building interreligious relationships. The Hebrews scripture implies that we have a duty to have good, healthy relationship with one another, while the Ephesians verse implies that God exists in all people, not just some, or just Christians, but all people, which means we must </w:t>
      </w:r>
      <w:r w:rsidRPr="009860BF">
        <w:rPr>
          <w:rFonts w:ascii="Times New Roman" w:hAnsi="Times New Roman" w:cs="Times New Roman"/>
          <w:kern w:val="1"/>
        </w:rPr>
        <w:lastRenderedPageBreak/>
        <w:t>treat all people with respect and dignity since they hold the same sacredness that we hold. While this could be interpreted to mean that all people should become Christian for many of the same reason as I have put forth, it would defeat the purpose of this project. Also, by using the methods of the framework, we cannot determine if something fits with interfaith ideals just by scripture alone</w:t>
      </w:r>
      <w:r w:rsidR="00D321B5">
        <w:rPr>
          <w:rFonts w:ascii="Times New Roman" w:hAnsi="Times New Roman" w:cs="Times New Roman"/>
          <w:kern w:val="1"/>
        </w:rPr>
        <w:t>.</w:t>
      </w:r>
      <w:r w:rsidRPr="009860BF">
        <w:rPr>
          <w:rFonts w:ascii="Times New Roman" w:hAnsi="Times New Roman" w:cs="Times New Roman"/>
          <w:kern w:val="1"/>
        </w:rPr>
        <w:t xml:space="preserve"> </w:t>
      </w:r>
      <w:r w:rsidR="00D321B5">
        <w:rPr>
          <w:rFonts w:ascii="Times New Roman" w:hAnsi="Times New Roman" w:cs="Times New Roman"/>
          <w:kern w:val="1"/>
        </w:rPr>
        <w:t>T</w:t>
      </w:r>
      <w:r w:rsidRPr="009860BF">
        <w:rPr>
          <w:rFonts w:ascii="Times New Roman" w:hAnsi="Times New Roman" w:cs="Times New Roman"/>
          <w:kern w:val="1"/>
        </w:rPr>
        <w:t xml:space="preserve">he other elements must also be involved in the decision. </w:t>
      </w:r>
    </w:p>
    <w:p w14:paraId="69533B45"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The UMC originally adopted a resolution in 1988 named, "Called to Be Neighbors and Witnesses: Guidelines for Interreligious Relationships," which has since then been revised and readopted several times, the last and most recent being in 2016.</w:t>
      </w:r>
      <w:r w:rsidRPr="009860BF">
        <w:rPr>
          <w:rFonts w:ascii="Times New Roman" w:hAnsi="Times New Roman" w:cs="Times New Roman"/>
          <w:kern w:val="1"/>
          <w:vertAlign w:val="superscript"/>
        </w:rPr>
        <w:footnoteReference w:id="56"/>
      </w:r>
      <w:r w:rsidRPr="009860BF">
        <w:rPr>
          <w:rFonts w:ascii="Times New Roman" w:hAnsi="Times New Roman" w:cs="Times New Roman"/>
          <w:kern w:val="1"/>
        </w:rPr>
        <w:t xml:space="preserve"> At the beginning of the resolution, it says that growth in religiously diverse communities means that religious communities have to rethink the ways they relate to one another and learn from each other. </w:t>
      </w:r>
    </w:p>
    <w:p w14:paraId="3915B33D"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The specific call of the UMC is twofold: to "be neighbors with other faith communities"</w:t>
      </w:r>
      <w:r w:rsidRPr="009860BF">
        <w:rPr>
          <w:rFonts w:ascii="Times New Roman" w:hAnsi="Times New Roman" w:cs="Times New Roman"/>
          <w:kern w:val="1"/>
          <w:vertAlign w:val="superscript"/>
        </w:rPr>
        <w:footnoteReference w:id="57"/>
      </w:r>
      <w:r w:rsidRPr="009860BF">
        <w:rPr>
          <w:rFonts w:ascii="Times New Roman" w:hAnsi="Times New Roman" w:cs="Times New Roman"/>
          <w:kern w:val="1"/>
        </w:rPr>
        <w:t xml:space="preserve"> and to be a witness to God's work in the world.</w:t>
      </w:r>
      <w:r w:rsidRPr="009860BF">
        <w:rPr>
          <w:rFonts w:ascii="Times New Roman" w:hAnsi="Times New Roman" w:cs="Times New Roman"/>
          <w:kern w:val="1"/>
          <w:vertAlign w:val="superscript"/>
        </w:rPr>
        <w:footnoteReference w:id="58"/>
      </w:r>
      <w:r w:rsidRPr="009860BF">
        <w:rPr>
          <w:rFonts w:ascii="Times New Roman" w:hAnsi="Times New Roman" w:cs="Times New Roman"/>
          <w:kern w:val="1"/>
        </w:rPr>
        <w:t xml:space="preserve"> The document then explains how these two calls are put into action through dialogue. Dialogue is described as being "the intentional engagement with persons who hold other faith perspectives for  purposes of mutual understanding, cooperation, and transformation."</w:t>
      </w:r>
      <w:r w:rsidRPr="009860BF">
        <w:rPr>
          <w:rFonts w:ascii="Times New Roman" w:hAnsi="Times New Roman" w:cs="Times New Roman"/>
          <w:kern w:val="1"/>
          <w:vertAlign w:val="superscript"/>
        </w:rPr>
        <w:footnoteReference w:id="59"/>
      </w:r>
      <w:r w:rsidRPr="009860BF">
        <w:rPr>
          <w:rFonts w:ascii="Times New Roman" w:hAnsi="Times New Roman" w:cs="Times New Roman"/>
          <w:kern w:val="1"/>
        </w:rPr>
        <w:t xml:space="preserve"> It also says that dialogue can lead to "a relationship of mutual acceptance, openness, and respect."</w:t>
      </w:r>
      <w:r w:rsidRPr="009860BF">
        <w:rPr>
          <w:rFonts w:ascii="Times New Roman" w:hAnsi="Times New Roman" w:cs="Times New Roman"/>
          <w:kern w:val="1"/>
          <w:vertAlign w:val="superscript"/>
        </w:rPr>
        <w:footnoteReference w:id="60"/>
      </w:r>
      <w:r w:rsidRPr="009860BF">
        <w:rPr>
          <w:rFonts w:ascii="Times New Roman" w:hAnsi="Times New Roman" w:cs="Times New Roman"/>
          <w:kern w:val="1"/>
        </w:rPr>
        <w:t xml:space="preserve"> In the rest of the two sections on dialogue, it is clear that interfaith practices of dialogue have been taken into consideration, and the people who wrote the resolution made an effort to take the larger concept of interfaith dialogue and put it into a Methodist perspective. The best example of this is when it says that the </w:t>
      </w:r>
      <w:r w:rsidRPr="009860BF">
        <w:rPr>
          <w:rFonts w:ascii="Times New Roman" w:hAnsi="Times New Roman" w:cs="Times New Roman"/>
          <w:kern w:val="1"/>
        </w:rPr>
        <w:lastRenderedPageBreak/>
        <w:t>outcome of interfaith dialogue is left to the Holy Spirit, and we are there to experience what the Spirit has to offer through dialogue.</w:t>
      </w:r>
      <w:r w:rsidRPr="009860BF">
        <w:rPr>
          <w:rFonts w:ascii="Times New Roman" w:hAnsi="Times New Roman" w:cs="Times New Roman"/>
          <w:kern w:val="1"/>
          <w:vertAlign w:val="superscript"/>
        </w:rPr>
        <w:footnoteReference w:id="61"/>
      </w:r>
    </w:p>
    <w:p w14:paraId="1089F797"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 xml:space="preserve">In practice, a lot of this is true. Growing up, a lot of Methodists I know took part in interfaith initiatives in my hometown, mostly around protesting the Iraq war. Even still, some of the Methodists that were part of that group communicate and work with other religious people they met during that time. A lot of young people I know that are currently part of the UMC have said that interfaith dialogue has become common for them. It feels impossible to not spend time with people who are not part of the church. Spending this much time surrounded by interfaith engagement is certainly not the norm for people in the Methodist church. I was very fortunate that my parents made it a priority in their work and in their lives more generally. There are still a lot of Methodists that understand engagement with other traditions to be a way to proselytize and try to convert people. It is a narrative I have heard a lot, and will continue to hear in the denomination, but the resolution that we passed does speak to an alternative narrative that is open to setting aside our desire to have people join the church to learn and be in community with others from different worldview backgrounds. </w:t>
      </w:r>
    </w:p>
    <w:p w14:paraId="17EC19D3" w14:textId="77777777" w:rsidR="0084464B" w:rsidRPr="00924965"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i/>
          <w:kern w:val="1"/>
        </w:rPr>
      </w:pPr>
      <w:r w:rsidRPr="00924965">
        <w:rPr>
          <w:rFonts w:ascii="Times New Roman" w:hAnsi="Times New Roman" w:cs="Times New Roman"/>
          <w:i/>
          <w:kern w:val="1"/>
        </w:rPr>
        <w:t xml:space="preserve">Faith in Action </w:t>
      </w:r>
    </w:p>
    <w:p w14:paraId="57A76F72" w14:textId="6FAF566F"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Pr>
          <w:rFonts w:ascii="Times New Roman" w:hAnsi="Times New Roman" w:cs="Times New Roman"/>
          <w:kern w:val="1"/>
        </w:rPr>
        <w:t xml:space="preserve">Community action is one of the other aspects of interfaith engagement that was identified as an integral part of what interfaith communities are asking people to participate in. </w:t>
      </w:r>
      <w:r w:rsidRPr="009860BF">
        <w:rPr>
          <w:rFonts w:ascii="Times New Roman" w:hAnsi="Times New Roman" w:cs="Times New Roman"/>
          <w:kern w:val="1"/>
        </w:rPr>
        <w:t xml:space="preserve">Mutual learning and relationship building are great, but interfaith work is still deeply rooted in activism and action. </w:t>
      </w:r>
      <w:r>
        <w:rPr>
          <w:rFonts w:ascii="Times New Roman" w:hAnsi="Times New Roman" w:cs="Times New Roman"/>
          <w:kern w:val="1"/>
        </w:rPr>
        <w:t>A</w:t>
      </w:r>
      <w:r w:rsidRPr="009860BF">
        <w:rPr>
          <w:rFonts w:ascii="Times New Roman" w:hAnsi="Times New Roman" w:cs="Times New Roman"/>
          <w:kern w:val="1"/>
        </w:rPr>
        <w:t xml:space="preserve"> tradition</w:t>
      </w:r>
      <w:r>
        <w:rPr>
          <w:rFonts w:ascii="Times New Roman" w:hAnsi="Times New Roman" w:cs="Times New Roman"/>
          <w:kern w:val="1"/>
        </w:rPr>
        <w:t xml:space="preserve"> should</w:t>
      </w:r>
      <w:r w:rsidRPr="009860BF">
        <w:rPr>
          <w:rFonts w:ascii="Times New Roman" w:hAnsi="Times New Roman" w:cs="Times New Roman"/>
          <w:kern w:val="1"/>
        </w:rPr>
        <w:t xml:space="preserve"> be able to see themselves as able to participate in the betterment of their community beyond their congregation</w:t>
      </w:r>
      <w:r>
        <w:rPr>
          <w:rFonts w:ascii="Times New Roman" w:hAnsi="Times New Roman" w:cs="Times New Roman"/>
          <w:kern w:val="1"/>
        </w:rPr>
        <w:t xml:space="preserve"> because if not, they would have a difficult time participating in interfaith work since it is one of the core values in interfaith engagement</w:t>
      </w:r>
      <w:r w:rsidRPr="009860BF">
        <w:rPr>
          <w:rFonts w:ascii="Times New Roman" w:hAnsi="Times New Roman" w:cs="Times New Roman"/>
          <w:kern w:val="1"/>
        </w:rPr>
        <w:t xml:space="preserve">. The </w:t>
      </w:r>
      <w:r w:rsidRPr="009860BF">
        <w:rPr>
          <w:rFonts w:ascii="Times New Roman" w:hAnsi="Times New Roman" w:cs="Times New Roman"/>
          <w:kern w:val="1"/>
        </w:rPr>
        <w:lastRenderedPageBreak/>
        <w:t>United Methodist Church has a long history of participating in social justice movements in the United States and around the world. There are two verses that are frequently used to justify the church participating in social justice action. One says, "let justice roll down like waters, righteousness like an ever-flowing stream."</w:t>
      </w:r>
      <w:r w:rsidRPr="009860BF">
        <w:rPr>
          <w:rFonts w:ascii="Times New Roman" w:hAnsi="Times New Roman" w:cs="Times New Roman"/>
          <w:kern w:val="1"/>
          <w:vertAlign w:val="superscript"/>
        </w:rPr>
        <w:footnoteReference w:id="62"/>
      </w:r>
      <w:r w:rsidRPr="009860BF">
        <w:rPr>
          <w:rFonts w:ascii="Times New Roman" w:hAnsi="Times New Roman" w:cs="Times New Roman"/>
          <w:kern w:val="1"/>
        </w:rPr>
        <w:t xml:space="preserve"> This creates an image that justice should be swift and all-consuming when it happens. The justice that needs to be create</w:t>
      </w:r>
      <w:r>
        <w:rPr>
          <w:rFonts w:ascii="Times New Roman" w:hAnsi="Times New Roman" w:cs="Times New Roman"/>
          <w:kern w:val="1"/>
        </w:rPr>
        <w:t>d</w:t>
      </w:r>
      <w:r w:rsidRPr="009860BF">
        <w:rPr>
          <w:rFonts w:ascii="Times New Roman" w:hAnsi="Times New Roman" w:cs="Times New Roman"/>
          <w:kern w:val="1"/>
        </w:rPr>
        <w:t xml:space="preserve"> must be done completely and cover all parts that need to be changed. The context for the other verse is Micah</w:t>
      </w:r>
      <w:r>
        <w:rPr>
          <w:rFonts w:ascii="Times New Roman" w:hAnsi="Times New Roman" w:cs="Times New Roman"/>
          <w:kern w:val="1"/>
        </w:rPr>
        <w:t xml:space="preserve"> answering the question of what</w:t>
      </w:r>
      <w:r w:rsidRPr="009860BF">
        <w:rPr>
          <w:rFonts w:ascii="Times New Roman" w:hAnsi="Times New Roman" w:cs="Times New Roman"/>
          <w:kern w:val="1"/>
        </w:rPr>
        <w:t xml:space="preserve"> God requires of him, and if he should bring offerings to the temple, but then</w:t>
      </w:r>
      <w:r>
        <w:rPr>
          <w:rFonts w:ascii="Times New Roman" w:hAnsi="Times New Roman" w:cs="Times New Roman"/>
          <w:kern w:val="1"/>
        </w:rPr>
        <w:t xml:space="preserve"> Micah</w:t>
      </w:r>
      <w:r w:rsidRPr="009860BF">
        <w:rPr>
          <w:rFonts w:ascii="Times New Roman" w:hAnsi="Times New Roman" w:cs="Times New Roman"/>
          <w:kern w:val="1"/>
        </w:rPr>
        <w:t xml:space="preserve"> says, "He has told you, O mortal, what is good; and what does the Lord require of you but to do justice, love kindness, and to walk humbly with your God?"</w:t>
      </w:r>
      <w:r w:rsidRPr="009860BF">
        <w:rPr>
          <w:rFonts w:ascii="Times New Roman" w:hAnsi="Times New Roman" w:cs="Times New Roman"/>
          <w:kern w:val="1"/>
          <w:vertAlign w:val="superscript"/>
        </w:rPr>
        <w:footnoteReference w:id="63"/>
      </w:r>
      <w:r w:rsidRPr="009860BF">
        <w:rPr>
          <w:rFonts w:ascii="Times New Roman" w:hAnsi="Times New Roman" w:cs="Times New Roman"/>
          <w:kern w:val="1"/>
        </w:rPr>
        <w:t xml:space="preserve"> So, burnt offerings, money, and possessions are not what God wants from people, but rather, God is asking for people to take part in these three actions. From my perspective, all of these things happen at once when people participate in social justice action. </w:t>
      </w:r>
    </w:p>
    <w:p w14:paraId="4D6B404E"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The United Methodist Church's commitment to social justice and equity is so important that it has maintained the Methodist tradition of having a set of Social Principles. The set that currently exists was established in 1972 and has been revised over time until now. Currently, the denomination is reworking the Social Principles to better reflect the church's modern context, but the Principles are still included in the current Book of Discipline. They are meant to "speak to the human issues in the contemporary world,"</w:t>
      </w:r>
      <w:r w:rsidRPr="009860BF">
        <w:rPr>
          <w:rFonts w:ascii="Times New Roman" w:hAnsi="Times New Roman" w:cs="Times New Roman"/>
          <w:kern w:val="1"/>
          <w:vertAlign w:val="superscript"/>
        </w:rPr>
        <w:footnoteReference w:id="64"/>
      </w:r>
      <w:r w:rsidRPr="009860BF">
        <w:rPr>
          <w:rFonts w:ascii="Times New Roman" w:hAnsi="Times New Roman" w:cs="Times New Roman"/>
          <w:kern w:val="1"/>
        </w:rPr>
        <w:t xml:space="preserve"> and "are a call to all members of The United Methodist Church to a prayerful, studied dialogue of faith and practice."</w:t>
      </w:r>
      <w:r w:rsidRPr="009860BF">
        <w:rPr>
          <w:rFonts w:ascii="Times New Roman" w:hAnsi="Times New Roman" w:cs="Times New Roman"/>
          <w:kern w:val="1"/>
          <w:vertAlign w:val="superscript"/>
        </w:rPr>
        <w:footnoteReference w:id="65"/>
      </w:r>
      <w:r w:rsidRPr="009860BF">
        <w:rPr>
          <w:rFonts w:ascii="Times New Roman" w:hAnsi="Times New Roman" w:cs="Times New Roman"/>
          <w:kern w:val="1"/>
        </w:rPr>
        <w:t xml:space="preserve"> The Principles themselves cover a lot of ground and include issues related to the natural world,</w:t>
      </w:r>
      <w:r w:rsidRPr="009860BF">
        <w:rPr>
          <w:rFonts w:ascii="Times New Roman" w:hAnsi="Times New Roman" w:cs="Times New Roman"/>
          <w:kern w:val="1"/>
          <w:vertAlign w:val="superscript"/>
        </w:rPr>
        <w:footnoteReference w:id="66"/>
      </w:r>
      <w:r w:rsidRPr="009860BF">
        <w:rPr>
          <w:rFonts w:ascii="Times New Roman" w:hAnsi="Times New Roman" w:cs="Times New Roman"/>
          <w:kern w:val="1"/>
        </w:rPr>
        <w:t xml:space="preserve"> the "nurturing </w:t>
      </w:r>
      <w:r w:rsidRPr="009860BF">
        <w:rPr>
          <w:rFonts w:ascii="Times New Roman" w:hAnsi="Times New Roman" w:cs="Times New Roman"/>
          <w:kern w:val="1"/>
        </w:rPr>
        <w:lastRenderedPageBreak/>
        <w:t>community,"</w:t>
      </w:r>
      <w:r w:rsidRPr="009860BF">
        <w:rPr>
          <w:rFonts w:ascii="Times New Roman" w:hAnsi="Times New Roman" w:cs="Times New Roman"/>
          <w:kern w:val="1"/>
          <w:vertAlign w:val="superscript"/>
        </w:rPr>
        <w:footnoteReference w:id="67"/>
      </w:r>
      <w:r w:rsidRPr="009860BF">
        <w:rPr>
          <w:rFonts w:ascii="Times New Roman" w:hAnsi="Times New Roman" w:cs="Times New Roman"/>
          <w:kern w:val="1"/>
        </w:rPr>
        <w:t xml:space="preserve"> the social community</w:t>
      </w:r>
      <w:r>
        <w:rPr>
          <w:rFonts w:ascii="Times New Roman" w:hAnsi="Times New Roman" w:cs="Times New Roman"/>
          <w:kern w:val="1"/>
        </w:rPr>
        <w:t>,</w:t>
      </w:r>
      <w:r w:rsidRPr="009860BF">
        <w:rPr>
          <w:rFonts w:ascii="Times New Roman" w:hAnsi="Times New Roman" w:cs="Times New Roman"/>
          <w:kern w:val="1"/>
          <w:vertAlign w:val="superscript"/>
        </w:rPr>
        <w:footnoteReference w:id="68"/>
      </w:r>
      <w:r w:rsidRPr="009860BF">
        <w:rPr>
          <w:rFonts w:ascii="Times New Roman" w:hAnsi="Times New Roman" w:cs="Times New Roman"/>
          <w:kern w:val="1"/>
        </w:rPr>
        <w:t xml:space="preserve"> economics</w:t>
      </w:r>
      <w:r>
        <w:rPr>
          <w:rFonts w:ascii="Times New Roman" w:hAnsi="Times New Roman" w:cs="Times New Roman"/>
          <w:kern w:val="1"/>
        </w:rPr>
        <w:t>,</w:t>
      </w:r>
      <w:r w:rsidRPr="009860BF">
        <w:rPr>
          <w:rFonts w:ascii="Times New Roman" w:hAnsi="Times New Roman" w:cs="Times New Roman"/>
          <w:kern w:val="1"/>
          <w:vertAlign w:val="superscript"/>
        </w:rPr>
        <w:footnoteReference w:id="69"/>
      </w:r>
      <w:r w:rsidRPr="009860BF">
        <w:rPr>
          <w:rFonts w:ascii="Times New Roman" w:hAnsi="Times New Roman" w:cs="Times New Roman"/>
          <w:kern w:val="1"/>
        </w:rPr>
        <w:t xml:space="preserve"> politics and government</w:t>
      </w:r>
      <w:r>
        <w:rPr>
          <w:rFonts w:ascii="Times New Roman" w:hAnsi="Times New Roman" w:cs="Times New Roman"/>
          <w:kern w:val="1"/>
        </w:rPr>
        <w:t>,</w:t>
      </w:r>
      <w:r w:rsidRPr="009860BF">
        <w:rPr>
          <w:rFonts w:ascii="Times New Roman" w:hAnsi="Times New Roman" w:cs="Times New Roman"/>
          <w:kern w:val="1"/>
          <w:vertAlign w:val="superscript"/>
        </w:rPr>
        <w:footnoteReference w:id="70"/>
      </w:r>
      <w:r w:rsidRPr="009860BF">
        <w:rPr>
          <w:rFonts w:ascii="Times New Roman" w:hAnsi="Times New Roman" w:cs="Times New Roman"/>
          <w:kern w:val="1"/>
        </w:rPr>
        <w:t xml:space="preserve"> and the world.</w:t>
      </w:r>
      <w:r w:rsidRPr="009860BF">
        <w:rPr>
          <w:rFonts w:ascii="Times New Roman" w:hAnsi="Times New Roman" w:cs="Times New Roman"/>
          <w:kern w:val="1"/>
          <w:vertAlign w:val="superscript"/>
        </w:rPr>
        <w:footnoteReference w:id="71"/>
      </w:r>
      <w:r w:rsidRPr="009860BF">
        <w:rPr>
          <w:rFonts w:ascii="Times New Roman" w:hAnsi="Times New Roman" w:cs="Times New Roman"/>
          <w:kern w:val="1"/>
        </w:rPr>
        <w:t xml:space="preserve"> These are just the overarching sections that are in the Principles, but each one is broken down into many different aspects of each topic that the church thinks are important to its commitments as active members of society. </w:t>
      </w:r>
    </w:p>
    <w:p w14:paraId="268ECCA6"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 xml:space="preserve">One of the ways the Social Principles </w:t>
      </w:r>
      <w:r>
        <w:rPr>
          <w:rFonts w:ascii="Times New Roman" w:hAnsi="Times New Roman" w:cs="Times New Roman"/>
          <w:kern w:val="1"/>
        </w:rPr>
        <w:t xml:space="preserve">manifest </w:t>
      </w:r>
      <w:r w:rsidRPr="009860BF">
        <w:rPr>
          <w:rFonts w:ascii="Times New Roman" w:hAnsi="Times New Roman" w:cs="Times New Roman"/>
          <w:kern w:val="1"/>
        </w:rPr>
        <w:t>is through the denomination's general agencies. These are bodies within the denomination that carry out its work in the world. Some agencies include the General Commission on the Status and Role of Women, the General Commission on Religion and Race, General Board of Global Ministries, Higher Education, and Church and Society. A lot of my experience of social justice action has been with The General Board of Church and Society (GBCS), which embodies the action aspect to the Social Principles and to interfaith engagement. GBCS does a lot of things</w:t>
      </w:r>
      <w:r>
        <w:rPr>
          <w:rFonts w:ascii="Times New Roman" w:hAnsi="Times New Roman" w:cs="Times New Roman"/>
          <w:kern w:val="1"/>
        </w:rPr>
        <w:t>,</w:t>
      </w:r>
      <w:r w:rsidRPr="009860BF">
        <w:rPr>
          <w:rFonts w:ascii="Times New Roman" w:hAnsi="Times New Roman" w:cs="Times New Roman"/>
          <w:kern w:val="1"/>
          <w:vertAlign w:val="superscript"/>
        </w:rPr>
        <w:footnoteReference w:id="72"/>
      </w:r>
      <w:r w:rsidRPr="009860BF">
        <w:rPr>
          <w:rFonts w:ascii="Times New Roman" w:hAnsi="Times New Roman" w:cs="Times New Roman"/>
          <w:kern w:val="1"/>
        </w:rPr>
        <w:t xml:space="preserve"> but really has a focus on creating grassroots community organizing through churches around the world. They encourage people to look at the issues in their communities and work as a congregation and with others to find local solutions for local problems. It is not uncommon to see members of their staff as well as the head of their agency at protests in D.C. representing the interested and beliefs of the denomination, since their office is conveniently located across from the Capital Building and next to the Supreme Court. </w:t>
      </w:r>
    </w:p>
    <w:p w14:paraId="4F4DCDC0"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kern w:val="1"/>
        </w:rPr>
      </w:pPr>
      <w:r>
        <w:rPr>
          <w:rFonts w:ascii="Times New Roman" w:hAnsi="Times New Roman" w:cs="Times New Roman"/>
          <w:kern w:val="1"/>
        </w:rPr>
        <w:tab/>
      </w:r>
      <w:r w:rsidRPr="009860BF">
        <w:rPr>
          <w:rFonts w:ascii="Times New Roman" w:hAnsi="Times New Roman" w:cs="Times New Roman"/>
          <w:kern w:val="1"/>
        </w:rPr>
        <w:t xml:space="preserve">The UMC and its agencies do a lot of work within the denomination, but there is also a recognition that the denomination, while fairly large, does not have all the answers or resources to always respond to injustice alone. They will partner with other Christian denominations who </w:t>
      </w:r>
      <w:r w:rsidRPr="009860BF">
        <w:rPr>
          <w:rFonts w:ascii="Times New Roman" w:hAnsi="Times New Roman" w:cs="Times New Roman"/>
          <w:kern w:val="1"/>
        </w:rPr>
        <w:lastRenderedPageBreak/>
        <w:t xml:space="preserve">are doing similar work, or with community organizations that have better insight on what can and needs to be done in a certain area. These relationships are vital to fulfilling the Social Principles, and our scriptural call to engage in justice-based action. Ultimately, the UMC wants to see the world be a better place and we understand that in order for that to happen, we have to participate in its betterment however we can.  </w:t>
      </w:r>
    </w:p>
    <w:p w14:paraId="76DB2998"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 xml:space="preserve">Interfaith engagement's commitments to community action can also been seen in United Methodist values, especially in the Social Principles mentioned previously. Not only does the church have an official commitment to serving and standing with religious minorities, but holds commitments to social and political issues, education, health, disaster relief, and local solutions to problems in communities around the world. The denomination dedicates people, money, and other resources to all these things and more. A commitment to social justice and equity is at the center of it all. One of the hopes in interfaith engagement is that religious and spiritual people and communities can come together to tackle issues in their communities because of their mutual commitment to the betterment of said communities. </w:t>
      </w:r>
    </w:p>
    <w:p w14:paraId="50D7AD2B" w14:textId="77777777"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All of these things show how the United Methodist Church and its values can be compatible with the values of interfaith engagement. Granted, this is a small selection of a vast number of values and commitments the UMC has in the Books of Discipline and Resolutions. There are other aspects of the United Methodist Church that would be challenged by the values of interfaith engagement, like the recent stance they took against allowing LGBTQ+ clergy and marrying same-sex couples in the church.</w:t>
      </w:r>
      <w:r w:rsidRPr="009860BF">
        <w:rPr>
          <w:rFonts w:ascii="Times New Roman" w:hAnsi="Times New Roman" w:cs="Times New Roman"/>
          <w:kern w:val="1"/>
          <w:vertAlign w:val="superscript"/>
        </w:rPr>
        <w:footnoteReference w:id="73"/>
      </w:r>
      <w:r w:rsidRPr="009860BF">
        <w:rPr>
          <w:rFonts w:ascii="Times New Roman" w:hAnsi="Times New Roman" w:cs="Times New Roman"/>
          <w:kern w:val="1"/>
        </w:rPr>
        <w:t xml:space="preserve"> That kind of intolerance goes against this idea of being welcoming to all people and seeking to understand others and their beliefs and values. However, if your reading of Methodist doctrine, like mine, does not include that intolerance, it is </w:t>
      </w:r>
      <w:r w:rsidRPr="009860BF">
        <w:rPr>
          <w:rFonts w:ascii="Times New Roman" w:hAnsi="Times New Roman" w:cs="Times New Roman"/>
          <w:kern w:val="1"/>
        </w:rPr>
        <w:lastRenderedPageBreak/>
        <w:t>much easier to be fully engaged in interfaith work because there is not a need to be critical of how you treat other people in a negative way.</w:t>
      </w:r>
    </w:p>
    <w:p w14:paraId="7D1B3BAF" w14:textId="77777777" w:rsidR="0084464B" w:rsidRPr="009860BF"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Pr>
          <w:rFonts w:ascii="Times New Roman" w:hAnsi="Times New Roman" w:cs="Times New Roman"/>
          <w:kern w:val="1"/>
        </w:rPr>
        <w:t xml:space="preserve">I would caution thinking that this means the UMC should be involved in interfaith engagement all the time. Interfaith cooperation is still action and interaction between traditions and not a religion on its own. There are still aspects of the UMC that make it a unique tradition and there are theological and traditional reasons to maintain some sense of separateness in order to continue to exist as the denomination it is currently. This case study is also only one interpretation of Methodism, and since we do not have a standardized way of interpreting scripture, or even have the same experiences, the idea of being involved in interfaith work can go against other people’s understanding and experience of Methodist theology. This framework is just meant to show that there is theological grounding for being Methodist </w:t>
      </w:r>
      <w:r>
        <w:rPr>
          <w:rFonts w:ascii="Times New Roman" w:hAnsi="Times New Roman" w:cs="Times New Roman"/>
          <w:i/>
          <w:kern w:val="1"/>
        </w:rPr>
        <w:t>and</w:t>
      </w:r>
      <w:r>
        <w:rPr>
          <w:rFonts w:ascii="Times New Roman" w:hAnsi="Times New Roman" w:cs="Times New Roman"/>
          <w:kern w:val="1"/>
        </w:rPr>
        <w:t xml:space="preserve"> being involved in interfaith work.</w:t>
      </w:r>
      <w:r w:rsidRPr="009860BF">
        <w:rPr>
          <w:rFonts w:ascii="Times New Roman" w:hAnsi="Times New Roman" w:cs="Times New Roman"/>
          <w:kern w:val="1"/>
        </w:rPr>
        <w:t xml:space="preserve"> </w:t>
      </w:r>
    </w:p>
    <w:p w14:paraId="18CDAC73" w14:textId="3E025AA3" w:rsidR="0084464B" w:rsidRDefault="0084464B" w:rsidP="0084464B">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kern w:val="1"/>
        </w:rPr>
      </w:pPr>
      <w:r w:rsidRPr="009860BF">
        <w:rPr>
          <w:rFonts w:ascii="Times New Roman" w:hAnsi="Times New Roman" w:cs="Times New Roman"/>
          <w:kern w:val="1"/>
        </w:rPr>
        <w:t>I only use the United Methodist Church as an example because in interfaith engagement, you can only speak from your own perspective, so this framework should also be engaged with from your own perspective. If I were to speak from another perspective, I would be going against many of the rules put in place in interfaith dialogue. Overall, this framework of looking from interfaith engagement into a religious or spiritual tradition and using scripture, tradition, reason, and experience to understand the aspects of that tradition that support involvement seems to work. The situating of perspective, along with parameters for theological reflection provide a strong foundation for understanding the ways in which beliefs and theology can support interfaith engagement as well as providing an avenue for reflection on how an individual’s religious values impact the way they participate in interfaith work.</w:t>
      </w:r>
    </w:p>
    <w:p w14:paraId="5DFF3230" w14:textId="22353FD8" w:rsidR="00C06FA2" w:rsidRDefault="00C06FA2" w:rsidP="00B80A31">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kern w:val="1"/>
        </w:rPr>
      </w:pPr>
    </w:p>
    <w:p w14:paraId="6FDF043A" w14:textId="40FD8072" w:rsidR="00C06FA2" w:rsidRDefault="00C06FA2" w:rsidP="00C06FA2">
      <w:pPr>
        <w:tabs>
          <w:tab w:val="left" w:pos="360"/>
          <w:tab w:val="left" w:pos="720"/>
          <w:tab w:val="left" w:pos="1080"/>
          <w:tab w:val="left" w:pos="1440"/>
          <w:tab w:val="left" w:pos="1800"/>
          <w:tab w:val="left" w:pos="2160"/>
          <w:tab w:val="left" w:pos="2880"/>
          <w:tab w:val="left" w:pos="3600"/>
          <w:tab w:val="left" w:pos="4320"/>
        </w:tabs>
        <w:spacing w:line="480" w:lineRule="auto"/>
        <w:ind w:firstLine="360"/>
        <w:jc w:val="center"/>
        <w:rPr>
          <w:rFonts w:ascii="Times New Roman" w:hAnsi="Times New Roman" w:cs="Times New Roman"/>
          <w:kern w:val="1"/>
        </w:rPr>
      </w:pPr>
      <w:r>
        <w:rPr>
          <w:rFonts w:ascii="Times New Roman" w:hAnsi="Times New Roman" w:cs="Times New Roman"/>
          <w:b/>
          <w:kern w:val="1"/>
          <w:u w:val="single"/>
        </w:rPr>
        <w:lastRenderedPageBreak/>
        <w:t>Conclusion</w:t>
      </w:r>
    </w:p>
    <w:p w14:paraId="1B9FA875" w14:textId="3D0042EC" w:rsidR="00B704F3" w:rsidRDefault="00B704F3" w:rsidP="00C06FA2">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 xml:space="preserve">Thinking back to my Sikh friend </w:t>
      </w:r>
      <w:r w:rsidR="00D321B5">
        <w:rPr>
          <w:rFonts w:ascii="Times New Roman" w:hAnsi="Times New Roman" w:cs="Times New Roman"/>
        </w:rPr>
        <w:t>from childhood</w:t>
      </w:r>
      <w:r>
        <w:rPr>
          <w:rFonts w:ascii="Times New Roman" w:hAnsi="Times New Roman" w:cs="Times New Roman"/>
        </w:rPr>
        <w:t xml:space="preserve">, there is a lot to learn in the growth of interfaith relationships. While I have not talked to her in years, my personal ability to participate more fully in interfaith relationships with others has grown a lot from our games of tag in the backyard. I did not have the capacity to truly understand how we were different, and it was something that did not really matter to me at the time. In a similar way, interfaith engagement has </w:t>
      </w:r>
      <w:r w:rsidR="00D321B5">
        <w:rPr>
          <w:rFonts w:ascii="Times New Roman" w:hAnsi="Times New Roman" w:cs="Times New Roman"/>
        </w:rPr>
        <w:t>made significant strides</w:t>
      </w:r>
      <w:r>
        <w:rPr>
          <w:rFonts w:ascii="Times New Roman" w:hAnsi="Times New Roman" w:cs="Times New Roman"/>
        </w:rPr>
        <w:t xml:space="preserve"> to</w:t>
      </w:r>
      <w:r w:rsidR="00D321B5">
        <w:rPr>
          <w:rFonts w:ascii="Times New Roman" w:hAnsi="Times New Roman" w:cs="Times New Roman"/>
        </w:rPr>
        <w:t>ward</w:t>
      </w:r>
      <w:r>
        <w:rPr>
          <w:rFonts w:ascii="Times New Roman" w:hAnsi="Times New Roman" w:cs="Times New Roman"/>
        </w:rPr>
        <w:t xml:space="preserve"> understanding how our differences are important and make us unique in what we bring to the table. Acknowledging differences opens interfaith dialogue to so many useful and powerful conversations about what important truths we gain from our religious and spiritual experiences. Our differences also allow us to contemplate how even though we are different, there is a decent amount of values that are widely shared across religious and spiritual traditions that make the common ground of interfaith work so achievable.</w:t>
      </w:r>
      <w:r w:rsidR="00715671">
        <w:rPr>
          <w:rFonts w:ascii="Times New Roman" w:hAnsi="Times New Roman" w:cs="Times New Roman"/>
        </w:rPr>
        <w:t xml:space="preserve"> </w:t>
      </w:r>
      <w:r>
        <w:rPr>
          <w:rFonts w:ascii="Times New Roman" w:hAnsi="Times New Roman" w:cs="Times New Roman"/>
        </w:rPr>
        <w:t xml:space="preserve"> </w:t>
      </w:r>
      <w:r w:rsidR="00C06FA2">
        <w:rPr>
          <w:rFonts w:ascii="Times New Roman" w:hAnsi="Times New Roman" w:cs="Times New Roman"/>
        </w:rPr>
        <w:tab/>
      </w:r>
    </w:p>
    <w:p w14:paraId="3B583322" w14:textId="5279D408" w:rsidR="00481231" w:rsidRDefault="00C06FA2" w:rsidP="00B4040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 xml:space="preserve">Interfaith engagement has been committed to finding the best ways to invite people to interact with one another through interfaith dialogue and action. With </w:t>
      </w:r>
      <w:r w:rsidR="009B0476">
        <w:rPr>
          <w:rFonts w:ascii="Times New Roman" w:hAnsi="Times New Roman" w:cs="Times New Roman"/>
        </w:rPr>
        <w:t>movements born out of civic action and interreligious dialogue, interfaith engagement has come a long way to be where it is today</w:t>
      </w:r>
      <w:r w:rsidR="00715671">
        <w:rPr>
          <w:rFonts w:ascii="Times New Roman" w:hAnsi="Times New Roman" w:cs="Times New Roman"/>
        </w:rPr>
        <w:t>. The models of interfaith engagement we have today really focus on building communities of religiously and spiritually diverse people who are committed to the betterment of the world around them.</w:t>
      </w:r>
      <w:r w:rsidR="00B40403">
        <w:rPr>
          <w:rFonts w:ascii="Times New Roman" w:hAnsi="Times New Roman" w:cs="Times New Roman"/>
        </w:rPr>
        <w:t xml:space="preserve"> Having these committed groups is wonderful because they are not only interacting amongst themselves, but are engaging with the larger community, which gives people the opportunity to put interfaith values into practice and show others what interfaith engagement can look like. </w:t>
      </w:r>
    </w:p>
    <w:p w14:paraId="0B911E83" w14:textId="185315ED" w:rsidR="00DC64D4" w:rsidRDefault="007F293D" w:rsidP="00B4040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 xml:space="preserve">When </w:t>
      </w:r>
      <w:r w:rsidR="00DF04D8">
        <w:rPr>
          <w:rFonts w:ascii="Times New Roman" w:hAnsi="Times New Roman" w:cs="Times New Roman"/>
        </w:rPr>
        <w:t xml:space="preserve">considering </w:t>
      </w:r>
      <w:r>
        <w:rPr>
          <w:rFonts w:ascii="Times New Roman" w:hAnsi="Times New Roman" w:cs="Times New Roman"/>
        </w:rPr>
        <w:t xml:space="preserve">how interfaith engagement can continue to grow, the lack of intentional inclusion of theology and personal reflection on the motivation behind participating in interfaith </w:t>
      </w:r>
      <w:r>
        <w:rPr>
          <w:rFonts w:ascii="Times New Roman" w:hAnsi="Times New Roman" w:cs="Times New Roman"/>
        </w:rPr>
        <w:lastRenderedPageBreak/>
        <w:t>work are areas that can be improved immensely. People leading interfaith spaces need to be more intentional about asking why people are there, and people need to be willing to answer. In order to do that, there should be some kind of a road map to even begin those kinds of conversations because they can be difficult</w:t>
      </w:r>
      <w:r w:rsidR="00DC64D4">
        <w:rPr>
          <w:rFonts w:ascii="Times New Roman" w:hAnsi="Times New Roman" w:cs="Times New Roman"/>
        </w:rPr>
        <w:t xml:space="preserve"> and</w:t>
      </w:r>
      <w:r>
        <w:rPr>
          <w:rFonts w:ascii="Times New Roman" w:hAnsi="Times New Roman" w:cs="Times New Roman"/>
        </w:rPr>
        <w:t xml:space="preserve"> bring up a lot the differences we have with one another</w:t>
      </w:r>
      <w:r w:rsidR="00DC64D4">
        <w:rPr>
          <w:rFonts w:ascii="Times New Roman" w:hAnsi="Times New Roman" w:cs="Times New Roman"/>
        </w:rPr>
        <w:t xml:space="preserve">. Confronting our differences can be anxiety producing because there is such a desire to preserve the momentum of finding common ground. On the contrary, with a framework in which to conduct theological reflection on interfaith engagement, highlighting our differences will only show how those things still bring us together. </w:t>
      </w:r>
    </w:p>
    <w:p w14:paraId="26C8188A" w14:textId="0D7E29A0" w:rsidR="007F293D" w:rsidRDefault="00DC64D4" w:rsidP="00B40403">
      <w:pPr>
        <w:tabs>
          <w:tab w:val="left" w:pos="360"/>
          <w:tab w:val="left" w:pos="720"/>
          <w:tab w:val="left" w:pos="1080"/>
          <w:tab w:val="left" w:pos="1440"/>
          <w:tab w:val="left" w:pos="1800"/>
          <w:tab w:val="left" w:pos="2160"/>
          <w:tab w:val="left" w:pos="2880"/>
          <w:tab w:val="left" w:pos="3600"/>
          <w:tab w:val="left" w:pos="4320"/>
        </w:tabs>
        <w:spacing w:line="480" w:lineRule="auto"/>
        <w:ind w:firstLine="360"/>
        <w:rPr>
          <w:rFonts w:ascii="Times New Roman" w:hAnsi="Times New Roman" w:cs="Times New Roman"/>
        </w:rPr>
      </w:pPr>
      <w:r>
        <w:rPr>
          <w:rFonts w:ascii="Times New Roman" w:hAnsi="Times New Roman" w:cs="Times New Roman"/>
        </w:rPr>
        <w:t xml:space="preserve">The framework proposed here would easily be able to translate to other traditions that are not </w:t>
      </w:r>
      <w:r w:rsidR="00322709">
        <w:rPr>
          <w:rFonts w:ascii="Times New Roman" w:hAnsi="Times New Roman" w:cs="Times New Roman"/>
        </w:rPr>
        <w:t>used in the case study. Knowing the values and guidelines of interfaith engagement so they can be applied to how someone understands their tradition is the main aspect of the framework, while scripture, tradition, reason, and experience are all tools that can be used to guide th</w:t>
      </w:r>
      <w:r w:rsidR="00DF04D8">
        <w:rPr>
          <w:rFonts w:ascii="Times New Roman" w:hAnsi="Times New Roman" w:cs="Times New Roman"/>
        </w:rPr>
        <w:t>e theological reflection and give it some structure.</w:t>
      </w:r>
      <w:r w:rsidR="00322709">
        <w:rPr>
          <w:rFonts w:ascii="Times New Roman" w:hAnsi="Times New Roman" w:cs="Times New Roman"/>
        </w:rPr>
        <w:t xml:space="preserve"> Using the United Methodist Church as an example was simply my attempt to respect the guidelines already being used in interfaith dialogue. Speaking from your own experience is one of the most important aspects of interfaith dialogue because it gives people the opportunity to share their unique and specific experiences of their religious and spiritual traditions and relieves them of the responsibility to be the spokesperson or expert on their tradition. The United Methodist Church is the tradition I know the most about since it is the one I grew up in and continue to practice. Applying the theological framework to my own context seemed only fair in light of how much care interfaith engagement takes to ensure people are able to speak from their own perspectives. </w:t>
      </w:r>
      <w:r w:rsidR="00DF04D8">
        <w:rPr>
          <w:rFonts w:ascii="Times New Roman" w:hAnsi="Times New Roman" w:cs="Times New Roman"/>
        </w:rPr>
        <w:t xml:space="preserve">The different aspects of this framework could easily be applied to other faith traditions and can be molded to fit the context in which they are being used. </w:t>
      </w:r>
    </w:p>
    <w:p w14:paraId="7D9294BE" w14:textId="2DBCE5D8" w:rsidR="004D7807" w:rsidRDefault="00DF04D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r>
        <w:rPr>
          <w:rFonts w:ascii="Times New Roman" w:hAnsi="Times New Roman" w:cs="Times New Roman"/>
        </w:rPr>
        <w:lastRenderedPageBreak/>
        <w:tab/>
        <w:t>People engaging in interfaith work should be encouraged to think about their role and what brings them there because it gives people better context for the work they are doing. This also brings interfaith work into the traditions and practices of a tradition and asks people to understand the ways in which interfaith engagement fits with the rest of their tradition. I was able to draw on current United Methodist actions like ecumenism</w:t>
      </w:r>
      <w:r w:rsidR="00D321B5">
        <w:rPr>
          <w:rFonts w:ascii="Times New Roman" w:hAnsi="Times New Roman" w:cs="Times New Roman"/>
        </w:rPr>
        <w:t xml:space="preserve"> which</w:t>
      </w:r>
      <w:r>
        <w:rPr>
          <w:rFonts w:ascii="Times New Roman" w:hAnsi="Times New Roman" w:cs="Times New Roman"/>
        </w:rPr>
        <w:t xml:space="preserve"> can be tied to interfaith values. This helps clarify the ways in which a tradition justifies collaborating in communities outside their own. This gives</w:t>
      </w:r>
      <w:r w:rsidR="00D321B5">
        <w:rPr>
          <w:rFonts w:ascii="Times New Roman" w:hAnsi="Times New Roman" w:cs="Times New Roman"/>
        </w:rPr>
        <w:t xml:space="preserve"> me</w:t>
      </w:r>
      <w:r>
        <w:rPr>
          <w:rFonts w:ascii="Times New Roman" w:hAnsi="Times New Roman" w:cs="Times New Roman"/>
        </w:rPr>
        <w:t xml:space="preserve"> the grounding in my faith to know that interfaith engagement is compatible with United Methodist teachings, but it also gives an example for other members of my tradition to understand how our doctrine and theology can be interpreted to support interfaith engagement. This offers others the opportunity to </w:t>
      </w:r>
      <w:r w:rsidR="004D7807">
        <w:rPr>
          <w:rFonts w:ascii="Times New Roman" w:hAnsi="Times New Roman" w:cs="Times New Roman"/>
        </w:rPr>
        <w:t xml:space="preserve">be invited into interfaith cooperation and see what the benefits of participating really are. This not only creates a personal learning opportunity, but a much larger learning opportunity for members of a particular tradition as well as the interfaith community that benefits from people’s participation. </w:t>
      </w:r>
    </w:p>
    <w:p w14:paraId="516D9C30" w14:textId="3748D029" w:rsidR="004D7807" w:rsidRDefault="004D7807"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r>
        <w:rPr>
          <w:rFonts w:ascii="Times New Roman" w:hAnsi="Times New Roman" w:cs="Times New Roman"/>
        </w:rPr>
        <w:tab/>
        <w:t xml:space="preserve">Interfaith engagement needs to continue to grow and change so it can continue to provide the space that is needed for quality interfaith cooperation. In order for this to happen, interfaith leaders must be willing to provide space for personal theological reflection for people engaged in interfaith work. They must also be willing to ask people about their reflections and allow everyone the chance to learn from one another about </w:t>
      </w:r>
      <w:r w:rsidR="00CE7203">
        <w:rPr>
          <w:rFonts w:ascii="Times New Roman" w:hAnsi="Times New Roman" w:cs="Times New Roman"/>
        </w:rPr>
        <w:t xml:space="preserve">how their personal beliefs and practices inform the way they enter interfaith spaces and how that impacts the way </w:t>
      </w:r>
      <w:r w:rsidR="00FF7968">
        <w:rPr>
          <w:rFonts w:ascii="Times New Roman" w:hAnsi="Times New Roman" w:cs="Times New Roman"/>
        </w:rPr>
        <w:t xml:space="preserve">they interact with other members of the interfaith community. Additionally, religious leaders need to begin thinking about the ways in which they can connect their traditions with interfaith work. By showing others that interfaith engagement can be justified by theology and doctrine, it signals that </w:t>
      </w:r>
      <w:r w:rsidR="00FF7968">
        <w:rPr>
          <w:rFonts w:ascii="Times New Roman" w:hAnsi="Times New Roman" w:cs="Times New Roman"/>
        </w:rPr>
        <w:lastRenderedPageBreak/>
        <w:t xml:space="preserve">members of that tradition have the ability to make interfaith engagement a priority without it conflicting with what they know to be true in their tradition. </w:t>
      </w:r>
    </w:p>
    <w:p w14:paraId="7F66885C" w14:textId="58A4E021"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r>
        <w:rPr>
          <w:rFonts w:ascii="Times New Roman" w:hAnsi="Times New Roman" w:cs="Times New Roman"/>
        </w:rPr>
        <w:tab/>
        <w:t>Interfaith engagement has the ability to create such a strong impact in the world through dialogue and relationships, as well as community action. Using this theological framework will only make that impact stronger and resonate deeper on a personal level for those already involved in interfaith work, and for those who are considering how interfaith cooperation is compatible with the way they understand their religious and spiritual traditions and the world.</w:t>
      </w:r>
    </w:p>
    <w:p w14:paraId="174F0371" w14:textId="4D43B4CE" w:rsidR="00CE7203" w:rsidRDefault="00CE7203"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397C29DD" w14:textId="6B5ED3C1" w:rsidR="00CE7203" w:rsidRDefault="00CE7203"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2FEE9677" w14:textId="48372622" w:rsidR="00CE7203" w:rsidRDefault="00CE7203"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06BEBF85" w14:textId="5EC60AA3"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6E92E754" w14:textId="14C172BC"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5C5B5B74" w14:textId="37D06415"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509C4588" w14:textId="16244C53"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0990BE6F" w14:textId="10E6573C"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6FAD4108" w14:textId="64A4BE80"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1F2D123D" w14:textId="1F216A8E"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60018C7F" w14:textId="3677C5D8" w:rsidR="00FF7968" w:rsidRDefault="00FF7968"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40B4048D" w14:textId="75507607" w:rsidR="00CE7203" w:rsidRDefault="00CE7203"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2ACCCE59" w14:textId="0E150414" w:rsidR="00B80A31" w:rsidRDefault="00B80A31"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574A1B47" w14:textId="51054C7B" w:rsidR="00B80A31" w:rsidRDefault="00B80A31"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5353F4C8" w14:textId="56E27E49" w:rsidR="00B80A31" w:rsidRDefault="00B80A31"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4A13AA5C" w14:textId="77777777" w:rsidR="00B80A31" w:rsidRDefault="00B80A31" w:rsidP="00DF04D8">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p>
    <w:p w14:paraId="2FD822CD" w14:textId="17D72F0B" w:rsidR="00CE7203" w:rsidRDefault="00CE7203" w:rsidP="00CE7203">
      <w:pPr>
        <w:tabs>
          <w:tab w:val="left" w:pos="360"/>
          <w:tab w:val="left" w:pos="720"/>
          <w:tab w:val="left" w:pos="1080"/>
          <w:tab w:val="left" w:pos="1440"/>
          <w:tab w:val="left" w:pos="1800"/>
          <w:tab w:val="left" w:pos="2160"/>
          <w:tab w:val="left" w:pos="2880"/>
          <w:tab w:val="left" w:pos="3600"/>
          <w:tab w:val="left" w:pos="4320"/>
        </w:tabs>
        <w:spacing w:line="480" w:lineRule="auto"/>
        <w:jc w:val="center"/>
        <w:rPr>
          <w:rFonts w:ascii="Times New Roman" w:hAnsi="Times New Roman" w:cs="Times New Roman"/>
        </w:rPr>
      </w:pPr>
      <w:r>
        <w:rPr>
          <w:rFonts w:ascii="Times New Roman" w:hAnsi="Times New Roman" w:cs="Times New Roman"/>
          <w:b/>
          <w:u w:val="single"/>
        </w:rPr>
        <w:lastRenderedPageBreak/>
        <w:t>Works Cited</w:t>
      </w:r>
    </w:p>
    <w:p w14:paraId="4E1A170A" w14:textId="77777777" w:rsidR="00CE7203" w:rsidRDefault="00CE7203" w:rsidP="00CE7203">
      <w:pPr>
        <w:autoSpaceDE w:val="0"/>
        <w:autoSpaceDN w:val="0"/>
        <w:adjustRightInd w:val="0"/>
        <w:rPr>
          <w:rFonts w:ascii="Times New Roman" w:hAnsi="Times New Roman" w:cs="Times New Roman"/>
        </w:rPr>
      </w:pPr>
      <w:r>
        <w:rPr>
          <w:rFonts w:ascii="Times New Roman" w:hAnsi="Times New Roman" w:cs="Times New Roman"/>
        </w:rPr>
        <w:t xml:space="preserve">“2018 Parliament of the World’s Religions: Toronto,” Parliament of the World’s Religions. </w:t>
      </w:r>
    </w:p>
    <w:p w14:paraId="2FA90BCD" w14:textId="4500E33B" w:rsidR="00CE7203" w:rsidRPr="00CE7203" w:rsidRDefault="00CE7203" w:rsidP="00CE7203">
      <w:pPr>
        <w:autoSpaceDE w:val="0"/>
        <w:autoSpaceDN w:val="0"/>
        <w:adjustRightInd w:val="0"/>
        <w:ind w:firstLine="720"/>
        <w:rPr>
          <w:rFonts w:ascii="Times New Roman" w:hAnsi="Times New Roman" w:cs="Times New Roman"/>
          <w:color w:val="0000FF"/>
          <w:u w:val="single" w:color="0000FF"/>
        </w:rPr>
      </w:pPr>
      <w:r>
        <w:rPr>
          <w:rFonts w:ascii="Times New Roman" w:hAnsi="Times New Roman" w:cs="Times New Roman"/>
          <w:color w:val="0000FF"/>
          <w:u w:val="single" w:color="0000FF"/>
        </w:rPr>
        <w:t>https://www.parliamentofreligions.org/parliament/2018-toronto/2018-toronto</w:t>
      </w:r>
      <w:r>
        <w:rPr>
          <w:rFonts w:ascii="Times New Roman" w:hAnsi="Times New Roman" w:cs="Times New Roman"/>
          <w:u w:color="0000FF"/>
        </w:rPr>
        <w:t xml:space="preserve">. </w:t>
      </w:r>
    </w:p>
    <w:p w14:paraId="03367F8F"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5CC83A62"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“Charter.” URI. </w:t>
      </w:r>
      <w:r>
        <w:rPr>
          <w:rFonts w:ascii="Times New Roman" w:hAnsi="Times New Roman" w:cs="Times New Roman"/>
          <w:color w:val="0000FF"/>
          <w:u w:val="single" w:color="0000FF"/>
        </w:rPr>
        <w:t>https://www.uri.org/what-we-do/charter#visionmission</w:t>
      </w:r>
      <w:r>
        <w:rPr>
          <w:rFonts w:ascii="Times New Roman" w:hAnsi="Times New Roman" w:cs="Times New Roman"/>
          <w:u w:color="0000FF"/>
        </w:rPr>
        <w:t xml:space="preserve">. </w:t>
      </w:r>
    </w:p>
    <w:p w14:paraId="0874AC9B"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7F0E691B" w14:textId="77777777" w:rsidR="00CE7203" w:rsidRDefault="00CE7203" w:rsidP="00CE7203">
      <w:pPr>
        <w:autoSpaceDE w:val="0"/>
        <w:autoSpaceDN w:val="0"/>
        <w:adjustRightInd w:val="0"/>
        <w:rPr>
          <w:rFonts w:ascii="Times New Roman" w:hAnsi="Times New Roman" w:cs="Times New Roman"/>
          <w:i/>
          <w:iCs/>
          <w:u w:color="0000FF"/>
        </w:rPr>
      </w:pPr>
      <w:proofErr w:type="spellStart"/>
      <w:r>
        <w:rPr>
          <w:rFonts w:ascii="Times New Roman" w:hAnsi="Times New Roman" w:cs="Times New Roman"/>
          <w:u w:color="0000FF"/>
        </w:rPr>
        <w:t>Greenebaum</w:t>
      </w:r>
      <w:proofErr w:type="spellEnd"/>
      <w:r>
        <w:rPr>
          <w:rFonts w:ascii="Times New Roman" w:hAnsi="Times New Roman" w:cs="Times New Roman"/>
          <w:u w:color="0000FF"/>
        </w:rPr>
        <w:t xml:space="preserve">, Rev. Steven. </w:t>
      </w:r>
      <w:r>
        <w:rPr>
          <w:rFonts w:ascii="Times New Roman" w:hAnsi="Times New Roman" w:cs="Times New Roman"/>
          <w:i/>
          <w:iCs/>
          <w:u w:color="0000FF"/>
        </w:rPr>
        <w:t xml:space="preserve">Practical Interfaith: How to Find Our Common Humanity as We </w:t>
      </w:r>
    </w:p>
    <w:p w14:paraId="66E336DA" w14:textId="235E5D96" w:rsidR="00CE7203" w:rsidRDefault="00CE7203" w:rsidP="00CE7203">
      <w:pPr>
        <w:autoSpaceDE w:val="0"/>
        <w:autoSpaceDN w:val="0"/>
        <w:adjustRightInd w:val="0"/>
        <w:ind w:firstLine="720"/>
        <w:rPr>
          <w:rFonts w:ascii="Times New Roman" w:hAnsi="Times New Roman" w:cs="Times New Roman"/>
          <w:u w:color="0000FF"/>
        </w:rPr>
      </w:pPr>
      <w:r>
        <w:rPr>
          <w:rFonts w:ascii="Times New Roman" w:hAnsi="Times New Roman" w:cs="Times New Roman"/>
          <w:i/>
          <w:iCs/>
          <w:u w:color="0000FF"/>
        </w:rPr>
        <w:t>Celebrate Diversity</w:t>
      </w:r>
      <w:r>
        <w:rPr>
          <w:rFonts w:ascii="Times New Roman" w:hAnsi="Times New Roman" w:cs="Times New Roman"/>
          <w:u w:color="0000FF"/>
        </w:rPr>
        <w:t xml:space="preserve">. Woodstock: </w:t>
      </w:r>
      <w:proofErr w:type="spellStart"/>
      <w:r>
        <w:rPr>
          <w:rFonts w:ascii="Times New Roman" w:hAnsi="Times New Roman" w:cs="Times New Roman"/>
          <w:u w:color="0000FF"/>
        </w:rPr>
        <w:t>SkyLight</w:t>
      </w:r>
      <w:proofErr w:type="spellEnd"/>
      <w:r>
        <w:rPr>
          <w:rFonts w:ascii="Times New Roman" w:hAnsi="Times New Roman" w:cs="Times New Roman"/>
          <w:u w:color="0000FF"/>
        </w:rPr>
        <w:t xml:space="preserve"> Paths Publishing, 2014.</w:t>
      </w:r>
    </w:p>
    <w:p w14:paraId="471C22D3" w14:textId="77777777" w:rsidR="00782BF4" w:rsidRDefault="00782BF4" w:rsidP="00782BF4">
      <w:pPr>
        <w:autoSpaceDE w:val="0"/>
        <w:autoSpaceDN w:val="0"/>
        <w:adjustRightInd w:val="0"/>
        <w:spacing w:line="480" w:lineRule="auto"/>
        <w:rPr>
          <w:rFonts w:ascii="Times New Roman" w:hAnsi="Times New Roman" w:cs="Times New Roman"/>
          <w:u w:color="0000FF"/>
        </w:rPr>
      </w:pPr>
    </w:p>
    <w:p w14:paraId="1F618BB4" w14:textId="77777777" w:rsidR="00782BF4" w:rsidRDefault="00782BF4" w:rsidP="00782BF4">
      <w:pPr>
        <w:rPr>
          <w:rFonts w:ascii="Times New Roman" w:hAnsi="Times New Roman" w:cs="Times New Roman"/>
        </w:rPr>
      </w:pPr>
      <w:r w:rsidRPr="00782BF4">
        <w:rPr>
          <w:rFonts w:ascii="Times New Roman" w:hAnsi="Times New Roman" w:cs="Times New Roman"/>
        </w:rPr>
        <w:t xml:space="preserve">Clyde Haberman, “Near Ground Zero, the Sacred and the Profane,” The New York Times, May </w:t>
      </w:r>
    </w:p>
    <w:p w14:paraId="4E98659C" w14:textId="26DE128E" w:rsidR="00782BF4" w:rsidRDefault="00782BF4" w:rsidP="00782BF4">
      <w:pPr>
        <w:ind w:left="720"/>
      </w:pPr>
      <w:r w:rsidRPr="00782BF4">
        <w:rPr>
          <w:rFonts w:ascii="Times New Roman" w:hAnsi="Times New Roman" w:cs="Times New Roman"/>
        </w:rPr>
        <w:t>28, 2010,</w:t>
      </w:r>
      <w:r>
        <w:rPr>
          <w:rFonts w:ascii="Times New Roman" w:hAnsi="Times New Roman" w:cs="Times New Roman"/>
        </w:rPr>
        <w:t xml:space="preserve"> </w:t>
      </w:r>
      <w:hyperlink r:id="rId7" w:history="1">
        <w:r w:rsidRPr="00E524A1">
          <w:rPr>
            <w:rStyle w:val="Hyperlink"/>
            <w:rFonts w:ascii="Times New Roman" w:hAnsi="Times New Roman" w:cs="Times New Roman"/>
          </w:rPr>
          <w:t>https://www.nytimes.com/2010/05/28/nyregion/28nyc.html?</w:t>
        </w:r>
        <w:r w:rsidRPr="00E524A1">
          <w:rPr>
            <w:rStyle w:val="Hyperlink"/>
            <w:rFonts w:ascii="Times New Roman" w:hAnsi="Times New Roman" w:cs="Times New Roman"/>
          </w:rPr>
          <w:t>rref=collection%2Ftimestopic%2FPark51</w:t>
        </w:r>
      </w:hyperlink>
      <w:r>
        <w:rPr>
          <w:rFonts w:ascii="Times New Roman" w:hAnsi="Times New Roman" w:cs="Times New Roman"/>
        </w:rPr>
        <w:t>.</w:t>
      </w:r>
      <w:bookmarkStart w:id="0" w:name="_GoBack"/>
      <w:bookmarkEnd w:id="0"/>
    </w:p>
    <w:p w14:paraId="224FBF09" w14:textId="5102E12B" w:rsidR="00782BF4" w:rsidRPr="00782BF4" w:rsidRDefault="00782BF4" w:rsidP="00782BF4">
      <w:pPr>
        <w:ind w:left="720"/>
      </w:pPr>
    </w:p>
    <w:p w14:paraId="35BC47C0" w14:textId="77777777" w:rsidR="00CE7203" w:rsidRDefault="00CE7203" w:rsidP="00CE7203">
      <w:pPr>
        <w:autoSpaceDE w:val="0"/>
        <w:autoSpaceDN w:val="0"/>
        <w:adjustRightInd w:val="0"/>
        <w:spacing w:line="480" w:lineRule="auto"/>
        <w:ind w:firstLine="720"/>
        <w:rPr>
          <w:rFonts w:ascii="Times New Roman" w:hAnsi="Times New Roman" w:cs="Times New Roman"/>
          <w:u w:color="0000FF"/>
        </w:rPr>
      </w:pPr>
    </w:p>
    <w:p w14:paraId="13196293" w14:textId="2CFA8F76" w:rsidR="00CE7203" w:rsidRDefault="00782BF4" w:rsidP="00CE7203">
      <w:pPr>
        <w:autoSpaceDE w:val="0"/>
        <w:autoSpaceDN w:val="0"/>
        <w:adjustRightInd w:val="0"/>
        <w:rPr>
          <w:rFonts w:ascii="Times New Roman" w:hAnsi="Times New Roman" w:cs="Times New Roman"/>
          <w:i/>
          <w:iCs/>
          <w:u w:color="0000FF"/>
        </w:rPr>
      </w:pPr>
      <w:r>
        <w:rPr>
          <w:rFonts w:ascii="Times New Roman" w:hAnsi="Times New Roman" w:cs="Times New Roman"/>
          <w:u w:color="0000FF"/>
        </w:rPr>
        <w:t>Hick, John</w:t>
      </w:r>
      <w:r w:rsidR="00CE7203">
        <w:rPr>
          <w:rFonts w:ascii="Times New Roman" w:hAnsi="Times New Roman" w:cs="Times New Roman"/>
          <w:u w:color="0000FF"/>
        </w:rPr>
        <w:t xml:space="preserve">. “The Next Step beyond Dialogue” in </w:t>
      </w:r>
      <w:r w:rsidR="00CE7203">
        <w:rPr>
          <w:rFonts w:ascii="Times New Roman" w:hAnsi="Times New Roman" w:cs="Times New Roman"/>
          <w:i/>
          <w:iCs/>
          <w:u w:color="0000FF"/>
        </w:rPr>
        <w:t xml:space="preserve">The Myth of Religious Superiority: A Multifaith </w:t>
      </w:r>
    </w:p>
    <w:p w14:paraId="4FE7625D"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i/>
          <w:iCs/>
          <w:u w:color="0000FF"/>
        </w:rPr>
        <w:tab/>
        <w:t>Exploration</w:t>
      </w:r>
      <w:r>
        <w:rPr>
          <w:rFonts w:ascii="Times New Roman" w:hAnsi="Times New Roman" w:cs="Times New Roman"/>
          <w:u w:color="0000FF"/>
        </w:rPr>
        <w:t>. ed. Paul F. Knitter. Maryknoll: Orbis Books, 2005. 3-12.</w:t>
      </w:r>
    </w:p>
    <w:p w14:paraId="7AB57621" w14:textId="77777777" w:rsidR="00CE7203" w:rsidRDefault="00CE7203" w:rsidP="00CE7203">
      <w:pPr>
        <w:autoSpaceDE w:val="0"/>
        <w:autoSpaceDN w:val="0"/>
        <w:adjustRightInd w:val="0"/>
        <w:spacing w:line="480" w:lineRule="auto"/>
        <w:ind w:firstLine="720"/>
        <w:rPr>
          <w:rFonts w:ascii="Times New Roman" w:hAnsi="Times New Roman" w:cs="Times New Roman"/>
          <w:u w:color="0000FF"/>
        </w:rPr>
      </w:pPr>
    </w:p>
    <w:p w14:paraId="1E81C2DB"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“Interfaith Cooperation.” IFYC. March 19, 2018. </w:t>
      </w:r>
      <w:r>
        <w:rPr>
          <w:rFonts w:ascii="Times New Roman" w:hAnsi="Times New Roman" w:cs="Times New Roman"/>
          <w:color w:val="0000FF"/>
          <w:u w:val="single" w:color="0000FF"/>
        </w:rPr>
        <w:t>https://www.ifyc.org/interfaith</w:t>
      </w:r>
      <w:r>
        <w:rPr>
          <w:rFonts w:ascii="Times New Roman" w:hAnsi="Times New Roman" w:cs="Times New Roman"/>
          <w:u w:color="0000FF"/>
        </w:rPr>
        <w:t xml:space="preserve">. </w:t>
      </w:r>
    </w:p>
    <w:p w14:paraId="731D1091"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3D116FAE"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King Jr., Martin Luther. </w:t>
      </w:r>
      <w:r>
        <w:rPr>
          <w:rFonts w:ascii="Times New Roman" w:hAnsi="Times New Roman" w:cs="Times New Roman"/>
          <w:i/>
          <w:iCs/>
          <w:u w:color="0000FF"/>
        </w:rPr>
        <w:t>Letter from Birmingham Jail</w:t>
      </w:r>
      <w:r>
        <w:rPr>
          <w:rFonts w:ascii="Times New Roman" w:hAnsi="Times New Roman" w:cs="Times New Roman"/>
          <w:u w:color="0000FF"/>
        </w:rPr>
        <w:t>. August 1963.</w:t>
      </w:r>
    </w:p>
    <w:p w14:paraId="60F63A5B"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32801704"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Knitter, Paul F.. Introduction to </w:t>
      </w:r>
      <w:r>
        <w:rPr>
          <w:rFonts w:ascii="Times New Roman" w:hAnsi="Times New Roman" w:cs="Times New Roman"/>
          <w:i/>
          <w:iCs/>
          <w:u w:color="0000FF"/>
        </w:rPr>
        <w:t>The Myth of Religious Superiority: A Multifaith Exploration</w:t>
      </w:r>
      <w:r>
        <w:rPr>
          <w:rFonts w:ascii="Times New Roman" w:hAnsi="Times New Roman" w:cs="Times New Roman"/>
          <w:u w:color="0000FF"/>
        </w:rPr>
        <w:t xml:space="preserve">. ed. </w:t>
      </w:r>
    </w:p>
    <w:p w14:paraId="12420065" w14:textId="29EADF2A" w:rsidR="00CE7203" w:rsidRDefault="00CE7203" w:rsidP="00CE7203">
      <w:pPr>
        <w:autoSpaceDE w:val="0"/>
        <w:autoSpaceDN w:val="0"/>
        <w:adjustRightInd w:val="0"/>
        <w:ind w:firstLine="720"/>
        <w:rPr>
          <w:rFonts w:ascii="Times New Roman" w:hAnsi="Times New Roman" w:cs="Times New Roman"/>
          <w:u w:color="0000FF"/>
        </w:rPr>
      </w:pPr>
      <w:r>
        <w:rPr>
          <w:rFonts w:ascii="Times New Roman" w:hAnsi="Times New Roman" w:cs="Times New Roman"/>
          <w:u w:color="0000FF"/>
        </w:rPr>
        <w:t>Paul F. Knitter. Maryknoll: Orbis Books, 2005. vii-xi.</w:t>
      </w:r>
    </w:p>
    <w:p w14:paraId="0915D473"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4AFF2E6E"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Knitter, Paul F.. </w:t>
      </w:r>
      <w:r>
        <w:rPr>
          <w:rFonts w:ascii="Times New Roman" w:hAnsi="Times New Roman" w:cs="Times New Roman"/>
          <w:i/>
          <w:iCs/>
          <w:u w:color="0000FF"/>
        </w:rPr>
        <w:t>Without Buddha I Could not be a Christian</w:t>
      </w:r>
      <w:r>
        <w:rPr>
          <w:rFonts w:ascii="Times New Roman" w:hAnsi="Times New Roman" w:cs="Times New Roman"/>
          <w:u w:color="0000FF"/>
        </w:rPr>
        <w:t xml:space="preserve">. London: </w:t>
      </w:r>
      <w:proofErr w:type="spellStart"/>
      <w:r>
        <w:rPr>
          <w:rFonts w:ascii="Times New Roman" w:hAnsi="Times New Roman" w:cs="Times New Roman"/>
          <w:u w:color="0000FF"/>
        </w:rPr>
        <w:t>Oneworld</w:t>
      </w:r>
      <w:proofErr w:type="spellEnd"/>
      <w:r>
        <w:rPr>
          <w:rFonts w:ascii="Times New Roman" w:hAnsi="Times New Roman" w:cs="Times New Roman"/>
          <w:u w:color="0000FF"/>
        </w:rPr>
        <w:t xml:space="preserve"> Publications, </w:t>
      </w:r>
    </w:p>
    <w:p w14:paraId="4FD8F026" w14:textId="76FFB63D" w:rsidR="00CE7203" w:rsidRDefault="00CE7203" w:rsidP="00CE7203">
      <w:pPr>
        <w:autoSpaceDE w:val="0"/>
        <w:autoSpaceDN w:val="0"/>
        <w:adjustRightInd w:val="0"/>
        <w:ind w:firstLine="720"/>
        <w:rPr>
          <w:rFonts w:ascii="Times New Roman" w:hAnsi="Times New Roman" w:cs="Times New Roman"/>
          <w:u w:color="0000FF"/>
        </w:rPr>
      </w:pPr>
      <w:r>
        <w:rPr>
          <w:rFonts w:ascii="Times New Roman" w:hAnsi="Times New Roman" w:cs="Times New Roman"/>
          <w:u w:color="0000FF"/>
        </w:rPr>
        <w:t>2013.</w:t>
      </w:r>
    </w:p>
    <w:p w14:paraId="0DA0D6C1"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7CFD91B5" w14:textId="44DF9BF9" w:rsidR="00CE7203" w:rsidRDefault="00CE7203" w:rsidP="00CE7203">
      <w:pPr>
        <w:autoSpaceDE w:val="0"/>
        <w:autoSpaceDN w:val="0"/>
        <w:adjustRightInd w:val="0"/>
        <w:rPr>
          <w:rFonts w:ascii="Times New Roman" w:hAnsi="Times New Roman" w:cs="Times New Roman"/>
          <w:sz w:val="20"/>
          <w:szCs w:val="20"/>
          <w:u w:color="0000FF"/>
        </w:rPr>
      </w:pPr>
      <w:r>
        <w:rPr>
          <w:rFonts w:ascii="Times New Roman" w:hAnsi="Times New Roman" w:cs="Times New Roman"/>
          <w:u w:color="0000FF"/>
        </w:rPr>
        <w:t xml:space="preserve">“Meet IFYC.” IFYC. September 27, 2018. </w:t>
      </w:r>
      <w:r>
        <w:rPr>
          <w:rFonts w:ascii="Times New Roman" w:hAnsi="Times New Roman" w:cs="Times New Roman"/>
          <w:color w:val="0000FF"/>
          <w:u w:val="single" w:color="0000FF"/>
        </w:rPr>
        <w:t>https://www.ifyc.org/about</w:t>
      </w:r>
      <w:r>
        <w:rPr>
          <w:rFonts w:ascii="Times New Roman" w:hAnsi="Times New Roman" w:cs="Times New Roman"/>
          <w:u w:color="0000FF"/>
        </w:rPr>
        <w:t>.</w:t>
      </w:r>
      <w:r>
        <w:rPr>
          <w:rFonts w:ascii="Times New Roman" w:hAnsi="Times New Roman" w:cs="Times New Roman"/>
          <w:sz w:val="20"/>
          <w:szCs w:val="20"/>
          <w:u w:color="0000FF"/>
        </w:rPr>
        <w:t xml:space="preserve"> </w:t>
      </w:r>
    </w:p>
    <w:p w14:paraId="516F70E7" w14:textId="77777777" w:rsidR="00CE7203" w:rsidRPr="00CE7203" w:rsidRDefault="00CE7203" w:rsidP="00CE7203">
      <w:pPr>
        <w:autoSpaceDE w:val="0"/>
        <w:autoSpaceDN w:val="0"/>
        <w:adjustRightInd w:val="0"/>
        <w:spacing w:line="480" w:lineRule="auto"/>
        <w:rPr>
          <w:rFonts w:ascii="Times New Roman" w:hAnsi="Times New Roman" w:cs="Times New Roman"/>
          <w:sz w:val="20"/>
          <w:szCs w:val="20"/>
          <w:u w:color="0000FF"/>
        </w:rPr>
      </w:pPr>
    </w:p>
    <w:p w14:paraId="6B7A29D8" w14:textId="77777777" w:rsidR="00CE7203" w:rsidRDefault="00CE7203" w:rsidP="00CE7203">
      <w:pPr>
        <w:autoSpaceDE w:val="0"/>
        <w:autoSpaceDN w:val="0"/>
        <w:adjustRightInd w:val="0"/>
        <w:rPr>
          <w:rFonts w:ascii="Times New Roman" w:hAnsi="Times New Roman" w:cs="Times New Roman"/>
          <w:i/>
          <w:iCs/>
          <w:u w:color="0000FF"/>
        </w:rPr>
      </w:pPr>
      <w:r>
        <w:rPr>
          <w:rFonts w:ascii="Times New Roman" w:hAnsi="Times New Roman" w:cs="Times New Roman"/>
          <w:u w:color="0000FF"/>
        </w:rPr>
        <w:t xml:space="preserve">Neely, Alan. “The Parliament of the World’s Religions: 1893 and 1993.” </w:t>
      </w:r>
      <w:r>
        <w:rPr>
          <w:rFonts w:ascii="Times New Roman" w:hAnsi="Times New Roman" w:cs="Times New Roman"/>
          <w:i/>
          <w:iCs/>
          <w:u w:color="0000FF"/>
        </w:rPr>
        <w:t xml:space="preserve">International Bulletin </w:t>
      </w:r>
    </w:p>
    <w:p w14:paraId="46719EE4" w14:textId="3AA51DEF" w:rsidR="00CE7203" w:rsidRPr="00CE7203" w:rsidRDefault="00CE7203" w:rsidP="00CE7203">
      <w:pPr>
        <w:autoSpaceDE w:val="0"/>
        <w:autoSpaceDN w:val="0"/>
        <w:adjustRightInd w:val="0"/>
        <w:ind w:firstLine="720"/>
        <w:rPr>
          <w:rFonts w:ascii="Times New Roman" w:hAnsi="Times New Roman" w:cs="Times New Roman"/>
          <w:i/>
          <w:iCs/>
          <w:u w:color="0000FF"/>
        </w:rPr>
      </w:pPr>
      <w:r>
        <w:rPr>
          <w:rFonts w:ascii="Times New Roman" w:hAnsi="Times New Roman" w:cs="Times New Roman"/>
          <w:i/>
          <w:iCs/>
          <w:u w:color="0000FF"/>
        </w:rPr>
        <w:t>of Missionary Research</w:t>
      </w:r>
      <w:r>
        <w:rPr>
          <w:rFonts w:ascii="Times New Roman" w:hAnsi="Times New Roman" w:cs="Times New Roman"/>
          <w:u w:color="0000FF"/>
        </w:rPr>
        <w:t xml:space="preserve"> 18, no. 2 (1994).</w:t>
      </w:r>
    </w:p>
    <w:p w14:paraId="0FE97AB4"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0B15181F"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Niebuhr, Gustav. </w:t>
      </w:r>
      <w:r>
        <w:rPr>
          <w:rFonts w:ascii="Times New Roman" w:hAnsi="Times New Roman" w:cs="Times New Roman"/>
          <w:i/>
          <w:iCs/>
          <w:u w:color="0000FF"/>
        </w:rPr>
        <w:t>Beyond Tolerance: Searching for Interfaith Understanding in America</w:t>
      </w:r>
      <w:r>
        <w:rPr>
          <w:rFonts w:ascii="Times New Roman" w:hAnsi="Times New Roman" w:cs="Times New Roman"/>
          <w:u w:color="0000FF"/>
        </w:rPr>
        <w:t xml:space="preserve">. New </w:t>
      </w:r>
    </w:p>
    <w:p w14:paraId="434B10BD" w14:textId="77777777" w:rsidR="00CE7203" w:rsidRDefault="00CE7203" w:rsidP="00CE7203">
      <w:pPr>
        <w:autoSpaceDE w:val="0"/>
        <w:autoSpaceDN w:val="0"/>
        <w:adjustRightInd w:val="0"/>
        <w:ind w:firstLine="720"/>
        <w:rPr>
          <w:rFonts w:ascii="Times New Roman" w:hAnsi="Times New Roman" w:cs="Times New Roman"/>
          <w:u w:color="0000FF"/>
        </w:rPr>
      </w:pPr>
      <w:r>
        <w:rPr>
          <w:rFonts w:ascii="Times New Roman" w:hAnsi="Times New Roman" w:cs="Times New Roman"/>
          <w:u w:color="0000FF"/>
        </w:rPr>
        <w:t>York: Viking Penguin, 2008.</w:t>
      </w:r>
    </w:p>
    <w:p w14:paraId="31CDF455" w14:textId="77777777" w:rsidR="00CE7203" w:rsidRDefault="00CE7203" w:rsidP="00CE7203">
      <w:pPr>
        <w:autoSpaceDE w:val="0"/>
        <w:autoSpaceDN w:val="0"/>
        <w:adjustRightInd w:val="0"/>
        <w:spacing w:line="480" w:lineRule="auto"/>
        <w:rPr>
          <w:rFonts w:ascii="Times New Roman" w:hAnsi="Times New Roman" w:cs="Times New Roman"/>
          <w:u w:color="0000FF"/>
        </w:rPr>
      </w:pPr>
    </w:p>
    <w:p w14:paraId="7F45B06A" w14:textId="77777777" w:rsidR="00CE7203" w:rsidRDefault="00CE7203" w:rsidP="00CE7203">
      <w:pPr>
        <w:autoSpaceDE w:val="0"/>
        <w:autoSpaceDN w:val="0"/>
        <w:adjustRightInd w:val="0"/>
        <w:rPr>
          <w:rFonts w:ascii="Times New Roman" w:hAnsi="Times New Roman" w:cs="Times New Roman"/>
          <w:u w:color="0000FF"/>
        </w:rPr>
      </w:pPr>
      <w:r>
        <w:rPr>
          <w:rFonts w:ascii="Times New Roman" w:hAnsi="Times New Roman" w:cs="Times New Roman"/>
          <w:u w:color="0000FF"/>
        </w:rPr>
        <w:t xml:space="preserve">Parker, Ian. "The Story of a Suicide." The New Yorker. June 19, 2017. </w:t>
      </w:r>
    </w:p>
    <w:p w14:paraId="737F374A" w14:textId="22B71176" w:rsidR="00CE7203" w:rsidRPr="00CE7203" w:rsidRDefault="00335090" w:rsidP="00CE7203">
      <w:pPr>
        <w:autoSpaceDE w:val="0"/>
        <w:autoSpaceDN w:val="0"/>
        <w:adjustRightInd w:val="0"/>
        <w:ind w:firstLine="720"/>
        <w:rPr>
          <w:rFonts w:ascii="Times" w:hAnsi="Times" w:cs="Times"/>
          <w:color w:val="0000E9"/>
          <w:u w:val="single" w:color="0000E9"/>
        </w:rPr>
      </w:pPr>
      <w:hyperlink r:id="rId8" w:history="1">
        <w:r w:rsidR="00CE7203" w:rsidRPr="000A4486">
          <w:rPr>
            <w:rStyle w:val="Hyperlink"/>
            <w:rFonts w:ascii="Times" w:hAnsi="Times" w:cs="Times"/>
          </w:rPr>
          <w:t>https://www.newyorker.com/</w:t>
        </w:r>
      </w:hyperlink>
      <w:r w:rsidR="00CE7203">
        <w:rPr>
          <w:rFonts w:ascii="Times" w:hAnsi="Times" w:cs="Times"/>
          <w:color w:val="0000E9"/>
          <w:u w:val="single" w:color="0000E9"/>
        </w:rPr>
        <w:t>magazine/2012/02/06/the-story-of-a-suicide.</w:t>
      </w:r>
    </w:p>
    <w:p w14:paraId="727903FF"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355B92D2" w14:textId="77777777" w:rsidR="00CE7203" w:rsidRDefault="00CE7203" w:rsidP="00CE7203">
      <w:pPr>
        <w:autoSpaceDE w:val="0"/>
        <w:autoSpaceDN w:val="0"/>
        <w:adjustRightInd w:val="0"/>
        <w:rPr>
          <w:rFonts w:ascii="Times New Roman" w:hAnsi="Times New Roman" w:cs="Times New Roman"/>
          <w:i/>
          <w:iCs/>
          <w:kern w:val="1"/>
          <w:u w:color="0000E9"/>
        </w:rPr>
      </w:pPr>
      <w:r>
        <w:rPr>
          <w:rFonts w:ascii="Times New Roman" w:hAnsi="Times New Roman" w:cs="Times New Roman"/>
          <w:kern w:val="1"/>
          <w:u w:color="0000E9"/>
        </w:rPr>
        <w:t xml:space="preserve">Patel, Eboo. </w:t>
      </w:r>
      <w:r>
        <w:rPr>
          <w:rFonts w:ascii="Times New Roman" w:hAnsi="Times New Roman" w:cs="Times New Roman"/>
          <w:i/>
          <w:iCs/>
          <w:kern w:val="1"/>
          <w:u w:color="0000E9"/>
        </w:rPr>
        <w:t xml:space="preserve">Acts of Faith: The Story of an American Muslim, the Struggle for the Soul of a </w:t>
      </w:r>
    </w:p>
    <w:p w14:paraId="09F51AA7" w14:textId="3D6DB8E9" w:rsidR="00CE7203" w:rsidRPr="00CE7203" w:rsidRDefault="00CE7203" w:rsidP="00CE7203">
      <w:pPr>
        <w:autoSpaceDE w:val="0"/>
        <w:autoSpaceDN w:val="0"/>
        <w:adjustRightInd w:val="0"/>
        <w:ind w:firstLine="720"/>
        <w:rPr>
          <w:rFonts w:ascii="Times New Roman" w:hAnsi="Times New Roman" w:cs="Times New Roman"/>
          <w:i/>
          <w:iCs/>
          <w:kern w:val="1"/>
          <w:u w:color="0000E9"/>
        </w:rPr>
      </w:pPr>
      <w:r>
        <w:rPr>
          <w:rFonts w:ascii="Times New Roman" w:hAnsi="Times New Roman" w:cs="Times New Roman"/>
          <w:i/>
          <w:iCs/>
          <w:kern w:val="1"/>
          <w:u w:color="0000E9"/>
        </w:rPr>
        <w:t>Generation</w:t>
      </w:r>
      <w:r>
        <w:rPr>
          <w:rFonts w:ascii="Times New Roman" w:hAnsi="Times New Roman" w:cs="Times New Roman"/>
          <w:kern w:val="1"/>
          <w:u w:color="0000E9"/>
        </w:rPr>
        <w:t>. Boston: Beacon Press, 2007.</w:t>
      </w:r>
    </w:p>
    <w:p w14:paraId="1B0C29AC"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3CA77D62" w14:textId="77777777" w:rsidR="00CE7203" w:rsidRDefault="00CE7203" w:rsidP="00CE7203">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t xml:space="preserve">Patel, Eboo. </w:t>
      </w:r>
      <w:r>
        <w:rPr>
          <w:rFonts w:ascii="Times New Roman" w:hAnsi="Times New Roman" w:cs="Times New Roman"/>
          <w:i/>
          <w:iCs/>
          <w:kern w:val="1"/>
          <w:u w:color="0000E9"/>
        </w:rPr>
        <w:t>Sacred Ground: Pluralism, Prejudice, and the Promise of America</w:t>
      </w:r>
      <w:r>
        <w:rPr>
          <w:rFonts w:ascii="Times New Roman" w:hAnsi="Times New Roman" w:cs="Times New Roman"/>
          <w:kern w:val="1"/>
          <w:u w:color="0000E9"/>
        </w:rPr>
        <w:t xml:space="preserve">. </w:t>
      </w:r>
    </w:p>
    <w:p w14:paraId="0081E089" w14:textId="77777777" w:rsidR="00CE7203" w:rsidRDefault="00CE7203" w:rsidP="00CE7203">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tab/>
        <w:t>Boston: Beacon Press, 2012.</w:t>
      </w:r>
    </w:p>
    <w:p w14:paraId="118FA9A2" w14:textId="77777777" w:rsidR="00CE7203" w:rsidRDefault="00CE7203" w:rsidP="00CE7203">
      <w:pPr>
        <w:autoSpaceDE w:val="0"/>
        <w:autoSpaceDN w:val="0"/>
        <w:adjustRightInd w:val="0"/>
        <w:spacing w:line="480" w:lineRule="auto"/>
        <w:rPr>
          <w:rFonts w:ascii="Times New Roman" w:hAnsi="Times New Roman" w:cs="Times New Roman"/>
          <w:kern w:val="1"/>
          <w:u w:color="0000E9"/>
        </w:rPr>
      </w:pPr>
    </w:p>
    <w:p w14:paraId="4F6B78BB" w14:textId="77777777" w:rsidR="00CE7203" w:rsidRDefault="00CE7203" w:rsidP="00CE7203">
      <w:pPr>
        <w:autoSpaceDE w:val="0"/>
        <w:autoSpaceDN w:val="0"/>
        <w:adjustRightInd w:val="0"/>
        <w:rPr>
          <w:rFonts w:ascii="Times New Roman" w:hAnsi="Times New Roman" w:cs="Times New Roman"/>
          <w:i/>
          <w:iCs/>
          <w:kern w:val="1"/>
          <w:u w:color="0000E9"/>
        </w:rPr>
      </w:pPr>
      <w:r>
        <w:rPr>
          <w:rFonts w:ascii="Times New Roman" w:hAnsi="Times New Roman" w:cs="Times New Roman"/>
          <w:kern w:val="1"/>
          <w:u w:color="0000E9"/>
        </w:rPr>
        <w:t xml:space="preserve">Peace, Jennifer Howe, Or N. Rose, Gregory Mobley, eds.. </w:t>
      </w:r>
      <w:r>
        <w:rPr>
          <w:rFonts w:ascii="Times New Roman" w:hAnsi="Times New Roman" w:cs="Times New Roman"/>
          <w:i/>
          <w:iCs/>
          <w:kern w:val="1"/>
          <w:u w:color="0000E9"/>
        </w:rPr>
        <w:t xml:space="preserve">My Neighbor’s Faith: Stories of </w:t>
      </w:r>
    </w:p>
    <w:p w14:paraId="69036AD8" w14:textId="77777777" w:rsidR="00CE7203" w:rsidRDefault="00CE7203" w:rsidP="00CE7203">
      <w:pPr>
        <w:autoSpaceDE w:val="0"/>
        <w:autoSpaceDN w:val="0"/>
        <w:adjustRightInd w:val="0"/>
        <w:ind w:firstLine="720"/>
        <w:rPr>
          <w:rFonts w:ascii="Times New Roman" w:hAnsi="Times New Roman" w:cs="Times New Roman"/>
          <w:kern w:val="1"/>
          <w:u w:color="0000E9"/>
        </w:rPr>
      </w:pPr>
      <w:r>
        <w:rPr>
          <w:rFonts w:ascii="Times New Roman" w:hAnsi="Times New Roman" w:cs="Times New Roman"/>
          <w:i/>
          <w:iCs/>
          <w:kern w:val="1"/>
          <w:u w:color="0000E9"/>
        </w:rPr>
        <w:t>Interreligious Encounter, Growth, and Transformation</w:t>
      </w:r>
      <w:r>
        <w:rPr>
          <w:rFonts w:ascii="Times New Roman" w:hAnsi="Times New Roman" w:cs="Times New Roman"/>
          <w:kern w:val="1"/>
          <w:u w:color="0000E9"/>
        </w:rPr>
        <w:t>. Maryknoll: Orbis Books, 2012.</w:t>
      </w:r>
    </w:p>
    <w:p w14:paraId="4326DEF3"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22886D69" w14:textId="77777777" w:rsidR="00CE7203" w:rsidRDefault="00CE7203" w:rsidP="00CE7203">
      <w:pPr>
        <w:autoSpaceDE w:val="0"/>
        <w:autoSpaceDN w:val="0"/>
        <w:adjustRightInd w:val="0"/>
        <w:rPr>
          <w:rFonts w:ascii="Times New Roman" w:hAnsi="Times New Roman" w:cs="Times New Roman"/>
          <w:i/>
          <w:iCs/>
          <w:kern w:val="1"/>
          <w:u w:color="0000E9"/>
        </w:rPr>
      </w:pPr>
      <w:r>
        <w:rPr>
          <w:rFonts w:ascii="Times New Roman" w:hAnsi="Times New Roman" w:cs="Times New Roman"/>
          <w:kern w:val="1"/>
          <w:u w:color="0000E9"/>
        </w:rPr>
        <w:t xml:space="preserve">“Rabbi Abraham Joshua Heschel on the Selma March, March 21, 1965,” </w:t>
      </w:r>
      <w:r>
        <w:rPr>
          <w:rFonts w:ascii="Times New Roman" w:hAnsi="Times New Roman" w:cs="Times New Roman"/>
          <w:i/>
          <w:iCs/>
          <w:kern w:val="1"/>
          <w:u w:color="0000E9"/>
        </w:rPr>
        <w:t xml:space="preserve">Jewish Women’s </w:t>
      </w:r>
    </w:p>
    <w:p w14:paraId="573A6C6F" w14:textId="13F7BFDE" w:rsidR="00CE7203" w:rsidRPr="00CE7203" w:rsidRDefault="00CE7203" w:rsidP="00CE7203">
      <w:pPr>
        <w:autoSpaceDE w:val="0"/>
        <w:autoSpaceDN w:val="0"/>
        <w:adjustRightInd w:val="0"/>
        <w:ind w:firstLine="720"/>
        <w:rPr>
          <w:rFonts w:ascii="Times New Roman" w:hAnsi="Times New Roman" w:cs="Times New Roman"/>
          <w:color w:val="0563C1"/>
          <w:kern w:val="1"/>
          <w:u w:val="single" w:color="0563C1"/>
        </w:rPr>
      </w:pPr>
      <w:r>
        <w:rPr>
          <w:rFonts w:ascii="Times New Roman" w:hAnsi="Times New Roman" w:cs="Times New Roman"/>
          <w:i/>
          <w:iCs/>
          <w:kern w:val="1"/>
          <w:u w:color="0000E9"/>
        </w:rPr>
        <w:t>Archive</w:t>
      </w:r>
      <w:r>
        <w:rPr>
          <w:rFonts w:ascii="Times New Roman" w:hAnsi="Times New Roman" w:cs="Times New Roman"/>
          <w:kern w:val="1"/>
          <w:u w:color="0000E9"/>
        </w:rPr>
        <w:t xml:space="preserve">, </w:t>
      </w:r>
      <w:r>
        <w:rPr>
          <w:rFonts w:ascii="Times New Roman" w:hAnsi="Times New Roman" w:cs="Times New Roman"/>
          <w:color w:val="0563C1"/>
          <w:kern w:val="1"/>
          <w:u w:val="single" w:color="0563C1"/>
        </w:rPr>
        <w:t>https://jwa.org/media/abraham-joshua-heschel-on-selma-march-1965</w:t>
      </w:r>
      <w:r>
        <w:rPr>
          <w:rFonts w:ascii="Times New Roman" w:hAnsi="Times New Roman" w:cs="Times New Roman"/>
          <w:kern w:val="1"/>
          <w:u w:color="0563C1"/>
        </w:rPr>
        <w:t xml:space="preserve">. </w:t>
      </w:r>
    </w:p>
    <w:p w14:paraId="775ECA4B" w14:textId="77777777" w:rsidR="00CE7203" w:rsidRDefault="00CE7203" w:rsidP="00CE7203">
      <w:pPr>
        <w:autoSpaceDE w:val="0"/>
        <w:autoSpaceDN w:val="0"/>
        <w:adjustRightInd w:val="0"/>
        <w:spacing w:line="480" w:lineRule="auto"/>
        <w:rPr>
          <w:rFonts w:ascii="Times New Roman" w:hAnsi="Times New Roman" w:cs="Times New Roman"/>
          <w:kern w:val="1"/>
          <w:u w:color="0563C1"/>
        </w:rPr>
      </w:pPr>
    </w:p>
    <w:p w14:paraId="739DD9DB" w14:textId="77777777" w:rsidR="00CE7203" w:rsidRDefault="00CE7203" w:rsidP="00CE7203">
      <w:pPr>
        <w:autoSpaceDE w:val="0"/>
        <w:autoSpaceDN w:val="0"/>
        <w:adjustRightInd w:val="0"/>
        <w:rPr>
          <w:rFonts w:ascii="Times New Roman" w:hAnsi="Times New Roman" w:cs="Times New Roman"/>
          <w:kern w:val="1"/>
          <w:u w:color="0563C1"/>
        </w:rPr>
      </w:pPr>
      <w:r>
        <w:rPr>
          <w:rFonts w:ascii="Times New Roman" w:hAnsi="Times New Roman" w:cs="Times New Roman"/>
          <w:kern w:val="1"/>
          <w:u w:color="0563C1"/>
        </w:rPr>
        <w:t xml:space="preserve">“Selma to Montgomery March,” </w:t>
      </w:r>
      <w:r>
        <w:rPr>
          <w:rFonts w:ascii="Times New Roman" w:hAnsi="Times New Roman" w:cs="Times New Roman"/>
          <w:i/>
          <w:iCs/>
          <w:kern w:val="1"/>
          <w:u w:color="0563C1"/>
        </w:rPr>
        <w:t>The Martin Luther King Jr. Research and Education Institute</w:t>
      </w:r>
      <w:r>
        <w:rPr>
          <w:rFonts w:ascii="Times New Roman" w:hAnsi="Times New Roman" w:cs="Times New Roman"/>
          <w:kern w:val="1"/>
          <w:u w:color="0563C1"/>
        </w:rPr>
        <w:t xml:space="preserve">, </w:t>
      </w:r>
    </w:p>
    <w:p w14:paraId="75104163" w14:textId="362E7D56" w:rsidR="00CE7203" w:rsidRDefault="00CE7203" w:rsidP="00CE7203">
      <w:pPr>
        <w:autoSpaceDE w:val="0"/>
        <w:autoSpaceDN w:val="0"/>
        <w:adjustRightInd w:val="0"/>
        <w:ind w:left="720"/>
        <w:rPr>
          <w:rFonts w:ascii="Times New Roman" w:hAnsi="Times New Roman" w:cs="Times New Roman"/>
          <w:kern w:val="1"/>
          <w:u w:color="0563C1"/>
        </w:rPr>
      </w:pPr>
      <w:r>
        <w:rPr>
          <w:rFonts w:ascii="Times New Roman" w:hAnsi="Times New Roman" w:cs="Times New Roman"/>
          <w:kern w:val="1"/>
          <w:u w:color="0563C1"/>
        </w:rPr>
        <w:t xml:space="preserve">Stanford University, </w:t>
      </w:r>
      <w:hyperlink r:id="rId9" w:history="1">
        <w:r w:rsidRPr="000A4486">
          <w:rPr>
            <w:rStyle w:val="Hyperlink"/>
            <w:rFonts w:ascii="Times New Roman" w:hAnsi="Times New Roman" w:cs="Times New Roman"/>
            <w:kern w:val="1"/>
          </w:rPr>
          <w:t>https://kinginstitute.stanford.edu/encyclopedia/selma-montgomery-march</w:t>
        </w:r>
      </w:hyperlink>
      <w:r>
        <w:rPr>
          <w:rFonts w:ascii="Times New Roman" w:hAnsi="Times New Roman" w:cs="Times New Roman"/>
          <w:kern w:val="1"/>
          <w:u w:color="0563C1"/>
        </w:rPr>
        <w:t>.</w:t>
      </w:r>
    </w:p>
    <w:p w14:paraId="0BA9757E" w14:textId="77777777" w:rsidR="00CE7203" w:rsidRDefault="00CE7203" w:rsidP="00CE7203">
      <w:pPr>
        <w:autoSpaceDE w:val="0"/>
        <w:autoSpaceDN w:val="0"/>
        <w:adjustRightInd w:val="0"/>
        <w:spacing w:line="480" w:lineRule="auto"/>
        <w:rPr>
          <w:rFonts w:ascii="Times New Roman" w:hAnsi="Times New Roman" w:cs="Times New Roman"/>
          <w:kern w:val="1"/>
          <w:u w:color="0563C1"/>
        </w:rPr>
      </w:pPr>
    </w:p>
    <w:p w14:paraId="3AED5F99" w14:textId="77777777" w:rsidR="00CE7203" w:rsidRDefault="00CE7203" w:rsidP="00CE7203">
      <w:pPr>
        <w:autoSpaceDE w:val="0"/>
        <w:autoSpaceDN w:val="0"/>
        <w:adjustRightInd w:val="0"/>
        <w:rPr>
          <w:rFonts w:ascii="Times New Roman" w:hAnsi="Times New Roman" w:cs="Times New Roman"/>
          <w:i/>
          <w:iCs/>
          <w:kern w:val="1"/>
          <w:u w:color="0563C1"/>
        </w:rPr>
      </w:pPr>
      <w:proofErr w:type="spellStart"/>
      <w:r>
        <w:rPr>
          <w:rFonts w:ascii="Times New Roman" w:hAnsi="Times New Roman" w:cs="Times New Roman"/>
          <w:kern w:val="1"/>
          <w:u w:color="0563C1"/>
        </w:rPr>
        <w:t>Sigmon</w:t>
      </w:r>
      <w:proofErr w:type="spellEnd"/>
      <w:r>
        <w:rPr>
          <w:rFonts w:ascii="Times New Roman" w:hAnsi="Times New Roman" w:cs="Times New Roman"/>
          <w:kern w:val="1"/>
          <w:u w:color="0563C1"/>
        </w:rPr>
        <w:t xml:space="preserve">, Brian O. and Carolyn D. Minus. </w:t>
      </w:r>
      <w:r>
        <w:rPr>
          <w:rFonts w:ascii="Times New Roman" w:hAnsi="Times New Roman" w:cs="Times New Roman"/>
          <w:i/>
          <w:iCs/>
          <w:kern w:val="1"/>
          <w:u w:color="0563C1"/>
        </w:rPr>
        <w:t xml:space="preserve">The Book of Discipline of the United Methodist </w:t>
      </w:r>
    </w:p>
    <w:p w14:paraId="36884AFD" w14:textId="5D4BAB09" w:rsidR="00CE7203" w:rsidRDefault="00CE7203" w:rsidP="00CE7203">
      <w:pPr>
        <w:autoSpaceDE w:val="0"/>
        <w:autoSpaceDN w:val="0"/>
        <w:adjustRightInd w:val="0"/>
        <w:ind w:firstLine="720"/>
        <w:rPr>
          <w:rFonts w:ascii="Times New Roman" w:hAnsi="Times New Roman" w:cs="Times New Roman"/>
          <w:kern w:val="1"/>
          <w:u w:color="0563C1"/>
        </w:rPr>
      </w:pPr>
      <w:r>
        <w:rPr>
          <w:rFonts w:ascii="Times New Roman" w:hAnsi="Times New Roman" w:cs="Times New Roman"/>
          <w:i/>
          <w:iCs/>
          <w:kern w:val="1"/>
          <w:u w:color="0563C1"/>
        </w:rPr>
        <w:t>Church, 2016</w:t>
      </w:r>
      <w:r>
        <w:rPr>
          <w:rFonts w:ascii="Times New Roman" w:hAnsi="Times New Roman" w:cs="Times New Roman"/>
          <w:kern w:val="1"/>
          <w:u w:color="0563C1"/>
        </w:rPr>
        <w:t>. Nashville: United Methodist Publishing House, 2017.</w:t>
      </w:r>
    </w:p>
    <w:p w14:paraId="25B19DA9" w14:textId="77777777" w:rsidR="00CE7203" w:rsidRDefault="00CE7203" w:rsidP="00CE7203">
      <w:pPr>
        <w:autoSpaceDE w:val="0"/>
        <w:autoSpaceDN w:val="0"/>
        <w:adjustRightInd w:val="0"/>
        <w:spacing w:line="480" w:lineRule="auto"/>
        <w:rPr>
          <w:rFonts w:ascii="Times New Roman" w:hAnsi="Times New Roman" w:cs="Times New Roman"/>
          <w:kern w:val="1"/>
          <w:u w:color="0563C1"/>
        </w:rPr>
      </w:pPr>
    </w:p>
    <w:p w14:paraId="52B509FA" w14:textId="77777777" w:rsidR="00CE7203" w:rsidRDefault="00CE7203" w:rsidP="00CE7203">
      <w:pPr>
        <w:autoSpaceDE w:val="0"/>
        <w:autoSpaceDN w:val="0"/>
        <w:adjustRightInd w:val="0"/>
        <w:rPr>
          <w:rFonts w:ascii="Times New Roman" w:hAnsi="Times New Roman" w:cs="Times New Roman"/>
          <w:i/>
          <w:iCs/>
          <w:kern w:val="1"/>
          <w:u w:color="0563C1"/>
        </w:rPr>
      </w:pPr>
      <w:proofErr w:type="spellStart"/>
      <w:r>
        <w:rPr>
          <w:rFonts w:ascii="Times New Roman" w:hAnsi="Times New Roman" w:cs="Times New Roman"/>
          <w:kern w:val="1"/>
          <w:u w:color="0563C1"/>
        </w:rPr>
        <w:t>Sigmon</w:t>
      </w:r>
      <w:proofErr w:type="spellEnd"/>
      <w:r>
        <w:rPr>
          <w:rFonts w:ascii="Times New Roman" w:hAnsi="Times New Roman" w:cs="Times New Roman"/>
          <w:kern w:val="1"/>
          <w:u w:color="0563C1"/>
        </w:rPr>
        <w:t xml:space="preserve">, Brian O. and Carolyn D. Minus. </w:t>
      </w:r>
      <w:r>
        <w:rPr>
          <w:rFonts w:ascii="Times New Roman" w:hAnsi="Times New Roman" w:cs="Times New Roman"/>
          <w:i/>
          <w:iCs/>
          <w:kern w:val="1"/>
          <w:u w:color="0563C1"/>
        </w:rPr>
        <w:t xml:space="preserve">The Book of Resolutions of the United Methodist </w:t>
      </w:r>
    </w:p>
    <w:p w14:paraId="7A39C46E" w14:textId="33B21AA5" w:rsidR="00CE7203" w:rsidRDefault="00CE7203" w:rsidP="00CE7203">
      <w:pPr>
        <w:autoSpaceDE w:val="0"/>
        <w:autoSpaceDN w:val="0"/>
        <w:adjustRightInd w:val="0"/>
        <w:ind w:firstLine="720"/>
        <w:rPr>
          <w:rFonts w:ascii="Times New Roman" w:hAnsi="Times New Roman" w:cs="Times New Roman"/>
          <w:kern w:val="1"/>
          <w:u w:color="0563C1"/>
        </w:rPr>
      </w:pPr>
      <w:r>
        <w:rPr>
          <w:rFonts w:ascii="Times New Roman" w:hAnsi="Times New Roman" w:cs="Times New Roman"/>
          <w:i/>
          <w:iCs/>
          <w:kern w:val="1"/>
          <w:u w:color="0563C1"/>
        </w:rPr>
        <w:t>Church, 2016</w:t>
      </w:r>
      <w:r>
        <w:rPr>
          <w:rFonts w:ascii="Times New Roman" w:hAnsi="Times New Roman" w:cs="Times New Roman"/>
          <w:kern w:val="1"/>
          <w:u w:color="0563C1"/>
        </w:rPr>
        <w:t>. Nashville: United Methodist Publishing House, 2017.</w:t>
      </w:r>
    </w:p>
    <w:p w14:paraId="1531A274" w14:textId="77777777" w:rsidR="00CE7203" w:rsidRDefault="00CE7203" w:rsidP="00CE7203">
      <w:pPr>
        <w:autoSpaceDE w:val="0"/>
        <w:autoSpaceDN w:val="0"/>
        <w:adjustRightInd w:val="0"/>
        <w:spacing w:line="480" w:lineRule="auto"/>
        <w:rPr>
          <w:rFonts w:ascii="Times New Roman" w:hAnsi="Times New Roman" w:cs="Times New Roman"/>
          <w:kern w:val="1"/>
          <w:u w:color="0563C1"/>
        </w:rPr>
      </w:pPr>
    </w:p>
    <w:p w14:paraId="2C320499" w14:textId="77777777" w:rsidR="00CE7203" w:rsidRDefault="00CE7203" w:rsidP="00CE7203">
      <w:pPr>
        <w:autoSpaceDE w:val="0"/>
        <w:autoSpaceDN w:val="0"/>
        <w:adjustRightInd w:val="0"/>
        <w:rPr>
          <w:rFonts w:ascii="Times New Roman" w:hAnsi="Times New Roman" w:cs="Times New Roman"/>
          <w:kern w:val="1"/>
          <w:u w:color="0563C1"/>
        </w:rPr>
      </w:pPr>
      <w:r>
        <w:rPr>
          <w:rFonts w:ascii="Times New Roman" w:hAnsi="Times New Roman" w:cs="Times New Roman"/>
          <w:kern w:val="1"/>
          <w:u w:color="0563C1"/>
        </w:rPr>
        <w:t xml:space="preserve">Stedman, Chris. </w:t>
      </w:r>
      <w:proofErr w:type="spellStart"/>
      <w:r>
        <w:rPr>
          <w:rFonts w:ascii="Times New Roman" w:hAnsi="Times New Roman" w:cs="Times New Roman"/>
          <w:i/>
          <w:iCs/>
          <w:kern w:val="1"/>
          <w:u w:color="0563C1"/>
        </w:rPr>
        <w:t>Faitheist</w:t>
      </w:r>
      <w:proofErr w:type="spellEnd"/>
      <w:r>
        <w:rPr>
          <w:rFonts w:ascii="Times New Roman" w:hAnsi="Times New Roman" w:cs="Times New Roman"/>
          <w:i/>
          <w:iCs/>
          <w:kern w:val="1"/>
          <w:u w:color="0563C1"/>
        </w:rPr>
        <w:t xml:space="preserve">: How an </w:t>
      </w:r>
      <w:proofErr w:type="spellStart"/>
      <w:r>
        <w:rPr>
          <w:rFonts w:ascii="Times New Roman" w:hAnsi="Times New Roman" w:cs="Times New Roman"/>
          <w:i/>
          <w:iCs/>
          <w:kern w:val="1"/>
          <w:u w:color="0563C1"/>
        </w:rPr>
        <w:t>Athiest</w:t>
      </w:r>
      <w:proofErr w:type="spellEnd"/>
      <w:r>
        <w:rPr>
          <w:rFonts w:ascii="Times New Roman" w:hAnsi="Times New Roman" w:cs="Times New Roman"/>
          <w:i/>
          <w:iCs/>
          <w:kern w:val="1"/>
          <w:u w:color="0563C1"/>
        </w:rPr>
        <w:t xml:space="preserve"> Found Common Ground with the Religious</w:t>
      </w:r>
      <w:r>
        <w:rPr>
          <w:rFonts w:ascii="Times New Roman" w:hAnsi="Times New Roman" w:cs="Times New Roman"/>
          <w:kern w:val="1"/>
          <w:u w:color="0563C1"/>
        </w:rPr>
        <w:t xml:space="preserve">. Boston: </w:t>
      </w:r>
    </w:p>
    <w:p w14:paraId="15E72DDD" w14:textId="77777777" w:rsidR="00CE7203" w:rsidRDefault="00CE7203" w:rsidP="00CE7203">
      <w:pPr>
        <w:autoSpaceDE w:val="0"/>
        <w:autoSpaceDN w:val="0"/>
        <w:adjustRightInd w:val="0"/>
        <w:ind w:firstLine="720"/>
        <w:rPr>
          <w:rFonts w:ascii="Times New Roman" w:hAnsi="Times New Roman" w:cs="Times New Roman"/>
          <w:kern w:val="1"/>
          <w:u w:color="0563C1"/>
        </w:rPr>
      </w:pPr>
      <w:r>
        <w:rPr>
          <w:rFonts w:ascii="Times New Roman" w:hAnsi="Times New Roman" w:cs="Times New Roman"/>
          <w:kern w:val="1"/>
          <w:u w:color="0563C1"/>
        </w:rPr>
        <w:t>Beacon Press, 2012.</w:t>
      </w:r>
    </w:p>
    <w:p w14:paraId="60D72750"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563C1"/>
        </w:rPr>
      </w:pPr>
    </w:p>
    <w:p w14:paraId="4BA09BA4" w14:textId="77777777" w:rsidR="00CE7203" w:rsidRDefault="00CE7203" w:rsidP="00CE7203">
      <w:pPr>
        <w:autoSpaceDE w:val="0"/>
        <w:autoSpaceDN w:val="0"/>
        <w:adjustRightInd w:val="0"/>
        <w:rPr>
          <w:rFonts w:ascii="Times New Roman" w:hAnsi="Times New Roman" w:cs="Times New Roman"/>
          <w:kern w:val="1"/>
          <w:u w:color="0563C1"/>
        </w:rPr>
      </w:pPr>
      <w:r>
        <w:rPr>
          <w:rFonts w:ascii="Times New Roman" w:hAnsi="Times New Roman" w:cs="Times New Roman"/>
          <w:kern w:val="1"/>
          <w:u w:color="0563C1"/>
        </w:rPr>
        <w:t xml:space="preserve">United Methodist Communications. “2019 Special Session of the General Conference.” The </w:t>
      </w:r>
    </w:p>
    <w:p w14:paraId="1F2D1003" w14:textId="10A080E4" w:rsidR="00CE7203" w:rsidRPr="00CE7203" w:rsidRDefault="00CE7203" w:rsidP="00CE7203">
      <w:pPr>
        <w:autoSpaceDE w:val="0"/>
        <w:autoSpaceDN w:val="0"/>
        <w:adjustRightInd w:val="0"/>
        <w:ind w:left="720"/>
        <w:rPr>
          <w:rFonts w:ascii="Times New Roman" w:hAnsi="Times New Roman" w:cs="Times New Roman"/>
          <w:kern w:val="1"/>
          <w:u w:color="0563C1"/>
        </w:rPr>
      </w:pPr>
      <w:r>
        <w:rPr>
          <w:rFonts w:ascii="Times New Roman" w:hAnsi="Times New Roman" w:cs="Times New Roman"/>
          <w:kern w:val="1"/>
          <w:u w:color="0563C1"/>
        </w:rPr>
        <w:t xml:space="preserve">United Methodist Church. </w:t>
      </w:r>
      <w:hyperlink r:id="rId10" w:history="1">
        <w:r w:rsidRPr="000A4486">
          <w:rPr>
            <w:rStyle w:val="Hyperlink"/>
            <w:rFonts w:ascii="Times New Roman" w:hAnsi="Times New Roman" w:cs="Times New Roman"/>
            <w:kern w:val="1"/>
          </w:rPr>
          <w:t>http://www.umc.org/topics/general-conference-2019-special-session</w:t>
        </w:r>
      </w:hyperlink>
      <w:r>
        <w:rPr>
          <w:rFonts w:ascii="Times New Roman" w:hAnsi="Times New Roman" w:cs="Times New Roman"/>
          <w:color w:val="0000E9"/>
          <w:kern w:val="1"/>
          <w:u w:val="single" w:color="0000E9"/>
        </w:rPr>
        <w:t>.</w:t>
      </w:r>
    </w:p>
    <w:p w14:paraId="1ECC0015" w14:textId="13663BAC"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540BFFE3" w14:textId="77777777" w:rsidR="00782BF4" w:rsidRDefault="00782BF4" w:rsidP="00CE7203">
      <w:pPr>
        <w:autoSpaceDE w:val="0"/>
        <w:autoSpaceDN w:val="0"/>
        <w:adjustRightInd w:val="0"/>
        <w:spacing w:line="480" w:lineRule="auto"/>
        <w:ind w:firstLine="720"/>
        <w:rPr>
          <w:rFonts w:ascii="Times New Roman" w:hAnsi="Times New Roman" w:cs="Times New Roman"/>
          <w:kern w:val="1"/>
          <w:u w:color="0000E9"/>
        </w:rPr>
      </w:pPr>
    </w:p>
    <w:p w14:paraId="36AFEE26" w14:textId="77777777" w:rsidR="00CE7203" w:rsidRDefault="00CE7203" w:rsidP="00CE7203">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lastRenderedPageBreak/>
        <w:t xml:space="preserve">United Methodist Communications, “Formation of the United Methodist Church,” The United </w:t>
      </w:r>
    </w:p>
    <w:p w14:paraId="191FB9D7" w14:textId="35EFED2B" w:rsidR="00CE7203" w:rsidRDefault="00CE7203" w:rsidP="00CE7203">
      <w:pPr>
        <w:autoSpaceDE w:val="0"/>
        <w:autoSpaceDN w:val="0"/>
        <w:adjustRightInd w:val="0"/>
        <w:ind w:left="720"/>
        <w:rPr>
          <w:rFonts w:ascii="Times New Roman" w:hAnsi="Times New Roman" w:cs="Times New Roman"/>
          <w:kern w:val="1"/>
          <w:u w:color="0000E9"/>
        </w:rPr>
      </w:pPr>
      <w:r>
        <w:rPr>
          <w:rFonts w:ascii="Times New Roman" w:hAnsi="Times New Roman" w:cs="Times New Roman"/>
          <w:kern w:val="1"/>
          <w:u w:color="0000E9"/>
        </w:rPr>
        <w:t xml:space="preserve">Methodist Church, </w:t>
      </w:r>
      <w:hyperlink r:id="rId11" w:history="1">
        <w:r w:rsidRPr="000A4486">
          <w:rPr>
            <w:rStyle w:val="Hyperlink"/>
            <w:rFonts w:ascii="Times New Roman" w:hAnsi="Times New Roman" w:cs="Times New Roman"/>
            <w:kern w:val="1"/>
          </w:rPr>
          <w:t>http://www.umc.org/who-we-are/formation-of-the-united-methodist-church</w:t>
        </w:r>
      </w:hyperlink>
      <w:r>
        <w:rPr>
          <w:rFonts w:ascii="Times New Roman" w:hAnsi="Times New Roman" w:cs="Times New Roman"/>
          <w:color w:val="0000E9"/>
          <w:kern w:val="1"/>
          <w:u w:val="single" w:color="0000E9"/>
        </w:rPr>
        <w:t>.</w:t>
      </w:r>
    </w:p>
    <w:p w14:paraId="71291E2E"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15B3631B" w14:textId="77777777" w:rsidR="00FF7968" w:rsidRDefault="00CE7203" w:rsidP="00FF7968">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t xml:space="preserve">United Methodist Communications, “United Methodists at a Glance,” The United Methodist </w:t>
      </w:r>
    </w:p>
    <w:p w14:paraId="7B8AE682" w14:textId="703AAAB2" w:rsidR="00CE7203" w:rsidRDefault="00CE7203" w:rsidP="00FF7968">
      <w:pPr>
        <w:autoSpaceDE w:val="0"/>
        <w:autoSpaceDN w:val="0"/>
        <w:adjustRightInd w:val="0"/>
        <w:ind w:firstLine="720"/>
        <w:rPr>
          <w:rFonts w:ascii="Times New Roman" w:hAnsi="Times New Roman" w:cs="Times New Roman"/>
          <w:kern w:val="1"/>
          <w:u w:color="0000E9"/>
        </w:rPr>
      </w:pPr>
      <w:r>
        <w:rPr>
          <w:rFonts w:ascii="Times New Roman" w:hAnsi="Times New Roman" w:cs="Times New Roman"/>
          <w:kern w:val="1"/>
          <w:u w:color="0000E9"/>
        </w:rPr>
        <w:t xml:space="preserve">Church, </w:t>
      </w:r>
      <w:hyperlink r:id="rId12" w:history="1">
        <w:r w:rsidRPr="000A4486">
          <w:rPr>
            <w:rStyle w:val="Hyperlink"/>
            <w:rFonts w:ascii="Times New Roman" w:hAnsi="Times New Roman" w:cs="Times New Roman"/>
            <w:kern w:val="1"/>
          </w:rPr>
          <w:t>http://www.umc.org/who-we-are/united-methodists-at-a-glance</w:t>
        </w:r>
      </w:hyperlink>
      <w:r>
        <w:rPr>
          <w:rFonts w:ascii="Times New Roman" w:hAnsi="Times New Roman" w:cs="Times New Roman"/>
          <w:color w:val="0000E9"/>
          <w:kern w:val="1"/>
          <w:u w:val="single" w:color="0000E9"/>
        </w:rPr>
        <w:t xml:space="preserve">. </w:t>
      </w:r>
    </w:p>
    <w:p w14:paraId="1AB9FFC4"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6B6B3AFF" w14:textId="77777777" w:rsidR="00FF7968" w:rsidRDefault="00CE7203" w:rsidP="00CE7203">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t xml:space="preserve">United Methodist Communications. “Wesleyan Quadrilateral.” The United Methodist Church. </w:t>
      </w:r>
    </w:p>
    <w:p w14:paraId="48788E16" w14:textId="69E039A4" w:rsidR="00CE7203" w:rsidRPr="00FF7968" w:rsidRDefault="00335090" w:rsidP="00FF7968">
      <w:pPr>
        <w:autoSpaceDE w:val="0"/>
        <w:autoSpaceDN w:val="0"/>
        <w:adjustRightInd w:val="0"/>
        <w:ind w:firstLine="720"/>
        <w:rPr>
          <w:rFonts w:ascii="Times New Roman" w:hAnsi="Times New Roman" w:cs="Times New Roman"/>
          <w:color w:val="0000E9"/>
          <w:kern w:val="1"/>
          <w:u w:val="single" w:color="0000E9"/>
        </w:rPr>
      </w:pPr>
      <w:hyperlink r:id="rId13" w:history="1">
        <w:r w:rsidR="00FF7968" w:rsidRPr="000A4486">
          <w:rPr>
            <w:rStyle w:val="Hyperlink"/>
            <w:rFonts w:ascii="Times New Roman" w:hAnsi="Times New Roman" w:cs="Times New Roman"/>
            <w:kern w:val="1"/>
          </w:rPr>
          <w:t>http://www.umc.org/what-we-believe/wesleyan-quadrilateral</w:t>
        </w:r>
      </w:hyperlink>
      <w:r w:rsidR="00CE7203">
        <w:rPr>
          <w:rFonts w:ascii="Times New Roman" w:hAnsi="Times New Roman" w:cs="Times New Roman"/>
          <w:color w:val="0000E9"/>
          <w:kern w:val="1"/>
          <w:u w:val="single" w:color="0000E9"/>
        </w:rPr>
        <w:t>.</w:t>
      </w:r>
    </w:p>
    <w:p w14:paraId="53EFC486" w14:textId="77777777" w:rsidR="00CE7203" w:rsidRDefault="00CE7203" w:rsidP="00CE7203">
      <w:pPr>
        <w:autoSpaceDE w:val="0"/>
        <w:autoSpaceDN w:val="0"/>
        <w:adjustRightInd w:val="0"/>
        <w:spacing w:line="480" w:lineRule="auto"/>
        <w:ind w:firstLine="720"/>
        <w:rPr>
          <w:rFonts w:ascii="Times New Roman" w:hAnsi="Times New Roman" w:cs="Times New Roman"/>
          <w:kern w:val="1"/>
          <w:u w:color="0000E9"/>
        </w:rPr>
      </w:pPr>
    </w:p>
    <w:p w14:paraId="79F18235" w14:textId="77777777" w:rsidR="00FF7968" w:rsidRDefault="00CE7203" w:rsidP="00CE7203">
      <w:pPr>
        <w:autoSpaceDE w:val="0"/>
        <w:autoSpaceDN w:val="0"/>
        <w:adjustRightInd w:val="0"/>
        <w:rPr>
          <w:rFonts w:ascii="Times New Roman" w:hAnsi="Times New Roman" w:cs="Times New Roman"/>
          <w:kern w:val="1"/>
          <w:u w:color="0000E9"/>
        </w:rPr>
      </w:pPr>
      <w:r>
        <w:rPr>
          <w:rFonts w:ascii="Times New Roman" w:hAnsi="Times New Roman" w:cs="Times New Roman"/>
          <w:kern w:val="1"/>
          <w:u w:color="0000E9"/>
        </w:rPr>
        <w:t>“United Religions Initiative Charter.” URI.</w:t>
      </w:r>
      <w:r w:rsidR="00FF7968">
        <w:rPr>
          <w:rFonts w:ascii="Times New Roman" w:hAnsi="Times New Roman" w:cs="Times New Roman"/>
          <w:kern w:val="1"/>
          <w:u w:color="0000E9"/>
        </w:rPr>
        <w:t xml:space="preserve"> </w:t>
      </w:r>
    </w:p>
    <w:p w14:paraId="7F8E436D" w14:textId="5E7B0860" w:rsidR="00CE7203" w:rsidRDefault="00335090" w:rsidP="00FF7968">
      <w:pPr>
        <w:autoSpaceDE w:val="0"/>
        <w:autoSpaceDN w:val="0"/>
        <w:adjustRightInd w:val="0"/>
        <w:ind w:firstLine="720"/>
        <w:rPr>
          <w:rFonts w:ascii="Times New Roman" w:hAnsi="Times New Roman" w:cs="Times New Roman"/>
          <w:color w:val="0000FF"/>
          <w:kern w:val="1"/>
          <w:u w:val="single" w:color="0000FF"/>
        </w:rPr>
      </w:pPr>
      <w:hyperlink r:id="rId14" w:history="1">
        <w:r w:rsidR="00FF7968" w:rsidRPr="000A4486">
          <w:rPr>
            <w:rStyle w:val="Hyperlink"/>
            <w:rFonts w:ascii="Times New Roman" w:hAnsi="Times New Roman" w:cs="Times New Roman"/>
            <w:kern w:val="1"/>
          </w:rPr>
          <w:t>http://www.uri.org/sites/default/files/media/document/2017/</w:t>
        </w:r>
      </w:hyperlink>
      <w:r w:rsidR="00CE7203">
        <w:rPr>
          <w:rFonts w:ascii="Times New Roman" w:hAnsi="Times New Roman" w:cs="Times New Roman"/>
          <w:color w:val="0000FF"/>
          <w:kern w:val="1"/>
          <w:u w:val="single" w:color="0000FF"/>
        </w:rPr>
        <w:t>URI-Charter-English.pdf.</w:t>
      </w:r>
    </w:p>
    <w:p w14:paraId="0FBDA649" w14:textId="77777777" w:rsidR="00CE7203" w:rsidRDefault="00CE7203" w:rsidP="00CE7203">
      <w:pPr>
        <w:autoSpaceDE w:val="0"/>
        <w:autoSpaceDN w:val="0"/>
        <w:adjustRightInd w:val="0"/>
        <w:spacing w:line="480" w:lineRule="auto"/>
        <w:rPr>
          <w:rFonts w:ascii="Times New Roman" w:hAnsi="Times New Roman" w:cs="Times New Roman"/>
          <w:color w:val="0000FF"/>
          <w:kern w:val="1"/>
          <w:u w:val="single" w:color="0000FF"/>
        </w:rPr>
      </w:pPr>
    </w:p>
    <w:p w14:paraId="35347C0F" w14:textId="79A0F165" w:rsidR="00CE7203" w:rsidRPr="00CE7203" w:rsidRDefault="00CE7203" w:rsidP="00CE7203">
      <w:pPr>
        <w:tabs>
          <w:tab w:val="left" w:pos="360"/>
          <w:tab w:val="left" w:pos="720"/>
          <w:tab w:val="left" w:pos="1080"/>
          <w:tab w:val="left" w:pos="1440"/>
          <w:tab w:val="left" w:pos="1800"/>
          <w:tab w:val="left" w:pos="2160"/>
          <w:tab w:val="left" w:pos="2880"/>
          <w:tab w:val="left" w:pos="3600"/>
          <w:tab w:val="left" w:pos="4320"/>
        </w:tabs>
        <w:spacing w:line="480" w:lineRule="auto"/>
        <w:rPr>
          <w:rFonts w:ascii="Times New Roman" w:hAnsi="Times New Roman" w:cs="Times New Roman"/>
        </w:rPr>
      </w:pPr>
      <w:r>
        <w:rPr>
          <w:rFonts w:ascii="Times New Roman" w:hAnsi="Times New Roman" w:cs="Times New Roman"/>
          <w:kern w:val="1"/>
          <w:u w:color="0000FF"/>
        </w:rPr>
        <w:t xml:space="preserve">“Who We Are,” URI, </w:t>
      </w:r>
      <w:r>
        <w:rPr>
          <w:rFonts w:ascii="Times New Roman" w:hAnsi="Times New Roman" w:cs="Times New Roman"/>
          <w:color w:val="0000FF"/>
          <w:kern w:val="1"/>
          <w:u w:val="single" w:color="0000FF"/>
        </w:rPr>
        <w:t>https://www.uri.org/who-we-are</w:t>
      </w:r>
      <w:r>
        <w:rPr>
          <w:rFonts w:ascii="Times New Roman" w:hAnsi="Times New Roman" w:cs="Times New Roman"/>
          <w:kern w:val="1"/>
          <w:u w:color="0000FF"/>
        </w:rPr>
        <w:t>.</w:t>
      </w:r>
    </w:p>
    <w:sectPr w:rsidR="00CE7203" w:rsidRPr="00CE7203" w:rsidSect="00353CC3">
      <w:headerReference w:type="even" r:id="rId15"/>
      <w:headerReference w:type="default" r:id="rId16"/>
      <w:footerReference w:type="even" r:id="rId17"/>
      <w:footerReference w:type="default" r:id="rId1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DB3B4C" w14:textId="77777777" w:rsidR="00335090" w:rsidRDefault="00335090" w:rsidP="00481231">
      <w:r>
        <w:separator/>
      </w:r>
    </w:p>
  </w:endnote>
  <w:endnote w:type="continuationSeparator" w:id="0">
    <w:p w14:paraId="7D43BC24" w14:textId="77777777" w:rsidR="00335090" w:rsidRDefault="00335090" w:rsidP="00481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MT">
    <w:altName w:val="Times New Roman"/>
    <w:panose1 w:val="020B0604020202020204"/>
    <w:charset w:val="00"/>
    <w:family w:val="roman"/>
    <w:pitch w:val="default"/>
  </w:font>
  <w:font w:name="Palatino">
    <w:panose1 w:val="00000000000000000000"/>
    <w:charset w:val="4D"/>
    <w:family w:val="auto"/>
    <w:pitch w:val="variable"/>
    <w:sig w:usb0="A00002FF" w:usb1="7800205A" w:usb2="14600000" w:usb3="00000000" w:csb0="00000193" w:csb1="00000000"/>
  </w:font>
  <w:font w:name="Palatino-Roman">
    <w:altName w:val="Palatino"/>
    <w:panose1 w:val="00000000000000000000"/>
    <w:charset w:val="4D"/>
    <w:family w:val="auto"/>
    <w:pitch w:val="variable"/>
    <w:sig w:usb0="A00002FF" w:usb1="7800205A" w:usb2="14600000" w:usb3="00000000" w:csb0="00000193" w:csb1="00000000"/>
  </w:font>
  <w:font w:name="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08006524"/>
      <w:docPartObj>
        <w:docPartGallery w:val="Page Numbers (Bottom of Page)"/>
        <w:docPartUnique/>
      </w:docPartObj>
    </w:sdtPr>
    <w:sdtEndPr>
      <w:rPr>
        <w:rStyle w:val="PageNumber"/>
      </w:rPr>
    </w:sdtEndPr>
    <w:sdtContent>
      <w:p w14:paraId="7B87730F" w14:textId="7C305316" w:rsidR="00B704F3" w:rsidRDefault="00B704F3" w:rsidP="00B704F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059F580" w14:textId="77777777" w:rsidR="00B704F3" w:rsidRDefault="00B704F3" w:rsidP="00353CC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765841955"/>
      <w:docPartObj>
        <w:docPartGallery w:val="Page Numbers (Bottom of Page)"/>
        <w:docPartUnique/>
      </w:docPartObj>
    </w:sdtPr>
    <w:sdtEndPr>
      <w:rPr>
        <w:rStyle w:val="PageNumber"/>
      </w:rPr>
    </w:sdtEndPr>
    <w:sdtContent>
      <w:p w14:paraId="4356CC14" w14:textId="2A43D451" w:rsidR="00B704F3" w:rsidRPr="00441202" w:rsidRDefault="00B704F3" w:rsidP="00441202">
        <w:pPr>
          <w:pStyle w:val="Footer"/>
          <w:framePr w:wrap="none" w:vAnchor="text" w:hAnchor="page" w:x="10584" w:y="-7"/>
          <w:rPr>
            <w:rStyle w:val="PageNumber"/>
            <w:rFonts w:ascii="Times New Roman" w:hAnsi="Times New Roman" w:cs="Times New Roman"/>
          </w:rPr>
        </w:pPr>
        <w:r w:rsidRPr="00441202">
          <w:rPr>
            <w:rStyle w:val="PageNumber"/>
            <w:rFonts w:ascii="Times New Roman" w:hAnsi="Times New Roman" w:cs="Times New Roman"/>
          </w:rPr>
          <w:fldChar w:fldCharType="begin"/>
        </w:r>
        <w:r w:rsidRPr="00441202">
          <w:rPr>
            <w:rStyle w:val="PageNumber"/>
            <w:rFonts w:ascii="Times New Roman" w:hAnsi="Times New Roman" w:cs="Times New Roman"/>
          </w:rPr>
          <w:instrText xml:space="preserve"> PAGE </w:instrText>
        </w:r>
        <w:r w:rsidRPr="00441202">
          <w:rPr>
            <w:rStyle w:val="PageNumber"/>
            <w:rFonts w:ascii="Times New Roman" w:hAnsi="Times New Roman" w:cs="Times New Roman"/>
          </w:rPr>
          <w:fldChar w:fldCharType="separate"/>
        </w:r>
        <w:r w:rsidRPr="00441202">
          <w:rPr>
            <w:rStyle w:val="PageNumber"/>
            <w:rFonts w:ascii="Times New Roman" w:hAnsi="Times New Roman" w:cs="Times New Roman"/>
            <w:noProof/>
          </w:rPr>
          <w:t>3</w:t>
        </w:r>
        <w:r w:rsidRPr="00441202">
          <w:rPr>
            <w:rStyle w:val="PageNumber"/>
            <w:rFonts w:ascii="Times New Roman" w:hAnsi="Times New Roman" w:cs="Times New Roman"/>
          </w:rPr>
          <w:fldChar w:fldCharType="end"/>
        </w:r>
      </w:p>
    </w:sdtContent>
  </w:sdt>
  <w:p w14:paraId="02861F3F" w14:textId="77777777" w:rsidR="00B704F3" w:rsidRDefault="00B704F3" w:rsidP="00D24DF7">
    <w:pPr>
      <w:pStyle w:val="Footer"/>
      <w:ind w:right="3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AC8996" w14:textId="77777777" w:rsidR="00335090" w:rsidRDefault="00335090" w:rsidP="00481231">
      <w:r>
        <w:separator/>
      </w:r>
    </w:p>
  </w:footnote>
  <w:footnote w:type="continuationSeparator" w:id="0">
    <w:p w14:paraId="34761C00" w14:textId="77777777" w:rsidR="00335090" w:rsidRDefault="00335090" w:rsidP="00481231">
      <w:r>
        <w:continuationSeparator/>
      </w:r>
    </w:p>
  </w:footnote>
  <w:footnote w:id="1">
    <w:p w14:paraId="034C3384" w14:textId="3C692625" w:rsidR="00B704F3" w:rsidRDefault="00B704F3" w:rsidP="00481231">
      <w:pPr>
        <w:pStyle w:val="Footnote"/>
        <w:rPr>
          <w:rFonts w:ascii="TimesNewRomanPSMT" w:hAnsi="TimesNewRomanPSMT" w:cs="TimesNewRomanPSMT"/>
          <w:color w:val="0000E9"/>
          <w:sz w:val="24"/>
          <w:szCs w:val="24"/>
          <w:u w:val="single" w:color="0000E9"/>
        </w:rPr>
      </w:pPr>
      <w:r>
        <w:rPr>
          <w:rFonts w:ascii="TimesNewRomanPSMT" w:hAnsi="TimesNewRomanPSMT" w:cs="TimesNewRomanPSMT"/>
          <w:sz w:val="24"/>
          <w:szCs w:val="24"/>
          <w:vertAlign w:val="superscript"/>
        </w:rPr>
        <w:footnoteRef/>
      </w:r>
      <w:r>
        <w:rPr>
          <w:rFonts w:ascii="TimesNewRomanPSMT" w:hAnsi="TimesNewRomanPSMT" w:cs="TimesNewRomanPSMT"/>
          <w:sz w:val="24"/>
          <w:szCs w:val="24"/>
        </w:rPr>
        <w:t xml:space="preserve"> </w:t>
      </w:r>
      <w:r w:rsidRPr="00D92A13">
        <w:rPr>
          <w:rFonts w:ascii="Times New Roman" w:hAnsi="Times New Roman" w:cs="Times New Roman"/>
        </w:rPr>
        <w:t xml:space="preserve">A full list of IFYC’s resources is here: </w:t>
      </w:r>
      <w:hyperlink r:id="rId1" w:history="1">
        <w:r w:rsidRPr="00D92A13">
          <w:rPr>
            <w:rStyle w:val="Hyperlink"/>
            <w:rFonts w:ascii="Times New Roman" w:hAnsi="Times New Roman" w:cs="Times New Roman"/>
          </w:rPr>
          <w:t>https://www.ifyc.org/resources</w:t>
        </w:r>
      </w:hyperlink>
    </w:p>
  </w:footnote>
  <w:footnote w:id="2">
    <w:p w14:paraId="1D60F58B" w14:textId="104C9119" w:rsidR="00B704F3" w:rsidRPr="00D92A13" w:rsidRDefault="00B704F3" w:rsidP="00481231">
      <w:pPr>
        <w:pStyle w:val="Footnote"/>
        <w:rPr>
          <w:rFonts w:ascii="TimesNewRomanPSMT" w:hAnsi="TimesNewRomanPSMT" w:cs="TimesNewRomanPSMT"/>
          <w:sz w:val="24"/>
          <w:szCs w:val="24"/>
        </w:rPr>
      </w:pPr>
      <w:r>
        <w:rPr>
          <w:rFonts w:ascii="TimesNewRomanPSMT" w:hAnsi="TimesNewRomanPSMT" w:cs="TimesNewRomanPSMT"/>
          <w:sz w:val="24"/>
          <w:szCs w:val="24"/>
          <w:vertAlign w:val="superscript"/>
        </w:rPr>
        <w:footnoteRef/>
      </w:r>
      <w:r>
        <w:rPr>
          <w:rFonts w:ascii="TimesNewRomanPSMT" w:hAnsi="TimesNewRomanPSMT" w:cs="TimesNewRomanPSMT"/>
          <w:sz w:val="24"/>
          <w:szCs w:val="24"/>
        </w:rPr>
        <w:t xml:space="preserve"> </w:t>
      </w:r>
      <w:r>
        <w:rPr>
          <w:rFonts w:ascii="Times New Roman" w:hAnsi="Times New Roman" w:cs="Times New Roman"/>
        </w:rPr>
        <w:t xml:space="preserve">Steven Greenbaum, </w:t>
      </w:r>
      <w:r>
        <w:rPr>
          <w:rFonts w:ascii="Times New Roman" w:hAnsi="Times New Roman" w:cs="Times New Roman"/>
          <w:i/>
        </w:rPr>
        <w:t>Practical Interfaith: How to Find Our Common Humanity as We Celebrate Diversity</w:t>
      </w:r>
      <w:r>
        <w:rPr>
          <w:rFonts w:ascii="Times New Roman" w:hAnsi="Times New Roman" w:cs="Times New Roman"/>
        </w:rPr>
        <w:t xml:space="preserve">, Woodstock: </w:t>
      </w:r>
      <w:proofErr w:type="spellStart"/>
      <w:r>
        <w:rPr>
          <w:rFonts w:ascii="Times New Roman" w:hAnsi="Times New Roman" w:cs="Times New Roman"/>
        </w:rPr>
        <w:t>SkyLight</w:t>
      </w:r>
      <w:proofErr w:type="spellEnd"/>
      <w:r>
        <w:rPr>
          <w:rFonts w:ascii="Times New Roman" w:hAnsi="Times New Roman" w:cs="Times New Roman"/>
        </w:rPr>
        <w:t xml:space="preserve"> Paths Publishing, 2014, 100-134.</w:t>
      </w:r>
    </w:p>
  </w:footnote>
  <w:footnote w:id="3">
    <w:p w14:paraId="2BB89DE1" w14:textId="7E8FD36E" w:rsidR="00B704F3" w:rsidRPr="00D92A13" w:rsidRDefault="00B704F3" w:rsidP="00481231">
      <w:pPr>
        <w:pStyle w:val="Footnote"/>
        <w:rPr>
          <w:rFonts w:ascii="Times New Roman" w:hAnsi="Times New Roman" w:cs="Times New Roman"/>
        </w:rPr>
      </w:pPr>
      <w:r>
        <w:rPr>
          <w:rFonts w:ascii="TimesNewRomanPSMT" w:hAnsi="TimesNewRomanPSMT" w:cs="TimesNewRomanPSMT"/>
          <w:sz w:val="24"/>
          <w:szCs w:val="24"/>
          <w:vertAlign w:val="superscript"/>
        </w:rPr>
        <w:footnoteRef/>
      </w:r>
      <w:r>
        <w:rPr>
          <w:rFonts w:ascii="TimesNewRomanPSMT" w:hAnsi="TimesNewRomanPSMT" w:cs="TimesNewRomanPSMT"/>
          <w:sz w:val="24"/>
          <w:szCs w:val="24"/>
        </w:rPr>
        <w:t xml:space="preserve"> </w:t>
      </w:r>
      <w:r>
        <w:rPr>
          <w:rFonts w:ascii="Times New Roman" w:hAnsi="Times New Roman" w:cs="Times New Roman"/>
        </w:rPr>
        <w:t xml:space="preserve">Jennifer Howe Peace, Or N. Rose, Gregory Mobley, eds., </w:t>
      </w:r>
      <w:r>
        <w:rPr>
          <w:rFonts w:ascii="Times New Roman" w:hAnsi="Times New Roman" w:cs="Times New Roman"/>
          <w:i/>
        </w:rPr>
        <w:t>My Neighbor’s Faith: Stories of Interreligious Encounter, Growth, and Transformation</w:t>
      </w:r>
      <w:r>
        <w:rPr>
          <w:rFonts w:ascii="Times New Roman" w:hAnsi="Times New Roman" w:cs="Times New Roman"/>
        </w:rPr>
        <w:t xml:space="preserve">, Maryknoll: Orbis Books, 2012. </w:t>
      </w:r>
    </w:p>
  </w:footnote>
  <w:footnote w:id="4">
    <w:p w14:paraId="6B21CB14"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“Selma to Montgomery March,” </w:t>
      </w:r>
      <w:r>
        <w:rPr>
          <w:rFonts w:ascii="Times New Roman" w:hAnsi="Times New Roman" w:cs="Times New Roman"/>
          <w:i/>
          <w:iCs/>
        </w:rPr>
        <w:t>The Martin Luther King Jr. Research and Education Institute</w:t>
      </w:r>
      <w:r>
        <w:rPr>
          <w:rFonts w:ascii="Times New Roman" w:hAnsi="Times New Roman" w:cs="Times New Roman"/>
        </w:rPr>
        <w:t xml:space="preserve">, Stanford University, </w:t>
      </w:r>
      <w:hyperlink r:id="rId2" w:history="1">
        <w:r>
          <w:rPr>
            <w:rFonts w:ascii="Times New Roman" w:hAnsi="Times New Roman" w:cs="Times New Roman"/>
            <w:color w:val="0563C1"/>
            <w:u w:val="single" w:color="0563C1"/>
          </w:rPr>
          <w:t>https://kinginstitute.stanford.edu/encyclopedia/selma-montgomery-march</w:t>
        </w:r>
      </w:hyperlink>
      <w:r>
        <w:rPr>
          <w:rFonts w:ascii="Times New Roman" w:hAnsi="Times New Roman" w:cs="Times New Roman"/>
        </w:rPr>
        <w:t>.</w:t>
      </w:r>
    </w:p>
  </w:footnote>
  <w:footnote w:id="5">
    <w:p w14:paraId="0A789E67"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“Rabbi Abraham Joshua Heschel on the Selma March, March 21, 1965,” </w:t>
      </w:r>
      <w:r>
        <w:rPr>
          <w:rFonts w:ascii="Times New Roman" w:hAnsi="Times New Roman" w:cs="Times New Roman"/>
          <w:i/>
          <w:iCs/>
        </w:rPr>
        <w:t>Jewish Women’s Archive</w:t>
      </w:r>
      <w:r>
        <w:rPr>
          <w:rFonts w:ascii="Times New Roman" w:hAnsi="Times New Roman" w:cs="Times New Roman"/>
        </w:rPr>
        <w:t xml:space="preserve">, </w:t>
      </w:r>
      <w:hyperlink r:id="rId3" w:history="1">
        <w:r>
          <w:rPr>
            <w:rFonts w:ascii="Times New Roman" w:hAnsi="Times New Roman" w:cs="Times New Roman"/>
            <w:color w:val="0563C1"/>
            <w:u w:val="single" w:color="0563C1"/>
          </w:rPr>
          <w:t>https://jwa.org/media/abraham-joshua-heschel-on-selma-march-1965</w:t>
        </w:r>
      </w:hyperlink>
      <w:r>
        <w:rPr>
          <w:rFonts w:ascii="Times New Roman" w:hAnsi="Times New Roman" w:cs="Times New Roman"/>
        </w:rPr>
        <w:t>.</w:t>
      </w:r>
    </w:p>
  </w:footnote>
  <w:footnote w:id="6">
    <w:p w14:paraId="50618AB1" w14:textId="77777777" w:rsidR="00B704F3" w:rsidRPr="00E06D22" w:rsidRDefault="00B704F3" w:rsidP="00353CC3">
      <w:pPr>
        <w:pStyle w:val="Footnote"/>
        <w:rPr>
          <w:rFonts w:ascii="TimesNewRomanPSMT" w:hAnsi="TimesNewRomanPSMT" w:cs="TimesNewRomanPSMT"/>
          <w:sz w:val="24"/>
          <w:szCs w:val="24"/>
        </w:rPr>
      </w:pPr>
      <w:r w:rsidRPr="003076C4">
        <w:rPr>
          <w:rFonts w:ascii="Times New Roman" w:hAnsi="Times New Roman" w:cs="Times New Roman"/>
          <w:vertAlign w:val="superscript"/>
        </w:rPr>
        <w:footnoteRef/>
      </w:r>
      <w:r>
        <w:rPr>
          <w:rFonts w:ascii="Times New Roman" w:hAnsi="Times New Roman" w:cs="Times New Roman"/>
        </w:rPr>
        <w:t xml:space="preserve"> Martin Luther King Jr.,</w:t>
      </w:r>
      <w:r w:rsidRPr="003076C4">
        <w:rPr>
          <w:rFonts w:ascii="Times New Roman" w:hAnsi="Times New Roman" w:cs="Times New Roman"/>
        </w:rPr>
        <w:t xml:space="preserve"> </w:t>
      </w:r>
      <w:r w:rsidRPr="00E06D22">
        <w:rPr>
          <w:rFonts w:ascii="Times New Roman" w:hAnsi="Times New Roman" w:cs="Times New Roman"/>
          <w:i/>
        </w:rPr>
        <w:t>Letter from Birmingham Jail</w:t>
      </w:r>
      <w:r>
        <w:rPr>
          <w:rFonts w:ascii="Times New Roman" w:hAnsi="Times New Roman" w:cs="Times New Roman"/>
        </w:rPr>
        <w:t>, August 1963.</w:t>
      </w:r>
    </w:p>
  </w:footnote>
  <w:footnote w:id="7">
    <w:p w14:paraId="491287C2" w14:textId="77777777" w:rsidR="00B704F3" w:rsidRPr="003439FA"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Alan Neely, “The Parliament of the World’s Religions: 1893 and 1993,” </w:t>
      </w:r>
      <w:r>
        <w:rPr>
          <w:rFonts w:ascii="Times New Roman" w:hAnsi="Times New Roman" w:cs="Times New Roman"/>
          <w:i/>
        </w:rPr>
        <w:t>International Bulletin of Missionary Research</w:t>
      </w:r>
      <w:r>
        <w:rPr>
          <w:rFonts w:ascii="Times New Roman" w:hAnsi="Times New Roman" w:cs="Times New Roman"/>
        </w:rPr>
        <w:t xml:space="preserve"> 18, no. 2 (1994) 60+.</w:t>
      </w:r>
    </w:p>
  </w:footnote>
  <w:footnote w:id="8">
    <w:p w14:paraId="66EF070C"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9">
    <w:p w14:paraId="7AEE54F0"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10">
    <w:p w14:paraId="243D6583" w14:textId="77777777" w:rsidR="00B704F3" w:rsidRDefault="00B704F3" w:rsidP="00353CC3">
      <w:pPr>
        <w:pStyle w:val="Footnote"/>
        <w:rPr>
          <w:rFonts w:ascii="TimesNewRomanPSMT" w:hAnsi="TimesNewRomanPSMT" w:cs="TimesNewRomanPSMT"/>
          <w:sz w:val="24"/>
          <w:szCs w:val="24"/>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11">
    <w:p w14:paraId="626C22D6"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12">
    <w:p w14:paraId="69815A2F"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“2018 Parliament of the World’s Religions: Toronto,” Parliament of the World’s Religions. </w:t>
      </w:r>
      <w:hyperlink r:id="rId4" w:history="1">
        <w:r w:rsidRPr="008D18EF">
          <w:rPr>
            <w:rStyle w:val="Hyperlink"/>
            <w:rFonts w:ascii="Times New Roman" w:hAnsi="Times New Roman" w:cs="Times New Roman"/>
          </w:rPr>
          <w:t>https://www.parliamentofreligions.org/parliament/2018-toronto/2018-toronto</w:t>
        </w:r>
      </w:hyperlink>
      <w:r>
        <w:rPr>
          <w:rFonts w:ascii="Times New Roman" w:hAnsi="Times New Roman" w:cs="Times New Roman"/>
        </w:rPr>
        <w:t xml:space="preserve">. </w:t>
      </w:r>
    </w:p>
  </w:footnote>
  <w:footnote w:id="13">
    <w:p w14:paraId="226DB33D" w14:textId="77777777" w:rsidR="00B704F3" w:rsidRDefault="00B704F3" w:rsidP="00353CC3">
      <w:pPr>
        <w:pStyle w:val="Footnote"/>
        <w:rPr>
          <w:rFonts w:ascii="TimesNewRomanPSMT" w:hAnsi="TimesNewRomanPSMT" w:cs="TimesNewRomanPSMT"/>
          <w:sz w:val="24"/>
          <w:szCs w:val="24"/>
        </w:rPr>
      </w:pPr>
      <w:r w:rsidRPr="003076C4">
        <w:rPr>
          <w:rFonts w:ascii="Times New Roman" w:hAnsi="Times New Roman" w:cs="Times New Roman"/>
          <w:vertAlign w:val="superscript"/>
        </w:rPr>
        <w:footnoteRef/>
      </w:r>
      <w:r w:rsidRPr="003076C4">
        <w:rPr>
          <w:rFonts w:ascii="Times New Roman" w:hAnsi="Times New Roman" w:cs="Times New Roman"/>
        </w:rPr>
        <w:t xml:space="preserve"> Gustav </w:t>
      </w:r>
      <w:proofErr w:type="spellStart"/>
      <w:r w:rsidRPr="003076C4">
        <w:rPr>
          <w:rFonts w:ascii="Times New Roman" w:hAnsi="Times New Roman" w:cs="Times New Roman"/>
        </w:rPr>
        <w:t>Niebhur</w:t>
      </w:r>
      <w:proofErr w:type="spellEnd"/>
      <w:r w:rsidRPr="003076C4">
        <w:rPr>
          <w:rFonts w:ascii="Times New Roman" w:hAnsi="Times New Roman" w:cs="Times New Roman"/>
        </w:rPr>
        <w:t xml:space="preserve">, </w:t>
      </w:r>
      <w:r w:rsidRPr="005F60A8">
        <w:rPr>
          <w:rFonts w:ascii="Times New Roman" w:hAnsi="Times New Roman" w:cs="Times New Roman"/>
          <w:i/>
        </w:rPr>
        <w:t>Beyond Tolerance</w:t>
      </w:r>
      <w:r>
        <w:rPr>
          <w:rFonts w:ascii="Times New Roman" w:hAnsi="Times New Roman" w:cs="Times New Roman"/>
          <w:i/>
        </w:rPr>
        <w:t>: Searching for Interfaith Understanding in America</w:t>
      </w:r>
      <w:r w:rsidRPr="003076C4">
        <w:rPr>
          <w:rFonts w:ascii="Times New Roman" w:hAnsi="Times New Roman" w:cs="Times New Roman"/>
        </w:rPr>
        <w:t>,</w:t>
      </w:r>
      <w:r>
        <w:rPr>
          <w:rFonts w:ascii="Times New Roman" w:hAnsi="Times New Roman" w:cs="Times New Roman"/>
        </w:rPr>
        <w:t xml:space="preserve"> New York: Viking Penguin, 2008,</w:t>
      </w:r>
      <w:r w:rsidRPr="003076C4">
        <w:rPr>
          <w:rFonts w:ascii="Times New Roman" w:hAnsi="Times New Roman" w:cs="Times New Roman"/>
        </w:rPr>
        <w:t xml:space="preserve"> xv.</w:t>
      </w:r>
    </w:p>
  </w:footnote>
  <w:footnote w:id="14">
    <w:p w14:paraId="6581EFCB"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 xvi</w:t>
      </w:r>
      <w:r>
        <w:rPr>
          <w:rFonts w:ascii="Times New Roman" w:hAnsi="Times New Roman" w:cs="Times New Roman"/>
        </w:rPr>
        <w:t>.</w:t>
      </w:r>
    </w:p>
  </w:footnote>
  <w:footnote w:id="15">
    <w:p w14:paraId="44D92745"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16">
    <w:p w14:paraId="59C46AD1"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“Who We Are,” URI, </w:t>
      </w:r>
      <w:hyperlink r:id="rId5" w:history="1">
        <w:r w:rsidRPr="008D18EF">
          <w:rPr>
            <w:rStyle w:val="Hyperlink"/>
            <w:rFonts w:ascii="Times New Roman" w:hAnsi="Times New Roman" w:cs="Times New Roman"/>
          </w:rPr>
          <w:t>https://www.uri.org/who-we-are</w:t>
        </w:r>
      </w:hyperlink>
      <w:r>
        <w:rPr>
          <w:rFonts w:ascii="Times New Roman" w:hAnsi="Times New Roman" w:cs="Times New Roman"/>
        </w:rPr>
        <w:t xml:space="preserve">. </w:t>
      </w:r>
    </w:p>
  </w:footnote>
  <w:footnote w:id="17">
    <w:p w14:paraId="5F42AB37"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“Charter,” URI, </w:t>
      </w:r>
      <w:hyperlink r:id="rId6" w:anchor="visionmission" w:history="1">
        <w:r w:rsidRPr="008D18EF">
          <w:rPr>
            <w:rStyle w:val="Hyperlink"/>
            <w:rFonts w:ascii="Times New Roman" w:hAnsi="Times New Roman" w:cs="Times New Roman"/>
          </w:rPr>
          <w:t>https://www.uri.org/what-we-do/charter#visionmission</w:t>
        </w:r>
      </w:hyperlink>
      <w:r>
        <w:rPr>
          <w:rFonts w:ascii="Times New Roman" w:hAnsi="Times New Roman" w:cs="Times New Roman"/>
        </w:rPr>
        <w:t xml:space="preserve">. </w:t>
      </w:r>
    </w:p>
  </w:footnote>
  <w:footnote w:id="18">
    <w:p w14:paraId="1BAF4E46"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“United Religions Initiative Charter,” URI, </w:t>
      </w:r>
      <w:hyperlink r:id="rId7" w:history="1">
        <w:r w:rsidRPr="008D18EF">
          <w:rPr>
            <w:rStyle w:val="Hyperlink"/>
            <w:rFonts w:ascii="Times New Roman" w:hAnsi="Times New Roman" w:cs="Times New Roman"/>
          </w:rPr>
          <w:t>http://www.uri.org/sites/default/files/media/document/2017/URI-Charter-English.pdf</w:t>
        </w:r>
      </w:hyperlink>
      <w:r>
        <w:rPr>
          <w:rFonts w:ascii="Times New Roman" w:hAnsi="Times New Roman" w:cs="Times New Roman"/>
        </w:rPr>
        <w:t xml:space="preserve">, 4. </w:t>
      </w:r>
    </w:p>
  </w:footnote>
  <w:footnote w:id="19">
    <w:p w14:paraId="2F5A9F7C"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20">
    <w:p w14:paraId="42A51989" w14:textId="77777777" w:rsidR="00B704F3" w:rsidRDefault="00B704F3" w:rsidP="00353CC3">
      <w:pPr>
        <w:pStyle w:val="Footnote"/>
        <w:rPr>
          <w:rFonts w:ascii="TimesNewRomanPSMT" w:hAnsi="TimesNewRomanPSMT" w:cs="TimesNewRomanPSMT"/>
          <w:sz w:val="24"/>
          <w:szCs w:val="24"/>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p>
  </w:footnote>
  <w:footnote w:id="21">
    <w:p w14:paraId="52D16D2B"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“Meet IFYC,” IFYC, September 27, 2018, </w:t>
      </w:r>
      <w:hyperlink r:id="rId8" w:history="1">
        <w:r w:rsidRPr="008D18EF">
          <w:rPr>
            <w:rStyle w:val="Hyperlink"/>
            <w:rFonts w:ascii="Times New Roman" w:hAnsi="Times New Roman" w:cs="Times New Roman"/>
          </w:rPr>
          <w:t>https://www.ifyc.org/about</w:t>
        </w:r>
      </w:hyperlink>
      <w:r>
        <w:rPr>
          <w:rFonts w:ascii="Times New Roman" w:hAnsi="Times New Roman" w:cs="Times New Roman"/>
        </w:rPr>
        <w:t xml:space="preserve">. </w:t>
      </w:r>
    </w:p>
  </w:footnote>
  <w:footnote w:id="22">
    <w:p w14:paraId="4755E0A3" w14:textId="77777777" w:rsidR="00B704F3" w:rsidRDefault="00B704F3" w:rsidP="00353CC3">
      <w:pPr>
        <w:pStyle w:val="Footnote"/>
        <w:rPr>
          <w:rFonts w:ascii="TimesNewRomanPSMT" w:hAnsi="TimesNewRomanPSMT" w:cs="TimesNewRomanPSMT"/>
          <w:sz w:val="24"/>
          <w:szCs w:val="24"/>
        </w:rPr>
      </w:pPr>
      <w:r w:rsidRPr="003076C4">
        <w:rPr>
          <w:rFonts w:ascii="Times New Roman" w:hAnsi="Times New Roman" w:cs="Times New Roman"/>
          <w:vertAlign w:val="superscript"/>
        </w:rPr>
        <w:footnoteRef/>
      </w:r>
      <w:r w:rsidRPr="003076C4">
        <w:rPr>
          <w:rFonts w:ascii="Times New Roman" w:hAnsi="Times New Roman" w:cs="Times New Roman"/>
        </w:rPr>
        <w:t xml:space="preserve"> </w:t>
      </w:r>
      <w:r>
        <w:rPr>
          <w:rFonts w:ascii="Times New Roman" w:hAnsi="Times New Roman" w:cs="Times New Roman"/>
        </w:rPr>
        <w:t xml:space="preserve">“Interfaith Cooperation,” IFYC, March 19, 2018, </w:t>
      </w:r>
      <w:hyperlink r:id="rId9" w:history="1">
        <w:r w:rsidRPr="008D18EF">
          <w:rPr>
            <w:rStyle w:val="Hyperlink"/>
            <w:rFonts w:ascii="Times New Roman" w:hAnsi="Times New Roman" w:cs="Times New Roman"/>
          </w:rPr>
          <w:t>https://www.ifyc.org/interfaith</w:t>
        </w:r>
      </w:hyperlink>
      <w:r>
        <w:rPr>
          <w:rFonts w:ascii="Times New Roman" w:hAnsi="Times New Roman" w:cs="Times New Roman"/>
        </w:rPr>
        <w:t xml:space="preserve">. </w:t>
      </w:r>
    </w:p>
  </w:footnote>
  <w:footnote w:id="23">
    <w:p w14:paraId="4497BB22"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Eboo Patel, </w:t>
      </w:r>
      <w:r w:rsidRPr="005F60A8">
        <w:rPr>
          <w:rFonts w:ascii="Times New Roman" w:hAnsi="Times New Roman" w:cs="Times New Roman"/>
          <w:i/>
        </w:rPr>
        <w:t>Sacred Ground</w:t>
      </w:r>
      <w:r>
        <w:rPr>
          <w:rFonts w:ascii="Times New Roman" w:hAnsi="Times New Roman" w:cs="Times New Roman"/>
          <w:i/>
        </w:rPr>
        <w:t>: Pluralism, Prejudice, and the Promise of America</w:t>
      </w:r>
      <w:r w:rsidRPr="003076C4">
        <w:rPr>
          <w:rFonts w:ascii="Times New Roman" w:hAnsi="Times New Roman" w:cs="Times New Roman"/>
        </w:rPr>
        <w:t>,</w:t>
      </w:r>
      <w:r>
        <w:rPr>
          <w:rFonts w:ascii="Times New Roman" w:hAnsi="Times New Roman" w:cs="Times New Roman"/>
        </w:rPr>
        <w:t xml:space="preserve"> Boston: Beacon Press, 2012,</w:t>
      </w:r>
      <w:r w:rsidRPr="003076C4">
        <w:rPr>
          <w:rFonts w:ascii="Times New Roman" w:hAnsi="Times New Roman" w:cs="Times New Roman"/>
        </w:rPr>
        <w:t xml:space="preserve"> 68.</w:t>
      </w:r>
    </w:p>
  </w:footnote>
  <w:footnote w:id="24">
    <w:p w14:paraId="0BF2F31A" w14:textId="77777777" w:rsidR="00B704F3" w:rsidRPr="003076C4" w:rsidRDefault="00B704F3" w:rsidP="00353CC3">
      <w:pPr>
        <w:pStyle w:val="Footnote"/>
        <w:rPr>
          <w:rFonts w:ascii="Times New Roman" w:hAnsi="Times New Roman" w:cs="Times New Roman"/>
        </w:rPr>
      </w:pPr>
      <w:r w:rsidRPr="003076C4">
        <w:rPr>
          <w:rFonts w:ascii="Times New Roman" w:hAnsi="Times New Roman" w:cs="Times New Roman"/>
          <w:vertAlign w:val="superscript"/>
        </w:rPr>
        <w:footnoteRef/>
      </w:r>
      <w:r w:rsidRPr="003076C4">
        <w:rPr>
          <w:rFonts w:ascii="Times New Roman" w:hAnsi="Times New Roman" w:cs="Times New Roman"/>
        </w:rPr>
        <w:t xml:space="preserve"> Ibid</w:t>
      </w:r>
      <w:r>
        <w:rPr>
          <w:rFonts w:ascii="Times New Roman" w:hAnsi="Times New Roman" w:cs="Times New Roman"/>
        </w:rPr>
        <w:t>.</w:t>
      </w:r>
      <w:r w:rsidRPr="003076C4">
        <w:rPr>
          <w:rFonts w:ascii="Times New Roman" w:hAnsi="Times New Roman" w:cs="Times New Roman"/>
        </w:rPr>
        <w:t xml:space="preserve"> xxv</w:t>
      </w:r>
      <w:r>
        <w:rPr>
          <w:rFonts w:ascii="Times New Roman" w:hAnsi="Times New Roman" w:cs="Times New Roman"/>
        </w:rPr>
        <w:t>.</w:t>
      </w:r>
    </w:p>
  </w:footnote>
  <w:footnote w:id="25">
    <w:p w14:paraId="47741DF4" w14:textId="1BE46510" w:rsidR="00B704F3" w:rsidRPr="00894619" w:rsidRDefault="00B704F3" w:rsidP="0084464B">
      <w:pPr>
        <w:pStyle w:val="Footnote"/>
        <w:rPr>
          <w:rFonts w:ascii="Times New Roman" w:hAnsi="Times New Roman" w:cs="Times New Roman"/>
        </w:rPr>
      </w:pPr>
      <w:r w:rsidRPr="00894619">
        <w:rPr>
          <w:rFonts w:ascii="Times New Roman" w:hAnsi="Times New Roman" w:cs="Times New Roman"/>
          <w:vertAlign w:val="superscript"/>
        </w:rPr>
        <w:footnoteRef/>
      </w:r>
      <w:r w:rsidRPr="00894619">
        <w:rPr>
          <w:rFonts w:ascii="Times New Roman" w:hAnsi="Times New Roman" w:cs="Times New Roman"/>
        </w:rPr>
        <w:t xml:space="preserve"> </w:t>
      </w:r>
      <w:r>
        <w:rPr>
          <w:rFonts w:ascii="Times New Roman" w:hAnsi="Times New Roman" w:cs="Times New Roman"/>
        </w:rPr>
        <w:t xml:space="preserve">Eboo Patel, </w:t>
      </w:r>
      <w:r w:rsidRPr="00C820CF">
        <w:rPr>
          <w:rFonts w:ascii="Times New Roman" w:hAnsi="Times New Roman" w:cs="Times New Roman"/>
          <w:i/>
        </w:rPr>
        <w:t>Acts of Faith</w:t>
      </w:r>
      <w:r>
        <w:rPr>
          <w:rFonts w:ascii="Times New Roman" w:hAnsi="Times New Roman" w:cs="Times New Roman"/>
          <w:i/>
        </w:rPr>
        <w:t>: The Story of an American Muslim, the Struggle for the Soul of a Generation</w:t>
      </w:r>
      <w:r>
        <w:rPr>
          <w:rFonts w:ascii="Times New Roman" w:hAnsi="Times New Roman" w:cs="Times New Roman"/>
        </w:rPr>
        <w:t>, Boston: Beacon Press, 2007, 13.</w:t>
      </w:r>
    </w:p>
  </w:footnote>
  <w:footnote w:id="26">
    <w:p w14:paraId="4CADEA57" w14:textId="32B7BEB0" w:rsidR="00B704F3" w:rsidRPr="00894619" w:rsidRDefault="00B704F3" w:rsidP="0084464B">
      <w:pPr>
        <w:pStyle w:val="Footnote"/>
        <w:rPr>
          <w:rFonts w:ascii="Times New Roman" w:hAnsi="Times New Roman" w:cs="Times New Roman"/>
        </w:rPr>
      </w:pPr>
      <w:r w:rsidRPr="00894619">
        <w:rPr>
          <w:rFonts w:ascii="Times New Roman" w:hAnsi="Times New Roman" w:cs="Times New Roman"/>
          <w:vertAlign w:val="superscript"/>
        </w:rPr>
        <w:footnoteRef/>
      </w:r>
      <w:r w:rsidRPr="00894619">
        <w:rPr>
          <w:rFonts w:ascii="Times New Roman" w:hAnsi="Times New Roman" w:cs="Times New Roman"/>
        </w:rPr>
        <w:t xml:space="preserve"> </w:t>
      </w:r>
      <w:r>
        <w:rPr>
          <w:rFonts w:ascii="Times New Roman" w:hAnsi="Times New Roman" w:cs="Times New Roman"/>
        </w:rPr>
        <w:t xml:space="preserve">Eboo Patel, </w:t>
      </w:r>
      <w:r w:rsidRPr="00C820CF">
        <w:rPr>
          <w:rFonts w:ascii="Times New Roman" w:hAnsi="Times New Roman" w:cs="Times New Roman"/>
          <w:i/>
        </w:rPr>
        <w:t>Sacred Ground</w:t>
      </w:r>
      <w:r>
        <w:rPr>
          <w:rFonts w:ascii="Times New Roman" w:hAnsi="Times New Roman" w:cs="Times New Roman"/>
          <w:i/>
        </w:rPr>
        <w:t>,</w:t>
      </w:r>
      <w:r w:rsidRPr="00894619">
        <w:rPr>
          <w:rFonts w:ascii="Times New Roman" w:hAnsi="Times New Roman" w:cs="Times New Roman"/>
        </w:rPr>
        <w:t xml:space="preserve"> 19</w:t>
      </w:r>
      <w:r>
        <w:rPr>
          <w:rFonts w:ascii="Times New Roman" w:hAnsi="Times New Roman" w:cs="Times New Roman"/>
        </w:rPr>
        <w:t>.</w:t>
      </w:r>
    </w:p>
  </w:footnote>
  <w:footnote w:id="27">
    <w:p w14:paraId="7A4BFD7D" w14:textId="5135792B" w:rsidR="00B80A31" w:rsidRDefault="00B80A31" w:rsidP="00B80A31">
      <w:r w:rsidRPr="00B80A31">
        <w:rPr>
          <w:rStyle w:val="FootnoteReference"/>
          <w:rFonts w:ascii="Times New Roman" w:hAnsi="Times New Roman" w:cs="Times New Roman"/>
          <w:sz w:val="20"/>
          <w:szCs w:val="20"/>
        </w:rPr>
        <w:footnoteRef/>
      </w:r>
      <w:r>
        <w:t xml:space="preserve"> </w:t>
      </w:r>
      <w:r>
        <w:rPr>
          <w:rFonts w:ascii="Times New Roman" w:hAnsi="Times New Roman" w:cs="Times New Roman"/>
          <w:sz w:val="20"/>
          <w:szCs w:val="20"/>
        </w:rPr>
        <w:t>Clyde Haberman, “Near Ground Zero, the Sacred and the Profane,” The New York Times, May 28, 2010,</w:t>
      </w:r>
      <w:r>
        <w:t xml:space="preserve"> </w:t>
      </w:r>
      <w:hyperlink r:id="rId10" w:history="1">
        <w:r w:rsidRPr="00E524A1">
          <w:rPr>
            <w:rStyle w:val="Hyperlink"/>
            <w:rFonts w:ascii="Times New Roman" w:hAnsi="Times New Roman" w:cs="Times New Roman"/>
            <w:sz w:val="20"/>
            <w:szCs w:val="20"/>
          </w:rPr>
          <w:t>https://www.nytimes.com/2010/05/28/nyregion/28nyc.html?rref=collection%2Ftimestopic%2FPark51</w:t>
        </w:r>
      </w:hyperlink>
      <w:r>
        <w:rPr>
          <w:rFonts w:ascii="Times New Roman" w:hAnsi="Times New Roman" w:cs="Times New Roman"/>
          <w:sz w:val="20"/>
          <w:szCs w:val="20"/>
        </w:rPr>
        <w:t>.</w:t>
      </w:r>
    </w:p>
  </w:footnote>
  <w:footnote w:id="28">
    <w:p w14:paraId="4703D722" w14:textId="018CD76B" w:rsidR="00B704F3" w:rsidRPr="00894619" w:rsidRDefault="00B704F3" w:rsidP="0084464B">
      <w:pPr>
        <w:pStyle w:val="Footnote"/>
        <w:rPr>
          <w:rFonts w:ascii="Times New Roman" w:hAnsi="Times New Roman" w:cs="Times New Roman"/>
          <w:color w:val="0000E9"/>
          <w:u w:val="single" w:color="0000E9"/>
        </w:rPr>
      </w:pPr>
      <w:r w:rsidRPr="00894619">
        <w:rPr>
          <w:rFonts w:ascii="Times New Roman" w:hAnsi="Times New Roman" w:cs="Times New Roman"/>
          <w:vertAlign w:val="superscript"/>
        </w:rPr>
        <w:footnoteRef/>
      </w:r>
      <w:r w:rsidRPr="00894619">
        <w:rPr>
          <w:rFonts w:ascii="Times New Roman" w:hAnsi="Times New Roman" w:cs="Times New Roman"/>
        </w:rPr>
        <w:t xml:space="preserve"> </w:t>
      </w:r>
      <w:r>
        <w:rPr>
          <w:rFonts w:ascii="Times New Roman" w:hAnsi="Times New Roman" w:cs="Times New Roman"/>
        </w:rPr>
        <w:t xml:space="preserve">Ian Parker, “The Story of a Suicide,” The New Yorker, June 19, 2017, </w:t>
      </w:r>
      <w:hyperlink r:id="rId11" w:history="1">
        <w:r w:rsidRPr="000A4486">
          <w:rPr>
            <w:rStyle w:val="Hyperlink"/>
            <w:rFonts w:ascii="Times New Roman" w:hAnsi="Times New Roman" w:cs="Times New Roman"/>
          </w:rPr>
          <w:t>https://www.newyorker.com/magazine/2012/02/06/the-story-of-a-suicide</w:t>
        </w:r>
      </w:hyperlink>
      <w:r>
        <w:rPr>
          <w:rFonts w:ascii="Times New Roman" w:hAnsi="Times New Roman" w:cs="Times New Roman"/>
          <w:color w:val="0000E9"/>
          <w:u w:val="single" w:color="0000E9"/>
        </w:rPr>
        <w:t>.</w:t>
      </w:r>
    </w:p>
  </w:footnote>
  <w:footnote w:id="29">
    <w:p w14:paraId="796110C9" w14:textId="6A67464E" w:rsidR="00B704F3" w:rsidRPr="00894619" w:rsidRDefault="00B704F3" w:rsidP="0084464B">
      <w:pPr>
        <w:pStyle w:val="Footnote"/>
        <w:rPr>
          <w:rFonts w:ascii="Times New Roman" w:hAnsi="Times New Roman" w:cs="Times New Roman"/>
        </w:rPr>
      </w:pPr>
      <w:r w:rsidRPr="00894619">
        <w:rPr>
          <w:rFonts w:ascii="Times New Roman" w:hAnsi="Times New Roman" w:cs="Times New Roman"/>
          <w:vertAlign w:val="superscript"/>
        </w:rPr>
        <w:footnoteRef/>
      </w:r>
      <w:r w:rsidRPr="00894619">
        <w:rPr>
          <w:rFonts w:ascii="Times New Roman" w:hAnsi="Times New Roman" w:cs="Times New Roman"/>
        </w:rPr>
        <w:t xml:space="preserve"> </w:t>
      </w:r>
      <w:r>
        <w:rPr>
          <w:rFonts w:ascii="Times New Roman" w:hAnsi="Times New Roman" w:cs="Times New Roman"/>
        </w:rPr>
        <w:t xml:space="preserve">Eboo Patel, </w:t>
      </w:r>
      <w:r w:rsidRPr="00C820CF">
        <w:rPr>
          <w:rFonts w:ascii="Times New Roman" w:hAnsi="Times New Roman" w:cs="Times New Roman"/>
          <w:i/>
        </w:rPr>
        <w:t>Sacred Ground</w:t>
      </w:r>
      <w:r w:rsidRPr="00894619">
        <w:rPr>
          <w:rFonts w:ascii="Times New Roman" w:hAnsi="Times New Roman" w:cs="Times New Roman"/>
        </w:rPr>
        <w:t>, 19</w:t>
      </w:r>
      <w:r>
        <w:rPr>
          <w:rFonts w:ascii="Times New Roman" w:hAnsi="Times New Roman" w:cs="Times New Roman"/>
        </w:rPr>
        <w:t>.</w:t>
      </w:r>
    </w:p>
  </w:footnote>
  <w:footnote w:id="30">
    <w:p w14:paraId="1BCDDC44" w14:textId="77777777" w:rsidR="00B704F3" w:rsidRDefault="00B704F3" w:rsidP="0084464B">
      <w:pPr>
        <w:pStyle w:val="Footnote"/>
        <w:rPr>
          <w:rFonts w:ascii="TimesNewRomanPSMT" w:hAnsi="TimesNewRomanPSMT" w:cs="TimesNewRomanPSMT"/>
          <w:sz w:val="24"/>
          <w:szCs w:val="24"/>
        </w:rPr>
      </w:pPr>
      <w:r w:rsidRPr="00894619">
        <w:rPr>
          <w:rFonts w:ascii="Times New Roman" w:hAnsi="Times New Roman" w:cs="Times New Roman"/>
          <w:vertAlign w:val="superscript"/>
        </w:rPr>
        <w:footnoteRef/>
      </w:r>
      <w:r w:rsidRPr="00894619">
        <w:rPr>
          <w:rFonts w:ascii="Times New Roman" w:hAnsi="Times New Roman" w:cs="Times New Roman"/>
        </w:rPr>
        <w:t xml:space="preserve"> </w:t>
      </w:r>
      <w:r>
        <w:rPr>
          <w:rFonts w:ascii="Times New Roman" w:hAnsi="Times New Roman" w:cs="Times New Roman"/>
        </w:rPr>
        <w:t>I</w:t>
      </w:r>
      <w:r w:rsidRPr="00894619">
        <w:rPr>
          <w:rFonts w:ascii="Times New Roman" w:hAnsi="Times New Roman" w:cs="Times New Roman"/>
        </w:rPr>
        <w:t>bid.</w:t>
      </w:r>
    </w:p>
  </w:footnote>
  <w:footnote w:id="31">
    <w:p w14:paraId="4387F040" w14:textId="3A673442"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w:t>
      </w:r>
      <w:r>
        <w:rPr>
          <w:rFonts w:ascii="Times New Roman" w:hAnsi="Times New Roman" w:cs="Times New Roman"/>
        </w:rPr>
        <w:t xml:space="preserve">Steven </w:t>
      </w:r>
      <w:proofErr w:type="spellStart"/>
      <w:r>
        <w:rPr>
          <w:rFonts w:ascii="Times New Roman" w:hAnsi="Times New Roman" w:cs="Times New Roman"/>
        </w:rPr>
        <w:t>Greenebaum</w:t>
      </w:r>
      <w:proofErr w:type="spellEnd"/>
      <w:r>
        <w:rPr>
          <w:rFonts w:ascii="Times New Roman" w:hAnsi="Times New Roman" w:cs="Times New Roman"/>
        </w:rPr>
        <w:t xml:space="preserve">, </w:t>
      </w:r>
      <w:r w:rsidRPr="008E1E0A">
        <w:rPr>
          <w:rFonts w:ascii="Times New Roman" w:hAnsi="Times New Roman" w:cs="Times New Roman"/>
          <w:i/>
        </w:rPr>
        <w:t>Practical Interfa</w:t>
      </w:r>
      <w:r>
        <w:rPr>
          <w:rFonts w:ascii="Times New Roman" w:hAnsi="Times New Roman" w:cs="Times New Roman"/>
          <w:i/>
        </w:rPr>
        <w:t>ith,</w:t>
      </w:r>
      <w:r>
        <w:rPr>
          <w:rFonts w:ascii="Times New Roman" w:hAnsi="Times New Roman" w:cs="Times New Roman"/>
        </w:rPr>
        <w:t xml:space="preserve"> 4.</w:t>
      </w:r>
    </w:p>
  </w:footnote>
  <w:footnote w:id="32">
    <w:p w14:paraId="51188F08" w14:textId="77777777" w:rsidR="00B704F3" w:rsidRDefault="00B704F3" w:rsidP="0084464B">
      <w:pPr>
        <w:pStyle w:val="Footnote"/>
        <w:rPr>
          <w:rFonts w:ascii="TimesNewRomanPSMT" w:hAnsi="TimesNewRomanPSMT" w:cs="TimesNewRomanPSMT"/>
          <w:sz w:val="24"/>
          <w:szCs w:val="24"/>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p>
  </w:footnote>
  <w:footnote w:id="33">
    <w:p w14:paraId="36340032" w14:textId="77777777"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p>
  </w:footnote>
  <w:footnote w:id="34">
    <w:p w14:paraId="03F85349" w14:textId="77777777"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r>
        <w:rPr>
          <w:rFonts w:ascii="Times New Roman" w:hAnsi="Times New Roman" w:cs="Times New Roman"/>
        </w:rPr>
        <w:t>, 5.</w:t>
      </w:r>
    </w:p>
  </w:footnote>
  <w:footnote w:id="35">
    <w:p w14:paraId="689FD82E" w14:textId="77777777"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p>
  </w:footnote>
  <w:footnote w:id="36">
    <w:p w14:paraId="5735538C" w14:textId="77777777"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p>
  </w:footnote>
  <w:footnote w:id="37">
    <w:p w14:paraId="33D2FED9" w14:textId="77777777" w:rsidR="00B704F3" w:rsidRDefault="00B704F3" w:rsidP="0084464B">
      <w:pPr>
        <w:pStyle w:val="Footnote"/>
        <w:rPr>
          <w:rFonts w:ascii="TimesNewRomanPSMT" w:hAnsi="TimesNewRomanPSMT" w:cs="TimesNewRomanPSMT"/>
          <w:sz w:val="24"/>
          <w:szCs w:val="24"/>
        </w:rPr>
      </w:pPr>
      <w:r w:rsidRPr="009F32F6">
        <w:rPr>
          <w:rFonts w:ascii="Times New Roman" w:hAnsi="Times New Roman" w:cs="Times New Roman"/>
          <w:vertAlign w:val="superscript"/>
        </w:rPr>
        <w:footnoteRef/>
      </w:r>
      <w:r w:rsidRPr="009F32F6">
        <w:rPr>
          <w:rFonts w:ascii="Times New Roman" w:hAnsi="Times New Roman" w:cs="Times New Roman"/>
        </w:rPr>
        <w:t xml:space="preserve"> </w:t>
      </w:r>
      <w:r>
        <w:rPr>
          <w:rFonts w:ascii="Times New Roman" w:hAnsi="Times New Roman" w:cs="Times New Roman"/>
        </w:rPr>
        <w:t>Ibid.</w:t>
      </w:r>
    </w:p>
  </w:footnote>
  <w:footnote w:id="38">
    <w:p w14:paraId="40878E45" w14:textId="77777777" w:rsidR="00B704F3" w:rsidRPr="009F32F6" w:rsidRDefault="00B704F3" w:rsidP="0084464B">
      <w:pPr>
        <w:pStyle w:val="Footnote"/>
        <w:rPr>
          <w:rFonts w:ascii="Times New Roman" w:hAnsi="Times New Roman" w:cs="Times New Roman"/>
        </w:rPr>
      </w:pPr>
      <w:r w:rsidRPr="009F32F6">
        <w:rPr>
          <w:rFonts w:ascii="Times New Roman" w:hAnsi="Times New Roman" w:cs="Times New Roman"/>
          <w:vertAlign w:val="superscript"/>
        </w:rPr>
        <w:footnoteRef/>
      </w:r>
      <w:r w:rsidRPr="009F32F6">
        <w:rPr>
          <w:rFonts w:ascii="Times New Roman" w:hAnsi="Times New Roman" w:cs="Times New Roman"/>
        </w:rPr>
        <w:t xml:space="preserve"> Ibid.</w:t>
      </w:r>
    </w:p>
  </w:footnote>
  <w:footnote w:id="39">
    <w:p w14:paraId="0FDC40C4" w14:textId="77777777" w:rsidR="00B704F3" w:rsidRPr="009860BF" w:rsidRDefault="00B704F3" w:rsidP="0084464B">
      <w:pPr>
        <w:pStyle w:val="FootnoteText"/>
        <w:rPr>
          <w:rFonts w:ascii="Times New Roman" w:hAnsi="Times New Roman" w:cs="Times New Roman"/>
        </w:rPr>
      </w:pPr>
      <w:r w:rsidRPr="009860BF">
        <w:rPr>
          <w:rStyle w:val="FootnoteReference"/>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Paul F. Knitter, introduction to </w:t>
      </w:r>
      <w:r>
        <w:rPr>
          <w:rFonts w:ascii="Times New Roman" w:hAnsi="Times New Roman" w:cs="Times New Roman"/>
          <w:i/>
          <w:iCs/>
        </w:rPr>
        <w:t>The Myth of Religious Superiority: A Multifaith Exploration</w:t>
      </w:r>
      <w:r>
        <w:rPr>
          <w:rFonts w:ascii="Times New Roman" w:hAnsi="Times New Roman" w:cs="Times New Roman"/>
        </w:rPr>
        <w:t>, ed. Paul F. Knitter, (Maryknoll: Orbis Books, 2005), xi.</w:t>
      </w:r>
    </w:p>
  </w:footnote>
  <w:footnote w:id="40">
    <w:p w14:paraId="0FAD596D" w14:textId="77777777" w:rsidR="00B704F3" w:rsidRPr="00397B48" w:rsidRDefault="00B704F3" w:rsidP="0084464B">
      <w:pPr>
        <w:pStyle w:val="Footnote"/>
        <w:rPr>
          <w:rFonts w:ascii="Palatino" w:hAnsi="Palatino" w:cs="Palatino-Roman"/>
          <w:sz w:val="24"/>
          <w:szCs w:val="24"/>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41">
    <w:p w14:paraId="084C633F"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42">
    <w:p w14:paraId="758827A6" w14:textId="77777777" w:rsidR="00B704F3" w:rsidRPr="00397B48" w:rsidRDefault="00B704F3" w:rsidP="0084464B">
      <w:pPr>
        <w:pStyle w:val="Footnote"/>
        <w:rPr>
          <w:rFonts w:ascii="Palatino" w:hAnsi="Palatino" w:cs="Palatino-Roman"/>
          <w:sz w:val="24"/>
          <w:szCs w:val="24"/>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43">
    <w:p w14:paraId="0365FB40"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John Hick, “The Next Step beyond Dialogue,” in </w:t>
      </w:r>
      <w:r>
        <w:rPr>
          <w:rFonts w:ascii="Times New Roman" w:hAnsi="Times New Roman" w:cs="Times New Roman"/>
          <w:i/>
          <w:iCs/>
        </w:rPr>
        <w:t>The Myth of Religious Superiority: A Multifaith Exploration</w:t>
      </w:r>
      <w:r>
        <w:rPr>
          <w:rFonts w:ascii="Times New Roman" w:hAnsi="Times New Roman" w:cs="Times New Roman"/>
        </w:rPr>
        <w:t>, ed. Paul F. Knitter (Maryknoll: Orbis Books, 2005), 9.</w:t>
      </w:r>
    </w:p>
  </w:footnote>
  <w:footnote w:id="44">
    <w:p w14:paraId="7A64881C"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Ibid.</w:t>
      </w:r>
    </w:p>
  </w:footnote>
  <w:footnote w:id="45">
    <w:p w14:paraId="7DC68D68"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46">
    <w:p w14:paraId="452BDD12" w14:textId="7E9E590C" w:rsidR="00B704F3" w:rsidRPr="0046191D" w:rsidRDefault="00B704F3" w:rsidP="0084464B">
      <w:pPr>
        <w:pStyle w:val="Footnote"/>
        <w:rPr>
          <w:rFonts w:ascii="Times New Roman" w:hAnsi="Times New Roman" w:cs="Times New 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w:t>
      </w:r>
      <w:r w:rsidRPr="0046191D">
        <w:rPr>
          <w:rFonts w:ascii="Times New Roman" w:hAnsi="Times New Roman" w:cs="Times New Roman"/>
        </w:rPr>
        <w:t xml:space="preserve">It is important to note that this was not created by John Wesley, but rather inspired by him, the actual creator is a theologian named Albert C. </w:t>
      </w:r>
      <w:proofErr w:type="spellStart"/>
      <w:r w:rsidRPr="0046191D">
        <w:rPr>
          <w:rFonts w:ascii="Times New Roman" w:hAnsi="Times New Roman" w:cs="Times New Roman"/>
        </w:rPr>
        <w:t>Outler</w:t>
      </w:r>
      <w:proofErr w:type="spellEnd"/>
      <w:r w:rsidRPr="0046191D">
        <w:rPr>
          <w:rFonts w:ascii="Times New Roman" w:hAnsi="Times New Roman" w:cs="Times New Roman"/>
        </w:rPr>
        <w:t xml:space="preserve">. </w:t>
      </w:r>
      <w:r w:rsidRPr="009860BF">
        <w:rPr>
          <w:rFonts w:ascii="Times New Roman" w:hAnsi="Times New Roman" w:cs="Times New Roman"/>
        </w:rPr>
        <w:t>For examples</w:t>
      </w:r>
      <w:r>
        <w:rPr>
          <w:rFonts w:ascii="Times New Roman" w:hAnsi="Times New Roman" w:cs="Times New Roman"/>
        </w:rPr>
        <w:t xml:space="preserve"> of what this looks like in Wesley’s work,</w:t>
      </w:r>
      <w:r w:rsidRPr="009860BF">
        <w:rPr>
          <w:rFonts w:ascii="Times New Roman" w:hAnsi="Times New Roman" w:cs="Times New Roman"/>
        </w:rPr>
        <w:t xml:space="preserve"> you can look at his sermons, </w:t>
      </w:r>
      <w:r>
        <w:rPr>
          <w:rFonts w:ascii="Times New Roman" w:hAnsi="Times New Roman" w:cs="Times New Roman"/>
        </w:rPr>
        <w:t>the</w:t>
      </w:r>
      <w:r w:rsidRPr="009860BF">
        <w:rPr>
          <w:rFonts w:ascii="Times New Roman" w:hAnsi="Times New Roman" w:cs="Times New Roman"/>
        </w:rPr>
        <w:t xml:space="preserve"> most popular</w:t>
      </w:r>
      <w:r>
        <w:rPr>
          <w:rFonts w:ascii="Times New Roman" w:hAnsi="Times New Roman" w:cs="Times New Roman"/>
        </w:rPr>
        <w:t xml:space="preserve"> of which are</w:t>
      </w:r>
      <w:r w:rsidRPr="009860BF">
        <w:rPr>
          <w:rFonts w:ascii="Times New Roman" w:hAnsi="Times New Roman" w:cs="Times New Roman"/>
        </w:rPr>
        <w:t xml:space="preserve"> </w:t>
      </w:r>
      <w:r w:rsidR="009D0187" w:rsidRPr="009860BF">
        <w:rPr>
          <w:rFonts w:ascii="Times New Roman" w:hAnsi="Times New Roman" w:cs="Times New Roman"/>
        </w:rPr>
        <w:t>compiled</w:t>
      </w:r>
      <w:r w:rsidRPr="009860BF">
        <w:rPr>
          <w:rFonts w:ascii="Times New Roman" w:hAnsi="Times New Roman" w:cs="Times New Roman"/>
        </w:rPr>
        <w:t xml:space="preserve"> here: </w:t>
      </w:r>
      <w:hyperlink r:id="rId12" w:history="1">
        <w:r w:rsidRPr="009860BF">
          <w:rPr>
            <w:rFonts w:ascii="Times New Roman" w:hAnsi="Times New Roman" w:cs="Times New Roman"/>
            <w:color w:val="0000E9"/>
            <w:u w:val="single" w:color="0000E9"/>
          </w:rPr>
          <w:t>http://wesley.nnu.edu/john-wesley/the-sermons-of-john-wesley-1872-edition/the-sermons-of-john-wesley-the-standard-sermons/</w:t>
        </w:r>
      </w:hyperlink>
      <w:r>
        <w:rPr>
          <w:rFonts w:ascii="Times New Roman" w:hAnsi="Times New Roman" w:cs="Times New Roman"/>
          <w:color w:val="0000E9"/>
          <w:u w:val="single" w:color="0000E9"/>
        </w:rPr>
        <w:t>.</w:t>
      </w:r>
    </w:p>
  </w:footnote>
  <w:footnote w:id="47">
    <w:p w14:paraId="3ECCD2FB" w14:textId="77777777" w:rsidR="00B704F3" w:rsidRPr="00397B48" w:rsidRDefault="00B704F3" w:rsidP="0084464B">
      <w:pPr>
        <w:pStyle w:val="Footnote"/>
        <w:rPr>
          <w:rFonts w:ascii="Palatino" w:hAnsi="Palatino" w:cs="Palatino-Roman"/>
          <w:color w:val="0000E9"/>
          <w:u w:val="single" w:color="0000E9"/>
        </w:rPr>
      </w:pPr>
      <w:r w:rsidRPr="009860BF">
        <w:rPr>
          <w:rFonts w:ascii="Times New Roman" w:hAnsi="Times New Roman" w:cs="Times New Roman"/>
        </w:rPr>
        <w:footnoteRef/>
      </w:r>
      <w:r>
        <w:rPr>
          <w:rFonts w:ascii="Times New Roman" w:hAnsi="Times New Roman" w:cs="Times New Roman"/>
        </w:rPr>
        <w:t xml:space="preserve"> United Methodist Communications, “Wesleyan Quadrilateral,” The United Methodist Church,</w:t>
      </w:r>
      <w:r w:rsidRPr="009860BF">
        <w:rPr>
          <w:rFonts w:ascii="Times New Roman" w:hAnsi="Times New Roman" w:cs="Times New Roman"/>
        </w:rPr>
        <w:t xml:space="preserve"> </w:t>
      </w:r>
      <w:hyperlink r:id="rId13" w:history="1">
        <w:r w:rsidRPr="009860BF">
          <w:rPr>
            <w:rFonts w:ascii="Times New Roman" w:hAnsi="Times New Roman" w:cs="Times New Roman"/>
            <w:color w:val="0000E9"/>
            <w:u w:val="single" w:color="0000E9"/>
          </w:rPr>
          <w:t>http://www.umc.org/what-we-believe/wesleyan-quadrilateral</w:t>
        </w:r>
      </w:hyperlink>
      <w:r>
        <w:rPr>
          <w:rFonts w:ascii="Times New Roman" w:hAnsi="Times New Roman" w:cs="Times New Roman"/>
          <w:color w:val="0000E9"/>
          <w:u w:val="single" w:color="0000E9"/>
        </w:rPr>
        <w:t>.</w:t>
      </w:r>
    </w:p>
  </w:footnote>
  <w:footnote w:id="48">
    <w:p w14:paraId="52C6C00C"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49">
    <w:p w14:paraId="2DC27689" w14:textId="77777777" w:rsidR="00B704F3" w:rsidRPr="00632D04" w:rsidRDefault="00B704F3" w:rsidP="0084464B">
      <w:pPr>
        <w:pStyle w:val="Footnote"/>
        <w:rPr>
          <w:rFonts w:ascii="Times New Roman" w:hAnsi="Times New Roman" w:cs="Times New 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United Methodist Communications, “United Methodists at a Glance,” The United Methodist Church, </w:t>
      </w:r>
      <w:hyperlink r:id="rId14" w:history="1">
        <w:r w:rsidRPr="008442AF">
          <w:rPr>
            <w:rStyle w:val="Hyperlink"/>
            <w:rFonts w:ascii="Times New Roman" w:hAnsi="Times New Roman" w:cs="Times New Roman"/>
          </w:rPr>
          <w:t>http://www.umc.org/who-we-are/united-methodists-at-a-glance</w:t>
        </w:r>
      </w:hyperlink>
      <w:r>
        <w:rPr>
          <w:rFonts w:ascii="Times New Roman" w:hAnsi="Times New Roman" w:cs="Times New Roman"/>
          <w:color w:val="0000E9"/>
          <w:u w:val="single" w:color="0000E9"/>
        </w:rPr>
        <w:t>. (</w:t>
      </w:r>
      <w:r w:rsidRPr="009860BF">
        <w:rPr>
          <w:rFonts w:ascii="Times New Roman" w:hAnsi="Times New Roman" w:cs="Times New Roman"/>
          <w:color w:val="000000"/>
          <w:u w:color="0000E9"/>
        </w:rPr>
        <w:t>as of 2016</w:t>
      </w:r>
      <w:r>
        <w:rPr>
          <w:rFonts w:ascii="Times New Roman" w:hAnsi="Times New Roman" w:cs="Times New Roman"/>
          <w:color w:val="000000"/>
          <w:u w:color="0000E9"/>
        </w:rPr>
        <w:t>)</w:t>
      </w:r>
    </w:p>
  </w:footnote>
  <w:footnote w:id="50">
    <w:p w14:paraId="184A2802" w14:textId="77777777" w:rsidR="00B704F3" w:rsidRPr="00397B48" w:rsidRDefault="00B704F3" w:rsidP="0084464B">
      <w:pPr>
        <w:pStyle w:val="Footnote"/>
        <w:rPr>
          <w:rFonts w:ascii="Palatino" w:hAnsi="Palatino" w:cs="Palatino-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Free versions of both books can be found here for further reading on Methodist Doctrine: </w:t>
      </w:r>
      <w:hyperlink r:id="rId15" w:history="1">
        <w:r w:rsidRPr="009860BF">
          <w:rPr>
            <w:rFonts w:ascii="Times New Roman" w:hAnsi="Times New Roman" w:cs="Times New Roman"/>
            <w:color w:val="0000E9"/>
            <w:u w:val="single" w:color="0000E9"/>
          </w:rPr>
          <w:t>https://www.cokesbury.com/book-of-discipline-book-of-resolutions-free-versions</w:t>
        </w:r>
      </w:hyperlink>
    </w:p>
  </w:footnote>
  <w:footnote w:id="51">
    <w:p w14:paraId="6FED9E14" w14:textId="77777777" w:rsidR="00B704F3" w:rsidRPr="009860BF" w:rsidRDefault="00B704F3" w:rsidP="0084464B">
      <w:pPr>
        <w:pStyle w:val="Footnote"/>
        <w:rPr>
          <w:rFonts w:ascii="Times New Roman" w:hAnsi="Times New Roman" w:cs="Times New Roman"/>
          <w:sz w:val="24"/>
          <w:szCs w:val="24"/>
        </w:rPr>
      </w:pPr>
      <w:r w:rsidRPr="009860BF">
        <w:rPr>
          <w:rFonts w:ascii="Times New Roman" w:hAnsi="Times New Roman" w:cs="Times New Roman"/>
        </w:rPr>
        <w:footnoteRef/>
      </w:r>
      <w:r w:rsidRPr="009860BF">
        <w:rPr>
          <w:rFonts w:ascii="Times New Roman" w:hAnsi="Times New Roman" w:cs="Times New Roman"/>
        </w:rPr>
        <w:t xml:space="preserve"> Mat. 12:31</w:t>
      </w:r>
      <w:r>
        <w:rPr>
          <w:rFonts w:ascii="Times New Roman" w:hAnsi="Times New Roman" w:cs="Times New Roman"/>
        </w:rPr>
        <w:t>,</w:t>
      </w:r>
      <w:r w:rsidRPr="009860BF">
        <w:rPr>
          <w:rFonts w:ascii="Times New Roman" w:hAnsi="Times New Roman" w:cs="Times New Roman"/>
        </w:rPr>
        <w:t xml:space="preserve"> NRSV</w:t>
      </w:r>
      <w:r>
        <w:rPr>
          <w:rFonts w:ascii="Times New Roman" w:hAnsi="Times New Roman" w:cs="Times New Roman"/>
        </w:rPr>
        <w:t>.</w:t>
      </w:r>
    </w:p>
  </w:footnote>
  <w:footnote w:id="52">
    <w:p w14:paraId="09D65ECE"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Luke 10:25-37</w:t>
      </w:r>
      <w:r>
        <w:rPr>
          <w:rFonts w:ascii="Times New Roman" w:hAnsi="Times New Roman" w:cs="Times New Roman"/>
        </w:rPr>
        <w:t>,</w:t>
      </w:r>
      <w:r w:rsidRPr="009860BF">
        <w:rPr>
          <w:rFonts w:ascii="Times New Roman" w:hAnsi="Times New Roman" w:cs="Times New Roman"/>
        </w:rPr>
        <w:t xml:space="preserve"> NRSV</w:t>
      </w:r>
      <w:r>
        <w:rPr>
          <w:rFonts w:ascii="Times New Roman" w:hAnsi="Times New Roman" w:cs="Times New Roman"/>
        </w:rPr>
        <w:t>.</w:t>
      </w:r>
    </w:p>
  </w:footnote>
  <w:footnote w:id="53">
    <w:p w14:paraId="7FFFA9EC" w14:textId="77777777" w:rsidR="00B704F3" w:rsidRPr="00AD0B76" w:rsidRDefault="00B704F3" w:rsidP="0084464B">
      <w:pPr>
        <w:pStyle w:val="Footnote"/>
        <w:rPr>
          <w:rFonts w:ascii="Palatino-Roman" w:hAnsi="Palatino-Roman" w:cs="Palatino-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United Methodist Communications, “Formation of the United Methodist Church,” The United Methodist Church, </w:t>
      </w:r>
      <w:hyperlink r:id="rId16" w:history="1">
        <w:r w:rsidRPr="008442AF">
          <w:rPr>
            <w:rStyle w:val="Hyperlink"/>
            <w:rFonts w:ascii="Times New Roman" w:hAnsi="Times New Roman" w:cs="Times New Roman"/>
          </w:rPr>
          <w:t>http://www.umc.org/who-we-are/formation-of-the-united-methodist-church</w:t>
        </w:r>
      </w:hyperlink>
      <w:r>
        <w:rPr>
          <w:rFonts w:ascii="Times New Roman" w:hAnsi="Times New Roman" w:cs="Times New Roman"/>
          <w:color w:val="0000E9"/>
          <w:u w:val="single" w:color="0000E9"/>
        </w:rPr>
        <w:t>.</w:t>
      </w:r>
    </w:p>
  </w:footnote>
  <w:footnote w:id="54">
    <w:p w14:paraId="0E26BF91"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Hebrews 12:14</w:t>
      </w:r>
      <w:r>
        <w:rPr>
          <w:rFonts w:ascii="Times New Roman" w:hAnsi="Times New Roman" w:cs="Times New Roman"/>
        </w:rPr>
        <w:t>,</w:t>
      </w:r>
      <w:r w:rsidRPr="009860BF">
        <w:rPr>
          <w:rFonts w:ascii="Times New Roman" w:hAnsi="Times New Roman" w:cs="Times New Roman"/>
        </w:rPr>
        <w:t xml:space="preserve"> NRSV</w:t>
      </w:r>
      <w:r>
        <w:rPr>
          <w:rFonts w:ascii="Times New Roman" w:hAnsi="Times New Roman" w:cs="Times New Roman"/>
        </w:rPr>
        <w:t>.</w:t>
      </w:r>
    </w:p>
  </w:footnote>
  <w:footnote w:id="55">
    <w:p w14:paraId="7F8FE8D3" w14:textId="77777777" w:rsidR="00B704F3" w:rsidRPr="00AD0B76" w:rsidRDefault="00B704F3" w:rsidP="0084464B">
      <w:pPr>
        <w:pStyle w:val="Footnote"/>
        <w:rPr>
          <w:rFonts w:ascii="Palatino" w:hAnsi="Palatino" w:cs="Palatino-Roman"/>
        </w:rPr>
      </w:pPr>
      <w:r w:rsidRPr="009860BF">
        <w:rPr>
          <w:rFonts w:ascii="Times New Roman" w:hAnsi="Times New Roman" w:cs="Times New Roman"/>
        </w:rPr>
        <w:footnoteRef/>
      </w:r>
      <w:r w:rsidRPr="009860BF">
        <w:rPr>
          <w:rFonts w:ascii="Times New Roman" w:hAnsi="Times New Roman" w:cs="Times New Roman"/>
        </w:rPr>
        <w:t xml:space="preserve"> Eph. 4:6</w:t>
      </w:r>
      <w:r>
        <w:rPr>
          <w:rFonts w:ascii="Times New Roman" w:hAnsi="Times New Roman" w:cs="Times New Roman"/>
        </w:rPr>
        <w:t>,</w:t>
      </w:r>
      <w:r w:rsidRPr="009860BF">
        <w:rPr>
          <w:rFonts w:ascii="Times New Roman" w:hAnsi="Times New Roman" w:cs="Times New Roman"/>
        </w:rPr>
        <w:t xml:space="preserve"> NRSV</w:t>
      </w:r>
      <w:r>
        <w:rPr>
          <w:rFonts w:ascii="Times New Roman" w:hAnsi="Times New Roman" w:cs="Times New Roman"/>
        </w:rPr>
        <w:t>.</w:t>
      </w:r>
    </w:p>
  </w:footnote>
  <w:footnote w:id="56">
    <w:p w14:paraId="4EE3EDF9" w14:textId="77777777" w:rsidR="00B704F3" w:rsidRPr="009860BF" w:rsidRDefault="00B704F3" w:rsidP="0084464B">
      <w:pPr>
        <w:pStyle w:val="Footnote"/>
        <w:rPr>
          <w:rFonts w:ascii="Times New Roman" w:hAnsi="Times New Roman" w:cs="Times New Roman"/>
          <w:sz w:val="24"/>
          <w:szCs w:val="24"/>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Brian O. </w:t>
      </w:r>
      <w:proofErr w:type="spellStart"/>
      <w:r>
        <w:rPr>
          <w:rFonts w:ascii="Times New Roman" w:hAnsi="Times New Roman" w:cs="Times New Roman"/>
        </w:rPr>
        <w:t>Sigmon</w:t>
      </w:r>
      <w:proofErr w:type="spellEnd"/>
      <w:r>
        <w:rPr>
          <w:rFonts w:ascii="Times New Roman" w:hAnsi="Times New Roman" w:cs="Times New Roman"/>
        </w:rPr>
        <w:t xml:space="preserve"> and Carolyn D. Minus, </w:t>
      </w:r>
      <w:r>
        <w:rPr>
          <w:rFonts w:ascii="Times New Roman" w:hAnsi="Times New Roman" w:cs="Times New Roman"/>
          <w:i/>
        </w:rPr>
        <w:t>The Book of Resolutions of the United Methodist Church, 2016</w:t>
      </w:r>
      <w:r>
        <w:rPr>
          <w:rFonts w:ascii="Times New Roman" w:hAnsi="Times New Roman" w:cs="Times New Roman"/>
        </w:rPr>
        <w:t>, Nashville: United Methodist Publishing House,</w:t>
      </w:r>
      <w:r w:rsidRPr="009860BF">
        <w:rPr>
          <w:rFonts w:ascii="Times New Roman" w:hAnsi="Times New Roman" w:cs="Times New Roman"/>
        </w:rPr>
        <w:t xml:space="preserve"> 297</w:t>
      </w:r>
      <w:r>
        <w:rPr>
          <w:rFonts w:ascii="Times New Roman" w:hAnsi="Times New Roman" w:cs="Times New Roman"/>
        </w:rPr>
        <w:t>.</w:t>
      </w:r>
    </w:p>
  </w:footnote>
  <w:footnote w:id="57">
    <w:p w14:paraId="192D4519"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r>
        <w:rPr>
          <w:rFonts w:ascii="Times New Roman" w:hAnsi="Times New Roman" w:cs="Times New Roman"/>
        </w:rPr>
        <w:t>.,</w:t>
      </w:r>
      <w:r w:rsidRPr="009860BF">
        <w:rPr>
          <w:rFonts w:ascii="Times New Roman" w:hAnsi="Times New Roman" w:cs="Times New Roman"/>
        </w:rPr>
        <w:t xml:space="preserve"> 294</w:t>
      </w:r>
      <w:r>
        <w:rPr>
          <w:rFonts w:ascii="Times New Roman" w:hAnsi="Times New Roman" w:cs="Times New Roman"/>
        </w:rPr>
        <w:t>.</w:t>
      </w:r>
    </w:p>
  </w:footnote>
  <w:footnote w:id="58">
    <w:p w14:paraId="78C0892D"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59">
    <w:p w14:paraId="0D5B6CED"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60">
    <w:p w14:paraId="076E7108" w14:textId="77777777" w:rsidR="00B704F3" w:rsidRPr="00AD0B76" w:rsidRDefault="00B704F3" w:rsidP="0084464B">
      <w:pPr>
        <w:pStyle w:val="Footnote"/>
        <w:rPr>
          <w:rFonts w:ascii="Palatino" w:hAnsi="Palatino" w:cs="Palatino-Roman"/>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61">
    <w:p w14:paraId="32F2E479" w14:textId="77777777" w:rsidR="00B704F3" w:rsidRPr="009860BF" w:rsidRDefault="00B704F3" w:rsidP="0084464B">
      <w:pPr>
        <w:pStyle w:val="Footnote"/>
        <w:rPr>
          <w:rFonts w:ascii="Times New Roman" w:hAnsi="Times New Roman" w:cs="Times New Roman"/>
          <w:sz w:val="24"/>
          <w:szCs w:val="24"/>
        </w:rPr>
      </w:pPr>
      <w:r w:rsidRPr="009860BF">
        <w:rPr>
          <w:rFonts w:ascii="Times New Roman" w:hAnsi="Times New Roman" w:cs="Times New Roman"/>
        </w:rPr>
        <w:footnoteRef/>
      </w:r>
      <w:r w:rsidRPr="009860BF">
        <w:rPr>
          <w:rFonts w:ascii="Times New Roman" w:hAnsi="Times New Roman" w:cs="Times New Roman"/>
        </w:rPr>
        <w:t xml:space="preserve"> Ibid.</w:t>
      </w:r>
    </w:p>
  </w:footnote>
  <w:footnote w:id="62">
    <w:p w14:paraId="2B33C203"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Amos 5:24</w:t>
      </w:r>
      <w:r>
        <w:rPr>
          <w:rFonts w:ascii="Times New Roman" w:hAnsi="Times New Roman" w:cs="Times New Roman"/>
        </w:rPr>
        <w:t>,</w:t>
      </w:r>
      <w:r w:rsidRPr="009860BF">
        <w:rPr>
          <w:rFonts w:ascii="Times New Roman" w:hAnsi="Times New Roman" w:cs="Times New Roman"/>
        </w:rPr>
        <w:t xml:space="preserve"> NRSV</w:t>
      </w:r>
      <w:r>
        <w:rPr>
          <w:rFonts w:ascii="Times New Roman" w:hAnsi="Times New Roman" w:cs="Times New Roman"/>
        </w:rPr>
        <w:t>.</w:t>
      </w:r>
    </w:p>
  </w:footnote>
  <w:footnote w:id="63">
    <w:p w14:paraId="7BA6AE93" w14:textId="77777777" w:rsidR="00B704F3" w:rsidRPr="009860BF" w:rsidRDefault="00B704F3" w:rsidP="0084464B">
      <w:pPr>
        <w:pStyle w:val="Footnote"/>
        <w:rPr>
          <w:rFonts w:ascii="Times New Roman" w:hAnsi="Times New Roman" w:cs="Times New Roman"/>
          <w:sz w:val="24"/>
          <w:szCs w:val="24"/>
        </w:rPr>
      </w:pPr>
      <w:r w:rsidRPr="009860BF">
        <w:rPr>
          <w:rFonts w:ascii="Times New Roman" w:hAnsi="Times New Roman" w:cs="Times New Roman"/>
        </w:rPr>
        <w:footnoteRef/>
      </w:r>
      <w:r w:rsidRPr="009860BF">
        <w:rPr>
          <w:rFonts w:ascii="Times New Roman" w:hAnsi="Times New Roman" w:cs="Times New Roman"/>
        </w:rPr>
        <w:t xml:space="preserve"> Micah 6:8</w:t>
      </w:r>
      <w:r>
        <w:rPr>
          <w:rFonts w:ascii="Times New Roman" w:hAnsi="Times New Roman" w:cs="Times New Roman"/>
        </w:rPr>
        <w:t>, NRSV.</w:t>
      </w:r>
    </w:p>
  </w:footnote>
  <w:footnote w:id="64">
    <w:p w14:paraId="4484342A"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Brian O. </w:t>
      </w:r>
      <w:proofErr w:type="spellStart"/>
      <w:r>
        <w:rPr>
          <w:rFonts w:ascii="Times New Roman" w:hAnsi="Times New Roman" w:cs="Times New Roman"/>
        </w:rPr>
        <w:t>Sigmon</w:t>
      </w:r>
      <w:proofErr w:type="spellEnd"/>
      <w:r>
        <w:rPr>
          <w:rFonts w:ascii="Times New Roman" w:hAnsi="Times New Roman" w:cs="Times New Roman"/>
        </w:rPr>
        <w:t xml:space="preserve"> and Carolyn D. Minus, </w:t>
      </w:r>
      <w:r>
        <w:rPr>
          <w:rFonts w:ascii="Times New Roman" w:hAnsi="Times New Roman" w:cs="Times New Roman"/>
          <w:i/>
        </w:rPr>
        <w:t>The Book of Discipline of the United Methodist Church,</w:t>
      </w:r>
      <w:r w:rsidRPr="00557806">
        <w:rPr>
          <w:rFonts w:ascii="Times New Roman" w:hAnsi="Times New Roman" w:cs="Times New Roman"/>
          <w:i/>
        </w:rPr>
        <w:t xml:space="preserve"> 2016</w:t>
      </w:r>
      <w:r>
        <w:rPr>
          <w:rFonts w:ascii="Times New Roman" w:hAnsi="Times New Roman" w:cs="Times New Roman"/>
        </w:rPr>
        <w:t>, Nashville: United Methodist Publishing House,</w:t>
      </w:r>
      <w:r w:rsidRPr="009860BF">
        <w:rPr>
          <w:rFonts w:ascii="Times New Roman" w:hAnsi="Times New Roman" w:cs="Times New Roman"/>
        </w:rPr>
        <w:t xml:space="preserve"> 105</w:t>
      </w:r>
      <w:r>
        <w:rPr>
          <w:rFonts w:ascii="Times New Roman" w:hAnsi="Times New Roman" w:cs="Times New Roman"/>
        </w:rPr>
        <w:t>.</w:t>
      </w:r>
    </w:p>
  </w:footnote>
  <w:footnote w:id="65">
    <w:p w14:paraId="1ED2055A"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105-106</w:t>
      </w:r>
      <w:r>
        <w:rPr>
          <w:rFonts w:ascii="Times New Roman" w:hAnsi="Times New Roman" w:cs="Times New Roman"/>
        </w:rPr>
        <w:t>.</w:t>
      </w:r>
    </w:p>
  </w:footnote>
  <w:footnote w:id="66">
    <w:p w14:paraId="7A241C38"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106</w:t>
      </w:r>
      <w:r>
        <w:rPr>
          <w:rFonts w:ascii="Times New Roman" w:hAnsi="Times New Roman" w:cs="Times New Roman"/>
        </w:rPr>
        <w:t>.</w:t>
      </w:r>
    </w:p>
  </w:footnote>
  <w:footnote w:id="67">
    <w:p w14:paraId="565B77F8"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110</w:t>
      </w:r>
      <w:r>
        <w:rPr>
          <w:rFonts w:ascii="Times New Roman" w:hAnsi="Times New Roman" w:cs="Times New Roman"/>
        </w:rPr>
        <w:t>.</w:t>
      </w:r>
    </w:p>
  </w:footnote>
  <w:footnote w:id="68">
    <w:p w14:paraId="0E164707"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119</w:t>
      </w:r>
      <w:r>
        <w:rPr>
          <w:rFonts w:ascii="Times New Roman" w:hAnsi="Times New Roman" w:cs="Times New Roman"/>
        </w:rPr>
        <w:t>.</w:t>
      </w:r>
    </w:p>
  </w:footnote>
  <w:footnote w:id="69">
    <w:p w14:paraId="07AF9A88"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131</w:t>
      </w:r>
      <w:r>
        <w:rPr>
          <w:rFonts w:ascii="Times New Roman" w:hAnsi="Times New Roman" w:cs="Times New Roman"/>
        </w:rPr>
        <w:t>.</w:t>
      </w:r>
    </w:p>
  </w:footnote>
  <w:footnote w:id="70">
    <w:p w14:paraId="76C815B7" w14:textId="77777777" w:rsidR="00B704F3" w:rsidRPr="009860BF" w:rsidRDefault="00B704F3" w:rsidP="0084464B">
      <w:pPr>
        <w:pStyle w:val="Footnote"/>
        <w:rPr>
          <w:rFonts w:ascii="Times New Roman" w:hAnsi="Times New Roman" w:cs="Times New Roman"/>
        </w:rPr>
      </w:pPr>
      <w:r w:rsidRPr="009860BF">
        <w:rPr>
          <w:rFonts w:ascii="Times New Roman" w:hAnsi="Times New Roman" w:cs="Times New Roman"/>
        </w:rPr>
        <w:footnoteRef/>
      </w:r>
      <w:r w:rsidRPr="009860BF">
        <w:rPr>
          <w:rFonts w:ascii="Times New Roman" w:hAnsi="Times New Roman" w:cs="Times New Roman"/>
        </w:rPr>
        <w:t xml:space="preserve"> Ibid. 138</w:t>
      </w:r>
      <w:r>
        <w:rPr>
          <w:rFonts w:ascii="Times New Roman" w:hAnsi="Times New Roman" w:cs="Times New Roman"/>
        </w:rPr>
        <w:t>.</w:t>
      </w:r>
    </w:p>
  </w:footnote>
  <w:footnote w:id="71">
    <w:p w14:paraId="74F6042A" w14:textId="77777777" w:rsidR="00B704F3" w:rsidRDefault="00B704F3" w:rsidP="0084464B">
      <w:pPr>
        <w:pStyle w:val="Footnote"/>
        <w:rPr>
          <w:rFonts w:ascii="Palatino-Roman" w:hAnsi="Palatino-Roman" w:cs="Palatino-Roman"/>
          <w:sz w:val="24"/>
          <w:szCs w:val="24"/>
        </w:rPr>
      </w:pPr>
      <w:r w:rsidRPr="009860BF">
        <w:rPr>
          <w:rFonts w:ascii="Times New Roman" w:hAnsi="Times New Roman" w:cs="Times New Roman"/>
        </w:rPr>
        <w:footnoteRef/>
      </w:r>
      <w:r w:rsidRPr="009860BF">
        <w:rPr>
          <w:rFonts w:ascii="Times New Roman" w:hAnsi="Times New Roman" w:cs="Times New Roman"/>
        </w:rPr>
        <w:t xml:space="preserve"> Ibid. 142</w:t>
      </w:r>
      <w:r>
        <w:rPr>
          <w:rFonts w:ascii="Times New Roman" w:hAnsi="Times New Roman" w:cs="Times New Roman"/>
        </w:rPr>
        <w:t>.</w:t>
      </w:r>
    </w:p>
  </w:footnote>
  <w:footnote w:id="72">
    <w:p w14:paraId="1D0AB4AC" w14:textId="77777777" w:rsidR="00B704F3" w:rsidRPr="009860BF" w:rsidRDefault="00B704F3" w:rsidP="0084464B">
      <w:pPr>
        <w:pStyle w:val="Footnote"/>
        <w:rPr>
          <w:rFonts w:ascii="Times New Roman" w:hAnsi="Times New Roman" w:cs="Times New 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Learn more about all the things </w:t>
      </w:r>
      <w:r>
        <w:rPr>
          <w:rFonts w:ascii="Times New Roman" w:hAnsi="Times New Roman" w:cs="Times New Roman"/>
        </w:rPr>
        <w:t>GBCS</w:t>
      </w:r>
      <w:r w:rsidRPr="009860BF">
        <w:rPr>
          <w:rFonts w:ascii="Times New Roman" w:hAnsi="Times New Roman" w:cs="Times New Roman"/>
        </w:rPr>
        <w:t xml:space="preserve"> do</w:t>
      </w:r>
      <w:r>
        <w:rPr>
          <w:rFonts w:ascii="Times New Roman" w:hAnsi="Times New Roman" w:cs="Times New Roman"/>
        </w:rPr>
        <w:t>es</w:t>
      </w:r>
      <w:r w:rsidRPr="009860BF">
        <w:rPr>
          <w:rFonts w:ascii="Times New Roman" w:hAnsi="Times New Roman" w:cs="Times New Roman"/>
        </w:rPr>
        <w:t xml:space="preserve"> at their website: </w:t>
      </w:r>
      <w:hyperlink r:id="rId17" w:history="1">
        <w:r w:rsidRPr="009860BF">
          <w:rPr>
            <w:rFonts w:ascii="Times New Roman" w:hAnsi="Times New Roman" w:cs="Times New Roman"/>
            <w:color w:val="0000E9"/>
            <w:u w:val="single" w:color="0000E9"/>
          </w:rPr>
          <w:t>https://www.umcjustice.org/</w:t>
        </w:r>
      </w:hyperlink>
    </w:p>
  </w:footnote>
  <w:footnote w:id="73">
    <w:p w14:paraId="3EC1F63D" w14:textId="77777777" w:rsidR="00B704F3" w:rsidRPr="009860BF" w:rsidRDefault="00B704F3" w:rsidP="0084464B">
      <w:pPr>
        <w:pStyle w:val="Footnote"/>
        <w:rPr>
          <w:rFonts w:ascii="Times New Roman" w:hAnsi="Times New Roman" w:cs="Times New Roman"/>
          <w:color w:val="0000E9"/>
          <w:u w:val="single" w:color="0000E9"/>
        </w:rPr>
      </w:pPr>
      <w:r w:rsidRPr="009860BF">
        <w:rPr>
          <w:rFonts w:ascii="Times New Roman" w:hAnsi="Times New Roman" w:cs="Times New Roman"/>
        </w:rPr>
        <w:footnoteRef/>
      </w:r>
      <w:r w:rsidRPr="009860BF">
        <w:rPr>
          <w:rFonts w:ascii="Times New Roman" w:hAnsi="Times New Roman" w:cs="Times New Roman"/>
        </w:rPr>
        <w:t xml:space="preserve"> </w:t>
      </w:r>
      <w:r>
        <w:rPr>
          <w:rFonts w:ascii="Times New Roman" w:hAnsi="Times New Roman" w:cs="Times New Roman"/>
        </w:rPr>
        <w:t xml:space="preserve">United Methodist Communications, “2019 Special Session of the General Conference,” the United Methodist Church, </w:t>
      </w:r>
      <w:hyperlink r:id="rId18" w:history="1">
        <w:r w:rsidRPr="008442AF">
          <w:rPr>
            <w:rStyle w:val="Hyperlink"/>
            <w:rFonts w:ascii="Times New Roman" w:hAnsi="Times New Roman" w:cs="Times New Roman"/>
          </w:rPr>
          <w:t>http://www.umc.org/topics/general-conference-2019-special-session</w:t>
        </w:r>
      </w:hyperlink>
      <w:r>
        <w:rPr>
          <w:rFonts w:ascii="Times New Roman" w:hAnsi="Times New Roman" w:cs="Times New Roman"/>
          <w:color w:val="0000E9"/>
          <w:u w:val="single" w:color="0000E9"/>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996681"/>
      <w:docPartObj>
        <w:docPartGallery w:val="Page Numbers (Top of Page)"/>
        <w:docPartUnique/>
      </w:docPartObj>
    </w:sdtPr>
    <w:sdtEndPr>
      <w:rPr>
        <w:rStyle w:val="PageNumber"/>
      </w:rPr>
    </w:sdtEndPr>
    <w:sdtContent>
      <w:p w14:paraId="5A92A5E2" w14:textId="6AF9812A" w:rsidR="00B704F3" w:rsidRDefault="00B704F3" w:rsidP="00B704F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530191315"/>
      <w:docPartObj>
        <w:docPartGallery w:val="Page Numbers (Top of Page)"/>
        <w:docPartUnique/>
      </w:docPartObj>
    </w:sdtPr>
    <w:sdtEndPr>
      <w:rPr>
        <w:rStyle w:val="PageNumber"/>
      </w:rPr>
    </w:sdtEndPr>
    <w:sdtContent>
      <w:p w14:paraId="65F9B62D" w14:textId="104CDFD2" w:rsidR="00B704F3" w:rsidRDefault="00B704F3" w:rsidP="00353CC3">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358320493"/>
      <w:docPartObj>
        <w:docPartGallery w:val="Page Numbers (Top of Page)"/>
        <w:docPartUnique/>
      </w:docPartObj>
    </w:sdtPr>
    <w:sdtEndPr>
      <w:rPr>
        <w:rStyle w:val="PageNumber"/>
      </w:rPr>
    </w:sdtEndPr>
    <w:sdtContent>
      <w:p w14:paraId="515EE946" w14:textId="35B8183B" w:rsidR="00B704F3" w:rsidRDefault="00B704F3" w:rsidP="00353CC3">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4146536" w14:textId="77777777" w:rsidR="00B704F3" w:rsidRDefault="00B704F3" w:rsidP="00353CC3">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0206E6" w14:textId="77777777" w:rsidR="00B704F3" w:rsidRDefault="00B704F3" w:rsidP="00353CC3">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7C8"/>
    <w:rsid w:val="000C6C1C"/>
    <w:rsid w:val="000F0A4F"/>
    <w:rsid w:val="00142B2D"/>
    <w:rsid w:val="00154C18"/>
    <w:rsid w:val="001B29D7"/>
    <w:rsid w:val="00263E53"/>
    <w:rsid w:val="002C658C"/>
    <w:rsid w:val="00316096"/>
    <w:rsid w:val="00322709"/>
    <w:rsid w:val="00335090"/>
    <w:rsid w:val="003423BF"/>
    <w:rsid w:val="00353CC3"/>
    <w:rsid w:val="003566D2"/>
    <w:rsid w:val="00424841"/>
    <w:rsid w:val="00441202"/>
    <w:rsid w:val="00481231"/>
    <w:rsid w:val="00496FC3"/>
    <w:rsid w:val="004C0AF9"/>
    <w:rsid w:val="004D7807"/>
    <w:rsid w:val="00671D61"/>
    <w:rsid w:val="006867C8"/>
    <w:rsid w:val="00687101"/>
    <w:rsid w:val="006A37B9"/>
    <w:rsid w:val="00715671"/>
    <w:rsid w:val="00735FC4"/>
    <w:rsid w:val="00782BF4"/>
    <w:rsid w:val="0078367C"/>
    <w:rsid w:val="007C7502"/>
    <w:rsid w:val="007F293D"/>
    <w:rsid w:val="008124F8"/>
    <w:rsid w:val="00835D92"/>
    <w:rsid w:val="0084464B"/>
    <w:rsid w:val="00867AC4"/>
    <w:rsid w:val="00885835"/>
    <w:rsid w:val="008E1E0A"/>
    <w:rsid w:val="009032EC"/>
    <w:rsid w:val="00982077"/>
    <w:rsid w:val="009A025F"/>
    <w:rsid w:val="009B0476"/>
    <w:rsid w:val="009D0187"/>
    <w:rsid w:val="00A27CFB"/>
    <w:rsid w:val="00A35688"/>
    <w:rsid w:val="00B17D4A"/>
    <w:rsid w:val="00B40403"/>
    <w:rsid w:val="00B647E5"/>
    <w:rsid w:val="00B704F3"/>
    <w:rsid w:val="00B80A31"/>
    <w:rsid w:val="00BD1BCD"/>
    <w:rsid w:val="00C04A73"/>
    <w:rsid w:val="00C06FA2"/>
    <w:rsid w:val="00C27217"/>
    <w:rsid w:val="00C820CF"/>
    <w:rsid w:val="00CE7203"/>
    <w:rsid w:val="00D1706F"/>
    <w:rsid w:val="00D24DF7"/>
    <w:rsid w:val="00D321B5"/>
    <w:rsid w:val="00D565B1"/>
    <w:rsid w:val="00D92A13"/>
    <w:rsid w:val="00DC4827"/>
    <w:rsid w:val="00DC64D4"/>
    <w:rsid w:val="00DF04D8"/>
    <w:rsid w:val="00E27485"/>
    <w:rsid w:val="00E325D5"/>
    <w:rsid w:val="00E452A2"/>
    <w:rsid w:val="00E67200"/>
    <w:rsid w:val="00E80572"/>
    <w:rsid w:val="00F90C74"/>
    <w:rsid w:val="00FA03D5"/>
    <w:rsid w:val="00FF79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75335"/>
  <w15:chartTrackingRefBased/>
  <w15:docId w15:val="{03973DAA-3AA3-0B43-A28F-39216257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uiPriority w:val="99"/>
    <w:rsid w:val="00481231"/>
    <w:pPr>
      <w:widowControl w:val="0"/>
      <w:autoSpaceDE w:val="0"/>
      <w:autoSpaceDN w:val="0"/>
      <w:adjustRightInd w:val="0"/>
    </w:pPr>
    <w:rPr>
      <w:rFonts w:eastAsia="TimesNewRomanPSMT"/>
      <w:sz w:val="20"/>
      <w:szCs w:val="20"/>
    </w:rPr>
  </w:style>
  <w:style w:type="character" w:styleId="Hyperlink">
    <w:name w:val="Hyperlink"/>
    <w:basedOn w:val="DefaultParagraphFont"/>
    <w:uiPriority w:val="99"/>
    <w:unhideWhenUsed/>
    <w:rsid w:val="00353CC3"/>
    <w:rPr>
      <w:color w:val="0563C1" w:themeColor="hyperlink"/>
      <w:u w:val="single"/>
    </w:rPr>
  </w:style>
  <w:style w:type="paragraph" w:styleId="Header">
    <w:name w:val="header"/>
    <w:basedOn w:val="Normal"/>
    <w:link w:val="HeaderChar"/>
    <w:uiPriority w:val="99"/>
    <w:unhideWhenUsed/>
    <w:rsid w:val="00353CC3"/>
    <w:pPr>
      <w:tabs>
        <w:tab w:val="center" w:pos="4680"/>
        <w:tab w:val="right" w:pos="9360"/>
      </w:tabs>
    </w:pPr>
  </w:style>
  <w:style w:type="character" w:customStyle="1" w:styleId="HeaderChar">
    <w:name w:val="Header Char"/>
    <w:basedOn w:val="DefaultParagraphFont"/>
    <w:link w:val="Header"/>
    <w:uiPriority w:val="99"/>
    <w:rsid w:val="00353CC3"/>
  </w:style>
  <w:style w:type="paragraph" w:styleId="Footer">
    <w:name w:val="footer"/>
    <w:basedOn w:val="Normal"/>
    <w:link w:val="FooterChar"/>
    <w:uiPriority w:val="99"/>
    <w:unhideWhenUsed/>
    <w:rsid w:val="00353CC3"/>
    <w:pPr>
      <w:tabs>
        <w:tab w:val="center" w:pos="4680"/>
        <w:tab w:val="right" w:pos="9360"/>
      </w:tabs>
    </w:pPr>
  </w:style>
  <w:style w:type="character" w:customStyle="1" w:styleId="FooterChar">
    <w:name w:val="Footer Char"/>
    <w:basedOn w:val="DefaultParagraphFont"/>
    <w:link w:val="Footer"/>
    <w:uiPriority w:val="99"/>
    <w:rsid w:val="00353CC3"/>
  </w:style>
  <w:style w:type="character" w:styleId="PageNumber">
    <w:name w:val="page number"/>
    <w:basedOn w:val="DefaultParagraphFont"/>
    <w:uiPriority w:val="99"/>
    <w:semiHidden/>
    <w:unhideWhenUsed/>
    <w:rsid w:val="00353CC3"/>
  </w:style>
  <w:style w:type="character" w:styleId="UnresolvedMention">
    <w:name w:val="Unresolved Mention"/>
    <w:basedOn w:val="DefaultParagraphFont"/>
    <w:uiPriority w:val="99"/>
    <w:rsid w:val="00D92A13"/>
    <w:rPr>
      <w:color w:val="605E5C"/>
      <w:shd w:val="clear" w:color="auto" w:fill="E1DFDD"/>
    </w:rPr>
  </w:style>
  <w:style w:type="paragraph" w:styleId="FootnoteText">
    <w:name w:val="footnote text"/>
    <w:basedOn w:val="Normal"/>
    <w:link w:val="FootnoteTextChar"/>
    <w:uiPriority w:val="99"/>
    <w:semiHidden/>
    <w:unhideWhenUsed/>
    <w:rsid w:val="0084464B"/>
    <w:pPr>
      <w:widowControl w:val="0"/>
      <w:autoSpaceDE w:val="0"/>
      <w:autoSpaceDN w:val="0"/>
      <w:adjustRightInd w:val="0"/>
    </w:pPr>
    <w:rPr>
      <w:rFonts w:eastAsia="TimesNewRomanPSMT"/>
      <w:sz w:val="20"/>
      <w:szCs w:val="20"/>
    </w:rPr>
  </w:style>
  <w:style w:type="character" w:customStyle="1" w:styleId="FootnoteTextChar">
    <w:name w:val="Footnote Text Char"/>
    <w:basedOn w:val="DefaultParagraphFont"/>
    <w:link w:val="FootnoteText"/>
    <w:uiPriority w:val="99"/>
    <w:semiHidden/>
    <w:rsid w:val="0084464B"/>
    <w:rPr>
      <w:rFonts w:eastAsia="TimesNewRomanPSMT"/>
      <w:sz w:val="20"/>
      <w:szCs w:val="20"/>
    </w:rPr>
  </w:style>
  <w:style w:type="character" w:styleId="FootnoteReference">
    <w:name w:val="footnote reference"/>
    <w:basedOn w:val="DefaultParagraphFont"/>
    <w:uiPriority w:val="99"/>
    <w:semiHidden/>
    <w:unhideWhenUsed/>
    <w:rsid w:val="0084464B"/>
    <w:rPr>
      <w:vertAlign w:val="superscript"/>
    </w:rPr>
  </w:style>
  <w:style w:type="character" w:styleId="FollowedHyperlink">
    <w:name w:val="FollowedHyperlink"/>
    <w:basedOn w:val="DefaultParagraphFont"/>
    <w:uiPriority w:val="99"/>
    <w:semiHidden/>
    <w:unhideWhenUsed/>
    <w:rsid w:val="00B80A3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1160830">
      <w:bodyDiv w:val="1"/>
      <w:marLeft w:val="0"/>
      <w:marRight w:val="0"/>
      <w:marTop w:val="0"/>
      <w:marBottom w:val="0"/>
      <w:divBdr>
        <w:top w:val="none" w:sz="0" w:space="0" w:color="auto"/>
        <w:left w:val="none" w:sz="0" w:space="0" w:color="auto"/>
        <w:bottom w:val="none" w:sz="0" w:space="0" w:color="auto"/>
        <w:right w:val="none" w:sz="0" w:space="0" w:color="auto"/>
      </w:divBdr>
    </w:div>
    <w:div w:id="1817800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wyorker.com/" TargetMode="External"/><Relationship Id="rId13" Type="http://schemas.openxmlformats.org/officeDocument/2006/relationships/hyperlink" Target="http://www.umc.org/what-we-believe/wesleyan-quadrilatera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nytimes.com/2010/05/28/nyregion/28nyc.html?rref=collection%2Ftimestopic%2FPark51" TargetMode="External"/><Relationship Id="rId12" Type="http://schemas.openxmlformats.org/officeDocument/2006/relationships/hyperlink" Target="http://www.umc.org/who-we-are/united-methodists-at-a-glance"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umc.org/who-we-are/formation-of-the-united-methodist-church"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umc.org/topics/general-conference-2019-special-sessio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kinginstitute.stanford.edu/encyclopedia/selma-montgomery-march" TargetMode="External"/><Relationship Id="rId14" Type="http://schemas.openxmlformats.org/officeDocument/2006/relationships/hyperlink" Target="http://www.uri.org/sites/default/files/media/document/2017/"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ifyc.org/about" TargetMode="External"/><Relationship Id="rId13" Type="http://schemas.openxmlformats.org/officeDocument/2006/relationships/hyperlink" Target="http://www.umc.org/what-we-believe/wesleyan-quadrilateral" TargetMode="External"/><Relationship Id="rId18" Type="http://schemas.openxmlformats.org/officeDocument/2006/relationships/hyperlink" Target="http://www.umc.org/topics/general-conference-2019-special-session" TargetMode="External"/><Relationship Id="rId3" Type="http://schemas.openxmlformats.org/officeDocument/2006/relationships/hyperlink" Target="https://jwa.org/media/abraham-joshua-heschel-on-selma-march-1965" TargetMode="External"/><Relationship Id="rId7" Type="http://schemas.openxmlformats.org/officeDocument/2006/relationships/hyperlink" Target="http://www.uri.org/sites/default/files/media/document/2017/URI-Charter-English.pdf" TargetMode="External"/><Relationship Id="rId12" Type="http://schemas.openxmlformats.org/officeDocument/2006/relationships/hyperlink" Target="http://wesley.nnu.edu/john-wesley/the-sermons-of-john-wesley-1872-edition/the-sermons-of-john-wesley-the-standard-sermons/" TargetMode="External"/><Relationship Id="rId17" Type="http://schemas.openxmlformats.org/officeDocument/2006/relationships/hyperlink" Target="https://www.umcjustice.org/" TargetMode="External"/><Relationship Id="rId2" Type="http://schemas.openxmlformats.org/officeDocument/2006/relationships/hyperlink" Target="https://kinginstitute.stanford.edu/encyclopedia/selma-montgomery-march" TargetMode="External"/><Relationship Id="rId16" Type="http://schemas.openxmlformats.org/officeDocument/2006/relationships/hyperlink" Target="http://www.umc.org/who-we-are/formation-of-the-united-methodist-church" TargetMode="External"/><Relationship Id="rId1" Type="http://schemas.openxmlformats.org/officeDocument/2006/relationships/hyperlink" Target="https://www.ifyc.org/resources" TargetMode="External"/><Relationship Id="rId6" Type="http://schemas.openxmlformats.org/officeDocument/2006/relationships/hyperlink" Target="https://www.uri.org/what-we-do/charter" TargetMode="External"/><Relationship Id="rId11" Type="http://schemas.openxmlformats.org/officeDocument/2006/relationships/hyperlink" Target="https://www.newyorker.com/magazine/2012/02/06/the-story-of-a-suicide" TargetMode="External"/><Relationship Id="rId5" Type="http://schemas.openxmlformats.org/officeDocument/2006/relationships/hyperlink" Target="https://www.uri.org/who-we-are" TargetMode="External"/><Relationship Id="rId15" Type="http://schemas.openxmlformats.org/officeDocument/2006/relationships/hyperlink" Target="https://www.cokesbury.com/book-of-discipline-book-of-resolutions-free-versions" TargetMode="External"/><Relationship Id="rId10" Type="http://schemas.openxmlformats.org/officeDocument/2006/relationships/hyperlink" Target="https://www.nytimes.com/2010/05/28/nyregion/28nyc.html?rref=collection%2Ftimestopic%2FPark51" TargetMode="External"/><Relationship Id="rId4" Type="http://schemas.openxmlformats.org/officeDocument/2006/relationships/hyperlink" Target="https://www.parliamentofreligions.org/parliament/2018-toronto/2018-toronto" TargetMode="External"/><Relationship Id="rId9" Type="http://schemas.openxmlformats.org/officeDocument/2006/relationships/hyperlink" Target="https://www.ifyc.org/interfaith" TargetMode="External"/><Relationship Id="rId14" Type="http://schemas.openxmlformats.org/officeDocument/2006/relationships/hyperlink" Target="http://www.umc.org/who-we-are/united-methodists-at-a-gl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CE7AE71-C6F9-1246-91A6-AFDC28A82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443</TotalTime>
  <Pages>56</Pages>
  <Words>14871</Words>
  <Characters>84770</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Allison Stickley-Miner</dc:creator>
  <cp:keywords/>
  <dc:description/>
  <cp:lastModifiedBy>Allison Stickley-Miner</cp:lastModifiedBy>
  <cp:revision>31</cp:revision>
  <dcterms:created xsi:type="dcterms:W3CDTF">2019-05-01T00:31:00Z</dcterms:created>
  <dcterms:modified xsi:type="dcterms:W3CDTF">2019-05-17T17:27:00Z</dcterms:modified>
</cp:coreProperties>
</file>