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60E13" w14:textId="13CFB28D" w:rsidR="00650CEF" w:rsidRPr="005E7D0C" w:rsidRDefault="00650CEF" w:rsidP="6FB0610E">
      <w:pPr>
        <w:rPr>
          <w:rFonts w:ascii="Calibri" w:eastAsia="Calibri" w:hAnsi="Calibri" w:cs="Calibri"/>
          <w:sz w:val="32"/>
          <w:szCs w:val="32"/>
        </w:rPr>
      </w:pPr>
    </w:p>
    <w:p w14:paraId="2A4D627F" w14:textId="77F09359" w:rsidR="35378DB5" w:rsidRPr="007428D7" w:rsidRDefault="35378DB5" w:rsidP="007428D7">
      <w:pPr>
        <w:pStyle w:val="Title"/>
        <w:spacing w:after="0"/>
        <w:jc w:val="center"/>
        <w:rPr>
          <w:rFonts w:ascii="Times New Roman" w:eastAsia="Aptos" w:hAnsi="Times New Roman" w:cs="Times New Roman"/>
          <w:b/>
          <w:bCs/>
          <w:sz w:val="36"/>
          <w:szCs w:val="36"/>
        </w:rPr>
      </w:pPr>
      <w:r w:rsidRPr="007428D7">
        <w:rPr>
          <w:rFonts w:ascii="Times New Roman" w:eastAsia="Aptos" w:hAnsi="Times New Roman" w:cs="Times New Roman"/>
          <w:b/>
          <w:bCs/>
          <w:sz w:val="36"/>
          <w:szCs w:val="36"/>
        </w:rPr>
        <w:t>The Power of Solidarity: The Effects of Professor-Librarian Collaboration on Students’ Self-Awareness of Skill Acquisition</w:t>
      </w:r>
    </w:p>
    <w:p w14:paraId="6DED886D" w14:textId="7EE30BA6" w:rsidR="2C8B6788" w:rsidRPr="005E7D0C" w:rsidRDefault="2C8B6788" w:rsidP="005E7D0C">
      <w:pPr>
        <w:spacing w:after="0" w:line="240" w:lineRule="auto"/>
        <w:rPr>
          <w:rFonts w:ascii="Times New Roman" w:eastAsia="Calibri" w:hAnsi="Times New Roman" w:cs="Times New Roman"/>
        </w:rPr>
      </w:pPr>
    </w:p>
    <w:p w14:paraId="475A93AB" w14:textId="56DFA140" w:rsidR="005E7D0C" w:rsidRPr="005E7D0C" w:rsidRDefault="005E7D0C" w:rsidP="00C86485">
      <w:pPr>
        <w:pStyle w:val="Heading1"/>
        <w:spacing w:before="0" w:after="0"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Introduction</w:t>
      </w:r>
    </w:p>
    <w:p w14:paraId="394DBD77" w14:textId="2F7F728F" w:rsidR="59A2AB8B" w:rsidRPr="005E7D0C" w:rsidRDefault="0B9951DF" w:rsidP="00C86485">
      <w:pPr>
        <w:spacing w:after="0" w:line="480" w:lineRule="auto"/>
        <w:ind w:left="-14" w:right="-14" w:firstLine="720"/>
        <w:rPr>
          <w:rFonts w:ascii="Times New Roman" w:hAnsi="Times New Roman" w:cs="Times New Roman"/>
        </w:rPr>
      </w:pPr>
      <w:r w:rsidRPr="005E7D0C">
        <w:rPr>
          <w:rFonts w:ascii="Times New Roman" w:eastAsia="Calibri" w:hAnsi="Times New Roman" w:cs="Times New Roman"/>
          <w:color w:val="000000" w:themeColor="text1"/>
        </w:rPr>
        <w:t xml:space="preserve">The American Library Association’s adoption of the Framework for Information Literacy in 2016 formalized a sea change in information literacy instruction from a skills-based </w:t>
      </w:r>
      <w:r w:rsidR="0895BA13" w:rsidRPr="005E7D0C">
        <w:rPr>
          <w:rFonts w:ascii="Times New Roman" w:eastAsia="Calibri" w:hAnsi="Times New Roman" w:cs="Times New Roman"/>
          <w:color w:val="000000" w:themeColor="text1"/>
        </w:rPr>
        <w:t>to a concept-drive</w:t>
      </w:r>
      <w:r w:rsidR="036F0545" w:rsidRPr="005E7D0C">
        <w:rPr>
          <w:rFonts w:ascii="Times New Roman" w:eastAsia="Calibri" w:hAnsi="Times New Roman" w:cs="Times New Roman"/>
          <w:color w:val="000000" w:themeColor="text1"/>
        </w:rPr>
        <w:t>n</w:t>
      </w:r>
      <w:r w:rsidR="0895BA13"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model (Association of College and Research Libraries, 2015). Students need time and support to experiment with these </w:t>
      </w:r>
      <w:r w:rsidR="58F7C2E5" w:rsidRPr="005E7D0C">
        <w:rPr>
          <w:rFonts w:ascii="Times New Roman" w:eastAsia="Calibri" w:hAnsi="Times New Roman" w:cs="Times New Roman"/>
          <w:color w:val="000000" w:themeColor="text1"/>
        </w:rPr>
        <w:t>concepts</w:t>
      </w:r>
      <w:r w:rsidRPr="005E7D0C">
        <w:rPr>
          <w:rFonts w:ascii="Times New Roman" w:eastAsia="Calibri" w:hAnsi="Times New Roman" w:cs="Times New Roman"/>
          <w:color w:val="000000" w:themeColor="text1"/>
        </w:rPr>
        <w:t xml:space="preserve">, more time than allowed by a few isolated </w:t>
      </w:r>
      <w:r w:rsidR="13B9AA23" w:rsidRPr="005E7D0C">
        <w:rPr>
          <w:rFonts w:ascii="Times New Roman" w:eastAsia="Calibri" w:hAnsi="Times New Roman" w:cs="Times New Roman"/>
          <w:color w:val="000000" w:themeColor="text1"/>
        </w:rPr>
        <w:t>library</w:t>
      </w:r>
      <w:r w:rsidRPr="005E7D0C">
        <w:rPr>
          <w:rFonts w:ascii="Times New Roman" w:eastAsia="Calibri" w:hAnsi="Times New Roman" w:cs="Times New Roman"/>
          <w:color w:val="000000" w:themeColor="text1"/>
        </w:rPr>
        <w:t xml:space="preserve"> sessions. In attempt to solve this issue, literature on teaching highlights the importance of collaboration with faculty, but librarians often encounter pitfalls as they are forced to navigate various power imbalances </w:t>
      </w:r>
      <w:proofErr w:type="gramStart"/>
      <w:r w:rsidRPr="005E7D0C">
        <w:rPr>
          <w:rFonts w:ascii="Times New Roman" w:eastAsia="Calibri" w:hAnsi="Times New Roman" w:cs="Times New Roman"/>
          <w:color w:val="000000" w:themeColor="text1"/>
        </w:rPr>
        <w:t>in order to</w:t>
      </w:r>
      <w:proofErr w:type="gramEnd"/>
      <w:r w:rsidRPr="005E7D0C">
        <w:rPr>
          <w:rFonts w:ascii="Times New Roman" w:eastAsia="Calibri" w:hAnsi="Times New Roman" w:cs="Times New Roman"/>
          <w:color w:val="000000" w:themeColor="text1"/>
        </w:rPr>
        <w:t xml:space="preserve"> provide students their information literacy expertise (Franklin, 2013; Julien &amp; Given, 2002; Lechtenberg &amp; Donovan, 2022; Perez-Stable et al., 2020). </w:t>
      </w:r>
    </w:p>
    <w:p w14:paraId="696C8449" w14:textId="6CD7E4DE" w:rsidR="59A2AB8B" w:rsidRPr="005E7D0C" w:rsidRDefault="0B9951DF" w:rsidP="00C86485">
      <w:pPr>
        <w:spacing w:after="0" w:line="480" w:lineRule="auto"/>
        <w:ind w:left="-20" w:right="-20" w:firstLine="720"/>
        <w:rPr>
          <w:rFonts w:ascii="Times New Roman" w:hAnsi="Times New Roman" w:cs="Times New Roman"/>
        </w:rPr>
      </w:pPr>
      <w:r w:rsidRPr="005E7D0C">
        <w:rPr>
          <w:rFonts w:ascii="Times New Roman" w:eastAsia="Calibri" w:hAnsi="Times New Roman" w:cs="Times New Roman"/>
          <w:color w:val="000000" w:themeColor="text1"/>
        </w:rPr>
        <w:t>By grounding our teaching in an ethos of solidarity, the coauthors of this article—one a professor and the other a librarian—</w:t>
      </w:r>
      <w:r w:rsidR="733808B3" w:rsidRPr="005E7D0C">
        <w:rPr>
          <w:rFonts w:ascii="Times New Roman" w:eastAsia="Calibri" w:hAnsi="Times New Roman" w:cs="Times New Roman"/>
          <w:color w:val="000000" w:themeColor="text1"/>
        </w:rPr>
        <w:t xml:space="preserve">found </w:t>
      </w:r>
      <w:r w:rsidRPr="005E7D0C">
        <w:rPr>
          <w:rFonts w:ascii="Times New Roman" w:eastAsia="Calibri" w:hAnsi="Times New Roman" w:cs="Times New Roman"/>
          <w:color w:val="000000" w:themeColor="text1"/>
        </w:rPr>
        <w:t xml:space="preserve">an easeful collaboration that resulted in positive affective experiences for students. Our praxis included innovative pedagogical techniques in our respective fields. For the professor, Elizabeth Massey, the focus on threshold skills rather than subject content upends the </w:t>
      </w:r>
      <w:r w:rsidR="4D4804C0" w:rsidRPr="005E7D0C">
        <w:rPr>
          <w:rFonts w:ascii="Times New Roman" w:eastAsia="Calibri" w:hAnsi="Times New Roman" w:cs="Times New Roman"/>
          <w:color w:val="000000" w:themeColor="text1"/>
        </w:rPr>
        <w:t xml:space="preserve">traditional </w:t>
      </w:r>
      <w:r w:rsidRPr="005E7D0C">
        <w:rPr>
          <w:rFonts w:ascii="Times New Roman" w:eastAsia="Calibri" w:hAnsi="Times New Roman" w:cs="Times New Roman"/>
          <w:color w:val="000000" w:themeColor="text1"/>
        </w:rPr>
        <w:t xml:space="preserve">canon-based </w:t>
      </w:r>
      <w:r w:rsidR="6ADE37DF" w:rsidRPr="005E7D0C">
        <w:rPr>
          <w:rFonts w:ascii="Times New Roman" w:eastAsia="Calibri" w:hAnsi="Times New Roman" w:cs="Times New Roman"/>
          <w:color w:val="000000" w:themeColor="text1"/>
        </w:rPr>
        <w:t xml:space="preserve">music history </w:t>
      </w:r>
      <w:r w:rsidR="38623E8C" w:rsidRPr="005E7D0C">
        <w:rPr>
          <w:rFonts w:ascii="Times New Roman" w:eastAsia="Calibri" w:hAnsi="Times New Roman" w:cs="Times New Roman"/>
          <w:color w:val="000000" w:themeColor="text1"/>
        </w:rPr>
        <w:t>teaching</w:t>
      </w:r>
      <w:r w:rsidRPr="005E7D0C">
        <w:rPr>
          <w:rFonts w:ascii="Times New Roman" w:eastAsia="Calibri" w:hAnsi="Times New Roman" w:cs="Times New Roman"/>
          <w:color w:val="000000" w:themeColor="text1"/>
        </w:rPr>
        <w:t>. For the librarian, Christina Taylor Gibson, the prioritization of relationship building over more quantifiable outcomes extends the implications the Framework’s “dispositions” at the explicit expense of skill-building. The experience we offered students rebalanced typical divisions of labor with Massey taking on skill-</w:t>
      </w:r>
      <w:r w:rsidRPr="005E7D0C">
        <w:rPr>
          <w:rFonts w:ascii="Times New Roman" w:eastAsia="Calibri" w:hAnsi="Times New Roman" w:cs="Times New Roman"/>
          <w:color w:val="000000" w:themeColor="text1"/>
        </w:rPr>
        <w:lastRenderedPageBreak/>
        <w:t>building and Gibson the philosophical underpinnings. Our experience indicates that instructor-librarian collaboration forged around shared experiences and objectives positively influences students’ receptivity to information literacy concepts.</w:t>
      </w:r>
    </w:p>
    <w:p w14:paraId="7D3759AF" w14:textId="7FF6A041" w:rsidR="59A2AB8B" w:rsidRPr="00095F44" w:rsidRDefault="39423C3C" w:rsidP="00C86485">
      <w:pPr>
        <w:spacing w:after="0" w:line="480" w:lineRule="auto"/>
        <w:ind w:left="-20" w:right="-20" w:firstLine="720"/>
        <w:rPr>
          <w:rFonts w:ascii="Times New Roman" w:hAnsi="Times New Roman" w:cs="Times New Roman"/>
        </w:rPr>
      </w:pPr>
      <w:r w:rsidRPr="005E7D0C">
        <w:rPr>
          <w:rFonts w:ascii="Times New Roman" w:eastAsia="Calibri" w:hAnsi="Times New Roman" w:cs="Times New Roman"/>
          <w:color w:val="000000" w:themeColor="text1"/>
        </w:rPr>
        <w:t>The way we studied our approach's effectiveness was also innovative.</w:t>
      </w:r>
      <w:r w:rsidR="0B9951DF" w:rsidRPr="005E7D0C">
        <w:rPr>
          <w:rFonts w:ascii="Times New Roman" w:eastAsia="Calibri" w:hAnsi="Times New Roman" w:cs="Times New Roman"/>
          <w:color w:val="000000" w:themeColor="text1"/>
        </w:rPr>
        <w:t xml:space="preserve"> Most studies of student responses to library instruction focus on student achievement in the course or program of study (e.g. </w:t>
      </w:r>
      <w:r w:rsidR="0B9951DF" w:rsidRPr="005E7D0C">
        <w:rPr>
          <w:rFonts w:ascii="Times New Roman" w:eastAsia="Calibri" w:hAnsi="Times New Roman" w:cs="Times New Roman"/>
        </w:rPr>
        <w:t xml:space="preserve">Dahlen &amp; Leuzinger, 2020; </w:t>
      </w:r>
      <w:proofErr w:type="spellStart"/>
      <w:r w:rsidR="0B9951DF" w:rsidRPr="005E7D0C">
        <w:rPr>
          <w:rFonts w:ascii="Times New Roman" w:eastAsia="Calibri" w:hAnsi="Times New Roman" w:cs="Times New Roman"/>
        </w:rPr>
        <w:t>Scoulas</w:t>
      </w:r>
      <w:proofErr w:type="spellEnd"/>
      <w:r w:rsidR="0B9951DF" w:rsidRPr="005E7D0C">
        <w:rPr>
          <w:rFonts w:ascii="Times New Roman" w:eastAsia="Calibri" w:hAnsi="Times New Roman" w:cs="Times New Roman"/>
        </w:rPr>
        <w:t xml:space="preserve"> &amp; De Groote, 2022)</w:t>
      </w:r>
      <w:r w:rsidR="3CFDAFA3" w:rsidRPr="005E7D0C">
        <w:rPr>
          <w:rFonts w:ascii="Times New Roman" w:eastAsia="Calibri" w:hAnsi="Times New Roman" w:cs="Times New Roman"/>
        </w:rPr>
        <w:t xml:space="preserve">, but not </w:t>
      </w:r>
      <w:r w:rsidR="295164CE" w:rsidRPr="005E7D0C">
        <w:rPr>
          <w:rFonts w:ascii="Times New Roman" w:eastAsia="Calibri" w:hAnsi="Times New Roman" w:cs="Times New Roman"/>
          <w:color w:val="000000" w:themeColor="text1"/>
        </w:rPr>
        <w:t xml:space="preserve">the </w:t>
      </w:r>
      <w:r w:rsidR="0B9951DF" w:rsidRPr="005E7D0C">
        <w:rPr>
          <w:rFonts w:ascii="Times New Roman" w:eastAsia="Calibri" w:hAnsi="Times New Roman" w:cs="Times New Roman"/>
          <w:color w:val="000000" w:themeColor="text1"/>
        </w:rPr>
        <w:t>dispositions that the Framework asks us to cultivate. Our study, by contrast, examines students’ affective experiences at three inflection points through the semester, training our vision on students’ sense of empowerment rather than their demonstration of competency. Surveys of those enrolled in the course demonstrate students’ growing self-awareness of their own mastery, as detailed below.</w:t>
      </w:r>
    </w:p>
    <w:p w14:paraId="2BFCFE71" w14:textId="13BE5EFC" w:rsidR="00650CEF" w:rsidRPr="005E7D0C" w:rsidRDefault="1585A506"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Pedagogical Philosophy</w:t>
      </w:r>
    </w:p>
    <w:p w14:paraId="11A4F919" w14:textId="5A3DF3C4" w:rsidR="00650CEF"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The ideas in Paulo Freire’s </w:t>
      </w:r>
      <w:r w:rsidRPr="005E7D0C">
        <w:rPr>
          <w:rFonts w:ascii="Times New Roman" w:eastAsia="Calibri" w:hAnsi="Times New Roman" w:cs="Times New Roman"/>
          <w:i/>
          <w:iCs/>
          <w:color w:val="000000" w:themeColor="text1"/>
        </w:rPr>
        <w:t xml:space="preserve">Pedagogy of the Oppressed </w:t>
      </w:r>
      <w:r w:rsidRPr="005E7D0C">
        <w:rPr>
          <w:rFonts w:ascii="Times New Roman" w:eastAsia="Calibri" w:hAnsi="Times New Roman" w:cs="Times New Roman"/>
          <w:color w:val="000000" w:themeColor="text1"/>
        </w:rPr>
        <w:t xml:space="preserve">(1972) </w:t>
      </w:r>
      <w:r w:rsidR="43102BA9" w:rsidRPr="005E7D0C">
        <w:rPr>
          <w:rFonts w:ascii="Times New Roman" w:eastAsia="Calibri" w:hAnsi="Times New Roman" w:cs="Times New Roman"/>
          <w:color w:val="000000" w:themeColor="text1"/>
        </w:rPr>
        <w:t>grew from</w:t>
      </w:r>
      <w:r w:rsidRPr="005E7D0C">
        <w:rPr>
          <w:rFonts w:ascii="Times New Roman" w:eastAsia="Calibri" w:hAnsi="Times New Roman" w:cs="Times New Roman"/>
          <w:color w:val="000000" w:themeColor="text1"/>
        </w:rPr>
        <w:t xml:space="preserve"> the author’s work as a teacher and administrator. For example, Brazilian law required voters to be literate, so Freire founded a literacy education program</w:t>
      </w:r>
      <w:r w:rsidR="0FF4C422" w:rsidRPr="005E7D0C">
        <w:rPr>
          <w:rFonts w:ascii="Times New Roman" w:eastAsia="Calibri" w:hAnsi="Times New Roman" w:cs="Times New Roman"/>
          <w:color w:val="000000" w:themeColor="text1"/>
        </w:rPr>
        <w:t xml:space="preserve"> for Recife laborers</w:t>
      </w:r>
      <w:r w:rsidRPr="005E7D0C">
        <w:rPr>
          <w:rFonts w:ascii="Times New Roman" w:eastAsia="Calibri" w:hAnsi="Times New Roman" w:cs="Times New Roman"/>
          <w:color w:val="000000" w:themeColor="text1"/>
        </w:rPr>
        <w:t xml:space="preserve">. </w:t>
      </w:r>
      <w:r w:rsidR="531C8EB9" w:rsidRPr="005E7D0C">
        <w:rPr>
          <w:rFonts w:ascii="Times New Roman" w:eastAsia="Calibri" w:hAnsi="Times New Roman" w:cs="Times New Roman"/>
          <w:color w:val="000000" w:themeColor="text1"/>
        </w:rPr>
        <w:t xml:space="preserve">This work threatened </w:t>
      </w:r>
      <w:r w:rsidRPr="005E7D0C">
        <w:rPr>
          <w:rFonts w:ascii="Times New Roman" w:eastAsia="Calibri" w:hAnsi="Times New Roman" w:cs="Times New Roman"/>
          <w:color w:val="000000" w:themeColor="text1"/>
        </w:rPr>
        <w:t xml:space="preserve">the military dictatorship, which took over in 1964, leading to Freire’s exile in Chile (1964-1969), the U.S. (1969), and finally in Geneva, Switzerland (1970-1980). By 1972, when </w:t>
      </w:r>
      <w:r w:rsidRPr="005E7D0C">
        <w:rPr>
          <w:rFonts w:ascii="Times New Roman" w:eastAsia="Calibri" w:hAnsi="Times New Roman" w:cs="Times New Roman"/>
          <w:i/>
          <w:iCs/>
          <w:color w:val="000000" w:themeColor="text1"/>
        </w:rPr>
        <w:t xml:space="preserve">Pedagogy </w:t>
      </w:r>
      <w:r w:rsidRPr="005E7D0C">
        <w:rPr>
          <w:rFonts w:ascii="Times New Roman" w:eastAsia="Calibri" w:hAnsi="Times New Roman" w:cs="Times New Roman"/>
          <w:color w:val="000000" w:themeColor="text1"/>
        </w:rPr>
        <w:t>was published, there was a global movement in which young people leveraged their education to advocate for political autonomy (for biography see Roberts</w:t>
      </w:r>
      <w:r w:rsidR="218D0839"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2022). </w:t>
      </w:r>
      <w:r w:rsidR="1EBD9C44" w:rsidRPr="005E7D0C">
        <w:rPr>
          <w:rFonts w:ascii="Times New Roman" w:eastAsia="Calibri" w:hAnsi="Times New Roman" w:cs="Times New Roman"/>
          <w:color w:val="000000" w:themeColor="text1"/>
        </w:rPr>
        <w:t>L</w:t>
      </w:r>
      <w:r w:rsidRPr="005E7D0C">
        <w:rPr>
          <w:rFonts w:ascii="Times New Roman" w:eastAsia="Calibri" w:hAnsi="Times New Roman" w:cs="Times New Roman"/>
          <w:color w:val="000000" w:themeColor="text1"/>
        </w:rPr>
        <w:t>iberation pedagogy was a result of lived experience</w:t>
      </w:r>
      <w:r w:rsidR="3B60F166"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and </w:t>
      </w:r>
      <w:r w:rsidR="595D73F0" w:rsidRPr="005E7D0C">
        <w:rPr>
          <w:rFonts w:ascii="Times New Roman" w:eastAsia="Calibri" w:hAnsi="Times New Roman" w:cs="Times New Roman"/>
          <w:color w:val="000000" w:themeColor="text1"/>
        </w:rPr>
        <w:t xml:space="preserve">it </w:t>
      </w:r>
      <w:r w:rsidRPr="005E7D0C">
        <w:rPr>
          <w:rFonts w:ascii="Times New Roman" w:eastAsia="Calibri" w:hAnsi="Times New Roman" w:cs="Times New Roman"/>
          <w:color w:val="000000" w:themeColor="text1"/>
        </w:rPr>
        <w:t xml:space="preserve">invites actionable change. </w:t>
      </w:r>
      <w:r w:rsidR="5E961E2D" w:rsidRPr="005E7D0C">
        <w:rPr>
          <w:rFonts w:ascii="Times New Roman" w:eastAsia="Calibri" w:hAnsi="Times New Roman" w:cs="Times New Roman"/>
          <w:color w:val="000000" w:themeColor="text1"/>
        </w:rPr>
        <w:t xml:space="preserve">Assuming his reader’s participation in this movement, Freire focuses </w:t>
      </w:r>
      <w:r w:rsidR="5E961E2D" w:rsidRPr="005E7D0C">
        <w:rPr>
          <w:rFonts w:ascii="Times New Roman" w:eastAsia="Calibri" w:hAnsi="Times New Roman" w:cs="Times New Roman"/>
          <w:color w:val="000000" w:themeColor="text1"/>
        </w:rPr>
        <w:lastRenderedPageBreak/>
        <w:t xml:space="preserve">on how to prepare </w:t>
      </w:r>
      <w:r w:rsidR="60BA4BCD" w:rsidRPr="005E7D0C">
        <w:rPr>
          <w:rFonts w:ascii="Times New Roman" w:eastAsia="Calibri" w:hAnsi="Times New Roman" w:cs="Times New Roman"/>
          <w:color w:val="000000" w:themeColor="text1"/>
        </w:rPr>
        <w:t>for and the process of liberation in the classroom</w:t>
      </w:r>
      <w:r w:rsidR="5E961E2D" w:rsidRPr="005E7D0C">
        <w:rPr>
          <w:rFonts w:ascii="Times New Roman" w:eastAsia="Calibri" w:hAnsi="Times New Roman" w:cs="Times New Roman"/>
          <w:color w:val="000000" w:themeColor="text1"/>
        </w:rPr>
        <w:t>.</w:t>
      </w:r>
      <w:r w:rsidR="77702DFF"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That happens, Freire tells us, through solidarity:</w:t>
      </w:r>
    </w:p>
    <w:p w14:paraId="522CF540" w14:textId="387B1749" w:rsidR="00650CEF" w:rsidRPr="005E7D0C" w:rsidRDefault="1D4621AB" w:rsidP="00C86485">
      <w:pPr>
        <w:spacing w:after="0" w:line="480" w:lineRule="auto"/>
        <w:ind w:left="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Liberation is thus a childbirth, and a painful one. The man or woman who emerges is a new</w:t>
      </w:r>
      <w:r w:rsidR="007428D7">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person, viable only as the oppressor-oppressed contradiction is superseded by the humanization of all people. Or to put it another way, the solution </w:t>
      </w:r>
      <w:proofErr w:type="gramStart"/>
      <w:r w:rsidRPr="005E7D0C">
        <w:rPr>
          <w:rFonts w:ascii="Times New Roman" w:eastAsia="Calibri" w:hAnsi="Times New Roman" w:cs="Times New Roman"/>
          <w:color w:val="000000" w:themeColor="text1"/>
        </w:rPr>
        <w:t>of</w:t>
      </w:r>
      <w:proofErr w:type="gramEnd"/>
      <w:r w:rsidRPr="005E7D0C">
        <w:rPr>
          <w:rFonts w:ascii="Times New Roman" w:eastAsia="Calibri" w:hAnsi="Times New Roman" w:cs="Times New Roman"/>
          <w:color w:val="000000" w:themeColor="text1"/>
        </w:rPr>
        <w:t xml:space="preserve"> this contradiction is born in the labor which brings into the world this new being: no longer oppressor nor longer oppressed, but human in the process of achieving freedom. (69) </w:t>
      </w:r>
    </w:p>
    <w:p w14:paraId="48FADA58" w14:textId="3FC626BC" w:rsidR="59A2AB8B" w:rsidRPr="005E7D0C" w:rsidRDefault="0B9951DF" w:rsidP="00C86485">
      <w:pPr>
        <w:spacing w:after="0" w:line="480" w:lineRule="auto"/>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Freire refers to solidarity and unity around a blanket political cause of </w:t>
      </w:r>
      <w:r w:rsidR="35CCF8AB" w:rsidRPr="005E7D0C">
        <w:rPr>
          <w:rFonts w:ascii="Times New Roman" w:eastAsia="Calibri" w:hAnsi="Times New Roman" w:cs="Times New Roman"/>
          <w:color w:val="000000" w:themeColor="text1"/>
        </w:rPr>
        <w:t>freedom</w:t>
      </w:r>
      <w:r w:rsidRPr="005E7D0C">
        <w:rPr>
          <w:rFonts w:ascii="Times New Roman" w:eastAsia="Calibri" w:hAnsi="Times New Roman" w:cs="Times New Roman"/>
          <w:color w:val="000000" w:themeColor="text1"/>
        </w:rPr>
        <w:t>, expanding his audience along a broad, diverse Marxist model</w:t>
      </w:r>
      <w:r w:rsidR="0CEE69B1"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Yet it also derives from his own life experiences navigating the vicissitudes of power from various vantage points. In both theory and practice Freire’s quest to connect established knowledge with new concepts suggests that solidarity arises through relationship building.</w:t>
      </w:r>
    </w:p>
    <w:p w14:paraId="54E0BC4D" w14:textId="3EC27E6D" w:rsidR="00650CEF" w:rsidRPr="005E7D0C" w:rsidRDefault="0B9951D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Like Freire, we approach the project of student liberation out of a sense of solidarity forged at both the theoretical and experiential levels. On the theoretical level we agree with Freire’s push toward a non-hierarchical class environment where instructors look for moments to grant students agency over their own intellectual progress. As detailed below, our experiences have given us insight into the potential difficulties navigating an academic environment, especially if unversed in the hidden curriculum. We position ourselves</w:t>
      </w:r>
      <w:r w:rsidR="6F842719" w:rsidRPr="005E7D0C">
        <w:rPr>
          <w:rFonts w:ascii="Times New Roman" w:eastAsia="Calibri" w:hAnsi="Times New Roman" w:cs="Times New Roman"/>
          <w:color w:val="000000" w:themeColor="text1"/>
        </w:rPr>
        <w:t xml:space="preserve"> not as enforcers but</w:t>
      </w:r>
      <w:r w:rsidRPr="005E7D0C">
        <w:rPr>
          <w:rFonts w:ascii="Times New Roman" w:eastAsia="Calibri" w:hAnsi="Times New Roman" w:cs="Times New Roman"/>
          <w:color w:val="000000" w:themeColor="text1"/>
        </w:rPr>
        <w:t xml:space="preserve"> as allies in navigating what can seem like an undecipherable system. One tool we use to do this is the theory of classroom climate, which is based on three key relationships: student to student, student to content, and student to teacher (Bowen &amp; Watson, 2017). Another tool that we use for </w:t>
      </w:r>
      <w:r w:rsidRPr="005E7D0C">
        <w:rPr>
          <w:rFonts w:ascii="Times New Roman" w:eastAsia="Calibri" w:hAnsi="Times New Roman" w:cs="Times New Roman"/>
          <w:color w:val="000000" w:themeColor="text1"/>
        </w:rPr>
        <w:lastRenderedPageBreak/>
        <w:t>implementation is Relational-Cultural Theory (RCT), which asks instructors to hold space for relationships, understanding that the human connection facilitates deep engagement, especially in a post-pandemic environment (Schwartz, 2019; Douglas &amp; Gadsby, 2022).</w:t>
      </w:r>
    </w:p>
    <w:p w14:paraId="429CA7FC" w14:textId="4E86E814" w:rsidR="59A2AB8B" w:rsidRPr="00095F44" w:rsidRDefault="0B9951D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Some pedagogical techniques interpret Freire’s call for empowerment as an </w:t>
      </w:r>
      <w:proofErr w:type="gramStart"/>
      <w:r w:rsidRPr="005E7D0C">
        <w:rPr>
          <w:rFonts w:ascii="Times New Roman" w:eastAsia="Calibri" w:hAnsi="Times New Roman" w:cs="Times New Roman"/>
          <w:color w:val="000000" w:themeColor="text1"/>
        </w:rPr>
        <w:t>urging</w:t>
      </w:r>
      <w:proofErr w:type="gramEnd"/>
      <w:r w:rsidRPr="005E7D0C">
        <w:rPr>
          <w:rFonts w:ascii="Times New Roman" w:eastAsia="Calibri" w:hAnsi="Times New Roman" w:cs="Times New Roman"/>
          <w:color w:val="000000" w:themeColor="text1"/>
        </w:rPr>
        <w:t xml:space="preserve"> to maximize student choice at every possible interaction. We read his work differently—as a call to work toward liberation by preparing students for full autonomy. Although there are moments when we provide students with freedom in how they solve the problems the course presents, we are also conscious that liberation is conditional upon an awareness of what to do and which tools are needed to do it. Thus, what we narrate is a scaffolded series of assignments with increasing amounts of self-direction.</w:t>
      </w:r>
      <w:r w:rsidR="6CDDC0A4" w:rsidRPr="005E7D0C">
        <w:rPr>
          <w:rFonts w:ascii="Times New Roman" w:eastAsia="Calibri" w:hAnsi="Times New Roman" w:cs="Times New Roman"/>
          <w:color w:val="000000" w:themeColor="text1"/>
        </w:rPr>
        <w:t xml:space="preserve"> Just as Freire focused on teaching reading because it was the most direct legal mechanism for his students’ empowerment, we concentrate on the skills needed to succeed in Towson’s educational environment. We transparently narrate for students the intended destination and invest them as partners in their eventual liberation.</w:t>
      </w:r>
    </w:p>
    <w:p w14:paraId="506BC9F5" w14:textId="023EB47D" w:rsidR="00650CEF" w:rsidRPr="005E7D0C" w:rsidRDefault="0B9951DF"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Background</w:t>
      </w:r>
    </w:p>
    <w:p w14:paraId="51E391EA" w14:textId="59F1FCF5" w:rsidR="59A2AB8B" w:rsidRPr="005E7D0C" w:rsidRDefault="0B9951DF" w:rsidP="00C86485">
      <w:pPr>
        <w:spacing w:after="0" w:line="480" w:lineRule="auto"/>
        <w:ind w:firstLine="720"/>
        <w:rPr>
          <w:rFonts w:ascii="Times New Roman" w:eastAsia="Calibri" w:hAnsi="Times New Roman" w:cs="Times New Roman"/>
          <w:color w:val="000000" w:themeColor="text1"/>
        </w:rPr>
      </w:pPr>
      <w:r w:rsidRPr="00DE3471">
        <w:rPr>
          <w:rFonts w:ascii="Times New Roman" w:eastAsia="Calibri" w:hAnsi="Times New Roman" w:cs="Times New Roman"/>
          <w:color w:val="000000" w:themeColor="text1"/>
        </w:rPr>
        <w:t>Our sense of empathy for students comes from our experience of the academy as a fraught environment that enforces hidden, class-laden norms. Literature on librarianship chronicles the many difficulties navigating academic classrooms as an occasional information literacy instructor. Librarians and faculty sometimes disagree about which pieces of the research process each should teach (Breland, 2022)</w:t>
      </w:r>
      <w:r w:rsidR="778ABB10" w:rsidRPr="00DE3471">
        <w:rPr>
          <w:rFonts w:ascii="Times New Roman" w:eastAsia="Calibri" w:hAnsi="Times New Roman" w:cs="Times New Roman"/>
          <w:color w:val="000000" w:themeColor="text1"/>
        </w:rPr>
        <w:t xml:space="preserve">, and </w:t>
      </w:r>
      <w:r w:rsidRPr="00DE3471">
        <w:rPr>
          <w:rFonts w:ascii="Times New Roman" w:eastAsia="Calibri" w:hAnsi="Times New Roman" w:cs="Times New Roman"/>
          <w:color w:val="000000" w:themeColor="text1"/>
        </w:rPr>
        <w:t xml:space="preserve">faculty attitudes and assignments </w:t>
      </w:r>
      <w:r w:rsidR="322C013A" w:rsidRPr="00DE3471">
        <w:rPr>
          <w:rFonts w:ascii="Times New Roman" w:eastAsia="Calibri" w:hAnsi="Times New Roman" w:cs="Times New Roman"/>
          <w:color w:val="000000" w:themeColor="text1"/>
        </w:rPr>
        <w:t xml:space="preserve">are </w:t>
      </w:r>
      <w:r w:rsidRPr="00DE3471">
        <w:rPr>
          <w:rFonts w:ascii="Times New Roman" w:eastAsia="Calibri" w:hAnsi="Times New Roman" w:cs="Times New Roman"/>
          <w:color w:val="000000" w:themeColor="text1"/>
        </w:rPr>
        <w:t xml:space="preserve">common </w:t>
      </w:r>
      <w:r w:rsidR="314DF117" w:rsidRPr="00DE3471">
        <w:rPr>
          <w:rFonts w:ascii="Times New Roman" w:eastAsia="Calibri" w:hAnsi="Times New Roman" w:cs="Times New Roman"/>
          <w:color w:val="000000" w:themeColor="text1"/>
        </w:rPr>
        <w:t xml:space="preserve">points of critique </w:t>
      </w:r>
      <w:r w:rsidRPr="00DE3471">
        <w:rPr>
          <w:rFonts w:ascii="Times New Roman" w:eastAsia="Calibri" w:hAnsi="Times New Roman" w:cs="Times New Roman"/>
          <w:color w:val="000000" w:themeColor="text1"/>
        </w:rPr>
        <w:t>(</w:t>
      </w:r>
      <w:r w:rsidR="233B0A11" w:rsidRPr="00DE3471">
        <w:rPr>
          <w:rFonts w:ascii="Times New Roman" w:eastAsia="Calibri" w:hAnsi="Times New Roman" w:cs="Times New Roman"/>
          <w:color w:val="000000" w:themeColor="text1"/>
        </w:rPr>
        <w:t xml:space="preserve">Julien </w:t>
      </w:r>
      <w:r w:rsidR="00DA4376">
        <w:rPr>
          <w:rFonts w:ascii="Times New Roman" w:eastAsia="Calibri" w:hAnsi="Times New Roman" w:cs="Times New Roman"/>
          <w:color w:val="000000" w:themeColor="text1"/>
        </w:rPr>
        <w:t>&amp;</w:t>
      </w:r>
      <w:r w:rsidR="233B0A11" w:rsidRPr="00DE3471">
        <w:rPr>
          <w:rFonts w:ascii="Times New Roman" w:eastAsia="Calibri" w:hAnsi="Times New Roman" w:cs="Times New Roman"/>
          <w:color w:val="000000" w:themeColor="text1"/>
        </w:rPr>
        <w:t xml:space="preserve"> Given, </w:t>
      </w:r>
      <w:r w:rsidRPr="00DE3471">
        <w:rPr>
          <w:rFonts w:ascii="Times New Roman" w:eastAsia="Calibri" w:hAnsi="Times New Roman" w:cs="Times New Roman"/>
          <w:color w:val="000000" w:themeColor="text1"/>
        </w:rPr>
        <w:t xml:space="preserve">2002). These power </w:t>
      </w:r>
      <w:r w:rsidRPr="00DE3471">
        <w:rPr>
          <w:rFonts w:ascii="Times New Roman" w:eastAsia="Calibri" w:hAnsi="Times New Roman" w:cs="Times New Roman"/>
          <w:color w:val="000000" w:themeColor="text1"/>
        </w:rPr>
        <w:lastRenderedPageBreak/>
        <w:t>dynamics play into widespread complaints about the ineffectiveness of the one-shot model (</w:t>
      </w:r>
      <w:r w:rsidR="005369A4" w:rsidRPr="00DE3471">
        <w:rPr>
          <w:rFonts w:ascii="Times New Roman" w:eastAsia="Calibri" w:hAnsi="Times New Roman" w:cs="Times New Roman"/>
          <w:color w:val="000000" w:themeColor="text1"/>
        </w:rPr>
        <w:t>Bastone</w:t>
      </w:r>
      <w:r w:rsidR="005369A4" w:rsidRPr="00DE3471">
        <w:rPr>
          <w:rFonts w:ascii="Times New Roman" w:eastAsia="Calibri" w:hAnsi="Times New Roman" w:cs="Times New Roman"/>
          <w:color w:val="000000" w:themeColor="text1"/>
        </w:rPr>
        <w:t xml:space="preserve"> </w:t>
      </w:r>
      <w:r w:rsidR="005369A4" w:rsidRPr="00DE3471">
        <w:rPr>
          <w:rFonts w:ascii="Times New Roman" w:eastAsia="Calibri" w:hAnsi="Times New Roman" w:cs="Times New Roman"/>
          <w:color w:val="000000" w:themeColor="text1"/>
        </w:rPr>
        <w:t>&amp; Clement, 2022</w:t>
      </w:r>
      <w:r w:rsidR="005369A4" w:rsidRPr="00DE3471">
        <w:rPr>
          <w:rFonts w:ascii="Times New Roman" w:eastAsia="Calibri" w:hAnsi="Times New Roman" w:cs="Times New Roman"/>
          <w:color w:val="000000" w:themeColor="text1"/>
        </w:rPr>
        <w:t xml:space="preserve">; </w:t>
      </w:r>
      <w:r w:rsidR="002D53EB" w:rsidRPr="00DE3471">
        <w:rPr>
          <w:rFonts w:ascii="Times New Roman" w:eastAsia="Calibri" w:hAnsi="Times New Roman" w:cs="Times New Roman"/>
          <w:color w:val="000000" w:themeColor="text1"/>
        </w:rPr>
        <w:t>Cook, 2022</w:t>
      </w:r>
      <w:r w:rsidR="00CF339A" w:rsidRPr="00DE3471">
        <w:rPr>
          <w:rFonts w:ascii="Times New Roman" w:eastAsia="Calibri" w:hAnsi="Times New Roman" w:cs="Times New Roman"/>
          <w:color w:val="000000" w:themeColor="text1"/>
        </w:rPr>
        <w:t xml:space="preserve">; </w:t>
      </w:r>
      <w:r w:rsidRPr="00DE3471">
        <w:rPr>
          <w:rFonts w:ascii="Times New Roman" w:eastAsia="Calibri" w:hAnsi="Times New Roman" w:cs="Times New Roman"/>
          <w:color w:val="000000" w:themeColor="text1"/>
        </w:rPr>
        <w:t>Lechtenberg &amp; Donovan, 2022</w:t>
      </w:r>
      <w:r w:rsidR="2F7CF279" w:rsidRPr="00DE3471">
        <w:rPr>
          <w:rFonts w:ascii="Times New Roman" w:eastAsia="Calibri" w:hAnsi="Times New Roman" w:cs="Times New Roman"/>
          <w:color w:val="000000" w:themeColor="text1"/>
        </w:rPr>
        <w:t xml:space="preserve">; </w:t>
      </w:r>
      <w:proofErr w:type="spellStart"/>
      <w:r w:rsidR="2F7CF279" w:rsidRPr="00DE3471">
        <w:rPr>
          <w:rFonts w:ascii="Times New Roman" w:eastAsia="Calibri" w:hAnsi="Times New Roman" w:cs="Times New Roman"/>
          <w:color w:val="000000" w:themeColor="text1"/>
        </w:rPr>
        <w:t>Pagowsky</w:t>
      </w:r>
      <w:proofErr w:type="spellEnd"/>
      <w:r w:rsidR="2F7CF279" w:rsidRPr="00DE3471">
        <w:rPr>
          <w:rFonts w:ascii="Times New Roman" w:eastAsia="Calibri" w:hAnsi="Times New Roman" w:cs="Times New Roman"/>
          <w:color w:val="000000" w:themeColor="text1"/>
        </w:rPr>
        <w:t>, 2022</w:t>
      </w:r>
      <w:r w:rsidR="0058667A" w:rsidRPr="00DE3471">
        <w:rPr>
          <w:rFonts w:ascii="Times New Roman" w:eastAsia="Calibri" w:hAnsi="Times New Roman" w:cs="Times New Roman"/>
          <w:color w:val="000000" w:themeColor="text1"/>
        </w:rPr>
        <w:t xml:space="preserve">; </w:t>
      </w:r>
      <w:proofErr w:type="spellStart"/>
      <w:r w:rsidR="0058667A" w:rsidRPr="00DE3471">
        <w:rPr>
          <w:rFonts w:ascii="Times New Roman" w:eastAsia="Calibri" w:hAnsi="Times New Roman" w:cs="Times New Roman"/>
          <w:color w:val="000000" w:themeColor="text1"/>
        </w:rPr>
        <w:t>Pagowsky</w:t>
      </w:r>
      <w:proofErr w:type="spellEnd"/>
      <w:r w:rsidR="0058667A" w:rsidRPr="00DE3471">
        <w:rPr>
          <w:rFonts w:ascii="Times New Roman" w:eastAsia="Calibri" w:hAnsi="Times New Roman" w:cs="Times New Roman"/>
          <w:color w:val="000000" w:themeColor="text1"/>
        </w:rPr>
        <w:t xml:space="preserve"> </w:t>
      </w:r>
      <w:r w:rsidR="00DA4376">
        <w:rPr>
          <w:rFonts w:ascii="Times New Roman" w:eastAsia="Calibri" w:hAnsi="Times New Roman" w:cs="Times New Roman"/>
          <w:color w:val="000000" w:themeColor="text1"/>
        </w:rPr>
        <w:t>&amp;</w:t>
      </w:r>
      <w:r w:rsidR="0058667A" w:rsidRPr="00DE3471">
        <w:rPr>
          <w:rFonts w:ascii="Times New Roman" w:eastAsia="Calibri" w:hAnsi="Times New Roman" w:cs="Times New Roman"/>
          <w:color w:val="000000" w:themeColor="text1"/>
        </w:rPr>
        <w:t xml:space="preserve"> M</w:t>
      </w:r>
      <w:r w:rsidR="0058667A" w:rsidRPr="005E7D0C">
        <w:rPr>
          <w:rFonts w:ascii="Times New Roman" w:eastAsia="Calibri" w:hAnsi="Times New Roman" w:cs="Times New Roman"/>
          <w:color w:val="000000" w:themeColor="text1"/>
        </w:rPr>
        <w:t>cElroy, 2016</w:t>
      </w:r>
      <w:r w:rsidR="007D1691">
        <w:rPr>
          <w:rFonts w:ascii="Times New Roman" w:eastAsia="Calibri" w:hAnsi="Times New Roman" w:cs="Times New Roman"/>
          <w:color w:val="000000" w:themeColor="text1"/>
        </w:rPr>
        <w:t xml:space="preserve">; </w:t>
      </w:r>
      <w:r w:rsidR="007D1691" w:rsidRPr="005E7D0C">
        <w:rPr>
          <w:rFonts w:ascii="Times New Roman" w:eastAsia="Calibri" w:hAnsi="Times New Roman" w:cs="Times New Roman"/>
          <w:color w:val="000000" w:themeColor="text1"/>
        </w:rPr>
        <w:t>Pho</w:t>
      </w:r>
      <w:r w:rsidR="007D1691">
        <w:rPr>
          <w:rFonts w:ascii="Times New Roman" w:eastAsia="Calibri" w:hAnsi="Times New Roman" w:cs="Times New Roman"/>
          <w:color w:val="000000" w:themeColor="text1"/>
        </w:rPr>
        <w:t xml:space="preserve"> et al</w:t>
      </w:r>
      <w:r w:rsidR="00167E34">
        <w:rPr>
          <w:rFonts w:ascii="Times New Roman" w:eastAsia="Calibri" w:hAnsi="Times New Roman" w:cs="Times New Roman"/>
          <w:color w:val="000000" w:themeColor="text1"/>
        </w:rPr>
        <w:t>.</w:t>
      </w:r>
      <w:r w:rsidR="007D1691">
        <w:rPr>
          <w:rFonts w:ascii="Times New Roman" w:eastAsia="Calibri" w:hAnsi="Times New Roman" w:cs="Times New Roman"/>
          <w:color w:val="000000" w:themeColor="text1"/>
        </w:rPr>
        <w:t>,</w:t>
      </w:r>
      <w:r w:rsidR="007D1691" w:rsidRPr="005E7D0C">
        <w:rPr>
          <w:rFonts w:ascii="Times New Roman" w:eastAsia="Calibri" w:hAnsi="Times New Roman" w:cs="Times New Roman"/>
          <w:color w:val="000000" w:themeColor="text1"/>
        </w:rPr>
        <w:t xml:space="preserve"> </w:t>
      </w:r>
      <w:r w:rsidR="007D1691" w:rsidRPr="005E7D0C">
        <w:rPr>
          <w:rFonts w:ascii="Times New Roman" w:eastAsia="Calibri" w:hAnsi="Times New Roman" w:cs="Times New Roman"/>
          <w:color w:val="000000" w:themeColor="text1"/>
        </w:rPr>
        <w:t>2022</w:t>
      </w:r>
      <w:r w:rsidR="00A53F01">
        <w:rPr>
          <w:rFonts w:ascii="Times New Roman" w:eastAsia="Calibri" w:hAnsi="Times New Roman" w:cs="Times New Roman"/>
          <w:color w:val="000000" w:themeColor="text1"/>
        </w:rPr>
        <w:t xml:space="preserve">; </w:t>
      </w:r>
      <w:r w:rsidR="00806459" w:rsidRPr="005E7D0C">
        <w:rPr>
          <w:rFonts w:ascii="Times New Roman" w:eastAsia="Calibri" w:hAnsi="Times New Roman" w:cs="Times New Roman"/>
          <w:color w:val="000000" w:themeColor="text1"/>
        </w:rPr>
        <w:t>Santamaria</w:t>
      </w:r>
      <w:r w:rsidR="00806459">
        <w:rPr>
          <w:rFonts w:ascii="Times New Roman" w:eastAsia="Calibri" w:hAnsi="Times New Roman" w:cs="Times New Roman"/>
          <w:color w:val="000000" w:themeColor="text1"/>
        </w:rPr>
        <w:t xml:space="preserve"> </w:t>
      </w:r>
      <w:r w:rsidR="00806459" w:rsidRPr="005E7D0C">
        <w:rPr>
          <w:rFonts w:ascii="Times New Roman" w:eastAsia="Calibri" w:hAnsi="Times New Roman" w:cs="Times New Roman"/>
          <w:color w:val="000000" w:themeColor="text1"/>
        </w:rPr>
        <w:t>&amp; Schomberg, 2022</w:t>
      </w:r>
      <w:r w:rsidR="00806459">
        <w:rPr>
          <w:rFonts w:ascii="Times New Roman" w:eastAsia="Calibri" w:hAnsi="Times New Roman" w:cs="Times New Roman"/>
          <w:color w:val="000000" w:themeColor="text1"/>
        </w:rPr>
        <w:t xml:space="preserve">; </w:t>
      </w:r>
      <w:r w:rsidR="00A53F01">
        <w:rPr>
          <w:rFonts w:ascii="Times New Roman" w:eastAsia="Calibri" w:hAnsi="Times New Roman" w:cs="Times New Roman"/>
          <w:color w:val="000000" w:themeColor="text1"/>
        </w:rPr>
        <w:t xml:space="preserve">Schlesselman-Tarango &amp; </w:t>
      </w:r>
      <w:r w:rsidR="00710C42">
        <w:rPr>
          <w:rFonts w:ascii="Times New Roman" w:eastAsia="Calibri" w:hAnsi="Times New Roman" w:cs="Times New Roman"/>
          <w:color w:val="000000" w:themeColor="text1"/>
        </w:rPr>
        <w:t>B</w:t>
      </w:r>
      <w:r w:rsidR="00A53F01">
        <w:rPr>
          <w:rFonts w:ascii="Times New Roman" w:eastAsia="Calibri" w:hAnsi="Times New Roman" w:cs="Times New Roman"/>
          <w:color w:val="000000" w:themeColor="text1"/>
        </w:rPr>
        <w:t>ecerra, 2022</w:t>
      </w:r>
      <w:r w:rsidRPr="005E7D0C">
        <w:rPr>
          <w:rFonts w:ascii="Times New Roman" w:eastAsia="Calibri" w:hAnsi="Times New Roman" w:cs="Times New Roman"/>
          <w:color w:val="000000" w:themeColor="text1"/>
        </w:rPr>
        <w:t>). More intensive librarian interventions require collaboration (Sanborn, 2005), but that can seem elusive and present difficulties. Librarians find that collaboration is uneven, with faculty volunteering increased student interaction, but not engaging themselves with librarians’ instruction (Perez-Stable et al., 2020). The presence or absence of an openness to collaboration can be subject to cultural factors beyond the librarian’s control (Yu et al., 2019).</w:t>
      </w:r>
    </w:p>
    <w:p w14:paraId="070E08F2" w14:textId="171CA94F" w:rsidR="00650CEF" w:rsidRPr="005E7D0C" w:rsidRDefault="59A2AB8B"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Our collaboration did not struggle in any of the ways outlined in the literature, partly because of our solidarity with each other. We know about bias within the academy intimately from our experiences as adjuncts and mothers. Gibson was an adjunct instructor from 2008–2009 and again from 2013–2018, and Massey an adjunct instructor at the time of writing this article, working in this role since 2017. In both cases, our arrangements were connected to a desire to balance work and family life. We see our experiences reflected in the section on “Contingency and Academic Labor” in </w:t>
      </w:r>
      <w:r w:rsidRPr="005E7D0C">
        <w:rPr>
          <w:rFonts w:ascii="Times New Roman" w:eastAsia="Calibri" w:hAnsi="Times New Roman" w:cs="Times New Roman"/>
          <w:i/>
          <w:iCs/>
          <w:color w:val="000000" w:themeColor="text1"/>
        </w:rPr>
        <w:t xml:space="preserve">Critical Digital Pedagogy, </w:t>
      </w:r>
      <w:r w:rsidRPr="005E7D0C">
        <w:rPr>
          <w:rFonts w:ascii="Times New Roman" w:eastAsia="Calibri" w:hAnsi="Times New Roman" w:cs="Times New Roman"/>
          <w:color w:val="000000" w:themeColor="text1"/>
        </w:rPr>
        <w:t>and, like the editors of that volume, we can see how our own type of marginalization has made us aware of the potential marginalization of our students (</w:t>
      </w:r>
      <w:proofErr w:type="spellStart"/>
      <w:r w:rsidRPr="005E7D0C">
        <w:rPr>
          <w:rFonts w:ascii="Times New Roman" w:eastAsia="Calibri" w:hAnsi="Times New Roman" w:cs="Times New Roman"/>
          <w:color w:val="000000" w:themeColor="text1"/>
        </w:rPr>
        <w:t>jessifer</w:t>
      </w:r>
      <w:proofErr w:type="spellEnd"/>
      <w:r w:rsidRPr="005E7D0C">
        <w:rPr>
          <w:rFonts w:ascii="Times New Roman" w:eastAsia="Calibri" w:hAnsi="Times New Roman" w:cs="Times New Roman"/>
          <w:color w:val="000000" w:themeColor="text1"/>
        </w:rPr>
        <w:t>, et.al., 2020).</w:t>
      </w:r>
    </w:p>
    <w:p w14:paraId="1D4E13FF" w14:textId="5E50721B" w:rsidR="00650CEF" w:rsidRPr="005E7D0C" w:rsidRDefault="3E18EC20"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Because w</w:t>
      </w:r>
      <w:r w:rsidR="4CAE1608" w:rsidRPr="005E7D0C">
        <w:rPr>
          <w:rFonts w:ascii="Times New Roman" w:eastAsia="Calibri" w:hAnsi="Times New Roman" w:cs="Times New Roman"/>
          <w:color w:val="000000" w:themeColor="text1"/>
        </w:rPr>
        <w:t>e</w:t>
      </w:r>
      <w:r w:rsidRPr="005E7D0C">
        <w:rPr>
          <w:rFonts w:ascii="Times New Roman" w:eastAsia="Calibri" w:hAnsi="Times New Roman" w:cs="Times New Roman"/>
          <w:color w:val="000000" w:themeColor="text1"/>
        </w:rPr>
        <w:t xml:space="preserve"> had a shared understanding of the difficulties inherent in navigating the academy </w:t>
      </w:r>
      <w:r w:rsidR="4E525967" w:rsidRPr="005E7D0C">
        <w:rPr>
          <w:rFonts w:ascii="Times New Roman" w:eastAsia="Calibri" w:hAnsi="Times New Roman" w:cs="Times New Roman"/>
          <w:color w:val="000000" w:themeColor="text1"/>
        </w:rPr>
        <w:t>and were consequently skeptical of the inherited power dynam</w:t>
      </w:r>
      <w:r w:rsidR="43A67C3C" w:rsidRPr="005E7D0C">
        <w:rPr>
          <w:rFonts w:ascii="Times New Roman" w:eastAsia="Calibri" w:hAnsi="Times New Roman" w:cs="Times New Roman"/>
          <w:color w:val="000000" w:themeColor="text1"/>
        </w:rPr>
        <w:t xml:space="preserve">ics of university life, the mechanics of our collaboration were different than most. We </w:t>
      </w:r>
      <w:r w:rsidR="7495B755" w:rsidRPr="005E7D0C">
        <w:rPr>
          <w:rFonts w:ascii="Times New Roman" w:eastAsia="Calibri" w:hAnsi="Times New Roman" w:cs="Times New Roman"/>
          <w:color w:val="000000" w:themeColor="text1"/>
        </w:rPr>
        <w:t xml:space="preserve">began discussing the course well in advance of the semester, </w:t>
      </w:r>
      <w:r w:rsidR="48898EFE" w:rsidRPr="005E7D0C">
        <w:rPr>
          <w:rFonts w:ascii="Times New Roman" w:eastAsia="Calibri" w:hAnsi="Times New Roman" w:cs="Times New Roman"/>
          <w:color w:val="000000" w:themeColor="text1"/>
        </w:rPr>
        <w:t xml:space="preserve">openly exchanged learning </w:t>
      </w:r>
      <w:r w:rsidR="48898EFE" w:rsidRPr="005E7D0C">
        <w:rPr>
          <w:rFonts w:ascii="Times New Roman" w:eastAsia="Calibri" w:hAnsi="Times New Roman" w:cs="Times New Roman"/>
          <w:color w:val="000000" w:themeColor="text1"/>
        </w:rPr>
        <w:lastRenderedPageBreak/>
        <w:t>objectives</w:t>
      </w:r>
      <w:r w:rsidR="741E0714" w:rsidRPr="005E7D0C">
        <w:rPr>
          <w:rFonts w:ascii="Times New Roman" w:eastAsia="Calibri" w:hAnsi="Times New Roman" w:cs="Times New Roman"/>
          <w:color w:val="000000" w:themeColor="text1"/>
        </w:rPr>
        <w:t>,</w:t>
      </w:r>
      <w:r w:rsidR="4BE6B31E" w:rsidRPr="005E7D0C">
        <w:rPr>
          <w:rFonts w:ascii="Times New Roman" w:eastAsia="Calibri" w:hAnsi="Times New Roman" w:cs="Times New Roman"/>
          <w:color w:val="000000" w:themeColor="text1"/>
        </w:rPr>
        <w:t xml:space="preserve"> and experimented with who should teach which skill at a given moment. </w:t>
      </w:r>
      <w:r w:rsidR="3640B7A6" w:rsidRPr="005E7D0C">
        <w:rPr>
          <w:rFonts w:ascii="Times New Roman" w:eastAsia="Calibri" w:hAnsi="Times New Roman" w:cs="Times New Roman"/>
          <w:color w:val="000000" w:themeColor="text1"/>
        </w:rPr>
        <w:t xml:space="preserve">It was an easeful and fluid collaboration that </w:t>
      </w:r>
      <w:r w:rsidR="39FD621D" w:rsidRPr="005E7D0C">
        <w:rPr>
          <w:rFonts w:ascii="Times New Roman" w:eastAsia="Calibri" w:hAnsi="Times New Roman" w:cs="Times New Roman"/>
          <w:color w:val="000000" w:themeColor="text1"/>
        </w:rPr>
        <w:t xml:space="preserve">eventually </w:t>
      </w:r>
      <w:r w:rsidR="3640B7A6" w:rsidRPr="005E7D0C">
        <w:rPr>
          <w:rFonts w:ascii="Times New Roman" w:eastAsia="Calibri" w:hAnsi="Times New Roman" w:cs="Times New Roman"/>
          <w:color w:val="000000" w:themeColor="text1"/>
        </w:rPr>
        <w:t xml:space="preserve">provided us the space to invest in meaningful contributions to student learning </w:t>
      </w:r>
      <w:r w:rsidR="587AECA3" w:rsidRPr="005E7D0C">
        <w:rPr>
          <w:rFonts w:ascii="Times New Roman" w:eastAsia="Calibri" w:hAnsi="Times New Roman" w:cs="Times New Roman"/>
          <w:color w:val="000000" w:themeColor="text1"/>
        </w:rPr>
        <w:t>instead of worrying about the professor-librarian relationship.</w:t>
      </w:r>
      <w:r w:rsidR="48898EFE" w:rsidRPr="005E7D0C">
        <w:rPr>
          <w:rFonts w:ascii="Times New Roman" w:eastAsia="Calibri" w:hAnsi="Times New Roman" w:cs="Times New Roman"/>
          <w:color w:val="000000" w:themeColor="text1"/>
        </w:rPr>
        <w:t xml:space="preserve"> </w:t>
      </w:r>
    </w:p>
    <w:p w14:paraId="77D7FA36" w14:textId="3AA328EF" w:rsidR="00650CEF" w:rsidRPr="005E7D0C" w:rsidRDefault="6B3D97A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Towson</w:t>
      </w:r>
      <w:r w:rsidR="1D4621AB" w:rsidRPr="005E7D0C">
        <w:rPr>
          <w:rFonts w:ascii="Times New Roman" w:eastAsia="Calibri" w:hAnsi="Times New Roman" w:cs="Times New Roman"/>
          <w:color w:val="000000" w:themeColor="text1"/>
        </w:rPr>
        <w:t xml:space="preserve"> University is a </w:t>
      </w:r>
      <w:r w:rsidR="49275D04" w:rsidRPr="005E7D0C">
        <w:rPr>
          <w:rFonts w:ascii="Times New Roman" w:eastAsia="Calibri" w:hAnsi="Times New Roman" w:cs="Times New Roman"/>
          <w:color w:val="000000" w:themeColor="text1"/>
        </w:rPr>
        <w:t>Maryland</w:t>
      </w:r>
      <w:r w:rsidR="1D4621AB" w:rsidRPr="005E7D0C">
        <w:rPr>
          <w:rFonts w:ascii="Times New Roman" w:eastAsia="Calibri" w:hAnsi="Times New Roman" w:cs="Times New Roman"/>
          <w:color w:val="000000" w:themeColor="text1"/>
        </w:rPr>
        <w:t xml:space="preserve"> State public institution. Its student body is diverse by nearly every understanding of the term. The school prides itself on its support of first-generation college students, recruiting widely from communities in and around </w:t>
      </w:r>
      <w:r w:rsidR="29C5252A" w:rsidRPr="005E7D0C">
        <w:rPr>
          <w:rFonts w:ascii="Times New Roman" w:eastAsia="Calibri" w:hAnsi="Times New Roman" w:cs="Times New Roman"/>
          <w:color w:val="000000" w:themeColor="text1"/>
        </w:rPr>
        <w:t>Baltimore</w:t>
      </w:r>
      <w:r w:rsidR="1D4621AB" w:rsidRPr="005E7D0C">
        <w:rPr>
          <w:rFonts w:ascii="Times New Roman" w:eastAsia="Calibri" w:hAnsi="Times New Roman" w:cs="Times New Roman"/>
          <w:color w:val="000000" w:themeColor="text1"/>
        </w:rPr>
        <w:t xml:space="preserve">, the closest metropolitan area. Students are often working their way through school. Many are non-traditional: transferring from community colleges, starting a degree after a break from academics, navigating parenthood or other caregiving responsibilities. Statistics tracking racial diversity report a population that is over a quarter </w:t>
      </w:r>
      <w:proofErr w:type="gramStart"/>
      <w:r w:rsidR="1D4621AB" w:rsidRPr="005E7D0C">
        <w:rPr>
          <w:rFonts w:ascii="Times New Roman" w:eastAsia="Calibri" w:hAnsi="Times New Roman" w:cs="Times New Roman"/>
          <w:color w:val="000000" w:themeColor="text1"/>
        </w:rPr>
        <w:t>African-American</w:t>
      </w:r>
      <w:proofErr w:type="gramEnd"/>
      <w:r w:rsidR="1D4621AB" w:rsidRPr="005E7D0C">
        <w:rPr>
          <w:rFonts w:ascii="Times New Roman" w:eastAsia="Calibri" w:hAnsi="Times New Roman" w:cs="Times New Roman"/>
          <w:color w:val="000000" w:themeColor="text1"/>
        </w:rPr>
        <w:t xml:space="preserve"> and over ten percent Latinx. Although there are no statistics on gender identity, our sense from student interactions is that the campus supports a substantial queer community. </w:t>
      </w:r>
    </w:p>
    <w:p w14:paraId="3E36FA57" w14:textId="4FDA6A39" w:rsidR="00650CEF" w:rsidRPr="005E7D0C" w:rsidRDefault="0B9951D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As cisgender white women with multiple degrees obtained under relatively supportive environments, we do not fit in </w:t>
      </w:r>
      <w:r w:rsidR="2458CC45" w:rsidRPr="005E7D0C">
        <w:rPr>
          <w:rFonts w:ascii="Times New Roman" w:eastAsia="Calibri" w:hAnsi="Times New Roman" w:cs="Times New Roman"/>
          <w:color w:val="000000" w:themeColor="text1"/>
        </w:rPr>
        <w:t>most</w:t>
      </w:r>
      <w:r w:rsidRPr="005E7D0C">
        <w:rPr>
          <w:rFonts w:ascii="Times New Roman" w:eastAsia="Calibri" w:hAnsi="Times New Roman" w:cs="Times New Roman"/>
          <w:color w:val="000000" w:themeColor="text1"/>
        </w:rPr>
        <w:t xml:space="preserve"> of the </w:t>
      </w:r>
      <w:proofErr w:type="gramStart"/>
      <w:r w:rsidRPr="005E7D0C">
        <w:rPr>
          <w:rFonts w:ascii="Times New Roman" w:eastAsia="Calibri" w:hAnsi="Times New Roman" w:cs="Times New Roman"/>
          <w:color w:val="000000" w:themeColor="text1"/>
        </w:rPr>
        <w:t>aforementioned categories</w:t>
      </w:r>
      <w:proofErr w:type="gramEnd"/>
      <w:r w:rsidRPr="005E7D0C">
        <w:rPr>
          <w:rFonts w:ascii="Times New Roman" w:eastAsia="Calibri" w:hAnsi="Times New Roman" w:cs="Times New Roman"/>
          <w:color w:val="000000" w:themeColor="text1"/>
        </w:rPr>
        <w:t xml:space="preserve"> of diversity. Yet, our common experiences navigating academic institutions from marginalized positions as mothers and adjuncts give us a foundation upon which to find solidarity and build relationships. We know that the academy can feel like a hostile place, and that students sometimes make wise decisions to disengage; we counter that approach by making the classroom a less dangerous, more honest place. We aim to be transparent about our objectives, practical in our requests, and provide intellectual challenge </w:t>
      </w:r>
      <w:r w:rsidR="0D8D8DB5" w:rsidRPr="005E7D0C">
        <w:rPr>
          <w:rFonts w:ascii="Times New Roman" w:eastAsia="Calibri" w:hAnsi="Times New Roman" w:cs="Times New Roman"/>
          <w:color w:val="000000" w:themeColor="text1"/>
        </w:rPr>
        <w:t>balanced</w:t>
      </w:r>
      <w:r w:rsidRPr="005E7D0C">
        <w:rPr>
          <w:rFonts w:ascii="Times New Roman" w:eastAsia="Calibri" w:hAnsi="Times New Roman" w:cs="Times New Roman"/>
          <w:color w:val="000000" w:themeColor="text1"/>
        </w:rPr>
        <w:t xml:space="preserve"> with multiple avenues for assistance. We also make our friendship visible to the </w:t>
      </w:r>
      <w:r w:rsidRPr="005E7D0C">
        <w:rPr>
          <w:rFonts w:ascii="Times New Roman" w:eastAsia="Calibri" w:hAnsi="Times New Roman" w:cs="Times New Roman"/>
          <w:color w:val="000000" w:themeColor="text1"/>
        </w:rPr>
        <w:lastRenderedPageBreak/>
        <w:t xml:space="preserve">students and invite them into </w:t>
      </w:r>
      <w:proofErr w:type="gramStart"/>
      <w:r w:rsidRPr="005E7D0C">
        <w:rPr>
          <w:rFonts w:ascii="Times New Roman" w:eastAsia="Calibri" w:hAnsi="Times New Roman" w:cs="Times New Roman"/>
          <w:color w:val="000000" w:themeColor="text1"/>
        </w:rPr>
        <w:t>relationship</w:t>
      </w:r>
      <w:proofErr w:type="gramEnd"/>
      <w:r w:rsidRPr="005E7D0C">
        <w:rPr>
          <w:rFonts w:ascii="Times New Roman" w:eastAsia="Calibri" w:hAnsi="Times New Roman" w:cs="Times New Roman"/>
          <w:color w:val="000000" w:themeColor="text1"/>
        </w:rPr>
        <w:t xml:space="preserve">. We </w:t>
      </w:r>
      <w:proofErr w:type="gramStart"/>
      <w:r w:rsidRPr="005E7D0C">
        <w:rPr>
          <w:rFonts w:ascii="Times New Roman" w:eastAsia="Calibri" w:hAnsi="Times New Roman" w:cs="Times New Roman"/>
          <w:color w:val="000000" w:themeColor="text1"/>
        </w:rPr>
        <w:t>choose</w:t>
      </w:r>
      <w:proofErr w:type="gramEnd"/>
      <w:r w:rsidRPr="005E7D0C">
        <w:rPr>
          <w:rFonts w:ascii="Times New Roman" w:eastAsia="Calibri" w:hAnsi="Times New Roman" w:cs="Times New Roman"/>
          <w:color w:val="000000" w:themeColor="text1"/>
        </w:rPr>
        <w:t xml:space="preserve"> to do this work because we know that despite the many obstacles to learning, the academy is also a place where students can forge the tools for liberation.</w:t>
      </w:r>
    </w:p>
    <w:p w14:paraId="0B8B92B4" w14:textId="7AFEC6DF" w:rsidR="00650CEF" w:rsidRPr="005E7D0C" w:rsidRDefault="2939374B"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TSEM</w:t>
      </w:r>
      <w:r w:rsidR="1D4621AB" w:rsidRPr="005E7D0C">
        <w:rPr>
          <w:rFonts w:ascii="Times New Roman" w:eastAsia="Calibri" w:hAnsi="Times New Roman" w:cs="Times New Roman"/>
          <w:b/>
          <w:bCs/>
          <w:color w:val="auto"/>
          <w:sz w:val="32"/>
          <w:szCs w:val="32"/>
        </w:rPr>
        <w:t xml:space="preserve"> as a Program: Objectives and Structure</w:t>
      </w:r>
    </w:p>
    <w:p w14:paraId="5415A7B3" w14:textId="5F519D18" w:rsidR="00650CEF"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One challenge of teaching information literacy is closing the gap between the skills students possess and those professors hope they have. Students typically rank themselves more highly than their professors (Kim &amp; Shumaker, 2015; Dann et al., 2022; </w:t>
      </w:r>
      <w:proofErr w:type="spellStart"/>
      <w:r w:rsidRPr="005E7D0C">
        <w:rPr>
          <w:rFonts w:ascii="Times New Roman" w:eastAsia="Calibri" w:hAnsi="Times New Roman" w:cs="Times New Roman"/>
          <w:color w:val="000000" w:themeColor="text1"/>
        </w:rPr>
        <w:t>Yevelson-Shorsher</w:t>
      </w:r>
      <w:proofErr w:type="spellEnd"/>
      <w:r w:rsidRPr="005E7D0C">
        <w:rPr>
          <w:rFonts w:ascii="Times New Roman" w:eastAsia="Calibri" w:hAnsi="Times New Roman" w:cs="Times New Roman"/>
          <w:color w:val="000000" w:themeColor="text1"/>
        </w:rPr>
        <w:t xml:space="preserve"> &amp; Bronstein, 2018), which </w:t>
      </w:r>
      <w:r w:rsidR="38D98D2A" w:rsidRPr="005E7D0C">
        <w:rPr>
          <w:rFonts w:ascii="Times New Roman" w:eastAsia="Calibri" w:hAnsi="Times New Roman" w:cs="Times New Roman"/>
          <w:color w:val="000000" w:themeColor="text1"/>
        </w:rPr>
        <w:t>may indicate</w:t>
      </w:r>
      <w:r w:rsidRPr="005E7D0C">
        <w:rPr>
          <w:rFonts w:ascii="Times New Roman" w:eastAsia="Calibri" w:hAnsi="Times New Roman" w:cs="Times New Roman"/>
          <w:color w:val="000000" w:themeColor="text1"/>
        </w:rPr>
        <w:t xml:space="preserve"> different kinds of skills or ways of exhibiting them </w:t>
      </w:r>
      <w:r w:rsidR="27DCB27F" w:rsidRPr="005E7D0C">
        <w:rPr>
          <w:rFonts w:ascii="Times New Roman" w:eastAsia="Calibri" w:hAnsi="Times New Roman" w:cs="Times New Roman"/>
          <w:color w:val="000000" w:themeColor="text1"/>
        </w:rPr>
        <w:t xml:space="preserve">than an absence of skills </w:t>
      </w:r>
      <w:r w:rsidRPr="005E7D0C">
        <w:rPr>
          <w:rFonts w:ascii="Times New Roman" w:eastAsia="Calibri" w:hAnsi="Times New Roman" w:cs="Times New Roman"/>
          <w:color w:val="000000" w:themeColor="text1"/>
        </w:rPr>
        <w:t xml:space="preserve">(Kocevar-Weidinger et al., 2019). </w:t>
      </w:r>
      <w:r w:rsidR="51DA4B20" w:rsidRPr="005E7D0C">
        <w:rPr>
          <w:rFonts w:ascii="Times New Roman" w:eastAsia="Calibri" w:hAnsi="Times New Roman" w:cs="Times New Roman"/>
          <w:color w:val="000000" w:themeColor="text1"/>
        </w:rPr>
        <w:t xml:space="preserve">We hope to </w:t>
      </w:r>
      <w:r w:rsidRPr="005E7D0C">
        <w:rPr>
          <w:rFonts w:ascii="Times New Roman" w:eastAsia="Calibri" w:hAnsi="Times New Roman" w:cs="Times New Roman"/>
          <w:color w:val="000000" w:themeColor="text1"/>
        </w:rPr>
        <w:t xml:space="preserve">encourage students to cultivate self-awareness about their strengths and weaknesses in information literacy. </w:t>
      </w:r>
      <w:proofErr w:type="gramStart"/>
      <w:r w:rsidRPr="005E7D0C">
        <w:rPr>
          <w:rFonts w:ascii="Times New Roman" w:eastAsia="Calibri" w:hAnsi="Times New Roman" w:cs="Times New Roman"/>
          <w:color w:val="000000" w:themeColor="text1"/>
        </w:rPr>
        <w:t>In order to</w:t>
      </w:r>
      <w:proofErr w:type="gramEnd"/>
      <w:r w:rsidRPr="005E7D0C">
        <w:rPr>
          <w:rFonts w:ascii="Times New Roman" w:eastAsia="Calibri" w:hAnsi="Times New Roman" w:cs="Times New Roman"/>
          <w:color w:val="000000" w:themeColor="text1"/>
        </w:rPr>
        <w:t xml:space="preserve"> accomplish our goals, we needed to closely consider the course’s context within </w:t>
      </w:r>
      <w:r w:rsidR="1BA39635" w:rsidRPr="005E7D0C">
        <w:rPr>
          <w:rFonts w:ascii="Times New Roman" w:eastAsia="Calibri" w:hAnsi="Times New Roman" w:cs="Times New Roman"/>
          <w:color w:val="000000" w:themeColor="text1"/>
        </w:rPr>
        <w:t>Towson</w:t>
      </w:r>
      <w:r w:rsidRPr="005E7D0C">
        <w:rPr>
          <w:rFonts w:ascii="Times New Roman" w:eastAsia="Calibri" w:hAnsi="Times New Roman" w:cs="Times New Roman"/>
          <w:color w:val="000000" w:themeColor="text1"/>
        </w:rPr>
        <w:t xml:space="preserve"> University. </w:t>
      </w:r>
    </w:p>
    <w:p w14:paraId="3A29DEEE" w14:textId="4373760B" w:rsidR="00650CEF" w:rsidRPr="005E7D0C" w:rsidRDefault="0B9951D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The data used for this exploratory study comes from a single twenty-four seat Towson Seminar, or TSEM course</w:t>
      </w:r>
      <w:r w:rsidR="4B3E2EF6"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required for first-year students at Towson University. TSEM courses satisfy one of the thirteen Core (general education) requirements for all students and are offered in departments across the University</w:t>
      </w:r>
      <w:r w:rsidR="640CDA66" w:rsidRPr="005E7D0C">
        <w:rPr>
          <w:rFonts w:ascii="Times New Roman" w:eastAsia="Calibri" w:hAnsi="Times New Roman" w:cs="Times New Roman"/>
          <w:color w:val="000000" w:themeColor="text1"/>
        </w:rPr>
        <w:t>.</w:t>
      </w:r>
      <w:r w:rsidR="4C7C1900" w:rsidRPr="005E7D0C">
        <w:rPr>
          <w:rFonts w:ascii="Times New Roman" w:eastAsia="Calibri" w:hAnsi="Times New Roman" w:cs="Times New Roman"/>
          <w:color w:val="000000" w:themeColor="text1"/>
        </w:rPr>
        <w:t xml:space="preserve"> </w:t>
      </w:r>
      <w:r w:rsidR="11E7F6D4" w:rsidRPr="005E7D0C">
        <w:rPr>
          <w:rFonts w:ascii="Times New Roman" w:eastAsia="Calibri" w:hAnsi="Times New Roman" w:cs="Times New Roman"/>
          <w:color w:val="000000" w:themeColor="text1"/>
        </w:rPr>
        <w:t>I</w:t>
      </w:r>
      <w:r w:rsidR="4C7C1900" w:rsidRPr="005E7D0C">
        <w:rPr>
          <w:rFonts w:ascii="Times New Roman" w:eastAsia="Calibri" w:hAnsi="Times New Roman" w:cs="Times New Roman"/>
          <w:color w:val="000000" w:themeColor="text1"/>
        </w:rPr>
        <w:t xml:space="preserve">nstructors chose </w:t>
      </w:r>
      <w:r w:rsidR="435F4CFF" w:rsidRPr="005E7D0C">
        <w:rPr>
          <w:rFonts w:ascii="Times New Roman" w:eastAsia="Calibri" w:hAnsi="Times New Roman" w:cs="Times New Roman"/>
          <w:color w:val="000000" w:themeColor="text1"/>
        </w:rPr>
        <w:t xml:space="preserve">a course topic from within their </w:t>
      </w:r>
      <w:r w:rsidR="4C7C1900" w:rsidRPr="005E7D0C">
        <w:rPr>
          <w:rFonts w:ascii="Times New Roman" w:eastAsia="Calibri" w:hAnsi="Times New Roman" w:cs="Times New Roman"/>
          <w:color w:val="000000" w:themeColor="text1"/>
        </w:rPr>
        <w:t>discipline</w:t>
      </w:r>
      <w:r w:rsidR="376FC3D8" w:rsidRPr="005E7D0C">
        <w:rPr>
          <w:rFonts w:ascii="Times New Roman" w:eastAsia="Calibri" w:hAnsi="Times New Roman" w:cs="Times New Roman"/>
          <w:color w:val="000000" w:themeColor="text1"/>
        </w:rPr>
        <w:t>, but</w:t>
      </w:r>
      <w:r w:rsidRPr="005E7D0C">
        <w:rPr>
          <w:rFonts w:ascii="Times New Roman" w:eastAsia="Calibri" w:hAnsi="Times New Roman" w:cs="Times New Roman"/>
          <w:color w:val="000000" w:themeColor="text1"/>
        </w:rPr>
        <w:t xml:space="preserve"> </w:t>
      </w:r>
      <w:r w:rsidR="546AD7CB"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he University </w:t>
      </w:r>
      <w:r w:rsidR="6D1B6D4D" w:rsidRPr="005E7D0C">
        <w:rPr>
          <w:rFonts w:ascii="Times New Roman" w:eastAsia="Calibri" w:hAnsi="Times New Roman" w:cs="Times New Roman"/>
          <w:color w:val="000000" w:themeColor="text1"/>
        </w:rPr>
        <w:t xml:space="preserve">mandates specific </w:t>
      </w:r>
      <w:r w:rsidRPr="005E7D0C">
        <w:rPr>
          <w:rFonts w:ascii="Times New Roman" w:eastAsia="Calibri" w:hAnsi="Times New Roman" w:cs="Times New Roman"/>
          <w:color w:val="000000" w:themeColor="text1"/>
        </w:rPr>
        <w:t>learning outcomes</w:t>
      </w:r>
      <w:r w:rsidR="4C6DDFE6"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w:t>
      </w:r>
      <w:r w:rsidR="7C21CDEE" w:rsidRPr="005E7D0C">
        <w:rPr>
          <w:rFonts w:ascii="Times New Roman" w:eastAsia="Calibri" w:hAnsi="Times New Roman" w:cs="Times New Roman"/>
          <w:color w:val="000000" w:themeColor="text1"/>
        </w:rPr>
        <w:t xml:space="preserve">In this way, all </w:t>
      </w:r>
      <w:r w:rsidRPr="005E7D0C">
        <w:rPr>
          <w:rFonts w:ascii="Times New Roman" w:eastAsia="Calibri" w:hAnsi="Times New Roman" w:cs="Times New Roman"/>
          <w:color w:val="000000" w:themeColor="text1"/>
        </w:rPr>
        <w:t xml:space="preserve">first-year students build a similar skill set regardless of </w:t>
      </w:r>
      <w:r w:rsidR="42E24B3B" w:rsidRPr="005E7D0C">
        <w:rPr>
          <w:rFonts w:ascii="Times New Roman" w:eastAsia="Calibri" w:hAnsi="Times New Roman" w:cs="Times New Roman"/>
          <w:color w:val="000000" w:themeColor="text1"/>
        </w:rPr>
        <w:t>their course topic</w:t>
      </w:r>
      <w:r w:rsidRPr="005E7D0C">
        <w:rPr>
          <w:rFonts w:ascii="Times New Roman" w:eastAsia="Calibri" w:hAnsi="Times New Roman" w:cs="Times New Roman"/>
          <w:color w:val="000000" w:themeColor="text1"/>
        </w:rPr>
        <w:t>. The first four outcomes ask professors to help students to improve their academic research and writing skills:</w:t>
      </w:r>
    </w:p>
    <w:p w14:paraId="1F87996E" w14:textId="77777777" w:rsidR="00095F44" w:rsidRDefault="1D4621AB"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t>Prepare and present a compelling substantive interpretation, argument, and/or analysis of a problem or issue in a research paper.</w:t>
      </w:r>
    </w:p>
    <w:p w14:paraId="545B1DA0" w14:textId="77777777" w:rsidR="00095F44" w:rsidRDefault="1D4621AB"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lastRenderedPageBreak/>
        <w:t xml:space="preserve">Gather and use academic resources effectively and according to the standards and rules of academic integrity in formulating and presenting a substantive interpretation, argument, and/or analysis of a problem or issue. </w:t>
      </w:r>
    </w:p>
    <w:p w14:paraId="19BEE768" w14:textId="77777777" w:rsidR="00095F44" w:rsidRDefault="1D4621AB"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t>Understand and evaluate the nature and possible causes and implications of events, behavior, problems, and issues from an informed and intellectually balanced perspective.</w:t>
      </w:r>
    </w:p>
    <w:p w14:paraId="718126CA" w14:textId="77777777" w:rsidR="00095F44" w:rsidRDefault="1D4621AB"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t xml:space="preserve">Connect concepts and empirical evidence in logically coherent, valid, and compelling </w:t>
      </w:r>
      <w:proofErr w:type="gramStart"/>
      <w:r w:rsidRPr="00095F44">
        <w:rPr>
          <w:rFonts w:ascii="Times New Roman" w:eastAsia="Calibri" w:hAnsi="Times New Roman" w:cs="Times New Roman"/>
          <w:color w:val="000000" w:themeColor="text1"/>
        </w:rPr>
        <w:t>ways</w:t>
      </w:r>
      <w:proofErr w:type="gramEnd"/>
    </w:p>
    <w:p w14:paraId="688BA5B5" w14:textId="77777777" w:rsidR="00095F44" w:rsidRDefault="1D4621AB"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t>Understand and appreciate social and cultural differences among individuals, groups, and societies and to engage and learn from others with different backgrounds and perspectives in constructive ways, when appropriate to the topic</w:t>
      </w:r>
    </w:p>
    <w:p w14:paraId="2272F968" w14:textId="2A853283" w:rsidR="00650CEF" w:rsidRPr="00095F44" w:rsidRDefault="1585A506" w:rsidP="00C86485">
      <w:pPr>
        <w:pStyle w:val="ListParagraph"/>
        <w:numPr>
          <w:ilvl w:val="0"/>
          <w:numId w:val="14"/>
        </w:numPr>
        <w:spacing w:after="0" w:line="480" w:lineRule="auto"/>
        <w:rPr>
          <w:rFonts w:ascii="Times New Roman" w:eastAsia="Calibri" w:hAnsi="Times New Roman" w:cs="Times New Roman"/>
          <w:color w:val="000000" w:themeColor="text1"/>
        </w:rPr>
      </w:pPr>
      <w:r w:rsidRPr="00095F44">
        <w:rPr>
          <w:rFonts w:ascii="Times New Roman" w:eastAsia="Calibri" w:hAnsi="Times New Roman" w:cs="Times New Roman"/>
          <w:color w:val="000000" w:themeColor="text1"/>
        </w:rPr>
        <w:t>Participate responsibly and effectively in group efforts to address and solve problems, here appropriate within the course format.</w:t>
      </w:r>
      <w:r w:rsidR="007E45C9">
        <w:rPr>
          <w:rFonts w:ascii="Times New Roman" w:eastAsia="Calibri" w:hAnsi="Times New Roman" w:cs="Times New Roman"/>
          <w:color w:val="000000" w:themeColor="text1"/>
        </w:rPr>
        <w:t xml:space="preserve"> (Towson University Senate, 2012)</w:t>
      </w:r>
    </w:p>
    <w:p w14:paraId="2A9715F4" w14:textId="2FBA853E" w:rsidR="00650CEF" w:rsidRPr="005E7D0C" w:rsidRDefault="1585A506"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color w:val="000000" w:themeColor="text1"/>
        </w:rPr>
        <w:t xml:space="preserve">For bureaucratic </w:t>
      </w:r>
      <w:r w:rsidR="6018BABF" w:rsidRPr="005E7D0C">
        <w:rPr>
          <w:rFonts w:ascii="Times New Roman" w:eastAsia="Calibri" w:hAnsi="Times New Roman" w:cs="Times New Roman"/>
          <w:color w:val="000000" w:themeColor="text1"/>
        </w:rPr>
        <w:t>reasons,</w:t>
      </w:r>
      <w:r w:rsidRPr="005E7D0C">
        <w:rPr>
          <w:rFonts w:ascii="Times New Roman" w:eastAsia="Calibri" w:hAnsi="Times New Roman" w:cs="Times New Roman"/>
          <w:color w:val="000000" w:themeColor="text1"/>
        </w:rPr>
        <w:t xml:space="preserve"> all Music Department </w:t>
      </w:r>
      <w:r w:rsidR="6B460C8D"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SEM</w:t>
      </w:r>
      <w:r w:rsidR="570A27D8" w:rsidRPr="005E7D0C">
        <w:rPr>
          <w:rFonts w:ascii="Times New Roman" w:eastAsia="Calibri" w:hAnsi="Times New Roman" w:cs="Times New Roman"/>
          <w:color w:val="000000" w:themeColor="text1"/>
        </w:rPr>
        <w:t>s</w:t>
      </w:r>
      <w:r w:rsidRPr="005E7D0C">
        <w:rPr>
          <w:rFonts w:ascii="Times New Roman" w:eastAsia="Calibri" w:hAnsi="Times New Roman" w:cs="Times New Roman"/>
          <w:color w:val="000000" w:themeColor="text1"/>
        </w:rPr>
        <w:t xml:space="preserve"> share the same course number and title of </w:t>
      </w:r>
      <w:r w:rsidR="17044EA0" w:rsidRPr="005E7D0C">
        <w:rPr>
          <w:rFonts w:ascii="Times New Roman" w:eastAsia="Calibri" w:hAnsi="Times New Roman" w:cs="Times New Roman"/>
          <w:color w:val="000000" w:themeColor="text1"/>
        </w:rPr>
        <w:t>Notable Music Makers</w:t>
      </w:r>
      <w:r w:rsidRPr="005E7D0C">
        <w:rPr>
          <w:rFonts w:ascii="Times New Roman" w:eastAsia="Calibri" w:hAnsi="Times New Roman" w:cs="Times New Roman"/>
          <w:color w:val="000000" w:themeColor="text1"/>
        </w:rPr>
        <w:t xml:space="preserve"> with class-specific subtitles that create content scope. The </w:t>
      </w:r>
      <w:r w:rsidR="2913C231" w:rsidRPr="005E7D0C">
        <w:rPr>
          <w:rFonts w:ascii="Times New Roman" w:eastAsia="Calibri" w:hAnsi="Times New Roman" w:cs="Times New Roman"/>
          <w:color w:val="000000" w:themeColor="text1"/>
        </w:rPr>
        <w:t>topic of this course,</w:t>
      </w:r>
      <w:r w:rsidRPr="005E7D0C">
        <w:rPr>
          <w:rFonts w:ascii="Times New Roman" w:eastAsia="Calibri" w:hAnsi="Times New Roman" w:cs="Times New Roman"/>
          <w:color w:val="000000" w:themeColor="text1"/>
        </w:rPr>
        <w:t xml:space="preserve"> </w:t>
      </w:r>
      <w:r w:rsidR="34F5062C" w:rsidRPr="005E7D0C">
        <w:rPr>
          <w:rFonts w:ascii="Times New Roman" w:eastAsia="Calibri" w:hAnsi="Times New Roman" w:cs="Times New Roman"/>
          <w:color w:val="000000" w:themeColor="text1"/>
        </w:rPr>
        <w:t xml:space="preserve">Janelle </w:t>
      </w:r>
      <w:proofErr w:type="spellStart"/>
      <w:r w:rsidR="34F5062C" w:rsidRPr="005E7D0C">
        <w:rPr>
          <w:rFonts w:ascii="Times New Roman" w:eastAsia="Calibri" w:hAnsi="Times New Roman" w:cs="Times New Roman"/>
          <w:color w:val="000000" w:themeColor="text1"/>
        </w:rPr>
        <w:t>Monaé</w:t>
      </w:r>
      <w:proofErr w:type="spellEnd"/>
      <w:r w:rsidR="215298B5"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w:t>
      </w:r>
      <w:r w:rsidR="20859068" w:rsidRPr="005E7D0C">
        <w:rPr>
          <w:rFonts w:ascii="Times New Roman" w:eastAsia="Calibri" w:hAnsi="Times New Roman" w:cs="Times New Roman"/>
          <w:color w:val="000000" w:themeColor="text1"/>
        </w:rPr>
        <w:t xml:space="preserve">was </w:t>
      </w:r>
      <w:r w:rsidRPr="005E7D0C">
        <w:rPr>
          <w:rFonts w:ascii="Times New Roman" w:eastAsia="Calibri" w:hAnsi="Times New Roman" w:cs="Times New Roman"/>
          <w:color w:val="000000" w:themeColor="text1"/>
        </w:rPr>
        <w:t xml:space="preserve">chosen </w:t>
      </w:r>
      <w:r w:rsidR="710F1686" w:rsidRPr="005E7D0C">
        <w:rPr>
          <w:rFonts w:ascii="Times New Roman" w:eastAsia="Calibri" w:hAnsi="Times New Roman" w:cs="Times New Roman"/>
          <w:color w:val="000000" w:themeColor="text1"/>
        </w:rPr>
        <w:t xml:space="preserve">for its </w:t>
      </w:r>
      <w:r w:rsidR="3EE6FB36" w:rsidRPr="005E7D0C">
        <w:rPr>
          <w:rFonts w:ascii="Times New Roman" w:eastAsia="Calibri" w:hAnsi="Times New Roman" w:cs="Times New Roman"/>
          <w:color w:val="000000" w:themeColor="text1"/>
        </w:rPr>
        <w:t>accessibility</w:t>
      </w:r>
      <w:r w:rsidRPr="005E7D0C">
        <w:rPr>
          <w:rFonts w:ascii="Times New Roman" w:eastAsia="Calibri" w:hAnsi="Times New Roman" w:cs="Times New Roman"/>
          <w:color w:val="000000" w:themeColor="text1"/>
        </w:rPr>
        <w:t xml:space="preserve"> to non-majors, </w:t>
      </w:r>
      <w:r w:rsidR="6F3B61FC" w:rsidRPr="005E7D0C">
        <w:rPr>
          <w:rFonts w:ascii="Times New Roman" w:eastAsia="Calibri" w:hAnsi="Times New Roman" w:cs="Times New Roman"/>
          <w:color w:val="000000" w:themeColor="text1"/>
        </w:rPr>
        <w:t>applicability</w:t>
      </w:r>
      <w:r w:rsidRPr="005E7D0C">
        <w:rPr>
          <w:rFonts w:ascii="Times New Roman" w:eastAsia="Calibri" w:hAnsi="Times New Roman" w:cs="Times New Roman"/>
          <w:color w:val="000000" w:themeColor="text1"/>
        </w:rPr>
        <w:t xml:space="preserve"> to the University</w:t>
      </w:r>
      <w:r w:rsidR="00A50B4E" w:rsidRPr="005E7D0C">
        <w:rPr>
          <w:rFonts w:ascii="Times New Roman" w:eastAsia="Calibri" w:hAnsi="Times New Roman" w:cs="Times New Roman"/>
          <w:color w:val="000000" w:themeColor="text1"/>
        </w:rPr>
        <w:t>’s</w:t>
      </w:r>
      <w:r w:rsidRPr="005E7D0C">
        <w:rPr>
          <w:rFonts w:ascii="Times New Roman" w:eastAsia="Calibri" w:hAnsi="Times New Roman" w:cs="Times New Roman"/>
          <w:color w:val="000000" w:themeColor="text1"/>
        </w:rPr>
        <w:t xml:space="preserve"> student body, and </w:t>
      </w:r>
      <w:r w:rsidR="65CFE6C2" w:rsidRPr="005E7D0C">
        <w:rPr>
          <w:rFonts w:ascii="Times New Roman" w:eastAsia="Calibri" w:hAnsi="Times New Roman" w:cs="Times New Roman"/>
          <w:color w:val="000000" w:themeColor="text1"/>
        </w:rPr>
        <w:t xml:space="preserve">contradiction of the academy’s “music canon” </w:t>
      </w:r>
      <w:r w:rsidRPr="005E7D0C">
        <w:rPr>
          <w:rFonts w:ascii="Times New Roman" w:eastAsia="Calibri" w:hAnsi="Times New Roman" w:cs="Times New Roman"/>
          <w:color w:val="000000" w:themeColor="text1"/>
        </w:rPr>
        <w:t xml:space="preserve">(Citron, 1993). </w:t>
      </w:r>
      <w:r w:rsidR="288CC507" w:rsidRPr="005E7D0C">
        <w:rPr>
          <w:rFonts w:ascii="Times New Roman" w:eastAsia="Calibri" w:hAnsi="Times New Roman" w:cs="Times New Roman"/>
          <w:color w:val="000000" w:themeColor="text1"/>
        </w:rPr>
        <w:t>Both t</w:t>
      </w:r>
      <w:r w:rsidRPr="005E7D0C">
        <w:rPr>
          <w:rFonts w:ascii="Times New Roman" w:eastAsia="Calibri" w:hAnsi="Times New Roman" w:cs="Times New Roman"/>
          <w:color w:val="000000" w:themeColor="text1"/>
        </w:rPr>
        <w:t>he class topic and the pedagogical goal to consider power relationships align with the larger Music Department’s Statement of Solidarity which “affirms the right of students, artists, and scholars to mobilize cultural and institutional resources in service of social justice initiatives” (</w:t>
      </w:r>
      <w:r w:rsidR="0EBDBBAF" w:rsidRPr="005E7D0C">
        <w:rPr>
          <w:rFonts w:ascii="Times New Roman" w:eastAsia="Calibri" w:hAnsi="Times New Roman" w:cs="Times New Roman"/>
          <w:color w:val="000000" w:themeColor="text1"/>
        </w:rPr>
        <w:t>Towson</w:t>
      </w:r>
      <w:r w:rsidRPr="005E7D0C">
        <w:rPr>
          <w:rFonts w:ascii="Times New Roman" w:eastAsia="Calibri" w:hAnsi="Times New Roman" w:cs="Times New Roman"/>
          <w:color w:val="000000" w:themeColor="text1"/>
        </w:rPr>
        <w:t xml:space="preserve"> University Department of Music, 2023).</w:t>
      </w:r>
    </w:p>
    <w:p w14:paraId="4BF74BA4" w14:textId="1976391C" w:rsidR="1585A506"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lastRenderedPageBreak/>
        <w:t xml:space="preserve"> </w:t>
      </w:r>
      <w:r w:rsidR="469C22DC" w:rsidRPr="005E7D0C">
        <w:rPr>
          <w:rFonts w:ascii="Times New Roman" w:eastAsia="Calibri" w:hAnsi="Times New Roman" w:cs="Times New Roman"/>
          <w:color w:val="000000" w:themeColor="text1"/>
        </w:rPr>
        <w:t>The task, then, was to use music history to fulfill TSEM objectives</w:t>
      </w:r>
      <w:r w:rsidR="3718C077" w:rsidRPr="005E7D0C">
        <w:rPr>
          <w:rFonts w:ascii="Times New Roman" w:eastAsia="Calibri" w:hAnsi="Times New Roman" w:cs="Times New Roman"/>
          <w:color w:val="000000" w:themeColor="text1"/>
        </w:rPr>
        <w:t>.</w:t>
      </w:r>
      <w:r w:rsidR="469C22DC" w:rsidRPr="005E7D0C">
        <w:rPr>
          <w:rFonts w:ascii="Times New Roman" w:eastAsia="Calibri" w:hAnsi="Times New Roman" w:cs="Times New Roman"/>
          <w:color w:val="000000" w:themeColor="text1"/>
        </w:rPr>
        <w:t xml:space="preserve"> </w:t>
      </w:r>
      <w:r w:rsidR="12AA8C14" w:rsidRPr="005E7D0C">
        <w:rPr>
          <w:rFonts w:ascii="Times New Roman" w:eastAsia="Calibri" w:hAnsi="Times New Roman" w:cs="Times New Roman"/>
          <w:color w:val="000000" w:themeColor="text1"/>
        </w:rPr>
        <w:t>Consequently,</w:t>
      </w:r>
      <w:r w:rsidRPr="005E7D0C">
        <w:rPr>
          <w:rFonts w:ascii="Times New Roman" w:eastAsia="Calibri" w:hAnsi="Times New Roman" w:cs="Times New Roman"/>
          <w:color w:val="000000" w:themeColor="text1"/>
        </w:rPr>
        <w:t xml:space="preserve"> </w:t>
      </w:r>
      <w:r w:rsidR="07F73DAB" w:rsidRPr="005E7D0C">
        <w:rPr>
          <w:rFonts w:ascii="Times New Roman" w:eastAsia="Calibri" w:hAnsi="Times New Roman" w:cs="Times New Roman"/>
          <w:color w:val="000000" w:themeColor="text1"/>
        </w:rPr>
        <w:t xml:space="preserve">Massey </w:t>
      </w:r>
      <w:r w:rsidR="01E3C4B2" w:rsidRPr="005E7D0C">
        <w:rPr>
          <w:rFonts w:ascii="Times New Roman" w:eastAsia="Calibri" w:hAnsi="Times New Roman" w:cs="Times New Roman"/>
          <w:color w:val="000000" w:themeColor="text1"/>
        </w:rPr>
        <w:t xml:space="preserve">designed </w:t>
      </w:r>
      <w:r w:rsidRPr="005E7D0C">
        <w:rPr>
          <w:rFonts w:ascii="Times New Roman" w:eastAsia="Calibri" w:hAnsi="Times New Roman" w:cs="Times New Roman"/>
          <w:color w:val="000000" w:themeColor="text1"/>
        </w:rPr>
        <w:t>the course</w:t>
      </w:r>
      <w:r w:rsidR="56114C27" w:rsidRPr="005E7D0C">
        <w:rPr>
          <w:rFonts w:ascii="Times New Roman" w:eastAsia="Calibri" w:hAnsi="Times New Roman" w:cs="Times New Roman"/>
          <w:color w:val="000000" w:themeColor="text1"/>
        </w:rPr>
        <w:t xml:space="preserve"> to address</w:t>
      </w:r>
      <w:r w:rsidRPr="005E7D0C">
        <w:rPr>
          <w:rFonts w:ascii="Times New Roman" w:eastAsia="Calibri" w:hAnsi="Times New Roman" w:cs="Times New Roman"/>
          <w:color w:val="000000" w:themeColor="text1"/>
        </w:rPr>
        <w:t xml:space="preserve"> threshold concepts and skills of musicology, which </w:t>
      </w:r>
      <w:r w:rsidR="1A98959B" w:rsidRPr="005E7D0C">
        <w:rPr>
          <w:rFonts w:ascii="Times New Roman" w:eastAsia="Calibri" w:hAnsi="Times New Roman" w:cs="Times New Roman"/>
          <w:color w:val="000000" w:themeColor="text1"/>
        </w:rPr>
        <w:t xml:space="preserve">often </w:t>
      </w:r>
      <w:r w:rsidRPr="005E7D0C">
        <w:rPr>
          <w:rFonts w:ascii="Times New Roman" w:eastAsia="Calibri" w:hAnsi="Times New Roman" w:cs="Times New Roman"/>
          <w:color w:val="000000" w:themeColor="text1"/>
        </w:rPr>
        <w:t xml:space="preserve">align with </w:t>
      </w:r>
      <w:r w:rsidR="0A9F3A2E" w:rsidRPr="005E7D0C">
        <w:rPr>
          <w:rFonts w:ascii="Times New Roman" w:eastAsia="Calibri" w:hAnsi="Times New Roman" w:cs="Times New Roman"/>
          <w:color w:val="000000" w:themeColor="text1"/>
        </w:rPr>
        <w:t>The Framework</w:t>
      </w:r>
      <w:r w:rsidRPr="005E7D0C">
        <w:rPr>
          <w:rFonts w:ascii="Times New Roman" w:eastAsia="Calibri" w:hAnsi="Times New Roman" w:cs="Times New Roman"/>
          <w:color w:val="000000" w:themeColor="text1"/>
        </w:rPr>
        <w:t xml:space="preserve"> (Association of College and Research Libraries, 201</w:t>
      </w:r>
      <w:r w:rsidR="5E96C22E" w:rsidRPr="005E7D0C">
        <w:rPr>
          <w:rFonts w:ascii="Times New Roman" w:eastAsia="Calibri" w:hAnsi="Times New Roman" w:cs="Times New Roman"/>
          <w:color w:val="000000" w:themeColor="text1"/>
        </w:rPr>
        <w:t>6</w:t>
      </w:r>
      <w:r w:rsidRPr="005E7D0C">
        <w:rPr>
          <w:rFonts w:ascii="Times New Roman" w:eastAsia="Calibri" w:hAnsi="Times New Roman" w:cs="Times New Roman"/>
          <w:color w:val="000000" w:themeColor="text1"/>
        </w:rPr>
        <w:t xml:space="preserve">). For example, in a 2022 discussion among members of the Pedagogy Study Group of the American Musicology Society, participants noted how the </w:t>
      </w:r>
      <w:r w:rsidR="24A00433" w:rsidRPr="005E7D0C">
        <w:rPr>
          <w:rFonts w:ascii="Times New Roman" w:eastAsia="Calibri" w:hAnsi="Times New Roman" w:cs="Times New Roman"/>
          <w:color w:val="000000" w:themeColor="text1"/>
        </w:rPr>
        <w:t xml:space="preserve">Framework </w:t>
      </w:r>
      <w:r w:rsidRPr="005E7D0C">
        <w:rPr>
          <w:rFonts w:ascii="Times New Roman" w:eastAsia="Calibri" w:hAnsi="Times New Roman" w:cs="Times New Roman"/>
          <w:color w:val="000000" w:themeColor="text1"/>
        </w:rPr>
        <w:t>concept “Authority Is Constructed and Contextual” could simply be rewritten as “</w:t>
      </w:r>
      <w:r w:rsidRPr="005E7D0C">
        <w:rPr>
          <w:rFonts w:ascii="Times New Roman" w:eastAsia="Calibri" w:hAnsi="Times New Roman" w:cs="Times New Roman"/>
          <w:i/>
          <w:iCs/>
          <w:color w:val="000000" w:themeColor="text1"/>
        </w:rPr>
        <w:t>Music</w:t>
      </w:r>
      <w:r w:rsidRPr="005E7D0C">
        <w:rPr>
          <w:rFonts w:ascii="Times New Roman" w:eastAsia="Calibri" w:hAnsi="Times New Roman" w:cs="Times New Roman"/>
          <w:color w:val="000000" w:themeColor="text1"/>
        </w:rPr>
        <w:t xml:space="preserve"> [our emphasis] Is Constructed and Contextual” to make the concept discipline-specific (2022). There is a small but growing number of musicologists focusing classes on threshold concepts and skills; this study’s </w:t>
      </w:r>
      <w:r w:rsidR="4ACC1ECF"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SEM class fits within that trend. The approach centers the student along with their practical </w:t>
      </w:r>
      <w:r w:rsidR="5CBA1FF0" w:rsidRPr="005E7D0C">
        <w:rPr>
          <w:rFonts w:ascii="Times New Roman" w:eastAsia="Calibri" w:hAnsi="Times New Roman" w:cs="Times New Roman"/>
          <w:color w:val="000000" w:themeColor="text1"/>
        </w:rPr>
        <w:t>needs and</w:t>
      </w:r>
      <w:r w:rsidRPr="005E7D0C">
        <w:rPr>
          <w:rFonts w:ascii="Times New Roman" w:eastAsia="Calibri" w:hAnsi="Times New Roman" w:cs="Times New Roman"/>
          <w:color w:val="000000" w:themeColor="text1"/>
        </w:rPr>
        <w:t xml:space="preserve"> </w:t>
      </w:r>
      <w:r w:rsidR="79EB0833" w:rsidRPr="005E7D0C">
        <w:rPr>
          <w:rFonts w:ascii="Times New Roman" w:eastAsia="Calibri" w:hAnsi="Times New Roman" w:cs="Times New Roman"/>
          <w:color w:val="000000" w:themeColor="text1"/>
        </w:rPr>
        <w:t>supports</w:t>
      </w:r>
      <w:r w:rsidRPr="005E7D0C">
        <w:rPr>
          <w:rFonts w:ascii="Times New Roman" w:eastAsia="Calibri" w:hAnsi="Times New Roman" w:cs="Times New Roman"/>
          <w:color w:val="000000" w:themeColor="text1"/>
        </w:rPr>
        <w:t xml:space="preserve"> efforts to examine hierarchy within academic programs (Haefeli 2016, Garrett et al</w:t>
      </w:r>
      <w:r w:rsidR="00964B05">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2011). </w:t>
      </w:r>
      <w:r w:rsidR="48882543" w:rsidRPr="005E7D0C">
        <w:rPr>
          <w:rFonts w:ascii="Times New Roman" w:eastAsia="Calibri" w:hAnsi="Times New Roman" w:cs="Times New Roman"/>
          <w:color w:val="000000" w:themeColor="text1"/>
        </w:rPr>
        <w:t>Massey</w:t>
      </w:r>
      <w:r w:rsidRPr="005E7D0C">
        <w:rPr>
          <w:rFonts w:ascii="Times New Roman" w:eastAsia="Calibri" w:hAnsi="Times New Roman" w:cs="Times New Roman"/>
          <w:color w:val="000000" w:themeColor="text1"/>
        </w:rPr>
        <w:t xml:space="preserve"> reserves more space in the class for threshold concepts—which are easily transferred between “librarian” and “music” fields—by not assessing music-specific content and only using music-specific content as a delivery tool for ideas and skills that help to fulfill the </w:t>
      </w:r>
      <w:r w:rsidR="00B507F8"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SEM required learning outcomes. </w:t>
      </w:r>
    </w:p>
    <w:p w14:paraId="341DE523" w14:textId="181E7C82" w:rsidR="00650CEF" w:rsidRPr="005E7D0C" w:rsidRDefault="1D4621AB"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Description of Collaboration</w:t>
      </w:r>
    </w:p>
    <w:p w14:paraId="299C31CF" w14:textId="256AB02C" w:rsidR="00650CEF" w:rsidRPr="005E7D0C" w:rsidRDefault="0B9951DF"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Given this institutional context, we agreed that the threshold concepts of information literacy needed to be at the heart of the new course. Following a backward design approach (Wiggins </w:t>
      </w:r>
      <w:r w:rsidR="00167E34">
        <w:rPr>
          <w:rFonts w:ascii="Times New Roman" w:eastAsia="Calibri" w:hAnsi="Times New Roman" w:cs="Times New Roman"/>
          <w:color w:val="000000" w:themeColor="text1"/>
        </w:rPr>
        <w:t>&amp;</w:t>
      </w:r>
      <w:r w:rsidRPr="005E7D0C">
        <w:rPr>
          <w:rFonts w:ascii="Times New Roman" w:eastAsia="Calibri" w:hAnsi="Times New Roman" w:cs="Times New Roman"/>
          <w:color w:val="000000" w:themeColor="text1"/>
        </w:rPr>
        <w:t xml:space="preserve"> McTighe, 2005; Bowen, 2012) we began to formulate educational objectives and discuss the large assignments that would shape the course. Even before this first meeting, Massey had already planned to integrate skill building throughout the course, including assignments on distinguishing and using different types </w:t>
      </w:r>
      <w:r w:rsidRPr="005E7D0C">
        <w:rPr>
          <w:rFonts w:ascii="Times New Roman" w:eastAsia="Calibri" w:hAnsi="Times New Roman" w:cs="Times New Roman"/>
          <w:color w:val="000000" w:themeColor="text1"/>
        </w:rPr>
        <w:lastRenderedPageBreak/>
        <w:t>of sources, finding a research question, executing research, reading effectively, and creating a bibliography. Initially she asked Gibson for details on how one might approach some of these topics, advice about the types of pitfalls students encounter, and input on how to best integrate library instruction into the course. By the end of our first two-hour meeting, Massey settled on one large in-person activity—the library scavenger hunt— and one large end-of-semester project—a 6</w:t>
      </w:r>
      <w:r w:rsidR="00095F44">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8-page term paper—requir</w:t>
      </w:r>
      <w:r w:rsidR="13EDCDE0" w:rsidRPr="005E7D0C">
        <w:rPr>
          <w:rFonts w:ascii="Times New Roman" w:eastAsia="Calibri" w:hAnsi="Times New Roman" w:cs="Times New Roman"/>
          <w:color w:val="000000" w:themeColor="text1"/>
        </w:rPr>
        <w:t>ing</w:t>
      </w:r>
      <w:r w:rsidRPr="005E7D0C">
        <w:rPr>
          <w:rFonts w:ascii="Times New Roman" w:eastAsia="Calibri" w:hAnsi="Times New Roman" w:cs="Times New Roman"/>
          <w:color w:val="000000" w:themeColor="text1"/>
        </w:rPr>
        <w:t xml:space="preserve"> direct librarian interaction. </w:t>
      </w:r>
    </w:p>
    <w:p w14:paraId="33ED2A2E" w14:textId="6B330CD9" w:rsidR="00650CEF" w:rsidRPr="005E7D0C" w:rsidRDefault="0B9951DF" w:rsidP="00C86485">
      <w:pPr>
        <w:spacing w:after="0" w:line="480" w:lineRule="auto"/>
        <w:ind w:left="-20" w:right="-20"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Gibson’s visits </w:t>
      </w:r>
      <w:r w:rsidR="7758398B" w:rsidRPr="005E7D0C">
        <w:rPr>
          <w:rFonts w:ascii="Times New Roman" w:eastAsia="Calibri" w:hAnsi="Times New Roman" w:cs="Times New Roman"/>
          <w:color w:val="000000" w:themeColor="text1"/>
        </w:rPr>
        <w:t>were tied to specific</w:t>
      </w:r>
      <w:r w:rsidR="103B7172"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assignments, but </w:t>
      </w:r>
      <w:r w:rsidR="67660E7C" w:rsidRPr="005E7D0C">
        <w:rPr>
          <w:rFonts w:ascii="Times New Roman" w:eastAsia="Calibri" w:hAnsi="Times New Roman" w:cs="Times New Roman"/>
          <w:color w:val="000000" w:themeColor="text1"/>
        </w:rPr>
        <w:t xml:space="preserve">they were designed to support relationship building </w:t>
      </w:r>
      <w:r w:rsidR="678C72CD" w:rsidRPr="005E7D0C">
        <w:rPr>
          <w:rFonts w:ascii="Times New Roman" w:eastAsia="Calibri" w:hAnsi="Times New Roman" w:cs="Times New Roman"/>
          <w:color w:val="000000" w:themeColor="text1"/>
        </w:rPr>
        <w:t xml:space="preserve">more than </w:t>
      </w:r>
      <w:r w:rsidR="2104A384" w:rsidRPr="005E7D0C">
        <w:rPr>
          <w:rFonts w:ascii="Times New Roman" w:eastAsia="Calibri" w:hAnsi="Times New Roman" w:cs="Times New Roman"/>
          <w:color w:val="000000" w:themeColor="text1"/>
        </w:rPr>
        <w:t xml:space="preserve">curricular content. </w:t>
      </w:r>
      <w:r w:rsidRPr="005E7D0C">
        <w:rPr>
          <w:rFonts w:ascii="Times New Roman" w:eastAsia="Calibri" w:hAnsi="Times New Roman" w:cs="Times New Roman"/>
          <w:color w:val="000000" w:themeColor="text1"/>
        </w:rPr>
        <w:t>Instead of spreading library sessions throughout the semester as is typical for a TSEM</w:t>
      </w:r>
      <w:r w:rsidR="3253EE54"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we scheduled two classes within one week about a third of the way through the term. Before that first interaction, Massey introduced students to various source types through section-specific content. Students spent one class session on each of the following categories: academic, popular, primary, and secondary sources. As a result, </w:t>
      </w:r>
      <w:r w:rsidR="06ADFDF9" w:rsidRPr="005E7D0C">
        <w:rPr>
          <w:rFonts w:ascii="Times New Roman" w:eastAsia="Calibri" w:hAnsi="Times New Roman" w:cs="Times New Roman"/>
          <w:color w:val="000000" w:themeColor="text1"/>
        </w:rPr>
        <w:t xml:space="preserve">there was space during the first session to </w:t>
      </w:r>
      <w:r w:rsidRPr="005E7D0C">
        <w:rPr>
          <w:rFonts w:ascii="Times New Roman" w:eastAsia="Calibri" w:hAnsi="Times New Roman" w:cs="Times New Roman"/>
          <w:color w:val="000000" w:themeColor="text1"/>
        </w:rPr>
        <w:t>discuss the philosophies behind searching and to apply their knowledge of source types in a workshop setting.</w:t>
      </w:r>
    </w:p>
    <w:p w14:paraId="3C39B2BA" w14:textId="4198014F" w:rsidR="00650CEF" w:rsidRPr="005E7D0C" w:rsidRDefault="0B9951DF"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color w:val="000000" w:themeColor="text1"/>
        </w:rPr>
        <w:t>Students came back to the library for the scavenger hunt the next week. Scavenger hunts are common library activities, often chosen because they offer an engaging orientation to library services (Stark et al</w:t>
      </w:r>
      <w:r w:rsidR="00964B05">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2021). </w:t>
      </w:r>
      <w:r w:rsidR="013A6261" w:rsidRPr="005E7D0C">
        <w:rPr>
          <w:rFonts w:ascii="Times New Roman" w:eastAsia="Calibri" w:hAnsi="Times New Roman" w:cs="Times New Roman"/>
          <w:color w:val="000000" w:themeColor="text1"/>
        </w:rPr>
        <w:t>In the</w:t>
      </w:r>
      <w:r w:rsidRPr="005E7D0C">
        <w:rPr>
          <w:rFonts w:ascii="Times New Roman" w:eastAsia="Calibri" w:hAnsi="Times New Roman" w:cs="Times New Roman"/>
          <w:color w:val="000000" w:themeColor="text1"/>
        </w:rPr>
        <w:t xml:space="preserve"> scavenger hunt</w:t>
      </w:r>
      <w:r w:rsidR="0C924109" w:rsidRPr="005E7D0C">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w:t>
      </w:r>
      <w:r w:rsidR="0D6068AC" w:rsidRPr="005E7D0C">
        <w:rPr>
          <w:rFonts w:ascii="Times New Roman" w:eastAsia="Calibri" w:hAnsi="Times New Roman" w:cs="Times New Roman"/>
          <w:color w:val="000000" w:themeColor="text1"/>
        </w:rPr>
        <w:t xml:space="preserve">students </w:t>
      </w:r>
      <w:r w:rsidRPr="005E7D0C">
        <w:rPr>
          <w:rFonts w:ascii="Times New Roman" w:eastAsia="Calibri" w:hAnsi="Times New Roman" w:cs="Times New Roman"/>
          <w:color w:val="000000" w:themeColor="text1"/>
        </w:rPr>
        <w:t>buil</w:t>
      </w:r>
      <w:r w:rsidR="2EB51C90"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 relevant skill sets and</w:t>
      </w:r>
      <w:r w:rsidR="20D541AD" w:rsidRPr="005E7D0C">
        <w:rPr>
          <w:rFonts w:ascii="Times New Roman" w:eastAsia="Calibri" w:hAnsi="Times New Roman" w:cs="Times New Roman"/>
          <w:color w:val="000000" w:themeColor="text1"/>
        </w:rPr>
        <w:t xml:space="preserve"> gained</w:t>
      </w:r>
      <w:r w:rsidRPr="005E7D0C">
        <w:rPr>
          <w:rFonts w:ascii="Times New Roman" w:eastAsia="Calibri" w:hAnsi="Times New Roman" w:cs="Times New Roman"/>
          <w:color w:val="000000" w:themeColor="text1"/>
        </w:rPr>
        <w:t xml:space="preserve"> conceptual level awareness of how libraries function. </w:t>
      </w:r>
      <w:r w:rsidR="1C89BDA8" w:rsidRPr="005E7D0C">
        <w:rPr>
          <w:rFonts w:ascii="Times New Roman" w:eastAsia="Calibri" w:hAnsi="Times New Roman" w:cs="Times New Roman"/>
          <w:color w:val="000000" w:themeColor="text1"/>
        </w:rPr>
        <w:t xml:space="preserve">By design, </w:t>
      </w:r>
      <w:r w:rsidRPr="005E7D0C">
        <w:rPr>
          <w:rFonts w:ascii="Times New Roman" w:eastAsia="Calibri" w:hAnsi="Times New Roman" w:cs="Times New Roman"/>
          <w:color w:val="000000" w:themeColor="text1"/>
        </w:rPr>
        <w:t>this scavenger hunt avoided many of the common pitfalls typical of the genre (</w:t>
      </w:r>
      <w:proofErr w:type="spellStart"/>
      <w:r w:rsidRPr="005E7D0C">
        <w:rPr>
          <w:rFonts w:ascii="Times New Roman" w:eastAsia="Calibri" w:hAnsi="Times New Roman" w:cs="Times New Roman"/>
          <w:color w:val="000000" w:themeColor="text1"/>
        </w:rPr>
        <w:t>Mccain</w:t>
      </w:r>
      <w:proofErr w:type="spellEnd"/>
      <w:r w:rsidRPr="005E7D0C">
        <w:rPr>
          <w:rFonts w:ascii="Times New Roman" w:eastAsia="Calibri" w:hAnsi="Times New Roman" w:cs="Times New Roman"/>
          <w:color w:val="000000" w:themeColor="text1"/>
        </w:rPr>
        <w:t>, 2007</w:t>
      </w:r>
      <w:r w:rsidR="00964B05">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Stark, et al</w:t>
      </w:r>
      <w:r w:rsidR="00964B05">
        <w:rPr>
          <w:rFonts w:ascii="Times New Roman" w:eastAsia="Calibri" w:hAnsi="Times New Roman" w:cs="Times New Roman"/>
          <w:color w:val="000000" w:themeColor="text1"/>
        </w:rPr>
        <w:t>.</w:t>
      </w:r>
      <w:r w:rsidRPr="005E7D0C">
        <w:rPr>
          <w:rFonts w:ascii="Times New Roman" w:eastAsia="Calibri" w:hAnsi="Times New Roman" w:cs="Times New Roman"/>
          <w:color w:val="000000" w:themeColor="text1"/>
        </w:rPr>
        <w:t xml:space="preserve">, 2021). </w:t>
      </w:r>
      <w:r w:rsidR="528ED89C" w:rsidRPr="005E7D0C">
        <w:rPr>
          <w:rFonts w:ascii="Times New Roman" w:eastAsia="Calibri" w:hAnsi="Times New Roman" w:cs="Times New Roman"/>
          <w:color w:val="000000" w:themeColor="text1"/>
        </w:rPr>
        <w:t>S</w:t>
      </w:r>
      <w:r w:rsidRPr="005E7D0C">
        <w:rPr>
          <w:rFonts w:ascii="Times New Roman" w:eastAsia="Calibri" w:hAnsi="Times New Roman" w:cs="Times New Roman"/>
          <w:color w:val="000000" w:themeColor="text1"/>
        </w:rPr>
        <w:t xml:space="preserve">tudents were highly motivated to complete the hunt quickly and accurately to win a $10 gift card. </w:t>
      </w:r>
      <w:r w:rsidR="12F79F4E" w:rsidRPr="005E7D0C">
        <w:rPr>
          <w:rFonts w:ascii="Times New Roman" w:eastAsia="Calibri" w:hAnsi="Times New Roman" w:cs="Times New Roman"/>
          <w:color w:val="000000" w:themeColor="text1"/>
        </w:rPr>
        <w:t xml:space="preserve">It required </w:t>
      </w:r>
      <w:r w:rsidRPr="005E7D0C">
        <w:rPr>
          <w:rFonts w:ascii="Times New Roman" w:eastAsia="Calibri" w:hAnsi="Times New Roman" w:cs="Times New Roman"/>
          <w:color w:val="000000" w:themeColor="text1"/>
        </w:rPr>
        <w:t xml:space="preserve">students to explore some of the </w:t>
      </w:r>
      <w:r w:rsidRPr="005E7D0C">
        <w:rPr>
          <w:rFonts w:ascii="Times New Roman" w:eastAsia="Calibri" w:hAnsi="Times New Roman" w:cs="Times New Roman"/>
          <w:color w:val="000000" w:themeColor="text1"/>
        </w:rPr>
        <w:lastRenderedPageBreak/>
        <w:t xml:space="preserve">trickiest mechanics in accessing an item, such as placing an inter-library loan request, shelf reading, approaching the front desk, and finding detailed metadata. </w:t>
      </w:r>
      <w:r w:rsidR="2AFDB30D" w:rsidRPr="005E7D0C">
        <w:rPr>
          <w:rFonts w:ascii="Times New Roman" w:eastAsia="Calibri" w:hAnsi="Times New Roman" w:cs="Times New Roman"/>
          <w:color w:val="000000" w:themeColor="text1"/>
        </w:rPr>
        <w:t xml:space="preserve">All the questions were directly tied to course content. </w:t>
      </w:r>
      <w:r w:rsidRPr="005E7D0C">
        <w:rPr>
          <w:rFonts w:ascii="Times New Roman" w:eastAsia="Calibri" w:hAnsi="Times New Roman" w:cs="Times New Roman"/>
          <w:color w:val="000000" w:themeColor="text1"/>
        </w:rPr>
        <w:t xml:space="preserve">Having </w:t>
      </w:r>
      <w:r w:rsidR="2598508F" w:rsidRPr="005E7D0C">
        <w:rPr>
          <w:rFonts w:ascii="Times New Roman" w:eastAsia="Calibri" w:hAnsi="Times New Roman" w:cs="Times New Roman"/>
          <w:color w:val="000000" w:themeColor="text1"/>
        </w:rPr>
        <w:t xml:space="preserve">a </w:t>
      </w:r>
      <w:r w:rsidRPr="005E7D0C">
        <w:rPr>
          <w:rFonts w:ascii="Times New Roman" w:eastAsia="Calibri" w:hAnsi="Times New Roman" w:cs="Times New Roman"/>
          <w:color w:val="000000" w:themeColor="text1"/>
        </w:rPr>
        <w:t xml:space="preserve">higher-level understanding of the </w:t>
      </w:r>
      <w:proofErr w:type="gramStart"/>
      <w:r w:rsidR="0723F701" w:rsidRPr="005E7D0C">
        <w:rPr>
          <w:rFonts w:ascii="Times New Roman" w:eastAsia="Calibri" w:hAnsi="Times New Roman" w:cs="Times New Roman"/>
          <w:color w:val="000000" w:themeColor="text1"/>
        </w:rPr>
        <w:t>Library’s</w:t>
      </w:r>
      <w:proofErr w:type="gramEnd"/>
      <w:r w:rsidR="0723F701" w:rsidRPr="005E7D0C">
        <w:rPr>
          <w:rFonts w:ascii="Times New Roman" w:eastAsia="Calibri" w:hAnsi="Times New Roman" w:cs="Times New Roman"/>
          <w:color w:val="000000" w:themeColor="text1"/>
        </w:rPr>
        <w:t xml:space="preserve"> systems empowers students </w:t>
      </w:r>
      <w:r w:rsidRPr="005E7D0C">
        <w:rPr>
          <w:rFonts w:ascii="Times New Roman" w:eastAsia="Calibri" w:hAnsi="Times New Roman" w:cs="Times New Roman"/>
          <w:color w:val="000000" w:themeColor="text1"/>
        </w:rPr>
        <w:t>to make choices about how to use the library in a way that works for them and their needs</w:t>
      </w:r>
      <w:r w:rsidR="2D4B40F1" w:rsidRPr="005E7D0C">
        <w:rPr>
          <w:rFonts w:ascii="Times New Roman" w:eastAsia="Calibri" w:hAnsi="Times New Roman" w:cs="Times New Roman"/>
          <w:color w:val="000000" w:themeColor="text1"/>
        </w:rPr>
        <w:t>, and making a direct the link to the course underscored the relevance to students’</w:t>
      </w:r>
      <w:r w:rsidR="70092EA2" w:rsidRPr="005E7D0C">
        <w:rPr>
          <w:rFonts w:ascii="Times New Roman" w:eastAsia="Calibri" w:hAnsi="Times New Roman" w:cs="Times New Roman"/>
          <w:color w:val="000000" w:themeColor="text1"/>
        </w:rPr>
        <w:t xml:space="preserve"> research</w:t>
      </w:r>
      <w:r w:rsidRPr="005E7D0C">
        <w:rPr>
          <w:rFonts w:ascii="Times New Roman" w:eastAsia="Calibri" w:hAnsi="Times New Roman" w:cs="Times New Roman"/>
          <w:color w:val="000000" w:themeColor="text1"/>
        </w:rPr>
        <w:t xml:space="preserve"> (fig. 1)</w:t>
      </w:r>
      <w:r w:rsidR="399A5C88" w:rsidRPr="005E7D0C">
        <w:rPr>
          <w:rFonts w:ascii="Times New Roman" w:eastAsia="Calibri" w:hAnsi="Times New Roman" w:cs="Times New Roman"/>
          <w:color w:val="000000" w:themeColor="text1"/>
        </w:rPr>
        <w:t xml:space="preserve"> (McNair, 2016)</w:t>
      </w:r>
      <w:r w:rsidRPr="005E7D0C">
        <w:rPr>
          <w:rFonts w:ascii="Times New Roman" w:eastAsia="Calibri" w:hAnsi="Times New Roman" w:cs="Times New Roman"/>
          <w:color w:val="000000" w:themeColor="text1"/>
        </w:rPr>
        <w:t xml:space="preserve">. The students worked in pairs. Gibson was in the classroom to answer any questions; library staff at the front desk knew about the assignment and were prepared to engage when needed. </w:t>
      </w:r>
      <w:r w:rsidR="0FBE6FAE" w:rsidRPr="005E7D0C">
        <w:rPr>
          <w:rFonts w:ascii="Times New Roman" w:eastAsia="Calibri" w:hAnsi="Times New Roman" w:cs="Times New Roman"/>
          <w:color w:val="000000" w:themeColor="text1"/>
        </w:rPr>
        <w:t>The exercise was sufficiently difficult that students needed to use one another, the instructor, and the librarians around them to complete it, but they also had many choices about how and when to engage with these resources.</w:t>
      </w:r>
    </w:p>
    <w:p w14:paraId="7DF990F5" w14:textId="3A990D6F" w:rsidR="00D340B0" w:rsidRPr="00D340B0" w:rsidRDefault="00D340B0" w:rsidP="00C86485">
      <w:pPr>
        <w:pStyle w:val="Caption"/>
        <w:keepNext/>
        <w:spacing w:line="480" w:lineRule="auto"/>
        <w:ind w:left="450"/>
        <w:rPr>
          <w:rFonts w:ascii="Times New Roman" w:hAnsi="Times New Roman" w:cs="Times New Roman"/>
          <w:color w:val="auto"/>
          <w:sz w:val="24"/>
          <w:szCs w:val="24"/>
        </w:rPr>
      </w:pPr>
      <w:r w:rsidRPr="00D340B0">
        <w:rPr>
          <w:rFonts w:ascii="Times New Roman" w:hAnsi="Times New Roman" w:cs="Times New Roman"/>
          <w:b/>
          <w:bCs/>
          <w:i w:val="0"/>
          <w:iCs w:val="0"/>
          <w:color w:val="auto"/>
          <w:sz w:val="24"/>
          <w:szCs w:val="24"/>
        </w:rPr>
        <w:t xml:space="preserve">Figure </w:t>
      </w:r>
      <w:r w:rsidRPr="008A5CFF">
        <w:rPr>
          <w:rFonts w:ascii="Times New Roman" w:hAnsi="Times New Roman" w:cs="Times New Roman"/>
          <w:b/>
          <w:bCs/>
          <w:i w:val="0"/>
          <w:iCs w:val="0"/>
          <w:color w:val="auto"/>
          <w:sz w:val="24"/>
          <w:szCs w:val="24"/>
        </w:rPr>
        <w:fldChar w:fldCharType="begin"/>
      </w:r>
      <w:r w:rsidRPr="008A5CFF">
        <w:rPr>
          <w:rFonts w:ascii="Times New Roman" w:hAnsi="Times New Roman" w:cs="Times New Roman"/>
          <w:b/>
          <w:bCs/>
          <w:i w:val="0"/>
          <w:iCs w:val="0"/>
          <w:color w:val="auto"/>
          <w:sz w:val="24"/>
          <w:szCs w:val="24"/>
        </w:rPr>
        <w:instrText xml:space="preserve"> SEQ Figure \* ARABIC </w:instrText>
      </w:r>
      <w:r w:rsidRPr="008A5CFF">
        <w:rPr>
          <w:rFonts w:ascii="Times New Roman" w:hAnsi="Times New Roman" w:cs="Times New Roman"/>
          <w:b/>
          <w:bCs/>
          <w:i w:val="0"/>
          <w:iCs w:val="0"/>
          <w:color w:val="auto"/>
          <w:sz w:val="24"/>
          <w:szCs w:val="24"/>
        </w:rPr>
        <w:fldChar w:fldCharType="separate"/>
      </w:r>
      <w:r w:rsidR="00E34B56">
        <w:rPr>
          <w:rFonts w:ascii="Times New Roman" w:hAnsi="Times New Roman" w:cs="Times New Roman"/>
          <w:b/>
          <w:bCs/>
          <w:i w:val="0"/>
          <w:iCs w:val="0"/>
          <w:noProof/>
          <w:color w:val="auto"/>
          <w:sz w:val="24"/>
          <w:szCs w:val="24"/>
        </w:rPr>
        <w:t>1</w:t>
      </w:r>
      <w:r w:rsidRPr="008A5CFF">
        <w:rPr>
          <w:rFonts w:ascii="Times New Roman" w:hAnsi="Times New Roman" w:cs="Times New Roman"/>
          <w:b/>
          <w:bCs/>
          <w:i w:val="0"/>
          <w:iCs w:val="0"/>
          <w:color w:val="auto"/>
          <w:sz w:val="24"/>
          <w:szCs w:val="24"/>
        </w:rPr>
        <w:fldChar w:fldCharType="end"/>
      </w:r>
      <w:r w:rsidRPr="00D340B0">
        <w:rPr>
          <w:rFonts w:ascii="Times New Roman" w:hAnsi="Times New Roman" w:cs="Times New Roman"/>
          <w:b/>
          <w:bCs/>
          <w:i w:val="0"/>
          <w:iCs w:val="0"/>
          <w:color w:val="auto"/>
          <w:sz w:val="24"/>
          <w:szCs w:val="24"/>
        </w:rPr>
        <w:t xml:space="preserve"> </w:t>
      </w:r>
      <w:r w:rsidRPr="00D340B0">
        <w:rPr>
          <w:rFonts w:ascii="Times New Roman" w:hAnsi="Times New Roman" w:cs="Times New Roman"/>
          <w:color w:val="auto"/>
          <w:sz w:val="24"/>
          <w:szCs w:val="24"/>
        </w:rPr>
        <w:br/>
        <w:t xml:space="preserve">Example </w:t>
      </w:r>
      <w:r w:rsidR="00480576">
        <w:rPr>
          <w:rFonts w:ascii="Times New Roman" w:hAnsi="Times New Roman" w:cs="Times New Roman"/>
          <w:color w:val="auto"/>
          <w:sz w:val="24"/>
          <w:szCs w:val="24"/>
        </w:rPr>
        <w:t>Q</w:t>
      </w:r>
      <w:r w:rsidRPr="00D340B0">
        <w:rPr>
          <w:rFonts w:ascii="Times New Roman" w:hAnsi="Times New Roman" w:cs="Times New Roman"/>
          <w:color w:val="auto"/>
          <w:sz w:val="24"/>
          <w:szCs w:val="24"/>
        </w:rPr>
        <w:t xml:space="preserve">uestion from Massey's TSEM </w:t>
      </w:r>
      <w:r w:rsidR="00480576">
        <w:rPr>
          <w:rFonts w:ascii="Times New Roman" w:hAnsi="Times New Roman" w:cs="Times New Roman"/>
          <w:color w:val="auto"/>
          <w:sz w:val="24"/>
          <w:szCs w:val="24"/>
        </w:rPr>
        <w:t>S</w:t>
      </w:r>
      <w:r w:rsidRPr="00D340B0">
        <w:rPr>
          <w:rFonts w:ascii="Times New Roman" w:hAnsi="Times New Roman" w:cs="Times New Roman"/>
          <w:color w:val="auto"/>
          <w:sz w:val="24"/>
          <w:szCs w:val="24"/>
        </w:rPr>
        <w:t xml:space="preserve">cavenger </w:t>
      </w:r>
      <w:r w:rsidR="00480576">
        <w:rPr>
          <w:rFonts w:ascii="Times New Roman" w:hAnsi="Times New Roman" w:cs="Times New Roman"/>
          <w:color w:val="auto"/>
          <w:sz w:val="24"/>
          <w:szCs w:val="24"/>
        </w:rPr>
        <w:t>H</w:t>
      </w:r>
      <w:r w:rsidRPr="00D340B0">
        <w:rPr>
          <w:rFonts w:ascii="Times New Roman" w:hAnsi="Times New Roman" w:cs="Times New Roman"/>
          <w:color w:val="auto"/>
          <w:sz w:val="24"/>
          <w:szCs w:val="24"/>
        </w:rPr>
        <w:t>unt</w:t>
      </w:r>
    </w:p>
    <w:p w14:paraId="0084F451" w14:textId="36F6C2A2" w:rsidR="00650CEF" w:rsidRPr="005E7D0C" w:rsidRDefault="00000000" w:rsidP="00C86485">
      <w:pPr>
        <w:spacing w:after="0" w:line="480" w:lineRule="auto"/>
        <w:jc w:val="center"/>
        <w:rPr>
          <w:rFonts w:ascii="Times New Roman" w:hAnsi="Times New Roman" w:cs="Times New Roman"/>
        </w:rPr>
      </w:pPr>
      <w:r w:rsidRPr="005E7D0C">
        <w:rPr>
          <w:rFonts w:ascii="Times New Roman" w:hAnsi="Times New Roman" w:cs="Times New Roman"/>
          <w:noProof/>
        </w:rPr>
        <w:drawing>
          <wp:inline distT="0" distB="0" distL="0" distR="0" wp14:anchorId="4EF354CF" wp14:editId="6B11FD5F">
            <wp:extent cx="4905955" cy="2647172"/>
            <wp:effectExtent l="0" t="0" r="0" b="1270"/>
            <wp:docPr id="1787096986" name="Picture 1787096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4921251" cy="2655426"/>
                    </a:xfrm>
                    <a:prstGeom prst="rect">
                      <a:avLst/>
                    </a:prstGeom>
                  </pic:spPr>
                </pic:pic>
              </a:graphicData>
            </a:graphic>
          </wp:inline>
        </w:drawing>
      </w:r>
    </w:p>
    <w:p w14:paraId="0E93C3A8" w14:textId="09FD9630" w:rsidR="00650CEF" w:rsidRPr="005E7D0C" w:rsidRDefault="59A2AB8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color w:val="000000" w:themeColor="text1"/>
        </w:rPr>
        <w:t xml:space="preserve">Instead of a third instruction session, each student scheduled one fifteen-minute appointment with the librarian about two-thirds of the way through the semester in </w:t>
      </w:r>
      <w:r w:rsidRPr="005E7D0C">
        <w:rPr>
          <w:rFonts w:ascii="Times New Roman" w:eastAsia="Calibri" w:hAnsi="Times New Roman" w:cs="Times New Roman"/>
          <w:color w:val="000000" w:themeColor="text1"/>
        </w:rPr>
        <w:lastRenderedPageBreak/>
        <w:t>preparation for writing the first draft of their paper. Students came to the meetings with a bibliography, a thesis statement, and a question. The stated emphasis of the meeting was to answer the student’s prepared question, but most meetings evolved into a conversation about the scope of the individual’s thesis statement and the feasibility of responding to the thesis statement in a 6–8-page paper with the sources listed in the bibliography. A little later in the semester, students also had a 1:1 meeting with the instructor, allowing them to compare the types of help they might expect from a professor versus a librarian. These conversations became mechanisms to help students draw on earlier experiences with library instruction, apply the learned skill sets, and implement higher-level learning in their papers.</w:t>
      </w:r>
    </w:p>
    <w:p w14:paraId="0C0E1577" w14:textId="2ED3794E" w:rsidR="00650CEF" w:rsidRPr="00095F44" w:rsidRDefault="1D4621AB" w:rsidP="00C86485">
      <w:pPr>
        <w:pStyle w:val="Heading1"/>
        <w:spacing w:line="480" w:lineRule="auto"/>
        <w:rPr>
          <w:rFonts w:ascii="Times New Roman" w:eastAsia="Calibri" w:hAnsi="Times New Roman" w:cs="Times New Roman"/>
          <w:b/>
          <w:bCs/>
          <w:color w:val="auto"/>
          <w:sz w:val="32"/>
          <w:szCs w:val="32"/>
        </w:rPr>
      </w:pPr>
      <w:r w:rsidRPr="00095F44">
        <w:rPr>
          <w:rFonts w:ascii="Times New Roman" w:eastAsia="Calibri" w:hAnsi="Times New Roman" w:cs="Times New Roman"/>
          <w:b/>
          <w:bCs/>
          <w:color w:val="auto"/>
          <w:sz w:val="32"/>
          <w:szCs w:val="32"/>
        </w:rPr>
        <w:t>Survey Instrument</w:t>
      </w:r>
    </w:p>
    <w:p w14:paraId="6668B344" w14:textId="6545307D" w:rsidR="00650CEF"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The </w:t>
      </w:r>
      <w:proofErr w:type="spellStart"/>
      <w:r w:rsidR="1AFFD0FD" w:rsidRPr="005E7D0C">
        <w:rPr>
          <w:rFonts w:ascii="Times New Roman" w:eastAsia="Calibri" w:hAnsi="Times New Roman" w:cs="Times New Roman"/>
          <w:color w:val="000000" w:themeColor="text1"/>
        </w:rPr>
        <w:t>Monaé</w:t>
      </w:r>
      <w:proofErr w:type="spellEnd"/>
      <w:r w:rsidRPr="005E7D0C">
        <w:rPr>
          <w:rFonts w:ascii="Times New Roman" w:eastAsia="Calibri" w:hAnsi="Times New Roman" w:cs="Times New Roman"/>
          <w:color w:val="000000" w:themeColor="text1"/>
        </w:rPr>
        <w:t xml:space="preserve"> </w:t>
      </w:r>
      <w:r w:rsidR="546127EF" w:rsidRPr="005E7D0C">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SEM course was first taught in Fall 2022, with collaboration between instructor and librarian beginning summer 2022. After reflection and revision at the close of the Fall 2022 semester, </w:t>
      </w:r>
      <w:r w:rsidR="23E35AD1" w:rsidRPr="005E7D0C">
        <w:rPr>
          <w:rFonts w:ascii="Times New Roman" w:eastAsia="Calibri" w:hAnsi="Times New Roman" w:cs="Times New Roman"/>
          <w:color w:val="000000" w:themeColor="text1"/>
        </w:rPr>
        <w:t xml:space="preserve">we prepared </w:t>
      </w:r>
      <w:r w:rsidRPr="005E7D0C">
        <w:rPr>
          <w:rFonts w:ascii="Times New Roman" w:eastAsia="Calibri" w:hAnsi="Times New Roman" w:cs="Times New Roman"/>
          <w:color w:val="000000" w:themeColor="text1"/>
        </w:rPr>
        <w:t xml:space="preserve">three I surveys were prepared before the Spring 2023 run of the course. </w:t>
      </w:r>
      <w:r w:rsidR="0F9566FB" w:rsidRPr="005E7D0C">
        <w:rPr>
          <w:rFonts w:ascii="Times New Roman" w:eastAsia="Calibri" w:hAnsi="Times New Roman" w:cs="Times New Roman"/>
          <w:color w:val="000000" w:themeColor="text1"/>
        </w:rPr>
        <w:t xml:space="preserve">All surveys were approved by Towson University’s IRB with an Exempt Status. See the bibliography below for a link to the complete surveys. </w:t>
      </w:r>
      <w:r w:rsidRPr="005E7D0C">
        <w:rPr>
          <w:rFonts w:ascii="Times New Roman" w:eastAsia="Calibri" w:hAnsi="Times New Roman" w:cs="Times New Roman"/>
          <w:color w:val="000000" w:themeColor="text1"/>
        </w:rPr>
        <w:t xml:space="preserve">Spring 2023 course participants were provided Survey 1 on the second session (Thursday, February 2) of the class, Survey 2 on the class session (Thursday, March 6) preceding the mid-semester spring break, and Survey 3 on the final session (Tuesday, May 16) of class. </w:t>
      </w:r>
      <w:r w:rsidR="1D4621AB" w:rsidRPr="005E7D0C">
        <w:rPr>
          <w:rFonts w:ascii="Times New Roman" w:eastAsia="Calibri" w:hAnsi="Times New Roman" w:cs="Times New Roman"/>
          <w:color w:val="000000" w:themeColor="text1"/>
        </w:rPr>
        <w:t>Of the 24 students enrolled in the Spring 2023 course, 21 elected to complete Survey 1, 18 completed Survey 2, and 17 completed Survey 3. The overall decrease in respondents is explained by reduced attendance on those days.</w:t>
      </w:r>
    </w:p>
    <w:p w14:paraId="6186C35E" w14:textId="7F7703B8" w:rsidR="00650CEF"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lastRenderedPageBreak/>
        <w:t xml:space="preserve">Our main goals were to understand student confidence regarding research and writing skills as well as their sense of relationship with the instructor and librarian. </w:t>
      </w:r>
      <w:r w:rsidR="7F5B189A" w:rsidRPr="005E7D0C">
        <w:rPr>
          <w:rFonts w:ascii="Times New Roman" w:eastAsia="Calibri" w:hAnsi="Times New Roman" w:cs="Times New Roman"/>
          <w:color w:val="000000" w:themeColor="text1"/>
        </w:rPr>
        <w:t xml:space="preserve">All </w:t>
      </w:r>
      <w:r w:rsidRPr="005E7D0C">
        <w:rPr>
          <w:rFonts w:ascii="Times New Roman" w:eastAsia="Calibri" w:hAnsi="Times New Roman" w:cs="Times New Roman"/>
          <w:color w:val="000000" w:themeColor="text1"/>
        </w:rPr>
        <w:t>survey</w:t>
      </w:r>
      <w:r w:rsidR="18B7549D" w:rsidRPr="005E7D0C">
        <w:rPr>
          <w:rFonts w:ascii="Times New Roman" w:eastAsia="Calibri" w:hAnsi="Times New Roman" w:cs="Times New Roman"/>
          <w:color w:val="000000" w:themeColor="text1"/>
        </w:rPr>
        <w:t>s</w:t>
      </w:r>
      <w:r w:rsidRPr="005E7D0C">
        <w:rPr>
          <w:rFonts w:ascii="Times New Roman" w:eastAsia="Calibri" w:hAnsi="Times New Roman" w:cs="Times New Roman"/>
          <w:color w:val="000000" w:themeColor="text1"/>
        </w:rPr>
        <w:t xml:space="preserve"> shared 16 basic questions so that student perceptions could be tracked across the semester. At the end of each survey, there were 1–2 unique questions targeted for that point of the semester. </w:t>
      </w:r>
    </w:p>
    <w:p w14:paraId="416B443C" w14:textId="28D31CD9" w:rsidR="00650CEF" w:rsidRPr="005E7D0C" w:rsidRDefault="1D4621AB"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Results</w:t>
      </w:r>
    </w:p>
    <w:p w14:paraId="6B45D8FB" w14:textId="4FD445C0" w:rsidR="00650CEF" w:rsidRPr="005E7D0C" w:rsidRDefault="1D4621AB"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Survey results demonstrate that we met most of our goals to cultivate relationships in the classroom as well as to teach threshold, transferrable skills. Analysis of results includes discussion of student responses, which reflect their self-perception. We also provide our own analyses </w:t>
      </w:r>
      <w:r w:rsidR="19ADC230" w:rsidRPr="005E7D0C">
        <w:rPr>
          <w:rFonts w:ascii="Times New Roman" w:eastAsia="Calibri" w:hAnsi="Times New Roman" w:cs="Times New Roman"/>
          <w:color w:val="000000" w:themeColor="text1"/>
        </w:rPr>
        <w:t>of</w:t>
      </w:r>
      <w:r w:rsidRPr="005E7D0C">
        <w:rPr>
          <w:rFonts w:ascii="Times New Roman" w:eastAsia="Calibri" w:hAnsi="Times New Roman" w:cs="Times New Roman"/>
          <w:color w:val="000000" w:themeColor="text1"/>
        </w:rPr>
        <w:t xml:space="preserve"> student responses, based on our experiences of the course. </w:t>
      </w:r>
    </w:p>
    <w:p w14:paraId="7AAB37EB" w14:textId="791D9135" w:rsidR="00650CEF" w:rsidRPr="005E7D0C" w:rsidRDefault="1D4621AB" w:rsidP="00C86485">
      <w:pPr>
        <w:pStyle w:val="Heading2"/>
        <w:spacing w:line="480" w:lineRule="auto"/>
        <w:rPr>
          <w:rFonts w:ascii="Times New Roman" w:eastAsia="Calibri" w:hAnsi="Times New Roman" w:cs="Times New Roman"/>
          <w:color w:val="auto"/>
          <w:sz w:val="28"/>
          <w:szCs w:val="28"/>
        </w:rPr>
      </w:pPr>
      <w:r w:rsidRPr="005E7D0C">
        <w:rPr>
          <w:rFonts w:ascii="Times New Roman" w:eastAsia="Calibri" w:hAnsi="Times New Roman" w:cs="Times New Roman"/>
          <w:color w:val="auto"/>
          <w:sz w:val="28"/>
          <w:szCs w:val="28"/>
        </w:rPr>
        <w:t>Liberating Relationships in the Academy</w:t>
      </w:r>
    </w:p>
    <w:p w14:paraId="03F78B0A" w14:textId="45BE8D92" w:rsidR="00650CEF" w:rsidRPr="005E7D0C" w:rsidRDefault="653F0F01"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D</w:t>
      </w:r>
      <w:r w:rsidR="1585A506" w:rsidRPr="005E7D0C">
        <w:rPr>
          <w:rFonts w:ascii="Times New Roman" w:eastAsia="Calibri" w:hAnsi="Times New Roman" w:cs="Times New Roman"/>
          <w:color w:val="000000" w:themeColor="text1"/>
        </w:rPr>
        <w:t xml:space="preserve">ata suggests that a conscious effort to give students agency in the course structure, assignments, and relationships with the instructor and librarian allowed students to feel empowered. At the beginning of the semester, students reported a high amount of engagement with the course topic. Of the 17 students who elected to respond to the Survey 1 specific question “What interests you about this course,” eight students specifically named </w:t>
      </w:r>
      <w:r w:rsidR="65C34123" w:rsidRPr="005E7D0C">
        <w:rPr>
          <w:rFonts w:ascii="Times New Roman" w:eastAsia="Calibri" w:hAnsi="Times New Roman" w:cs="Times New Roman"/>
          <w:color w:val="000000" w:themeColor="text1"/>
        </w:rPr>
        <w:t xml:space="preserve">Janelle </w:t>
      </w:r>
      <w:proofErr w:type="spellStart"/>
      <w:r w:rsidR="65C34123" w:rsidRPr="005E7D0C">
        <w:rPr>
          <w:rFonts w:ascii="Times New Roman" w:eastAsia="Calibri" w:hAnsi="Times New Roman" w:cs="Times New Roman"/>
          <w:color w:val="000000" w:themeColor="text1"/>
        </w:rPr>
        <w:t>Monaé</w:t>
      </w:r>
      <w:proofErr w:type="spellEnd"/>
      <w:r w:rsidR="1585A506" w:rsidRPr="005E7D0C">
        <w:rPr>
          <w:rFonts w:ascii="Times New Roman" w:eastAsia="Calibri" w:hAnsi="Times New Roman" w:cs="Times New Roman"/>
          <w:color w:val="000000" w:themeColor="text1"/>
        </w:rPr>
        <w:t xml:space="preserve"> for their answer; five additional answers mentioned music, which could be an oblique reference to</w:t>
      </w:r>
      <w:r w:rsidR="0AF4B5B9" w:rsidRPr="005E7D0C">
        <w:rPr>
          <w:rFonts w:ascii="Times New Roman" w:eastAsia="Calibri" w:hAnsi="Times New Roman" w:cs="Times New Roman"/>
          <w:color w:val="000000" w:themeColor="text1"/>
        </w:rPr>
        <w:t xml:space="preserve"> </w:t>
      </w:r>
      <w:proofErr w:type="spellStart"/>
      <w:r w:rsidR="0AF4B5B9" w:rsidRPr="005E7D0C">
        <w:rPr>
          <w:rFonts w:ascii="Times New Roman" w:eastAsia="Calibri" w:hAnsi="Times New Roman" w:cs="Times New Roman"/>
          <w:color w:val="000000" w:themeColor="text1"/>
        </w:rPr>
        <w:t>Monaé</w:t>
      </w:r>
      <w:proofErr w:type="spellEnd"/>
      <w:r w:rsidR="1585A506" w:rsidRPr="005E7D0C">
        <w:rPr>
          <w:rFonts w:ascii="Times New Roman" w:eastAsia="Calibri" w:hAnsi="Times New Roman" w:cs="Times New Roman"/>
          <w:color w:val="000000" w:themeColor="text1"/>
        </w:rPr>
        <w:t xml:space="preserve">. </w:t>
      </w:r>
    </w:p>
    <w:p w14:paraId="4D69F58B" w14:textId="36962CD8" w:rsidR="00650CEF" w:rsidRPr="005E7D0C" w:rsidRDefault="1585A506"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Initial interest in the topic </w:t>
      </w:r>
      <w:r w:rsidR="1DBDF8B3" w:rsidRPr="005E7D0C">
        <w:rPr>
          <w:rFonts w:ascii="Times New Roman" w:eastAsia="Calibri" w:hAnsi="Times New Roman" w:cs="Times New Roman"/>
          <w:color w:val="000000" w:themeColor="text1"/>
        </w:rPr>
        <w:t xml:space="preserve">likely correlates to students’ sense of empowerment in course selection </w:t>
      </w:r>
      <w:r w:rsidR="4540E528" w:rsidRPr="005E7D0C">
        <w:rPr>
          <w:rFonts w:ascii="Times New Roman" w:eastAsia="Calibri" w:hAnsi="Times New Roman" w:cs="Times New Roman"/>
          <w:color w:val="000000" w:themeColor="text1"/>
        </w:rPr>
        <w:t xml:space="preserve">and thus </w:t>
      </w:r>
      <w:r w:rsidR="178A11CB" w:rsidRPr="005E7D0C">
        <w:rPr>
          <w:rFonts w:ascii="Times New Roman" w:eastAsia="Calibri" w:hAnsi="Times New Roman" w:cs="Times New Roman"/>
          <w:color w:val="000000" w:themeColor="text1"/>
        </w:rPr>
        <w:t>contributes to a positive classroom climate</w:t>
      </w:r>
      <w:r w:rsidR="57D2FE2F"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A sweeping twenty (out of twenty-one responding) in Survey 1 reported feeling that they had either a </w:t>
      </w:r>
      <w:r w:rsidRPr="005E7D0C">
        <w:rPr>
          <w:rFonts w:ascii="Times New Roman" w:eastAsia="Calibri" w:hAnsi="Times New Roman" w:cs="Times New Roman"/>
          <w:color w:val="000000" w:themeColor="text1"/>
        </w:rPr>
        <w:lastRenderedPageBreak/>
        <w:t>moderate or high levels of control over their learning in the course as well as Towson in</w:t>
      </w:r>
      <w:r w:rsidR="00095F44">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general.</w:t>
      </w:r>
      <w:r w:rsidR="00095F44">
        <w:rPr>
          <w:rFonts w:ascii="Times New Roman" w:eastAsia="Calibri" w:hAnsi="Times New Roman" w:cs="Times New Roman"/>
          <w:color w:val="000000" w:themeColor="text1"/>
        </w:rPr>
        <w:t xml:space="preserve"> Survey 1 responses similarly demonstrate high levels of perceived approachability for both instructors and librarians (fig. 2). </w:t>
      </w:r>
    </w:p>
    <w:p w14:paraId="754041B1" w14:textId="486725A4" w:rsidR="0097417B" w:rsidRPr="006622A8" w:rsidRDefault="0097417B" w:rsidP="00C86485">
      <w:pPr>
        <w:pStyle w:val="Caption"/>
        <w:keepNext/>
        <w:spacing w:line="480" w:lineRule="auto"/>
        <w:rPr>
          <w:rFonts w:ascii="Times New Roman" w:hAnsi="Times New Roman" w:cs="Times New Roman"/>
          <w:color w:val="auto"/>
          <w:sz w:val="24"/>
          <w:szCs w:val="24"/>
        </w:rPr>
      </w:pPr>
      <w:r w:rsidRPr="006622A8">
        <w:rPr>
          <w:rFonts w:ascii="Times New Roman" w:hAnsi="Times New Roman" w:cs="Times New Roman"/>
          <w:b/>
          <w:bCs/>
          <w:i w:val="0"/>
          <w:iCs w:val="0"/>
          <w:color w:val="auto"/>
          <w:sz w:val="24"/>
          <w:szCs w:val="24"/>
        </w:rPr>
        <w:t xml:space="preserve">Figure </w:t>
      </w:r>
      <w:r w:rsidRPr="006622A8">
        <w:rPr>
          <w:rFonts w:ascii="Times New Roman" w:hAnsi="Times New Roman" w:cs="Times New Roman"/>
          <w:b/>
          <w:bCs/>
          <w:i w:val="0"/>
          <w:iCs w:val="0"/>
          <w:color w:val="auto"/>
          <w:sz w:val="24"/>
          <w:szCs w:val="24"/>
        </w:rPr>
        <w:fldChar w:fldCharType="begin"/>
      </w:r>
      <w:r w:rsidRPr="006622A8">
        <w:rPr>
          <w:rFonts w:ascii="Times New Roman" w:hAnsi="Times New Roman" w:cs="Times New Roman"/>
          <w:b/>
          <w:bCs/>
          <w:i w:val="0"/>
          <w:iCs w:val="0"/>
          <w:color w:val="auto"/>
          <w:sz w:val="24"/>
          <w:szCs w:val="24"/>
        </w:rPr>
        <w:instrText xml:space="preserve"> SEQ Figure \* ARABIC </w:instrText>
      </w:r>
      <w:r w:rsidRPr="006622A8">
        <w:rPr>
          <w:rFonts w:ascii="Times New Roman" w:hAnsi="Times New Roman" w:cs="Times New Roman"/>
          <w:b/>
          <w:bCs/>
          <w:i w:val="0"/>
          <w:iCs w:val="0"/>
          <w:color w:val="auto"/>
          <w:sz w:val="24"/>
          <w:szCs w:val="24"/>
        </w:rPr>
        <w:fldChar w:fldCharType="separate"/>
      </w:r>
      <w:r w:rsidR="00E34B56">
        <w:rPr>
          <w:rFonts w:ascii="Times New Roman" w:hAnsi="Times New Roman" w:cs="Times New Roman"/>
          <w:b/>
          <w:bCs/>
          <w:i w:val="0"/>
          <w:iCs w:val="0"/>
          <w:noProof/>
          <w:color w:val="auto"/>
          <w:sz w:val="24"/>
          <w:szCs w:val="24"/>
        </w:rPr>
        <w:t>2</w:t>
      </w:r>
      <w:r w:rsidRPr="006622A8">
        <w:rPr>
          <w:rFonts w:ascii="Times New Roman" w:hAnsi="Times New Roman" w:cs="Times New Roman"/>
          <w:b/>
          <w:bCs/>
          <w:i w:val="0"/>
          <w:iCs w:val="0"/>
          <w:color w:val="auto"/>
          <w:sz w:val="24"/>
          <w:szCs w:val="24"/>
        </w:rPr>
        <w:fldChar w:fldCharType="end"/>
      </w:r>
      <w:r w:rsidRPr="006622A8">
        <w:rPr>
          <w:rFonts w:ascii="Times New Roman" w:hAnsi="Times New Roman" w:cs="Times New Roman"/>
          <w:b/>
          <w:bCs/>
          <w:i w:val="0"/>
          <w:iCs w:val="0"/>
          <w:color w:val="auto"/>
          <w:sz w:val="24"/>
          <w:szCs w:val="24"/>
        </w:rPr>
        <w:t xml:space="preserve"> </w:t>
      </w:r>
      <w:r w:rsidR="006622A8" w:rsidRPr="006622A8">
        <w:rPr>
          <w:rFonts w:ascii="Times New Roman" w:hAnsi="Times New Roman" w:cs="Times New Roman"/>
          <w:color w:val="auto"/>
          <w:sz w:val="24"/>
          <w:szCs w:val="24"/>
        </w:rPr>
        <w:br/>
      </w:r>
      <w:r w:rsidRPr="006622A8">
        <w:rPr>
          <w:rFonts w:ascii="Times New Roman" w:hAnsi="Times New Roman" w:cs="Times New Roman"/>
          <w:color w:val="auto"/>
          <w:sz w:val="24"/>
          <w:szCs w:val="24"/>
        </w:rPr>
        <w:t>Perceived Approachability of Instructor and Librarian</w:t>
      </w:r>
    </w:p>
    <w:p w14:paraId="6D1D7F93" w14:textId="15F8A8A3" w:rsidR="00650CEF" w:rsidRPr="005E7D0C" w:rsidRDefault="0035339D" w:rsidP="00C86485">
      <w:pPr>
        <w:spacing w:after="0" w:line="480" w:lineRule="auto"/>
        <w:rPr>
          <w:rFonts w:ascii="Times New Roman" w:eastAsia="Calibri" w:hAnsi="Times New Roman" w:cs="Times New Roman"/>
        </w:rPr>
      </w:pPr>
      <w:r>
        <w:rPr>
          <w:noProof/>
        </w:rPr>
        <w:drawing>
          <wp:inline distT="0" distB="0" distL="0" distR="0" wp14:anchorId="7F6A349A" wp14:editId="680B8621">
            <wp:extent cx="5462546" cy="3200400"/>
            <wp:effectExtent l="0" t="0" r="5080" b="0"/>
            <wp:docPr id="4783825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69B1E34" w14:textId="4D27F1B7" w:rsidR="00650CEF" w:rsidRPr="005E7D0C" w:rsidRDefault="1585A506"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color w:val="000000" w:themeColor="text1"/>
        </w:rPr>
        <w:t xml:space="preserve">Survey 2 and 3 data pertaining to perceived approachability of the instructor and librarian supports the idea that students had a positive experience when given agency over their learning, as seen from the context around approachability ratings. For example, in Survey 2, the instructor was perceived as less approachable than in Survey 1 (fig. </w:t>
      </w:r>
      <w:r w:rsidR="47544A5B" w:rsidRPr="005E7D0C">
        <w:rPr>
          <w:rFonts w:ascii="Times New Roman" w:eastAsia="Calibri" w:hAnsi="Times New Roman" w:cs="Times New Roman"/>
          <w:color w:val="000000" w:themeColor="text1"/>
        </w:rPr>
        <w:t>2</w:t>
      </w:r>
      <w:r w:rsidRPr="005E7D0C">
        <w:rPr>
          <w:rFonts w:ascii="Times New Roman" w:eastAsia="Calibri" w:hAnsi="Times New Roman" w:cs="Times New Roman"/>
          <w:color w:val="000000" w:themeColor="text1"/>
        </w:rPr>
        <w:t xml:space="preserve">). Survey 2 followed in-class group presentations on a topic assigned by the professor, which was an early step in a scaffolded progression toward increased agency. Students, however, did not have the context around the assignment, and only experienced the restriction in choices, perhaps among the reasons they ranked the instructor as less </w:t>
      </w:r>
      <w:r w:rsidRPr="005E7D0C">
        <w:rPr>
          <w:rFonts w:ascii="Times New Roman" w:eastAsia="Calibri" w:hAnsi="Times New Roman" w:cs="Times New Roman"/>
          <w:color w:val="000000" w:themeColor="text1"/>
        </w:rPr>
        <w:lastRenderedPageBreak/>
        <w:t xml:space="preserve">approachable at the mid-semester than at the start of the semester. Additionally, while </w:t>
      </w:r>
      <w:proofErr w:type="gramStart"/>
      <w:r w:rsidRPr="005E7D0C">
        <w:rPr>
          <w:rFonts w:ascii="Times New Roman" w:eastAsia="Calibri" w:hAnsi="Times New Roman" w:cs="Times New Roman"/>
          <w:color w:val="000000" w:themeColor="text1"/>
        </w:rPr>
        <w:t>the majority of</w:t>
      </w:r>
      <w:proofErr w:type="gramEnd"/>
      <w:r w:rsidRPr="005E7D0C">
        <w:rPr>
          <w:rFonts w:ascii="Times New Roman" w:eastAsia="Calibri" w:hAnsi="Times New Roman" w:cs="Times New Roman"/>
          <w:color w:val="000000" w:themeColor="text1"/>
        </w:rPr>
        <w:t xml:space="preserve"> students reported the mid-semester presentation helped a “moderate amount,” when rating the effectiveness of all course assignments in Survey 3, not a single student thought that it significantly contributed to their learning. </w:t>
      </w:r>
      <w:r w:rsidR="1D4621AB" w:rsidRPr="005E7D0C">
        <w:rPr>
          <w:rFonts w:ascii="Times New Roman" w:eastAsia="Calibri" w:hAnsi="Times New Roman" w:cs="Times New Roman"/>
        </w:rPr>
        <w:t xml:space="preserve">Survey 2 responses demonstrate higher levels of perceived approachability for librarians compared to Survey 1 (fig. </w:t>
      </w:r>
      <w:r w:rsidR="58302164" w:rsidRPr="005E7D0C">
        <w:rPr>
          <w:rFonts w:ascii="Times New Roman" w:eastAsia="Calibri" w:hAnsi="Times New Roman" w:cs="Times New Roman"/>
        </w:rPr>
        <w:t>2</w:t>
      </w:r>
      <w:r w:rsidR="1D4621AB" w:rsidRPr="005E7D0C">
        <w:rPr>
          <w:rFonts w:ascii="Times New Roman" w:eastAsia="Calibri" w:hAnsi="Times New Roman" w:cs="Times New Roman"/>
        </w:rPr>
        <w:t xml:space="preserve">). This survey was taken </w:t>
      </w:r>
      <w:proofErr w:type="gramStart"/>
      <w:r w:rsidR="1D4621AB" w:rsidRPr="005E7D0C">
        <w:rPr>
          <w:rFonts w:ascii="Times New Roman" w:eastAsia="Calibri" w:hAnsi="Times New Roman" w:cs="Times New Roman"/>
        </w:rPr>
        <w:t>in close proximity to</w:t>
      </w:r>
      <w:proofErr w:type="gramEnd"/>
      <w:r w:rsidR="1D4621AB" w:rsidRPr="005E7D0C">
        <w:rPr>
          <w:rFonts w:ascii="Times New Roman" w:eastAsia="Calibri" w:hAnsi="Times New Roman" w:cs="Times New Roman"/>
        </w:rPr>
        <w:t xml:space="preserve"> the three days spent at the library, with students having several encounters with both </w:t>
      </w:r>
      <w:r w:rsidR="4370FA40" w:rsidRPr="005E7D0C">
        <w:rPr>
          <w:rFonts w:ascii="Times New Roman" w:eastAsia="Calibri" w:hAnsi="Times New Roman" w:cs="Times New Roman"/>
        </w:rPr>
        <w:t>Gibson</w:t>
      </w:r>
      <w:r w:rsidR="1D4621AB" w:rsidRPr="005E7D0C">
        <w:rPr>
          <w:rFonts w:ascii="Times New Roman" w:eastAsia="Calibri" w:hAnsi="Times New Roman" w:cs="Times New Roman"/>
        </w:rPr>
        <w:t xml:space="preserve"> and other librarians. Because </w:t>
      </w:r>
      <w:r w:rsidR="4370FA40" w:rsidRPr="005E7D0C">
        <w:rPr>
          <w:rFonts w:ascii="Times New Roman" w:eastAsia="Calibri" w:hAnsi="Times New Roman" w:cs="Times New Roman"/>
        </w:rPr>
        <w:t>Gibson</w:t>
      </w:r>
      <w:r w:rsidR="1D4621AB" w:rsidRPr="005E7D0C">
        <w:rPr>
          <w:rFonts w:ascii="Times New Roman" w:eastAsia="Calibri" w:hAnsi="Times New Roman" w:cs="Times New Roman"/>
        </w:rPr>
        <w:t xml:space="preserve"> spends so little time in-person with the class, establishing a student-led relationship is an immediate focus of her interactions, as reflected in the survey results. </w:t>
      </w:r>
    </w:p>
    <w:p w14:paraId="7591CBED" w14:textId="79F516E2" w:rsidR="00650CEF" w:rsidRPr="005E7D0C" w:rsidRDefault="1D4621A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Survey 3 responses, collected on the final day of class, demonstrate sustained feelings of approachability for librarians and increased feelings of approachability regarding instructors (fig. </w:t>
      </w:r>
      <w:r w:rsidR="1D7B56C5" w:rsidRPr="005E7D0C">
        <w:rPr>
          <w:rFonts w:ascii="Times New Roman" w:eastAsia="Calibri" w:hAnsi="Times New Roman" w:cs="Times New Roman"/>
        </w:rPr>
        <w:t>2</w:t>
      </w:r>
      <w:r w:rsidRPr="005E7D0C">
        <w:rPr>
          <w:rFonts w:ascii="Times New Roman" w:eastAsia="Calibri" w:hAnsi="Times New Roman" w:cs="Times New Roman"/>
        </w:rPr>
        <w:t xml:space="preserve">). This improved score, especially compared with Survey 2, is correlated with the increased sense of agency students felt and associated with the classroom environment by the end of the semester. Students had complete freedom over their individual research paper topic and had one-on-one meetings with both the librarian and instructor regarding their papers. Students reported that both meetings, but especially the writing meeting with the instructor, significantly contributed to their learning. Both the librarian and instructor sought to validate student interests and goals regarding their research papers as well as provide practical advice and efficient direction for their next steps. Students’ informal comments and formal survey responses both suggest students appreciated opportunities to discuss their own ideas in collaboration with subject experts. </w:t>
      </w:r>
    </w:p>
    <w:p w14:paraId="437DDDF1" w14:textId="528822B4" w:rsidR="00650CEF" w:rsidRPr="005E7D0C" w:rsidRDefault="1D4621AB" w:rsidP="00C86485">
      <w:pPr>
        <w:pStyle w:val="Heading2"/>
        <w:spacing w:line="480" w:lineRule="auto"/>
        <w:rPr>
          <w:rFonts w:ascii="Times New Roman" w:eastAsia="Calibri" w:hAnsi="Times New Roman" w:cs="Times New Roman"/>
          <w:color w:val="auto"/>
          <w:sz w:val="28"/>
          <w:szCs w:val="28"/>
        </w:rPr>
      </w:pPr>
      <w:r w:rsidRPr="005E7D0C">
        <w:rPr>
          <w:rFonts w:ascii="Times New Roman" w:eastAsia="Calibri" w:hAnsi="Times New Roman" w:cs="Times New Roman"/>
          <w:color w:val="auto"/>
          <w:sz w:val="28"/>
          <w:szCs w:val="28"/>
        </w:rPr>
        <w:lastRenderedPageBreak/>
        <w:t>Acquisition of Threshold Skills</w:t>
      </w:r>
    </w:p>
    <w:p w14:paraId="1C341057" w14:textId="7D8AC259" w:rsidR="00650CEF" w:rsidRPr="005E7D0C" w:rsidRDefault="1D4621AB" w:rsidP="00C86485">
      <w:pPr>
        <w:spacing w:after="0" w:line="480" w:lineRule="auto"/>
        <w:ind w:firstLine="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Perceived positive relationships and correlations of student agency are also related to the evidence supporting student acquisition of threshold, transferrable skills. Comparing data across all three surveys, students sensed an overall improvement in skills surrounding library database usage as well as discernment of source reliability (figs. </w:t>
      </w:r>
      <w:r w:rsidR="3266F213" w:rsidRPr="005E7D0C">
        <w:rPr>
          <w:rFonts w:ascii="Times New Roman" w:eastAsia="Calibri" w:hAnsi="Times New Roman" w:cs="Times New Roman"/>
          <w:color w:val="000000" w:themeColor="text1"/>
        </w:rPr>
        <w:t>3</w:t>
      </w:r>
      <w:r w:rsidRPr="005E7D0C">
        <w:rPr>
          <w:rFonts w:ascii="Times New Roman" w:eastAsia="Calibri" w:hAnsi="Times New Roman" w:cs="Times New Roman"/>
          <w:color w:val="000000" w:themeColor="text1"/>
        </w:rPr>
        <w:t xml:space="preserve"> and </w:t>
      </w:r>
      <w:r w:rsidR="00000000" w:rsidRPr="005E7D0C">
        <w:rPr>
          <w:rFonts w:ascii="Times New Roman" w:eastAsia="Calibri" w:hAnsi="Times New Roman" w:cs="Times New Roman"/>
          <w:color w:val="000000" w:themeColor="text1"/>
        </w:rPr>
        <w:t>3</w:t>
      </w:r>
      <w:r w:rsidRPr="005E7D0C">
        <w:rPr>
          <w:rFonts w:ascii="Times New Roman" w:eastAsia="Calibri" w:hAnsi="Times New Roman" w:cs="Times New Roman"/>
          <w:color w:val="000000" w:themeColor="text1"/>
        </w:rPr>
        <w:t xml:space="preserve">). Furthermore, in a unique question for Survey 3, students conveyed confidence regarding independent research and writing. One student indicated learning and growth in their statement of “I feel better than I did at the start of the semester,” and another connected their feeling of independence to “the assignments we did [that] helped [them] learn.” </w:t>
      </w:r>
    </w:p>
    <w:p w14:paraId="6181A70A" w14:textId="72CB89B2" w:rsidR="008F42C8" w:rsidRPr="008F42C8" w:rsidRDefault="008F42C8" w:rsidP="00C86485">
      <w:pPr>
        <w:pStyle w:val="Caption"/>
        <w:keepNext/>
        <w:spacing w:line="480" w:lineRule="auto"/>
        <w:rPr>
          <w:rFonts w:ascii="Times New Roman" w:hAnsi="Times New Roman" w:cs="Times New Roman"/>
          <w:color w:val="auto"/>
          <w:sz w:val="24"/>
          <w:szCs w:val="24"/>
        </w:rPr>
      </w:pPr>
      <w:r w:rsidRPr="008F42C8">
        <w:rPr>
          <w:rFonts w:ascii="Times New Roman" w:hAnsi="Times New Roman" w:cs="Times New Roman"/>
          <w:b/>
          <w:bCs/>
          <w:i w:val="0"/>
          <w:iCs w:val="0"/>
          <w:color w:val="auto"/>
          <w:sz w:val="24"/>
          <w:szCs w:val="24"/>
        </w:rPr>
        <w:t xml:space="preserve">Figure </w:t>
      </w:r>
      <w:r w:rsidRPr="008F42C8">
        <w:rPr>
          <w:rFonts w:ascii="Times New Roman" w:hAnsi="Times New Roman" w:cs="Times New Roman"/>
          <w:b/>
          <w:bCs/>
          <w:i w:val="0"/>
          <w:iCs w:val="0"/>
          <w:color w:val="auto"/>
          <w:sz w:val="24"/>
          <w:szCs w:val="24"/>
        </w:rPr>
        <w:fldChar w:fldCharType="begin"/>
      </w:r>
      <w:r w:rsidRPr="008F42C8">
        <w:rPr>
          <w:rFonts w:ascii="Times New Roman" w:hAnsi="Times New Roman" w:cs="Times New Roman"/>
          <w:b/>
          <w:bCs/>
          <w:i w:val="0"/>
          <w:iCs w:val="0"/>
          <w:color w:val="auto"/>
          <w:sz w:val="24"/>
          <w:szCs w:val="24"/>
        </w:rPr>
        <w:instrText xml:space="preserve"> SEQ Figure \* ARABIC </w:instrText>
      </w:r>
      <w:r w:rsidRPr="008F42C8">
        <w:rPr>
          <w:rFonts w:ascii="Times New Roman" w:hAnsi="Times New Roman" w:cs="Times New Roman"/>
          <w:b/>
          <w:bCs/>
          <w:i w:val="0"/>
          <w:iCs w:val="0"/>
          <w:color w:val="auto"/>
          <w:sz w:val="24"/>
          <w:szCs w:val="24"/>
        </w:rPr>
        <w:fldChar w:fldCharType="separate"/>
      </w:r>
      <w:r w:rsidR="00E34B56">
        <w:rPr>
          <w:rFonts w:ascii="Times New Roman" w:hAnsi="Times New Roman" w:cs="Times New Roman"/>
          <w:b/>
          <w:bCs/>
          <w:i w:val="0"/>
          <w:iCs w:val="0"/>
          <w:noProof/>
          <w:color w:val="auto"/>
          <w:sz w:val="24"/>
          <w:szCs w:val="24"/>
        </w:rPr>
        <w:t>3</w:t>
      </w:r>
      <w:r w:rsidRPr="008F42C8">
        <w:rPr>
          <w:rFonts w:ascii="Times New Roman" w:hAnsi="Times New Roman" w:cs="Times New Roman"/>
          <w:b/>
          <w:bCs/>
          <w:i w:val="0"/>
          <w:iCs w:val="0"/>
          <w:color w:val="auto"/>
          <w:sz w:val="24"/>
          <w:szCs w:val="24"/>
        </w:rPr>
        <w:fldChar w:fldCharType="end"/>
      </w:r>
      <w:r w:rsidRPr="008F42C8">
        <w:rPr>
          <w:rFonts w:ascii="Times New Roman" w:hAnsi="Times New Roman" w:cs="Times New Roman"/>
          <w:b/>
          <w:bCs/>
          <w:i w:val="0"/>
          <w:iCs w:val="0"/>
          <w:color w:val="auto"/>
          <w:sz w:val="24"/>
          <w:szCs w:val="24"/>
        </w:rPr>
        <w:t xml:space="preserve"> </w:t>
      </w:r>
      <w:r w:rsidRPr="008F42C8">
        <w:rPr>
          <w:rFonts w:ascii="Times New Roman" w:hAnsi="Times New Roman" w:cs="Times New Roman"/>
          <w:color w:val="auto"/>
          <w:sz w:val="24"/>
          <w:szCs w:val="24"/>
        </w:rPr>
        <w:br/>
        <w:t>Student Perceptions of Research Skills</w:t>
      </w:r>
    </w:p>
    <w:p w14:paraId="392BF382" w14:textId="2532EEAB" w:rsidR="00650CEF" w:rsidRPr="005E7D0C" w:rsidRDefault="006C40B1" w:rsidP="00C86485">
      <w:pPr>
        <w:spacing w:after="0" w:line="480" w:lineRule="auto"/>
        <w:jc w:val="center"/>
        <w:rPr>
          <w:rFonts w:ascii="Times New Roman" w:eastAsia="Calibri" w:hAnsi="Times New Roman" w:cs="Times New Roman"/>
        </w:rPr>
      </w:pPr>
      <w:r>
        <w:rPr>
          <w:noProof/>
        </w:rPr>
        <mc:AlternateContent>
          <mc:Choice Requires="wps">
            <w:drawing>
              <wp:anchor distT="45720" distB="45720" distL="114300" distR="114300" simplePos="0" relativeHeight="251661312" behindDoc="0" locked="0" layoutInCell="1" allowOverlap="1" wp14:anchorId="33AF3066" wp14:editId="6FD02302">
                <wp:simplePos x="0" y="0"/>
                <wp:positionH relativeFrom="margin">
                  <wp:align>right</wp:align>
                </wp:positionH>
                <wp:positionV relativeFrom="paragraph">
                  <wp:posOffset>2639484</wp:posOffset>
                </wp:positionV>
                <wp:extent cx="1748155" cy="1404620"/>
                <wp:effectExtent l="0" t="0" r="0" b="0"/>
                <wp:wrapNone/>
                <wp:docPr id="1256013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8155" cy="1404620"/>
                        </a:xfrm>
                        <a:prstGeom prst="rect">
                          <a:avLst/>
                        </a:prstGeom>
                        <a:noFill/>
                        <a:ln w="9525">
                          <a:noFill/>
                          <a:miter lim="800000"/>
                          <a:headEnd/>
                          <a:tailEnd/>
                        </a:ln>
                      </wps:spPr>
                      <wps:txbx>
                        <w:txbxContent>
                          <w:p w14:paraId="642A49ED" w14:textId="77777777" w:rsidR="00D93FBE" w:rsidRPr="006C40B1" w:rsidRDefault="00D93FBE" w:rsidP="00D93FBE">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7.3: I know how to find a wide variety of sources including scholarly books and articles, newspapers, images, recordings, streaming video.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3AF3066" id="_x0000_t202" coordsize="21600,21600" o:spt="202" path="m,l,21600r21600,l21600,xe">
                <v:stroke joinstyle="miter"/>
                <v:path gradientshapeok="t" o:connecttype="rect"/>
              </v:shapetype>
              <v:shape id="Text Box 2" o:spid="_x0000_s1026" type="#_x0000_t202" style="position:absolute;left:0;text-align:left;margin-left:86.45pt;margin-top:207.85pt;width:137.6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" filled="f" stroked="f">
                <v:textbox style="mso-fit-shape-to-text:t">
                  <w:txbxContent>
                    <w:p w14:paraId="642A49ED" w14:textId="77777777" w:rsidR="00D93FBE" w:rsidRPr="006C40B1" w:rsidRDefault="00D93FBE" w:rsidP="00D93FBE">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7.3: I know how to find a wide variety of sources including scholarly books and articles, newspapers, images, recordings, streaming video.</w:t>
                      </w:r>
                    </w:p>
                  </w:txbxContent>
                </v:textbox>
                <w10:wrap anchorx="margin"/>
              </v:shape>
            </w:pict>
          </mc:Fallback>
        </mc:AlternateContent>
      </w:r>
      <w:r w:rsidR="00D93FBE">
        <w:rPr>
          <w:noProof/>
        </w:rPr>
        <mc:AlternateContent>
          <mc:Choice Requires="wps">
            <w:drawing>
              <wp:anchor distT="45720" distB="45720" distL="114300" distR="114300" simplePos="0" relativeHeight="251659264" behindDoc="0" locked="0" layoutInCell="1" allowOverlap="1" wp14:anchorId="5E3F097B" wp14:editId="5B3C5DE4">
                <wp:simplePos x="0" y="0"/>
                <wp:positionH relativeFrom="column">
                  <wp:posOffset>40640</wp:posOffset>
                </wp:positionH>
                <wp:positionV relativeFrom="paragraph">
                  <wp:posOffset>2672301</wp:posOffset>
                </wp:positionV>
                <wp:extent cx="1609697" cy="1404620"/>
                <wp:effectExtent l="0" t="0" r="0" b="0"/>
                <wp:wrapNone/>
                <wp:docPr id="6948806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697" cy="1404620"/>
                        </a:xfrm>
                        <a:prstGeom prst="rect">
                          <a:avLst/>
                        </a:prstGeom>
                        <a:noFill/>
                        <a:ln w="9525">
                          <a:noFill/>
                          <a:miter lim="800000"/>
                          <a:headEnd/>
                          <a:tailEnd/>
                        </a:ln>
                      </wps:spPr>
                      <wps:txbx>
                        <w:txbxContent>
                          <w:p w14:paraId="5249D358" w14:textId="77777777" w:rsidR="00D93FBE" w:rsidRPr="006C40B1" w:rsidRDefault="00D93FBE" w:rsidP="00D93FBE">
                            <w:pPr>
                              <w:jc w:val="center"/>
                              <w:rPr>
                                <w:rFonts w:ascii="Arial Narrow" w:hAnsi="Arial Narrow" w:cs="Calibri"/>
                                <w:sz w:val="20"/>
                                <w:szCs w:val="20"/>
                              </w:rPr>
                            </w:pPr>
                            <w:r w:rsidRPr="006C40B1">
                              <w:rPr>
                                <w:rFonts w:ascii="Arial Narrow" w:hAnsi="Arial Narrow" w:cs="Calibri"/>
                                <w:sz w:val="20"/>
                                <w:szCs w:val="20"/>
                              </w:rPr>
                              <w:t>Q 7.1: I usually find what I am looking for when I search in library databases.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3F097B" id="_x0000_s1027" type="#_x0000_t202" style="position:absolute;left:0;text-align:left;margin-left:3.2pt;margin-top:210.4pt;width:126.7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" filled="f" stroked="f">
                <v:textbox style="mso-fit-shape-to-text:t">
                  <w:txbxContent>
                    <w:p w14:paraId="5249D358" w14:textId="77777777" w:rsidR="00D93FBE" w:rsidRPr="006C40B1" w:rsidRDefault="00D93FBE" w:rsidP="00D93FBE">
                      <w:pPr>
                        <w:jc w:val="center"/>
                        <w:rPr>
                          <w:rFonts w:ascii="Arial Narrow" w:hAnsi="Arial Narrow" w:cs="Calibri"/>
                          <w:sz w:val="20"/>
                          <w:szCs w:val="20"/>
                        </w:rPr>
                      </w:pPr>
                      <w:r w:rsidRPr="006C40B1">
                        <w:rPr>
                          <w:rFonts w:ascii="Arial Narrow" w:hAnsi="Arial Narrow" w:cs="Calibri"/>
                          <w:sz w:val="20"/>
                          <w:szCs w:val="20"/>
                        </w:rPr>
                        <w:t>Q 7.1: I usually find what I am looking for when I search in library databases.</w:t>
                      </w:r>
                    </w:p>
                  </w:txbxContent>
                </v:textbox>
              </v:shape>
            </w:pict>
          </mc:Fallback>
        </mc:AlternateContent>
      </w:r>
      <w:r w:rsidR="00D93FBE">
        <w:rPr>
          <w:noProof/>
        </w:rPr>
        <mc:AlternateContent>
          <mc:Choice Requires="wps">
            <w:drawing>
              <wp:anchor distT="45720" distB="45720" distL="114300" distR="114300" simplePos="0" relativeHeight="251660288" behindDoc="0" locked="0" layoutInCell="1" allowOverlap="1" wp14:anchorId="5AC145C5" wp14:editId="2DFAE2C6">
                <wp:simplePos x="0" y="0"/>
                <wp:positionH relativeFrom="margin">
                  <wp:align>center</wp:align>
                </wp:positionH>
                <wp:positionV relativeFrom="paragraph">
                  <wp:posOffset>2644665</wp:posOffset>
                </wp:positionV>
                <wp:extent cx="1609090" cy="1404620"/>
                <wp:effectExtent l="0" t="0" r="0" b="635"/>
                <wp:wrapNone/>
                <wp:docPr id="18719028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090" cy="1404620"/>
                        </a:xfrm>
                        <a:prstGeom prst="rect">
                          <a:avLst/>
                        </a:prstGeom>
                        <a:noFill/>
                        <a:ln w="9525">
                          <a:noFill/>
                          <a:miter lim="800000"/>
                          <a:headEnd/>
                          <a:tailEnd/>
                        </a:ln>
                      </wps:spPr>
                      <wps:txbx>
                        <w:txbxContent>
                          <w:p w14:paraId="59F42F89" w14:textId="77777777" w:rsidR="00D93FBE" w:rsidRPr="006C40B1" w:rsidRDefault="00D93FBE" w:rsidP="00D93FBE">
                            <w:pPr>
                              <w:jc w:val="center"/>
                              <w:rPr>
                                <w:rFonts w:ascii="Arial Narrow" w:hAnsi="Arial Narrow" w:cs="Calibri"/>
                                <w:sz w:val="20"/>
                                <w:szCs w:val="20"/>
                              </w:rPr>
                            </w:pPr>
                            <w:r w:rsidRPr="006C40B1">
                              <w:rPr>
                                <w:rFonts w:ascii="Arial Narrow" w:hAnsi="Arial Narrow" w:cs="Calibri"/>
                                <w:sz w:val="20"/>
                                <w:szCs w:val="20"/>
                              </w:rPr>
                              <w:t>Q 7.2: I have many tools to use when I get stuck in the research process.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AC145C5" id="_x0000_s1028" type="#_x0000_t202" style="position:absolute;left:0;text-align:left;margin-left:0;margin-top:208.25pt;width:126.7pt;height:110.6pt;z-index:25166028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" filled="f" stroked="f">
                <v:textbox style="mso-fit-shape-to-text:t">
                  <w:txbxContent>
                    <w:p w14:paraId="59F42F89" w14:textId="77777777" w:rsidR="00D93FBE" w:rsidRPr="006C40B1" w:rsidRDefault="00D93FBE" w:rsidP="00D93FBE">
                      <w:pPr>
                        <w:jc w:val="center"/>
                        <w:rPr>
                          <w:rFonts w:ascii="Arial Narrow" w:hAnsi="Arial Narrow" w:cs="Calibri"/>
                          <w:sz w:val="20"/>
                          <w:szCs w:val="20"/>
                        </w:rPr>
                      </w:pPr>
                      <w:r w:rsidRPr="006C40B1">
                        <w:rPr>
                          <w:rFonts w:ascii="Arial Narrow" w:hAnsi="Arial Narrow" w:cs="Calibri"/>
                          <w:sz w:val="20"/>
                          <w:szCs w:val="20"/>
                        </w:rPr>
                        <w:t>Q 7.2: I have many tools to use when I get stuck in the research process.</w:t>
                      </w:r>
                    </w:p>
                  </w:txbxContent>
                </v:textbox>
                <w10:wrap anchorx="margin"/>
              </v:shape>
            </w:pict>
          </mc:Fallback>
        </mc:AlternateContent>
      </w:r>
      <w:r w:rsidR="008B22CF">
        <w:rPr>
          <w:noProof/>
        </w:rPr>
        <w:drawing>
          <wp:inline distT="0" distB="0" distL="0" distR="0" wp14:anchorId="4EFA2AD2" wp14:editId="08A5E03B">
            <wp:extent cx="5486400" cy="3657600"/>
            <wp:effectExtent l="0" t="0" r="0" b="0"/>
            <wp:docPr id="1265123181" name="Chart 1265123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71E7C6D" w14:textId="1C75D7BE" w:rsidR="00E34B56" w:rsidRPr="00E34B56" w:rsidRDefault="00E34B56" w:rsidP="00C86485">
      <w:pPr>
        <w:pStyle w:val="Caption"/>
        <w:keepNext/>
        <w:spacing w:line="480" w:lineRule="auto"/>
        <w:rPr>
          <w:rFonts w:ascii="Times New Roman" w:hAnsi="Times New Roman" w:cs="Times New Roman"/>
          <w:color w:val="auto"/>
          <w:sz w:val="24"/>
          <w:szCs w:val="24"/>
        </w:rPr>
      </w:pPr>
      <w:r w:rsidRPr="00E34B56">
        <w:rPr>
          <w:rFonts w:ascii="Times New Roman" w:hAnsi="Times New Roman" w:cs="Times New Roman"/>
          <w:b/>
          <w:bCs/>
          <w:i w:val="0"/>
          <w:iCs w:val="0"/>
          <w:color w:val="auto"/>
          <w:sz w:val="24"/>
          <w:szCs w:val="24"/>
        </w:rPr>
        <w:lastRenderedPageBreak/>
        <w:t xml:space="preserve">Figure </w:t>
      </w:r>
      <w:r w:rsidRPr="00E34B56">
        <w:rPr>
          <w:rFonts w:ascii="Times New Roman" w:hAnsi="Times New Roman" w:cs="Times New Roman"/>
          <w:b/>
          <w:bCs/>
          <w:i w:val="0"/>
          <w:iCs w:val="0"/>
          <w:color w:val="auto"/>
          <w:sz w:val="24"/>
          <w:szCs w:val="24"/>
        </w:rPr>
        <w:fldChar w:fldCharType="begin"/>
      </w:r>
      <w:r w:rsidRPr="00E34B56">
        <w:rPr>
          <w:rFonts w:ascii="Times New Roman" w:hAnsi="Times New Roman" w:cs="Times New Roman"/>
          <w:b/>
          <w:bCs/>
          <w:i w:val="0"/>
          <w:iCs w:val="0"/>
          <w:color w:val="auto"/>
          <w:sz w:val="24"/>
          <w:szCs w:val="24"/>
        </w:rPr>
        <w:instrText xml:space="preserve"> SEQ Figure \* ARABIC </w:instrText>
      </w:r>
      <w:r w:rsidRPr="00E34B56">
        <w:rPr>
          <w:rFonts w:ascii="Times New Roman" w:hAnsi="Times New Roman" w:cs="Times New Roman"/>
          <w:b/>
          <w:bCs/>
          <w:i w:val="0"/>
          <w:iCs w:val="0"/>
          <w:color w:val="auto"/>
          <w:sz w:val="24"/>
          <w:szCs w:val="24"/>
        </w:rPr>
        <w:fldChar w:fldCharType="separate"/>
      </w:r>
      <w:r w:rsidRPr="00E34B56">
        <w:rPr>
          <w:rFonts w:ascii="Times New Roman" w:hAnsi="Times New Roman" w:cs="Times New Roman"/>
          <w:b/>
          <w:bCs/>
          <w:i w:val="0"/>
          <w:iCs w:val="0"/>
          <w:noProof/>
          <w:color w:val="auto"/>
          <w:sz w:val="24"/>
          <w:szCs w:val="24"/>
        </w:rPr>
        <w:t>4</w:t>
      </w:r>
      <w:r w:rsidRPr="00E34B56">
        <w:rPr>
          <w:rFonts w:ascii="Times New Roman" w:hAnsi="Times New Roman" w:cs="Times New Roman"/>
          <w:b/>
          <w:bCs/>
          <w:i w:val="0"/>
          <w:iCs w:val="0"/>
          <w:color w:val="auto"/>
          <w:sz w:val="24"/>
          <w:szCs w:val="24"/>
        </w:rPr>
        <w:fldChar w:fldCharType="end"/>
      </w:r>
      <w:r w:rsidRPr="00E34B56">
        <w:rPr>
          <w:rFonts w:ascii="Times New Roman" w:hAnsi="Times New Roman" w:cs="Times New Roman"/>
          <w:b/>
          <w:bCs/>
          <w:i w:val="0"/>
          <w:iCs w:val="0"/>
          <w:color w:val="auto"/>
          <w:sz w:val="24"/>
          <w:szCs w:val="24"/>
        </w:rPr>
        <w:t xml:space="preserve"> </w:t>
      </w:r>
      <w:r>
        <w:rPr>
          <w:rFonts w:ascii="Times New Roman" w:hAnsi="Times New Roman" w:cs="Times New Roman"/>
          <w:color w:val="auto"/>
          <w:sz w:val="24"/>
          <w:szCs w:val="24"/>
        </w:rPr>
        <w:br/>
      </w:r>
      <w:r w:rsidRPr="00E34B56">
        <w:rPr>
          <w:rFonts w:ascii="Times New Roman" w:hAnsi="Times New Roman" w:cs="Times New Roman"/>
          <w:color w:val="auto"/>
          <w:sz w:val="24"/>
          <w:szCs w:val="24"/>
        </w:rPr>
        <w:t>Student Perceptions of Source Skills</w:t>
      </w:r>
    </w:p>
    <w:p w14:paraId="53B9321A" w14:textId="55CDBD14" w:rsidR="00650CEF" w:rsidRPr="005E7D0C" w:rsidRDefault="008A0315" w:rsidP="00C86485">
      <w:pPr>
        <w:spacing w:after="0" w:line="480" w:lineRule="auto"/>
        <w:jc w:val="center"/>
        <w:rPr>
          <w:rFonts w:ascii="Times New Roman" w:eastAsia="Calibri" w:hAnsi="Times New Roman" w:cs="Times New Roman"/>
        </w:rPr>
      </w:pPr>
      <w:r>
        <w:rPr>
          <w:noProof/>
        </w:rPr>
        <mc:AlternateContent>
          <mc:Choice Requires="wps">
            <w:drawing>
              <wp:anchor distT="45720" distB="45720" distL="114300" distR="114300" simplePos="0" relativeHeight="251666432" behindDoc="0" locked="0" layoutInCell="1" allowOverlap="1" wp14:anchorId="605DA873" wp14:editId="260F4BBC">
                <wp:simplePos x="0" y="0"/>
                <wp:positionH relativeFrom="column">
                  <wp:posOffset>4195445</wp:posOffset>
                </wp:positionH>
                <wp:positionV relativeFrom="paragraph">
                  <wp:posOffset>2903855</wp:posOffset>
                </wp:positionV>
                <wp:extent cx="1292860" cy="1404620"/>
                <wp:effectExtent l="0" t="0" r="0" b="2540"/>
                <wp:wrapNone/>
                <wp:docPr id="16286206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2860" cy="1404620"/>
                        </a:xfrm>
                        <a:prstGeom prst="rect">
                          <a:avLst/>
                        </a:prstGeom>
                        <a:noFill/>
                        <a:ln w="9525">
                          <a:noFill/>
                          <a:miter lim="800000"/>
                          <a:headEnd/>
                          <a:tailEnd/>
                        </a:ln>
                      </wps:spPr>
                      <wps:txbx>
                        <w:txbxContent>
                          <w:p w14:paraId="527E79E0" w14:textId="77777777" w:rsidR="00207445" w:rsidRPr="006C40B1" w:rsidRDefault="00207445" w:rsidP="00207445">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8.4: I do not need to read a whole article or chapter to judge its value to my project.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5DA873" id="_x0000_s1029" type="#_x0000_t202" style="position:absolute;left:0;text-align:left;margin-left:330.35pt;margin-top:228.65pt;width:101.8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" filled="f" stroked="f">
                <v:textbox style="mso-fit-shape-to-text:t">
                  <w:txbxContent>
                    <w:p w14:paraId="527E79E0" w14:textId="77777777" w:rsidR="00207445" w:rsidRPr="006C40B1" w:rsidRDefault="00207445" w:rsidP="00207445">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8.4: I do not need to read a whole article or chapter to judge its value to my project.</w:t>
                      </w:r>
                    </w:p>
                  </w:txbxContent>
                </v:textbox>
              </v:shape>
            </w:pict>
          </mc:Fallback>
        </mc:AlternateContent>
      </w:r>
      <w:r>
        <w:rPr>
          <w:noProof/>
        </w:rPr>
        <mc:AlternateContent>
          <mc:Choice Requires="wps">
            <w:drawing>
              <wp:anchor distT="45720" distB="45720" distL="114300" distR="114300" simplePos="0" relativeHeight="251665408" behindDoc="0" locked="0" layoutInCell="1" allowOverlap="1" wp14:anchorId="58097880" wp14:editId="65FC95E4">
                <wp:simplePos x="0" y="0"/>
                <wp:positionH relativeFrom="column">
                  <wp:posOffset>2799715</wp:posOffset>
                </wp:positionH>
                <wp:positionV relativeFrom="paragraph">
                  <wp:posOffset>2902585</wp:posOffset>
                </wp:positionV>
                <wp:extent cx="1316990" cy="1404620"/>
                <wp:effectExtent l="0" t="0" r="0" b="0"/>
                <wp:wrapNone/>
                <wp:docPr id="9655280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6990" cy="1404620"/>
                        </a:xfrm>
                        <a:prstGeom prst="rect">
                          <a:avLst/>
                        </a:prstGeom>
                        <a:noFill/>
                        <a:ln w="9525">
                          <a:noFill/>
                          <a:miter lim="800000"/>
                          <a:headEnd/>
                          <a:tailEnd/>
                        </a:ln>
                      </wps:spPr>
                      <wps:txbx>
                        <w:txbxContent>
                          <w:p w14:paraId="4AF716D5" w14:textId="77777777" w:rsidR="00207445" w:rsidRPr="006C40B1" w:rsidRDefault="00207445" w:rsidP="00207445">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8.3: At first, I usually gather too little information for my projects, presentations, and papers.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097880" id="_x0000_s1030" type="#_x0000_t202" style="position:absolute;left:0;text-align:left;margin-left:220.45pt;margin-top:228.55pt;width:103.7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" filled="f" stroked="f">
                <v:textbox style="mso-fit-shape-to-text:t">
                  <w:txbxContent>
                    <w:p w14:paraId="4AF716D5" w14:textId="77777777" w:rsidR="00207445" w:rsidRPr="006C40B1" w:rsidRDefault="00207445" w:rsidP="00207445">
                      <w:pPr>
                        <w:autoSpaceDE w:val="0"/>
                        <w:autoSpaceDN w:val="0"/>
                        <w:adjustRightInd w:val="0"/>
                        <w:spacing w:after="0" w:line="240" w:lineRule="auto"/>
                        <w:jc w:val="center"/>
                        <w:rPr>
                          <w:rFonts w:ascii="Arial Narrow" w:hAnsi="Arial Narrow" w:cs="Calibri"/>
                          <w:sz w:val="20"/>
                          <w:szCs w:val="20"/>
                        </w:rPr>
                      </w:pPr>
                      <w:r w:rsidRPr="006C40B1">
                        <w:rPr>
                          <w:rFonts w:ascii="Arial Narrow" w:hAnsi="Arial Narrow" w:cs="Calibri"/>
                          <w:sz w:val="20"/>
                          <w:szCs w:val="20"/>
                        </w:rPr>
                        <w:t>Q 8.3: At first, I usually gather too little information for my projects, presentations, and papers.</w:t>
                      </w:r>
                    </w:p>
                  </w:txbxContent>
                </v:textbox>
              </v:shape>
            </w:pict>
          </mc:Fallback>
        </mc:AlternateContent>
      </w:r>
      <w:r>
        <w:rPr>
          <w:noProof/>
        </w:rPr>
        <mc:AlternateContent>
          <mc:Choice Requires="wps">
            <w:drawing>
              <wp:anchor distT="45720" distB="45720" distL="114300" distR="114300" simplePos="0" relativeHeight="251664384" behindDoc="0" locked="0" layoutInCell="1" allowOverlap="1" wp14:anchorId="5795AFB9" wp14:editId="6B48E16A">
                <wp:simplePos x="0" y="0"/>
                <wp:positionH relativeFrom="column">
                  <wp:posOffset>1416050</wp:posOffset>
                </wp:positionH>
                <wp:positionV relativeFrom="paragraph">
                  <wp:posOffset>2897505</wp:posOffset>
                </wp:positionV>
                <wp:extent cx="1257300" cy="1404620"/>
                <wp:effectExtent l="0" t="0" r="0" b="0"/>
                <wp:wrapNone/>
                <wp:docPr id="14848593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404620"/>
                        </a:xfrm>
                        <a:prstGeom prst="rect">
                          <a:avLst/>
                        </a:prstGeom>
                        <a:noFill/>
                        <a:ln w="9525">
                          <a:noFill/>
                          <a:miter lim="800000"/>
                          <a:headEnd/>
                          <a:tailEnd/>
                        </a:ln>
                      </wps:spPr>
                      <wps:txbx>
                        <w:txbxContent>
                          <w:p w14:paraId="08377FBF" w14:textId="77777777" w:rsidR="00207445" w:rsidRPr="006C40B1" w:rsidRDefault="00207445" w:rsidP="00207445">
                            <w:pPr>
                              <w:jc w:val="center"/>
                              <w:rPr>
                                <w:rFonts w:ascii="Arial Narrow" w:hAnsi="Arial Narrow" w:cs="Calibri"/>
                                <w:sz w:val="20"/>
                                <w:szCs w:val="20"/>
                              </w:rPr>
                            </w:pPr>
                            <w:r w:rsidRPr="006C40B1">
                              <w:rPr>
                                <w:rFonts w:ascii="Arial Narrow" w:hAnsi="Arial Narrow" w:cs="Calibri"/>
                                <w:sz w:val="20"/>
                                <w:szCs w:val="20"/>
                              </w:rPr>
                              <w:t>Q 8.2: I know how to tell if an article, book, or primary source is reliable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95AFB9" id="_x0000_s1031" type="#_x0000_t202" style="position:absolute;left:0;text-align:left;margin-left:111.5pt;margin-top:228.15pt;width:99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" filled="f" stroked="f">
                <v:textbox style="mso-fit-shape-to-text:t">
                  <w:txbxContent>
                    <w:p w14:paraId="08377FBF" w14:textId="77777777" w:rsidR="00207445" w:rsidRPr="006C40B1" w:rsidRDefault="00207445" w:rsidP="00207445">
                      <w:pPr>
                        <w:jc w:val="center"/>
                        <w:rPr>
                          <w:rFonts w:ascii="Arial Narrow" w:hAnsi="Arial Narrow" w:cs="Calibri"/>
                          <w:sz w:val="20"/>
                          <w:szCs w:val="20"/>
                        </w:rPr>
                      </w:pPr>
                      <w:r w:rsidRPr="006C40B1">
                        <w:rPr>
                          <w:rFonts w:ascii="Arial Narrow" w:hAnsi="Arial Narrow" w:cs="Calibri"/>
                          <w:sz w:val="20"/>
                          <w:szCs w:val="20"/>
                        </w:rPr>
                        <w:t>Q 8.2: I know how to tell if an article, book, or primary source is reliable</w:t>
                      </w:r>
                    </w:p>
                  </w:txbxContent>
                </v:textbox>
              </v:shape>
            </w:pict>
          </mc:Fallback>
        </mc:AlternateContent>
      </w:r>
      <w:r>
        <w:rPr>
          <w:noProof/>
        </w:rPr>
        <mc:AlternateContent>
          <mc:Choice Requires="wps">
            <w:drawing>
              <wp:anchor distT="45720" distB="45720" distL="114300" distR="114300" simplePos="0" relativeHeight="251663360" behindDoc="0" locked="0" layoutInCell="1" allowOverlap="1" wp14:anchorId="7A1EBA06" wp14:editId="0E7FA6C9">
                <wp:simplePos x="0" y="0"/>
                <wp:positionH relativeFrom="column">
                  <wp:posOffset>50165</wp:posOffset>
                </wp:positionH>
                <wp:positionV relativeFrom="paragraph">
                  <wp:posOffset>2898742</wp:posOffset>
                </wp:positionV>
                <wp:extent cx="1209040" cy="1404620"/>
                <wp:effectExtent l="0" t="0" r="0" b="0"/>
                <wp:wrapNone/>
                <wp:docPr id="10193897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1404620"/>
                        </a:xfrm>
                        <a:prstGeom prst="rect">
                          <a:avLst/>
                        </a:prstGeom>
                        <a:noFill/>
                        <a:ln w="9525">
                          <a:noFill/>
                          <a:miter lim="800000"/>
                          <a:headEnd/>
                          <a:tailEnd/>
                        </a:ln>
                      </wps:spPr>
                      <wps:txbx>
                        <w:txbxContent>
                          <w:p w14:paraId="4809B8D0" w14:textId="77777777" w:rsidR="00207445" w:rsidRPr="006C40B1" w:rsidRDefault="00207445" w:rsidP="00207445">
                            <w:pPr>
                              <w:jc w:val="center"/>
                              <w:rPr>
                                <w:rFonts w:ascii="Arial Narrow" w:hAnsi="Arial Narrow" w:cs="Calibri"/>
                                <w:sz w:val="20"/>
                                <w:szCs w:val="20"/>
                              </w:rPr>
                            </w:pPr>
                            <w:r w:rsidRPr="006C40B1">
                              <w:rPr>
                                <w:rFonts w:ascii="Arial Narrow" w:hAnsi="Arial Narrow" w:cs="Calibri"/>
                                <w:sz w:val="20"/>
                                <w:szCs w:val="20"/>
                              </w:rPr>
                              <w:t>Q 8.1: I know how to tell if an article, book, or primary source is relevant to my topic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1EBA06" id="_x0000_s1032" type="#_x0000_t202" style="position:absolute;left:0;text-align:left;margin-left:3.95pt;margin-top:228.25pt;width:95.2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" filled="f" stroked="f">
                <v:textbox style="mso-fit-shape-to-text:t">
                  <w:txbxContent>
                    <w:p w14:paraId="4809B8D0" w14:textId="77777777" w:rsidR="00207445" w:rsidRPr="006C40B1" w:rsidRDefault="00207445" w:rsidP="00207445">
                      <w:pPr>
                        <w:jc w:val="center"/>
                        <w:rPr>
                          <w:rFonts w:ascii="Arial Narrow" w:hAnsi="Arial Narrow" w:cs="Calibri"/>
                          <w:sz w:val="20"/>
                          <w:szCs w:val="20"/>
                        </w:rPr>
                      </w:pPr>
                      <w:r w:rsidRPr="006C40B1">
                        <w:rPr>
                          <w:rFonts w:ascii="Arial Narrow" w:hAnsi="Arial Narrow" w:cs="Calibri"/>
                          <w:sz w:val="20"/>
                          <w:szCs w:val="20"/>
                        </w:rPr>
                        <w:t>Q 8.1: I know how to tell if an article, book, or primary source is relevant to my topic</w:t>
                      </w:r>
                    </w:p>
                  </w:txbxContent>
                </v:textbox>
              </v:shape>
            </w:pict>
          </mc:Fallback>
        </mc:AlternateContent>
      </w:r>
      <w:r w:rsidR="00E34B56">
        <w:rPr>
          <w:noProof/>
        </w:rPr>
        <w:drawing>
          <wp:inline distT="0" distB="0" distL="0" distR="0" wp14:anchorId="716A4B97" wp14:editId="7054BD01">
            <wp:extent cx="5486400" cy="4114800"/>
            <wp:effectExtent l="0" t="0" r="0" b="0"/>
            <wp:docPr id="1143302578" name="Chart 11433025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E14D76" w14:textId="2A8833AD" w:rsidR="00650CEF" w:rsidRPr="005E7D0C" w:rsidRDefault="1585A506"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Students reported lower levels of competence in Survey 3 than in Survey 2. We read these results as an indication of growing self-awareness cultivated through the application of skills initially covered earlier in the semester. On Survey 2, taken soon after three days in the library and application of library skills to the group presentation, student responses indicate that they perceived themselves to be equipped in terms of awareness of research tools, finding a variety of sources, determining source relevance, and the pace of the research process (figs. </w:t>
      </w:r>
      <w:r w:rsidR="686C0D07" w:rsidRPr="005E7D0C">
        <w:rPr>
          <w:rFonts w:ascii="Times New Roman" w:eastAsia="Calibri" w:hAnsi="Times New Roman" w:cs="Times New Roman"/>
        </w:rPr>
        <w:t>3</w:t>
      </w:r>
      <w:r w:rsidRPr="005E7D0C">
        <w:rPr>
          <w:rFonts w:ascii="Times New Roman" w:eastAsia="Calibri" w:hAnsi="Times New Roman" w:cs="Times New Roman"/>
        </w:rPr>
        <w:t xml:space="preserve"> and </w:t>
      </w:r>
      <w:r w:rsidR="33CF9E60" w:rsidRPr="005E7D0C">
        <w:rPr>
          <w:rFonts w:ascii="Times New Roman" w:eastAsia="Calibri" w:hAnsi="Times New Roman" w:cs="Times New Roman"/>
        </w:rPr>
        <w:t>4</w:t>
      </w:r>
      <w:r w:rsidRPr="005E7D0C">
        <w:rPr>
          <w:rFonts w:ascii="Times New Roman" w:eastAsia="Calibri" w:hAnsi="Times New Roman" w:cs="Times New Roman"/>
        </w:rPr>
        <w:t xml:space="preserve">). We believe these responses to be inflated, as they do not match the skills demonstrated in the presentation assignment or in classroom discussion; literature supports the likelihood of such a scenario (Kim &amp; </w:t>
      </w:r>
      <w:r w:rsidRPr="005E7D0C">
        <w:rPr>
          <w:rFonts w:ascii="Times New Roman" w:eastAsia="Calibri" w:hAnsi="Times New Roman" w:cs="Times New Roman"/>
        </w:rPr>
        <w:lastRenderedPageBreak/>
        <w:t xml:space="preserve">Shumaker, 2015; Dann et al., 2022; </w:t>
      </w:r>
      <w:proofErr w:type="spellStart"/>
      <w:r w:rsidRPr="005E7D0C">
        <w:rPr>
          <w:rFonts w:ascii="Times New Roman" w:eastAsia="Calibri" w:hAnsi="Times New Roman" w:cs="Times New Roman"/>
        </w:rPr>
        <w:t>Yevelson-Shorsher</w:t>
      </w:r>
      <w:proofErr w:type="spellEnd"/>
      <w:r w:rsidRPr="005E7D0C">
        <w:rPr>
          <w:rFonts w:ascii="Times New Roman" w:eastAsia="Calibri" w:hAnsi="Times New Roman" w:cs="Times New Roman"/>
        </w:rPr>
        <w:t xml:space="preserve"> &amp; Bronstein, 2018). By the end of the semester, when Survey 3 was administered, students were working on the independent research paper assignment, allowing them to </w:t>
      </w:r>
      <w:r w:rsidR="05F5DBF5" w:rsidRPr="005E7D0C">
        <w:rPr>
          <w:rFonts w:ascii="Times New Roman" w:eastAsia="Calibri" w:hAnsi="Times New Roman" w:cs="Times New Roman"/>
        </w:rPr>
        <w:t xml:space="preserve">more accurately </w:t>
      </w:r>
      <w:r w:rsidRPr="005E7D0C">
        <w:rPr>
          <w:rFonts w:ascii="Times New Roman" w:eastAsia="Calibri" w:hAnsi="Times New Roman" w:cs="Times New Roman"/>
        </w:rPr>
        <w:t xml:space="preserve">evaluate their skill set and how well it met their needs for that assignment. </w:t>
      </w:r>
    </w:p>
    <w:p w14:paraId="225C547F" w14:textId="593FDC16" w:rsidR="00650CEF" w:rsidRPr="005E7D0C" w:rsidRDefault="59A2AB8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Interestingly, the reported decrease of skills in Survey 3 did not align with a corresponding decrease in ideas of control or increase of stress. Survey 3 shows a significant increase of students believing they have “a lot” of control over what they learn at Towson (Q2.4). While two students did report having “a lot” of stress or anxiety about their TSEM class (Q2.5), it is interesting that the in the free response question that asked students to name the most stressful or anxiety-producing aspect of the research and writing process, the common theme was not source skills, but rather citations. Of the seventeen respondents to this question, nine named this as the most stressful aspect. </w:t>
      </w:r>
      <w:proofErr w:type="gramStart"/>
      <w:r w:rsidRPr="005E7D0C">
        <w:rPr>
          <w:rFonts w:ascii="Times New Roman" w:eastAsia="Calibri" w:hAnsi="Times New Roman" w:cs="Times New Roman"/>
        </w:rPr>
        <w:t>As a whole, following</w:t>
      </w:r>
      <w:proofErr w:type="gramEnd"/>
      <w:r w:rsidRPr="005E7D0C">
        <w:rPr>
          <w:rFonts w:ascii="Times New Roman" w:eastAsia="Calibri" w:hAnsi="Times New Roman" w:cs="Times New Roman"/>
        </w:rPr>
        <w:t xml:space="preserve"> a citation manual is a very different skill set than the others taught and centrally placed in this course, and so students’ stress regarding this aligned with instructor expectations. How (and if) to teach specific citation styles is an understandable source of frustration. Formal citations were not the focus of the class</w:t>
      </w:r>
      <w:r w:rsidR="5CA74483" w:rsidRPr="005E7D0C">
        <w:rPr>
          <w:rFonts w:ascii="Times New Roman" w:eastAsia="Calibri" w:hAnsi="Times New Roman" w:cs="Times New Roman"/>
        </w:rPr>
        <w:t>,</w:t>
      </w:r>
      <w:r w:rsidRPr="005E7D0C">
        <w:rPr>
          <w:rFonts w:ascii="Times New Roman" w:eastAsia="Calibri" w:hAnsi="Times New Roman" w:cs="Times New Roman"/>
        </w:rPr>
        <w:t xml:space="preserve"> so it is highly logical that students would feel stress surrounding a new activity, especially one so often mentioned in conjunction with plagiarism and therefore possible negative consequences. </w:t>
      </w:r>
    </w:p>
    <w:p w14:paraId="217C203E" w14:textId="1B4DB59D" w:rsidR="00650CEF" w:rsidRPr="005E7D0C" w:rsidRDefault="0B9951DF"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Despite the anxiety of citations and the natural stress a culminating individual research paper brings, not a single student in Survey 3 reported concern over a grade (as they did in Survey 1) or lack of sleep (Survey 2). </w:t>
      </w:r>
      <w:proofErr w:type="gramStart"/>
      <w:r w:rsidRPr="005E7D0C">
        <w:rPr>
          <w:rFonts w:ascii="Times New Roman" w:eastAsia="Calibri" w:hAnsi="Times New Roman" w:cs="Times New Roman"/>
        </w:rPr>
        <w:t>In the midst of</w:t>
      </w:r>
      <w:proofErr w:type="gramEnd"/>
      <w:r w:rsidRPr="005E7D0C">
        <w:rPr>
          <w:rFonts w:ascii="Times New Roman" w:eastAsia="Calibri" w:hAnsi="Times New Roman" w:cs="Times New Roman"/>
        </w:rPr>
        <w:t xml:space="preserve"> the most challenging and weighty assignment, it is surprising that more students did not report increased stress or anxiety. These are the precise results one would expect from a combination of increased </w:t>
      </w:r>
      <w:r w:rsidRPr="005E7D0C">
        <w:rPr>
          <w:rFonts w:ascii="Times New Roman" w:eastAsia="Calibri" w:hAnsi="Times New Roman" w:cs="Times New Roman"/>
        </w:rPr>
        <w:lastRenderedPageBreak/>
        <w:t>self-awareness and competence; only at that junctur</w:t>
      </w:r>
      <w:r w:rsidR="59495FC4" w:rsidRPr="005E7D0C">
        <w:rPr>
          <w:rFonts w:ascii="Times New Roman" w:eastAsia="Calibri" w:hAnsi="Times New Roman" w:cs="Times New Roman"/>
        </w:rPr>
        <w:t>e</w:t>
      </w:r>
      <w:r w:rsidRPr="005E7D0C">
        <w:rPr>
          <w:rFonts w:ascii="Times New Roman" w:eastAsia="Calibri" w:hAnsi="Times New Roman" w:cs="Times New Roman"/>
        </w:rPr>
        <w:t xml:space="preserve"> do students feel prepared to face and solve problems as they encounter them. </w:t>
      </w:r>
    </w:p>
    <w:p w14:paraId="67BE090A" w14:textId="6DFC3F47" w:rsidR="00650CEF" w:rsidRPr="005E7D0C" w:rsidRDefault="00650CEF" w:rsidP="00C86485">
      <w:pPr>
        <w:spacing w:after="0" w:line="480" w:lineRule="auto"/>
        <w:ind w:firstLine="720"/>
        <w:rPr>
          <w:rFonts w:ascii="Times New Roman" w:eastAsia="Calibri" w:hAnsi="Times New Roman" w:cs="Times New Roman"/>
        </w:rPr>
      </w:pPr>
    </w:p>
    <w:p w14:paraId="04A97C0A" w14:textId="6C634797" w:rsidR="00650CEF" w:rsidRPr="005E7D0C" w:rsidRDefault="1D4621AB"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Conclusions</w:t>
      </w:r>
    </w:p>
    <w:p w14:paraId="7C7DF697" w14:textId="30D787B8" w:rsidR="00650CEF" w:rsidRPr="005E7D0C" w:rsidRDefault="1E9B1FC6"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Ours was an exploratory study of 24 students enrolled in a semester-long </w:t>
      </w:r>
      <w:r w:rsidR="10732B9F" w:rsidRPr="005E7D0C">
        <w:rPr>
          <w:rFonts w:ascii="Times New Roman" w:eastAsia="Calibri" w:hAnsi="Times New Roman" w:cs="Times New Roman"/>
        </w:rPr>
        <w:t>first-year</w:t>
      </w:r>
      <w:r w:rsidRPr="005E7D0C">
        <w:rPr>
          <w:rFonts w:ascii="Times New Roman" w:eastAsia="Calibri" w:hAnsi="Times New Roman" w:cs="Times New Roman"/>
        </w:rPr>
        <w:t xml:space="preserve"> seminar.</w:t>
      </w:r>
      <w:r w:rsidR="0B0D159D" w:rsidRPr="005E7D0C">
        <w:rPr>
          <w:rFonts w:ascii="Times New Roman" w:eastAsia="Calibri" w:hAnsi="Times New Roman" w:cs="Times New Roman"/>
        </w:rPr>
        <w:t xml:space="preserve"> We present it not as a template for others to follow, but as an unusual success story that may s</w:t>
      </w:r>
      <w:r w:rsidR="3717D33C" w:rsidRPr="005E7D0C">
        <w:rPr>
          <w:rFonts w:ascii="Times New Roman" w:eastAsia="Calibri" w:hAnsi="Times New Roman" w:cs="Times New Roman"/>
        </w:rPr>
        <w:t>park variations in other contexts.</w:t>
      </w:r>
      <w:r w:rsidRPr="005E7D0C">
        <w:rPr>
          <w:rFonts w:ascii="Times New Roman" w:eastAsia="Calibri" w:hAnsi="Times New Roman" w:cs="Times New Roman"/>
        </w:rPr>
        <w:t xml:space="preserve"> </w:t>
      </w:r>
      <w:r w:rsidR="6D1CEE30" w:rsidRPr="005E7D0C">
        <w:rPr>
          <w:rFonts w:ascii="Times New Roman" w:eastAsia="Calibri" w:hAnsi="Times New Roman" w:cs="Times New Roman"/>
        </w:rPr>
        <w:t xml:space="preserve">We </w:t>
      </w:r>
      <w:r w:rsidR="1D3FA4E3" w:rsidRPr="005E7D0C">
        <w:rPr>
          <w:rFonts w:ascii="Times New Roman" w:eastAsia="Calibri" w:hAnsi="Times New Roman" w:cs="Times New Roman"/>
        </w:rPr>
        <w:t>explain the productivity of our</w:t>
      </w:r>
      <w:r w:rsidR="1D4621AB" w:rsidRPr="005E7D0C">
        <w:rPr>
          <w:rFonts w:ascii="Times New Roman" w:eastAsia="Calibri" w:hAnsi="Times New Roman" w:cs="Times New Roman"/>
        </w:rPr>
        <w:t xml:space="preserve"> collaboration </w:t>
      </w:r>
      <w:r w:rsidR="5D8301D9" w:rsidRPr="005E7D0C">
        <w:rPr>
          <w:rFonts w:ascii="Times New Roman" w:eastAsia="Calibri" w:hAnsi="Times New Roman" w:cs="Times New Roman"/>
        </w:rPr>
        <w:t>through the</w:t>
      </w:r>
      <w:r w:rsidR="1D4621AB" w:rsidRPr="005E7D0C">
        <w:rPr>
          <w:rFonts w:ascii="Times New Roman" w:eastAsia="Calibri" w:hAnsi="Times New Roman" w:cs="Times New Roman"/>
        </w:rPr>
        <w:t xml:space="preserve"> principles of solidarity</w:t>
      </w:r>
      <w:r w:rsidR="371F039A" w:rsidRPr="005E7D0C">
        <w:rPr>
          <w:rFonts w:ascii="Times New Roman" w:eastAsia="Calibri" w:hAnsi="Times New Roman" w:cs="Times New Roman"/>
        </w:rPr>
        <w:t xml:space="preserve">, </w:t>
      </w:r>
      <w:r w:rsidR="1D4621AB" w:rsidRPr="005E7D0C">
        <w:rPr>
          <w:rFonts w:ascii="Times New Roman" w:eastAsia="Calibri" w:hAnsi="Times New Roman" w:cs="Times New Roman"/>
        </w:rPr>
        <w:t>center</w:t>
      </w:r>
      <w:r w:rsidR="159F3771" w:rsidRPr="005E7D0C">
        <w:rPr>
          <w:rFonts w:ascii="Times New Roman" w:eastAsia="Calibri" w:hAnsi="Times New Roman" w:cs="Times New Roman"/>
        </w:rPr>
        <w:t>ing</w:t>
      </w:r>
      <w:r w:rsidR="1D4621AB" w:rsidRPr="005E7D0C">
        <w:rPr>
          <w:rFonts w:ascii="Times New Roman" w:eastAsia="Calibri" w:hAnsi="Times New Roman" w:cs="Times New Roman"/>
        </w:rPr>
        <w:t xml:space="preserve"> librarian relationship building and professor development of threshold skills</w:t>
      </w:r>
      <w:r w:rsidR="2AC0CD82" w:rsidRPr="005E7D0C">
        <w:rPr>
          <w:rFonts w:ascii="Times New Roman" w:eastAsia="Calibri" w:hAnsi="Times New Roman" w:cs="Times New Roman"/>
        </w:rPr>
        <w:t xml:space="preserve"> in our work</w:t>
      </w:r>
      <w:r w:rsidR="1D4621AB" w:rsidRPr="005E7D0C">
        <w:rPr>
          <w:rFonts w:ascii="Times New Roman" w:eastAsia="Calibri" w:hAnsi="Times New Roman" w:cs="Times New Roman"/>
        </w:rPr>
        <w:t xml:space="preserve">. </w:t>
      </w:r>
      <w:r w:rsidR="2DFADF99" w:rsidRPr="005E7D0C">
        <w:rPr>
          <w:rFonts w:ascii="Times New Roman" w:eastAsia="Calibri" w:hAnsi="Times New Roman" w:cs="Times New Roman"/>
        </w:rPr>
        <w:t xml:space="preserve">In keeping with </w:t>
      </w:r>
      <w:r w:rsidR="57CC695F" w:rsidRPr="005E7D0C">
        <w:rPr>
          <w:rFonts w:ascii="Times New Roman" w:eastAsia="Calibri" w:hAnsi="Times New Roman" w:cs="Times New Roman"/>
        </w:rPr>
        <w:t xml:space="preserve">Freire’s focus on the practical </w:t>
      </w:r>
      <w:r w:rsidR="0CF30B35" w:rsidRPr="005E7D0C">
        <w:rPr>
          <w:rFonts w:ascii="Times New Roman" w:eastAsia="Calibri" w:hAnsi="Times New Roman" w:cs="Times New Roman"/>
        </w:rPr>
        <w:t xml:space="preserve">knowledge </w:t>
      </w:r>
      <w:r w:rsidR="57CC695F" w:rsidRPr="005E7D0C">
        <w:rPr>
          <w:rFonts w:ascii="Times New Roman" w:eastAsia="Calibri" w:hAnsi="Times New Roman" w:cs="Times New Roman"/>
        </w:rPr>
        <w:t>his students needed to move toward liberation in their specific context, o</w:t>
      </w:r>
      <w:r w:rsidR="1D4621AB" w:rsidRPr="005E7D0C">
        <w:rPr>
          <w:rFonts w:ascii="Times New Roman" w:eastAsia="Calibri" w:hAnsi="Times New Roman" w:cs="Times New Roman"/>
        </w:rPr>
        <w:t>ur goal was to produce students who believed themselves to be equipped for critical research and writing</w:t>
      </w:r>
      <w:r w:rsidR="51EA051D" w:rsidRPr="005E7D0C">
        <w:rPr>
          <w:rFonts w:ascii="Times New Roman" w:eastAsia="Calibri" w:hAnsi="Times New Roman" w:cs="Times New Roman"/>
        </w:rPr>
        <w:t xml:space="preserve"> in the</w:t>
      </w:r>
      <w:r w:rsidR="3CA6F93D" w:rsidRPr="005E7D0C">
        <w:rPr>
          <w:rFonts w:ascii="Times New Roman" w:eastAsia="Calibri" w:hAnsi="Times New Roman" w:cs="Times New Roman"/>
        </w:rPr>
        <w:t>ir</w:t>
      </w:r>
      <w:r w:rsidR="51EA051D" w:rsidRPr="005E7D0C">
        <w:rPr>
          <w:rFonts w:ascii="Times New Roman" w:eastAsia="Calibri" w:hAnsi="Times New Roman" w:cs="Times New Roman"/>
        </w:rPr>
        <w:t xml:space="preserve"> Towson University studies</w:t>
      </w:r>
      <w:r w:rsidR="1D4621AB" w:rsidRPr="005E7D0C">
        <w:rPr>
          <w:rFonts w:ascii="Times New Roman" w:eastAsia="Calibri" w:hAnsi="Times New Roman" w:cs="Times New Roman"/>
        </w:rPr>
        <w:t xml:space="preserve">. </w:t>
      </w:r>
      <w:r w:rsidR="7BA64D0D" w:rsidRPr="005E7D0C">
        <w:rPr>
          <w:rFonts w:ascii="Times New Roman" w:eastAsia="Calibri" w:hAnsi="Times New Roman" w:cs="Times New Roman"/>
        </w:rPr>
        <w:t>The</w:t>
      </w:r>
      <w:r w:rsidR="7DDF5944" w:rsidRPr="005E7D0C">
        <w:rPr>
          <w:rFonts w:ascii="Times New Roman" w:eastAsia="Calibri" w:hAnsi="Times New Roman" w:cs="Times New Roman"/>
        </w:rPr>
        <w:t xml:space="preserve"> scaffolded, collaborative</w:t>
      </w:r>
      <w:r w:rsidR="01FE82B6" w:rsidRPr="005E7D0C">
        <w:rPr>
          <w:rFonts w:ascii="Times New Roman" w:eastAsia="Calibri" w:hAnsi="Times New Roman" w:cs="Times New Roman"/>
        </w:rPr>
        <w:t xml:space="preserve"> environment </w:t>
      </w:r>
      <w:r w:rsidR="453EB414" w:rsidRPr="005E7D0C">
        <w:rPr>
          <w:rFonts w:ascii="Times New Roman" w:eastAsia="Calibri" w:hAnsi="Times New Roman" w:cs="Times New Roman"/>
        </w:rPr>
        <w:t xml:space="preserve">we provided did not optimize choice in every activity, but </w:t>
      </w:r>
      <w:r w:rsidR="42604D80" w:rsidRPr="005E7D0C">
        <w:rPr>
          <w:rFonts w:ascii="Times New Roman" w:eastAsia="Calibri" w:hAnsi="Times New Roman" w:cs="Times New Roman"/>
        </w:rPr>
        <w:t xml:space="preserve">rather </w:t>
      </w:r>
      <w:r w:rsidR="453EB414" w:rsidRPr="005E7D0C">
        <w:rPr>
          <w:rFonts w:ascii="Times New Roman" w:eastAsia="Calibri" w:hAnsi="Times New Roman" w:cs="Times New Roman"/>
        </w:rPr>
        <w:t>moved toward maximizing</w:t>
      </w:r>
      <w:r w:rsidR="4C1AE6DF" w:rsidRPr="005E7D0C">
        <w:rPr>
          <w:rFonts w:ascii="Times New Roman" w:eastAsia="Calibri" w:hAnsi="Times New Roman" w:cs="Times New Roman"/>
        </w:rPr>
        <w:t xml:space="preserve"> long-term</w:t>
      </w:r>
      <w:r w:rsidR="453EB414" w:rsidRPr="005E7D0C">
        <w:rPr>
          <w:rFonts w:ascii="Times New Roman" w:eastAsia="Calibri" w:hAnsi="Times New Roman" w:cs="Times New Roman"/>
        </w:rPr>
        <w:t xml:space="preserve"> empowerment through self-awareness and </w:t>
      </w:r>
      <w:r w:rsidR="639889E3" w:rsidRPr="005E7D0C">
        <w:rPr>
          <w:rFonts w:ascii="Times New Roman" w:eastAsia="Calibri" w:hAnsi="Times New Roman" w:cs="Times New Roman"/>
        </w:rPr>
        <w:t>skill building.</w:t>
      </w:r>
      <w:r w:rsidR="01FE82B6" w:rsidRPr="005E7D0C">
        <w:rPr>
          <w:rFonts w:ascii="Times New Roman" w:eastAsia="Calibri" w:hAnsi="Times New Roman" w:cs="Times New Roman"/>
        </w:rPr>
        <w:t xml:space="preserve"> </w:t>
      </w:r>
      <w:r w:rsidR="1A75A6E9" w:rsidRPr="005E7D0C">
        <w:rPr>
          <w:rFonts w:ascii="Times New Roman" w:eastAsia="Calibri" w:hAnsi="Times New Roman" w:cs="Times New Roman"/>
        </w:rPr>
        <w:t>By the end of the course, s</w:t>
      </w:r>
      <w:r w:rsidR="01FE82B6" w:rsidRPr="005E7D0C">
        <w:rPr>
          <w:rFonts w:ascii="Times New Roman" w:eastAsia="Calibri" w:hAnsi="Times New Roman" w:cs="Times New Roman"/>
        </w:rPr>
        <w:t xml:space="preserve">tudents </w:t>
      </w:r>
      <w:r w:rsidR="0B1B7659" w:rsidRPr="005E7D0C">
        <w:rPr>
          <w:rFonts w:ascii="Times New Roman" w:eastAsia="Calibri" w:hAnsi="Times New Roman" w:cs="Times New Roman"/>
        </w:rPr>
        <w:t xml:space="preserve">had many opportunities </w:t>
      </w:r>
      <w:r w:rsidR="01FE82B6" w:rsidRPr="005E7D0C">
        <w:rPr>
          <w:rFonts w:ascii="Times New Roman" w:eastAsia="Calibri" w:hAnsi="Times New Roman" w:cs="Times New Roman"/>
        </w:rPr>
        <w:t xml:space="preserve">to experiment with risk </w:t>
      </w:r>
      <w:r w:rsidR="4F798A69" w:rsidRPr="005E7D0C">
        <w:rPr>
          <w:rFonts w:ascii="Times New Roman" w:eastAsia="Calibri" w:hAnsi="Times New Roman" w:cs="Times New Roman"/>
        </w:rPr>
        <w:t>knowing that they would also be able to re</w:t>
      </w:r>
      <w:r w:rsidR="26556828" w:rsidRPr="005E7D0C">
        <w:rPr>
          <w:rFonts w:ascii="Times New Roman" w:eastAsia="Calibri" w:hAnsi="Times New Roman" w:cs="Times New Roman"/>
        </w:rPr>
        <w:t>think</w:t>
      </w:r>
      <w:r w:rsidR="4F798A69" w:rsidRPr="005E7D0C">
        <w:rPr>
          <w:rFonts w:ascii="Times New Roman" w:eastAsia="Calibri" w:hAnsi="Times New Roman" w:cs="Times New Roman"/>
        </w:rPr>
        <w:t xml:space="preserve"> their work</w:t>
      </w:r>
      <w:r w:rsidR="01FE82B6" w:rsidRPr="005E7D0C">
        <w:rPr>
          <w:rFonts w:ascii="Times New Roman" w:eastAsia="Calibri" w:hAnsi="Times New Roman" w:cs="Times New Roman"/>
        </w:rPr>
        <w:t xml:space="preserve"> </w:t>
      </w:r>
      <w:r w:rsidR="2EE7D62D" w:rsidRPr="005E7D0C">
        <w:rPr>
          <w:rFonts w:ascii="Times New Roman" w:eastAsia="Calibri" w:hAnsi="Times New Roman" w:cs="Times New Roman"/>
        </w:rPr>
        <w:t>in</w:t>
      </w:r>
      <w:r w:rsidR="01FE82B6" w:rsidRPr="005E7D0C">
        <w:rPr>
          <w:rFonts w:ascii="Times New Roman" w:eastAsia="Calibri" w:hAnsi="Times New Roman" w:cs="Times New Roman"/>
        </w:rPr>
        <w:t xml:space="preserve"> </w:t>
      </w:r>
      <w:r w:rsidR="6B2DD461" w:rsidRPr="005E7D0C">
        <w:rPr>
          <w:rFonts w:ascii="Times New Roman" w:eastAsia="Calibri" w:hAnsi="Times New Roman" w:cs="Times New Roman"/>
        </w:rPr>
        <w:t>group</w:t>
      </w:r>
      <w:r w:rsidR="2805C74D" w:rsidRPr="005E7D0C">
        <w:rPr>
          <w:rFonts w:ascii="Times New Roman" w:eastAsia="Calibri" w:hAnsi="Times New Roman" w:cs="Times New Roman"/>
        </w:rPr>
        <w:t>s</w:t>
      </w:r>
      <w:r w:rsidR="6B2DD461" w:rsidRPr="005E7D0C">
        <w:rPr>
          <w:rFonts w:ascii="Times New Roman" w:eastAsia="Calibri" w:hAnsi="Times New Roman" w:cs="Times New Roman"/>
        </w:rPr>
        <w:t xml:space="preserve"> or 1:1 </w:t>
      </w:r>
      <w:proofErr w:type="gramStart"/>
      <w:r w:rsidR="6B2DD461" w:rsidRPr="005E7D0C">
        <w:rPr>
          <w:rFonts w:ascii="Times New Roman" w:eastAsia="Calibri" w:hAnsi="Times New Roman" w:cs="Times New Roman"/>
        </w:rPr>
        <w:t>meetings</w:t>
      </w:r>
      <w:proofErr w:type="gramEnd"/>
      <w:r w:rsidR="6B2DD461" w:rsidRPr="005E7D0C">
        <w:rPr>
          <w:rFonts w:ascii="Times New Roman" w:eastAsia="Calibri" w:hAnsi="Times New Roman" w:cs="Times New Roman"/>
        </w:rPr>
        <w:t xml:space="preserve"> with the professor or librarian.</w:t>
      </w:r>
    </w:p>
    <w:p w14:paraId="14A27772" w14:textId="5D3DF557" w:rsidR="00650CEF" w:rsidRPr="005E7D0C" w:rsidRDefault="59A2AB8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Student responses indicate that they felt they had acquired information literacy skills and that they were realistic about those skill sets. At the same time, their perceptions of the course and of the instructor and librarian indicate growing agency in the learning journey. Surveys suggest that the willingness to reduce our own control in favor of student leadership correlated to students’ sense of empowerment. Similarly, </w:t>
      </w:r>
      <w:r w:rsidRPr="005E7D0C">
        <w:rPr>
          <w:rFonts w:ascii="Times New Roman" w:eastAsia="Calibri" w:hAnsi="Times New Roman" w:cs="Times New Roman"/>
        </w:rPr>
        <w:lastRenderedPageBreak/>
        <w:t xml:space="preserve">integration of library and information literacy instruction into course content and assessments helped to create an environment that modeled an exchange of power and an open dialogue of sharing knowledge. Students’ perceptions of empowerment and self-awareness suggest that our students are beginning to feel liberated in their academic education. </w:t>
      </w:r>
    </w:p>
    <w:p w14:paraId="1119F360" w14:textId="15091137" w:rsidR="00650CEF" w:rsidRPr="005E7D0C" w:rsidRDefault="1D4621A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In the spirit of transferrable skills, we offer suggestions for those wishing to create a similar classroom environment:</w:t>
      </w:r>
    </w:p>
    <w:p w14:paraId="400CC8D6" w14:textId="77777777" w:rsidR="00095F44" w:rsidRDefault="1D4621A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t>Begin collaboration early: establish transparent communication in the initial planning stages of the course. Share personal pedagogical goals and values.</w:t>
      </w:r>
    </w:p>
    <w:p w14:paraId="5A45D3AE" w14:textId="77777777" w:rsidR="00095F44" w:rsidRDefault="59A2AB8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t>Find solidarity: consciously work on the instructor-librarian relationship alongside the course material and model the sense of shared work in front of students. Look for the experiences you have in common and acknowledge how they shape your pedagogy.</w:t>
      </w:r>
    </w:p>
    <w:p w14:paraId="7AC3C301" w14:textId="418A0707" w:rsidR="00095F44" w:rsidRDefault="1D4621A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t>Be willing to explore non-traditional forms of library instruction within a course: recognize institutional needs, consider other forms of behind-the-scenes librarian or instructor support</w:t>
      </w:r>
      <w:r w:rsidR="005915F3">
        <w:rPr>
          <w:rFonts w:ascii="Times New Roman" w:eastAsia="Calibri" w:hAnsi="Times New Roman" w:cs="Times New Roman"/>
        </w:rPr>
        <w:t>.</w:t>
      </w:r>
      <w:r w:rsidRPr="00095F44">
        <w:rPr>
          <w:rFonts w:ascii="Times New Roman" w:eastAsia="Calibri" w:hAnsi="Times New Roman" w:cs="Times New Roman"/>
        </w:rPr>
        <w:t xml:space="preserve"> </w:t>
      </w:r>
    </w:p>
    <w:p w14:paraId="7D1D75DF" w14:textId="4BAC05A2" w:rsidR="00095F44" w:rsidRDefault="1D4621A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t>Fully integrate library instruction within the course structure and content: ensure that learning outcomes for librarians and instructors align, consider the student perspective in terms of skill building as well as content and assignment schedule. If the course is about other things, consider setting aside a unit or module for research-centric threshold skills</w:t>
      </w:r>
      <w:r w:rsidR="00095F44">
        <w:rPr>
          <w:rFonts w:ascii="Times New Roman" w:eastAsia="Calibri" w:hAnsi="Times New Roman" w:cs="Times New Roman"/>
        </w:rPr>
        <w:t>.</w:t>
      </w:r>
      <w:r w:rsidRPr="00095F44">
        <w:rPr>
          <w:rFonts w:ascii="Times New Roman" w:eastAsia="Calibri" w:hAnsi="Times New Roman" w:cs="Times New Roman"/>
        </w:rPr>
        <w:t xml:space="preserve"> </w:t>
      </w:r>
    </w:p>
    <w:p w14:paraId="039F9565" w14:textId="77777777" w:rsidR="00095F44" w:rsidRDefault="1D4621A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t>Build toward student ownership: find ways to model shared power, then gradually transfer power to students themselves.</w:t>
      </w:r>
    </w:p>
    <w:p w14:paraId="09D18B14" w14:textId="7F41351D" w:rsidR="00650CEF" w:rsidRPr="00095F44" w:rsidRDefault="1D4621AB" w:rsidP="00C86485">
      <w:pPr>
        <w:pStyle w:val="ListParagraph"/>
        <w:numPr>
          <w:ilvl w:val="0"/>
          <w:numId w:val="15"/>
        </w:numPr>
        <w:spacing w:after="0" w:line="480" w:lineRule="auto"/>
        <w:rPr>
          <w:rFonts w:ascii="Times New Roman" w:eastAsia="Calibri" w:hAnsi="Times New Roman" w:cs="Times New Roman"/>
        </w:rPr>
      </w:pPr>
      <w:r w:rsidRPr="00095F44">
        <w:rPr>
          <w:rFonts w:ascii="Times New Roman" w:eastAsia="Calibri" w:hAnsi="Times New Roman" w:cs="Times New Roman"/>
        </w:rPr>
        <w:lastRenderedPageBreak/>
        <w:t>Cultivate a culture of iterative work: incorporate repetitive assignments requiring consultation with multiple experts to teach a variety of approaches and growth opportunities.</w:t>
      </w:r>
    </w:p>
    <w:p w14:paraId="1EB53475" w14:textId="4B489EB9" w:rsidR="00650CEF" w:rsidRPr="005E7D0C" w:rsidRDefault="00095F44" w:rsidP="00C86485">
      <w:pPr>
        <w:spacing w:after="0" w:line="480" w:lineRule="auto"/>
        <w:ind w:firstLine="720"/>
        <w:rPr>
          <w:rFonts w:ascii="Times New Roman" w:eastAsia="Calibri" w:hAnsi="Times New Roman" w:cs="Times New Roman"/>
        </w:rPr>
      </w:pPr>
      <w:r>
        <w:rPr>
          <w:rFonts w:ascii="Times New Roman" w:eastAsia="Calibri" w:hAnsi="Times New Roman" w:cs="Times New Roman"/>
        </w:rPr>
        <w:t xml:space="preserve">There are several specific changes we anticipate making in the future. While scaffolding threshold concepts and skills </w:t>
      </w:r>
      <w:proofErr w:type="gramStart"/>
      <w:r>
        <w:rPr>
          <w:rFonts w:ascii="Times New Roman" w:eastAsia="Calibri" w:hAnsi="Times New Roman" w:cs="Times New Roman"/>
        </w:rPr>
        <w:t>appears</w:t>
      </w:r>
      <w:proofErr w:type="gramEnd"/>
      <w:r>
        <w:rPr>
          <w:rFonts w:ascii="Times New Roman" w:eastAsia="Calibri" w:hAnsi="Times New Roman" w:cs="Times New Roman"/>
        </w:rPr>
        <w:t xml:space="preserve"> to be effective, we may need to communicate more clearly with students about why we are assigning them particular tasks. </w:t>
      </w:r>
      <w:r w:rsidR="1D4621AB" w:rsidRPr="005E7D0C">
        <w:rPr>
          <w:rFonts w:ascii="Times New Roman" w:eastAsia="Calibri" w:hAnsi="Times New Roman" w:cs="Times New Roman"/>
        </w:rPr>
        <w:t>The presentation assignment can be better framed, and the prompt improved to increase student agency and be more overt in how the assignment prepares students for the final research paper</w:t>
      </w:r>
      <w:r w:rsidR="4AB247EA" w:rsidRPr="005E7D0C">
        <w:rPr>
          <w:rFonts w:ascii="Times New Roman" w:eastAsia="Calibri" w:hAnsi="Times New Roman" w:cs="Times New Roman"/>
        </w:rPr>
        <w:t xml:space="preserve">. </w:t>
      </w:r>
      <w:r w:rsidR="1D4621AB" w:rsidRPr="005E7D0C">
        <w:rPr>
          <w:rFonts w:ascii="Times New Roman" w:eastAsia="Calibri" w:hAnsi="Times New Roman" w:cs="Times New Roman"/>
        </w:rPr>
        <w:t xml:space="preserve">We may also reconsider the cost-benefit analysis of certain librarian-student interactions. For example, the 1:1 </w:t>
      </w:r>
      <w:proofErr w:type="gramStart"/>
      <w:r w:rsidR="1D4621AB" w:rsidRPr="005E7D0C">
        <w:rPr>
          <w:rFonts w:ascii="Times New Roman" w:eastAsia="Calibri" w:hAnsi="Times New Roman" w:cs="Times New Roman"/>
        </w:rPr>
        <w:t>meetings</w:t>
      </w:r>
      <w:proofErr w:type="gramEnd"/>
      <w:r w:rsidR="1D4621AB" w:rsidRPr="005E7D0C">
        <w:rPr>
          <w:rFonts w:ascii="Times New Roman" w:eastAsia="Calibri" w:hAnsi="Times New Roman" w:cs="Times New Roman"/>
        </w:rPr>
        <w:t xml:space="preserve"> with the librarian toward the end of the semester seem to have been less influential than expected and take a great deal of time to complete. Instead, students may need more instruction about citations, even if that instruction is focused on reducing anxiety by supplying students with ready resources rather than citation mechanics.</w:t>
      </w:r>
    </w:p>
    <w:p w14:paraId="46D05FD9" w14:textId="30F1943C" w:rsidR="00095F44" w:rsidRDefault="1D4621AB"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We are aware that the process of liberation in the classroom is neither linear nor confined to a single semester. Ideally, students will carry from the classroom both concrete expertise and a praxis of self-aware growth. Although it is beyond the scope of this study, it would be interesting to track their progression through their time at </w:t>
      </w:r>
      <w:r w:rsidR="5013A17E" w:rsidRPr="005E7D0C">
        <w:rPr>
          <w:rFonts w:ascii="Times New Roman" w:eastAsia="Calibri" w:hAnsi="Times New Roman" w:cs="Times New Roman"/>
        </w:rPr>
        <w:t xml:space="preserve">the </w:t>
      </w:r>
      <w:r w:rsidRPr="005E7D0C">
        <w:rPr>
          <w:rFonts w:ascii="Times New Roman" w:eastAsia="Calibri" w:hAnsi="Times New Roman" w:cs="Times New Roman"/>
        </w:rPr>
        <w:t>University to measure the long-term impact of our instruction. What we can conclude is that when given support and agency to navigate through challenging learning experiences, students demonstrate increased self-awareness and competence.</w:t>
      </w:r>
    </w:p>
    <w:p w14:paraId="0557AF7A" w14:textId="7C48E565" w:rsidR="00095F44" w:rsidRPr="00095F44" w:rsidRDefault="00095F44" w:rsidP="00C86485">
      <w:pPr>
        <w:pStyle w:val="Heading1"/>
        <w:spacing w:line="480" w:lineRule="auto"/>
        <w:rPr>
          <w:rFonts w:ascii="Times New Roman" w:eastAsia="Calibri" w:hAnsi="Times New Roman" w:cs="Times New Roman"/>
          <w:b/>
          <w:bCs/>
          <w:color w:val="auto"/>
          <w:sz w:val="32"/>
          <w:szCs w:val="32"/>
        </w:rPr>
      </w:pPr>
      <w:r w:rsidRPr="00095F44">
        <w:rPr>
          <w:rFonts w:ascii="Times New Roman" w:eastAsia="Calibri" w:hAnsi="Times New Roman" w:cs="Times New Roman"/>
          <w:b/>
          <w:bCs/>
          <w:color w:val="auto"/>
          <w:sz w:val="32"/>
          <w:szCs w:val="32"/>
        </w:rPr>
        <w:lastRenderedPageBreak/>
        <w:t xml:space="preserve">Authorship </w:t>
      </w:r>
      <w:r>
        <w:rPr>
          <w:rFonts w:ascii="Times New Roman" w:eastAsia="Calibri" w:hAnsi="Times New Roman" w:cs="Times New Roman"/>
          <w:b/>
          <w:bCs/>
          <w:color w:val="auto"/>
          <w:sz w:val="32"/>
          <w:szCs w:val="32"/>
        </w:rPr>
        <w:t>S</w:t>
      </w:r>
      <w:r w:rsidRPr="00095F44">
        <w:rPr>
          <w:rFonts w:ascii="Times New Roman" w:eastAsia="Calibri" w:hAnsi="Times New Roman" w:cs="Times New Roman"/>
          <w:b/>
          <w:bCs/>
          <w:color w:val="auto"/>
          <w:sz w:val="32"/>
          <w:szCs w:val="32"/>
        </w:rPr>
        <w:t>tatement</w:t>
      </w:r>
    </w:p>
    <w:p w14:paraId="522617C0" w14:textId="45A80C72" w:rsidR="00095F44" w:rsidRPr="005E7D0C" w:rsidRDefault="00095F44" w:rsidP="00C86485">
      <w:pPr>
        <w:spacing w:after="0" w:line="480" w:lineRule="auto"/>
        <w:ind w:firstLine="720"/>
        <w:rPr>
          <w:rFonts w:ascii="Times New Roman" w:eastAsia="Calibri" w:hAnsi="Times New Roman" w:cs="Times New Roman"/>
        </w:rPr>
      </w:pPr>
      <w:r w:rsidRPr="005E7D0C">
        <w:rPr>
          <w:rFonts w:ascii="Times New Roman" w:eastAsia="Calibri" w:hAnsi="Times New Roman" w:cs="Times New Roman"/>
        </w:rPr>
        <w:t xml:space="preserve">Regardless of author listing, this </w:t>
      </w:r>
      <w:r>
        <w:rPr>
          <w:rFonts w:ascii="Times New Roman" w:eastAsia="Calibri" w:hAnsi="Times New Roman" w:cs="Times New Roman"/>
        </w:rPr>
        <w:t xml:space="preserve">paper </w:t>
      </w:r>
      <w:r w:rsidRPr="005E7D0C">
        <w:rPr>
          <w:rFonts w:ascii="Times New Roman" w:eastAsia="Calibri" w:hAnsi="Times New Roman" w:cs="Times New Roman"/>
        </w:rPr>
        <w:t>was an equal collaboration in both</w:t>
      </w:r>
      <w:r w:rsidR="00B96CD4">
        <w:rPr>
          <w:rFonts w:ascii="Times New Roman" w:eastAsia="Calibri" w:hAnsi="Times New Roman" w:cs="Times New Roman"/>
        </w:rPr>
        <w:t xml:space="preserve"> </w:t>
      </w:r>
      <w:r w:rsidRPr="005E7D0C">
        <w:rPr>
          <w:rFonts w:ascii="Times New Roman" w:eastAsia="Calibri" w:hAnsi="Times New Roman" w:cs="Times New Roman"/>
        </w:rPr>
        <w:t>research and writing</w:t>
      </w:r>
      <w:r w:rsidR="00B96CD4">
        <w:rPr>
          <w:rFonts w:ascii="Times New Roman" w:eastAsia="Calibri" w:hAnsi="Times New Roman" w:cs="Times New Roman"/>
        </w:rPr>
        <w:t>. W</w:t>
      </w:r>
      <w:r>
        <w:rPr>
          <w:rFonts w:ascii="Times New Roman" w:eastAsia="Calibri" w:hAnsi="Times New Roman" w:cs="Times New Roman"/>
        </w:rPr>
        <w:t xml:space="preserve">e </w:t>
      </w:r>
      <w:r w:rsidRPr="005E7D0C">
        <w:rPr>
          <w:rFonts w:ascii="Times New Roman" w:eastAsia="Calibri" w:hAnsi="Times New Roman" w:cs="Times New Roman"/>
        </w:rPr>
        <w:t>consider this a shared first-author work.</w:t>
      </w:r>
    </w:p>
    <w:p w14:paraId="0869E9F8" w14:textId="30636AAA" w:rsidR="005E7D0C" w:rsidRPr="005E7D0C" w:rsidRDefault="005E7D0C" w:rsidP="00C86485">
      <w:pPr>
        <w:pStyle w:val="Heading1"/>
        <w:spacing w:line="480" w:lineRule="auto"/>
        <w:rPr>
          <w:rFonts w:ascii="Times New Roman" w:eastAsia="Calibri" w:hAnsi="Times New Roman" w:cs="Times New Roman"/>
          <w:b/>
          <w:bCs/>
          <w:color w:val="auto"/>
          <w:sz w:val="32"/>
          <w:szCs w:val="32"/>
        </w:rPr>
      </w:pPr>
      <w:r w:rsidRPr="005E7D0C">
        <w:rPr>
          <w:rFonts w:ascii="Times New Roman" w:eastAsia="Calibri" w:hAnsi="Times New Roman" w:cs="Times New Roman"/>
          <w:b/>
          <w:bCs/>
          <w:color w:val="auto"/>
          <w:sz w:val="32"/>
          <w:szCs w:val="32"/>
        </w:rPr>
        <w:t>Acknowledgments</w:t>
      </w:r>
    </w:p>
    <w:p w14:paraId="62417621" w14:textId="6C148188" w:rsidR="005E7D0C" w:rsidRPr="005E7D0C" w:rsidRDefault="007B1457" w:rsidP="00C86485">
      <w:pPr>
        <w:spacing w:after="0" w:line="480" w:lineRule="auto"/>
        <w:ind w:firstLine="720"/>
        <w:rPr>
          <w:rFonts w:ascii="Times New Roman" w:eastAsia="Calibri" w:hAnsi="Times New Roman" w:cs="Times New Roman"/>
        </w:rPr>
      </w:pPr>
      <w:r w:rsidRPr="00020983">
        <w:rPr>
          <w:rFonts w:ascii="Times New Roman" w:eastAsia="Calibri" w:hAnsi="Times New Roman" w:cs="Times New Roman"/>
        </w:rPr>
        <w:t xml:space="preserve">We are grateful </w:t>
      </w:r>
      <w:r w:rsidR="009B0D76" w:rsidRPr="00020983">
        <w:rPr>
          <w:rFonts w:ascii="Times New Roman" w:eastAsia="Calibri" w:hAnsi="Times New Roman" w:cs="Times New Roman"/>
        </w:rPr>
        <w:t>to</w:t>
      </w:r>
      <w:r w:rsidRPr="00020983">
        <w:rPr>
          <w:rFonts w:ascii="Times New Roman" w:eastAsia="Calibri" w:hAnsi="Times New Roman" w:cs="Times New Roman"/>
        </w:rPr>
        <w:t xml:space="preserve"> Towson University for the structural and financial support of this research. </w:t>
      </w:r>
      <w:r w:rsidR="00B26286" w:rsidRPr="00020983">
        <w:rPr>
          <w:rFonts w:ascii="Times New Roman" w:eastAsia="Calibri" w:hAnsi="Times New Roman" w:cs="Times New Roman"/>
        </w:rPr>
        <w:t xml:space="preserve">This </w:t>
      </w:r>
      <w:r w:rsidR="005E7D0C" w:rsidRPr="00020983">
        <w:rPr>
          <w:rFonts w:ascii="Times New Roman" w:eastAsia="Calibri" w:hAnsi="Times New Roman" w:cs="Times New Roman"/>
        </w:rPr>
        <w:t xml:space="preserve">paper </w:t>
      </w:r>
      <w:r w:rsidR="00B26286" w:rsidRPr="00020983">
        <w:rPr>
          <w:rFonts w:ascii="Times New Roman" w:eastAsia="Calibri" w:hAnsi="Times New Roman" w:cs="Times New Roman"/>
        </w:rPr>
        <w:t xml:space="preserve">was workshopped </w:t>
      </w:r>
      <w:r w:rsidR="005E7D0C" w:rsidRPr="00020983">
        <w:rPr>
          <w:rFonts w:ascii="Times New Roman" w:eastAsia="Calibri" w:hAnsi="Times New Roman" w:cs="Times New Roman"/>
        </w:rPr>
        <w:t xml:space="preserve">through </w:t>
      </w:r>
      <w:r w:rsidR="00B26286" w:rsidRPr="00020983">
        <w:rPr>
          <w:rFonts w:ascii="Times New Roman" w:eastAsia="Calibri" w:hAnsi="Times New Roman" w:cs="Times New Roman"/>
        </w:rPr>
        <w:t xml:space="preserve">various </w:t>
      </w:r>
      <w:r w:rsidR="005E7D0C" w:rsidRPr="00020983">
        <w:rPr>
          <w:rFonts w:ascii="Times New Roman" w:eastAsia="Calibri" w:hAnsi="Times New Roman" w:cs="Times New Roman"/>
        </w:rPr>
        <w:t>conference presentations</w:t>
      </w:r>
      <w:r w:rsidR="0079293B" w:rsidRPr="00020983">
        <w:rPr>
          <w:rFonts w:ascii="Times New Roman" w:eastAsia="Calibri" w:hAnsi="Times New Roman" w:cs="Times New Roman"/>
        </w:rPr>
        <w:t>:</w:t>
      </w:r>
      <w:r w:rsidR="00B26286" w:rsidRPr="00020983">
        <w:rPr>
          <w:rFonts w:ascii="Times New Roman" w:eastAsia="Calibri" w:hAnsi="Times New Roman" w:cs="Times New Roman"/>
        </w:rPr>
        <w:t xml:space="preserve"> </w:t>
      </w:r>
      <w:r w:rsidR="00CA7C53" w:rsidRPr="00020983">
        <w:rPr>
          <w:rFonts w:ascii="Times New Roman" w:eastAsia="Calibri" w:hAnsi="Times New Roman" w:cs="Times New Roman"/>
        </w:rPr>
        <w:t xml:space="preserve">the </w:t>
      </w:r>
      <w:r w:rsidR="00D21C7B" w:rsidRPr="00020983">
        <w:rPr>
          <w:rFonts w:ascii="Times New Roman" w:eastAsia="Calibri" w:hAnsi="Times New Roman" w:cs="Times New Roman"/>
        </w:rPr>
        <w:t xml:space="preserve">Towson University </w:t>
      </w:r>
      <w:r w:rsidR="000302C6" w:rsidRPr="00020983">
        <w:rPr>
          <w:rFonts w:ascii="Times New Roman" w:eastAsia="Calibri" w:hAnsi="Times New Roman" w:cs="Times New Roman"/>
        </w:rPr>
        <w:t>Educators Summi</w:t>
      </w:r>
      <w:r w:rsidR="0076696F">
        <w:rPr>
          <w:rFonts w:ascii="Times New Roman" w:eastAsia="Calibri" w:hAnsi="Times New Roman" w:cs="Times New Roman"/>
        </w:rPr>
        <w:t>t</w:t>
      </w:r>
      <w:r w:rsidR="000302C6" w:rsidRPr="00020983">
        <w:rPr>
          <w:rFonts w:ascii="Times New Roman" w:eastAsia="Calibri" w:hAnsi="Times New Roman" w:cs="Times New Roman"/>
        </w:rPr>
        <w:t xml:space="preserve"> </w:t>
      </w:r>
      <w:r w:rsidR="00C859FB" w:rsidRPr="00020983">
        <w:rPr>
          <w:rFonts w:ascii="Times New Roman" w:eastAsia="Calibri" w:hAnsi="Times New Roman" w:cs="Times New Roman"/>
        </w:rPr>
        <w:t xml:space="preserve">(Gibson </w:t>
      </w:r>
      <w:r w:rsidR="00964B05">
        <w:rPr>
          <w:rFonts w:ascii="Times New Roman" w:eastAsia="Calibri" w:hAnsi="Times New Roman" w:cs="Times New Roman"/>
        </w:rPr>
        <w:t>&amp;</w:t>
      </w:r>
      <w:r w:rsidR="00C859FB" w:rsidRPr="00020983">
        <w:rPr>
          <w:rFonts w:ascii="Times New Roman" w:eastAsia="Calibri" w:hAnsi="Times New Roman" w:cs="Times New Roman"/>
        </w:rPr>
        <w:t xml:space="preserve"> Massey, </w:t>
      </w:r>
      <w:r w:rsidR="001B38CA" w:rsidRPr="00020983">
        <w:rPr>
          <w:rFonts w:ascii="Times New Roman" w:eastAsia="Calibri" w:hAnsi="Times New Roman" w:cs="Times New Roman"/>
        </w:rPr>
        <w:t>2023</w:t>
      </w:r>
      <w:r w:rsidR="00C859FB" w:rsidRPr="00020983">
        <w:rPr>
          <w:rFonts w:ascii="Times New Roman" w:eastAsia="Calibri" w:hAnsi="Times New Roman" w:cs="Times New Roman"/>
        </w:rPr>
        <w:t>)</w:t>
      </w:r>
      <w:r w:rsidR="00D21C7B" w:rsidRPr="00020983">
        <w:rPr>
          <w:rFonts w:ascii="Times New Roman" w:eastAsia="Calibri" w:hAnsi="Times New Roman" w:cs="Times New Roman"/>
        </w:rPr>
        <w:t xml:space="preserve">, </w:t>
      </w:r>
      <w:r w:rsidR="00CA7C53" w:rsidRPr="00020983">
        <w:rPr>
          <w:rFonts w:ascii="Times New Roman" w:eastAsia="Calibri" w:hAnsi="Times New Roman" w:cs="Times New Roman"/>
        </w:rPr>
        <w:t xml:space="preserve">the </w:t>
      </w:r>
      <w:r w:rsidR="00917CF8" w:rsidRPr="00020983">
        <w:rPr>
          <w:rFonts w:ascii="Times New Roman" w:eastAsia="Calibri" w:hAnsi="Times New Roman" w:cs="Times New Roman"/>
        </w:rPr>
        <w:t>Workshop for Instruction in Library Use (</w:t>
      </w:r>
      <w:r w:rsidR="00C859FB" w:rsidRPr="00020983">
        <w:rPr>
          <w:rFonts w:ascii="Times New Roman" w:eastAsia="Calibri" w:hAnsi="Times New Roman" w:cs="Times New Roman"/>
        </w:rPr>
        <w:t xml:space="preserve">Gibson, </w:t>
      </w:r>
      <w:r w:rsidR="00917CF8" w:rsidRPr="00020983">
        <w:rPr>
          <w:rFonts w:ascii="Times New Roman" w:eastAsia="Calibri" w:hAnsi="Times New Roman" w:cs="Times New Roman"/>
        </w:rPr>
        <w:t xml:space="preserve">2023), and </w:t>
      </w:r>
      <w:r w:rsidR="009B0D76" w:rsidRPr="00020983">
        <w:rPr>
          <w:rFonts w:ascii="Times New Roman" w:eastAsia="Calibri" w:hAnsi="Times New Roman" w:cs="Times New Roman"/>
        </w:rPr>
        <w:t xml:space="preserve">the </w:t>
      </w:r>
      <w:r w:rsidR="002D2BB5" w:rsidRPr="00020983">
        <w:rPr>
          <w:rFonts w:ascii="Times New Roman" w:eastAsia="Calibri" w:hAnsi="Times New Roman" w:cs="Times New Roman"/>
        </w:rPr>
        <w:t xml:space="preserve">annual meeting of the </w:t>
      </w:r>
      <w:r w:rsidR="00917CF8" w:rsidRPr="00020983">
        <w:rPr>
          <w:rFonts w:ascii="Times New Roman" w:eastAsia="Calibri" w:hAnsi="Times New Roman" w:cs="Times New Roman"/>
        </w:rPr>
        <w:t>Music Librarian Association (</w:t>
      </w:r>
      <w:r w:rsidR="00C859FB" w:rsidRPr="00020983">
        <w:rPr>
          <w:rFonts w:ascii="Times New Roman" w:eastAsia="Calibri" w:hAnsi="Times New Roman" w:cs="Times New Roman"/>
        </w:rPr>
        <w:t xml:space="preserve">Gibson </w:t>
      </w:r>
      <w:r w:rsidR="00964B05">
        <w:rPr>
          <w:rFonts w:ascii="Times New Roman" w:eastAsia="Calibri" w:hAnsi="Times New Roman" w:cs="Times New Roman"/>
        </w:rPr>
        <w:t>&amp;</w:t>
      </w:r>
      <w:r w:rsidR="00C859FB" w:rsidRPr="00020983">
        <w:rPr>
          <w:rFonts w:ascii="Times New Roman" w:eastAsia="Calibri" w:hAnsi="Times New Roman" w:cs="Times New Roman"/>
        </w:rPr>
        <w:t xml:space="preserve"> Massey, </w:t>
      </w:r>
      <w:r w:rsidR="00917CF8" w:rsidRPr="00020983">
        <w:rPr>
          <w:rFonts w:ascii="Times New Roman" w:eastAsia="Calibri" w:hAnsi="Times New Roman" w:cs="Times New Roman"/>
        </w:rPr>
        <w:t>2024)</w:t>
      </w:r>
      <w:r w:rsidR="009B0D76" w:rsidRPr="00020983">
        <w:rPr>
          <w:rFonts w:ascii="Times New Roman" w:eastAsia="Calibri" w:hAnsi="Times New Roman" w:cs="Times New Roman"/>
        </w:rPr>
        <w:t>, which also provided financial support.</w:t>
      </w:r>
      <w:r w:rsidR="005E7D0C" w:rsidRPr="005E7D0C">
        <w:rPr>
          <w:rFonts w:ascii="Times New Roman" w:eastAsia="Calibri" w:hAnsi="Times New Roman" w:cs="Times New Roman"/>
        </w:rPr>
        <w:t xml:space="preserve"> </w:t>
      </w:r>
    </w:p>
    <w:p w14:paraId="7A213213" w14:textId="6B301E4B" w:rsidR="00650CEF" w:rsidRPr="005E7D0C" w:rsidRDefault="00321851" w:rsidP="00C86485">
      <w:pPr>
        <w:pStyle w:val="Heading1"/>
        <w:spacing w:line="480" w:lineRule="auto"/>
        <w:rPr>
          <w:rFonts w:ascii="Times New Roman" w:eastAsia="Calibri" w:hAnsi="Times New Roman" w:cs="Times New Roman"/>
          <w:b/>
          <w:bCs/>
          <w:color w:val="auto"/>
          <w:sz w:val="32"/>
          <w:szCs w:val="32"/>
        </w:rPr>
      </w:pPr>
      <w:r>
        <w:rPr>
          <w:rFonts w:ascii="Times New Roman" w:eastAsia="Calibri" w:hAnsi="Times New Roman" w:cs="Times New Roman"/>
          <w:b/>
          <w:bCs/>
          <w:color w:val="auto"/>
          <w:sz w:val="32"/>
          <w:szCs w:val="32"/>
        </w:rPr>
        <w:t>References</w:t>
      </w:r>
    </w:p>
    <w:p w14:paraId="719AFEDA" w14:textId="044CF98C"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Association of College and Research Libraries. (2015). </w:t>
      </w:r>
      <w:r w:rsidRPr="005E7D0C">
        <w:rPr>
          <w:rFonts w:ascii="Times New Roman" w:eastAsia="Calibri" w:hAnsi="Times New Roman" w:cs="Times New Roman"/>
          <w:i/>
          <w:iCs/>
          <w:color w:val="000000" w:themeColor="text1"/>
        </w:rPr>
        <w:t>Framework for Information</w:t>
      </w:r>
      <w:r w:rsidR="00095F44">
        <w:rPr>
          <w:rFonts w:ascii="Times New Roman" w:eastAsia="Calibri" w:hAnsi="Times New Roman" w:cs="Times New Roman"/>
          <w:i/>
          <w:iCs/>
          <w:color w:val="000000" w:themeColor="text1"/>
        </w:rPr>
        <w:t xml:space="preserve"> </w:t>
      </w:r>
      <w:r w:rsidRPr="005E7D0C">
        <w:rPr>
          <w:rFonts w:ascii="Times New Roman" w:eastAsia="Calibri" w:hAnsi="Times New Roman" w:cs="Times New Roman"/>
          <w:i/>
          <w:iCs/>
          <w:color w:val="000000" w:themeColor="text1"/>
        </w:rPr>
        <w:t>Literacy for Higher</w:t>
      </w:r>
      <w:r w:rsidR="00095F44">
        <w:rPr>
          <w:rFonts w:ascii="Times New Roman" w:eastAsia="Calibri" w:hAnsi="Times New Roman" w:cs="Times New Roman"/>
          <w:i/>
          <w:iCs/>
          <w:color w:val="000000" w:themeColor="text1"/>
        </w:rPr>
        <w:t xml:space="preserve"> </w:t>
      </w:r>
      <w:r w:rsidRPr="005E7D0C">
        <w:rPr>
          <w:rFonts w:ascii="Times New Roman" w:eastAsia="Calibri" w:hAnsi="Times New Roman" w:cs="Times New Roman"/>
          <w:i/>
          <w:iCs/>
          <w:color w:val="000000" w:themeColor="text1"/>
        </w:rPr>
        <w:t>Education</w:t>
      </w:r>
      <w:r w:rsidRPr="005E7D0C">
        <w:rPr>
          <w:rFonts w:ascii="Times New Roman" w:eastAsia="Calibri" w:hAnsi="Times New Roman" w:cs="Times New Roman"/>
          <w:color w:val="000000" w:themeColor="text1"/>
        </w:rPr>
        <w:t xml:space="preserve">. American Library Association. </w:t>
      </w:r>
      <w:hyperlink r:id="rId12">
        <w:r w:rsidRPr="005E7D0C">
          <w:rPr>
            <w:rStyle w:val="Hyperlink"/>
            <w:rFonts w:ascii="Times New Roman" w:eastAsia="Calibri" w:hAnsi="Times New Roman" w:cs="Times New Roman"/>
          </w:rPr>
          <w:t>https://www.ala.org/acrl/standards/ilframework</w:t>
        </w:r>
      </w:hyperlink>
    </w:p>
    <w:p w14:paraId="00E2080A" w14:textId="77777777" w:rsidR="009C523D" w:rsidRDefault="009C523D" w:rsidP="005E7D0C">
      <w:pPr>
        <w:spacing w:after="0" w:line="240" w:lineRule="auto"/>
        <w:rPr>
          <w:rFonts w:ascii="Times New Roman" w:eastAsia="Calibri" w:hAnsi="Times New Roman" w:cs="Times New Roman"/>
          <w:color w:val="000000" w:themeColor="text1"/>
        </w:rPr>
      </w:pPr>
    </w:p>
    <w:p w14:paraId="4545D9BA" w14:textId="439D56B3"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Bastone, Z., &amp; Clement, K. (2022). Serving everyone or serving no one? Examining the </w:t>
      </w:r>
      <w:proofErr w:type="gramStart"/>
      <w:r w:rsidRPr="005E7D0C">
        <w:rPr>
          <w:rFonts w:ascii="Times New Roman" w:eastAsia="Calibri" w:hAnsi="Times New Roman" w:cs="Times New Roman"/>
          <w:color w:val="000000" w:themeColor="text1"/>
        </w:rPr>
        <w:t>faux-equity</w:t>
      </w:r>
      <w:proofErr w:type="gramEnd"/>
      <w:r w:rsidRPr="005E7D0C">
        <w:rPr>
          <w:rFonts w:ascii="Times New Roman" w:eastAsia="Calibri" w:hAnsi="Times New Roman" w:cs="Times New Roman"/>
          <w:color w:val="000000" w:themeColor="text1"/>
        </w:rPr>
        <w:t xml:space="preserve"> of the</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one-shot. </w:t>
      </w:r>
      <w:r w:rsidRPr="005E7D0C">
        <w:rPr>
          <w:rFonts w:ascii="Times New Roman" w:eastAsia="Calibri" w:hAnsi="Times New Roman" w:cs="Times New Roman"/>
          <w:i/>
          <w:iCs/>
          <w:color w:val="000000" w:themeColor="text1"/>
        </w:rPr>
        <w:t>College &amp; Research Libraries</w:t>
      </w:r>
      <w:r w:rsidR="006D3DE3">
        <w:rPr>
          <w:rFonts w:ascii="Times New Roman" w:eastAsia="Calibri" w:hAnsi="Times New Roman" w:cs="Times New Roman"/>
          <w:color w:val="000000" w:themeColor="text1"/>
        </w:rPr>
        <w:t xml:space="preserve">, </w:t>
      </w:r>
      <w:r w:rsidR="006D3DE3" w:rsidRPr="00382DAB">
        <w:rPr>
          <w:rFonts w:ascii="Times New Roman" w:eastAsia="Calibri" w:hAnsi="Times New Roman" w:cs="Times New Roman"/>
          <w:i/>
          <w:iCs/>
          <w:color w:val="000000" w:themeColor="text1"/>
        </w:rPr>
        <w:t>83</w:t>
      </w:r>
      <w:r w:rsidR="006D3DE3">
        <w:rPr>
          <w:rFonts w:ascii="Times New Roman" w:eastAsia="Calibri" w:hAnsi="Times New Roman" w:cs="Times New Roman"/>
          <w:color w:val="000000" w:themeColor="text1"/>
        </w:rPr>
        <w:t>(5)</w:t>
      </w:r>
      <w:r w:rsidR="00187C2A">
        <w:rPr>
          <w:rFonts w:ascii="Times New Roman" w:eastAsia="Calibri" w:hAnsi="Times New Roman" w:cs="Times New Roman"/>
          <w:color w:val="000000" w:themeColor="text1"/>
        </w:rPr>
        <w:t>, 780–794.</w:t>
      </w:r>
      <w:r w:rsidRPr="005E7D0C">
        <w:rPr>
          <w:rFonts w:ascii="Times New Roman" w:eastAsia="Calibri" w:hAnsi="Times New Roman" w:cs="Times New Roman"/>
          <w:color w:val="000000" w:themeColor="text1"/>
        </w:rPr>
        <w:t xml:space="preserve"> </w:t>
      </w:r>
      <w:hyperlink r:id="rId13">
        <w:r w:rsidRPr="005E7D0C">
          <w:rPr>
            <w:rStyle w:val="Hyperlink"/>
            <w:rFonts w:ascii="Times New Roman" w:eastAsia="Calibri" w:hAnsi="Times New Roman" w:cs="Times New Roman"/>
          </w:rPr>
          <w:t>https://doi.org/https://doi.org/10.5860/crl.83.5.780</w:t>
        </w:r>
      </w:hyperlink>
    </w:p>
    <w:p w14:paraId="679894CC" w14:textId="77777777" w:rsidR="009C523D" w:rsidRDefault="009C523D" w:rsidP="005E7D0C">
      <w:pPr>
        <w:spacing w:after="0" w:line="240" w:lineRule="auto"/>
        <w:rPr>
          <w:rFonts w:ascii="Times New Roman" w:eastAsia="Calibri" w:hAnsi="Times New Roman" w:cs="Times New Roman"/>
        </w:rPr>
      </w:pPr>
    </w:p>
    <w:p w14:paraId="6429F3BE" w14:textId="28023A05" w:rsidR="00650CEF" w:rsidRPr="005E7D0C" w:rsidRDefault="1D4621AB" w:rsidP="009C523D">
      <w:pPr>
        <w:spacing w:after="0" w:line="240" w:lineRule="auto"/>
        <w:ind w:left="720" w:hanging="720"/>
        <w:rPr>
          <w:rFonts w:ascii="Times New Roman" w:eastAsia="Calibri" w:hAnsi="Times New Roman" w:cs="Times New Roman"/>
        </w:rPr>
      </w:pPr>
      <w:r w:rsidRPr="005E7D0C">
        <w:rPr>
          <w:rFonts w:ascii="Times New Roman" w:eastAsia="Calibri" w:hAnsi="Times New Roman" w:cs="Times New Roman"/>
        </w:rPr>
        <w:t xml:space="preserve">Bowen, J. A. (2012). </w:t>
      </w:r>
      <w:r w:rsidRPr="005E7D0C">
        <w:rPr>
          <w:rFonts w:ascii="Times New Roman" w:eastAsia="Calibri" w:hAnsi="Times New Roman" w:cs="Times New Roman"/>
          <w:i/>
          <w:iCs/>
        </w:rPr>
        <w:t>Teaching naked: How moving technology out of your college classroom will improve student learning</w:t>
      </w:r>
      <w:r w:rsidRPr="005E7D0C">
        <w:rPr>
          <w:rFonts w:ascii="Times New Roman" w:eastAsia="Calibri" w:hAnsi="Times New Roman" w:cs="Times New Roman"/>
        </w:rPr>
        <w:t>. Jossey-Bass.</w:t>
      </w:r>
      <w:r w:rsidR="00D12EE2">
        <w:rPr>
          <w:rFonts w:ascii="Times New Roman" w:eastAsia="Calibri" w:hAnsi="Times New Roman" w:cs="Times New Roman"/>
        </w:rPr>
        <w:t xml:space="preserve"> [no DOI assigned]</w:t>
      </w:r>
    </w:p>
    <w:p w14:paraId="02A94240" w14:textId="77777777" w:rsidR="009C523D" w:rsidRDefault="009C523D" w:rsidP="005E7D0C">
      <w:pPr>
        <w:spacing w:after="0" w:line="240" w:lineRule="auto"/>
        <w:rPr>
          <w:rFonts w:ascii="Times New Roman" w:eastAsia="Calibri" w:hAnsi="Times New Roman" w:cs="Times New Roman"/>
          <w:color w:val="000000" w:themeColor="text1"/>
        </w:rPr>
      </w:pPr>
    </w:p>
    <w:p w14:paraId="51122B98" w14:textId="789401BD"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Bowen, J. A., &amp; Watson, C. E. (2017). </w:t>
      </w:r>
      <w:r w:rsidRPr="005E7D0C">
        <w:rPr>
          <w:rFonts w:ascii="Times New Roman" w:eastAsia="Calibri" w:hAnsi="Times New Roman" w:cs="Times New Roman"/>
          <w:i/>
          <w:iCs/>
          <w:color w:val="000000" w:themeColor="text1"/>
        </w:rPr>
        <w:t xml:space="preserve">Teaching naked techniques: A practical guide to designing better </w:t>
      </w:r>
      <w:r w:rsidR="009C523D">
        <w:rPr>
          <w:rFonts w:ascii="Times New Roman" w:hAnsi="Times New Roman" w:cs="Times New Roman"/>
        </w:rPr>
        <w:t>c</w:t>
      </w:r>
      <w:r w:rsidRPr="005E7D0C">
        <w:rPr>
          <w:rFonts w:ascii="Times New Roman" w:eastAsia="Calibri" w:hAnsi="Times New Roman" w:cs="Times New Roman"/>
          <w:i/>
          <w:iCs/>
          <w:color w:val="000000" w:themeColor="text1"/>
        </w:rPr>
        <w:t>lasses</w:t>
      </w:r>
      <w:r w:rsidRPr="005E7D0C">
        <w:rPr>
          <w:rFonts w:ascii="Times New Roman" w:eastAsia="Calibri" w:hAnsi="Times New Roman" w:cs="Times New Roman"/>
          <w:color w:val="000000" w:themeColor="text1"/>
        </w:rPr>
        <w:t>. Jossey-Bass.</w:t>
      </w:r>
      <w:r w:rsidR="00347C7F">
        <w:rPr>
          <w:rFonts w:ascii="Times New Roman" w:eastAsia="Calibri" w:hAnsi="Times New Roman" w:cs="Times New Roman"/>
          <w:color w:val="000000" w:themeColor="text1"/>
        </w:rPr>
        <w:t xml:space="preserve"> </w:t>
      </w:r>
      <w:r w:rsidR="00347C7F">
        <w:rPr>
          <w:rFonts w:ascii="Times New Roman" w:eastAsia="Calibri" w:hAnsi="Times New Roman" w:cs="Times New Roman"/>
        </w:rPr>
        <w:t>[no DOI assigned]</w:t>
      </w:r>
    </w:p>
    <w:p w14:paraId="64D3AADA"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74DF03E2" w14:textId="092B7FD4" w:rsidR="00650CEF" w:rsidRDefault="1D4621AB" w:rsidP="009C523D">
      <w:pPr>
        <w:spacing w:after="0" w:line="240" w:lineRule="auto"/>
        <w:ind w:left="720" w:hanging="720"/>
        <w:rPr>
          <w:rFonts w:ascii="Times New Roman" w:eastAsia="Calibri" w:hAnsi="Times New Roman" w:cs="Times New Roman"/>
        </w:rPr>
      </w:pPr>
      <w:r w:rsidRPr="005E7D0C">
        <w:rPr>
          <w:rFonts w:ascii="Times New Roman" w:eastAsia="Calibri" w:hAnsi="Times New Roman" w:cs="Times New Roman"/>
          <w:color w:val="000000" w:themeColor="text1"/>
        </w:rPr>
        <w:t>Breland, M. (2022). What role do you play? Faculty perceptions of librarian-led information literacy</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instruction. </w:t>
      </w:r>
      <w:r w:rsidRPr="005E7D0C">
        <w:rPr>
          <w:rFonts w:ascii="Times New Roman" w:eastAsia="Calibri" w:hAnsi="Times New Roman" w:cs="Times New Roman"/>
          <w:i/>
          <w:iCs/>
          <w:color w:val="000000" w:themeColor="text1"/>
        </w:rPr>
        <w:t>Journal of New Librarianship</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7</w:t>
      </w:r>
      <w:r w:rsidRPr="005E7D0C">
        <w:rPr>
          <w:rFonts w:ascii="Times New Roman" w:eastAsia="Calibri" w:hAnsi="Times New Roman" w:cs="Times New Roman"/>
          <w:color w:val="000000" w:themeColor="text1"/>
        </w:rPr>
        <w:t>(1), 106–125.</w:t>
      </w:r>
      <w:r w:rsidR="009C523D">
        <w:rPr>
          <w:rFonts w:ascii="Times New Roman" w:eastAsia="Calibri" w:hAnsi="Times New Roman" w:cs="Times New Roman"/>
          <w:color w:val="000000" w:themeColor="text1"/>
        </w:rPr>
        <w:t xml:space="preserve"> </w:t>
      </w:r>
      <w:hyperlink r:id="rId14" w:history="1">
        <w:r w:rsidR="009C523D" w:rsidRPr="00B036EE">
          <w:rPr>
            <w:rStyle w:val="Hyperlink"/>
            <w:rFonts w:ascii="Times New Roman" w:eastAsia="Calibri" w:hAnsi="Times New Roman" w:cs="Times New Roman"/>
          </w:rPr>
          <w:t>https://doi.org/10.33011/newlibs/11/12</w:t>
        </w:r>
      </w:hyperlink>
    </w:p>
    <w:p w14:paraId="131A9815"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3AE55F8A" w14:textId="67E294E7"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Citron, M. J. (1993). </w:t>
      </w:r>
      <w:r w:rsidRPr="005E7D0C">
        <w:rPr>
          <w:rFonts w:ascii="Times New Roman" w:eastAsia="Calibri" w:hAnsi="Times New Roman" w:cs="Times New Roman"/>
          <w:i/>
          <w:iCs/>
          <w:color w:val="000000" w:themeColor="text1"/>
        </w:rPr>
        <w:t>Gender and the musical canon</w:t>
      </w:r>
      <w:r w:rsidRPr="005E7D0C">
        <w:rPr>
          <w:rFonts w:ascii="Times New Roman" w:eastAsia="Calibri" w:hAnsi="Times New Roman" w:cs="Times New Roman"/>
          <w:color w:val="000000" w:themeColor="text1"/>
        </w:rPr>
        <w:t>. Cambridge University Press.</w:t>
      </w:r>
      <w:r w:rsidR="001F04C2">
        <w:rPr>
          <w:rFonts w:ascii="Times New Roman" w:eastAsia="Calibri" w:hAnsi="Times New Roman" w:cs="Times New Roman"/>
          <w:color w:val="000000" w:themeColor="text1"/>
        </w:rPr>
        <w:t xml:space="preserve"> </w:t>
      </w:r>
      <w:r w:rsidR="001F04C2">
        <w:rPr>
          <w:rFonts w:ascii="Times New Roman" w:eastAsia="Calibri" w:hAnsi="Times New Roman" w:cs="Times New Roman"/>
        </w:rPr>
        <w:t>[no DOI assigned]</w:t>
      </w:r>
    </w:p>
    <w:p w14:paraId="2EB12A8F"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54AF04B8" w14:textId="011FD668"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lastRenderedPageBreak/>
        <w:t>Cook, D. B. (2022). Is the library one-shot effective? A meta-analytic study.</w:t>
      </w:r>
      <w:r w:rsidRPr="005E7D0C">
        <w:rPr>
          <w:rFonts w:ascii="Times New Roman" w:eastAsia="Calibri" w:hAnsi="Times New Roman" w:cs="Times New Roman"/>
          <w:i/>
          <w:iCs/>
          <w:color w:val="000000" w:themeColor="text1"/>
        </w:rPr>
        <w:t xml:space="preserve"> College &amp; Research Libraries</w:t>
      </w:r>
      <w:r w:rsidR="00E42CF5">
        <w:rPr>
          <w:rFonts w:ascii="Times New Roman" w:eastAsia="Calibri" w:hAnsi="Times New Roman" w:cs="Times New Roman"/>
          <w:color w:val="000000" w:themeColor="text1"/>
        </w:rPr>
        <w:t xml:space="preserve">, </w:t>
      </w:r>
      <w:r w:rsidR="00E42CF5" w:rsidRPr="00E42CF5">
        <w:rPr>
          <w:rFonts w:ascii="Times New Roman" w:eastAsia="Calibri" w:hAnsi="Times New Roman" w:cs="Times New Roman"/>
          <w:i/>
          <w:iCs/>
          <w:color w:val="000000" w:themeColor="text1"/>
        </w:rPr>
        <w:t>83</w:t>
      </w:r>
      <w:r w:rsidR="00E42CF5">
        <w:rPr>
          <w:rFonts w:ascii="Times New Roman" w:eastAsia="Calibri" w:hAnsi="Times New Roman" w:cs="Times New Roman"/>
          <w:color w:val="000000" w:themeColor="text1"/>
        </w:rPr>
        <w:t>(5),</w:t>
      </w:r>
      <w:r w:rsidR="00CC1278">
        <w:rPr>
          <w:rFonts w:ascii="Times New Roman" w:eastAsia="Calibri" w:hAnsi="Times New Roman" w:cs="Times New Roman"/>
          <w:color w:val="000000" w:themeColor="text1"/>
        </w:rPr>
        <w:t xml:space="preserve"> 739–750.</w:t>
      </w:r>
      <w:r w:rsidR="009C523D">
        <w:rPr>
          <w:rFonts w:ascii="Times New Roman" w:eastAsia="Calibri" w:hAnsi="Times New Roman" w:cs="Times New Roman"/>
          <w:color w:val="000000" w:themeColor="text1"/>
        </w:rPr>
        <w:t xml:space="preserve"> </w:t>
      </w:r>
      <w:hyperlink r:id="rId15" w:history="1">
        <w:r w:rsidR="009C523D" w:rsidRPr="00B036EE">
          <w:rPr>
            <w:rStyle w:val="Hyperlink"/>
            <w:rFonts w:ascii="Times New Roman" w:eastAsia="Calibri" w:hAnsi="Times New Roman" w:cs="Times New Roman"/>
          </w:rPr>
          <w:t>https://doi.org/https://doi.org/10.5860/crl.83.5.739</w:t>
        </w:r>
      </w:hyperlink>
    </w:p>
    <w:p w14:paraId="38A49760" w14:textId="77777777" w:rsidR="009C523D" w:rsidRDefault="009C523D" w:rsidP="009C523D">
      <w:pPr>
        <w:spacing w:after="0" w:line="240" w:lineRule="auto"/>
        <w:ind w:left="720" w:hanging="720"/>
        <w:rPr>
          <w:rFonts w:ascii="Times New Roman" w:eastAsia="Calibri" w:hAnsi="Times New Roman" w:cs="Times New Roman"/>
        </w:rPr>
      </w:pPr>
    </w:p>
    <w:p w14:paraId="5BAF53D1" w14:textId="021A2841" w:rsidR="00650CEF" w:rsidRPr="005E7D0C" w:rsidRDefault="1D4621AB" w:rsidP="009C523D">
      <w:pPr>
        <w:spacing w:after="0" w:line="240" w:lineRule="auto"/>
        <w:ind w:left="720" w:hanging="720"/>
        <w:rPr>
          <w:rFonts w:ascii="Times New Roman" w:eastAsia="Calibri" w:hAnsi="Times New Roman" w:cs="Times New Roman"/>
        </w:rPr>
      </w:pPr>
      <w:r w:rsidRPr="005E7D0C">
        <w:rPr>
          <w:rFonts w:ascii="Times New Roman" w:eastAsia="Calibri" w:hAnsi="Times New Roman" w:cs="Times New Roman"/>
        </w:rPr>
        <w:t xml:space="preserve">Dahlen, S. P. C., &amp; Leuzinger, R. (2020). Impact of library instruction on the development of student skills </w:t>
      </w:r>
      <w:r w:rsidR="00000000" w:rsidRPr="005E7D0C">
        <w:rPr>
          <w:rFonts w:ascii="Times New Roman" w:hAnsi="Times New Roman" w:cs="Times New Roman"/>
        </w:rPr>
        <w:tab/>
      </w:r>
      <w:r w:rsidRPr="005E7D0C">
        <w:rPr>
          <w:rFonts w:ascii="Times New Roman" w:eastAsia="Calibri" w:hAnsi="Times New Roman" w:cs="Times New Roman"/>
        </w:rPr>
        <w:t xml:space="preserve">in synthesis and source attribution: A model for academic program assessment. </w:t>
      </w:r>
      <w:r w:rsidRPr="005E7D0C">
        <w:rPr>
          <w:rFonts w:ascii="Times New Roman" w:eastAsia="Calibri" w:hAnsi="Times New Roman" w:cs="Times New Roman"/>
          <w:i/>
          <w:iCs/>
        </w:rPr>
        <w:t>The Journal of Academic Librarianship</w:t>
      </w:r>
      <w:r w:rsidRPr="005E7D0C">
        <w:rPr>
          <w:rFonts w:ascii="Times New Roman" w:eastAsia="Calibri" w:hAnsi="Times New Roman" w:cs="Times New Roman"/>
        </w:rPr>
        <w:t xml:space="preserve">, </w:t>
      </w:r>
      <w:r w:rsidRPr="005E7D0C">
        <w:rPr>
          <w:rFonts w:ascii="Times New Roman" w:eastAsia="Calibri" w:hAnsi="Times New Roman" w:cs="Times New Roman"/>
          <w:i/>
          <w:iCs/>
        </w:rPr>
        <w:t>46</w:t>
      </w:r>
      <w:r w:rsidRPr="005E7D0C">
        <w:rPr>
          <w:rFonts w:ascii="Times New Roman" w:eastAsia="Calibri" w:hAnsi="Times New Roman" w:cs="Times New Roman"/>
        </w:rPr>
        <w:t xml:space="preserve">(6), 102254. </w:t>
      </w:r>
      <w:hyperlink r:id="rId16">
        <w:r w:rsidRPr="005E7D0C">
          <w:rPr>
            <w:rStyle w:val="Hyperlink"/>
            <w:rFonts w:ascii="Times New Roman" w:eastAsia="Calibri" w:hAnsi="Times New Roman" w:cs="Times New Roman"/>
          </w:rPr>
          <w:t>https://doi.org/10.1016/j.acalib.2020.102254</w:t>
        </w:r>
      </w:hyperlink>
    </w:p>
    <w:p w14:paraId="626D9A6A"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0AD84FB1" w14:textId="53DF15BA"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Dann, B. J., Drabble, A., &amp; Martin, J. (2022). Reading between the lines: An examination of first-year </w:t>
      </w:r>
      <w:r w:rsidR="000F5F1B">
        <w:rPr>
          <w:rFonts w:ascii="Times New Roman" w:eastAsia="Calibri" w:hAnsi="Times New Roman" w:cs="Times New Roman"/>
          <w:color w:val="000000" w:themeColor="text1"/>
        </w:rPr>
        <w:t>u</w:t>
      </w:r>
      <w:r w:rsidRPr="005E7D0C">
        <w:rPr>
          <w:rFonts w:ascii="Times New Roman" w:eastAsia="Calibri" w:hAnsi="Times New Roman" w:cs="Times New Roman"/>
          <w:color w:val="000000" w:themeColor="text1"/>
        </w:rPr>
        <w:t xml:space="preserve">niversity students’ perceptions of and confidence with information literacy. </w:t>
      </w:r>
      <w:r w:rsidRPr="005E7D0C">
        <w:rPr>
          <w:rFonts w:ascii="Times New Roman" w:eastAsia="Calibri" w:hAnsi="Times New Roman" w:cs="Times New Roman"/>
          <w:i/>
          <w:iCs/>
          <w:color w:val="000000" w:themeColor="text1"/>
        </w:rPr>
        <w:t>Journal of</w:t>
      </w:r>
      <w:r w:rsidR="009C523D">
        <w:rPr>
          <w:rFonts w:ascii="Times New Roman" w:eastAsia="Calibri" w:hAnsi="Times New Roman" w:cs="Times New Roman"/>
          <w:i/>
          <w:iCs/>
          <w:color w:val="000000" w:themeColor="text1"/>
        </w:rPr>
        <w:t xml:space="preserve"> </w:t>
      </w:r>
      <w:r w:rsidRPr="005E7D0C">
        <w:rPr>
          <w:rFonts w:ascii="Times New Roman" w:eastAsia="Calibri" w:hAnsi="Times New Roman" w:cs="Times New Roman"/>
          <w:i/>
          <w:iCs/>
          <w:color w:val="000000" w:themeColor="text1"/>
        </w:rPr>
        <w:t>Information Literacy</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16</w:t>
      </w:r>
      <w:r w:rsidRPr="005E7D0C">
        <w:rPr>
          <w:rFonts w:ascii="Times New Roman" w:eastAsia="Calibri" w:hAnsi="Times New Roman" w:cs="Times New Roman"/>
          <w:color w:val="000000" w:themeColor="text1"/>
        </w:rPr>
        <w:t>(1), 50</w:t>
      </w:r>
      <w:r w:rsidR="00F822B9">
        <w:rPr>
          <w:rFonts w:ascii="Times New Roman" w:eastAsia="Calibri" w:hAnsi="Times New Roman" w:cs="Times New Roman"/>
          <w:color w:val="000000" w:themeColor="text1"/>
        </w:rPr>
        <w:t>–69</w:t>
      </w:r>
      <w:r w:rsidRPr="005E7D0C">
        <w:rPr>
          <w:rFonts w:ascii="Times New Roman" w:eastAsia="Calibri" w:hAnsi="Times New Roman" w:cs="Times New Roman"/>
          <w:color w:val="000000" w:themeColor="text1"/>
        </w:rPr>
        <w:t xml:space="preserve">. </w:t>
      </w:r>
      <w:hyperlink r:id="rId17">
        <w:r w:rsidRPr="005E7D0C">
          <w:rPr>
            <w:rStyle w:val="Hyperlink"/>
            <w:rFonts w:ascii="Times New Roman" w:eastAsia="Calibri" w:hAnsi="Times New Roman" w:cs="Times New Roman"/>
          </w:rPr>
          <w:t>https://doi.org/10.11645/16.1.3106</w:t>
        </w:r>
      </w:hyperlink>
    </w:p>
    <w:p w14:paraId="5A466D5C"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0C1B42BD" w14:textId="26ED182D"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Douglas, V. A., &amp; Gadsby, J. (2022). The power of presence: One-shots, relational teaching, and</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instruction librarianship.</w:t>
      </w:r>
      <w:r w:rsidRPr="005E7D0C">
        <w:rPr>
          <w:rFonts w:ascii="Times New Roman" w:eastAsia="Calibri" w:hAnsi="Times New Roman" w:cs="Times New Roman"/>
          <w:i/>
          <w:iCs/>
          <w:color w:val="000000" w:themeColor="text1"/>
        </w:rPr>
        <w:t xml:space="preserve"> College &amp; Research Libraries</w:t>
      </w:r>
      <w:r w:rsidR="00983936">
        <w:rPr>
          <w:rFonts w:ascii="Times New Roman" w:eastAsia="Calibri" w:hAnsi="Times New Roman" w:cs="Times New Roman"/>
          <w:color w:val="000000" w:themeColor="text1"/>
        </w:rPr>
        <w:t xml:space="preserve">, </w:t>
      </w:r>
      <w:r w:rsidR="00983936" w:rsidRPr="00983936">
        <w:rPr>
          <w:rFonts w:ascii="Times New Roman" w:eastAsia="Calibri" w:hAnsi="Times New Roman" w:cs="Times New Roman"/>
          <w:i/>
          <w:iCs/>
          <w:color w:val="000000" w:themeColor="text1"/>
        </w:rPr>
        <w:t>83</w:t>
      </w:r>
      <w:r w:rsidR="00983936">
        <w:rPr>
          <w:rFonts w:ascii="Times New Roman" w:eastAsia="Calibri" w:hAnsi="Times New Roman" w:cs="Times New Roman"/>
          <w:color w:val="000000" w:themeColor="text1"/>
        </w:rPr>
        <w:t>(5),</w:t>
      </w:r>
      <w:r w:rsidR="00BE07E1">
        <w:rPr>
          <w:rFonts w:ascii="Times New Roman" w:eastAsia="Calibri" w:hAnsi="Times New Roman" w:cs="Times New Roman"/>
          <w:color w:val="000000" w:themeColor="text1"/>
        </w:rPr>
        <w:t xml:space="preserve"> 807–818.</w:t>
      </w:r>
      <w:r w:rsidR="009C523D">
        <w:rPr>
          <w:rFonts w:ascii="Times New Roman" w:hAnsi="Times New Roman" w:cs="Times New Roman"/>
        </w:rPr>
        <w:t xml:space="preserve"> </w:t>
      </w:r>
      <w:hyperlink r:id="rId18" w:history="1">
        <w:hyperlink r:id="rId19" w:history="1">
          <w:r w:rsidR="009C523D" w:rsidRPr="009C523D">
            <w:rPr>
              <w:rStyle w:val="Hyperlink"/>
              <w:rFonts w:ascii="Times New Roman" w:eastAsia="Calibri" w:hAnsi="Times New Roman" w:cs="Times New Roman"/>
            </w:rPr>
            <w:t>https://doi.org/https://doi.org/10.5860</w:t>
          </w:r>
        </w:hyperlink>
        <w:r w:rsidRPr="009C523D">
          <w:rPr>
            <w:rStyle w:val="Hyperlink"/>
            <w:rFonts w:ascii="Times New Roman" w:eastAsia="Calibri" w:hAnsi="Times New Roman" w:cs="Times New Roman"/>
          </w:rPr>
          <w:t>/crl.83.5.807</w:t>
        </w:r>
      </w:hyperlink>
    </w:p>
    <w:p w14:paraId="3BC67B21" w14:textId="77777777" w:rsidR="009C523D" w:rsidRDefault="009C523D" w:rsidP="00472A96">
      <w:pPr>
        <w:spacing w:after="0" w:line="240" w:lineRule="auto"/>
        <w:rPr>
          <w:rFonts w:ascii="Times New Roman" w:eastAsia="Calibri" w:hAnsi="Times New Roman" w:cs="Times New Roman"/>
          <w:color w:val="000000" w:themeColor="text1"/>
        </w:rPr>
      </w:pPr>
    </w:p>
    <w:p w14:paraId="608F2A7F" w14:textId="28BDF4BD" w:rsidR="00650CEF" w:rsidRPr="005E7D0C" w:rsidRDefault="1D4621AB" w:rsidP="00B6489F">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Franklin, K. Y. (2013). </w:t>
      </w:r>
      <w:r w:rsidRPr="005E7D0C">
        <w:rPr>
          <w:rFonts w:ascii="Times New Roman" w:eastAsia="Calibri" w:hAnsi="Times New Roman" w:cs="Times New Roman"/>
          <w:i/>
          <w:iCs/>
          <w:color w:val="000000" w:themeColor="text1"/>
        </w:rPr>
        <w:t>Faculty/Librarian interprofessional collaboration and information literacy in higher</w:t>
      </w:r>
      <w:r w:rsidR="009C523D">
        <w:rPr>
          <w:rFonts w:ascii="Times New Roman" w:eastAsia="Calibri" w:hAnsi="Times New Roman" w:cs="Times New Roman"/>
          <w:i/>
          <w:iCs/>
          <w:color w:val="000000" w:themeColor="text1"/>
        </w:rPr>
        <w:t xml:space="preserve"> </w:t>
      </w:r>
      <w:r w:rsidRPr="005E7D0C">
        <w:rPr>
          <w:rFonts w:ascii="Times New Roman" w:eastAsia="Calibri" w:hAnsi="Times New Roman" w:cs="Times New Roman"/>
          <w:i/>
          <w:iCs/>
          <w:color w:val="000000" w:themeColor="text1"/>
        </w:rPr>
        <w:t>education.</w:t>
      </w:r>
      <w:r w:rsidRPr="005E7D0C">
        <w:rPr>
          <w:rFonts w:ascii="Times New Roman" w:eastAsia="Calibri" w:hAnsi="Times New Roman" w:cs="Times New Roman"/>
          <w:color w:val="000000" w:themeColor="text1"/>
        </w:rPr>
        <w:t xml:space="preserve"> [Doctoral Dissertation, Claremont Graduate University]. </w:t>
      </w:r>
      <w:proofErr w:type="spellStart"/>
      <w:r w:rsidRPr="005E7D0C">
        <w:rPr>
          <w:rFonts w:ascii="Times New Roman" w:eastAsia="Calibri" w:hAnsi="Times New Roman" w:cs="Times New Roman"/>
          <w:color w:val="000000" w:themeColor="text1"/>
        </w:rPr>
        <w:t>Proquest</w:t>
      </w:r>
      <w:proofErr w:type="spellEnd"/>
      <w:r w:rsidRPr="005E7D0C">
        <w:rPr>
          <w:rFonts w:ascii="Times New Roman" w:eastAsia="Calibri" w:hAnsi="Times New Roman" w:cs="Times New Roman"/>
          <w:color w:val="000000" w:themeColor="text1"/>
        </w:rPr>
        <w:t xml:space="preserve"> Dissertations</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Publishing. </w:t>
      </w:r>
      <w:r w:rsidR="00B6489F">
        <w:rPr>
          <w:rFonts w:ascii="Times New Roman" w:eastAsia="Calibri" w:hAnsi="Times New Roman" w:cs="Times New Roman"/>
        </w:rPr>
        <w:t>[no DOI assigned]</w:t>
      </w:r>
    </w:p>
    <w:p w14:paraId="65767973"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44C62EE0" w14:textId="6C7BEE06"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Freire, P. (2014). </w:t>
      </w:r>
      <w:r w:rsidRPr="005E7D0C">
        <w:rPr>
          <w:rFonts w:ascii="Times New Roman" w:eastAsia="Calibri" w:hAnsi="Times New Roman" w:cs="Times New Roman"/>
          <w:i/>
          <w:iCs/>
          <w:color w:val="000000" w:themeColor="text1"/>
        </w:rPr>
        <w:t>Pedagogy of the oppressed</w:t>
      </w:r>
      <w:r w:rsidRPr="005E7D0C">
        <w:rPr>
          <w:rFonts w:ascii="Times New Roman" w:eastAsia="Calibri" w:hAnsi="Times New Roman" w:cs="Times New Roman"/>
          <w:color w:val="000000" w:themeColor="text1"/>
        </w:rPr>
        <w:t>. Bloomsbury.</w:t>
      </w:r>
      <w:r w:rsidR="006C5AE6">
        <w:rPr>
          <w:rFonts w:ascii="Times New Roman" w:eastAsia="Calibri" w:hAnsi="Times New Roman" w:cs="Times New Roman"/>
          <w:color w:val="000000" w:themeColor="text1"/>
        </w:rPr>
        <w:t xml:space="preserve"> </w:t>
      </w:r>
      <w:r w:rsidR="006C5AE6">
        <w:rPr>
          <w:rFonts w:ascii="Times New Roman" w:eastAsia="Calibri" w:hAnsi="Times New Roman" w:cs="Times New Roman"/>
        </w:rPr>
        <w:t>[no DOI assigned]</w:t>
      </w:r>
    </w:p>
    <w:p w14:paraId="50590432" w14:textId="77777777" w:rsidR="009C523D" w:rsidRDefault="009C523D" w:rsidP="009C523D">
      <w:pPr>
        <w:spacing w:after="0" w:line="240" w:lineRule="auto"/>
        <w:ind w:left="720" w:hanging="720"/>
        <w:rPr>
          <w:rFonts w:ascii="Times New Roman" w:eastAsia="Calibri" w:hAnsi="Times New Roman" w:cs="Times New Roman"/>
          <w:color w:val="000000" w:themeColor="text1"/>
        </w:rPr>
      </w:pPr>
    </w:p>
    <w:p w14:paraId="12AF3A5D" w14:textId="681A3465" w:rsidR="00650CEF" w:rsidRPr="005E7D0C" w:rsidRDefault="1D4621AB" w:rsidP="009C523D">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Garrett, C. H., Oja, C. J., Lewis, G. E., Magee, G. S., Madrid, A. L., Tucker, S., &amp; Fink, R. (2011). Studying</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U.S. music in the twenty-first century. </w:t>
      </w:r>
      <w:r w:rsidRPr="005E7D0C">
        <w:rPr>
          <w:rFonts w:ascii="Times New Roman" w:eastAsia="Calibri" w:hAnsi="Times New Roman" w:cs="Times New Roman"/>
          <w:i/>
          <w:iCs/>
          <w:color w:val="000000" w:themeColor="text1"/>
        </w:rPr>
        <w:t>Journal of the American Musicological Society</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64</w:t>
      </w:r>
      <w:r w:rsidRPr="005E7D0C">
        <w:rPr>
          <w:rFonts w:ascii="Times New Roman" w:eastAsia="Calibri" w:hAnsi="Times New Roman" w:cs="Times New Roman"/>
          <w:color w:val="000000" w:themeColor="text1"/>
        </w:rPr>
        <w:t>(3),</w:t>
      </w:r>
      <w:r w:rsidR="009C523D">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689–719. </w:t>
      </w:r>
      <w:hyperlink r:id="rId20">
        <w:r w:rsidRPr="005E7D0C">
          <w:rPr>
            <w:rStyle w:val="Hyperlink"/>
            <w:rFonts w:ascii="Times New Roman" w:eastAsia="Calibri" w:hAnsi="Times New Roman" w:cs="Times New Roman"/>
          </w:rPr>
          <w:t>https://doi.org/10.1525/jams.2011.64.3.689</w:t>
        </w:r>
      </w:hyperlink>
    </w:p>
    <w:p w14:paraId="3E137B9D" w14:textId="77777777" w:rsidR="00953D1F" w:rsidRDefault="00953D1F" w:rsidP="00A51C33">
      <w:pPr>
        <w:spacing w:after="0" w:line="240" w:lineRule="auto"/>
        <w:rPr>
          <w:rFonts w:ascii="Times New Roman" w:eastAsia="Calibri" w:hAnsi="Times New Roman" w:cs="Times New Roman"/>
          <w:color w:val="000000" w:themeColor="text1"/>
        </w:rPr>
      </w:pPr>
    </w:p>
    <w:p w14:paraId="5DD5BA36" w14:textId="11ECA21A" w:rsidR="00650CEF" w:rsidRPr="005E7D0C" w:rsidRDefault="1D4621AB" w:rsidP="00953D1F">
      <w:pPr>
        <w:spacing w:after="0" w:line="240" w:lineRule="auto"/>
        <w:ind w:left="720" w:hanging="720"/>
        <w:rPr>
          <w:rFonts w:ascii="Times New Roman" w:eastAsia="Calibri" w:hAnsi="Times New Roman" w:cs="Times New Roman"/>
          <w:color w:val="0563C1"/>
        </w:rPr>
      </w:pPr>
      <w:r w:rsidRPr="005E7D0C">
        <w:rPr>
          <w:rFonts w:ascii="Times New Roman" w:eastAsia="Calibri" w:hAnsi="Times New Roman" w:cs="Times New Roman"/>
          <w:color w:val="000000" w:themeColor="text1"/>
        </w:rPr>
        <w:t xml:space="preserve">Haefeli, S. (2016). From answers to questions: Fostering student creativity and engagement in research and writing. </w:t>
      </w:r>
      <w:r w:rsidRPr="005E7D0C">
        <w:rPr>
          <w:rFonts w:ascii="Times New Roman" w:eastAsia="Calibri" w:hAnsi="Times New Roman" w:cs="Times New Roman"/>
          <w:i/>
          <w:iCs/>
          <w:color w:val="000000" w:themeColor="text1"/>
        </w:rPr>
        <w:t>Journal of Music History Pedagogy</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7</w:t>
      </w:r>
      <w:r w:rsidRPr="005E7D0C">
        <w:rPr>
          <w:rFonts w:ascii="Times New Roman" w:eastAsia="Calibri" w:hAnsi="Times New Roman" w:cs="Times New Roman"/>
          <w:color w:val="000000" w:themeColor="text1"/>
        </w:rPr>
        <w:t xml:space="preserve">(6), 1–17. </w:t>
      </w:r>
      <w:hyperlink r:id="rId21" w:history="1">
        <w:hyperlink r:id="rId22">
          <w:r w:rsidRPr="009C523D">
            <w:rPr>
              <w:rStyle w:val="Hyperlink"/>
              <w:rFonts w:ascii="Times New Roman" w:eastAsia="Calibri" w:hAnsi="Times New Roman" w:cs="Times New Roman"/>
            </w:rPr>
            <w:t>http://www.ams-net.org</w:t>
          </w:r>
        </w:hyperlink>
        <w:r w:rsidRPr="009C523D">
          <w:rPr>
            <w:rStyle w:val="Hyperlink"/>
            <w:rFonts w:ascii="Times New Roman" w:eastAsia="Calibri" w:hAnsi="Times New Roman" w:cs="Times New Roman"/>
          </w:rPr>
          <w:t>/</w:t>
        </w:r>
        <w:proofErr w:type="spellStart"/>
        <w:r w:rsidRPr="009C523D">
          <w:rPr>
            <w:rStyle w:val="Hyperlink"/>
            <w:rFonts w:ascii="Times New Roman" w:eastAsia="Calibri" w:hAnsi="Times New Roman" w:cs="Times New Roman"/>
          </w:rPr>
          <w:t>ojs</w:t>
        </w:r>
        <w:proofErr w:type="spellEnd"/>
        <w:r w:rsidRPr="009C523D">
          <w:rPr>
            <w:rStyle w:val="Hyperlink"/>
            <w:rFonts w:ascii="Times New Roman" w:eastAsia="Calibri" w:hAnsi="Times New Roman" w:cs="Times New Roman"/>
          </w:rPr>
          <w:t>/</w:t>
        </w:r>
        <w:proofErr w:type="spellStart"/>
        <w:r w:rsidRPr="009C523D">
          <w:rPr>
            <w:rStyle w:val="Hyperlink"/>
            <w:rFonts w:ascii="Times New Roman" w:eastAsia="Calibri" w:hAnsi="Times New Roman" w:cs="Times New Roman"/>
          </w:rPr>
          <w:t>index.php</w:t>
        </w:r>
        <w:proofErr w:type="spellEnd"/>
        <w:r w:rsidRPr="009C523D">
          <w:rPr>
            <w:rStyle w:val="Hyperlink"/>
            <w:rFonts w:ascii="Times New Roman" w:eastAsia="Calibri" w:hAnsi="Times New Roman" w:cs="Times New Roman"/>
          </w:rPr>
          <w:t>/</w:t>
        </w:r>
        <w:proofErr w:type="spellStart"/>
        <w:r w:rsidRPr="009C523D">
          <w:rPr>
            <w:rStyle w:val="Hyperlink"/>
            <w:rFonts w:ascii="Times New Roman" w:eastAsia="Calibri" w:hAnsi="Times New Roman" w:cs="Times New Roman"/>
          </w:rPr>
          <w:t>jmhp</w:t>
        </w:r>
        <w:proofErr w:type="spellEnd"/>
        <w:r w:rsidRPr="009C523D">
          <w:rPr>
            <w:rStyle w:val="Hyperlink"/>
            <w:rFonts w:ascii="Times New Roman" w:eastAsia="Calibri" w:hAnsi="Times New Roman" w:cs="Times New Roman"/>
          </w:rPr>
          <w:t>/article/view/192</w:t>
        </w:r>
      </w:hyperlink>
    </w:p>
    <w:p w14:paraId="263D3647" w14:textId="77777777" w:rsidR="00953D1F" w:rsidRDefault="00953D1F" w:rsidP="008A1418">
      <w:pPr>
        <w:spacing w:after="0" w:line="240" w:lineRule="auto"/>
        <w:rPr>
          <w:rFonts w:ascii="Times New Roman" w:eastAsia="Calibri" w:hAnsi="Times New Roman" w:cs="Times New Roman"/>
        </w:rPr>
      </w:pPr>
    </w:p>
    <w:p w14:paraId="5A3B72CC" w14:textId="4CC32906" w:rsidR="00953D1F" w:rsidRPr="00953D1F" w:rsidRDefault="00953D1F" w:rsidP="00953D1F">
      <w:pPr>
        <w:spacing w:after="0" w:line="240" w:lineRule="auto"/>
        <w:ind w:left="720" w:hanging="720"/>
        <w:rPr>
          <w:rFonts w:ascii="Times New Roman" w:eastAsia="Calibri" w:hAnsi="Times New Roman" w:cs="Times New Roman"/>
          <w:color w:val="0563C1"/>
        </w:rPr>
      </w:pPr>
      <w:proofErr w:type="spellStart"/>
      <w:r>
        <w:rPr>
          <w:rFonts w:ascii="Times New Roman" w:eastAsia="Calibri" w:hAnsi="Times New Roman" w:cs="Times New Roman"/>
        </w:rPr>
        <w:t>jessifer</w:t>
      </w:r>
      <w:proofErr w:type="spellEnd"/>
      <w:r w:rsidR="00C53FE8">
        <w:rPr>
          <w:rFonts w:ascii="Times New Roman" w:eastAsia="Calibri" w:hAnsi="Times New Roman" w:cs="Times New Roman"/>
        </w:rPr>
        <w:t>,</w:t>
      </w:r>
      <w:r>
        <w:rPr>
          <w:rFonts w:ascii="Times New Roman" w:eastAsia="Calibri" w:hAnsi="Times New Roman" w:cs="Times New Roman"/>
        </w:rPr>
        <w:t xml:space="preserve"> Friend, C., &amp; Morris, S. M. (2020). </w:t>
      </w:r>
      <w:proofErr w:type="spellStart"/>
      <w:r w:rsidRPr="00953D1F">
        <w:rPr>
          <w:rFonts w:ascii="Times New Roman" w:eastAsia="Calibri" w:hAnsi="Times New Roman" w:cs="Times New Roman"/>
          <w:i/>
          <w:iCs/>
          <w:lang w:val="pt-BR"/>
        </w:rPr>
        <w:t>Critical</w:t>
      </w:r>
      <w:proofErr w:type="spellEnd"/>
      <w:r w:rsidRPr="00953D1F">
        <w:rPr>
          <w:rFonts w:ascii="Times New Roman" w:eastAsia="Calibri" w:hAnsi="Times New Roman" w:cs="Times New Roman"/>
          <w:i/>
          <w:iCs/>
          <w:lang w:val="pt-BR"/>
        </w:rPr>
        <w:t xml:space="preserve"> Digital </w:t>
      </w:r>
      <w:proofErr w:type="spellStart"/>
      <w:r w:rsidRPr="00953D1F">
        <w:rPr>
          <w:rFonts w:ascii="Times New Roman" w:eastAsia="Calibri" w:hAnsi="Times New Roman" w:cs="Times New Roman"/>
          <w:i/>
          <w:iCs/>
          <w:lang w:val="pt-BR"/>
        </w:rPr>
        <w:t>Pedagogy</w:t>
      </w:r>
      <w:proofErr w:type="spellEnd"/>
      <w:r w:rsidRPr="00953D1F">
        <w:rPr>
          <w:rFonts w:ascii="Times New Roman" w:eastAsia="Calibri" w:hAnsi="Times New Roman" w:cs="Times New Roman"/>
          <w:lang w:val="pt-BR"/>
        </w:rPr>
        <w:t xml:space="preserve">. </w:t>
      </w:r>
      <w:proofErr w:type="spellStart"/>
      <w:r w:rsidRPr="00953D1F">
        <w:rPr>
          <w:rFonts w:ascii="Times New Roman" w:eastAsia="Calibri" w:hAnsi="Times New Roman" w:cs="Times New Roman"/>
          <w:lang w:val="pt-BR"/>
        </w:rPr>
        <w:t>Hybrid</w:t>
      </w:r>
      <w:proofErr w:type="spellEnd"/>
      <w:r w:rsidRPr="00953D1F">
        <w:rPr>
          <w:rFonts w:ascii="Times New Roman" w:eastAsia="Calibri" w:hAnsi="Times New Roman" w:cs="Times New Roman"/>
          <w:lang w:val="pt-BR"/>
        </w:rPr>
        <w:t xml:space="preserve"> </w:t>
      </w:r>
      <w:proofErr w:type="spellStart"/>
      <w:r w:rsidRPr="00953D1F">
        <w:rPr>
          <w:rFonts w:ascii="Times New Roman" w:eastAsia="Calibri" w:hAnsi="Times New Roman" w:cs="Times New Roman"/>
          <w:lang w:val="pt-BR"/>
        </w:rPr>
        <w:t>Pedag</w:t>
      </w:r>
      <w:r>
        <w:rPr>
          <w:rFonts w:ascii="Times New Roman" w:eastAsia="Calibri" w:hAnsi="Times New Roman" w:cs="Times New Roman"/>
          <w:lang w:val="pt-BR"/>
        </w:rPr>
        <w:t>ogy</w:t>
      </w:r>
      <w:proofErr w:type="spellEnd"/>
      <w:r>
        <w:rPr>
          <w:rFonts w:ascii="Times New Roman" w:eastAsia="Calibri" w:hAnsi="Times New Roman" w:cs="Times New Roman"/>
          <w:lang w:val="pt-BR"/>
        </w:rPr>
        <w:t xml:space="preserve"> Inc. </w:t>
      </w:r>
      <w:hyperlink r:id="rId23" w:history="1">
        <w:r w:rsidRPr="00953D1F">
          <w:rPr>
            <w:rStyle w:val="Hyperlink"/>
            <w:rFonts w:ascii="Times New Roman" w:eastAsia="Calibri" w:hAnsi="Times New Roman" w:cs="Times New Roman"/>
          </w:rPr>
          <w:t>https://pressbooks.pub/cdpcollection/</w:t>
        </w:r>
      </w:hyperlink>
    </w:p>
    <w:p w14:paraId="55E2E491" w14:textId="77777777" w:rsidR="00953D1F" w:rsidRDefault="00953D1F" w:rsidP="00953D1F">
      <w:pPr>
        <w:spacing w:after="0" w:line="240" w:lineRule="auto"/>
        <w:rPr>
          <w:rFonts w:ascii="Times New Roman" w:eastAsia="Calibri" w:hAnsi="Times New Roman" w:cs="Times New Roman"/>
          <w:color w:val="000000" w:themeColor="text1"/>
        </w:rPr>
      </w:pPr>
    </w:p>
    <w:p w14:paraId="11997720" w14:textId="0A3DEC1E" w:rsidR="00650CEF" w:rsidRPr="005E7D0C" w:rsidRDefault="1D4621AB" w:rsidP="00953D1F">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Julien, H., &amp; Given, L. M. (2002). Faculty-Librarian relationships in the information literacy context: A </w:t>
      </w:r>
      <w:r w:rsidR="00D15383">
        <w:rPr>
          <w:rFonts w:ascii="Times New Roman" w:eastAsia="Calibri" w:hAnsi="Times New Roman" w:cs="Times New Roman"/>
          <w:color w:val="000000" w:themeColor="text1"/>
        </w:rPr>
        <w:t>c</w:t>
      </w:r>
      <w:r w:rsidRPr="005E7D0C">
        <w:rPr>
          <w:rFonts w:ascii="Times New Roman" w:eastAsia="Calibri" w:hAnsi="Times New Roman" w:cs="Times New Roman"/>
          <w:color w:val="000000" w:themeColor="text1"/>
        </w:rPr>
        <w:t xml:space="preserve">ontent analysis of librarians’ expressed attitudes and experiences. </w:t>
      </w:r>
      <w:r w:rsidRPr="005E7D0C">
        <w:rPr>
          <w:rFonts w:ascii="Times New Roman" w:eastAsia="Calibri" w:hAnsi="Times New Roman" w:cs="Times New Roman"/>
          <w:i/>
          <w:iCs/>
          <w:color w:val="000000" w:themeColor="text1"/>
        </w:rPr>
        <w:t>Canadian Journal of Information &amp; Library Sciences</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27</w:t>
      </w:r>
      <w:r w:rsidRPr="005E7D0C">
        <w:rPr>
          <w:rFonts w:ascii="Times New Roman" w:eastAsia="Calibri" w:hAnsi="Times New Roman" w:cs="Times New Roman"/>
          <w:color w:val="000000" w:themeColor="text1"/>
        </w:rPr>
        <w:t xml:space="preserve">(3), 65–87. </w:t>
      </w:r>
      <w:r w:rsidR="00035503">
        <w:rPr>
          <w:rFonts w:ascii="Times New Roman" w:eastAsia="Calibri" w:hAnsi="Times New Roman" w:cs="Times New Roman"/>
        </w:rPr>
        <w:t>[no DOI assigned]</w:t>
      </w:r>
    </w:p>
    <w:p w14:paraId="30B1F45C" w14:textId="77777777" w:rsidR="00953D1F" w:rsidRDefault="00953D1F" w:rsidP="00953D1F">
      <w:pPr>
        <w:spacing w:after="0" w:line="240" w:lineRule="auto"/>
        <w:ind w:left="720" w:hanging="720"/>
        <w:rPr>
          <w:rFonts w:ascii="Times New Roman" w:eastAsia="Calibri" w:hAnsi="Times New Roman" w:cs="Times New Roman"/>
          <w:color w:val="000000" w:themeColor="text1"/>
        </w:rPr>
      </w:pPr>
    </w:p>
    <w:p w14:paraId="1F29E88E" w14:textId="01288DC0" w:rsidR="00650CEF" w:rsidRPr="005E7D0C" w:rsidRDefault="1D4621AB" w:rsidP="00953D1F">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Kim, S. U., &amp; Shumaker, D. (2015). Student, librarian, and instructor perceptions of information literacy</w:t>
      </w:r>
      <w:r w:rsidR="00FB5DD5">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instruction and skills in a first-year experience program: A case study. </w:t>
      </w:r>
      <w:r w:rsidRPr="005E7D0C">
        <w:rPr>
          <w:rFonts w:ascii="Times New Roman" w:eastAsia="Calibri" w:hAnsi="Times New Roman" w:cs="Times New Roman"/>
          <w:i/>
          <w:iCs/>
          <w:color w:val="000000" w:themeColor="text1"/>
        </w:rPr>
        <w:t>The Journal of Academic Librarianship</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41</w:t>
      </w:r>
      <w:r w:rsidRPr="005E7D0C">
        <w:rPr>
          <w:rFonts w:ascii="Times New Roman" w:eastAsia="Calibri" w:hAnsi="Times New Roman" w:cs="Times New Roman"/>
          <w:color w:val="000000" w:themeColor="text1"/>
        </w:rPr>
        <w:t xml:space="preserve">(4), 449–456. </w:t>
      </w:r>
      <w:hyperlink r:id="rId24">
        <w:r w:rsidRPr="005E7D0C">
          <w:rPr>
            <w:rStyle w:val="Hyperlink"/>
            <w:rFonts w:ascii="Times New Roman" w:eastAsia="Calibri" w:hAnsi="Times New Roman" w:cs="Times New Roman"/>
          </w:rPr>
          <w:t>https://doi.org/10.1016/j.acalib.2015.04.005</w:t>
        </w:r>
      </w:hyperlink>
    </w:p>
    <w:p w14:paraId="626C88D1" w14:textId="77777777" w:rsidR="00953D1F" w:rsidRDefault="00953D1F" w:rsidP="00953D1F">
      <w:pPr>
        <w:spacing w:after="0" w:line="240" w:lineRule="auto"/>
        <w:ind w:left="720" w:hanging="720"/>
        <w:rPr>
          <w:rFonts w:ascii="Times New Roman" w:eastAsia="Calibri" w:hAnsi="Times New Roman" w:cs="Times New Roman"/>
          <w:color w:val="000000" w:themeColor="text1"/>
        </w:rPr>
      </w:pPr>
    </w:p>
    <w:p w14:paraId="20B4454D" w14:textId="42FE93BC" w:rsidR="00953D1F" w:rsidRDefault="1D4621AB" w:rsidP="00B27E97">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lastRenderedPageBreak/>
        <w:t xml:space="preserve">Kocevar-Weidinger, E., Cox, E., Lenker, M., </w:t>
      </w:r>
      <w:proofErr w:type="spellStart"/>
      <w:r w:rsidRPr="005E7D0C">
        <w:rPr>
          <w:rFonts w:ascii="Times New Roman" w:eastAsia="Calibri" w:hAnsi="Times New Roman" w:cs="Times New Roman"/>
          <w:color w:val="000000" w:themeColor="text1"/>
        </w:rPr>
        <w:t>Pashkova-Balkenhol</w:t>
      </w:r>
      <w:proofErr w:type="spellEnd"/>
      <w:r w:rsidRPr="005E7D0C">
        <w:rPr>
          <w:rFonts w:ascii="Times New Roman" w:eastAsia="Calibri" w:hAnsi="Times New Roman" w:cs="Times New Roman"/>
          <w:color w:val="000000" w:themeColor="text1"/>
        </w:rPr>
        <w:t xml:space="preserve">, T., &amp; Kinman, V. (2019). On their own terms: First-year student interviews about everyday life research can help librarians flip the deficit script. </w:t>
      </w:r>
      <w:r w:rsidRPr="005E7D0C">
        <w:rPr>
          <w:rFonts w:ascii="Times New Roman" w:eastAsia="Calibri" w:hAnsi="Times New Roman" w:cs="Times New Roman"/>
          <w:i/>
          <w:iCs/>
          <w:color w:val="000000" w:themeColor="text1"/>
        </w:rPr>
        <w:t>Reference Services Review</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47</w:t>
      </w:r>
      <w:r w:rsidRPr="005E7D0C">
        <w:rPr>
          <w:rFonts w:ascii="Times New Roman" w:eastAsia="Calibri" w:hAnsi="Times New Roman" w:cs="Times New Roman"/>
          <w:color w:val="000000" w:themeColor="text1"/>
        </w:rPr>
        <w:t xml:space="preserve">(2), 169–192. </w:t>
      </w:r>
      <w:hyperlink r:id="rId25" w:history="1">
        <w:hyperlink r:id="rId26">
          <w:r w:rsidRPr="00953D1F">
            <w:rPr>
              <w:rStyle w:val="Hyperlink"/>
              <w:rFonts w:ascii="Times New Roman" w:eastAsia="Calibri" w:hAnsi="Times New Roman" w:cs="Times New Roman"/>
            </w:rPr>
            <w:t>https://doi.org/10.1108</w:t>
          </w:r>
        </w:hyperlink>
        <w:r w:rsidRPr="00953D1F">
          <w:rPr>
            <w:rStyle w:val="Hyperlink"/>
            <w:rFonts w:ascii="Times New Roman" w:eastAsia="Calibri" w:hAnsi="Times New Roman" w:cs="Times New Roman"/>
          </w:rPr>
          <w:t>/RSR-02-2019-0007</w:t>
        </w:r>
      </w:hyperlink>
    </w:p>
    <w:p w14:paraId="188B4B9F" w14:textId="77777777" w:rsidR="00953D1F" w:rsidRDefault="00953D1F" w:rsidP="00953D1F">
      <w:pPr>
        <w:spacing w:after="0" w:line="240" w:lineRule="auto"/>
        <w:ind w:left="720" w:hanging="720"/>
        <w:rPr>
          <w:rFonts w:ascii="Times New Roman" w:eastAsia="Calibri" w:hAnsi="Times New Roman" w:cs="Times New Roman"/>
          <w:color w:val="000000" w:themeColor="text1"/>
        </w:rPr>
      </w:pPr>
    </w:p>
    <w:p w14:paraId="4DC4CDC3" w14:textId="2C954840" w:rsidR="00650CEF" w:rsidRPr="005E7D0C" w:rsidRDefault="1D4621AB" w:rsidP="00953D1F">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Lechtenberg, U., &amp; Donovan, C. (2022). Undoing our instructional past: Envisioning new models for information </w:t>
      </w:r>
      <w:r w:rsidR="0F39915E" w:rsidRPr="005E7D0C">
        <w:rPr>
          <w:rFonts w:ascii="Times New Roman" w:eastAsia="Calibri" w:hAnsi="Times New Roman" w:cs="Times New Roman"/>
          <w:color w:val="000000" w:themeColor="text1"/>
        </w:rPr>
        <w:t>literacy</w:t>
      </w:r>
      <w:r w:rsidRPr="005E7D0C">
        <w:rPr>
          <w:rFonts w:ascii="Times New Roman" w:eastAsia="Calibri" w:hAnsi="Times New Roman" w:cs="Times New Roman"/>
          <w:color w:val="000000" w:themeColor="text1"/>
        </w:rPr>
        <w:t>.</w:t>
      </w:r>
      <w:r w:rsidRPr="005E7D0C">
        <w:rPr>
          <w:rFonts w:ascii="Times New Roman" w:eastAsia="Calibri" w:hAnsi="Times New Roman" w:cs="Times New Roman"/>
          <w:i/>
          <w:iCs/>
          <w:color w:val="000000" w:themeColor="text1"/>
        </w:rPr>
        <w:t xml:space="preserve"> College &amp; Research Libraries</w:t>
      </w:r>
      <w:r w:rsidR="003C25D9">
        <w:rPr>
          <w:rFonts w:ascii="Times New Roman" w:eastAsia="Calibri" w:hAnsi="Times New Roman" w:cs="Times New Roman"/>
          <w:color w:val="000000" w:themeColor="text1"/>
        </w:rPr>
        <w:t>,</w:t>
      </w:r>
      <w:r w:rsidR="00337344">
        <w:rPr>
          <w:rFonts w:ascii="Times New Roman" w:eastAsia="Calibri" w:hAnsi="Times New Roman" w:cs="Times New Roman"/>
          <w:color w:val="000000" w:themeColor="text1"/>
        </w:rPr>
        <w:t xml:space="preserve"> </w:t>
      </w:r>
      <w:r w:rsidR="00337344" w:rsidRPr="00337344">
        <w:rPr>
          <w:rFonts w:ascii="Times New Roman" w:eastAsia="Calibri" w:hAnsi="Times New Roman" w:cs="Times New Roman"/>
          <w:color w:val="000000" w:themeColor="text1"/>
        </w:rPr>
        <w:t>83</w:t>
      </w:r>
      <w:r w:rsidR="00337344">
        <w:rPr>
          <w:rFonts w:ascii="Times New Roman" w:eastAsia="Calibri" w:hAnsi="Times New Roman" w:cs="Times New Roman"/>
          <w:color w:val="000000" w:themeColor="text1"/>
        </w:rPr>
        <w:t>(5), 837</w:t>
      </w:r>
      <w:r w:rsidR="00131C54">
        <w:rPr>
          <w:rFonts w:ascii="Times New Roman" w:eastAsia="Calibri" w:hAnsi="Times New Roman" w:cs="Times New Roman"/>
          <w:color w:val="000000" w:themeColor="text1"/>
        </w:rPr>
        <w:t>–840.</w:t>
      </w:r>
      <w:r w:rsidRPr="005E7D0C">
        <w:rPr>
          <w:rFonts w:ascii="Times New Roman" w:eastAsia="Calibri" w:hAnsi="Times New Roman" w:cs="Times New Roman"/>
          <w:color w:val="000000" w:themeColor="text1"/>
        </w:rPr>
        <w:t xml:space="preserve"> </w:t>
      </w:r>
      <w:hyperlink r:id="rId27" w:history="1">
        <w:hyperlink r:id="rId28">
          <w:r w:rsidRPr="00953D1F">
            <w:rPr>
              <w:rStyle w:val="Hyperlink"/>
              <w:rFonts w:ascii="Times New Roman" w:eastAsia="Calibri" w:hAnsi="Times New Roman" w:cs="Times New Roman"/>
            </w:rPr>
            <w:t>https://doi.org/https://doi.org/10.5860</w:t>
          </w:r>
        </w:hyperlink>
        <w:r w:rsidRPr="00953D1F">
          <w:rPr>
            <w:rStyle w:val="Hyperlink"/>
            <w:rFonts w:ascii="Times New Roman" w:eastAsia="Calibri" w:hAnsi="Times New Roman" w:cs="Times New Roman"/>
          </w:rPr>
          <w:t>/crl.83.5.837</w:t>
        </w:r>
      </w:hyperlink>
    </w:p>
    <w:p w14:paraId="0A4904A3" w14:textId="77777777" w:rsidR="00953D1F" w:rsidRDefault="00953D1F" w:rsidP="00B27E97">
      <w:pPr>
        <w:spacing w:after="0" w:line="240" w:lineRule="auto"/>
        <w:rPr>
          <w:rFonts w:ascii="Times New Roman" w:eastAsia="Calibri" w:hAnsi="Times New Roman" w:cs="Times New Roman"/>
          <w:color w:val="000000" w:themeColor="text1"/>
        </w:rPr>
      </w:pPr>
    </w:p>
    <w:p w14:paraId="784ED128" w14:textId="4EB17E59" w:rsidR="00650CEF" w:rsidRPr="005E7D0C" w:rsidRDefault="1D4621AB" w:rsidP="00953D1F">
      <w:pPr>
        <w:spacing w:after="0" w:line="240" w:lineRule="auto"/>
        <w:ind w:left="720" w:hanging="720"/>
        <w:rPr>
          <w:rFonts w:ascii="Times New Roman" w:eastAsia="Calibri" w:hAnsi="Times New Roman" w:cs="Times New Roman"/>
          <w:color w:val="000000" w:themeColor="text1"/>
        </w:rPr>
      </w:pPr>
      <w:proofErr w:type="spellStart"/>
      <w:r w:rsidRPr="005E7D0C">
        <w:rPr>
          <w:rFonts w:ascii="Times New Roman" w:eastAsia="Calibri" w:hAnsi="Times New Roman" w:cs="Times New Roman"/>
          <w:color w:val="000000" w:themeColor="text1"/>
        </w:rPr>
        <w:t>Mccain</w:t>
      </w:r>
      <w:proofErr w:type="spellEnd"/>
      <w:r w:rsidRPr="005E7D0C">
        <w:rPr>
          <w:rFonts w:ascii="Times New Roman" w:eastAsia="Calibri" w:hAnsi="Times New Roman" w:cs="Times New Roman"/>
          <w:color w:val="000000" w:themeColor="text1"/>
        </w:rPr>
        <w:t xml:space="preserve">, C. (2007). Scavenger hunt assignments in academic libraries: Viewpoints versus reality. </w:t>
      </w:r>
      <w:r w:rsidRPr="005E7D0C">
        <w:rPr>
          <w:rFonts w:ascii="Times New Roman" w:eastAsia="Calibri" w:hAnsi="Times New Roman" w:cs="Times New Roman"/>
          <w:i/>
          <w:iCs/>
          <w:color w:val="000000" w:themeColor="text1"/>
        </w:rPr>
        <w:t>College &amp; Undergraduate Libraries</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14</w:t>
      </w:r>
      <w:r w:rsidRPr="005E7D0C">
        <w:rPr>
          <w:rFonts w:ascii="Times New Roman" w:eastAsia="Calibri" w:hAnsi="Times New Roman" w:cs="Times New Roman"/>
          <w:color w:val="000000" w:themeColor="text1"/>
        </w:rPr>
        <w:t>(1), 19–31.</w:t>
      </w:r>
      <w:r w:rsidR="00953D1F">
        <w:rPr>
          <w:rFonts w:ascii="Times New Roman" w:eastAsia="Calibri" w:hAnsi="Times New Roman" w:cs="Times New Roman"/>
          <w:color w:val="000000" w:themeColor="text1"/>
        </w:rPr>
        <w:t xml:space="preserve"> </w:t>
      </w:r>
      <w:hyperlink r:id="rId29" w:history="1">
        <w:r w:rsidR="00953D1F" w:rsidRPr="00B036EE">
          <w:rPr>
            <w:rStyle w:val="Hyperlink"/>
            <w:rFonts w:ascii="Times New Roman" w:eastAsia="Calibri" w:hAnsi="Times New Roman" w:cs="Times New Roman"/>
          </w:rPr>
          <w:t>https://doi.org/10.1300/J106v14n01_02</w:t>
        </w:r>
      </w:hyperlink>
      <w:r w:rsidRPr="005E7D0C">
        <w:rPr>
          <w:rFonts w:ascii="Times New Roman" w:eastAsia="Calibri" w:hAnsi="Times New Roman" w:cs="Times New Roman"/>
          <w:color w:val="000000" w:themeColor="text1"/>
        </w:rPr>
        <w:t xml:space="preserve"> </w:t>
      </w:r>
    </w:p>
    <w:p w14:paraId="6FC346B5" w14:textId="77777777" w:rsidR="00953D1F" w:rsidRDefault="00953D1F" w:rsidP="00953D1F">
      <w:pPr>
        <w:spacing w:after="0" w:line="240" w:lineRule="auto"/>
        <w:ind w:left="720" w:hanging="720"/>
        <w:rPr>
          <w:rFonts w:ascii="Times New Roman" w:eastAsia="Calibri" w:hAnsi="Times New Roman" w:cs="Times New Roman"/>
          <w:color w:val="000000" w:themeColor="text1"/>
        </w:rPr>
      </w:pPr>
    </w:p>
    <w:p w14:paraId="31D48DC3" w14:textId="08AD7C1D" w:rsidR="00650CEF" w:rsidRPr="005E7D0C" w:rsidRDefault="45C7FD1D" w:rsidP="00953D1F">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McNair, T. (2016). Pathways for </w:t>
      </w:r>
      <w:r w:rsidR="002C0AF4">
        <w:rPr>
          <w:rFonts w:ascii="Times New Roman" w:eastAsia="Calibri" w:hAnsi="Times New Roman" w:cs="Times New Roman"/>
          <w:color w:val="000000" w:themeColor="text1"/>
        </w:rPr>
        <w:t>s</w:t>
      </w:r>
      <w:r w:rsidRPr="005E7D0C">
        <w:rPr>
          <w:rFonts w:ascii="Times New Roman" w:eastAsia="Calibri" w:hAnsi="Times New Roman" w:cs="Times New Roman"/>
          <w:color w:val="000000" w:themeColor="text1"/>
        </w:rPr>
        <w:t xml:space="preserve">tudent </w:t>
      </w:r>
      <w:r w:rsidR="002C0AF4">
        <w:rPr>
          <w:rFonts w:ascii="Times New Roman" w:eastAsia="Calibri" w:hAnsi="Times New Roman" w:cs="Times New Roman"/>
          <w:color w:val="000000" w:themeColor="text1"/>
        </w:rPr>
        <w:t>a</w:t>
      </w:r>
      <w:r w:rsidRPr="005E7D0C">
        <w:rPr>
          <w:rFonts w:ascii="Times New Roman" w:eastAsia="Calibri" w:hAnsi="Times New Roman" w:cs="Times New Roman"/>
          <w:color w:val="000000" w:themeColor="text1"/>
        </w:rPr>
        <w:t xml:space="preserve">chievement through </w:t>
      </w:r>
      <w:r w:rsidR="002C0AF4">
        <w:rPr>
          <w:rFonts w:ascii="Times New Roman" w:eastAsia="Calibri" w:hAnsi="Times New Roman" w:cs="Times New Roman"/>
          <w:color w:val="000000" w:themeColor="text1"/>
        </w:rPr>
        <w:t>t</w:t>
      </w:r>
      <w:r w:rsidRPr="005E7D0C">
        <w:rPr>
          <w:rFonts w:ascii="Times New Roman" w:eastAsia="Calibri" w:hAnsi="Times New Roman" w:cs="Times New Roman"/>
          <w:color w:val="000000" w:themeColor="text1"/>
        </w:rPr>
        <w:t xml:space="preserve">ransparency and </w:t>
      </w:r>
      <w:r w:rsidR="002C0AF4">
        <w:rPr>
          <w:rFonts w:ascii="Times New Roman" w:eastAsia="Calibri" w:hAnsi="Times New Roman" w:cs="Times New Roman"/>
          <w:color w:val="000000" w:themeColor="text1"/>
        </w:rPr>
        <w:t>p</w:t>
      </w:r>
      <w:r w:rsidRPr="005E7D0C">
        <w:rPr>
          <w:rFonts w:ascii="Times New Roman" w:eastAsia="Calibri" w:hAnsi="Times New Roman" w:cs="Times New Roman"/>
          <w:color w:val="000000" w:themeColor="text1"/>
        </w:rPr>
        <w:t>roblem-</w:t>
      </w:r>
      <w:r w:rsidR="002C0AF4">
        <w:rPr>
          <w:rFonts w:ascii="Times New Roman" w:eastAsia="Calibri" w:hAnsi="Times New Roman" w:cs="Times New Roman"/>
          <w:color w:val="000000" w:themeColor="text1"/>
        </w:rPr>
        <w:t>c</w:t>
      </w:r>
      <w:r w:rsidRPr="005E7D0C">
        <w:rPr>
          <w:rFonts w:ascii="Times New Roman" w:eastAsia="Calibri" w:hAnsi="Times New Roman" w:cs="Times New Roman"/>
          <w:color w:val="000000" w:themeColor="text1"/>
        </w:rPr>
        <w:t xml:space="preserve">entered </w:t>
      </w:r>
      <w:r w:rsidR="002C0AF4">
        <w:rPr>
          <w:rFonts w:ascii="Times New Roman" w:eastAsia="Calibri" w:hAnsi="Times New Roman" w:cs="Times New Roman"/>
          <w:color w:val="000000" w:themeColor="text1"/>
        </w:rPr>
        <w:t>l</w:t>
      </w:r>
      <w:r w:rsidRPr="005E7D0C">
        <w:rPr>
          <w:rFonts w:ascii="Times New Roman" w:eastAsia="Calibri" w:hAnsi="Times New Roman" w:cs="Times New Roman"/>
          <w:color w:val="000000" w:themeColor="text1"/>
        </w:rPr>
        <w:t xml:space="preserve">earning. </w:t>
      </w:r>
      <w:r w:rsidR="6170B796" w:rsidRPr="005E7D0C">
        <w:rPr>
          <w:rFonts w:ascii="Times New Roman" w:eastAsia="Calibri" w:hAnsi="Times New Roman" w:cs="Times New Roman"/>
          <w:i/>
          <w:iCs/>
          <w:color w:val="000000" w:themeColor="text1"/>
        </w:rPr>
        <w:t>Peer Review</w:t>
      </w:r>
      <w:r w:rsidR="002C0AF4">
        <w:rPr>
          <w:rFonts w:ascii="Times New Roman" w:eastAsia="Calibri" w:hAnsi="Times New Roman" w:cs="Times New Roman"/>
          <w:color w:val="000000" w:themeColor="text1"/>
        </w:rPr>
        <w:t>,</w:t>
      </w:r>
      <w:r w:rsidR="6170B796" w:rsidRPr="005E7D0C">
        <w:rPr>
          <w:rFonts w:ascii="Times New Roman" w:eastAsia="Calibri" w:hAnsi="Times New Roman" w:cs="Times New Roman"/>
          <w:i/>
          <w:iCs/>
          <w:color w:val="000000" w:themeColor="text1"/>
        </w:rPr>
        <w:t xml:space="preserve"> </w:t>
      </w:r>
      <w:r w:rsidR="6170B796" w:rsidRPr="002C0AF4">
        <w:rPr>
          <w:rFonts w:ascii="Times New Roman" w:eastAsia="Calibri" w:hAnsi="Times New Roman" w:cs="Times New Roman"/>
          <w:i/>
          <w:iCs/>
          <w:color w:val="000000" w:themeColor="text1"/>
        </w:rPr>
        <w:t>18</w:t>
      </w:r>
      <w:r w:rsidR="6170B796" w:rsidRPr="005E7D0C">
        <w:rPr>
          <w:rFonts w:ascii="Times New Roman" w:eastAsia="Calibri" w:hAnsi="Times New Roman" w:cs="Times New Roman"/>
          <w:color w:val="000000" w:themeColor="text1"/>
        </w:rPr>
        <w:t>(1</w:t>
      </w:r>
      <w:r w:rsidR="00C47272">
        <w:rPr>
          <w:rFonts w:ascii="Times New Roman" w:eastAsia="Calibri" w:hAnsi="Times New Roman" w:cs="Times New Roman"/>
          <w:color w:val="000000" w:themeColor="text1"/>
        </w:rPr>
        <w:t>–</w:t>
      </w:r>
      <w:r w:rsidR="6170B796" w:rsidRPr="005E7D0C">
        <w:rPr>
          <w:rFonts w:ascii="Times New Roman" w:eastAsia="Calibri" w:hAnsi="Times New Roman" w:cs="Times New Roman"/>
          <w:color w:val="000000" w:themeColor="text1"/>
        </w:rPr>
        <w:t>2), 3</w:t>
      </w:r>
      <w:r w:rsidR="00C47272">
        <w:rPr>
          <w:rFonts w:ascii="Times New Roman" w:eastAsia="Calibri" w:hAnsi="Times New Roman" w:cs="Times New Roman"/>
          <w:color w:val="000000" w:themeColor="text1"/>
        </w:rPr>
        <w:t>–</w:t>
      </w:r>
      <w:r w:rsidR="6170B796" w:rsidRPr="005E7D0C">
        <w:rPr>
          <w:rFonts w:ascii="Times New Roman" w:eastAsia="Calibri" w:hAnsi="Times New Roman" w:cs="Times New Roman"/>
          <w:color w:val="000000" w:themeColor="text1"/>
        </w:rPr>
        <w:t xml:space="preserve">5. </w:t>
      </w:r>
      <w:r w:rsidR="00C47272">
        <w:rPr>
          <w:rFonts w:ascii="Times New Roman" w:eastAsia="Calibri" w:hAnsi="Times New Roman" w:cs="Times New Roman"/>
        </w:rPr>
        <w:t>[no DOI assigned]</w:t>
      </w:r>
    </w:p>
    <w:p w14:paraId="74761056" w14:textId="04FA4517" w:rsidR="00650CEF" w:rsidRPr="005E7D0C" w:rsidRDefault="00650CEF" w:rsidP="005E7D0C">
      <w:pPr>
        <w:spacing w:after="0" w:line="240" w:lineRule="auto"/>
        <w:rPr>
          <w:rFonts w:ascii="Times New Roman" w:eastAsia="Calibri" w:hAnsi="Times New Roman" w:cs="Times New Roman"/>
          <w:color w:val="000000" w:themeColor="text1"/>
        </w:rPr>
      </w:pPr>
    </w:p>
    <w:p w14:paraId="3513606F" w14:textId="46EAB0CD" w:rsidR="00650CEF" w:rsidRPr="00953D1F" w:rsidRDefault="65A062DE" w:rsidP="00E03305">
      <w:pPr>
        <w:spacing w:after="0" w:line="240" w:lineRule="auto"/>
        <w:ind w:left="720" w:hanging="720"/>
        <w:rPr>
          <w:rStyle w:val="Hyperlink"/>
          <w:rFonts w:ascii="Times New Roman" w:eastAsia="Calibri" w:hAnsi="Times New Roman" w:cs="Times New Roman"/>
          <w:i/>
          <w:iCs/>
          <w:color w:val="auto"/>
          <w:u w:val="none"/>
        </w:rPr>
      </w:pPr>
      <w:proofErr w:type="spellStart"/>
      <w:r w:rsidRPr="005E7D0C">
        <w:rPr>
          <w:rFonts w:ascii="Times New Roman" w:eastAsia="Calibri" w:hAnsi="Times New Roman" w:cs="Times New Roman"/>
        </w:rPr>
        <w:t>Pagowsky</w:t>
      </w:r>
      <w:proofErr w:type="spellEnd"/>
      <w:r w:rsidRPr="005E7D0C">
        <w:rPr>
          <w:rFonts w:ascii="Times New Roman" w:eastAsia="Calibri" w:hAnsi="Times New Roman" w:cs="Times New Roman"/>
        </w:rPr>
        <w:t xml:space="preserve">, N. (2022). Critique as care: Disrupting narratives of the one-shot instruction model. </w:t>
      </w:r>
      <w:r w:rsidRPr="005E7D0C">
        <w:rPr>
          <w:rFonts w:ascii="Times New Roman" w:eastAsia="Calibri" w:hAnsi="Times New Roman" w:cs="Times New Roman"/>
          <w:i/>
          <w:iCs/>
        </w:rPr>
        <w:t>College &amp;</w:t>
      </w:r>
      <w:r w:rsidR="00953D1F">
        <w:rPr>
          <w:rFonts w:ascii="Times New Roman" w:eastAsia="Calibri" w:hAnsi="Times New Roman" w:cs="Times New Roman"/>
          <w:i/>
          <w:iCs/>
        </w:rPr>
        <w:t xml:space="preserve"> </w:t>
      </w:r>
      <w:r w:rsidRPr="005E7D0C">
        <w:rPr>
          <w:rFonts w:ascii="Times New Roman" w:eastAsia="Calibri" w:hAnsi="Times New Roman" w:cs="Times New Roman"/>
          <w:i/>
          <w:iCs/>
        </w:rPr>
        <w:t>Research Libraries</w:t>
      </w:r>
      <w:r w:rsidRPr="005E7D0C">
        <w:rPr>
          <w:rFonts w:ascii="Times New Roman" w:eastAsia="Calibri" w:hAnsi="Times New Roman" w:cs="Times New Roman"/>
        </w:rPr>
        <w:t xml:space="preserve">, </w:t>
      </w:r>
      <w:r w:rsidRPr="005E7D0C">
        <w:rPr>
          <w:rFonts w:ascii="Times New Roman" w:eastAsia="Calibri" w:hAnsi="Times New Roman" w:cs="Times New Roman"/>
          <w:i/>
          <w:iCs/>
        </w:rPr>
        <w:t>83</w:t>
      </w:r>
      <w:r w:rsidRPr="005E7D0C">
        <w:rPr>
          <w:rFonts w:ascii="Times New Roman" w:eastAsia="Calibri" w:hAnsi="Times New Roman" w:cs="Times New Roman"/>
        </w:rPr>
        <w:t xml:space="preserve">(5), 713–725. </w:t>
      </w:r>
      <w:hyperlink r:id="rId30" w:history="1">
        <w:r w:rsidRPr="005E7D0C">
          <w:rPr>
            <w:rStyle w:val="Hyperlink"/>
            <w:rFonts w:ascii="Times New Roman" w:eastAsia="Calibri" w:hAnsi="Times New Roman" w:cs="Times New Roman"/>
          </w:rPr>
          <w:t>https://doi.org/10.5860/crl.83.5.713</w:t>
        </w:r>
      </w:hyperlink>
    </w:p>
    <w:p w14:paraId="522720CE" w14:textId="234A717F" w:rsidR="00650CEF" w:rsidRPr="005E7D0C" w:rsidRDefault="00650CEF" w:rsidP="005E7D0C">
      <w:pPr>
        <w:spacing w:after="0" w:line="240" w:lineRule="auto"/>
        <w:ind w:left="720"/>
        <w:rPr>
          <w:rFonts w:ascii="Times New Roman" w:eastAsia="Calibri" w:hAnsi="Times New Roman" w:cs="Times New Roman"/>
        </w:rPr>
      </w:pPr>
    </w:p>
    <w:p w14:paraId="79B24525" w14:textId="0CBAAFAD" w:rsidR="00650CEF" w:rsidRPr="005511CD" w:rsidRDefault="1D4621AB" w:rsidP="00E03305">
      <w:pPr>
        <w:spacing w:after="0" w:line="240" w:lineRule="auto"/>
        <w:ind w:left="720" w:hanging="720"/>
        <w:rPr>
          <w:rFonts w:ascii="Times New Roman" w:eastAsia="Calibri" w:hAnsi="Times New Roman" w:cs="Times New Roman"/>
          <w:color w:val="000000" w:themeColor="text1"/>
        </w:rPr>
      </w:pPr>
      <w:proofErr w:type="spellStart"/>
      <w:r w:rsidRPr="005511CD">
        <w:rPr>
          <w:rFonts w:ascii="Times New Roman" w:eastAsia="Calibri" w:hAnsi="Times New Roman" w:cs="Times New Roman"/>
          <w:color w:val="000000" w:themeColor="text1"/>
        </w:rPr>
        <w:t>Pagowsky</w:t>
      </w:r>
      <w:proofErr w:type="spellEnd"/>
      <w:r w:rsidRPr="005511CD">
        <w:rPr>
          <w:rFonts w:ascii="Times New Roman" w:eastAsia="Calibri" w:hAnsi="Times New Roman" w:cs="Times New Roman"/>
          <w:color w:val="000000" w:themeColor="text1"/>
        </w:rPr>
        <w:t xml:space="preserve">, N., &amp; McElroy, K. (Eds.). (2016). </w:t>
      </w:r>
      <w:r w:rsidRPr="005511CD">
        <w:rPr>
          <w:rFonts w:ascii="Times New Roman" w:eastAsia="Calibri" w:hAnsi="Times New Roman" w:cs="Times New Roman"/>
          <w:i/>
          <w:iCs/>
          <w:color w:val="000000" w:themeColor="text1"/>
        </w:rPr>
        <w:t>Critical library pedagogy handbook</w:t>
      </w:r>
      <w:r w:rsidRPr="005511CD">
        <w:rPr>
          <w:rFonts w:ascii="Times New Roman" w:eastAsia="Calibri" w:hAnsi="Times New Roman" w:cs="Times New Roman"/>
          <w:color w:val="000000" w:themeColor="text1"/>
        </w:rPr>
        <w:t>. Association of College and Research Libraries, a division of the American Library Association.</w:t>
      </w:r>
      <w:r w:rsidR="00916C5C" w:rsidRPr="005511CD">
        <w:rPr>
          <w:rFonts w:ascii="Times New Roman" w:eastAsia="Calibri" w:hAnsi="Times New Roman" w:cs="Times New Roman"/>
          <w:color w:val="000000" w:themeColor="text1"/>
        </w:rPr>
        <w:t xml:space="preserve"> </w:t>
      </w:r>
      <w:hyperlink r:id="rId31" w:history="1">
        <w:hyperlink r:id="rId32" w:history="1">
          <w:r w:rsidR="005511CD" w:rsidRPr="0032100B">
            <w:rPr>
              <w:rStyle w:val="Hyperlink"/>
              <w:rFonts w:ascii="Times New Roman" w:hAnsi="Times New Roman" w:cs="Times New Roman"/>
              <w:bdr w:val="none" w:sz="0" w:space="0" w:color="auto" w:frame="1"/>
              <w:shd w:val="clear" w:color="auto" w:fill="FFFFFF"/>
            </w:rPr>
            <w:t>https://doi.org/10.5860/crl.79.1.148</w:t>
          </w:r>
        </w:hyperlink>
      </w:hyperlink>
    </w:p>
    <w:p w14:paraId="6ECE6B41" w14:textId="77777777" w:rsidR="00E03305" w:rsidRDefault="00E03305" w:rsidP="0023132E">
      <w:pPr>
        <w:spacing w:after="0" w:line="240" w:lineRule="auto"/>
        <w:rPr>
          <w:rFonts w:ascii="Times New Roman" w:eastAsia="Calibri" w:hAnsi="Times New Roman" w:cs="Times New Roman"/>
          <w:color w:val="000000" w:themeColor="text1"/>
        </w:rPr>
      </w:pPr>
    </w:p>
    <w:p w14:paraId="43EC6212" w14:textId="5C6A2305"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Pedagogy Study Group of the American Musicological Society. (2022). PSG </w:t>
      </w:r>
      <w:proofErr w:type="spellStart"/>
      <w:r w:rsidRPr="005E7D0C">
        <w:rPr>
          <w:rFonts w:ascii="Times New Roman" w:eastAsia="Calibri" w:hAnsi="Times New Roman" w:cs="Times New Roman"/>
          <w:color w:val="000000" w:themeColor="text1"/>
        </w:rPr>
        <w:t>friday</w:t>
      </w:r>
      <w:proofErr w:type="spellEnd"/>
      <w:r w:rsidRPr="005E7D0C">
        <w:rPr>
          <w:rFonts w:ascii="Times New Roman" w:eastAsia="Calibri" w:hAnsi="Times New Roman" w:cs="Times New Roman"/>
          <w:color w:val="000000" w:themeColor="text1"/>
        </w:rPr>
        <w:t>: Threshold concepts.</w:t>
      </w:r>
      <w:r w:rsidR="00E03305">
        <w:rPr>
          <w:rFonts w:ascii="Times New Roman" w:eastAsia="Calibri" w:hAnsi="Times New Roman" w:cs="Times New Roman"/>
          <w:color w:val="000000" w:themeColor="text1"/>
        </w:rPr>
        <w:t xml:space="preserve"> </w:t>
      </w:r>
      <w:hyperlink r:id="rId33" w:history="1">
        <w:r w:rsidR="00E03305" w:rsidRPr="00B036EE">
          <w:rPr>
            <w:rStyle w:val="Hyperlink"/>
            <w:rFonts w:ascii="Times New Roman" w:eastAsia="Calibri" w:hAnsi="Times New Roman" w:cs="Times New Roman"/>
          </w:rPr>
          <w:t>https://www.teachingmusichistory.com/acadp_listings/psgfriday-thresholdconcepts/</w:t>
        </w:r>
      </w:hyperlink>
    </w:p>
    <w:p w14:paraId="1E7D070F"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7D7CF98A" w14:textId="4729826A"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Perez-Stable, M. A., Arnold, J. M., Guth, L. F., &amp; Meer, P. F. V. (2020). From service role to partnership: Faculty voices on collaboration with librarians. </w:t>
      </w:r>
      <w:r w:rsidRPr="005E7D0C">
        <w:rPr>
          <w:rFonts w:ascii="Times New Roman" w:eastAsia="Calibri" w:hAnsi="Times New Roman" w:cs="Times New Roman"/>
          <w:i/>
          <w:iCs/>
          <w:color w:val="000000" w:themeColor="text1"/>
        </w:rPr>
        <w:t>Portal: Libraries and the Academy</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20</w:t>
      </w:r>
      <w:r w:rsidRPr="005E7D0C">
        <w:rPr>
          <w:rFonts w:ascii="Times New Roman" w:eastAsia="Calibri" w:hAnsi="Times New Roman" w:cs="Times New Roman"/>
          <w:color w:val="000000" w:themeColor="text1"/>
        </w:rPr>
        <w:t xml:space="preserve">(1), 49–72. </w:t>
      </w:r>
      <w:hyperlink r:id="rId34" w:history="1">
        <w:r w:rsidR="00E03305" w:rsidRPr="00B036EE">
          <w:rPr>
            <w:rStyle w:val="Hyperlink"/>
            <w:rFonts w:ascii="Times New Roman" w:eastAsia="Calibri" w:hAnsi="Times New Roman" w:cs="Times New Roman"/>
          </w:rPr>
          <w:t>https://doi.org/10.1353/pla.2020.0004</w:t>
        </w:r>
      </w:hyperlink>
    </w:p>
    <w:p w14:paraId="4D7FC961"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1566C20C" w14:textId="288997CC"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Pho, A., </w:t>
      </w:r>
      <w:proofErr w:type="spellStart"/>
      <w:r w:rsidRPr="005E7D0C">
        <w:rPr>
          <w:rFonts w:ascii="Times New Roman" w:eastAsia="Calibri" w:hAnsi="Times New Roman" w:cs="Times New Roman"/>
          <w:color w:val="000000" w:themeColor="text1"/>
        </w:rPr>
        <w:t>Abumeeiz</w:t>
      </w:r>
      <w:proofErr w:type="spellEnd"/>
      <w:r w:rsidRPr="005E7D0C">
        <w:rPr>
          <w:rFonts w:ascii="Times New Roman" w:eastAsia="Calibri" w:hAnsi="Times New Roman" w:cs="Times New Roman"/>
          <w:color w:val="000000" w:themeColor="text1"/>
        </w:rPr>
        <w:t xml:space="preserve">, S., Bisbee, K. V., Mody, N., Romero, R., </w:t>
      </w:r>
      <w:proofErr w:type="spellStart"/>
      <w:r w:rsidRPr="005E7D0C">
        <w:rPr>
          <w:rFonts w:ascii="Times New Roman" w:eastAsia="Calibri" w:hAnsi="Times New Roman" w:cs="Times New Roman"/>
          <w:color w:val="000000" w:themeColor="text1"/>
        </w:rPr>
        <w:t>Tranfield</w:t>
      </w:r>
      <w:proofErr w:type="spellEnd"/>
      <w:r w:rsidRPr="005E7D0C">
        <w:rPr>
          <w:rFonts w:ascii="Times New Roman" w:eastAsia="Calibri" w:hAnsi="Times New Roman" w:cs="Times New Roman"/>
          <w:color w:val="000000" w:themeColor="text1"/>
        </w:rPr>
        <w:t>, W., &amp; Worsham, D. (2022). You only get one shot: Critically exploring and reimagining the one-shot instruction model.</w:t>
      </w:r>
      <w:r w:rsidRPr="005E7D0C">
        <w:rPr>
          <w:rFonts w:ascii="Times New Roman" w:eastAsia="Calibri" w:hAnsi="Times New Roman" w:cs="Times New Roman"/>
          <w:i/>
          <w:iCs/>
          <w:color w:val="000000" w:themeColor="text1"/>
        </w:rPr>
        <w:t xml:space="preserve"> College &amp; Research Libraries</w:t>
      </w:r>
      <w:r w:rsidR="00BA3841">
        <w:rPr>
          <w:rFonts w:ascii="Times New Roman" w:eastAsia="Calibri" w:hAnsi="Times New Roman" w:cs="Times New Roman"/>
          <w:color w:val="000000" w:themeColor="text1"/>
        </w:rPr>
        <w:t xml:space="preserve">, </w:t>
      </w:r>
      <w:r w:rsidR="00BA3841" w:rsidRPr="00D03DB8">
        <w:rPr>
          <w:rFonts w:ascii="Times New Roman" w:eastAsia="Calibri" w:hAnsi="Times New Roman" w:cs="Times New Roman"/>
          <w:i/>
          <w:iCs/>
          <w:color w:val="000000" w:themeColor="text1"/>
        </w:rPr>
        <w:t>83</w:t>
      </w:r>
      <w:r w:rsidR="00BA3841">
        <w:rPr>
          <w:rFonts w:ascii="Times New Roman" w:eastAsia="Calibri" w:hAnsi="Times New Roman" w:cs="Times New Roman"/>
          <w:color w:val="000000" w:themeColor="text1"/>
        </w:rPr>
        <w:t xml:space="preserve">(5), </w:t>
      </w:r>
      <w:r w:rsidR="00D03DB8">
        <w:rPr>
          <w:rFonts w:ascii="Times New Roman" w:eastAsia="Calibri" w:hAnsi="Times New Roman" w:cs="Times New Roman"/>
          <w:color w:val="000000" w:themeColor="text1"/>
        </w:rPr>
        <w:t>726–738.</w:t>
      </w:r>
      <w:r w:rsidRPr="005E7D0C">
        <w:rPr>
          <w:rFonts w:ascii="Times New Roman" w:eastAsia="Calibri" w:hAnsi="Times New Roman" w:cs="Times New Roman"/>
          <w:color w:val="000000" w:themeColor="text1"/>
        </w:rPr>
        <w:t xml:space="preserve"> </w:t>
      </w:r>
      <w:hyperlink r:id="rId35">
        <w:r w:rsidRPr="005E7D0C">
          <w:rPr>
            <w:rStyle w:val="Hyperlink"/>
            <w:rFonts w:ascii="Times New Roman" w:eastAsia="Calibri" w:hAnsi="Times New Roman" w:cs="Times New Roman"/>
          </w:rPr>
          <w:t>https://doi.org/https://doi.org/10.5860/crl.83.5.726</w:t>
        </w:r>
      </w:hyperlink>
    </w:p>
    <w:p w14:paraId="57B7F332"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16B85B1E" w14:textId="55D4984F"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Roberts, P. (2022). </w:t>
      </w:r>
      <w:r w:rsidRPr="005E7D0C">
        <w:rPr>
          <w:rFonts w:ascii="Times New Roman" w:eastAsia="Calibri" w:hAnsi="Times New Roman" w:cs="Times New Roman"/>
          <w:i/>
          <w:iCs/>
          <w:color w:val="000000" w:themeColor="text1"/>
        </w:rPr>
        <w:t>Paulo Freire: philosophy, pedagogy, and practice</w:t>
      </w:r>
      <w:r w:rsidRPr="005E7D0C">
        <w:rPr>
          <w:rFonts w:ascii="Times New Roman" w:eastAsia="Calibri" w:hAnsi="Times New Roman" w:cs="Times New Roman"/>
          <w:color w:val="000000" w:themeColor="text1"/>
        </w:rPr>
        <w:t>. Peter Lang.</w:t>
      </w:r>
      <w:r w:rsidR="001E0C4E">
        <w:rPr>
          <w:rFonts w:ascii="Times New Roman" w:eastAsia="Calibri" w:hAnsi="Times New Roman" w:cs="Times New Roman"/>
          <w:color w:val="000000" w:themeColor="text1"/>
        </w:rPr>
        <w:t xml:space="preserve"> </w:t>
      </w:r>
      <w:r w:rsidR="001E0C4E">
        <w:rPr>
          <w:rFonts w:ascii="Times New Roman" w:eastAsia="Calibri" w:hAnsi="Times New Roman" w:cs="Times New Roman"/>
        </w:rPr>
        <w:t>[no DOI assigned]</w:t>
      </w:r>
    </w:p>
    <w:p w14:paraId="7D91CACA"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324ACD07" w14:textId="784BC72B"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Sanborn, L. (2005). Perspectives on…</w:t>
      </w:r>
      <w:r w:rsidR="007847A4">
        <w:rPr>
          <w:rFonts w:ascii="Times New Roman" w:eastAsia="Calibri" w:hAnsi="Times New Roman" w:cs="Times New Roman"/>
          <w:color w:val="000000" w:themeColor="text1"/>
        </w:rPr>
        <w:t>i</w:t>
      </w:r>
      <w:r w:rsidRPr="005E7D0C">
        <w:rPr>
          <w:rFonts w:ascii="Times New Roman" w:eastAsia="Calibri" w:hAnsi="Times New Roman" w:cs="Times New Roman"/>
          <w:color w:val="000000" w:themeColor="text1"/>
        </w:rPr>
        <w:t xml:space="preserve">mproving library instruction: Faculty collaboration. </w:t>
      </w:r>
      <w:r w:rsidRPr="005E7D0C">
        <w:rPr>
          <w:rFonts w:ascii="Times New Roman" w:eastAsia="Calibri" w:hAnsi="Times New Roman" w:cs="Times New Roman"/>
          <w:i/>
          <w:iCs/>
          <w:color w:val="000000" w:themeColor="text1"/>
        </w:rPr>
        <w:t xml:space="preserve">The Journal of </w:t>
      </w:r>
      <w:r w:rsidR="00000000" w:rsidRPr="005E7D0C">
        <w:rPr>
          <w:rFonts w:ascii="Times New Roman" w:hAnsi="Times New Roman" w:cs="Times New Roman"/>
        </w:rPr>
        <w:tab/>
      </w:r>
      <w:r w:rsidRPr="005E7D0C">
        <w:rPr>
          <w:rFonts w:ascii="Times New Roman" w:eastAsia="Calibri" w:hAnsi="Times New Roman" w:cs="Times New Roman"/>
          <w:i/>
          <w:iCs/>
          <w:color w:val="000000" w:themeColor="text1"/>
        </w:rPr>
        <w:t>Academic Librarianship</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31</w:t>
      </w:r>
      <w:r w:rsidRPr="005E7D0C">
        <w:rPr>
          <w:rFonts w:ascii="Times New Roman" w:eastAsia="Calibri" w:hAnsi="Times New Roman" w:cs="Times New Roman"/>
          <w:color w:val="000000" w:themeColor="text1"/>
        </w:rPr>
        <w:t xml:space="preserve">(5), 477–481. </w:t>
      </w:r>
      <w:hyperlink r:id="rId36">
        <w:r w:rsidRPr="005E7D0C">
          <w:rPr>
            <w:rStyle w:val="Hyperlink"/>
            <w:rFonts w:ascii="Times New Roman" w:eastAsia="Calibri" w:hAnsi="Times New Roman" w:cs="Times New Roman"/>
          </w:rPr>
          <w:t>https://doi.org/10.1016/j.acalib.2005.05.010</w:t>
        </w:r>
      </w:hyperlink>
    </w:p>
    <w:p w14:paraId="58C2284E"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65CC4F09" w14:textId="3A31074A" w:rsidR="00650CEF" w:rsidRPr="007C7FB1"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lastRenderedPageBreak/>
        <w:t>Santamaria, M., &amp; Schomberg, J. (2022). It doesn’t matter how many “doses”: One-shots aren’t cures</w:t>
      </w:r>
      <w:r w:rsidR="007C7FB1">
        <w:rPr>
          <w:rFonts w:ascii="Times New Roman" w:eastAsia="Calibri" w:hAnsi="Times New Roman" w:cs="Times New Roman"/>
          <w:color w:val="000000" w:themeColor="text1"/>
        </w:rPr>
        <w:t>.</w:t>
      </w:r>
      <w:r w:rsidRPr="005E7D0C">
        <w:rPr>
          <w:rFonts w:ascii="Times New Roman" w:eastAsia="Calibri" w:hAnsi="Times New Roman" w:cs="Times New Roman"/>
          <w:i/>
          <w:iCs/>
          <w:color w:val="000000" w:themeColor="text1"/>
        </w:rPr>
        <w:t xml:space="preserve"> College &amp; Research Libraries</w:t>
      </w:r>
      <w:r w:rsidR="007C7FB1">
        <w:rPr>
          <w:rFonts w:ascii="Times New Roman" w:eastAsia="Calibri" w:hAnsi="Times New Roman" w:cs="Times New Roman"/>
          <w:color w:val="000000" w:themeColor="text1"/>
        </w:rPr>
        <w:t xml:space="preserve">, </w:t>
      </w:r>
      <w:r w:rsidR="007C7FB1" w:rsidRPr="007C7FB1">
        <w:rPr>
          <w:rFonts w:ascii="Times New Roman" w:eastAsia="Calibri" w:hAnsi="Times New Roman" w:cs="Times New Roman"/>
          <w:i/>
          <w:iCs/>
          <w:color w:val="000000" w:themeColor="text1"/>
        </w:rPr>
        <w:t>83</w:t>
      </w:r>
      <w:r w:rsidR="007C7FB1">
        <w:rPr>
          <w:rFonts w:ascii="Times New Roman" w:eastAsia="Calibri" w:hAnsi="Times New Roman" w:cs="Times New Roman"/>
          <w:color w:val="000000" w:themeColor="text1"/>
        </w:rPr>
        <w:t xml:space="preserve">(5), 851–853. </w:t>
      </w:r>
      <w:hyperlink r:id="rId37" w:history="1">
        <w:r w:rsidR="007C7FB1" w:rsidRPr="007C7FB1">
          <w:rPr>
            <w:rStyle w:val="Hyperlink"/>
            <w:rFonts w:ascii="Times New Roman" w:eastAsia="Calibri" w:hAnsi="Times New Roman" w:cs="Times New Roman"/>
          </w:rPr>
          <w:t>https://doi.org/https://doi.org/10.5860/crl.83.5.851</w:t>
        </w:r>
      </w:hyperlink>
    </w:p>
    <w:p w14:paraId="31861D09" w14:textId="77777777" w:rsidR="00E03305" w:rsidRPr="007C7FB1" w:rsidRDefault="00E03305" w:rsidP="00E03305">
      <w:pPr>
        <w:spacing w:after="0" w:line="240" w:lineRule="auto"/>
        <w:ind w:left="720" w:hanging="720"/>
        <w:rPr>
          <w:rFonts w:ascii="Times New Roman" w:eastAsia="Calibri" w:hAnsi="Times New Roman" w:cs="Times New Roman"/>
          <w:color w:val="000000" w:themeColor="text1"/>
        </w:rPr>
      </w:pPr>
    </w:p>
    <w:p w14:paraId="67197E51" w14:textId="010B443C"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proofErr w:type="spellStart"/>
      <w:r w:rsidRPr="00E03305">
        <w:rPr>
          <w:rFonts w:ascii="Times New Roman" w:eastAsia="Calibri" w:hAnsi="Times New Roman" w:cs="Times New Roman"/>
          <w:color w:val="000000" w:themeColor="text1"/>
          <w:lang w:val="pt-BR"/>
        </w:rPr>
        <w:t>Schlesselman-Tarango</w:t>
      </w:r>
      <w:proofErr w:type="spellEnd"/>
      <w:r w:rsidRPr="00E03305">
        <w:rPr>
          <w:rFonts w:ascii="Times New Roman" w:eastAsia="Calibri" w:hAnsi="Times New Roman" w:cs="Times New Roman"/>
          <w:color w:val="000000" w:themeColor="text1"/>
          <w:lang w:val="pt-BR"/>
        </w:rPr>
        <w:t xml:space="preserve">, G., &amp; Becerra, M. (2022). </w:t>
      </w:r>
      <w:r w:rsidRPr="005E7D0C">
        <w:rPr>
          <w:rFonts w:ascii="Times New Roman" w:eastAsia="Calibri" w:hAnsi="Times New Roman" w:cs="Times New Roman"/>
          <w:color w:val="000000" w:themeColor="text1"/>
        </w:rPr>
        <w:t xml:space="preserve">The critical information literacy leadership institute as </w:t>
      </w:r>
      <w:r w:rsidR="00000000" w:rsidRPr="005E7D0C">
        <w:rPr>
          <w:rFonts w:ascii="Times New Roman" w:hAnsi="Times New Roman" w:cs="Times New Roman"/>
        </w:rPr>
        <w:tab/>
      </w:r>
      <w:r w:rsidRPr="005E7D0C">
        <w:rPr>
          <w:rFonts w:ascii="Times New Roman" w:eastAsia="Calibri" w:hAnsi="Times New Roman" w:cs="Times New Roman"/>
          <w:color w:val="000000" w:themeColor="text1"/>
        </w:rPr>
        <w:t xml:space="preserve">alternative to the one-shot: Q&amp;A with a faculty partner. </w:t>
      </w:r>
      <w:r w:rsidRPr="005E7D0C">
        <w:rPr>
          <w:rFonts w:ascii="Times New Roman" w:eastAsia="Calibri" w:hAnsi="Times New Roman" w:cs="Times New Roman"/>
          <w:i/>
          <w:iCs/>
          <w:color w:val="000000" w:themeColor="text1"/>
        </w:rPr>
        <w:t>College &amp; Research Libraries</w:t>
      </w:r>
      <w:r w:rsidR="008D5C5B">
        <w:rPr>
          <w:rFonts w:ascii="Times New Roman" w:eastAsia="Calibri" w:hAnsi="Times New Roman" w:cs="Times New Roman"/>
          <w:color w:val="000000" w:themeColor="text1"/>
        </w:rPr>
        <w:t xml:space="preserve">, </w:t>
      </w:r>
      <w:r w:rsidR="008D5C5B" w:rsidRPr="008D5C5B">
        <w:rPr>
          <w:rFonts w:ascii="Times New Roman" w:eastAsia="Calibri" w:hAnsi="Times New Roman" w:cs="Times New Roman"/>
          <w:i/>
          <w:iCs/>
          <w:color w:val="000000" w:themeColor="text1"/>
        </w:rPr>
        <w:t>83</w:t>
      </w:r>
      <w:r w:rsidR="008D5C5B">
        <w:rPr>
          <w:rFonts w:ascii="Times New Roman" w:eastAsia="Calibri" w:hAnsi="Times New Roman" w:cs="Times New Roman"/>
          <w:color w:val="000000" w:themeColor="text1"/>
        </w:rPr>
        <w:t>(5), 844–847.</w:t>
      </w:r>
      <w:r w:rsidR="00E03305">
        <w:rPr>
          <w:rFonts w:ascii="Times New Roman" w:eastAsia="Calibri" w:hAnsi="Times New Roman" w:cs="Times New Roman"/>
          <w:color w:val="000000" w:themeColor="text1"/>
        </w:rPr>
        <w:t xml:space="preserve"> </w:t>
      </w:r>
      <w:hyperlink r:id="rId38" w:history="1">
        <w:r w:rsidR="00E03305" w:rsidRPr="00B036EE">
          <w:rPr>
            <w:rStyle w:val="Hyperlink"/>
            <w:rFonts w:ascii="Times New Roman" w:eastAsia="Calibri" w:hAnsi="Times New Roman" w:cs="Times New Roman"/>
          </w:rPr>
          <w:t>https://doi.org/https://doi.org/10.5860/crl.83.5.844</w:t>
        </w:r>
      </w:hyperlink>
    </w:p>
    <w:p w14:paraId="28048AD7" w14:textId="77777777" w:rsidR="00E03305" w:rsidRDefault="00E03305" w:rsidP="00E03305">
      <w:pPr>
        <w:spacing w:after="0" w:line="240" w:lineRule="auto"/>
        <w:ind w:left="720" w:hanging="720"/>
        <w:rPr>
          <w:rFonts w:ascii="Times New Roman" w:eastAsia="Calibri" w:hAnsi="Times New Roman" w:cs="Times New Roman"/>
          <w:color w:val="000000" w:themeColor="text1"/>
        </w:rPr>
      </w:pPr>
    </w:p>
    <w:p w14:paraId="70A75B05" w14:textId="3F886C07" w:rsidR="00650CEF" w:rsidRPr="005E7D0C" w:rsidRDefault="1D4621AB" w:rsidP="00E03305">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Schwartz, H. L. (2019). </w:t>
      </w:r>
      <w:r w:rsidRPr="005E7D0C">
        <w:rPr>
          <w:rFonts w:ascii="Times New Roman" w:eastAsia="Calibri" w:hAnsi="Times New Roman" w:cs="Times New Roman"/>
          <w:i/>
          <w:iCs/>
          <w:color w:val="000000" w:themeColor="text1"/>
        </w:rPr>
        <w:t>Connected teaching: Relationship, power, and mattering in higher</w:t>
      </w:r>
      <w:r w:rsidR="00E03305">
        <w:rPr>
          <w:rFonts w:ascii="Times New Roman" w:eastAsia="Calibri" w:hAnsi="Times New Roman" w:cs="Times New Roman"/>
          <w:i/>
          <w:iCs/>
          <w:color w:val="000000" w:themeColor="text1"/>
        </w:rPr>
        <w:t xml:space="preserve"> </w:t>
      </w:r>
      <w:r w:rsidRPr="005E7D0C">
        <w:rPr>
          <w:rFonts w:ascii="Times New Roman" w:eastAsia="Calibri" w:hAnsi="Times New Roman" w:cs="Times New Roman"/>
          <w:i/>
          <w:iCs/>
          <w:color w:val="000000" w:themeColor="text1"/>
        </w:rPr>
        <w:t>education.</w:t>
      </w:r>
      <w:r w:rsidRPr="005E7D0C">
        <w:rPr>
          <w:rFonts w:ascii="Times New Roman" w:eastAsia="Calibri" w:hAnsi="Times New Roman" w:cs="Times New Roman"/>
          <w:color w:val="000000" w:themeColor="text1"/>
        </w:rPr>
        <w:t xml:space="preserve"> Stylus Publishing, LLC.</w:t>
      </w:r>
      <w:r w:rsidR="006A7833">
        <w:rPr>
          <w:rFonts w:ascii="Times New Roman" w:eastAsia="Calibri" w:hAnsi="Times New Roman" w:cs="Times New Roman"/>
          <w:color w:val="000000" w:themeColor="text1"/>
        </w:rPr>
        <w:t xml:space="preserve"> </w:t>
      </w:r>
      <w:r w:rsidR="006A7833">
        <w:rPr>
          <w:rFonts w:ascii="Times New Roman" w:eastAsia="Calibri" w:hAnsi="Times New Roman" w:cs="Times New Roman"/>
        </w:rPr>
        <w:t>[no DOI assigned]</w:t>
      </w:r>
    </w:p>
    <w:p w14:paraId="22D9B058" w14:textId="77777777" w:rsidR="00E03305" w:rsidRDefault="00E03305" w:rsidP="00E03305">
      <w:pPr>
        <w:spacing w:after="0" w:line="240" w:lineRule="auto"/>
        <w:ind w:left="720" w:hanging="720"/>
        <w:rPr>
          <w:rFonts w:ascii="Times New Roman" w:eastAsia="Calibri" w:hAnsi="Times New Roman" w:cs="Times New Roman"/>
        </w:rPr>
      </w:pPr>
    </w:p>
    <w:p w14:paraId="6954920C" w14:textId="2BFA8A39" w:rsidR="00650CEF" w:rsidRPr="00E03305" w:rsidRDefault="1D4621AB" w:rsidP="00E03305">
      <w:pPr>
        <w:spacing w:after="0" w:line="240" w:lineRule="auto"/>
        <w:ind w:left="720" w:hanging="720"/>
        <w:rPr>
          <w:rFonts w:ascii="Times New Roman" w:eastAsia="Calibri" w:hAnsi="Times New Roman" w:cs="Times New Roman"/>
        </w:rPr>
      </w:pPr>
      <w:proofErr w:type="spellStart"/>
      <w:r w:rsidRPr="00E03305">
        <w:rPr>
          <w:rFonts w:ascii="Times New Roman" w:eastAsia="Calibri" w:hAnsi="Times New Roman" w:cs="Times New Roman"/>
          <w:lang w:val="fr-FR"/>
        </w:rPr>
        <w:t>Scoulas</w:t>
      </w:r>
      <w:proofErr w:type="spellEnd"/>
      <w:r w:rsidRPr="00E03305">
        <w:rPr>
          <w:rFonts w:ascii="Times New Roman" w:eastAsia="Calibri" w:hAnsi="Times New Roman" w:cs="Times New Roman"/>
          <w:lang w:val="fr-FR"/>
        </w:rPr>
        <w:t xml:space="preserve">, J., &amp; De Groote, S. (2022). </w:t>
      </w:r>
      <w:r w:rsidRPr="005E7D0C">
        <w:rPr>
          <w:rFonts w:ascii="Times New Roman" w:eastAsia="Calibri" w:hAnsi="Times New Roman" w:cs="Times New Roman"/>
        </w:rPr>
        <w:t xml:space="preserve">Impact of </w:t>
      </w:r>
      <w:r w:rsidR="003C0869">
        <w:rPr>
          <w:rFonts w:ascii="Times New Roman" w:eastAsia="Calibri" w:hAnsi="Times New Roman" w:cs="Times New Roman"/>
        </w:rPr>
        <w:t>u</w:t>
      </w:r>
      <w:r w:rsidRPr="005E7D0C">
        <w:rPr>
          <w:rFonts w:ascii="Times New Roman" w:eastAsia="Calibri" w:hAnsi="Times New Roman" w:cs="Times New Roman"/>
        </w:rPr>
        <w:t xml:space="preserve">ndergraduate </w:t>
      </w:r>
      <w:r w:rsidR="003C0869">
        <w:rPr>
          <w:rFonts w:ascii="Times New Roman" w:eastAsia="Calibri" w:hAnsi="Times New Roman" w:cs="Times New Roman"/>
        </w:rPr>
        <w:t>s</w:t>
      </w:r>
      <w:r w:rsidRPr="005E7D0C">
        <w:rPr>
          <w:rFonts w:ascii="Times New Roman" w:eastAsia="Calibri" w:hAnsi="Times New Roman" w:cs="Times New Roman"/>
        </w:rPr>
        <w:t xml:space="preserve">tudents’ </w:t>
      </w:r>
      <w:r w:rsidR="003C0869">
        <w:rPr>
          <w:rFonts w:ascii="Times New Roman" w:eastAsia="Calibri" w:hAnsi="Times New Roman" w:cs="Times New Roman"/>
        </w:rPr>
        <w:t>l</w:t>
      </w:r>
      <w:r w:rsidRPr="005E7D0C">
        <w:rPr>
          <w:rFonts w:ascii="Times New Roman" w:eastAsia="Calibri" w:hAnsi="Times New Roman" w:cs="Times New Roman"/>
        </w:rPr>
        <w:t xml:space="preserve">ibrary </w:t>
      </w:r>
      <w:r w:rsidR="003C0869">
        <w:rPr>
          <w:rFonts w:ascii="Times New Roman" w:eastAsia="Calibri" w:hAnsi="Times New Roman" w:cs="Times New Roman"/>
        </w:rPr>
        <w:t>u</w:t>
      </w:r>
      <w:r w:rsidRPr="005E7D0C">
        <w:rPr>
          <w:rFonts w:ascii="Times New Roman" w:eastAsia="Calibri" w:hAnsi="Times New Roman" w:cs="Times New Roman"/>
        </w:rPr>
        <w:t xml:space="preserve">se on </w:t>
      </w:r>
      <w:r w:rsidR="003C0869">
        <w:rPr>
          <w:rFonts w:ascii="Times New Roman" w:eastAsia="Calibri" w:hAnsi="Times New Roman" w:cs="Times New Roman"/>
        </w:rPr>
        <w:t>t</w:t>
      </w:r>
      <w:r w:rsidRPr="005E7D0C">
        <w:rPr>
          <w:rFonts w:ascii="Times New Roman" w:eastAsia="Calibri" w:hAnsi="Times New Roman" w:cs="Times New Roman"/>
        </w:rPr>
        <w:t xml:space="preserve">heir </w:t>
      </w:r>
      <w:r w:rsidR="003C0869">
        <w:rPr>
          <w:rFonts w:ascii="Times New Roman" w:eastAsia="Calibri" w:hAnsi="Times New Roman" w:cs="Times New Roman"/>
        </w:rPr>
        <w:t>l</w:t>
      </w:r>
      <w:r w:rsidRPr="005E7D0C">
        <w:rPr>
          <w:rFonts w:ascii="Times New Roman" w:eastAsia="Calibri" w:hAnsi="Times New Roman" w:cs="Times New Roman"/>
        </w:rPr>
        <w:t xml:space="preserve">earning beyond GPA: Mixed-Methods </w:t>
      </w:r>
      <w:r w:rsidR="003C0869">
        <w:rPr>
          <w:rFonts w:ascii="Times New Roman" w:eastAsia="Calibri" w:hAnsi="Times New Roman" w:cs="Times New Roman"/>
        </w:rPr>
        <w:t>a</w:t>
      </w:r>
      <w:r w:rsidRPr="005E7D0C">
        <w:rPr>
          <w:rFonts w:ascii="Times New Roman" w:eastAsia="Calibri" w:hAnsi="Times New Roman" w:cs="Times New Roman"/>
        </w:rPr>
        <w:t xml:space="preserve">pproach. </w:t>
      </w:r>
      <w:r w:rsidRPr="005E7D0C">
        <w:rPr>
          <w:rFonts w:ascii="Times New Roman" w:eastAsia="Calibri" w:hAnsi="Times New Roman" w:cs="Times New Roman"/>
          <w:i/>
          <w:iCs/>
        </w:rPr>
        <w:t>College &amp; Research Libraries</w:t>
      </w:r>
      <w:r w:rsidRPr="005E7D0C">
        <w:rPr>
          <w:rFonts w:ascii="Times New Roman" w:eastAsia="Calibri" w:hAnsi="Times New Roman" w:cs="Times New Roman"/>
        </w:rPr>
        <w:t xml:space="preserve">, </w:t>
      </w:r>
      <w:r w:rsidRPr="005E7D0C">
        <w:rPr>
          <w:rFonts w:ascii="Times New Roman" w:eastAsia="Calibri" w:hAnsi="Times New Roman" w:cs="Times New Roman"/>
          <w:i/>
          <w:iCs/>
        </w:rPr>
        <w:t>83</w:t>
      </w:r>
      <w:r w:rsidRPr="005E7D0C">
        <w:rPr>
          <w:rFonts w:ascii="Times New Roman" w:eastAsia="Calibri" w:hAnsi="Times New Roman" w:cs="Times New Roman"/>
        </w:rPr>
        <w:t>(3)</w:t>
      </w:r>
      <w:r w:rsidR="00A32272">
        <w:rPr>
          <w:rFonts w:ascii="Times New Roman" w:eastAsia="Calibri" w:hAnsi="Times New Roman" w:cs="Times New Roman"/>
        </w:rPr>
        <w:t>, 452–473.</w:t>
      </w:r>
      <w:r w:rsidRPr="005E7D0C">
        <w:rPr>
          <w:rFonts w:ascii="Times New Roman" w:eastAsia="Calibri" w:hAnsi="Times New Roman" w:cs="Times New Roman"/>
        </w:rPr>
        <w:t xml:space="preserve"> </w:t>
      </w:r>
      <w:hyperlink r:id="rId39" w:history="1">
        <w:r w:rsidR="00E03305" w:rsidRPr="00B036EE">
          <w:rPr>
            <w:rStyle w:val="Hyperlink"/>
            <w:rFonts w:ascii="Times New Roman" w:eastAsia="Calibri" w:hAnsi="Times New Roman" w:cs="Times New Roman"/>
          </w:rPr>
          <w:t>https://doi.org/10.5860/crl.83.3.452</w:t>
        </w:r>
      </w:hyperlink>
    </w:p>
    <w:p w14:paraId="12F26F37" w14:textId="77777777" w:rsidR="00A808AC" w:rsidRDefault="00A808AC" w:rsidP="007812DC">
      <w:pPr>
        <w:spacing w:after="0" w:line="240" w:lineRule="auto"/>
        <w:rPr>
          <w:rFonts w:ascii="Times New Roman" w:eastAsia="Calibri" w:hAnsi="Times New Roman" w:cs="Times New Roman"/>
          <w:color w:val="000000" w:themeColor="text1"/>
        </w:rPr>
      </w:pPr>
    </w:p>
    <w:p w14:paraId="2DD629F5" w14:textId="51B6C650" w:rsidR="00650CEF" w:rsidRPr="005E7D0C" w:rsidRDefault="1D4621AB" w:rsidP="00A808AC">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Stark, R. K., </w:t>
      </w:r>
      <w:proofErr w:type="spellStart"/>
      <w:r w:rsidRPr="005E7D0C">
        <w:rPr>
          <w:rFonts w:ascii="Times New Roman" w:eastAsia="Calibri" w:hAnsi="Times New Roman" w:cs="Times New Roman"/>
          <w:color w:val="000000" w:themeColor="text1"/>
        </w:rPr>
        <w:t>Opuda</w:t>
      </w:r>
      <w:proofErr w:type="spellEnd"/>
      <w:r w:rsidRPr="005E7D0C">
        <w:rPr>
          <w:rFonts w:ascii="Times New Roman" w:eastAsia="Calibri" w:hAnsi="Times New Roman" w:cs="Times New Roman"/>
          <w:color w:val="000000" w:themeColor="text1"/>
        </w:rPr>
        <w:t xml:space="preserve">, E., McElfresh, J., &amp; </w:t>
      </w:r>
      <w:proofErr w:type="spellStart"/>
      <w:r w:rsidRPr="005E7D0C">
        <w:rPr>
          <w:rFonts w:ascii="Times New Roman" w:eastAsia="Calibri" w:hAnsi="Times New Roman" w:cs="Times New Roman"/>
          <w:color w:val="000000" w:themeColor="text1"/>
        </w:rPr>
        <w:t>Kauffroath</w:t>
      </w:r>
      <w:proofErr w:type="spellEnd"/>
      <w:r w:rsidRPr="005E7D0C">
        <w:rPr>
          <w:rFonts w:ascii="Times New Roman" w:eastAsia="Calibri" w:hAnsi="Times New Roman" w:cs="Times New Roman"/>
          <w:color w:val="000000" w:themeColor="text1"/>
        </w:rPr>
        <w:t xml:space="preserve">, K. (2021). Scavenging for evidence: A systematic review of scavenger hunts in academic libraries. </w:t>
      </w:r>
      <w:r w:rsidRPr="005E7D0C">
        <w:rPr>
          <w:rFonts w:ascii="Times New Roman" w:eastAsia="Calibri" w:hAnsi="Times New Roman" w:cs="Times New Roman"/>
          <w:i/>
          <w:iCs/>
          <w:color w:val="000000" w:themeColor="text1"/>
        </w:rPr>
        <w:t>The Journal of Academic Librarianship</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47</w:t>
      </w:r>
      <w:r w:rsidRPr="005E7D0C">
        <w:rPr>
          <w:rFonts w:ascii="Times New Roman" w:eastAsia="Calibri" w:hAnsi="Times New Roman" w:cs="Times New Roman"/>
          <w:color w:val="000000" w:themeColor="text1"/>
        </w:rPr>
        <w:t>(3)</w:t>
      </w:r>
      <w:r w:rsidR="00E03435">
        <w:rPr>
          <w:rFonts w:ascii="Times New Roman" w:eastAsia="Calibri" w:hAnsi="Times New Roman" w:cs="Times New Roman"/>
          <w:color w:val="000000" w:themeColor="text1"/>
        </w:rPr>
        <w:t>, 102345.</w:t>
      </w:r>
      <w:r w:rsidRPr="005E7D0C">
        <w:rPr>
          <w:rFonts w:ascii="Times New Roman" w:eastAsia="Calibri" w:hAnsi="Times New Roman" w:cs="Times New Roman"/>
          <w:color w:val="000000" w:themeColor="text1"/>
        </w:rPr>
        <w:t xml:space="preserve"> </w:t>
      </w:r>
      <w:hyperlink r:id="rId40" w:history="1">
        <w:r w:rsidR="00E03305" w:rsidRPr="00B036EE">
          <w:rPr>
            <w:rStyle w:val="Hyperlink"/>
            <w:rFonts w:ascii="Times New Roman" w:eastAsia="Calibri" w:hAnsi="Times New Roman" w:cs="Times New Roman"/>
          </w:rPr>
          <w:t>https://doi.org/10.1016/j.acalib.2021.102345</w:t>
        </w:r>
      </w:hyperlink>
      <w:r w:rsidRPr="005E7D0C">
        <w:rPr>
          <w:rFonts w:ascii="Times New Roman" w:eastAsia="Calibri" w:hAnsi="Times New Roman" w:cs="Times New Roman"/>
          <w:color w:val="000000" w:themeColor="text1"/>
        </w:rPr>
        <w:t xml:space="preserve"> </w:t>
      </w:r>
    </w:p>
    <w:p w14:paraId="4F416213" w14:textId="77777777" w:rsidR="00A808AC" w:rsidRDefault="00A808AC" w:rsidP="00386BD8">
      <w:pPr>
        <w:spacing w:after="0" w:line="240" w:lineRule="auto"/>
        <w:rPr>
          <w:rFonts w:ascii="Times New Roman" w:eastAsia="Calibri" w:hAnsi="Times New Roman" w:cs="Times New Roman"/>
          <w:color w:val="000000" w:themeColor="text1"/>
        </w:rPr>
      </w:pPr>
    </w:p>
    <w:p w14:paraId="5DB1978F" w14:textId="77D14048" w:rsidR="00A6077D" w:rsidRDefault="00A6077D" w:rsidP="00C5089C">
      <w:pPr>
        <w:spacing w:after="0" w:line="240" w:lineRule="auto"/>
        <w:ind w:left="720" w:hanging="720"/>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Towson University </w:t>
      </w:r>
      <w:r w:rsidR="005B72BC">
        <w:rPr>
          <w:rFonts w:ascii="Times New Roman" w:eastAsia="Calibri" w:hAnsi="Times New Roman" w:cs="Times New Roman"/>
          <w:color w:val="000000" w:themeColor="text1"/>
        </w:rPr>
        <w:t xml:space="preserve">Department of Music. (2023). Department of music statement of solidarity. </w:t>
      </w:r>
      <w:hyperlink r:id="rId41" w:history="1">
        <w:r w:rsidR="00C5089C" w:rsidRPr="00B036EE">
          <w:rPr>
            <w:rStyle w:val="Hyperlink"/>
            <w:rFonts w:ascii="Times New Roman" w:eastAsia="Calibri" w:hAnsi="Times New Roman" w:cs="Times New Roman"/>
          </w:rPr>
          <w:t>https://www.towson.edu/cofac/departments/music/about.html</w:t>
        </w:r>
      </w:hyperlink>
      <w:r w:rsidR="00C5089C">
        <w:rPr>
          <w:rFonts w:ascii="Times New Roman" w:eastAsia="Calibri" w:hAnsi="Times New Roman" w:cs="Times New Roman"/>
          <w:color w:val="000000" w:themeColor="text1"/>
        </w:rPr>
        <w:t xml:space="preserve"> </w:t>
      </w:r>
    </w:p>
    <w:p w14:paraId="04CCAD1F" w14:textId="77777777" w:rsidR="001251E7" w:rsidRDefault="001251E7" w:rsidP="00C5089C">
      <w:pPr>
        <w:spacing w:after="0" w:line="240" w:lineRule="auto"/>
        <w:ind w:left="720" w:hanging="720"/>
        <w:rPr>
          <w:rFonts w:ascii="Times New Roman" w:eastAsia="Calibri" w:hAnsi="Times New Roman" w:cs="Times New Roman"/>
          <w:color w:val="000000" w:themeColor="text1"/>
        </w:rPr>
      </w:pPr>
    </w:p>
    <w:p w14:paraId="769CB535" w14:textId="760FB184" w:rsidR="001251E7" w:rsidRDefault="001251E7" w:rsidP="00C5089C">
      <w:pPr>
        <w:spacing w:after="0" w:line="240" w:lineRule="auto"/>
        <w:ind w:left="720" w:hanging="720"/>
        <w:rPr>
          <w:rFonts w:ascii="Times New Roman" w:eastAsia="Calibri" w:hAnsi="Times New Roman" w:cs="Times New Roman"/>
          <w:color w:val="000000" w:themeColor="text1"/>
        </w:rPr>
      </w:pPr>
      <w:r>
        <w:rPr>
          <w:rFonts w:ascii="Times New Roman" w:eastAsia="Calibri" w:hAnsi="Times New Roman" w:cs="Times New Roman"/>
          <w:color w:val="000000" w:themeColor="text1"/>
        </w:rPr>
        <w:t>Towson University Senate. (2012).</w:t>
      </w:r>
      <w:r w:rsidR="00E505B5">
        <w:rPr>
          <w:rFonts w:ascii="Times New Roman" w:eastAsia="Calibri" w:hAnsi="Times New Roman" w:cs="Times New Roman"/>
          <w:color w:val="000000" w:themeColor="text1"/>
        </w:rPr>
        <w:t xml:space="preserve"> Learning </w:t>
      </w:r>
      <w:r w:rsidR="004C0C7D">
        <w:rPr>
          <w:rFonts w:ascii="Times New Roman" w:eastAsia="Calibri" w:hAnsi="Times New Roman" w:cs="Times New Roman"/>
          <w:color w:val="000000" w:themeColor="text1"/>
        </w:rPr>
        <w:t>g</w:t>
      </w:r>
      <w:r w:rsidR="00E505B5">
        <w:rPr>
          <w:rFonts w:ascii="Times New Roman" w:eastAsia="Calibri" w:hAnsi="Times New Roman" w:cs="Times New Roman"/>
          <w:color w:val="000000" w:themeColor="text1"/>
        </w:rPr>
        <w:t xml:space="preserve">oals and </w:t>
      </w:r>
      <w:r w:rsidR="004C0C7D">
        <w:rPr>
          <w:rFonts w:ascii="Times New Roman" w:eastAsia="Calibri" w:hAnsi="Times New Roman" w:cs="Times New Roman"/>
          <w:color w:val="000000" w:themeColor="text1"/>
        </w:rPr>
        <w:t>r</w:t>
      </w:r>
      <w:r w:rsidR="00E505B5">
        <w:rPr>
          <w:rFonts w:ascii="Times New Roman" w:eastAsia="Calibri" w:hAnsi="Times New Roman" w:cs="Times New Roman"/>
          <w:color w:val="000000" w:themeColor="text1"/>
        </w:rPr>
        <w:t xml:space="preserve">elated </w:t>
      </w:r>
      <w:r w:rsidR="004C0C7D">
        <w:rPr>
          <w:rFonts w:ascii="Times New Roman" w:eastAsia="Calibri" w:hAnsi="Times New Roman" w:cs="Times New Roman"/>
          <w:color w:val="000000" w:themeColor="text1"/>
        </w:rPr>
        <w:t>c</w:t>
      </w:r>
      <w:r w:rsidR="00E505B5">
        <w:rPr>
          <w:rFonts w:ascii="Times New Roman" w:eastAsia="Calibri" w:hAnsi="Times New Roman" w:cs="Times New Roman"/>
          <w:color w:val="000000" w:themeColor="text1"/>
        </w:rPr>
        <w:t xml:space="preserve">ourse </w:t>
      </w:r>
      <w:r w:rsidR="004C0C7D">
        <w:rPr>
          <w:rFonts w:ascii="Times New Roman" w:eastAsia="Calibri" w:hAnsi="Times New Roman" w:cs="Times New Roman"/>
          <w:color w:val="000000" w:themeColor="text1"/>
        </w:rPr>
        <w:t>o</w:t>
      </w:r>
      <w:r w:rsidR="00E505B5">
        <w:rPr>
          <w:rFonts w:ascii="Times New Roman" w:eastAsia="Calibri" w:hAnsi="Times New Roman" w:cs="Times New Roman"/>
          <w:color w:val="000000" w:themeColor="text1"/>
        </w:rPr>
        <w:t xml:space="preserve">utcomes </w:t>
      </w:r>
      <w:r w:rsidR="004C0C7D">
        <w:rPr>
          <w:rFonts w:ascii="Times New Roman" w:eastAsia="Calibri" w:hAnsi="Times New Roman" w:cs="Times New Roman"/>
          <w:color w:val="000000" w:themeColor="text1"/>
        </w:rPr>
        <w:t>a</w:t>
      </w:r>
      <w:r w:rsidR="00E505B5">
        <w:rPr>
          <w:rFonts w:ascii="Times New Roman" w:eastAsia="Calibri" w:hAnsi="Times New Roman" w:cs="Times New Roman"/>
          <w:color w:val="000000" w:themeColor="text1"/>
        </w:rPr>
        <w:t xml:space="preserve">pplied to 14 </w:t>
      </w:r>
      <w:r w:rsidR="004C0C7D">
        <w:rPr>
          <w:rFonts w:ascii="Times New Roman" w:eastAsia="Calibri" w:hAnsi="Times New Roman" w:cs="Times New Roman"/>
          <w:color w:val="000000" w:themeColor="text1"/>
        </w:rPr>
        <w:t>c</w:t>
      </w:r>
      <w:r w:rsidR="00E505B5">
        <w:rPr>
          <w:rFonts w:ascii="Times New Roman" w:eastAsia="Calibri" w:hAnsi="Times New Roman" w:cs="Times New Roman"/>
          <w:color w:val="000000" w:themeColor="text1"/>
        </w:rPr>
        <w:t xml:space="preserve">ore </w:t>
      </w:r>
      <w:r w:rsidR="004C0C7D">
        <w:rPr>
          <w:rFonts w:ascii="Times New Roman" w:eastAsia="Calibri" w:hAnsi="Times New Roman" w:cs="Times New Roman"/>
          <w:color w:val="000000" w:themeColor="text1"/>
        </w:rPr>
        <w:t>r</w:t>
      </w:r>
      <w:r w:rsidR="00E505B5">
        <w:rPr>
          <w:rFonts w:ascii="Times New Roman" w:eastAsia="Calibri" w:hAnsi="Times New Roman" w:cs="Times New Roman"/>
          <w:color w:val="000000" w:themeColor="text1"/>
        </w:rPr>
        <w:t>equirements.</w:t>
      </w:r>
      <w:r w:rsidR="004C0C7D">
        <w:rPr>
          <w:rFonts w:ascii="Times New Roman" w:eastAsia="Calibri" w:hAnsi="Times New Roman" w:cs="Times New Roman"/>
          <w:color w:val="000000" w:themeColor="text1"/>
        </w:rPr>
        <w:t xml:space="preserve"> </w:t>
      </w:r>
      <w:hyperlink r:id="rId42" w:history="1">
        <w:r w:rsidR="004C0C7D" w:rsidRPr="00B036EE">
          <w:rPr>
            <w:rStyle w:val="Hyperlink"/>
            <w:rFonts w:ascii="Times New Roman" w:eastAsia="Calibri" w:hAnsi="Times New Roman" w:cs="Times New Roman"/>
          </w:rPr>
          <w:t>https://www.towson.edu/about/administration/senate/committees/universitycurriculum/documents/new_core_learning_goals_and_related_course_outcomes.pdf</w:t>
        </w:r>
      </w:hyperlink>
    </w:p>
    <w:p w14:paraId="3BF25A74" w14:textId="77777777" w:rsidR="00C5089C" w:rsidRDefault="00C5089C" w:rsidP="00A808AC">
      <w:pPr>
        <w:spacing w:after="0" w:line="240" w:lineRule="auto"/>
        <w:ind w:left="720" w:hanging="720"/>
        <w:rPr>
          <w:rFonts w:ascii="Times New Roman" w:eastAsia="Calibri" w:hAnsi="Times New Roman" w:cs="Times New Roman"/>
          <w:color w:val="000000" w:themeColor="text1"/>
        </w:rPr>
      </w:pPr>
    </w:p>
    <w:p w14:paraId="4880B494" w14:textId="2574AEF7" w:rsidR="00650CEF" w:rsidRPr="005E7D0C" w:rsidRDefault="1D4621AB" w:rsidP="00A808AC">
      <w:pPr>
        <w:spacing w:after="0" w:line="240" w:lineRule="auto"/>
        <w:ind w:left="720" w:hanging="720"/>
        <w:rPr>
          <w:rFonts w:ascii="Times New Roman" w:eastAsia="Calibri" w:hAnsi="Times New Roman" w:cs="Times New Roman"/>
          <w:color w:val="000000" w:themeColor="text1"/>
        </w:rPr>
      </w:pPr>
      <w:r w:rsidRPr="005E7D0C">
        <w:rPr>
          <w:rFonts w:ascii="Times New Roman" w:eastAsia="Calibri" w:hAnsi="Times New Roman" w:cs="Times New Roman"/>
          <w:color w:val="000000" w:themeColor="text1"/>
        </w:rPr>
        <w:t xml:space="preserve">Wiggins, G. P., &amp; McTighe, J. (2005). </w:t>
      </w:r>
      <w:r w:rsidRPr="005E7D0C">
        <w:rPr>
          <w:rFonts w:ascii="Times New Roman" w:eastAsia="Calibri" w:hAnsi="Times New Roman" w:cs="Times New Roman"/>
          <w:i/>
          <w:iCs/>
          <w:color w:val="000000" w:themeColor="text1"/>
        </w:rPr>
        <w:t>Understanding by design</w:t>
      </w:r>
      <w:r w:rsidRPr="005E7D0C">
        <w:rPr>
          <w:rFonts w:ascii="Times New Roman" w:eastAsia="Calibri" w:hAnsi="Times New Roman" w:cs="Times New Roman"/>
          <w:color w:val="000000" w:themeColor="text1"/>
        </w:rPr>
        <w:t xml:space="preserve"> (Expanded 2nd ed). Association for</w:t>
      </w:r>
      <w:r w:rsidR="00E03305">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Supervision and Curriculum Development.</w:t>
      </w:r>
      <w:r w:rsidR="00D97567">
        <w:rPr>
          <w:rFonts w:ascii="Times New Roman" w:eastAsia="Calibri" w:hAnsi="Times New Roman" w:cs="Times New Roman"/>
          <w:color w:val="000000" w:themeColor="text1"/>
        </w:rPr>
        <w:t xml:space="preserve"> </w:t>
      </w:r>
      <w:r w:rsidR="00D97567">
        <w:rPr>
          <w:rFonts w:ascii="Times New Roman" w:eastAsia="Calibri" w:hAnsi="Times New Roman" w:cs="Times New Roman"/>
        </w:rPr>
        <w:t>[no DOI assigned]</w:t>
      </w:r>
    </w:p>
    <w:p w14:paraId="7BF72823" w14:textId="77777777" w:rsidR="00A808AC" w:rsidRDefault="00A808AC" w:rsidP="00A808AC">
      <w:pPr>
        <w:spacing w:after="0" w:line="240" w:lineRule="auto"/>
        <w:ind w:left="720" w:hanging="720"/>
        <w:rPr>
          <w:rFonts w:ascii="Times New Roman" w:eastAsia="Calibri" w:hAnsi="Times New Roman" w:cs="Times New Roman"/>
          <w:color w:val="000000" w:themeColor="text1"/>
        </w:rPr>
      </w:pPr>
    </w:p>
    <w:p w14:paraId="168C06BA" w14:textId="47817B70" w:rsidR="00650CEF" w:rsidRPr="002E0B12" w:rsidRDefault="1D4621AB" w:rsidP="00A808AC">
      <w:pPr>
        <w:spacing w:after="0" w:line="240" w:lineRule="auto"/>
        <w:ind w:left="720" w:hanging="720"/>
        <w:rPr>
          <w:rFonts w:ascii="Times New Roman" w:eastAsia="Calibri" w:hAnsi="Times New Roman" w:cs="Times New Roman"/>
          <w:color w:val="000000" w:themeColor="text1"/>
        </w:rPr>
      </w:pPr>
      <w:proofErr w:type="spellStart"/>
      <w:r w:rsidRPr="002E0B12">
        <w:rPr>
          <w:rFonts w:ascii="Times New Roman" w:eastAsia="Calibri" w:hAnsi="Times New Roman" w:cs="Times New Roman"/>
          <w:color w:val="000000" w:themeColor="text1"/>
        </w:rPr>
        <w:t>Yevelson-Shorsher</w:t>
      </w:r>
      <w:proofErr w:type="spellEnd"/>
      <w:r w:rsidRPr="002E0B12">
        <w:rPr>
          <w:rFonts w:ascii="Times New Roman" w:eastAsia="Calibri" w:hAnsi="Times New Roman" w:cs="Times New Roman"/>
          <w:color w:val="000000" w:themeColor="text1"/>
        </w:rPr>
        <w:t>, A., &amp; Bronstein, J. (2018). Three perspectives on information literacy in academia:</w:t>
      </w:r>
      <w:r w:rsidR="00E03305" w:rsidRPr="002E0B12">
        <w:rPr>
          <w:rFonts w:ascii="Times New Roman" w:eastAsia="Calibri" w:hAnsi="Times New Roman" w:cs="Times New Roman"/>
          <w:color w:val="000000" w:themeColor="text1"/>
        </w:rPr>
        <w:t xml:space="preserve"> </w:t>
      </w:r>
      <w:r w:rsidRPr="002E0B12">
        <w:rPr>
          <w:rFonts w:ascii="Times New Roman" w:eastAsia="Calibri" w:hAnsi="Times New Roman" w:cs="Times New Roman"/>
          <w:color w:val="000000" w:themeColor="text1"/>
        </w:rPr>
        <w:t xml:space="preserve">Talking to librarians, faculty, and students. </w:t>
      </w:r>
      <w:r w:rsidRPr="002E0B12">
        <w:rPr>
          <w:rFonts w:ascii="Times New Roman" w:eastAsia="Calibri" w:hAnsi="Times New Roman" w:cs="Times New Roman"/>
          <w:i/>
          <w:iCs/>
          <w:color w:val="000000" w:themeColor="text1"/>
        </w:rPr>
        <w:t>College &amp; Research Libraries</w:t>
      </w:r>
      <w:r w:rsidRPr="002E0B12">
        <w:rPr>
          <w:rFonts w:ascii="Times New Roman" w:eastAsia="Calibri" w:hAnsi="Times New Roman" w:cs="Times New Roman"/>
          <w:color w:val="000000" w:themeColor="text1"/>
        </w:rPr>
        <w:t xml:space="preserve">, </w:t>
      </w:r>
      <w:r w:rsidRPr="002E0B12">
        <w:rPr>
          <w:rFonts w:ascii="Times New Roman" w:eastAsia="Calibri" w:hAnsi="Times New Roman" w:cs="Times New Roman"/>
          <w:i/>
          <w:iCs/>
          <w:color w:val="000000" w:themeColor="text1"/>
        </w:rPr>
        <w:t>79</w:t>
      </w:r>
      <w:r w:rsidRPr="002E0B12">
        <w:rPr>
          <w:rFonts w:ascii="Times New Roman" w:eastAsia="Calibri" w:hAnsi="Times New Roman" w:cs="Times New Roman"/>
          <w:color w:val="000000" w:themeColor="text1"/>
        </w:rPr>
        <w:t xml:space="preserve">(4), 535–553. </w:t>
      </w:r>
      <w:hyperlink r:id="rId43" w:history="1">
        <w:hyperlink r:id="rId44" w:history="1">
          <w:r w:rsidR="002E0B12" w:rsidRPr="002E0B12">
            <w:rPr>
              <w:rStyle w:val="Hyperlink"/>
              <w:rFonts w:ascii="Times New Roman" w:hAnsi="Times New Roman" w:cs="Times New Roman"/>
              <w:bdr w:val="none" w:sz="0" w:space="0" w:color="auto" w:frame="1"/>
              <w:shd w:val="clear" w:color="auto" w:fill="FFFFFF"/>
            </w:rPr>
            <w:t>https://doi.org/10.5860/crl.79.4.535</w:t>
          </w:r>
        </w:hyperlink>
      </w:hyperlink>
    </w:p>
    <w:p w14:paraId="0167ECB4" w14:textId="77777777" w:rsidR="00A808AC" w:rsidRDefault="00A808AC" w:rsidP="00A808AC">
      <w:pPr>
        <w:spacing w:after="0" w:line="240" w:lineRule="auto"/>
        <w:ind w:left="720" w:hanging="720"/>
        <w:rPr>
          <w:rFonts w:ascii="Times New Roman" w:eastAsia="Calibri" w:hAnsi="Times New Roman" w:cs="Times New Roman"/>
          <w:color w:val="000000" w:themeColor="text1"/>
        </w:rPr>
      </w:pPr>
    </w:p>
    <w:p w14:paraId="3C9A5D0F" w14:textId="6D9993F5" w:rsidR="00375485" w:rsidRPr="00375485" w:rsidRDefault="1D4621AB" w:rsidP="00375485">
      <w:pPr>
        <w:spacing w:after="0" w:line="240" w:lineRule="auto"/>
        <w:ind w:left="720" w:hanging="720"/>
        <w:rPr>
          <w:rFonts w:ascii="Times New Roman" w:eastAsia="Calibri" w:hAnsi="Times New Roman" w:cs="Times New Roman"/>
          <w:color w:val="0563C1"/>
        </w:rPr>
      </w:pPr>
      <w:r w:rsidRPr="005E7D0C">
        <w:rPr>
          <w:rFonts w:ascii="Times New Roman" w:eastAsia="Calibri" w:hAnsi="Times New Roman" w:cs="Times New Roman"/>
          <w:color w:val="000000" w:themeColor="text1"/>
        </w:rPr>
        <w:t xml:space="preserve">Yu, T., Chen, C., Khoo, C., </w:t>
      </w:r>
      <w:proofErr w:type="spellStart"/>
      <w:r w:rsidRPr="005E7D0C">
        <w:rPr>
          <w:rFonts w:ascii="Times New Roman" w:eastAsia="Calibri" w:hAnsi="Times New Roman" w:cs="Times New Roman"/>
          <w:color w:val="000000" w:themeColor="text1"/>
        </w:rPr>
        <w:t>Butdisuwan</w:t>
      </w:r>
      <w:proofErr w:type="spellEnd"/>
      <w:r w:rsidRPr="005E7D0C">
        <w:rPr>
          <w:rFonts w:ascii="Times New Roman" w:eastAsia="Calibri" w:hAnsi="Times New Roman" w:cs="Times New Roman"/>
          <w:color w:val="000000" w:themeColor="text1"/>
        </w:rPr>
        <w:t xml:space="preserve">, S., Ma, L., </w:t>
      </w:r>
      <w:proofErr w:type="spellStart"/>
      <w:r w:rsidRPr="005E7D0C">
        <w:rPr>
          <w:rFonts w:ascii="Times New Roman" w:eastAsia="Calibri" w:hAnsi="Times New Roman" w:cs="Times New Roman"/>
          <w:color w:val="000000" w:themeColor="text1"/>
        </w:rPr>
        <w:t>Sacchanand</w:t>
      </w:r>
      <w:proofErr w:type="spellEnd"/>
      <w:r w:rsidRPr="005E7D0C">
        <w:rPr>
          <w:rFonts w:ascii="Times New Roman" w:eastAsia="Calibri" w:hAnsi="Times New Roman" w:cs="Times New Roman"/>
          <w:color w:val="000000" w:themeColor="text1"/>
        </w:rPr>
        <w:t xml:space="preserve">, C., &amp; </w:t>
      </w:r>
      <w:proofErr w:type="spellStart"/>
      <w:r w:rsidRPr="005E7D0C">
        <w:rPr>
          <w:rFonts w:ascii="Times New Roman" w:eastAsia="Calibri" w:hAnsi="Times New Roman" w:cs="Times New Roman"/>
          <w:color w:val="000000" w:themeColor="text1"/>
        </w:rPr>
        <w:t>Tuamsuk</w:t>
      </w:r>
      <w:proofErr w:type="spellEnd"/>
      <w:r w:rsidRPr="005E7D0C">
        <w:rPr>
          <w:rFonts w:ascii="Times New Roman" w:eastAsia="Calibri" w:hAnsi="Times New Roman" w:cs="Times New Roman"/>
          <w:color w:val="000000" w:themeColor="text1"/>
        </w:rPr>
        <w:t>, K. (2019). Faculty-librarian collaborative culture in the universities of Hong Kong,</w:t>
      </w:r>
      <w:r w:rsidR="00E03305">
        <w:rPr>
          <w:rFonts w:ascii="Times New Roman" w:eastAsia="Calibri" w:hAnsi="Times New Roman" w:cs="Times New Roman"/>
          <w:color w:val="000000" w:themeColor="text1"/>
        </w:rPr>
        <w:t xml:space="preserve"> </w:t>
      </w:r>
      <w:r w:rsidRPr="005E7D0C">
        <w:rPr>
          <w:rFonts w:ascii="Times New Roman" w:eastAsia="Calibri" w:hAnsi="Times New Roman" w:cs="Times New Roman"/>
          <w:color w:val="000000" w:themeColor="text1"/>
        </w:rPr>
        <w:t xml:space="preserve">Singapore, Taiwan, and Thailand: A comparative study. </w:t>
      </w:r>
      <w:r w:rsidRPr="005E7D0C">
        <w:rPr>
          <w:rFonts w:ascii="Times New Roman" w:eastAsia="Calibri" w:hAnsi="Times New Roman" w:cs="Times New Roman"/>
          <w:i/>
          <w:iCs/>
          <w:color w:val="000000" w:themeColor="text1"/>
        </w:rPr>
        <w:t>Malaysian Journal of Library &amp; Information Science</w:t>
      </w:r>
      <w:r w:rsidRPr="005E7D0C">
        <w:rPr>
          <w:rFonts w:ascii="Times New Roman" w:eastAsia="Calibri" w:hAnsi="Times New Roman" w:cs="Times New Roman"/>
          <w:color w:val="000000" w:themeColor="text1"/>
        </w:rPr>
        <w:t xml:space="preserve">, </w:t>
      </w:r>
      <w:r w:rsidRPr="005E7D0C">
        <w:rPr>
          <w:rFonts w:ascii="Times New Roman" w:eastAsia="Calibri" w:hAnsi="Times New Roman" w:cs="Times New Roman"/>
          <w:i/>
          <w:iCs/>
          <w:color w:val="000000" w:themeColor="text1"/>
        </w:rPr>
        <w:t>24</w:t>
      </w:r>
      <w:r w:rsidRPr="005E7D0C">
        <w:rPr>
          <w:rFonts w:ascii="Times New Roman" w:eastAsia="Calibri" w:hAnsi="Times New Roman" w:cs="Times New Roman"/>
          <w:color w:val="000000" w:themeColor="text1"/>
        </w:rPr>
        <w:t xml:space="preserve">(1), 97–121. </w:t>
      </w:r>
      <w:hyperlink r:id="rId45" w:history="1">
        <w:hyperlink r:id="rId46">
          <w:r w:rsidRPr="00E03305">
            <w:rPr>
              <w:rStyle w:val="Hyperlink"/>
              <w:rFonts w:ascii="Times New Roman" w:eastAsia="Calibri" w:hAnsi="Times New Roman" w:cs="Times New Roman"/>
            </w:rPr>
            <w:t>h</w:t>
          </w:r>
        </w:hyperlink>
        <w:r w:rsidRPr="00E03305">
          <w:rPr>
            <w:rStyle w:val="Hyperlink"/>
            <w:rFonts w:ascii="Times New Roman" w:eastAsia="Calibri" w:hAnsi="Times New Roman" w:cs="Times New Roman"/>
          </w:rPr>
          <w:t>ttps://doi.org/10.22452/mjlis.vol24no1.6</w:t>
        </w:r>
      </w:hyperlink>
    </w:p>
    <w:sectPr w:rsidR="00375485" w:rsidRPr="00375485" w:rsidSect="002916FA">
      <w:footerReference w:type="default" r:id="rId4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D8F45" w14:textId="77777777" w:rsidR="002916FA" w:rsidRDefault="002916FA" w:rsidP="00C47E6F">
      <w:pPr>
        <w:spacing w:after="0" w:line="240" w:lineRule="auto"/>
      </w:pPr>
      <w:r>
        <w:separator/>
      </w:r>
    </w:p>
  </w:endnote>
  <w:endnote w:type="continuationSeparator" w:id="0">
    <w:p w14:paraId="09767A89" w14:textId="77777777" w:rsidR="002916FA" w:rsidRDefault="002916FA" w:rsidP="00C47E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402299"/>
      <w:docPartObj>
        <w:docPartGallery w:val="Page Numbers (Bottom of Page)"/>
        <w:docPartUnique/>
      </w:docPartObj>
    </w:sdtPr>
    <w:sdtEndPr>
      <w:rPr>
        <w:rFonts w:ascii="Times New Roman" w:hAnsi="Times New Roman" w:cs="Times New Roman"/>
        <w:noProof/>
      </w:rPr>
    </w:sdtEndPr>
    <w:sdtContent>
      <w:p w14:paraId="1A8C1A52" w14:textId="16600179" w:rsidR="00C47E6F" w:rsidRPr="00C47E6F" w:rsidRDefault="00C47E6F">
        <w:pPr>
          <w:pStyle w:val="Footer"/>
          <w:jc w:val="center"/>
          <w:rPr>
            <w:rFonts w:ascii="Times New Roman" w:hAnsi="Times New Roman" w:cs="Times New Roman"/>
          </w:rPr>
        </w:pPr>
        <w:r w:rsidRPr="00C47E6F">
          <w:rPr>
            <w:rFonts w:ascii="Times New Roman" w:hAnsi="Times New Roman" w:cs="Times New Roman"/>
          </w:rPr>
          <w:fldChar w:fldCharType="begin"/>
        </w:r>
        <w:r w:rsidRPr="00C47E6F">
          <w:rPr>
            <w:rFonts w:ascii="Times New Roman" w:hAnsi="Times New Roman" w:cs="Times New Roman"/>
          </w:rPr>
          <w:instrText xml:space="preserve"> PAGE   \* MERGEFORMAT </w:instrText>
        </w:r>
        <w:r w:rsidRPr="00C47E6F">
          <w:rPr>
            <w:rFonts w:ascii="Times New Roman" w:hAnsi="Times New Roman" w:cs="Times New Roman"/>
          </w:rPr>
          <w:fldChar w:fldCharType="separate"/>
        </w:r>
        <w:r w:rsidRPr="00C47E6F">
          <w:rPr>
            <w:rFonts w:ascii="Times New Roman" w:hAnsi="Times New Roman" w:cs="Times New Roman"/>
            <w:noProof/>
          </w:rPr>
          <w:t>2</w:t>
        </w:r>
        <w:r w:rsidRPr="00C47E6F">
          <w:rPr>
            <w:rFonts w:ascii="Times New Roman" w:hAnsi="Times New Roman" w:cs="Times New Roman"/>
            <w:noProof/>
          </w:rPr>
          <w:fldChar w:fldCharType="end"/>
        </w:r>
      </w:p>
    </w:sdtContent>
  </w:sdt>
  <w:p w14:paraId="54431D5E" w14:textId="77777777" w:rsidR="00C47E6F" w:rsidRDefault="00C47E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15D0DD" w14:textId="77777777" w:rsidR="002916FA" w:rsidRDefault="002916FA" w:rsidP="00C47E6F">
      <w:pPr>
        <w:spacing w:after="0" w:line="240" w:lineRule="auto"/>
      </w:pPr>
      <w:r>
        <w:separator/>
      </w:r>
    </w:p>
  </w:footnote>
  <w:footnote w:type="continuationSeparator" w:id="0">
    <w:p w14:paraId="7B36FCF6" w14:textId="77777777" w:rsidR="002916FA" w:rsidRDefault="002916FA" w:rsidP="00C47E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3D728"/>
    <w:multiLevelType w:val="hybridMultilevel"/>
    <w:tmpl w:val="0BCE52CC"/>
    <w:lvl w:ilvl="0" w:tplc="AF223622">
      <w:start w:val="1"/>
      <w:numFmt w:val="bullet"/>
      <w:lvlText w:val=""/>
      <w:lvlJc w:val="left"/>
      <w:pPr>
        <w:ind w:left="720" w:hanging="360"/>
      </w:pPr>
      <w:rPr>
        <w:rFonts w:ascii="Symbol" w:hAnsi="Symbol" w:hint="default"/>
      </w:rPr>
    </w:lvl>
    <w:lvl w:ilvl="1" w:tplc="4860F91C">
      <w:start w:val="1"/>
      <w:numFmt w:val="bullet"/>
      <w:lvlText w:val="o"/>
      <w:lvlJc w:val="left"/>
      <w:pPr>
        <w:ind w:left="1440" w:hanging="360"/>
      </w:pPr>
      <w:rPr>
        <w:rFonts w:ascii="Courier New" w:hAnsi="Courier New" w:hint="default"/>
      </w:rPr>
    </w:lvl>
    <w:lvl w:ilvl="2" w:tplc="369667B4">
      <w:start w:val="1"/>
      <w:numFmt w:val="bullet"/>
      <w:lvlText w:val=""/>
      <w:lvlJc w:val="left"/>
      <w:pPr>
        <w:ind w:left="2160" w:hanging="360"/>
      </w:pPr>
      <w:rPr>
        <w:rFonts w:ascii="Wingdings" w:hAnsi="Wingdings" w:hint="default"/>
      </w:rPr>
    </w:lvl>
    <w:lvl w:ilvl="3" w:tplc="EE7E1DA8">
      <w:start w:val="1"/>
      <w:numFmt w:val="bullet"/>
      <w:lvlText w:val=""/>
      <w:lvlJc w:val="left"/>
      <w:pPr>
        <w:ind w:left="2880" w:hanging="360"/>
      </w:pPr>
      <w:rPr>
        <w:rFonts w:ascii="Symbol" w:hAnsi="Symbol" w:hint="default"/>
      </w:rPr>
    </w:lvl>
    <w:lvl w:ilvl="4" w:tplc="1A4C3A44">
      <w:start w:val="1"/>
      <w:numFmt w:val="bullet"/>
      <w:lvlText w:val="o"/>
      <w:lvlJc w:val="left"/>
      <w:pPr>
        <w:ind w:left="3600" w:hanging="360"/>
      </w:pPr>
      <w:rPr>
        <w:rFonts w:ascii="Courier New" w:hAnsi="Courier New" w:hint="default"/>
      </w:rPr>
    </w:lvl>
    <w:lvl w:ilvl="5" w:tplc="98323EC6">
      <w:start w:val="1"/>
      <w:numFmt w:val="bullet"/>
      <w:lvlText w:val=""/>
      <w:lvlJc w:val="left"/>
      <w:pPr>
        <w:ind w:left="4320" w:hanging="360"/>
      </w:pPr>
      <w:rPr>
        <w:rFonts w:ascii="Wingdings" w:hAnsi="Wingdings" w:hint="default"/>
      </w:rPr>
    </w:lvl>
    <w:lvl w:ilvl="6" w:tplc="C4AA5098">
      <w:start w:val="1"/>
      <w:numFmt w:val="bullet"/>
      <w:lvlText w:val=""/>
      <w:lvlJc w:val="left"/>
      <w:pPr>
        <w:ind w:left="5040" w:hanging="360"/>
      </w:pPr>
      <w:rPr>
        <w:rFonts w:ascii="Symbol" w:hAnsi="Symbol" w:hint="default"/>
      </w:rPr>
    </w:lvl>
    <w:lvl w:ilvl="7" w:tplc="704ED846">
      <w:start w:val="1"/>
      <w:numFmt w:val="bullet"/>
      <w:lvlText w:val="o"/>
      <w:lvlJc w:val="left"/>
      <w:pPr>
        <w:ind w:left="5760" w:hanging="360"/>
      </w:pPr>
      <w:rPr>
        <w:rFonts w:ascii="Courier New" w:hAnsi="Courier New" w:hint="default"/>
      </w:rPr>
    </w:lvl>
    <w:lvl w:ilvl="8" w:tplc="B366E3A8">
      <w:start w:val="1"/>
      <w:numFmt w:val="bullet"/>
      <w:lvlText w:val=""/>
      <w:lvlJc w:val="left"/>
      <w:pPr>
        <w:ind w:left="6480" w:hanging="360"/>
      </w:pPr>
      <w:rPr>
        <w:rFonts w:ascii="Wingdings" w:hAnsi="Wingdings" w:hint="default"/>
      </w:rPr>
    </w:lvl>
  </w:abstractNum>
  <w:abstractNum w:abstractNumId="1" w15:restartNumberingAfterBreak="0">
    <w:nsid w:val="181587CD"/>
    <w:multiLevelType w:val="hybridMultilevel"/>
    <w:tmpl w:val="DC6E213C"/>
    <w:lvl w:ilvl="0" w:tplc="4A7E1C74">
      <w:start w:val="1"/>
      <w:numFmt w:val="bullet"/>
      <w:lvlText w:val=""/>
      <w:lvlJc w:val="left"/>
      <w:pPr>
        <w:ind w:left="720" w:hanging="360"/>
      </w:pPr>
      <w:rPr>
        <w:rFonts w:ascii="Symbol" w:hAnsi="Symbol" w:hint="default"/>
      </w:rPr>
    </w:lvl>
    <w:lvl w:ilvl="1" w:tplc="E8A0D186">
      <w:start w:val="1"/>
      <w:numFmt w:val="bullet"/>
      <w:lvlText w:val="o"/>
      <w:lvlJc w:val="left"/>
      <w:pPr>
        <w:ind w:left="1440" w:hanging="360"/>
      </w:pPr>
      <w:rPr>
        <w:rFonts w:ascii="Courier New" w:hAnsi="Courier New" w:hint="default"/>
      </w:rPr>
    </w:lvl>
    <w:lvl w:ilvl="2" w:tplc="A2B47932">
      <w:start w:val="1"/>
      <w:numFmt w:val="bullet"/>
      <w:lvlText w:val=""/>
      <w:lvlJc w:val="left"/>
      <w:pPr>
        <w:ind w:left="2160" w:hanging="360"/>
      </w:pPr>
      <w:rPr>
        <w:rFonts w:ascii="Wingdings" w:hAnsi="Wingdings" w:hint="default"/>
      </w:rPr>
    </w:lvl>
    <w:lvl w:ilvl="3" w:tplc="D97289D6">
      <w:start w:val="1"/>
      <w:numFmt w:val="bullet"/>
      <w:lvlText w:val=""/>
      <w:lvlJc w:val="left"/>
      <w:pPr>
        <w:ind w:left="2880" w:hanging="360"/>
      </w:pPr>
      <w:rPr>
        <w:rFonts w:ascii="Symbol" w:hAnsi="Symbol" w:hint="default"/>
      </w:rPr>
    </w:lvl>
    <w:lvl w:ilvl="4" w:tplc="6F1292BC">
      <w:start w:val="1"/>
      <w:numFmt w:val="bullet"/>
      <w:lvlText w:val="o"/>
      <w:lvlJc w:val="left"/>
      <w:pPr>
        <w:ind w:left="3600" w:hanging="360"/>
      </w:pPr>
      <w:rPr>
        <w:rFonts w:ascii="Courier New" w:hAnsi="Courier New" w:hint="default"/>
      </w:rPr>
    </w:lvl>
    <w:lvl w:ilvl="5" w:tplc="A334B370">
      <w:start w:val="1"/>
      <w:numFmt w:val="bullet"/>
      <w:lvlText w:val=""/>
      <w:lvlJc w:val="left"/>
      <w:pPr>
        <w:ind w:left="4320" w:hanging="360"/>
      </w:pPr>
      <w:rPr>
        <w:rFonts w:ascii="Wingdings" w:hAnsi="Wingdings" w:hint="default"/>
      </w:rPr>
    </w:lvl>
    <w:lvl w:ilvl="6" w:tplc="3DB2211C">
      <w:start w:val="1"/>
      <w:numFmt w:val="bullet"/>
      <w:lvlText w:val=""/>
      <w:lvlJc w:val="left"/>
      <w:pPr>
        <w:ind w:left="5040" w:hanging="360"/>
      </w:pPr>
      <w:rPr>
        <w:rFonts w:ascii="Symbol" w:hAnsi="Symbol" w:hint="default"/>
      </w:rPr>
    </w:lvl>
    <w:lvl w:ilvl="7" w:tplc="84BED1F8">
      <w:start w:val="1"/>
      <w:numFmt w:val="bullet"/>
      <w:lvlText w:val="o"/>
      <w:lvlJc w:val="left"/>
      <w:pPr>
        <w:ind w:left="5760" w:hanging="360"/>
      </w:pPr>
      <w:rPr>
        <w:rFonts w:ascii="Courier New" w:hAnsi="Courier New" w:hint="default"/>
      </w:rPr>
    </w:lvl>
    <w:lvl w:ilvl="8" w:tplc="C04219DE">
      <w:start w:val="1"/>
      <w:numFmt w:val="bullet"/>
      <w:lvlText w:val=""/>
      <w:lvlJc w:val="left"/>
      <w:pPr>
        <w:ind w:left="6480" w:hanging="360"/>
      </w:pPr>
      <w:rPr>
        <w:rFonts w:ascii="Wingdings" w:hAnsi="Wingdings" w:hint="default"/>
      </w:rPr>
    </w:lvl>
  </w:abstractNum>
  <w:abstractNum w:abstractNumId="2" w15:restartNumberingAfterBreak="0">
    <w:nsid w:val="233972C2"/>
    <w:multiLevelType w:val="hybridMultilevel"/>
    <w:tmpl w:val="9946AA2A"/>
    <w:lvl w:ilvl="0" w:tplc="865E3AD8">
      <w:start w:val="1"/>
      <w:numFmt w:val="bullet"/>
      <w:lvlText w:val=""/>
      <w:lvlJc w:val="left"/>
      <w:pPr>
        <w:ind w:left="720" w:hanging="360"/>
      </w:pPr>
      <w:rPr>
        <w:rFonts w:ascii="Symbol" w:hAnsi="Symbol" w:hint="default"/>
      </w:rPr>
    </w:lvl>
    <w:lvl w:ilvl="1" w:tplc="C70248DE">
      <w:start w:val="1"/>
      <w:numFmt w:val="bullet"/>
      <w:lvlText w:val="o"/>
      <w:lvlJc w:val="left"/>
      <w:pPr>
        <w:ind w:left="1440" w:hanging="360"/>
      </w:pPr>
      <w:rPr>
        <w:rFonts w:ascii="Courier New" w:hAnsi="Courier New" w:hint="default"/>
      </w:rPr>
    </w:lvl>
    <w:lvl w:ilvl="2" w:tplc="C0785122">
      <w:start w:val="1"/>
      <w:numFmt w:val="bullet"/>
      <w:lvlText w:val=""/>
      <w:lvlJc w:val="left"/>
      <w:pPr>
        <w:ind w:left="2160" w:hanging="360"/>
      </w:pPr>
      <w:rPr>
        <w:rFonts w:ascii="Wingdings" w:hAnsi="Wingdings" w:hint="default"/>
      </w:rPr>
    </w:lvl>
    <w:lvl w:ilvl="3" w:tplc="DA80DC12">
      <w:start w:val="1"/>
      <w:numFmt w:val="bullet"/>
      <w:lvlText w:val=""/>
      <w:lvlJc w:val="left"/>
      <w:pPr>
        <w:ind w:left="2880" w:hanging="360"/>
      </w:pPr>
      <w:rPr>
        <w:rFonts w:ascii="Symbol" w:hAnsi="Symbol" w:hint="default"/>
      </w:rPr>
    </w:lvl>
    <w:lvl w:ilvl="4" w:tplc="39E2DF16">
      <w:start w:val="1"/>
      <w:numFmt w:val="bullet"/>
      <w:lvlText w:val="o"/>
      <w:lvlJc w:val="left"/>
      <w:pPr>
        <w:ind w:left="3600" w:hanging="360"/>
      </w:pPr>
      <w:rPr>
        <w:rFonts w:ascii="Courier New" w:hAnsi="Courier New" w:hint="default"/>
      </w:rPr>
    </w:lvl>
    <w:lvl w:ilvl="5" w:tplc="CDC8F1C4">
      <w:start w:val="1"/>
      <w:numFmt w:val="bullet"/>
      <w:lvlText w:val=""/>
      <w:lvlJc w:val="left"/>
      <w:pPr>
        <w:ind w:left="4320" w:hanging="360"/>
      </w:pPr>
      <w:rPr>
        <w:rFonts w:ascii="Wingdings" w:hAnsi="Wingdings" w:hint="default"/>
      </w:rPr>
    </w:lvl>
    <w:lvl w:ilvl="6" w:tplc="8EB6512A">
      <w:start w:val="1"/>
      <w:numFmt w:val="bullet"/>
      <w:lvlText w:val=""/>
      <w:lvlJc w:val="left"/>
      <w:pPr>
        <w:ind w:left="5040" w:hanging="360"/>
      </w:pPr>
      <w:rPr>
        <w:rFonts w:ascii="Symbol" w:hAnsi="Symbol" w:hint="default"/>
      </w:rPr>
    </w:lvl>
    <w:lvl w:ilvl="7" w:tplc="3446F342">
      <w:start w:val="1"/>
      <w:numFmt w:val="bullet"/>
      <w:lvlText w:val="o"/>
      <w:lvlJc w:val="left"/>
      <w:pPr>
        <w:ind w:left="5760" w:hanging="360"/>
      </w:pPr>
      <w:rPr>
        <w:rFonts w:ascii="Courier New" w:hAnsi="Courier New" w:hint="default"/>
      </w:rPr>
    </w:lvl>
    <w:lvl w:ilvl="8" w:tplc="E6BC38E8">
      <w:start w:val="1"/>
      <w:numFmt w:val="bullet"/>
      <w:lvlText w:val=""/>
      <w:lvlJc w:val="left"/>
      <w:pPr>
        <w:ind w:left="6480" w:hanging="360"/>
      </w:pPr>
      <w:rPr>
        <w:rFonts w:ascii="Wingdings" w:hAnsi="Wingdings" w:hint="default"/>
      </w:rPr>
    </w:lvl>
  </w:abstractNum>
  <w:abstractNum w:abstractNumId="3" w15:restartNumberingAfterBreak="0">
    <w:nsid w:val="26B2D21C"/>
    <w:multiLevelType w:val="hybridMultilevel"/>
    <w:tmpl w:val="587A9328"/>
    <w:lvl w:ilvl="0" w:tplc="FEA6C01A">
      <w:start w:val="1"/>
      <w:numFmt w:val="bullet"/>
      <w:lvlText w:val=""/>
      <w:lvlJc w:val="left"/>
      <w:pPr>
        <w:ind w:left="720" w:hanging="360"/>
      </w:pPr>
      <w:rPr>
        <w:rFonts w:ascii="Symbol" w:hAnsi="Symbol" w:hint="default"/>
      </w:rPr>
    </w:lvl>
    <w:lvl w:ilvl="1" w:tplc="438825EE">
      <w:start w:val="1"/>
      <w:numFmt w:val="bullet"/>
      <w:lvlText w:val="o"/>
      <w:lvlJc w:val="left"/>
      <w:pPr>
        <w:ind w:left="1440" w:hanging="360"/>
      </w:pPr>
      <w:rPr>
        <w:rFonts w:ascii="Courier New" w:hAnsi="Courier New" w:hint="default"/>
      </w:rPr>
    </w:lvl>
    <w:lvl w:ilvl="2" w:tplc="6DD2B220">
      <w:start w:val="1"/>
      <w:numFmt w:val="bullet"/>
      <w:lvlText w:val=""/>
      <w:lvlJc w:val="left"/>
      <w:pPr>
        <w:ind w:left="2160" w:hanging="360"/>
      </w:pPr>
      <w:rPr>
        <w:rFonts w:ascii="Wingdings" w:hAnsi="Wingdings" w:hint="default"/>
      </w:rPr>
    </w:lvl>
    <w:lvl w:ilvl="3" w:tplc="FB407AFE">
      <w:start w:val="1"/>
      <w:numFmt w:val="bullet"/>
      <w:lvlText w:val=""/>
      <w:lvlJc w:val="left"/>
      <w:pPr>
        <w:ind w:left="2880" w:hanging="360"/>
      </w:pPr>
      <w:rPr>
        <w:rFonts w:ascii="Symbol" w:hAnsi="Symbol" w:hint="default"/>
      </w:rPr>
    </w:lvl>
    <w:lvl w:ilvl="4" w:tplc="00889860">
      <w:start w:val="1"/>
      <w:numFmt w:val="bullet"/>
      <w:lvlText w:val="o"/>
      <w:lvlJc w:val="left"/>
      <w:pPr>
        <w:ind w:left="3600" w:hanging="360"/>
      </w:pPr>
      <w:rPr>
        <w:rFonts w:ascii="Courier New" w:hAnsi="Courier New" w:hint="default"/>
      </w:rPr>
    </w:lvl>
    <w:lvl w:ilvl="5" w:tplc="00D4274C">
      <w:start w:val="1"/>
      <w:numFmt w:val="bullet"/>
      <w:lvlText w:val=""/>
      <w:lvlJc w:val="left"/>
      <w:pPr>
        <w:ind w:left="4320" w:hanging="360"/>
      </w:pPr>
      <w:rPr>
        <w:rFonts w:ascii="Wingdings" w:hAnsi="Wingdings" w:hint="default"/>
      </w:rPr>
    </w:lvl>
    <w:lvl w:ilvl="6" w:tplc="FAB462E6">
      <w:start w:val="1"/>
      <w:numFmt w:val="bullet"/>
      <w:lvlText w:val=""/>
      <w:lvlJc w:val="left"/>
      <w:pPr>
        <w:ind w:left="5040" w:hanging="360"/>
      </w:pPr>
      <w:rPr>
        <w:rFonts w:ascii="Symbol" w:hAnsi="Symbol" w:hint="default"/>
      </w:rPr>
    </w:lvl>
    <w:lvl w:ilvl="7" w:tplc="76AC3D06">
      <w:start w:val="1"/>
      <w:numFmt w:val="bullet"/>
      <w:lvlText w:val="o"/>
      <w:lvlJc w:val="left"/>
      <w:pPr>
        <w:ind w:left="5760" w:hanging="360"/>
      </w:pPr>
      <w:rPr>
        <w:rFonts w:ascii="Courier New" w:hAnsi="Courier New" w:hint="default"/>
      </w:rPr>
    </w:lvl>
    <w:lvl w:ilvl="8" w:tplc="9A52E78E">
      <w:start w:val="1"/>
      <w:numFmt w:val="bullet"/>
      <w:lvlText w:val=""/>
      <w:lvlJc w:val="left"/>
      <w:pPr>
        <w:ind w:left="6480" w:hanging="360"/>
      </w:pPr>
      <w:rPr>
        <w:rFonts w:ascii="Wingdings" w:hAnsi="Wingdings" w:hint="default"/>
      </w:rPr>
    </w:lvl>
  </w:abstractNum>
  <w:abstractNum w:abstractNumId="4" w15:restartNumberingAfterBreak="0">
    <w:nsid w:val="2A153021"/>
    <w:multiLevelType w:val="hybridMultilevel"/>
    <w:tmpl w:val="54F24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FA8918"/>
    <w:multiLevelType w:val="hybridMultilevel"/>
    <w:tmpl w:val="D0D2C354"/>
    <w:lvl w:ilvl="0" w:tplc="059234B4">
      <w:start w:val="1"/>
      <w:numFmt w:val="bullet"/>
      <w:lvlText w:val=""/>
      <w:lvlJc w:val="left"/>
      <w:pPr>
        <w:ind w:left="720" w:hanging="360"/>
      </w:pPr>
      <w:rPr>
        <w:rFonts w:ascii="Symbol" w:hAnsi="Symbol" w:hint="default"/>
      </w:rPr>
    </w:lvl>
    <w:lvl w:ilvl="1" w:tplc="426213CA">
      <w:start w:val="1"/>
      <w:numFmt w:val="bullet"/>
      <w:lvlText w:val="o"/>
      <w:lvlJc w:val="left"/>
      <w:pPr>
        <w:ind w:left="1440" w:hanging="360"/>
      </w:pPr>
      <w:rPr>
        <w:rFonts w:ascii="Courier New" w:hAnsi="Courier New" w:hint="default"/>
      </w:rPr>
    </w:lvl>
    <w:lvl w:ilvl="2" w:tplc="6AB4D554">
      <w:start w:val="1"/>
      <w:numFmt w:val="bullet"/>
      <w:lvlText w:val=""/>
      <w:lvlJc w:val="left"/>
      <w:pPr>
        <w:ind w:left="2160" w:hanging="360"/>
      </w:pPr>
      <w:rPr>
        <w:rFonts w:ascii="Wingdings" w:hAnsi="Wingdings" w:hint="default"/>
      </w:rPr>
    </w:lvl>
    <w:lvl w:ilvl="3" w:tplc="7550F618">
      <w:start w:val="1"/>
      <w:numFmt w:val="bullet"/>
      <w:lvlText w:val=""/>
      <w:lvlJc w:val="left"/>
      <w:pPr>
        <w:ind w:left="2880" w:hanging="360"/>
      </w:pPr>
      <w:rPr>
        <w:rFonts w:ascii="Symbol" w:hAnsi="Symbol" w:hint="default"/>
      </w:rPr>
    </w:lvl>
    <w:lvl w:ilvl="4" w:tplc="90360D26">
      <w:start w:val="1"/>
      <w:numFmt w:val="bullet"/>
      <w:lvlText w:val="o"/>
      <w:lvlJc w:val="left"/>
      <w:pPr>
        <w:ind w:left="3600" w:hanging="360"/>
      </w:pPr>
      <w:rPr>
        <w:rFonts w:ascii="Courier New" w:hAnsi="Courier New" w:hint="default"/>
      </w:rPr>
    </w:lvl>
    <w:lvl w:ilvl="5" w:tplc="BD308BB2">
      <w:start w:val="1"/>
      <w:numFmt w:val="bullet"/>
      <w:lvlText w:val=""/>
      <w:lvlJc w:val="left"/>
      <w:pPr>
        <w:ind w:left="4320" w:hanging="360"/>
      </w:pPr>
      <w:rPr>
        <w:rFonts w:ascii="Wingdings" w:hAnsi="Wingdings" w:hint="default"/>
      </w:rPr>
    </w:lvl>
    <w:lvl w:ilvl="6" w:tplc="A412B88E">
      <w:start w:val="1"/>
      <w:numFmt w:val="bullet"/>
      <w:lvlText w:val=""/>
      <w:lvlJc w:val="left"/>
      <w:pPr>
        <w:ind w:left="5040" w:hanging="360"/>
      </w:pPr>
      <w:rPr>
        <w:rFonts w:ascii="Symbol" w:hAnsi="Symbol" w:hint="default"/>
      </w:rPr>
    </w:lvl>
    <w:lvl w:ilvl="7" w:tplc="D1CAC1B4">
      <w:start w:val="1"/>
      <w:numFmt w:val="bullet"/>
      <w:lvlText w:val="o"/>
      <w:lvlJc w:val="left"/>
      <w:pPr>
        <w:ind w:left="5760" w:hanging="360"/>
      </w:pPr>
      <w:rPr>
        <w:rFonts w:ascii="Courier New" w:hAnsi="Courier New" w:hint="default"/>
      </w:rPr>
    </w:lvl>
    <w:lvl w:ilvl="8" w:tplc="897E331C">
      <w:start w:val="1"/>
      <w:numFmt w:val="bullet"/>
      <w:lvlText w:val=""/>
      <w:lvlJc w:val="left"/>
      <w:pPr>
        <w:ind w:left="6480" w:hanging="360"/>
      </w:pPr>
      <w:rPr>
        <w:rFonts w:ascii="Wingdings" w:hAnsi="Wingdings" w:hint="default"/>
      </w:rPr>
    </w:lvl>
  </w:abstractNum>
  <w:abstractNum w:abstractNumId="6" w15:restartNumberingAfterBreak="0">
    <w:nsid w:val="35B0A012"/>
    <w:multiLevelType w:val="hybridMultilevel"/>
    <w:tmpl w:val="8B8CFD9E"/>
    <w:lvl w:ilvl="0" w:tplc="53767056">
      <w:start w:val="1"/>
      <w:numFmt w:val="bullet"/>
      <w:lvlText w:val=""/>
      <w:lvlJc w:val="left"/>
      <w:pPr>
        <w:ind w:left="720" w:hanging="360"/>
      </w:pPr>
      <w:rPr>
        <w:rFonts w:ascii="Symbol" w:hAnsi="Symbol" w:hint="default"/>
      </w:rPr>
    </w:lvl>
    <w:lvl w:ilvl="1" w:tplc="18D63686">
      <w:start w:val="1"/>
      <w:numFmt w:val="bullet"/>
      <w:lvlText w:val="o"/>
      <w:lvlJc w:val="left"/>
      <w:pPr>
        <w:ind w:left="1440" w:hanging="360"/>
      </w:pPr>
      <w:rPr>
        <w:rFonts w:ascii="Courier New" w:hAnsi="Courier New" w:hint="default"/>
      </w:rPr>
    </w:lvl>
    <w:lvl w:ilvl="2" w:tplc="22BCE7F6">
      <w:start w:val="1"/>
      <w:numFmt w:val="bullet"/>
      <w:lvlText w:val=""/>
      <w:lvlJc w:val="left"/>
      <w:pPr>
        <w:ind w:left="2160" w:hanging="360"/>
      </w:pPr>
      <w:rPr>
        <w:rFonts w:ascii="Wingdings" w:hAnsi="Wingdings" w:hint="default"/>
      </w:rPr>
    </w:lvl>
    <w:lvl w:ilvl="3" w:tplc="6416F6D8">
      <w:start w:val="1"/>
      <w:numFmt w:val="bullet"/>
      <w:lvlText w:val=""/>
      <w:lvlJc w:val="left"/>
      <w:pPr>
        <w:ind w:left="2880" w:hanging="360"/>
      </w:pPr>
      <w:rPr>
        <w:rFonts w:ascii="Symbol" w:hAnsi="Symbol" w:hint="default"/>
      </w:rPr>
    </w:lvl>
    <w:lvl w:ilvl="4" w:tplc="77489B88">
      <w:start w:val="1"/>
      <w:numFmt w:val="bullet"/>
      <w:lvlText w:val="o"/>
      <w:lvlJc w:val="left"/>
      <w:pPr>
        <w:ind w:left="3600" w:hanging="360"/>
      </w:pPr>
      <w:rPr>
        <w:rFonts w:ascii="Courier New" w:hAnsi="Courier New" w:hint="default"/>
      </w:rPr>
    </w:lvl>
    <w:lvl w:ilvl="5" w:tplc="60808BD0">
      <w:start w:val="1"/>
      <w:numFmt w:val="bullet"/>
      <w:lvlText w:val=""/>
      <w:lvlJc w:val="left"/>
      <w:pPr>
        <w:ind w:left="4320" w:hanging="360"/>
      </w:pPr>
      <w:rPr>
        <w:rFonts w:ascii="Wingdings" w:hAnsi="Wingdings" w:hint="default"/>
      </w:rPr>
    </w:lvl>
    <w:lvl w:ilvl="6" w:tplc="17D46382">
      <w:start w:val="1"/>
      <w:numFmt w:val="bullet"/>
      <w:lvlText w:val=""/>
      <w:lvlJc w:val="left"/>
      <w:pPr>
        <w:ind w:left="5040" w:hanging="360"/>
      </w:pPr>
      <w:rPr>
        <w:rFonts w:ascii="Symbol" w:hAnsi="Symbol" w:hint="default"/>
      </w:rPr>
    </w:lvl>
    <w:lvl w:ilvl="7" w:tplc="EFF2CB44">
      <w:start w:val="1"/>
      <w:numFmt w:val="bullet"/>
      <w:lvlText w:val="o"/>
      <w:lvlJc w:val="left"/>
      <w:pPr>
        <w:ind w:left="5760" w:hanging="360"/>
      </w:pPr>
      <w:rPr>
        <w:rFonts w:ascii="Courier New" w:hAnsi="Courier New" w:hint="default"/>
      </w:rPr>
    </w:lvl>
    <w:lvl w:ilvl="8" w:tplc="81C2826C">
      <w:start w:val="1"/>
      <w:numFmt w:val="bullet"/>
      <w:lvlText w:val=""/>
      <w:lvlJc w:val="left"/>
      <w:pPr>
        <w:ind w:left="6480" w:hanging="360"/>
      </w:pPr>
      <w:rPr>
        <w:rFonts w:ascii="Wingdings" w:hAnsi="Wingdings" w:hint="default"/>
      </w:rPr>
    </w:lvl>
  </w:abstractNum>
  <w:abstractNum w:abstractNumId="7" w15:restartNumberingAfterBreak="0">
    <w:nsid w:val="37212F55"/>
    <w:multiLevelType w:val="hybridMultilevel"/>
    <w:tmpl w:val="FD648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3F49FB8"/>
    <w:multiLevelType w:val="hybridMultilevel"/>
    <w:tmpl w:val="529EDA96"/>
    <w:lvl w:ilvl="0" w:tplc="35EE3FCC">
      <w:start w:val="1"/>
      <w:numFmt w:val="bullet"/>
      <w:lvlText w:val=""/>
      <w:lvlJc w:val="left"/>
      <w:pPr>
        <w:ind w:left="720" w:hanging="360"/>
      </w:pPr>
      <w:rPr>
        <w:rFonts w:ascii="Symbol" w:hAnsi="Symbol" w:hint="default"/>
      </w:rPr>
    </w:lvl>
    <w:lvl w:ilvl="1" w:tplc="0A68B094">
      <w:start w:val="1"/>
      <w:numFmt w:val="bullet"/>
      <w:lvlText w:val="o"/>
      <w:lvlJc w:val="left"/>
      <w:pPr>
        <w:ind w:left="1440" w:hanging="360"/>
      </w:pPr>
      <w:rPr>
        <w:rFonts w:ascii="Courier New" w:hAnsi="Courier New" w:hint="default"/>
      </w:rPr>
    </w:lvl>
    <w:lvl w:ilvl="2" w:tplc="C5C0D7F2">
      <w:start w:val="1"/>
      <w:numFmt w:val="bullet"/>
      <w:lvlText w:val=""/>
      <w:lvlJc w:val="left"/>
      <w:pPr>
        <w:ind w:left="2160" w:hanging="360"/>
      </w:pPr>
      <w:rPr>
        <w:rFonts w:ascii="Wingdings" w:hAnsi="Wingdings" w:hint="default"/>
      </w:rPr>
    </w:lvl>
    <w:lvl w:ilvl="3" w:tplc="05641BD2">
      <w:start w:val="1"/>
      <w:numFmt w:val="bullet"/>
      <w:lvlText w:val=""/>
      <w:lvlJc w:val="left"/>
      <w:pPr>
        <w:ind w:left="2880" w:hanging="360"/>
      </w:pPr>
      <w:rPr>
        <w:rFonts w:ascii="Symbol" w:hAnsi="Symbol" w:hint="default"/>
      </w:rPr>
    </w:lvl>
    <w:lvl w:ilvl="4" w:tplc="A1AE255E">
      <w:start w:val="1"/>
      <w:numFmt w:val="bullet"/>
      <w:lvlText w:val="o"/>
      <w:lvlJc w:val="left"/>
      <w:pPr>
        <w:ind w:left="3600" w:hanging="360"/>
      </w:pPr>
      <w:rPr>
        <w:rFonts w:ascii="Courier New" w:hAnsi="Courier New" w:hint="default"/>
      </w:rPr>
    </w:lvl>
    <w:lvl w:ilvl="5" w:tplc="057476F0">
      <w:start w:val="1"/>
      <w:numFmt w:val="bullet"/>
      <w:lvlText w:val=""/>
      <w:lvlJc w:val="left"/>
      <w:pPr>
        <w:ind w:left="4320" w:hanging="360"/>
      </w:pPr>
      <w:rPr>
        <w:rFonts w:ascii="Wingdings" w:hAnsi="Wingdings" w:hint="default"/>
      </w:rPr>
    </w:lvl>
    <w:lvl w:ilvl="6" w:tplc="63F8A984">
      <w:start w:val="1"/>
      <w:numFmt w:val="bullet"/>
      <w:lvlText w:val=""/>
      <w:lvlJc w:val="left"/>
      <w:pPr>
        <w:ind w:left="5040" w:hanging="360"/>
      </w:pPr>
      <w:rPr>
        <w:rFonts w:ascii="Symbol" w:hAnsi="Symbol" w:hint="default"/>
      </w:rPr>
    </w:lvl>
    <w:lvl w:ilvl="7" w:tplc="C8EED5EC">
      <w:start w:val="1"/>
      <w:numFmt w:val="bullet"/>
      <w:lvlText w:val="o"/>
      <w:lvlJc w:val="left"/>
      <w:pPr>
        <w:ind w:left="5760" w:hanging="360"/>
      </w:pPr>
      <w:rPr>
        <w:rFonts w:ascii="Courier New" w:hAnsi="Courier New" w:hint="default"/>
      </w:rPr>
    </w:lvl>
    <w:lvl w:ilvl="8" w:tplc="42FC0A9A">
      <w:start w:val="1"/>
      <w:numFmt w:val="bullet"/>
      <w:lvlText w:val=""/>
      <w:lvlJc w:val="left"/>
      <w:pPr>
        <w:ind w:left="6480" w:hanging="360"/>
      </w:pPr>
      <w:rPr>
        <w:rFonts w:ascii="Wingdings" w:hAnsi="Wingdings" w:hint="default"/>
      </w:rPr>
    </w:lvl>
  </w:abstractNum>
  <w:abstractNum w:abstractNumId="9" w15:restartNumberingAfterBreak="0">
    <w:nsid w:val="46DB2A67"/>
    <w:multiLevelType w:val="hybridMultilevel"/>
    <w:tmpl w:val="A29838DE"/>
    <w:lvl w:ilvl="0" w:tplc="020E4458">
      <w:start w:val="1"/>
      <w:numFmt w:val="bullet"/>
      <w:lvlText w:val=""/>
      <w:lvlJc w:val="left"/>
      <w:pPr>
        <w:ind w:left="720" w:hanging="360"/>
      </w:pPr>
      <w:rPr>
        <w:rFonts w:ascii="Symbol" w:hAnsi="Symbol" w:hint="default"/>
      </w:rPr>
    </w:lvl>
    <w:lvl w:ilvl="1" w:tplc="67328A00">
      <w:start w:val="1"/>
      <w:numFmt w:val="bullet"/>
      <w:lvlText w:val="o"/>
      <w:lvlJc w:val="left"/>
      <w:pPr>
        <w:ind w:left="1440" w:hanging="360"/>
      </w:pPr>
      <w:rPr>
        <w:rFonts w:ascii="Courier New" w:hAnsi="Courier New" w:hint="default"/>
      </w:rPr>
    </w:lvl>
    <w:lvl w:ilvl="2" w:tplc="86969E64">
      <w:start w:val="1"/>
      <w:numFmt w:val="bullet"/>
      <w:lvlText w:val=""/>
      <w:lvlJc w:val="left"/>
      <w:pPr>
        <w:ind w:left="2160" w:hanging="360"/>
      </w:pPr>
      <w:rPr>
        <w:rFonts w:ascii="Wingdings" w:hAnsi="Wingdings" w:hint="default"/>
      </w:rPr>
    </w:lvl>
    <w:lvl w:ilvl="3" w:tplc="CD9454E2">
      <w:start w:val="1"/>
      <w:numFmt w:val="bullet"/>
      <w:lvlText w:val=""/>
      <w:lvlJc w:val="left"/>
      <w:pPr>
        <w:ind w:left="2880" w:hanging="360"/>
      </w:pPr>
      <w:rPr>
        <w:rFonts w:ascii="Symbol" w:hAnsi="Symbol" w:hint="default"/>
      </w:rPr>
    </w:lvl>
    <w:lvl w:ilvl="4" w:tplc="CF3234CC">
      <w:start w:val="1"/>
      <w:numFmt w:val="bullet"/>
      <w:lvlText w:val="o"/>
      <w:lvlJc w:val="left"/>
      <w:pPr>
        <w:ind w:left="3600" w:hanging="360"/>
      </w:pPr>
      <w:rPr>
        <w:rFonts w:ascii="Courier New" w:hAnsi="Courier New" w:hint="default"/>
      </w:rPr>
    </w:lvl>
    <w:lvl w:ilvl="5" w:tplc="FFA60C84">
      <w:start w:val="1"/>
      <w:numFmt w:val="bullet"/>
      <w:lvlText w:val=""/>
      <w:lvlJc w:val="left"/>
      <w:pPr>
        <w:ind w:left="4320" w:hanging="360"/>
      </w:pPr>
      <w:rPr>
        <w:rFonts w:ascii="Wingdings" w:hAnsi="Wingdings" w:hint="default"/>
      </w:rPr>
    </w:lvl>
    <w:lvl w:ilvl="6" w:tplc="75EC4C48">
      <w:start w:val="1"/>
      <w:numFmt w:val="bullet"/>
      <w:lvlText w:val=""/>
      <w:lvlJc w:val="left"/>
      <w:pPr>
        <w:ind w:left="5040" w:hanging="360"/>
      </w:pPr>
      <w:rPr>
        <w:rFonts w:ascii="Symbol" w:hAnsi="Symbol" w:hint="default"/>
      </w:rPr>
    </w:lvl>
    <w:lvl w:ilvl="7" w:tplc="D50A8F4E">
      <w:start w:val="1"/>
      <w:numFmt w:val="bullet"/>
      <w:lvlText w:val="o"/>
      <w:lvlJc w:val="left"/>
      <w:pPr>
        <w:ind w:left="5760" w:hanging="360"/>
      </w:pPr>
      <w:rPr>
        <w:rFonts w:ascii="Courier New" w:hAnsi="Courier New" w:hint="default"/>
      </w:rPr>
    </w:lvl>
    <w:lvl w:ilvl="8" w:tplc="2F181D4A">
      <w:start w:val="1"/>
      <w:numFmt w:val="bullet"/>
      <w:lvlText w:val=""/>
      <w:lvlJc w:val="left"/>
      <w:pPr>
        <w:ind w:left="6480" w:hanging="360"/>
      </w:pPr>
      <w:rPr>
        <w:rFonts w:ascii="Wingdings" w:hAnsi="Wingdings" w:hint="default"/>
      </w:rPr>
    </w:lvl>
  </w:abstractNum>
  <w:abstractNum w:abstractNumId="10" w15:restartNumberingAfterBreak="0">
    <w:nsid w:val="54054C6B"/>
    <w:multiLevelType w:val="hybridMultilevel"/>
    <w:tmpl w:val="81E80FDC"/>
    <w:lvl w:ilvl="0" w:tplc="E460F36A">
      <w:start w:val="1"/>
      <w:numFmt w:val="bullet"/>
      <w:lvlText w:val=""/>
      <w:lvlJc w:val="left"/>
      <w:pPr>
        <w:ind w:left="720" w:hanging="360"/>
      </w:pPr>
      <w:rPr>
        <w:rFonts w:ascii="Symbol" w:hAnsi="Symbol" w:hint="default"/>
      </w:rPr>
    </w:lvl>
    <w:lvl w:ilvl="1" w:tplc="E8628C62">
      <w:start w:val="1"/>
      <w:numFmt w:val="bullet"/>
      <w:lvlText w:val="o"/>
      <w:lvlJc w:val="left"/>
      <w:pPr>
        <w:ind w:left="1440" w:hanging="360"/>
      </w:pPr>
      <w:rPr>
        <w:rFonts w:ascii="Courier New" w:hAnsi="Courier New" w:hint="default"/>
      </w:rPr>
    </w:lvl>
    <w:lvl w:ilvl="2" w:tplc="0D2233E0">
      <w:start w:val="1"/>
      <w:numFmt w:val="bullet"/>
      <w:lvlText w:val=""/>
      <w:lvlJc w:val="left"/>
      <w:pPr>
        <w:ind w:left="2160" w:hanging="360"/>
      </w:pPr>
      <w:rPr>
        <w:rFonts w:ascii="Wingdings" w:hAnsi="Wingdings" w:hint="default"/>
      </w:rPr>
    </w:lvl>
    <w:lvl w:ilvl="3" w:tplc="7EB67394">
      <w:start w:val="1"/>
      <w:numFmt w:val="bullet"/>
      <w:lvlText w:val=""/>
      <w:lvlJc w:val="left"/>
      <w:pPr>
        <w:ind w:left="2880" w:hanging="360"/>
      </w:pPr>
      <w:rPr>
        <w:rFonts w:ascii="Symbol" w:hAnsi="Symbol" w:hint="default"/>
      </w:rPr>
    </w:lvl>
    <w:lvl w:ilvl="4" w:tplc="4DF401BA">
      <w:start w:val="1"/>
      <w:numFmt w:val="bullet"/>
      <w:lvlText w:val="o"/>
      <w:lvlJc w:val="left"/>
      <w:pPr>
        <w:ind w:left="3600" w:hanging="360"/>
      </w:pPr>
      <w:rPr>
        <w:rFonts w:ascii="Courier New" w:hAnsi="Courier New" w:hint="default"/>
      </w:rPr>
    </w:lvl>
    <w:lvl w:ilvl="5" w:tplc="A71A2A6C">
      <w:start w:val="1"/>
      <w:numFmt w:val="bullet"/>
      <w:lvlText w:val=""/>
      <w:lvlJc w:val="left"/>
      <w:pPr>
        <w:ind w:left="4320" w:hanging="360"/>
      </w:pPr>
      <w:rPr>
        <w:rFonts w:ascii="Wingdings" w:hAnsi="Wingdings" w:hint="default"/>
      </w:rPr>
    </w:lvl>
    <w:lvl w:ilvl="6" w:tplc="F118BBA6">
      <w:start w:val="1"/>
      <w:numFmt w:val="bullet"/>
      <w:lvlText w:val=""/>
      <w:lvlJc w:val="left"/>
      <w:pPr>
        <w:ind w:left="5040" w:hanging="360"/>
      </w:pPr>
      <w:rPr>
        <w:rFonts w:ascii="Symbol" w:hAnsi="Symbol" w:hint="default"/>
      </w:rPr>
    </w:lvl>
    <w:lvl w:ilvl="7" w:tplc="889C5366">
      <w:start w:val="1"/>
      <w:numFmt w:val="bullet"/>
      <w:lvlText w:val="o"/>
      <w:lvlJc w:val="left"/>
      <w:pPr>
        <w:ind w:left="5760" w:hanging="360"/>
      </w:pPr>
      <w:rPr>
        <w:rFonts w:ascii="Courier New" w:hAnsi="Courier New" w:hint="default"/>
      </w:rPr>
    </w:lvl>
    <w:lvl w:ilvl="8" w:tplc="C0868A62">
      <w:start w:val="1"/>
      <w:numFmt w:val="bullet"/>
      <w:lvlText w:val=""/>
      <w:lvlJc w:val="left"/>
      <w:pPr>
        <w:ind w:left="6480" w:hanging="360"/>
      </w:pPr>
      <w:rPr>
        <w:rFonts w:ascii="Wingdings" w:hAnsi="Wingdings" w:hint="default"/>
      </w:rPr>
    </w:lvl>
  </w:abstractNum>
  <w:abstractNum w:abstractNumId="11" w15:restartNumberingAfterBreak="0">
    <w:nsid w:val="5E5A6113"/>
    <w:multiLevelType w:val="hybridMultilevel"/>
    <w:tmpl w:val="3C20E568"/>
    <w:lvl w:ilvl="0" w:tplc="6C48A4FA">
      <w:start w:val="1"/>
      <w:numFmt w:val="bullet"/>
      <w:lvlText w:val=""/>
      <w:lvlJc w:val="left"/>
      <w:pPr>
        <w:ind w:left="720" w:hanging="360"/>
      </w:pPr>
      <w:rPr>
        <w:rFonts w:ascii="Symbol" w:hAnsi="Symbol" w:hint="default"/>
      </w:rPr>
    </w:lvl>
    <w:lvl w:ilvl="1" w:tplc="73EEDF1C">
      <w:start w:val="1"/>
      <w:numFmt w:val="bullet"/>
      <w:lvlText w:val="o"/>
      <w:lvlJc w:val="left"/>
      <w:pPr>
        <w:ind w:left="1440" w:hanging="360"/>
      </w:pPr>
      <w:rPr>
        <w:rFonts w:ascii="Courier New" w:hAnsi="Courier New" w:hint="default"/>
      </w:rPr>
    </w:lvl>
    <w:lvl w:ilvl="2" w:tplc="DBA4CC64">
      <w:start w:val="1"/>
      <w:numFmt w:val="bullet"/>
      <w:lvlText w:val=""/>
      <w:lvlJc w:val="left"/>
      <w:pPr>
        <w:ind w:left="2160" w:hanging="360"/>
      </w:pPr>
      <w:rPr>
        <w:rFonts w:ascii="Wingdings" w:hAnsi="Wingdings" w:hint="default"/>
      </w:rPr>
    </w:lvl>
    <w:lvl w:ilvl="3" w:tplc="9306EB1A">
      <w:start w:val="1"/>
      <w:numFmt w:val="bullet"/>
      <w:lvlText w:val=""/>
      <w:lvlJc w:val="left"/>
      <w:pPr>
        <w:ind w:left="2880" w:hanging="360"/>
      </w:pPr>
      <w:rPr>
        <w:rFonts w:ascii="Symbol" w:hAnsi="Symbol" w:hint="default"/>
      </w:rPr>
    </w:lvl>
    <w:lvl w:ilvl="4" w:tplc="F090608A">
      <w:start w:val="1"/>
      <w:numFmt w:val="bullet"/>
      <w:lvlText w:val="o"/>
      <w:lvlJc w:val="left"/>
      <w:pPr>
        <w:ind w:left="3600" w:hanging="360"/>
      </w:pPr>
      <w:rPr>
        <w:rFonts w:ascii="Courier New" w:hAnsi="Courier New" w:hint="default"/>
      </w:rPr>
    </w:lvl>
    <w:lvl w:ilvl="5" w:tplc="F87061D0">
      <w:start w:val="1"/>
      <w:numFmt w:val="bullet"/>
      <w:lvlText w:val=""/>
      <w:lvlJc w:val="left"/>
      <w:pPr>
        <w:ind w:left="4320" w:hanging="360"/>
      </w:pPr>
      <w:rPr>
        <w:rFonts w:ascii="Wingdings" w:hAnsi="Wingdings" w:hint="default"/>
      </w:rPr>
    </w:lvl>
    <w:lvl w:ilvl="6" w:tplc="F1145430">
      <w:start w:val="1"/>
      <w:numFmt w:val="bullet"/>
      <w:lvlText w:val=""/>
      <w:lvlJc w:val="left"/>
      <w:pPr>
        <w:ind w:left="5040" w:hanging="360"/>
      </w:pPr>
      <w:rPr>
        <w:rFonts w:ascii="Symbol" w:hAnsi="Symbol" w:hint="default"/>
      </w:rPr>
    </w:lvl>
    <w:lvl w:ilvl="7" w:tplc="29843AA2">
      <w:start w:val="1"/>
      <w:numFmt w:val="bullet"/>
      <w:lvlText w:val="o"/>
      <w:lvlJc w:val="left"/>
      <w:pPr>
        <w:ind w:left="5760" w:hanging="360"/>
      </w:pPr>
      <w:rPr>
        <w:rFonts w:ascii="Courier New" w:hAnsi="Courier New" w:hint="default"/>
      </w:rPr>
    </w:lvl>
    <w:lvl w:ilvl="8" w:tplc="CE005212">
      <w:start w:val="1"/>
      <w:numFmt w:val="bullet"/>
      <w:lvlText w:val=""/>
      <w:lvlJc w:val="left"/>
      <w:pPr>
        <w:ind w:left="6480" w:hanging="360"/>
      </w:pPr>
      <w:rPr>
        <w:rFonts w:ascii="Wingdings" w:hAnsi="Wingdings" w:hint="default"/>
      </w:rPr>
    </w:lvl>
  </w:abstractNum>
  <w:abstractNum w:abstractNumId="12" w15:restartNumberingAfterBreak="0">
    <w:nsid w:val="62AFE95D"/>
    <w:multiLevelType w:val="hybridMultilevel"/>
    <w:tmpl w:val="4DC02526"/>
    <w:lvl w:ilvl="0" w:tplc="7E806722">
      <w:start w:val="1"/>
      <w:numFmt w:val="bullet"/>
      <w:lvlText w:val=""/>
      <w:lvlJc w:val="left"/>
      <w:pPr>
        <w:ind w:left="720" w:hanging="360"/>
      </w:pPr>
      <w:rPr>
        <w:rFonts w:ascii="Symbol" w:hAnsi="Symbol" w:hint="default"/>
      </w:rPr>
    </w:lvl>
    <w:lvl w:ilvl="1" w:tplc="07105EEE">
      <w:start w:val="1"/>
      <w:numFmt w:val="bullet"/>
      <w:lvlText w:val="o"/>
      <w:lvlJc w:val="left"/>
      <w:pPr>
        <w:ind w:left="1440" w:hanging="360"/>
      </w:pPr>
      <w:rPr>
        <w:rFonts w:ascii="Courier New" w:hAnsi="Courier New" w:hint="default"/>
      </w:rPr>
    </w:lvl>
    <w:lvl w:ilvl="2" w:tplc="6B76F096">
      <w:start w:val="1"/>
      <w:numFmt w:val="bullet"/>
      <w:lvlText w:val=""/>
      <w:lvlJc w:val="left"/>
      <w:pPr>
        <w:ind w:left="2160" w:hanging="360"/>
      </w:pPr>
      <w:rPr>
        <w:rFonts w:ascii="Wingdings" w:hAnsi="Wingdings" w:hint="default"/>
      </w:rPr>
    </w:lvl>
    <w:lvl w:ilvl="3" w:tplc="37400BCC">
      <w:start w:val="1"/>
      <w:numFmt w:val="bullet"/>
      <w:lvlText w:val=""/>
      <w:lvlJc w:val="left"/>
      <w:pPr>
        <w:ind w:left="2880" w:hanging="360"/>
      </w:pPr>
      <w:rPr>
        <w:rFonts w:ascii="Symbol" w:hAnsi="Symbol" w:hint="default"/>
      </w:rPr>
    </w:lvl>
    <w:lvl w:ilvl="4" w:tplc="08DE922E">
      <w:start w:val="1"/>
      <w:numFmt w:val="bullet"/>
      <w:lvlText w:val="o"/>
      <w:lvlJc w:val="left"/>
      <w:pPr>
        <w:ind w:left="3600" w:hanging="360"/>
      </w:pPr>
      <w:rPr>
        <w:rFonts w:ascii="Courier New" w:hAnsi="Courier New" w:hint="default"/>
      </w:rPr>
    </w:lvl>
    <w:lvl w:ilvl="5" w:tplc="6A54B0EC">
      <w:start w:val="1"/>
      <w:numFmt w:val="bullet"/>
      <w:lvlText w:val=""/>
      <w:lvlJc w:val="left"/>
      <w:pPr>
        <w:ind w:left="4320" w:hanging="360"/>
      </w:pPr>
      <w:rPr>
        <w:rFonts w:ascii="Wingdings" w:hAnsi="Wingdings" w:hint="default"/>
      </w:rPr>
    </w:lvl>
    <w:lvl w:ilvl="6" w:tplc="C694BE36">
      <w:start w:val="1"/>
      <w:numFmt w:val="bullet"/>
      <w:lvlText w:val=""/>
      <w:lvlJc w:val="left"/>
      <w:pPr>
        <w:ind w:left="5040" w:hanging="360"/>
      </w:pPr>
      <w:rPr>
        <w:rFonts w:ascii="Symbol" w:hAnsi="Symbol" w:hint="default"/>
      </w:rPr>
    </w:lvl>
    <w:lvl w:ilvl="7" w:tplc="A9D6EBF0">
      <w:start w:val="1"/>
      <w:numFmt w:val="bullet"/>
      <w:lvlText w:val="o"/>
      <w:lvlJc w:val="left"/>
      <w:pPr>
        <w:ind w:left="5760" w:hanging="360"/>
      </w:pPr>
      <w:rPr>
        <w:rFonts w:ascii="Courier New" w:hAnsi="Courier New" w:hint="default"/>
      </w:rPr>
    </w:lvl>
    <w:lvl w:ilvl="8" w:tplc="F962A8FE">
      <w:start w:val="1"/>
      <w:numFmt w:val="bullet"/>
      <w:lvlText w:val=""/>
      <w:lvlJc w:val="left"/>
      <w:pPr>
        <w:ind w:left="6480" w:hanging="360"/>
      </w:pPr>
      <w:rPr>
        <w:rFonts w:ascii="Wingdings" w:hAnsi="Wingdings" w:hint="default"/>
      </w:rPr>
    </w:lvl>
  </w:abstractNum>
  <w:abstractNum w:abstractNumId="13" w15:restartNumberingAfterBreak="0">
    <w:nsid w:val="67E5B0CF"/>
    <w:multiLevelType w:val="hybridMultilevel"/>
    <w:tmpl w:val="5900CF4A"/>
    <w:lvl w:ilvl="0" w:tplc="FA0C34BA">
      <w:start w:val="1"/>
      <w:numFmt w:val="bullet"/>
      <w:lvlText w:val=""/>
      <w:lvlJc w:val="left"/>
      <w:pPr>
        <w:ind w:left="720" w:hanging="360"/>
      </w:pPr>
      <w:rPr>
        <w:rFonts w:ascii="Symbol" w:hAnsi="Symbol" w:hint="default"/>
      </w:rPr>
    </w:lvl>
    <w:lvl w:ilvl="1" w:tplc="1FC2BEC4">
      <w:start w:val="1"/>
      <w:numFmt w:val="bullet"/>
      <w:lvlText w:val="o"/>
      <w:lvlJc w:val="left"/>
      <w:pPr>
        <w:ind w:left="1440" w:hanging="360"/>
      </w:pPr>
      <w:rPr>
        <w:rFonts w:ascii="Courier New" w:hAnsi="Courier New" w:hint="default"/>
      </w:rPr>
    </w:lvl>
    <w:lvl w:ilvl="2" w:tplc="205607E4">
      <w:start w:val="1"/>
      <w:numFmt w:val="bullet"/>
      <w:lvlText w:val=""/>
      <w:lvlJc w:val="left"/>
      <w:pPr>
        <w:ind w:left="2160" w:hanging="360"/>
      </w:pPr>
      <w:rPr>
        <w:rFonts w:ascii="Wingdings" w:hAnsi="Wingdings" w:hint="default"/>
      </w:rPr>
    </w:lvl>
    <w:lvl w:ilvl="3" w:tplc="2CF40558">
      <w:start w:val="1"/>
      <w:numFmt w:val="bullet"/>
      <w:lvlText w:val=""/>
      <w:lvlJc w:val="left"/>
      <w:pPr>
        <w:ind w:left="2880" w:hanging="360"/>
      </w:pPr>
      <w:rPr>
        <w:rFonts w:ascii="Symbol" w:hAnsi="Symbol" w:hint="default"/>
      </w:rPr>
    </w:lvl>
    <w:lvl w:ilvl="4" w:tplc="695C70F6">
      <w:start w:val="1"/>
      <w:numFmt w:val="bullet"/>
      <w:lvlText w:val="o"/>
      <w:lvlJc w:val="left"/>
      <w:pPr>
        <w:ind w:left="3600" w:hanging="360"/>
      </w:pPr>
      <w:rPr>
        <w:rFonts w:ascii="Courier New" w:hAnsi="Courier New" w:hint="default"/>
      </w:rPr>
    </w:lvl>
    <w:lvl w:ilvl="5" w:tplc="2FC0357E">
      <w:start w:val="1"/>
      <w:numFmt w:val="bullet"/>
      <w:lvlText w:val=""/>
      <w:lvlJc w:val="left"/>
      <w:pPr>
        <w:ind w:left="4320" w:hanging="360"/>
      </w:pPr>
      <w:rPr>
        <w:rFonts w:ascii="Wingdings" w:hAnsi="Wingdings" w:hint="default"/>
      </w:rPr>
    </w:lvl>
    <w:lvl w:ilvl="6" w:tplc="84DEC328">
      <w:start w:val="1"/>
      <w:numFmt w:val="bullet"/>
      <w:lvlText w:val=""/>
      <w:lvlJc w:val="left"/>
      <w:pPr>
        <w:ind w:left="5040" w:hanging="360"/>
      </w:pPr>
      <w:rPr>
        <w:rFonts w:ascii="Symbol" w:hAnsi="Symbol" w:hint="default"/>
      </w:rPr>
    </w:lvl>
    <w:lvl w:ilvl="7" w:tplc="7F6CF040">
      <w:start w:val="1"/>
      <w:numFmt w:val="bullet"/>
      <w:lvlText w:val="o"/>
      <w:lvlJc w:val="left"/>
      <w:pPr>
        <w:ind w:left="5760" w:hanging="360"/>
      </w:pPr>
      <w:rPr>
        <w:rFonts w:ascii="Courier New" w:hAnsi="Courier New" w:hint="default"/>
      </w:rPr>
    </w:lvl>
    <w:lvl w:ilvl="8" w:tplc="90EC104A">
      <w:start w:val="1"/>
      <w:numFmt w:val="bullet"/>
      <w:lvlText w:val=""/>
      <w:lvlJc w:val="left"/>
      <w:pPr>
        <w:ind w:left="6480" w:hanging="360"/>
      </w:pPr>
      <w:rPr>
        <w:rFonts w:ascii="Wingdings" w:hAnsi="Wingdings" w:hint="default"/>
      </w:rPr>
    </w:lvl>
  </w:abstractNum>
  <w:abstractNum w:abstractNumId="14" w15:restartNumberingAfterBreak="0">
    <w:nsid w:val="751812BD"/>
    <w:multiLevelType w:val="hybridMultilevel"/>
    <w:tmpl w:val="4212FC8E"/>
    <w:lvl w:ilvl="0" w:tplc="77B4B816">
      <w:start w:val="1"/>
      <w:numFmt w:val="bullet"/>
      <w:lvlText w:val=""/>
      <w:lvlJc w:val="left"/>
      <w:pPr>
        <w:ind w:left="720" w:hanging="360"/>
      </w:pPr>
      <w:rPr>
        <w:rFonts w:ascii="Symbol" w:hAnsi="Symbol" w:hint="default"/>
      </w:rPr>
    </w:lvl>
    <w:lvl w:ilvl="1" w:tplc="A8DEBCB0">
      <w:start w:val="1"/>
      <w:numFmt w:val="bullet"/>
      <w:lvlText w:val="o"/>
      <w:lvlJc w:val="left"/>
      <w:pPr>
        <w:ind w:left="1440" w:hanging="360"/>
      </w:pPr>
      <w:rPr>
        <w:rFonts w:ascii="Courier New" w:hAnsi="Courier New" w:hint="default"/>
      </w:rPr>
    </w:lvl>
    <w:lvl w:ilvl="2" w:tplc="3FEA652A">
      <w:start w:val="1"/>
      <w:numFmt w:val="bullet"/>
      <w:lvlText w:val=""/>
      <w:lvlJc w:val="left"/>
      <w:pPr>
        <w:ind w:left="2160" w:hanging="360"/>
      </w:pPr>
      <w:rPr>
        <w:rFonts w:ascii="Wingdings" w:hAnsi="Wingdings" w:hint="default"/>
      </w:rPr>
    </w:lvl>
    <w:lvl w:ilvl="3" w:tplc="605C1B52">
      <w:start w:val="1"/>
      <w:numFmt w:val="bullet"/>
      <w:lvlText w:val=""/>
      <w:lvlJc w:val="left"/>
      <w:pPr>
        <w:ind w:left="2880" w:hanging="360"/>
      </w:pPr>
      <w:rPr>
        <w:rFonts w:ascii="Symbol" w:hAnsi="Symbol" w:hint="default"/>
      </w:rPr>
    </w:lvl>
    <w:lvl w:ilvl="4" w:tplc="60B46B16">
      <w:start w:val="1"/>
      <w:numFmt w:val="bullet"/>
      <w:lvlText w:val="o"/>
      <w:lvlJc w:val="left"/>
      <w:pPr>
        <w:ind w:left="3600" w:hanging="360"/>
      </w:pPr>
      <w:rPr>
        <w:rFonts w:ascii="Courier New" w:hAnsi="Courier New" w:hint="default"/>
      </w:rPr>
    </w:lvl>
    <w:lvl w:ilvl="5" w:tplc="9392EA2A">
      <w:start w:val="1"/>
      <w:numFmt w:val="bullet"/>
      <w:lvlText w:val=""/>
      <w:lvlJc w:val="left"/>
      <w:pPr>
        <w:ind w:left="4320" w:hanging="360"/>
      </w:pPr>
      <w:rPr>
        <w:rFonts w:ascii="Wingdings" w:hAnsi="Wingdings" w:hint="default"/>
      </w:rPr>
    </w:lvl>
    <w:lvl w:ilvl="6" w:tplc="0218BC92">
      <w:start w:val="1"/>
      <w:numFmt w:val="bullet"/>
      <w:lvlText w:val=""/>
      <w:lvlJc w:val="left"/>
      <w:pPr>
        <w:ind w:left="5040" w:hanging="360"/>
      </w:pPr>
      <w:rPr>
        <w:rFonts w:ascii="Symbol" w:hAnsi="Symbol" w:hint="default"/>
      </w:rPr>
    </w:lvl>
    <w:lvl w:ilvl="7" w:tplc="C150C356">
      <w:start w:val="1"/>
      <w:numFmt w:val="bullet"/>
      <w:lvlText w:val="o"/>
      <w:lvlJc w:val="left"/>
      <w:pPr>
        <w:ind w:left="5760" w:hanging="360"/>
      </w:pPr>
      <w:rPr>
        <w:rFonts w:ascii="Courier New" w:hAnsi="Courier New" w:hint="default"/>
      </w:rPr>
    </w:lvl>
    <w:lvl w:ilvl="8" w:tplc="66CE6BD2">
      <w:start w:val="1"/>
      <w:numFmt w:val="bullet"/>
      <w:lvlText w:val=""/>
      <w:lvlJc w:val="left"/>
      <w:pPr>
        <w:ind w:left="6480" w:hanging="360"/>
      </w:pPr>
      <w:rPr>
        <w:rFonts w:ascii="Wingdings" w:hAnsi="Wingdings" w:hint="default"/>
      </w:rPr>
    </w:lvl>
  </w:abstractNum>
  <w:num w:numId="1" w16cid:durableId="1840537308">
    <w:abstractNumId w:val="6"/>
  </w:num>
  <w:num w:numId="2" w16cid:durableId="1902595360">
    <w:abstractNumId w:val="12"/>
  </w:num>
  <w:num w:numId="3" w16cid:durableId="408045845">
    <w:abstractNumId w:val="8"/>
  </w:num>
  <w:num w:numId="4" w16cid:durableId="398016835">
    <w:abstractNumId w:val="2"/>
  </w:num>
  <w:num w:numId="5" w16cid:durableId="600841086">
    <w:abstractNumId w:val="13"/>
  </w:num>
  <w:num w:numId="6" w16cid:durableId="212548226">
    <w:abstractNumId w:val="14"/>
  </w:num>
  <w:num w:numId="7" w16cid:durableId="140776097">
    <w:abstractNumId w:val="10"/>
  </w:num>
  <w:num w:numId="8" w16cid:durableId="1758361819">
    <w:abstractNumId w:val="1"/>
  </w:num>
  <w:num w:numId="9" w16cid:durableId="857698763">
    <w:abstractNumId w:val="3"/>
  </w:num>
  <w:num w:numId="10" w16cid:durableId="880747826">
    <w:abstractNumId w:val="0"/>
  </w:num>
  <w:num w:numId="11" w16cid:durableId="1614483405">
    <w:abstractNumId w:val="11"/>
  </w:num>
  <w:num w:numId="12" w16cid:durableId="666249097">
    <w:abstractNumId w:val="5"/>
  </w:num>
  <w:num w:numId="13" w16cid:durableId="713189172">
    <w:abstractNumId w:val="9"/>
  </w:num>
  <w:num w:numId="14" w16cid:durableId="1210143863">
    <w:abstractNumId w:val="4"/>
  </w:num>
  <w:num w:numId="15" w16cid:durableId="20267088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D9FF2A6"/>
    <w:rsid w:val="00020983"/>
    <w:rsid w:val="000302C6"/>
    <w:rsid w:val="00035503"/>
    <w:rsid w:val="00040A89"/>
    <w:rsid w:val="00074B82"/>
    <w:rsid w:val="00095F44"/>
    <w:rsid w:val="000D08C1"/>
    <w:rsid w:val="000F5F1B"/>
    <w:rsid w:val="001251E7"/>
    <w:rsid w:val="00131C54"/>
    <w:rsid w:val="00167E34"/>
    <w:rsid w:val="00174FF7"/>
    <w:rsid w:val="00184CB0"/>
    <w:rsid w:val="00187C2A"/>
    <w:rsid w:val="001B38CA"/>
    <w:rsid w:val="001B61FF"/>
    <w:rsid w:val="001E0C4E"/>
    <w:rsid w:val="001F04C2"/>
    <w:rsid w:val="0020171D"/>
    <w:rsid w:val="00203DC2"/>
    <w:rsid w:val="00207445"/>
    <w:rsid w:val="0023132E"/>
    <w:rsid w:val="002916FA"/>
    <w:rsid w:val="002C0AF4"/>
    <w:rsid w:val="002D2BB5"/>
    <w:rsid w:val="002D53EB"/>
    <w:rsid w:val="002E0B12"/>
    <w:rsid w:val="002E4E61"/>
    <w:rsid w:val="003030F0"/>
    <w:rsid w:val="0032100B"/>
    <w:rsid w:val="00321851"/>
    <w:rsid w:val="00336B92"/>
    <w:rsid w:val="00337344"/>
    <w:rsid w:val="00347C7F"/>
    <w:rsid w:val="0035339D"/>
    <w:rsid w:val="00375485"/>
    <w:rsid w:val="00382DAB"/>
    <w:rsid w:val="003839CE"/>
    <w:rsid w:val="00386BD8"/>
    <w:rsid w:val="003A5FC8"/>
    <w:rsid w:val="003C0869"/>
    <w:rsid w:val="003C25D9"/>
    <w:rsid w:val="003F022D"/>
    <w:rsid w:val="00472A96"/>
    <w:rsid w:val="00480576"/>
    <w:rsid w:val="00487AF5"/>
    <w:rsid w:val="004C0C7D"/>
    <w:rsid w:val="00530DB0"/>
    <w:rsid w:val="005369A4"/>
    <w:rsid w:val="00542EFF"/>
    <w:rsid w:val="005511CD"/>
    <w:rsid w:val="0055739F"/>
    <w:rsid w:val="0058667A"/>
    <w:rsid w:val="005915F3"/>
    <w:rsid w:val="005B72BC"/>
    <w:rsid w:val="005E7D0C"/>
    <w:rsid w:val="00650CEF"/>
    <w:rsid w:val="00654E19"/>
    <w:rsid w:val="006622A8"/>
    <w:rsid w:val="006A7833"/>
    <w:rsid w:val="006C40B1"/>
    <w:rsid w:val="006C5AE6"/>
    <w:rsid w:val="006D3DE3"/>
    <w:rsid w:val="00710C42"/>
    <w:rsid w:val="007428D7"/>
    <w:rsid w:val="00757C2E"/>
    <w:rsid w:val="0076696F"/>
    <w:rsid w:val="007776F9"/>
    <w:rsid w:val="007812DC"/>
    <w:rsid w:val="007847A4"/>
    <w:rsid w:val="0079293B"/>
    <w:rsid w:val="007A28EA"/>
    <w:rsid w:val="007B1457"/>
    <w:rsid w:val="007C7FB1"/>
    <w:rsid w:val="007D1691"/>
    <w:rsid w:val="007E2E30"/>
    <w:rsid w:val="007E45C9"/>
    <w:rsid w:val="00806459"/>
    <w:rsid w:val="008A0315"/>
    <w:rsid w:val="008A1418"/>
    <w:rsid w:val="008A59C1"/>
    <w:rsid w:val="008A5CFF"/>
    <w:rsid w:val="008B22CF"/>
    <w:rsid w:val="008D5C5B"/>
    <w:rsid w:val="008F42C8"/>
    <w:rsid w:val="00914A19"/>
    <w:rsid w:val="00916C5C"/>
    <w:rsid w:val="00917CF8"/>
    <w:rsid w:val="00953D1F"/>
    <w:rsid w:val="00964B05"/>
    <w:rsid w:val="0097417B"/>
    <w:rsid w:val="00983936"/>
    <w:rsid w:val="009B0D76"/>
    <w:rsid w:val="009C523D"/>
    <w:rsid w:val="009F2B60"/>
    <w:rsid w:val="00A32272"/>
    <w:rsid w:val="00A50B4E"/>
    <w:rsid w:val="00A51C33"/>
    <w:rsid w:val="00A53F01"/>
    <w:rsid w:val="00A6077D"/>
    <w:rsid w:val="00A808AC"/>
    <w:rsid w:val="00B26286"/>
    <w:rsid w:val="00B27E97"/>
    <w:rsid w:val="00B507F8"/>
    <w:rsid w:val="00B6489F"/>
    <w:rsid w:val="00B96CD4"/>
    <w:rsid w:val="00BA3841"/>
    <w:rsid w:val="00BE07E1"/>
    <w:rsid w:val="00BF7B95"/>
    <w:rsid w:val="00C47272"/>
    <w:rsid w:val="00C47E6F"/>
    <w:rsid w:val="00C5089C"/>
    <w:rsid w:val="00C53FE8"/>
    <w:rsid w:val="00C859FB"/>
    <w:rsid w:val="00C86485"/>
    <w:rsid w:val="00CA7C53"/>
    <w:rsid w:val="00CC1278"/>
    <w:rsid w:val="00CE7848"/>
    <w:rsid w:val="00CF339A"/>
    <w:rsid w:val="00D03DB8"/>
    <w:rsid w:val="00D12EE2"/>
    <w:rsid w:val="00D15383"/>
    <w:rsid w:val="00D219EE"/>
    <w:rsid w:val="00D21C7B"/>
    <w:rsid w:val="00D23602"/>
    <w:rsid w:val="00D340B0"/>
    <w:rsid w:val="00D74B8B"/>
    <w:rsid w:val="00D83397"/>
    <w:rsid w:val="00D90453"/>
    <w:rsid w:val="00D93FBE"/>
    <w:rsid w:val="00D97567"/>
    <w:rsid w:val="00DA4376"/>
    <w:rsid w:val="00DC5827"/>
    <w:rsid w:val="00DE3471"/>
    <w:rsid w:val="00E03305"/>
    <w:rsid w:val="00E03435"/>
    <w:rsid w:val="00E05A80"/>
    <w:rsid w:val="00E134B8"/>
    <w:rsid w:val="00E34034"/>
    <w:rsid w:val="00E34B56"/>
    <w:rsid w:val="00E42CF5"/>
    <w:rsid w:val="00E505B5"/>
    <w:rsid w:val="00E75CBF"/>
    <w:rsid w:val="00ED7A53"/>
    <w:rsid w:val="00F6ECEA"/>
    <w:rsid w:val="00F822B9"/>
    <w:rsid w:val="00FB5DD5"/>
    <w:rsid w:val="0123EA6C"/>
    <w:rsid w:val="013A6261"/>
    <w:rsid w:val="01E3C4B2"/>
    <w:rsid w:val="01FE82B6"/>
    <w:rsid w:val="02073E31"/>
    <w:rsid w:val="02133AC8"/>
    <w:rsid w:val="02397987"/>
    <w:rsid w:val="02B6D237"/>
    <w:rsid w:val="02B8EFDD"/>
    <w:rsid w:val="02D84FFC"/>
    <w:rsid w:val="036F0545"/>
    <w:rsid w:val="038A3922"/>
    <w:rsid w:val="039DA3CF"/>
    <w:rsid w:val="03BD962F"/>
    <w:rsid w:val="03C2726B"/>
    <w:rsid w:val="03F27F67"/>
    <w:rsid w:val="04C09829"/>
    <w:rsid w:val="04D4A0C0"/>
    <w:rsid w:val="04F2D2E8"/>
    <w:rsid w:val="052F7F47"/>
    <w:rsid w:val="057A48E1"/>
    <w:rsid w:val="05A5A725"/>
    <w:rsid w:val="05F5DBF5"/>
    <w:rsid w:val="069A3475"/>
    <w:rsid w:val="06ADFDF9"/>
    <w:rsid w:val="06B7BC79"/>
    <w:rsid w:val="06E7A745"/>
    <w:rsid w:val="06F11012"/>
    <w:rsid w:val="070B13C2"/>
    <w:rsid w:val="0723F701"/>
    <w:rsid w:val="0730D16A"/>
    <w:rsid w:val="073438D2"/>
    <w:rsid w:val="0777A73B"/>
    <w:rsid w:val="07CD82DE"/>
    <w:rsid w:val="07F73DAB"/>
    <w:rsid w:val="07F843B4"/>
    <w:rsid w:val="07FAFC81"/>
    <w:rsid w:val="0814E880"/>
    <w:rsid w:val="081AD6D2"/>
    <w:rsid w:val="082AB0F7"/>
    <w:rsid w:val="083B079C"/>
    <w:rsid w:val="08431337"/>
    <w:rsid w:val="085F0E10"/>
    <w:rsid w:val="088240B0"/>
    <w:rsid w:val="0895BA13"/>
    <w:rsid w:val="08C13072"/>
    <w:rsid w:val="09D95591"/>
    <w:rsid w:val="0A9F3A2E"/>
    <w:rsid w:val="0AB91FDF"/>
    <w:rsid w:val="0AC52AFE"/>
    <w:rsid w:val="0AF4B5B9"/>
    <w:rsid w:val="0B0D159D"/>
    <w:rsid w:val="0B1734A7"/>
    <w:rsid w:val="0B1B7659"/>
    <w:rsid w:val="0B7C1DE8"/>
    <w:rsid w:val="0B9951DF"/>
    <w:rsid w:val="0BD34CC8"/>
    <w:rsid w:val="0BE6FFB3"/>
    <w:rsid w:val="0C012B0F"/>
    <w:rsid w:val="0C924109"/>
    <w:rsid w:val="0CB9A15D"/>
    <w:rsid w:val="0CD0CD46"/>
    <w:rsid w:val="0CEE69B1"/>
    <w:rsid w:val="0CF0EF98"/>
    <w:rsid w:val="0CF30B35"/>
    <w:rsid w:val="0D149545"/>
    <w:rsid w:val="0D6068AC"/>
    <w:rsid w:val="0D6BB5D5"/>
    <w:rsid w:val="0D6E9F17"/>
    <w:rsid w:val="0D8D8DB5"/>
    <w:rsid w:val="0E3555BA"/>
    <w:rsid w:val="0EAFD15F"/>
    <w:rsid w:val="0EBDBBAF"/>
    <w:rsid w:val="0ED41F74"/>
    <w:rsid w:val="0F016165"/>
    <w:rsid w:val="0F39915E"/>
    <w:rsid w:val="0F6254AE"/>
    <w:rsid w:val="0F825EB3"/>
    <w:rsid w:val="0F9566FB"/>
    <w:rsid w:val="0FBE6FAE"/>
    <w:rsid w:val="0FD41969"/>
    <w:rsid w:val="0FE3F1B8"/>
    <w:rsid w:val="0FF4C422"/>
    <w:rsid w:val="103B7172"/>
    <w:rsid w:val="10732B9F"/>
    <w:rsid w:val="1094F7C8"/>
    <w:rsid w:val="1113D1D3"/>
    <w:rsid w:val="117E2D9D"/>
    <w:rsid w:val="11CC319E"/>
    <w:rsid w:val="11E12094"/>
    <w:rsid w:val="11E7F6D4"/>
    <w:rsid w:val="1247855D"/>
    <w:rsid w:val="127B0E1B"/>
    <w:rsid w:val="1294626A"/>
    <w:rsid w:val="12AA8C14"/>
    <w:rsid w:val="12CEC490"/>
    <w:rsid w:val="12F79F4E"/>
    <w:rsid w:val="1342C3FC"/>
    <w:rsid w:val="13B9AA23"/>
    <w:rsid w:val="13C0DF23"/>
    <w:rsid w:val="13C5E0C6"/>
    <w:rsid w:val="13EDCDE0"/>
    <w:rsid w:val="14057A41"/>
    <w:rsid w:val="14242320"/>
    <w:rsid w:val="146315C8"/>
    <w:rsid w:val="1484A2E2"/>
    <w:rsid w:val="14E0317D"/>
    <w:rsid w:val="156C5041"/>
    <w:rsid w:val="1585A506"/>
    <w:rsid w:val="159F3771"/>
    <w:rsid w:val="159F9E15"/>
    <w:rsid w:val="16273F42"/>
    <w:rsid w:val="164D55E1"/>
    <w:rsid w:val="167560AF"/>
    <w:rsid w:val="167C01DE"/>
    <w:rsid w:val="16F63615"/>
    <w:rsid w:val="17044EA0"/>
    <w:rsid w:val="174EE2BA"/>
    <w:rsid w:val="178A11CB"/>
    <w:rsid w:val="17AC2FE8"/>
    <w:rsid w:val="17ACE7DB"/>
    <w:rsid w:val="17BDF8A1"/>
    <w:rsid w:val="18230B35"/>
    <w:rsid w:val="1840D4C1"/>
    <w:rsid w:val="18512B66"/>
    <w:rsid w:val="18A52F4C"/>
    <w:rsid w:val="18B7549D"/>
    <w:rsid w:val="1901265A"/>
    <w:rsid w:val="1943AD74"/>
    <w:rsid w:val="1992C089"/>
    <w:rsid w:val="19ADC230"/>
    <w:rsid w:val="19D9EFF0"/>
    <w:rsid w:val="19F068BA"/>
    <w:rsid w:val="1A75A6E9"/>
    <w:rsid w:val="1A98959B"/>
    <w:rsid w:val="1AC0E3C3"/>
    <w:rsid w:val="1AE84AD4"/>
    <w:rsid w:val="1AFE59E2"/>
    <w:rsid w:val="1AFFD0FD"/>
    <w:rsid w:val="1B1E8383"/>
    <w:rsid w:val="1B5B440D"/>
    <w:rsid w:val="1BA39635"/>
    <w:rsid w:val="1BAF0B00"/>
    <w:rsid w:val="1C7F0CAF"/>
    <w:rsid w:val="1C89BDA8"/>
    <w:rsid w:val="1C9B995E"/>
    <w:rsid w:val="1C9EDED7"/>
    <w:rsid w:val="1D3FA4E3"/>
    <w:rsid w:val="1D4621AB"/>
    <w:rsid w:val="1D7B56C5"/>
    <w:rsid w:val="1D8DDC6D"/>
    <w:rsid w:val="1DBDF8B3"/>
    <w:rsid w:val="1E301746"/>
    <w:rsid w:val="1E968567"/>
    <w:rsid w:val="1E9B1FC6"/>
    <w:rsid w:val="1EAE68C5"/>
    <w:rsid w:val="1EB803CB"/>
    <w:rsid w:val="1EBD9C44"/>
    <w:rsid w:val="1EE37E46"/>
    <w:rsid w:val="1F7EC6B3"/>
    <w:rsid w:val="1F9A3E32"/>
    <w:rsid w:val="1F9D8514"/>
    <w:rsid w:val="1FC7C803"/>
    <w:rsid w:val="1FCA5189"/>
    <w:rsid w:val="1FF0415D"/>
    <w:rsid w:val="1FFB2BE9"/>
    <w:rsid w:val="201A3274"/>
    <w:rsid w:val="204A3926"/>
    <w:rsid w:val="206F08E8"/>
    <w:rsid w:val="20859068"/>
    <w:rsid w:val="20D541AD"/>
    <w:rsid w:val="20F5C500"/>
    <w:rsid w:val="2104A384"/>
    <w:rsid w:val="21395575"/>
    <w:rsid w:val="215298B5"/>
    <w:rsid w:val="218D0839"/>
    <w:rsid w:val="21A0ADF1"/>
    <w:rsid w:val="21CC6742"/>
    <w:rsid w:val="21EFA48D"/>
    <w:rsid w:val="22017BAC"/>
    <w:rsid w:val="22052427"/>
    <w:rsid w:val="222130C1"/>
    <w:rsid w:val="222401A6"/>
    <w:rsid w:val="2229D186"/>
    <w:rsid w:val="2238ABAC"/>
    <w:rsid w:val="223D4773"/>
    <w:rsid w:val="226B51E9"/>
    <w:rsid w:val="22EBD09F"/>
    <w:rsid w:val="231F41F9"/>
    <w:rsid w:val="233B0A11"/>
    <w:rsid w:val="238C88FA"/>
    <w:rsid w:val="23A6A9AA"/>
    <w:rsid w:val="23E35AD1"/>
    <w:rsid w:val="243CB9FA"/>
    <w:rsid w:val="243EF6E7"/>
    <w:rsid w:val="244B1ABE"/>
    <w:rsid w:val="244D4701"/>
    <w:rsid w:val="2458CC45"/>
    <w:rsid w:val="24A00433"/>
    <w:rsid w:val="24AFAF76"/>
    <w:rsid w:val="24E81BEA"/>
    <w:rsid w:val="255B155C"/>
    <w:rsid w:val="2598508F"/>
    <w:rsid w:val="25BCEEEE"/>
    <w:rsid w:val="25DE2CB9"/>
    <w:rsid w:val="25E91762"/>
    <w:rsid w:val="25F574EF"/>
    <w:rsid w:val="26276EBC"/>
    <w:rsid w:val="264ECBDF"/>
    <w:rsid w:val="26556828"/>
    <w:rsid w:val="265C26F3"/>
    <w:rsid w:val="266008BA"/>
    <w:rsid w:val="27514203"/>
    <w:rsid w:val="27B8A129"/>
    <w:rsid w:val="27C6CDDC"/>
    <w:rsid w:val="27DCB27F"/>
    <w:rsid w:val="2805C74D"/>
    <w:rsid w:val="2849F07C"/>
    <w:rsid w:val="288CC507"/>
    <w:rsid w:val="28AD0204"/>
    <w:rsid w:val="28FC25E2"/>
    <w:rsid w:val="2913C231"/>
    <w:rsid w:val="291D6E53"/>
    <w:rsid w:val="2939374B"/>
    <w:rsid w:val="2948B156"/>
    <w:rsid w:val="2949EE2D"/>
    <w:rsid w:val="295164CE"/>
    <w:rsid w:val="298C0812"/>
    <w:rsid w:val="299B6822"/>
    <w:rsid w:val="29C5252A"/>
    <w:rsid w:val="29D0B318"/>
    <w:rsid w:val="29F18396"/>
    <w:rsid w:val="2A30A9F3"/>
    <w:rsid w:val="2A57DF62"/>
    <w:rsid w:val="2AC0CD82"/>
    <w:rsid w:val="2AFDB30D"/>
    <w:rsid w:val="2B3CD9B3"/>
    <w:rsid w:val="2B4ABAA0"/>
    <w:rsid w:val="2B4AE66A"/>
    <w:rsid w:val="2B8DB51B"/>
    <w:rsid w:val="2B988817"/>
    <w:rsid w:val="2BA352EF"/>
    <w:rsid w:val="2BC9EED4"/>
    <w:rsid w:val="2BCB0C39"/>
    <w:rsid w:val="2C1762BF"/>
    <w:rsid w:val="2C3DB00F"/>
    <w:rsid w:val="2C8B6788"/>
    <w:rsid w:val="2CC8ECBE"/>
    <w:rsid w:val="2CE6B6CB"/>
    <w:rsid w:val="2D4B40F1"/>
    <w:rsid w:val="2D9FF2A6"/>
    <w:rsid w:val="2DBE8713"/>
    <w:rsid w:val="2DFADF99"/>
    <w:rsid w:val="2E2ABE3E"/>
    <w:rsid w:val="2E80100F"/>
    <w:rsid w:val="2E941881"/>
    <w:rsid w:val="2E9C3951"/>
    <w:rsid w:val="2EB51C90"/>
    <w:rsid w:val="2ECE2795"/>
    <w:rsid w:val="2EE7D62D"/>
    <w:rsid w:val="2EE95C51"/>
    <w:rsid w:val="2EEA6C3B"/>
    <w:rsid w:val="2F10A26F"/>
    <w:rsid w:val="2F11EF94"/>
    <w:rsid w:val="2F7CF279"/>
    <w:rsid w:val="2FB0B01C"/>
    <w:rsid w:val="30BDE207"/>
    <w:rsid w:val="31121A80"/>
    <w:rsid w:val="311BD044"/>
    <w:rsid w:val="3132E363"/>
    <w:rsid w:val="314435D4"/>
    <w:rsid w:val="314DF117"/>
    <w:rsid w:val="31AA259B"/>
    <w:rsid w:val="31E7E6E3"/>
    <w:rsid w:val="3212F4FD"/>
    <w:rsid w:val="321900F0"/>
    <w:rsid w:val="322C013A"/>
    <w:rsid w:val="3253EE54"/>
    <w:rsid w:val="3266F213"/>
    <w:rsid w:val="33CF9E60"/>
    <w:rsid w:val="33D0DC71"/>
    <w:rsid w:val="33F1EE1E"/>
    <w:rsid w:val="33FCE4D4"/>
    <w:rsid w:val="34276A0A"/>
    <w:rsid w:val="3432320F"/>
    <w:rsid w:val="348C89F3"/>
    <w:rsid w:val="34F5062C"/>
    <w:rsid w:val="3523C567"/>
    <w:rsid w:val="3531D676"/>
    <w:rsid w:val="35378DB5"/>
    <w:rsid w:val="3567564B"/>
    <w:rsid w:val="35911783"/>
    <w:rsid w:val="35C90D13"/>
    <w:rsid w:val="35CCF8AB"/>
    <w:rsid w:val="35E55FD9"/>
    <w:rsid w:val="3640B7A6"/>
    <w:rsid w:val="3656A6A7"/>
    <w:rsid w:val="369E6F41"/>
    <w:rsid w:val="37051032"/>
    <w:rsid w:val="3717D33C"/>
    <w:rsid w:val="3718C077"/>
    <w:rsid w:val="371F039A"/>
    <w:rsid w:val="376FC3D8"/>
    <w:rsid w:val="37B9C5EA"/>
    <w:rsid w:val="38257D13"/>
    <w:rsid w:val="38623E8C"/>
    <w:rsid w:val="387AD421"/>
    <w:rsid w:val="389EF70D"/>
    <w:rsid w:val="38D0B499"/>
    <w:rsid w:val="38D49293"/>
    <w:rsid w:val="38D98D2A"/>
    <w:rsid w:val="38F24B94"/>
    <w:rsid w:val="39122AB0"/>
    <w:rsid w:val="392EF2FB"/>
    <w:rsid w:val="393795B4"/>
    <w:rsid w:val="39423C3C"/>
    <w:rsid w:val="394501B9"/>
    <w:rsid w:val="3950155E"/>
    <w:rsid w:val="399A5C88"/>
    <w:rsid w:val="39D9FF1C"/>
    <w:rsid w:val="39FD621D"/>
    <w:rsid w:val="3A4E3B39"/>
    <w:rsid w:val="3A54A23B"/>
    <w:rsid w:val="3A7534C7"/>
    <w:rsid w:val="3A8CBA34"/>
    <w:rsid w:val="3AFE490B"/>
    <w:rsid w:val="3B3D6758"/>
    <w:rsid w:val="3B60F166"/>
    <w:rsid w:val="3C54CD27"/>
    <w:rsid w:val="3C693EDC"/>
    <w:rsid w:val="3C7DAA2D"/>
    <w:rsid w:val="3C843E76"/>
    <w:rsid w:val="3CA6F93D"/>
    <w:rsid w:val="3CFDAFA3"/>
    <w:rsid w:val="3D09C05D"/>
    <w:rsid w:val="3D100DAA"/>
    <w:rsid w:val="3DA81EE1"/>
    <w:rsid w:val="3DB4D372"/>
    <w:rsid w:val="3DBCE27F"/>
    <w:rsid w:val="3DF09D88"/>
    <w:rsid w:val="3E050F3D"/>
    <w:rsid w:val="3E172540"/>
    <w:rsid w:val="3E18EC20"/>
    <w:rsid w:val="3EE6FB36"/>
    <w:rsid w:val="3EFC8BBE"/>
    <w:rsid w:val="3F1ECB0A"/>
    <w:rsid w:val="3F81F36A"/>
    <w:rsid w:val="401BD651"/>
    <w:rsid w:val="403A8D34"/>
    <w:rsid w:val="40480CF8"/>
    <w:rsid w:val="405D585D"/>
    <w:rsid w:val="40610C6B"/>
    <w:rsid w:val="41048A88"/>
    <w:rsid w:val="417DEE4E"/>
    <w:rsid w:val="41C8C6A5"/>
    <w:rsid w:val="422CB0F6"/>
    <w:rsid w:val="424487CB"/>
    <w:rsid w:val="42604D80"/>
    <w:rsid w:val="4278C199"/>
    <w:rsid w:val="42ACA21E"/>
    <w:rsid w:val="42E24B3B"/>
    <w:rsid w:val="43102BA9"/>
    <w:rsid w:val="435F4CFF"/>
    <w:rsid w:val="436FF437"/>
    <w:rsid w:val="4370FA40"/>
    <w:rsid w:val="43A67C3C"/>
    <w:rsid w:val="43A73015"/>
    <w:rsid w:val="43B8CDBD"/>
    <w:rsid w:val="43F3C6DE"/>
    <w:rsid w:val="441E85D3"/>
    <w:rsid w:val="44656EB2"/>
    <w:rsid w:val="4529FB23"/>
    <w:rsid w:val="453EB414"/>
    <w:rsid w:val="4540E528"/>
    <w:rsid w:val="45488F0D"/>
    <w:rsid w:val="45549E1E"/>
    <w:rsid w:val="4569A342"/>
    <w:rsid w:val="45C7FD1D"/>
    <w:rsid w:val="465B9535"/>
    <w:rsid w:val="46632BBA"/>
    <w:rsid w:val="466BB638"/>
    <w:rsid w:val="4671EF78"/>
    <w:rsid w:val="4674B7F7"/>
    <w:rsid w:val="469C22DC"/>
    <w:rsid w:val="46A884F5"/>
    <w:rsid w:val="472725E1"/>
    <w:rsid w:val="47544A5B"/>
    <w:rsid w:val="479FF480"/>
    <w:rsid w:val="485FBF55"/>
    <w:rsid w:val="48882543"/>
    <w:rsid w:val="48898EFE"/>
    <w:rsid w:val="48D02494"/>
    <w:rsid w:val="48DE4D59"/>
    <w:rsid w:val="49275D04"/>
    <w:rsid w:val="495685A2"/>
    <w:rsid w:val="4999303C"/>
    <w:rsid w:val="49DD5B7E"/>
    <w:rsid w:val="49EE90B2"/>
    <w:rsid w:val="49FC3251"/>
    <w:rsid w:val="4AB247EA"/>
    <w:rsid w:val="4ABDD09D"/>
    <w:rsid w:val="4ACC1ECF"/>
    <w:rsid w:val="4AF83A1D"/>
    <w:rsid w:val="4B13A47A"/>
    <w:rsid w:val="4B3E2EF6"/>
    <w:rsid w:val="4B441AFD"/>
    <w:rsid w:val="4B55B740"/>
    <w:rsid w:val="4B5D435A"/>
    <w:rsid w:val="4BA06923"/>
    <w:rsid w:val="4BDC3332"/>
    <w:rsid w:val="4BE6B31E"/>
    <w:rsid w:val="4C1AE6DF"/>
    <w:rsid w:val="4C3E62AE"/>
    <w:rsid w:val="4C5A3D46"/>
    <w:rsid w:val="4C6DDFE6"/>
    <w:rsid w:val="4C7C1900"/>
    <w:rsid w:val="4C822FC5"/>
    <w:rsid w:val="4CAE1608"/>
    <w:rsid w:val="4CB83A21"/>
    <w:rsid w:val="4CE50032"/>
    <w:rsid w:val="4D4804C0"/>
    <w:rsid w:val="4D49DD19"/>
    <w:rsid w:val="4D780393"/>
    <w:rsid w:val="4DC9E533"/>
    <w:rsid w:val="4E0EA134"/>
    <w:rsid w:val="4E1396E7"/>
    <w:rsid w:val="4E2A9A83"/>
    <w:rsid w:val="4E469CF2"/>
    <w:rsid w:val="4E525967"/>
    <w:rsid w:val="4EC9EF5B"/>
    <w:rsid w:val="4F62EFD2"/>
    <w:rsid w:val="4F65B594"/>
    <w:rsid w:val="4F763A5E"/>
    <w:rsid w:val="4F798A69"/>
    <w:rsid w:val="4F975230"/>
    <w:rsid w:val="4F99C810"/>
    <w:rsid w:val="4FB65409"/>
    <w:rsid w:val="4FFC8CB7"/>
    <w:rsid w:val="501058BA"/>
    <w:rsid w:val="5013A17E"/>
    <w:rsid w:val="50524B78"/>
    <w:rsid w:val="50570C64"/>
    <w:rsid w:val="506EB0D7"/>
    <w:rsid w:val="50E4016E"/>
    <w:rsid w:val="510B8E95"/>
    <w:rsid w:val="51136009"/>
    <w:rsid w:val="51DA4B20"/>
    <w:rsid w:val="51E1D86A"/>
    <w:rsid w:val="51EA051D"/>
    <w:rsid w:val="51F8F399"/>
    <w:rsid w:val="51FD613D"/>
    <w:rsid w:val="5257B302"/>
    <w:rsid w:val="527FD1CF"/>
    <w:rsid w:val="528ED89C"/>
    <w:rsid w:val="52EB0C5F"/>
    <w:rsid w:val="531C8EB9"/>
    <w:rsid w:val="532FCCC3"/>
    <w:rsid w:val="5346D77A"/>
    <w:rsid w:val="535BEFAE"/>
    <w:rsid w:val="53B5C92A"/>
    <w:rsid w:val="54077A46"/>
    <w:rsid w:val="541A37E9"/>
    <w:rsid w:val="542F9DF5"/>
    <w:rsid w:val="5433D575"/>
    <w:rsid w:val="546127EF"/>
    <w:rsid w:val="546AD7CB"/>
    <w:rsid w:val="55461207"/>
    <w:rsid w:val="5575E2F6"/>
    <w:rsid w:val="55DA787B"/>
    <w:rsid w:val="55DA8ECF"/>
    <w:rsid w:val="56114C27"/>
    <w:rsid w:val="5675050C"/>
    <w:rsid w:val="570A27D8"/>
    <w:rsid w:val="572E7330"/>
    <w:rsid w:val="5731BA12"/>
    <w:rsid w:val="57380E36"/>
    <w:rsid w:val="57708BD1"/>
    <w:rsid w:val="57C35F27"/>
    <w:rsid w:val="57CC695F"/>
    <w:rsid w:val="57D2FE2F"/>
    <w:rsid w:val="57EA1589"/>
    <w:rsid w:val="58302164"/>
    <w:rsid w:val="585A9948"/>
    <w:rsid w:val="5860FA77"/>
    <w:rsid w:val="58778BAB"/>
    <w:rsid w:val="587AECA3"/>
    <w:rsid w:val="58B528E1"/>
    <w:rsid w:val="58B85B6F"/>
    <w:rsid w:val="58F7C2E5"/>
    <w:rsid w:val="591BBA92"/>
    <w:rsid w:val="59495FC4"/>
    <w:rsid w:val="594BA017"/>
    <w:rsid w:val="595188D1"/>
    <w:rsid w:val="595D73F0"/>
    <w:rsid w:val="598052B3"/>
    <w:rsid w:val="59A2AB8B"/>
    <w:rsid w:val="59AF8E1A"/>
    <w:rsid w:val="59B9CD0C"/>
    <w:rsid w:val="59F0EF77"/>
    <w:rsid w:val="5AA928B2"/>
    <w:rsid w:val="5B04FD03"/>
    <w:rsid w:val="5BB7C69B"/>
    <w:rsid w:val="5BBA1D88"/>
    <w:rsid w:val="5BC610A6"/>
    <w:rsid w:val="5C34314E"/>
    <w:rsid w:val="5C65C3B7"/>
    <w:rsid w:val="5CA74483"/>
    <w:rsid w:val="5CB8B234"/>
    <w:rsid w:val="5CBA1FF0"/>
    <w:rsid w:val="5D0FFD98"/>
    <w:rsid w:val="5D48496B"/>
    <w:rsid w:val="5D4A02BE"/>
    <w:rsid w:val="5D6748C2"/>
    <w:rsid w:val="5D8301D9"/>
    <w:rsid w:val="5DBFD19F"/>
    <w:rsid w:val="5DCA71FC"/>
    <w:rsid w:val="5E961E2D"/>
    <w:rsid w:val="5E96C22E"/>
    <w:rsid w:val="5EC6EAC8"/>
    <w:rsid w:val="5F608D3B"/>
    <w:rsid w:val="5F62464E"/>
    <w:rsid w:val="5FE974A4"/>
    <w:rsid w:val="5FF9A978"/>
    <w:rsid w:val="6018BABF"/>
    <w:rsid w:val="601A4190"/>
    <w:rsid w:val="60BA4BCD"/>
    <w:rsid w:val="60FC5D9C"/>
    <w:rsid w:val="614A4454"/>
    <w:rsid w:val="6170B796"/>
    <w:rsid w:val="62A3A90F"/>
    <w:rsid w:val="62AE4EF4"/>
    <w:rsid w:val="62C5C741"/>
    <w:rsid w:val="6308715F"/>
    <w:rsid w:val="6314E503"/>
    <w:rsid w:val="639889E3"/>
    <w:rsid w:val="63E06524"/>
    <w:rsid w:val="640CDA66"/>
    <w:rsid w:val="64144940"/>
    <w:rsid w:val="64197796"/>
    <w:rsid w:val="64CE6871"/>
    <w:rsid w:val="64ED33AE"/>
    <w:rsid w:val="64FB7FC8"/>
    <w:rsid w:val="6511FBC9"/>
    <w:rsid w:val="653F0F01"/>
    <w:rsid w:val="65A062DE"/>
    <w:rsid w:val="65A9C6EE"/>
    <w:rsid w:val="65C32674"/>
    <w:rsid w:val="65C34123"/>
    <w:rsid w:val="65CFE6C2"/>
    <w:rsid w:val="65E4EEC7"/>
    <w:rsid w:val="65F4E400"/>
    <w:rsid w:val="6620702C"/>
    <w:rsid w:val="662FA358"/>
    <w:rsid w:val="6633D503"/>
    <w:rsid w:val="665420CB"/>
    <w:rsid w:val="66ADF61A"/>
    <w:rsid w:val="670DD821"/>
    <w:rsid w:val="6717A55C"/>
    <w:rsid w:val="674E3200"/>
    <w:rsid w:val="674FCF20"/>
    <w:rsid w:val="67660E7C"/>
    <w:rsid w:val="678C72CD"/>
    <w:rsid w:val="67BF6220"/>
    <w:rsid w:val="67C5A2FA"/>
    <w:rsid w:val="67DB6991"/>
    <w:rsid w:val="686C0D07"/>
    <w:rsid w:val="68B224F1"/>
    <w:rsid w:val="68F6EF40"/>
    <w:rsid w:val="695B3281"/>
    <w:rsid w:val="6961735B"/>
    <w:rsid w:val="69780340"/>
    <w:rsid w:val="69839E3D"/>
    <w:rsid w:val="6A12B8EA"/>
    <w:rsid w:val="6A5CB39A"/>
    <w:rsid w:val="6AD104F0"/>
    <w:rsid w:val="6ADE37DF"/>
    <w:rsid w:val="6AE3DA65"/>
    <w:rsid w:val="6B2DD461"/>
    <w:rsid w:val="6B3D97AF"/>
    <w:rsid w:val="6B460C8D"/>
    <w:rsid w:val="6B4744FB"/>
    <w:rsid w:val="6BA6E528"/>
    <w:rsid w:val="6BD65CC9"/>
    <w:rsid w:val="6C010495"/>
    <w:rsid w:val="6CCB5C71"/>
    <w:rsid w:val="6CD33B37"/>
    <w:rsid w:val="6CD97A56"/>
    <w:rsid w:val="6CDDC0A4"/>
    <w:rsid w:val="6D06A1A4"/>
    <w:rsid w:val="6D1B6D4D"/>
    <w:rsid w:val="6D1CEE30"/>
    <w:rsid w:val="6D7E11D5"/>
    <w:rsid w:val="6D9E97E9"/>
    <w:rsid w:val="6DCE3859"/>
    <w:rsid w:val="6E85AED7"/>
    <w:rsid w:val="6E8F3C62"/>
    <w:rsid w:val="6ECB761B"/>
    <w:rsid w:val="6F2CD6BE"/>
    <w:rsid w:val="6F3B61FC"/>
    <w:rsid w:val="6F711B11"/>
    <w:rsid w:val="6F842719"/>
    <w:rsid w:val="6FAC4E7D"/>
    <w:rsid w:val="6FB0610E"/>
    <w:rsid w:val="6FD0D185"/>
    <w:rsid w:val="70092EA2"/>
    <w:rsid w:val="700ADBF9"/>
    <w:rsid w:val="70111B18"/>
    <w:rsid w:val="70287166"/>
    <w:rsid w:val="704BC13A"/>
    <w:rsid w:val="7064E561"/>
    <w:rsid w:val="70E4ED7B"/>
    <w:rsid w:val="7107C4FF"/>
    <w:rsid w:val="710F1686"/>
    <w:rsid w:val="7164B55B"/>
    <w:rsid w:val="71CE693E"/>
    <w:rsid w:val="71CFAEDC"/>
    <w:rsid w:val="72A3F783"/>
    <w:rsid w:val="733808B3"/>
    <w:rsid w:val="7348BBDA"/>
    <w:rsid w:val="735A4A5E"/>
    <w:rsid w:val="738361FC"/>
    <w:rsid w:val="741E0714"/>
    <w:rsid w:val="7495B755"/>
    <w:rsid w:val="749C561D"/>
    <w:rsid w:val="74C3879F"/>
    <w:rsid w:val="753E7442"/>
    <w:rsid w:val="7541A2C6"/>
    <w:rsid w:val="7583662D"/>
    <w:rsid w:val="75ED3E13"/>
    <w:rsid w:val="7612F550"/>
    <w:rsid w:val="762C9EC5"/>
    <w:rsid w:val="7636ED0A"/>
    <w:rsid w:val="76437A71"/>
    <w:rsid w:val="7649E68F"/>
    <w:rsid w:val="765126A2"/>
    <w:rsid w:val="7675E7D8"/>
    <w:rsid w:val="76805C9C"/>
    <w:rsid w:val="76874270"/>
    <w:rsid w:val="76A20E34"/>
    <w:rsid w:val="7739F296"/>
    <w:rsid w:val="7758398B"/>
    <w:rsid w:val="77702DFF"/>
    <w:rsid w:val="77890E74"/>
    <w:rsid w:val="778ABB10"/>
    <w:rsid w:val="77A8CA71"/>
    <w:rsid w:val="77E407E9"/>
    <w:rsid w:val="77F67988"/>
    <w:rsid w:val="77FA442F"/>
    <w:rsid w:val="77FB2861"/>
    <w:rsid w:val="78027DEF"/>
    <w:rsid w:val="7874F73B"/>
    <w:rsid w:val="788BDE5E"/>
    <w:rsid w:val="79270C71"/>
    <w:rsid w:val="7946C766"/>
    <w:rsid w:val="794832ED"/>
    <w:rsid w:val="79AA4DEC"/>
    <w:rsid w:val="79AB6635"/>
    <w:rsid w:val="79EB0833"/>
    <w:rsid w:val="7A225E44"/>
    <w:rsid w:val="7A25F2EF"/>
    <w:rsid w:val="7AC2A70B"/>
    <w:rsid w:val="7B2F0C69"/>
    <w:rsid w:val="7B31E4F1"/>
    <w:rsid w:val="7BA64D0D"/>
    <w:rsid w:val="7BA92442"/>
    <w:rsid w:val="7BB00ADC"/>
    <w:rsid w:val="7BBC4445"/>
    <w:rsid w:val="7BC1C350"/>
    <w:rsid w:val="7BE07B53"/>
    <w:rsid w:val="7C213E1D"/>
    <w:rsid w:val="7C21CDEE"/>
    <w:rsid w:val="7D15C50B"/>
    <w:rsid w:val="7D2FCEA3"/>
    <w:rsid w:val="7D8391A3"/>
    <w:rsid w:val="7D8B8E4D"/>
    <w:rsid w:val="7D8F594D"/>
    <w:rsid w:val="7DDF5944"/>
    <w:rsid w:val="7E217477"/>
    <w:rsid w:val="7E4E0071"/>
    <w:rsid w:val="7EB192E2"/>
    <w:rsid w:val="7EEA8AF1"/>
    <w:rsid w:val="7F3B6975"/>
    <w:rsid w:val="7F46DAA0"/>
    <w:rsid w:val="7F5B189A"/>
    <w:rsid w:val="7F5EC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FF2A6"/>
  <w15:chartTrackingRefBased/>
  <w15:docId w15:val="{2E9F4476-EE58-4FB6-B159-4EA4A9C2F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467886" w:themeColor="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5E7D0C"/>
    <w:pPr>
      <w:spacing w:after="0" w:line="240" w:lineRule="auto"/>
    </w:pPr>
  </w:style>
  <w:style w:type="character" w:styleId="UnresolvedMention">
    <w:name w:val="Unresolved Mention"/>
    <w:basedOn w:val="DefaultParagraphFont"/>
    <w:uiPriority w:val="99"/>
    <w:semiHidden/>
    <w:unhideWhenUsed/>
    <w:rsid w:val="009C523D"/>
    <w:rPr>
      <w:color w:val="605E5C"/>
      <w:shd w:val="clear" w:color="auto" w:fill="E1DFDD"/>
    </w:rPr>
  </w:style>
  <w:style w:type="character" w:styleId="FollowedHyperlink">
    <w:name w:val="FollowedHyperlink"/>
    <w:basedOn w:val="DefaultParagraphFont"/>
    <w:uiPriority w:val="99"/>
    <w:semiHidden/>
    <w:unhideWhenUsed/>
    <w:rsid w:val="00B96CD4"/>
    <w:rPr>
      <w:color w:val="96607D" w:themeColor="followedHyperlink"/>
      <w:u w:val="single"/>
    </w:rPr>
  </w:style>
  <w:style w:type="paragraph" w:styleId="Header">
    <w:name w:val="header"/>
    <w:basedOn w:val="Normal"/>
    <w:link w:val="HeaderChar"/>
    <w:uiPriority w:val="99"/>
    <w:unhideWhenUsed/>
    <w:rsid w:val="00C47E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7E6F"/>
  </w:style>
  <w:style w:type="paragraph" w:styleId="Footer">
    <w:name w:val="footer"/>
    <w:basedOn w:val="Normal"/>
    <w:link w:val="FooterChar"/>
    <w:uiPriority w:val="99"/>
    <w:unhideWhenUsed/>
    <w:rsid w:val="00C47E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7E6F"/>
  </w:style>
  <w:style w:type="paragraph" w:styleId="Caption">
    <w:name w:val="caption"/>
    <w:basedOn w:val="Normal"/>
    <w:next w:val="Normal"/>
    <w:uiPriority w:val="35"/>
    <w:semiHidden/>
    <w:unhideWhenUsed/>
    <w:qFormat/>
    <w:rsid w:val="00D340B0"/>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https://doi.org/10.5860/crl.83.5.780" TargetMode="External"/><Relationship Id="rId18" Type="http://schemas.openxmlformats.org/officeDocument/2006/relationships/hyperlink" Target="https://doi.org/https:/doi.org/10.5860/crl.83.5.807" TargetMode="External"/><Relationship Id="rId26" Type="http://schemas.openxmlformats.org/officeDocument/2006/relationships/hyperlink" Target="https://doi.org/10.1108/RSR-02-2019-0007" TargetMode="External"/><Relationship Id="rId39" Type="http://schemas.openxmlformats.org/officeDocument/2006/relationships/hyperlink" Target="https://doi.org/10.5860/crl.83.3.452" TargetMode="External"/><Relationship Id="rId21" Type="http://schemas.openxmlformats.org/officeDocument/2006/relationships/hyperlink" Target="http://www.ams-net.org/ojs/index.php/jmhp/article/view/192" TargetMode="External"/><Relationship Id="rId34" Type="http://schemas.openxmlformats.org/officeDocument/2006/relationships/hyperlink" Target="https://doi.org/10.1353/pla.2020.0004" TargetMode="External"/><Relationship Id="rId42" Type="http://schemas.openxmlformats.org/officeDocument/2006/relationships/hyperlink" Target="https://www.towson.edu/about/administration/senate/committees/universitycurriculum/documents/new_core_learning_goals_and_related_course_outcomes.pdf" TargetMode="External"/><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16/j.acalib.2020.102254" TargetMode="External"/><Relationship Id="rId29" Type="http://schemas.openxmlformats.org/officeDocument/2006/relationships/hyperlink" Target="https://doi.org/10.1300/J106v14n01_02" TargetMode="External"/><Relationship Id="rId11" Type="http://schemas.openxmlformats.org/officeDocument/2006/relationships/chart" Target="charts/chart3.xml"/><Relationship Id="rId24" Type="http://schemas.openxmlformats.org/officeDocument/2006/relationships/hyperlink" Target="https://doi.org/10.1016/j.acalib.2015.04.005" TargetMode="External"/><Relationship Id="rId32" Type="http://schemas.openxmlformats.org/officeDocument/2006/relationships/hyperlink" Target="https://doi.org/10.5860/crl.79.1.148" TargetMode="External"/><Relationship Id="rId37" Type="http://schemas.openxmlformats.org/officeDocument/2006/relationships/hyperlink" Target="https://doi.org/https://doi.org/10.5860/crl.83.5.851" TargetMode="External"/><Relationship Id="rId40" Type="http://schemas.openxmlformats.org/officeDocument/2006/relationships/hyperlink" Target="https://doi.org/10.1016/j.acalib.2021.102345" TargetMode="External"/><Relationship Id="rId45" Type="http://schemas.openxmlformats.org/officeDocument/2006/relationships/hyperlink" Target="https://doi.org/10.22452/mjlis.vol24no1.6" TargetMode="External"/><Relationship Id="rId5" Type="http://schemas.openxmlformats.org/officeDocument/2006/relationships/webSettings" Target="webSettings.xml"/><Relationship Id="rId15" Type="http://schemas.openxmlformats.org/officeDocument/2006/relationships/hyperlink" Target="https://doi.org/https://doi.org/10.5860/crl.83.5.739" TargetMode="External"/><Relationship Id="rId23" Type="http://schemas.openxmlformats.org/officeDocument/2006/relationships/hyperlink" Target="https://pressbooks.pub/cdpcollection/" TargetMode="External"/><Relationship Id="rId28" Type="http://schemas.openxmlformats.org/officeDocument/2006/relationships/hyperlink" Target="https://doi.org/https://doi.org/10.5860/crl.83.5.837" TargetMode="External"/><Relationship Id="rId36" Type="http://schemas.openxmlformats.org/officeDocument/2006/relationships/hyperlink" Target="https://doi.org/10.1016/j.acalib.2005.05.010" TargetMode="External"/><Relationship Id="rId49"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s://doi.org/https://doi.org/10.5860" TargetMode="External"/><Relationship Id="rId31" Type="http://schemas.openxmlformats.org/officeDocument/2006/relationships/hyperlink" Target="https://doi.org/10.5860/crl.79.1.148" TargetMode="External"/><Relationship Id="rId44" Type="http://schemas.openxmlformats.org/officeDocument/2006/relationships/hyperlink" Target="https://doi.org/10.5860/crl.79.4.535"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33011/newlibs/11/12" TargetMode="External"/><Relationship Id="rId22" Type="http://schemas.openxmlformats.org/officeDocument/2006/relationships/hyperlink" Target="http://www.ams-net.org/ojs/index.php/jmhp/article/view/192" TargetMode="External"/><Relationship Id="rId27" Type="http://schemas.openxmlformats.org/officeDocument/2006/relationships/hyperlink" Target="https://doi.org/https:/doi.org/10.5860/crl.83.5.837" TargetMode="External"/><Relationship Id="rId30" Type="http://schemas.openxmlformats.org/officeDocument/2006/relationships/hyperlink" Target="https://doi.org/10.5860/crl.83.5.713" TargetMode="External"/><Relationship Id="rId35" Type="http://schemas.openxmlformats.org/officeDocument/2006/relationships/hyperlink" Target="https://doi.org/https://doi.org/10.5860/crl.83.5.726" TargetMode="External"/><Relationship Id="rId43" Type="http://schemas.openxmlformats.org/officeDocument/2006/relationships/hyperlink" Target="https://doi.org/10.5860/crl.79.4.535"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www.ala.org/acrl/standards/ilframework" TargetMode="External"/><Relationship Id="rId17" Type="http://schemas.openxmlformats.org/officeDocument/2006/relationships/hyperlink" Target="https://doi.org/10.11645/16.1.3106" TargetMode="External"/><Relationship Id="rId25" Type="http://schemas.openxmlformats.org/officeDocument/2006/relationships/hyperlink" Target="https://doi.org/10.1108/RSR-02-2019-0007" TargetMode="External"/><Relationship Id="rId33" Type="http://schemas.openxmlformats.org/officeDocument/2006/relationships/hyperlink" Target="https://www.teachingmusichistory.com/acadp_listings/psgfriday-thresholdconcepts/" TargetMode="External"/><Relationship Id="rId38" Type="http://schemas.openxmlformats.org/officeDocument/2006/relationships/hyperlink" Target="https://doi.org/https://doi.org/10.5860/crl.83.5.844" TargetMode="External"/><Relationship Id="rId46" Type="http://schemas.openxmlformats.org/officeDocument/2006/relationships/hyperlink" Target="https://doi.org/10.22452/mjlis.vol24no1.6" TargetMode="External"/><Relationship Id="rId20" Type="http://schemas.openxmlformats.org/officeDocument/2006/relationships/hyperlink" Target="https://doi.org/10.1525/jams.2011.64.3.689" TargetMode="External"/><Relationship Id="rId41" Type="http://schemas.openxmlformats.org/officeDocument/2006/relationships/hyperlink" Target="https://www.towson.edu/cofac/departments/music/about.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Sheet1!$B$1</c:f>
              <c:strCache>
                <c:ptCount val="1"/>
                <c:pt idx="0">
                  <c:v>Not at all</c:v>
                </c:pt>
              </c:strCache>
            </c:strRef>
          </c:tx>
          <c:spPr>
            <a:solidFill>
              <a:schemeClr val="accent1"/>
            </a:solidFill>
            <a:ln>
              <a:noFill/>
            </a:ln>
            <a:effectLst/>
          </c:spPr>
          <c:invertIfNegative val="0"/>
          <c:cat>
            <c:strRef>
              <c:f>Sheet1!$A$2:$A$9</c:f>
              <c:strCache>
                <c:ptCount val="8"/>
                <c:pt idx="0">
                  <c:v>Instructor</c:v>
                </c:pt>
                <c:pt idx="1">
                  <c:v>Librarian</c:v>
                </c:pt>
                <c:pt idx="3">
                  <c:v>Instructor</c:v>
                </c:pt>
                <c:pt idx="4">
                  <c:v>Librarian</c:v>
                </c:pt>
                <c:pt idx="6">
                  <c:v>Instructor</c:v>
                </c:pt>
                <c:pt idx="7">
                  <c:v>Librarian</c:v>
                </c:pt>
              </c:strCache>
            </c:strRef>
          </c:cat>
          <c:val>
            <c:numRef>
              <c:f>Sheet1!$B$2:$B$9</c:f>
              <c:numCache>
                <c:formatCode>General</c:formatCode>
                <c:ptCount val="8"/>
                <c:pt idx="0">
                  <c:v>0</c:v>
                </c:pt>
                <c:pt idx="1">
                  <c:v>4.7618999999999998</c:v>
                </c:pt>
                <c:pt idx="3">
                  <c:v>5.5555000000000003</c:v>
                </c:pt>
                <c:pt idx="4">
                  <c:v>0</c:v>
                </c:pt>
                <c:pt idx="6">
                  <c:v>0</c:v>
                </c:pt>
                <c:pt idx="7">
                  <c:v>0</c:v>
                </c:pt>
              </c:numCache>
            </c:numRef>
          </c:val>
          <c:extLst>
            <c:ext xmlns:c16="http://schemas.microsoft.com/office/drawing/2014/chart" uri="{C3380CC4-5D6E-409C-BE32-E72D297353CC}">
              <c16:uniqueId val="{00000000-B42F-43B9-9830-25ED10CF9F41}"/>
            </c:ext>
          </c:extLst>
        </c:ser>
        <c:ser>
          <c:idx val="1"/>
          <c:order val="1"/>
          <c:tx>
            <c:strRef>
              <c:f>Sheet1!$C$1</c:f>
              <c:strCache>
                <c:ptCount val="1"/>
                <c:pt idx="0">
                  <c:v>A little</c:v>
                </c:pt>
              </c:strCache>
            </c:strRef>
          </c:tx>
          <c:spPr>
            <a:solidFill>
              <a:schemeClr val="accent2"/>
            </a:solidFill>
            <a:ln>
              <a:noFill/>
            </a:ln>
            <a:effectLst/>
          </c:spPr>
          <c:invertIfNegative val="0"/>
          <c:cat>
            <c:strRef>
              <c:f>Sheet1!$A$2:$A$9</c:f>
              <c:strCache>
                <c:ptCount val="8"/>
                <c:pt idx="0">
                  <c:v>Instructor</c:v>
                </c:pt>
                <c:pt idx="1">
                  <c:v>Librarian</c:v>
                </c:pt>
                <c:pt idx="3">
                  <c:v>Instructor</c:v>
                </c:pt>
                <c:pt idx="4">
                  <c:v>Librarian</c:v>
                </c:pt>
                <c:pt idx="6">
                  <c:v>Instructor</c:v>
                </c:pt>
                <c:pt idx="7">
                  <c:v>Librarian</c:v>
                </c:pt>
              </c:strCache>
            </c:strRef>
          </c:cat>
          <c:val>
            <c:numRef>
              <c:f>Sheet1!$C$2:$C$9</c:f>
              <c:numCache>
                <c:formatCode>General</c:formatCode>
                <c:ptCount val="8"/>
                <c:pt idx="0">
                  <c:v>28.571400000000001</c:v>
                </c:pt>
                <c:pt idx="1">
                  <c:v>23.8095</c:v>
                </c:pt>
                <c:pt idx="3">
                  <c:v>50</c:v>
                </c:pt>
                <c:pt idx="4">
                  <c:v>11.1111</c:v>
                </c:pt>
                <c:pt idx="6">
                  <c:v>17.646999999999998</c:v>
                </c:pt>
                <c:pt idx="7">
                  <c:v>11.764699999999999</c:v>
                </c:pt>
              </c:numCache>
            </c:numRef>
          </c:val>
          <c:extLst>
            <c:ext xmlns:c16="http://schemas.microsoft.com/office/drawing/2014/chart" uri="{C3380CC4-5D6E-409C-BE32-E72D297353CC}">
              <c16:uniqueId val="{00000001-B42F-43B9-9830-25ED10CF9F41}"/>
            </c:ext>
          </c:extLst>
        </c:ser>
        <c:ser>
          <c:idx val="2"/>
          <c:order val="2"/>
          <c:tx>
            <c:strRef>
              <c:f>Sheet1!$D$1</c:f>
              <c:strCache>
                <c:ptCount val="1"/>
                <c:pt idx="0">
                  <c:v>A moderate amount</c:v>
                </c:pt>
              </c:strCache>
            </c:strRef>
          </c:tx>
          <c:spPr>
            <a:solidFill>
              <a:schemeClr val="accent3"/>
            </a:solidFill>
            <a:ln>
              <a:noFill/>
            </a:ln>
            <a:effectLst/>
          </c:spPr>
          <c:invertIfNegative val="0"/>
          <c:cat>
            <c:strRef>
              <c:f>Sheet1!$A$2:$A$9</c:f>
              <c:strCache>
                <c:ptCount val="8"/>
                <c:pt idx="0">
                  <c:v>Instructor</c:v>
                </c:pt>
                <c:pt idx="1">
                  <c:v>Librarian</c:v>
                </c:pt>
                <c:pt idx="3">
                  <c:v>Instructor</c:v>
                </c:pt>
                <c:pt idx="4">
                  <c:v>Librarian</c:v>
                </c:pt>
                <c:pt idx="6">
                  <c:v>Instructor</c:v>
                </c:pt>
                <c:pt idx="7">
                  <c:v>Librarian</c:v>
                </c:pt>
              </c:strCache>
            </c:strRef>
          </c:cat>
          <c:val>
            <c:numRef>
              <c:f>Sheet1!$D$2:$D$9</c:f>
              <c:numCache>
                <c:formatCode>General</c:formatCode>
                <c:ptCount val="8"/>
                <c:pt idx="0">
                  <c:v>52.380899999999997</c:v>
                </c:pt>
                <c:pt idx="1">
                  <c:v>38.095199999999998</c:v>
                </c:pt>
                <c:pt idx="3">
                  <c:v>44.444400000000002</c:v>
                </c:pt>
                <c:pt idx="4">
                  <c:v>33.333300000000001</c:v>
                </c:pt>
                <c:pt idx="6">
                  <c:v>47.058799999999998</c:v>
                </c:pt>
                <c:pt idx="7">
                  <c:v>35.2941</c:v>
                </c:pt>
              </c:numCache>
            </c:numRef>
          </c:val>
          <c:extLst>
            <c:ext xmlns:c16="http://schemas.microsoft.com/office/drawing/2014/chart" uri="{C3380CC4-5D6E-409C-BE32-E72D297353CC}">
              <c16:uniqueId val="{00000002-B42F-43B9-9830-25ED10CF9F41}"/>
            </c:ext>
          </c:extLst>
        </c:ser>
        <c:ser>
          <c:idx val="3"/>
          <c:order val="3"/>
          <c:tx>
            <c:strRef>
              <c:f>Sheet1!$E$1</c:f>
              <c:strCache>
                <c:ptCount val="1"/>
                <c:pt idx="0">
                  <c:v>A lot</c:v>
                </c:pt>
              </c:strCache>
            </c:strRef>
          </c:tx>
          <c:spPr>
            <a:solidFill>
              <a:schemeClr val="accent4"/>
            </a:solidFill>
            <a:ln>
              <a:noFill/>
            </a:ln>
            <a:effectLst/>
          </c:spPr>
          <c:invertIfNegative val="0"/>
          <c:cat>
            <c:strRef>
              <c:f>Sheet1!$A$2:$A$9</c:f>
              <c:strCache>
                <c:ptCount val="8"/>
                <c:pt idx="0">
                  <c:v>Instructor</c:v>
                </c:pt>
                <c:pt idx="1">
                  <c:v>Librarian</c:v>
                </c:pt>
                <c:pt idx="3">
                  <c:v>Instructor</c:v>
                </c:pt>
                <c:pt idx="4">
                  <c:v>Librarian</c:v>
                </c:pt>
                <c:pt idx="6">
                  <c:v>Instructor</c:v>
                </c:pt>
                <c:pt idx="7">
                  <c:v>Librarian</c:v>
                </c:pt>
              </c:strCache>
            </c:strRef>
          </c:cat>
          <c:val>
            <c:numRef>
              <c:f>Sheet1!$E$2:$E$9</c:f>
              <c:numCache>
                <c:formatCode>General</c:formatCode>
                <c:ptCount val="8"/>
                <c:pt idx="0">
                  <c:v>19.047599999999999</c:v>
                </c:pt>
                <c:pt idx="1">
                  <c:v>33.333300000000001</c:v>
                </c:pt>
                <c:pt idx="3">
                  <c:v>0</c:v>
                </c:pt>
                <c:pt idx="4">
                  <c:v>55.555500000000002</c:v>
                </c:pt>
                <c:pt idx="6">
                  <c:v>35.2941</c:v>
                </c:pt>
                <c:pt idx="7">
                  <c:v>52.941099999999999</c:v>
                </c:pt>
              </c:numCache>
            </c:numRef>
          </c:val>
          <c:extLst>
            <c:ext xmlns:c16="http://schemas.microsoft.com/office/drawing/2014/chart" uri="{C3380CC4-5D6E-409C-BE32-E72D297353CC}">
              <c16:uniqueId val="{00000003-B42F-43B9-9830-25ED10CF9F41}"/>
            </c:ext>
          </c:extLst>
        </c:ser>
        <c:dLbls>
          <c:showLegendKey val="0"/>
          <c:showVal val="0"/>
          <c:showCatName val="0"/>
          <c:showSerName val="0"/>
          <c:showPercent val="0"/>
          <c:showBubbleSize val="0"/>
        </c:dLbls>
        <c:gapWidth val="25"/>
        <c:overlap val="100"/>
        <c:axId val="838455855"/>
        <c:axId val="1933431072"/>
      </c:barChart>
      <c:catAx>
        <c:axId val="83845585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en-US"/>
          </a:p>
        </c:txPr>
        <c:crossAx val="1933431072"/>
        <c:crosses val="autoZero"/>
        <c:auto val="1"/>
        <c:lblAlgn val="ctr"/>
        <c:lblOffset val="100"/>
        <c:noMultiLvlLbl val="0"/>
      </c:catAx>
      <c:valAx>
        <c:axId val="1933431072"/>
        <c:scaling>
          <c:orientation val="minMax"/>
        </c:scaling>
        <c:delete val="1"/>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1000">
                    <a:solidFill>
                      <a:sysClr val="windowText" lastClr="000000"/>
                    </a:solidFill>
                    <a:latin typeface="Calibri" panose="020F0502020204030204" pitchFamily="34" charset="0"/>
                    <a:ea typeface="Calibri" panose="020F0502020204030204" pitchFamily="34" charset="0"/>
                    <a:cs typeface="Calibri" panose="020F0502020204030204" pitchFamily="34" charset="0"/>
                  </a:rPr>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0%" sourceLinked="1"/>
        <c:majorTickMark val="out"/>
        <c:minorTickMark val="none"/>
        <c:tickLblPos val="nextTo"/>
        <c:crossAx val="838455855"/>
        <c:crosses val="autoZero"/>
        <c:crossBetween val="between"/>
      </c:valAx>
      <c:spPr>
        <a:noFill/>
        <a:ln>
          <a:noFill/>
        </a:ln>
        <a:effectLst/>
      </c:spPr>
    </c:plotArea>
    <c:legend>
      <c:legendPos val="b"/>
      <c:layout>
        <c:manualLayout>
          <c:xMode val="edge"/>
          <c:yMode val="edge"/>
          <c:x val="0.23880273219741979"/>
          <c:y val="0.91271411130507674"/>
          <c:w val="0.52239446631671038"/>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r>
              <a:rPr lang="en-US"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rPr>
              <a:t>Survey 1: 21 respondents; Survey 2; 18 respondents, Survey 3: 16 respondents</a:t>
            </a:r>
            <a:endParaRPr lang="en-US" sz="1000">
              <a:solidFill>
                <a:sysClr val="windowText" lastClr="000000"/>
              </a:solidFill>
              <a:latin typeface="Arial Narrow" panose="020B0606020202030204" pitchFamily="34" charset="0"/>
              <a:ea typeface="Calibri" panose="020F0502020204030204" pitchFamily="34" charset="0"/>
              <a:cs typeface="Calibri" panose="020F0502020204030204" pitchFamily="34" charset="0"/>
            </a:endParaRPr>
          </a:p>
        </c:rich>
      </c:tx>
      <c:layout>
        <c:manualLayout>
          <c:xMode val="edge"/>
          <c:yMode val="edge"/>
          <c:x val="0.1612904636920385"/>
          <c:y val="6.1633281972265025E-3"/>
        </c:manualLayout>
      </c:layout>
      <c:overlay val="0"/>
      <c:spPr>
        <a:noFill/>
        <a:ln>
          <a:noFill/>
        </a:ln>
        <a:effectLst/>
      </c:spPr>
      <c:txPr>
        <a:bodyPr rot="0" spcFirstLastPara="1" vertOverflow="ellipsis" vert="horz" wrap="square" anchor="ctr" anchorCtr="1"/>
        <a:lstStyle/>
        <a:p>
          <a:pPr algn="ctr">
            <a:defRPr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p>
      </c:txPr>
    </c:title>
    <c:autoTitleDeleted val="0"/>
    <c:plotArea>
      <c:layout>
        <c:manualLayout>
          <c:layoutTarget val="inner"/>
          <c:xMode val="edge"/>
          <c:yMode val="edge"/>
          <c:x val="2.5462962962962962E-2"/>
          <c:y val="8.8593066491688535E-2"/>
          <c:w val="0.94907407407407407"/>
          <c:h val="0.56448846237970252"/>
        </c:manualLayout>
      </c:layout>
      <c:barChart>
        <c:barDir val="col"/>
        <c:grouping val="percentStacked"/>
        <c:varyColors val="0"/>
        <c:ser>
          <c:idx val="0"/>
          <c:order val="0"/>
          <c:tx>
            <c:strRef>
              <c:f>Sheet1!$B$1</c:f>
              <c:strCache>
                <c:ptCount val="1"/>
                <c:pt idx="0">
                  <c:v>None/Not at all</c:v>
                </c:pt>
              </c:strCache>
            </c:strRef>
          </c:tx>
          <c:spPr>
            <a:solidFill>
              <a:schemeClr val="accent1"/>
            </a:solidFill>
            <a:ln>
              <a:noFill/>
            </a:ln>
            <a:effectLst/>
          </c:spPr>
          <c:invertIfNegative val="0"/>
          <c:cat>
            <c:strRef>
              <c:f>Sheet1!$A$2:$A$12</c:f>
              <c:strCache>
                <c:ptCount val="11"/>
                <c:pt idx="0">
                  <c:v>Survey 1</c:v>
                </c:pt>
                <c:pt idx="1">
                  <c:v>Survey 2</c:v>
                </c:pt>
                <c:pt idx="2">
                  <c:v>Survey 3</c:v>
                </c:pt>
                <c:pt idx="4">
                  <c:v>Survey 1</c:v>
                </c:pt>
                <c:pt idx="5">
                  <c:v>Survey 2</c:v>
                </c:pt>
                <c:pt idx="6">
                  <c:v>Survey 3</c:v>
                </c:pt>
                <c:pt idx="8">
                  <c:v>Survey 1</c:v>
                </c:pt>
                <c:pt idx="9">
                  <c:v>Survey 2</c:v>
                </c:pt>
                <c:pt idx="10">
                  <c:v>Survey 3</c:v>
                </c:pt>
              </c:strCache>
            </c:strRef>
          </c:cat>
          <c:val>
            <c:numRef>
              <c:f>Sheet1!$B$2:$B$12</c:f>
              <c:numCache>
                <c:formatCode>General</c:formatCode>
                <c:ptCount val="11"/>
                <c:pt idx="0">
                  <c:v>14.28</c:v>
                </c:pt>
                <c:pt idx="1">
                  <c:v>5.55</c:v>
                </c:pt>
                <c:pt idx="2">
                  <c:v>0</c:v>
                </c:pt>
                <c:pt idx="4">
                  <c:v>0</c:v>
                </c:pt>
                <c:pt idx="5">
                  <c:v>0</c:v>
                </c:pt>
                <c:pt idx="6">
                  <c:v>0</c:v>
                </c:pt>
                <c:pt idx="8">
                  <c:v>4.76</c:v>
                </c:pt>
                <c:pt idx="9">
                  <c:v>0</c:v>
                </c:pt>
                <c:pt idx="10">
                  <c:v>0</c:v>
                </c:pt>
              </c:numCache>
            </c:numRef>
          </c:val>
          <c:extLst>
            <c:ext xmlns:c16="http://schemas.microsoft.com/office/drawing/2014/chart" uri="{C3380CC4-5D6E-409C-BE32-E72D297353CC}">
              <c16:uniqueId val="{00000000-A9D7-4DC4-A1E3-02C3DA19871A}"/>
            </c:ext>
          </c:extLst>
        </c:ser>
        <c:ser>
          <c:idx val="1"/>
          <c:order val="1"/>
          <c:tx>
            <c:strRef>
              <c:f>Sheet1!$C$1</c:f>
              <c:strCache>
                <c:ptCount val="1"/>
                <c:pt idx="0">
                  <c:v>Sometimes</c:v>
                </c:pt>
              </c:strCache>
            </c:strRef>
          </c:tx>
          <c:spPr>
            <a:solidFill>
              <a:schemeClr val="accent2"/>
            </a:solidFill>
            <a:ln>
              <a:noFill/>
            </a:ln>
            <a:effectLst/>
          </c:spPr>
          <c:invertIfNegative val="0"/>
          <c:cat>
            <c:strRef>
              <c:f>Sheet1!$A$2:$A$12</c:f>
              <c:strCache>
                <c:ptCount val="11"/>
                <c:pt idx="0">
                  <c:v>Survey 1</c:v>
                </c:pt>
                <c:pt idx="1">
                  <c:v>Survey 2</c:v>
                </c:pt>
                <c:pt idx="2">
                  <c:v>Survey 3</c:v>
                </c:pt>
                <c:pt idx="4">
                  <c:v>Survey 1</c:v>
                </c:pt>
                <c:pt idx="5">
                  <c:v>Survey 2</c:v>
                </c:pt>
                <c:pt idx="6">
                  <c:v>Survey 3</c:v>
                </c:pt>
                <c:pt idx="8">
                  <c:v>Survey 1</c:v>
                </c:pt>
                <c:pt idx="9">
                  <c:v>Survey 2</c:v>
                </c:pt>
                <c:pt idx="10">
                  <c:v>Survey 3</c:v>
                </c:pt>
              </c:strCache>
            </c:strRef>
          </c:cat>
          <c:val>
            <c:numRef>
              <c:f>Sheet1!$C$2:$C$12</c:f>
              <c:numCache>
                <c:formatCode>General</c:formatCode>
                <c:ptCount val="11"/>
                <c:pt idx="0">
                  <c:v>33.33</c:v>
                </c:pt>
                <c:pt idx="1">
                  <c:v>16.66</c:v>
                </c:pt>
                <c:pt idx="2">
                  <c:v>12.5</c:v>
                </c:pt>
                <c:pt idx="4">
                  <c:v>33.33</c:v>
                </c:pt>
                <c:pt idx="5">
                  <c:v>16.66</c:v>
                </c:pt>
                <c:pt idx="6">
                  <c:v>18.75</c:v>
                </c:pt>
                <c:pt idx="8">
                  <c:v>28.57</c:v>
                </c:pt>
                <c:pt idx="9">
                  <c:v>5.55</c:v>
                </c:pt>
                <c:pt idx="10">
                  <c:v>0</c:v>
                </c:pt>
              </c:numCache>
            </c:numRef>
          </c:val>
          <c:extLst>
            <c:ext xmlns:c16="http://schemas.microsoft.com/office/drawing/2014/chart" uri="{C3380CC4-5D6E-409C-BE32-E72D297353CC}">
              <c16:uniqueId val="{00000001-A9D7-4DC4-A1E3-02C3DA19871A}"/>
            </c:ext>
          </c:extLst>
        </c:ser>
        <c:ser>
          <c:idx val="2"/>
          <c:order val="2"/>
          <c:tx>
            <c:strRef>
              <c:f>Sheet1!$D$1</c:f>
              <c:strCache>
                <c:ptCount val="1"/>
                <c:pt idx="0">
                  <c:v>About half the time</c:v>
                </c:pt>
              </c:strCache>
            </c:strRef>
          </c:tx>
          <c:spPr>
            <a:solidFill>
              <a:schemeClr val="accent3"/>
            </a:solidFill>
            <a:ln>
              <a:noFill/>
            </a:ln>
            <a:effectLst/>
          </c:spPr>
          <c:invertIfNegative val="0"/>
          <c:cat>
            <c:strRef>
              <c:f>Sheet1!$A$2:$A$12</c:f>
              <c:strCache>
                <c:ptCount val="11"/>
                <c:pt idx="0">
                  <c:v>Survey 1</c:v>
                </c:pt>
                <c:pt idx="1">
                  <c:v>Survey 2</c:v>
                </c:pt>
                <c:pt idx="2">
                  <c:v>Survey 3</c:v>
                </c:pt>
                <c:pt idx="4">
                  <c:v>Survey 1</c:v>
                </c:pt>
                <c:pt idx="5">
                  <c:v>Survey 2</c:v>
                </c:pt>
                <c:pt idx="6">
                  <c:v>Survey 3</c:v>
                </c:pt>
                <c:pt idx="8">
                  <c:v>Survey 1</c:v>
                </c:pt>
                <c:pt idx="9">
                  <c:v>Survey 2</c:v>
                </c:pt>
                <c:pt idx="10">
                  <c:v>Survey 3</c:v>
                </c:pt>
              </c:strCache>
            </c:strRef>
          </c:cat>
          <c:val>
            <c:numRef>
              <c:f>Sheet1!$D$2:$D$12</c:f>
              <c:numCache>
                <c:formatCode>General</c:formatCode>
                <c:ptCount val="11"/>
                <c:pt idx="0">
                  <c:v>33.33</c:v>
                </c:pt>
                <c:pt idx="1">
                  <c:v>27.77</c:v>
                </c:pt>
                <c:pt idx="2">
                  <c:v>37.5</c:v>
                </c:pt>
                <c:pt idx="4">
                  <c:v>28.57</c:v>
                </c:pt>
                <c:pt idx="5">
                  <c:v>16.66</c:v>
                </c:pt>
                <c:pt idx="6">
                  <c:v>25</c:v>
                </c:pt>
                <c:pt idx="8">
                  <c:v>19.04</c:v>
                </c:pt>
                <c:pt idx="9">
                  <c:v>16.66</c:v>
                </c:pt>
                <c:pt idx="10">
                  <c:v>12.5</c:v>
                </c:pt>
              </c:numCache>
            </c:numRef>
          </c:val>
          <c:extLst>
            <c:ext xmlns:c16="http://schemas.microsoft.com/office/drawing/2014/chart" uri="{C3380CC4-5D6E-409C-BE32-E72D297353CC}">
              <c16:uniqueId val="{00000002-A9D7-4DC4-A1E3-02C3DA19871A}"/>
            </c:ext>
          </c:extLst>
        </c:ser>
        <c:ser>
          <c:idx val="3"/>
          <c:order val="3"/>
          <c:tx>
            <c:strRef>
              <c:f>Sheet1!$E$1</c:f>
              <c:strCache>
                <c:ptCount val="1"/>
                <c:pt idx="0">
                  <c:v>Most of the time</c:v>
                </c:pt>
              </c:strCache>
            </c:strRef>
          </c:tx>
          <c:spPr>
            <a:solidFill>
              <a:schemeClr val="accent4"/>
            </a:solidFill>
            <a:ln>
              <a:noFill/>
            </a:ln>
            <a:effectLst/>
          </c:spPr>
          <c:invertIfNegative val="0"/>
          <c:cat>
            <c:strRef>
              <c:f>Sheet1!$A$2:$A$12</c:f>
              <c:strCache>
                <c:ptCount val="11"/>
                <c:pt idx="0">
                  <c:v>Survey 1</c:v>
                </c:pt>
                <c:pt idx="1">
                  <c:v>Survey 2</c:v>
                </c:pt>
                <c:pt idx="2">
                  <c:v>Survey 3</c:v>
                </c:pt>
                <c:pt idx="4">
                  <c:v>Survey 1</c:v>
                </c:pt>
                <c:pt idx="5">
                  <c:v>Survey 2</c:v>
                </c:pt>
                <c:pt idx="6">
                  <c:v>Survey 3</c:v>
                </c:pt>
                <c:pt idx="8">
                  <c:v>Survey 1</c:v>
                </c:pt>
                <c:pt idx="9">
                  <c:v>Survey 2</c:v>
                </c:pt>
                <c:pt idx="10">
                  <c:v>Survey 3</c:v>
                </c:pt>
              </c:strCache>
            </c:strRef>
          </c:cat>
          <c:val>
            <c:numRef>
              <c:f>Sheet1!$E$2:$E$12</c:f>
              <c:numCache>
                <c:formatCode>General</c:formatCode>
                <c:ptCount val="11"/>
                <c:pt idx="0">
                  <c:v>9.52</c:v>
                </c:pt>
                <c:pt idx="1">
                  <c:v>38.880000000000003</c:v>
                </c:pt>
                <c:pt idx="2">
                  <c:v>37.5</c:v>
                </c:pt>
                <c:pt idx="4">
                  <c:v>23.8</c:v>
                </c:pt>
                <c:pt idx="5">
                  <c:v>44.44</c:v>
                </c:pt>
                <c:pt idx="6">
                  <c:v>43.75</c:v>
                </c:pt>
                <c:pt idx="8">
                  <c:v>38.090000000000003</c:v>
                </c:pt>
                <c:pt idx="9">
                  <c:v>33.33</c:v>
                </c:pt>
                <c:pt idx="10">
                  <c:v>68.75</c:v>
                </c:pt>
              </c:numCache>
            </c:numRef>
          </c:val>
          <c:extLst>
            <c:ext xmlns:c16="http://schemas.microsoft.com/office/drawing/2014/chart" uri="{C3380CC4-5D6E-409C-BE32-E72D297353CC}">
              <c16:uniqueId val="{00000003-A9D7-4DC4-A1E3-02C3DA19871A}"/>
            </c:ext>
          </c:extLst>
        </c:ser>
        <c:ser>
          <c:idx val="4"/>
          <c:order val="4"/>
          <c:tx>
            <c:strRef>
              <c:f>Sheet1!$F$1</c:f>
              <c:strCache>
                <c:ptCount val="1"/>
                <c:pt idx="0">
                  <c:v>Always</c:v>
                </c:pt>
              </c:strCache>
            </c:strRef>
          </c:tx>
          <c:spPr>
            <a:solidFill>
              <a:schemeClr val="accent5"/>
            </a:solidFill>
            <a:ln>
              <a:noFill/>
            </a:ln>
            <a:effectLst/>
          </c:spPr>
          <c:invertIfNegative val="0"/>
          <c:cat>
            <c:strRef>
              <c:f>Sheet1!$A$2:$A$12</c:f>
              <c:strCache>
                <c:ptCount val="11"/>
                <c:pt idx="0">
                  <c:v>Survey 1</c:v>
                </c:pt>
                <c:pt idx="1">
                  <c:v>Survey 2</c:v>
                </c:pt>
                <c:pt idx="2">
                  <c:v>Survey 3</c:v>
                </c:pt>
                <c:pt idx="4">
                  <c:v>Survey 1</c:v>
                </c:pt>
                <c:pt idx="5">
                  <c:v>Survey 2</c:v>
                </c:pt>
                <c:pt idx="6">
                  <c:v>Survey 3</c:v>
                </c:pt>
                <c:pt idx="8">
                  <c:v>Survey 1</c:v>
                </c:pt>
                <c:pt idx="9">
                  <c:v>Survey 2</c:v>
                </c:pt>
                <c:pt idx="10">
                  <c:v>Survey 3</c:v>
                </c:pt>
              </c:strCache>
            </c:strRef>
          </c:cat>
          <c:val>
            <c:numRef>
              <c:f>Sheet1!$F$2:$F$12</c:f>
              <c:numCache>
                <c:formatCode>General</c:formatCode>
                <c:ptCount val="11"/>
                <c:pt idx="0">
                  <c:v>9.52</c:v>
                </c:pt>
                <c:pt idx="1">
                  <c:v>11.11</c:v>
                </c:pt>
                <c:pt idx="2">
                  <c:v>12.5</c:v>
                </c:pt>
                <c:pt idx="4">
                  <c:v>14.28</c:v>
                </c:pt>
                <c:pt idx="5">
                  <c:v>22.22</c:v>
                </c:pt>
                <c:pt idx="6">
                  <c:v>12.5</c:v>
                </c:pt>
                <c:pt idx="8">
                  <c:v>9.52</c:v>
                </c:pt>
                <c:pt idx="9">
                  <c:v>44.44</c:v>
                </c:pt>
                <c:pt idx="10">
                  <c:v>18.75</c:v>
                </c:pt>
              </c:numCache>
            </c:numRef>
          </c:val>
          <c:extLst>
            <c:ext xmlns:c16="http://schemas.microsoft.com/office/drawing/2014/chart" uri="{C3380CC4-5D6E-409C-BE32-E72D297353CC}">
              <c16:uniqueId val="{00000004-A9D7-4DC4-A1E3-02C3DA19871A}"/>
            </c:ext>
          </c:extLst>
        </c:ser>
        <c:dLbls>
          <c:showLegendKey val="0"/>
          <c:showVal val="0"/>
          <c:showCatName val="0"/>
          <c:showSerName val="0"/>
          <c:showPercent val="0"/>
          <c:showBubbleSize val="0"/>
        </c:dLbls>
        <c:gapWidth val="25"/>
        <c:overlap val="100"/>
        <c:axId val="838455855"/>
        <c:axId val="1933431072"/>
      </c:barChart>
      <c:catAx>
        <c:axId val="83845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p>
        </c:txPr>
        <c:crossAx val="1933431072"/>
        <c:crosses val="autoZero"/>
        <c:auto val="1"/>
        <c:lblAlgn val="ctr"/>
        <c:lblOffset val="100"/>
        <c:noMultiLvlLbl val="0"/>
      </c:catAx>
      <c:valAx>
        <c:axId val="1933431072"/>
        <c:scaling>
          <c:orientation val="minMax"/>
        </c:scaling>
        <c:delete val="1"/>
        <c:axPos val="l"/>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r>
                  <a:rPr lang="en-US" sz="1000" b="0" i="0" u="none" strike="noStrike" kern="120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rPr>
                  <a:t>percentage of respondents</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solidFill>
                    <a:sysClr val="windowText" lastClr="000000"/>
                  </a:solidFill>
                  <a:latin typeface="Arial Narrow" panose="020B0606020202030204" pitchFamily="34" charset="0"/>
                  <a:ea typeface="Calibri" panose="020F0502020204030204" pitchFamily="34" charset="0"/>
                  <a:cs typeface="Calibri" panose="020F0502020204030204" pitchFamily="34" charset="0"/>
                </a:endParaRPr>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p>
          </c:txPr>
        </c:title>
        <c:numFmt formatCode="0%" sourceLinked="1"/>
        <c:majorTickMark val="none"/>
        <c:minorTickMark val="none"/>
        <c:tickLblPos val="nextTo"/>
        <c:crossAx val="838455855"/>
        <c:crosses val="autoZero"/>
        <c:crossBetween val="between"/>
      </c:valAx>
      <c:spPr>
        <a:noFill/>
        <a:ln>
          <a:noFill/>
        </a:ln>
        <a:effectLst/>
      </c:spPr>
    </c:plotArea>
    <c:legend>
      <c:legendPos val="b"/>
      <c:layout>
        <c:manualLayout>
          <c:xMode val="edge"/>
          <c:yMode val="edge"/>
          <c:x val="7.2048337707786528E-2"/>
          <c:y val="0.93553614391951001"/>
          <c:w val="0.87905129046369201"/>
          <c:h val="5.20034456401732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r>
              <a:rPr lang="en-US"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rPr>
              <a:t>Survey 1: 21 respondents; Survey 2; 18 respondents, Survey 3: 16 respondents</a:t>
            </a:r>
            <a:endParaRPr lang="en-US" sz="1000">
              <a:solidFill>
                <a:sysClr val="windowText" lastClr="000000"/>
              </a:solidFill>
              <a:latin typeface="Arial Narrow" panose="020B0606020202030204" pitchFamily="34" charset="0"/>
              <a:ea typeface="Calibri" panose="020F0502020204030204" pitchFamily="34" charset="0"/>
              <a:cs typeface="Calibri" panose="020F0502020204030204" pitchFamily="34" charset="0"/>
            </a:endParaRPr>
          </a:p>
        </c:rich>
      </c:tx>
      <c:layout>
        <c:manualLayout>
          <c:xMode val="edge"/>
          <c:yMode val="edge"/>
          <c:x val="0.1612904636920385"/>
          <c:y val="6.1633281972265025E-3"/>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ysClr val="windowText" lastClr="000000"/>
              </a:solidFill>
              <a:latin typeface="Arial Narrow" panose="020B0606020202030204" pitchFamily="34" charset="0"/>
              <a:ea typeface="Calibri" panose="020F0502020204030204" pitchFamily="34" charset="0"/>
              <a:cs typeface="Calibri" panose="020F0502020204030204" pitchFamily="34" charset="0"/>
            </a:defRPr>
          </a:pPr>
          <a:endParaRPr lang="en-US"/>
        </a:p>
      </c:txPr>
    </c:title>
    <c:autoTitleDeleted val="0"/>
    <c:plotArea>
      <c:layout>
        <c:manualLayout>
          <c:layoutTarget val="inner"/>
          <c:xMode val="edge"/>
          <c:yMode val="edge"/>
          <c:x val="2.5462962962962962E-2"/>
          <c:y val="7.0408191163604555E-2"/>
          <c:w val="0.94907407407407407"/>
          <c:h val="0.568327591863517"/>
        </c:manualLayout>
      </c:layout>
      <c:barChart>
        <c:barDir val="col"/>
        <c:grouping val="percentStacked"/>
        <c:varyColors val="0"/>
        <c:ser>
          <c:idx val="0"/>
          <c:order val="0"/>
          <c:tx>
            <c:strRef>
              <c:f>Sheet1!$B$1</c:f>
              <c:strCache>
                <c:ptCount val="1"/>
                <c:pt idx="0">
                  <c:v>None/Not at all</c:v>
                </c:pt>
              </c:strCache>
            </c:strRef>
          </c:tx>
          <c:spPr>
            <a:solidFill>
              <a:schemeClr val="accent1"/>
            </a:solidFill>
            <a:ln>
              <a:noFill/>
            </a:ln>
            <a:effectLst/>
          </c:spPr>
          <c:invertIfNegative val="0"/>
          <c:cat>
            <c:strRef>
              <c:f>Sheet1!$A$2:$A$16</c:f>
              <c:strCache>
                <c:ptCount val="15"/>
                <c:pt idx="0">
                  <c:v>Survey 1</c:v>
                </c:pt>
                <c:pt idx="1">
                  <c:v>Survey 2</c:v>
                </c:pt>
                <c:pt idx="2">
                  <c:v>Survey 3</c:v>
                </c:pt>
                <c:pt idx="4">
                  <c:v>Survey 1</c:v>
                </c:pt>
                <c:pt idx="5">
                  <c:v>Survey 2</c:v>
                </c:pt>
                <c:pt idx="6">
                  <c:v>Survey 3</c:v>
                </c:pt>
                <c:pt idx="8">
                  <c:v>Survey 1</c:v>
                </c:pt>
                <c:pt idx="9">
                  <c:v>Survey 2</c:v>
                </c:pt>
                <c:pt idx="10">
                  <c:v>Survey 3</c:v>
                </c:pt>
                <c:pt idx="12">
                  <c:v>Survey 1</c:v>
                </c:pt>
                <c:pt idx="13">
                  <c:v>Survey 2</c:v>
                </c:pt>
                <c:pt idx="14">
                  <c:v>Survey 3</c:v>
                </c:pt>
              </c:strCache>
            </c:strRef>
          </c:cat>
          <c:val>
            <c:numRef>
              <c:f>Sheet1!$B$2:$B$16</c:f>
              <c:numCache>
                <c:formatCode>General</c:formatCode>
                <c:ptCount val="15"/>
                <c:pt idx="0">
                  <c:v>0</c:v>
                </c:pt>
                <c:pt idx="1">
                  <c:v>0</c:v>
                </c:pt>
                <c:pt idx="2">
                  <c:v>0</c:v>
                </c:pt>
                <c:pt idx="4">
                  <c:v>0</c:v>
                </c:pt>
                <c:pt idx="5">
                  <c:v>0</c:v>
                </c:pt>
                <c:pt idx="6">
                  <c:v>0</c:v>
                </c:pt>
                <c:pt idx="8">
                  <c:v>14.28</c:v>
                </c:pt>
                <c:pt idx="9">
                  <c:v>5.55</c:v>
                </c:pt>
                <c:pt idx="10">
                  <c:v>0</c:v>
                </c:pt>
                <c:pt idx="12">
                  <c:v>4.76</c:v>
                </c:pt>
                <c:pt idx="13">
                  <c:v>11.11</c:v>
                </c:pt>
                <c:pt idx="14">
                  <c:v>6.25</c:v>
                </c:pt>
              </c:numCache>
            </c:numRef>
          </c:val>
          <c:extLst>
            <c:ext xmlns:c16="http://schemas.microsoft.com/office/drawing/2014/chart" uri="{C3380CC4-5D6E-409C-BE32-E72D297353CC}">
              <c16:uniqueId val="{00000000-5E13-4CCA-9BC2-397F9A8E7743}"/>
            </c:ext>
          </c:extLst>
        </c:ser>
        <c:ser>
          <c:idx val="1"/>
          <c:order val="1"/>
          <c:tx>
            <c:strRef>
              <c:f>Sheet1!$C$1</c:f>
              <c:strCache>
                <c:ptCount val="1"/>
                <c:pt idx="0">
                  <c:v>Sometimes</c:v>
                </c:pt>
              </c:strCache>
            </c:strRef>
          </c:tx>
          <c:spPr>
            <a:solidFill>
              <a:schemeClr val="accent2"/>
            </a:solidFill>
            <a:ln>
              <a:noFill/>
            </a:ln>
            <a:effectLst/>
          </c:spPr>
          <c:invertIfNegative val="0"/>
          <c:cat>
            <c:strRef>
              <c:f>Sheet1!$A$2:$A$16</c:f>
              <c:strCache>
                <c:ptCount val="15"/>
                <c:pt idx="0">
                  <c:v>Survey 1</c:v>
                </c:pt>
                <c:pt idx="1">
                  <c:v>Survey 2</c:v>
                </c:pt>
                <c:pt idx="2">
                  <c:v>Survey 3</c:v>
                </c:pt>
                <c:pt idx="4">
                  <c:v>Survey 1</c:v>
                </c:pt>
                <c:pt idx="5">
                  <c:v>Survey 2</c:v>
                </c:pt>
                <c:pt idx="6">
                  <c:v>Survey 3</c:v>
                </c:pt>
                <c:pt idx="8">
                  <c:v>Survey 1</c:v>
                </c:pt>
                <c:pt idx="9">
                  <c:v>Survey 2</c:v>
                </c:pt>
                <c:pt idx="10">
                  <c:v>Survey 3</c:v>
                </c:pt>
                <c:pt idx="12">
                  <c:v>Survey 1</c:v>
                </c:pt>
                <c:pt idx="13">
                  <c:v>Survey 2</c:v>
                </c:pt>
                <c:pt idx="14">
                  <c:v>Survey 3</c:v>
                </c:pt>
              </c:strCache>
            </c:strRef>
          </c:cat>
          <c:val>
            <c:numRef>
              <c:f>Sheet1!$C$2:$C$16</c:f>
              <c:numCache>
                <c:formatCode>General</c:formatCode>
                <c:ptCount val="15"/>
                <c:pt idx="0">
                  <c:v>14.28</c:v>
                </c:pt>
                <c:pt idx="1">
                  <c:v>5.55</c:v>
                </c:pt>
                <c:pt idx="2">
                  <c:v>6.25</c:v>
                </c:pt>
                <c:pt idx="4">
                  <c:v>14.28</c:v>
                </c:pt>
                <c:pt idx="5">
                  <c:v>11.11</c:v>
                </c:pt>
                <c:pt idx="6">
                  <c:v>6.25</c:v>
                </c:pt>
                <c:pt idx="8">
                  <c:v>42.85</c:v>
                </c:pt>
                <c:pt idx="9">
                  <c:v>55.55</c:v>
                </c:pt>
                <c:pt idx="10">
                  <c:v>56.25</c:v>
                </c:pt>
                <c:pt idx="12">
                  <c:v>28.57</c:v>
                </c:pt>
                <c:pt idx="13">
                  <c:v>11.11</c:v>
                </c:pt>
                <c:pt idx="14">
                  <c:v>18.75</c:v>
                </c:pt>
              </c:numCache>
            </c:numRef>
          </c:val>
          <c:extLst>
            <c:ext xmlns:c16="http://schemas.microsoft.com/office/drawing/2014/chart" uri="{C3380CC4-5D6E-409C-BE32-E72D297353CC}">
              <c16:uniqueId val="{00000001-5E13-4CCA-9BC2-397F9A8E7743}"/>
            </c:ext>
          </c:extLst>
        </c:ser>
        <c:ser>
          <c:idx val="2"/>
          <c:order val="2"/>
          <c:tx>
            <c:strRef>
              <c:f>Sheet1!$D$1</c:f>
              <c:strCache>
                <c:ptCount val="1"/>
                <c:pt idx="0">
                  <c:v>About half the time</c:v>
                </c:pt>
              </c:strCache>
            </c:strRef>
          </c:tx>
          <c:spPr>
            <a:solidFill>
              <a:schemeClr val="accent3"/>
            </a:solidFill>
            <a:ln>
              <a:noFill/>
            </a:ln>
            <a:effectLst/>
          </c:spPr>
          <c:invertIfNegative val="0"/>
          <c:cat>
            <c:strRef>
              <c:f>Sheet1!$A$2:$A$16</c:f>
              <c:strCache>
                <c:ptCount val="15"/>
                <c:pt idx="0">
                  <c:v>Survey 1</c:v>
                </c:pt>
                <c:pt idx="1">
                  <c:v>Survey 2</c:v>
                </c:pt>
                <c:pt idx="2">
                  <c:v>Survey 3</c:v>
                </c:pt>
                <c:pt idx="4">
                  <c:v>Survey 1</c:v>
                </c:pt>
                <c:pt idx="5">
                  <c:v>Survey 2</c:v>
                </c:pt>
                <c:pt idx="6">
                  <c:v>Survey 3</c:v>
                </c:pt>
                <c:pt idx="8">
                  <c:v>Survey 1</c:v>
                </c:pt>
                <c:pt idx="9">
                  <c:v>Survey 2</c:v>
                </c:pt>
                <c:pt idx="10">
                  <c:v>Survey 3</c:v>
                </c:pt>
                <c:pt idx="12">
                  <c:v>Survey 1</c:v>
                </c:pt>
                <c:pt idx="13">
                  <c:v>Survey 2</c:v>
                </c:pt>
                <c:pt idx="14">
                  <c:v>Survey 3</c:v>
                </c:pt>
              </c:strCache>
            </c:strRef>
          </c:cat>
          <c:val>
            <c:numRef>
              <c:f>Sheet1!$D$2:$D$16</c:f>
              <c:numCache>
                <c:formatCode>General</c:formatCode>
                <c:ptCount val="15"/>
                <c:pt idx="0">
                  <c:v>33.33</c:v>
                </c:pt>
                <c:pt idx="1">
                  <c:v>16.66</c:v>
                </c:pt>
                <c:pt idx="2">
                  <c:v>37.5</c:v>
                </c:pt>
                <c:pt idx="4">
                  <c:v>38.090000000000003</c:v>
                </c:pt>
                <c:pt idx="5">
                  <c:v>5.55</c:v>
                </c:pt>
                <c:pt idx="6">
                  <c:v>6.25</c:v>
                </c:pt>
                <c:pt idx="8">
                  <c:v>28.57</c:v>
                </c:pt>
                <c:pt idx="9">
                  <c:v>27.77</c:v>
                </c:pt>
                <c:pt idx="10">
                  <c:v>37.5</c:v>
                </c:pt>
                <c:pt idx="12">
                  <c:v>38.090000000000003</c:v>
                </c:pt>
                <c:pt idx="13">
                  <c:v>16.66</c:v>
                </c:pt>
                <c:pt idx="14">
                  <c:v>25</c:v>
                </c:pt>
              </c:numCache>
            </c:numRef>
          </c:val>
          <c:extLst>
            <c:ext xmlns:c16="http://schemas.microsoft.com/office/drawing/2014/chart" uri="{C3380CC4-5D6E-409C-BE32-E72D297353CC}">
              <c16:uniqueId val="{00000002-5E13-4CCA-9BC2-397F9A8E7743}"/>
            </c:ext>
          </c:extLst>
        </c:ser>
        <c:ser>
          <c:idx val="3"/>
          <c:order val="3"/>
          <c:tx>
            <c:strRef>
              <c:f>Sheet1!$E$1</c:f>
              <c:strCache>
                <c:ptCount val="1"/>
                <c:pt idx="0">
                  <c:v>Most of the time</c:v>
                </c:pt>
              </c:strCache>
            </c:strRef>
          </c:tx>
          <c:spPr>
            <a:solidFill>
              <a:schemeClr val="accent4"/>
            </a:solidFill>
            <a:ln>
              <a:noFill/>
            </a:ln>
            <a:effectLst/>
          </c:spPr>
          <c:invertIfNegative val="0"/>
          <c:cat>
            <c:strRef>
              <c:f>Sheet1!$A$2:$A$16</c:f>
              <c:strCache>
                <c:ptCount val="15"/>
                <c:pt idx="0">
                  <c:v>Survey 1</c:v>
                </c:pt>
                <c:pt idx="1">
                  <c:v>Survey 2</c:v>
                </c:pt>
                <c:pt idx="2">
                  <c:v>Survey 3</c:v>
                </c:pt>
                <c:pt idx="4">
                  <c:v>Survey 1</c:v>
                </c:pt>
                <c:pt idx="5">
                  <c:v>Survey 2</c:v>
                </c:pt>
                <c:pt idx="6">
                  <c:v>Survey 3</c:v>
                </c:pt>
                <c:pt idx="8">
                  <c:v>Survey 1</c:v>
                </c:pt>
                <c:pt idx="9">
                  <c:v>Survey 2</c:v>
                </c:pt>
                <c:pt idx="10">
                  <c:v>Survey 3</c:v>
                </c:pt>
                <c:pt idx="12">
                  <c:v>Survey 1</c:v>
                </c:pt>
                <c:pt idx="13">
                  <c:v>Survey 2</c:v>
                </c:pt>
                <c:pt idx="14">
                  <c:v>Survey 3</c:v>
                </c:pt>
              </c:strCache>
            </c:strRef>
          </c:cat>
          <c:val>
            <c:numRef>
              <c:f>Sheet1!$E$2:$E$16</c:f>
              <c:numCache>
                <c:formatCode>General</c:formatCode>
                <c:ptCount val="15"/>
                <c:pt idx="0">
                  <c:v>28.57</c:v>
                </c:pt>
                <c:pt idx="1">
                  <c:v>50</c:v>
                </c:pt>
                <c:pt idx="2">
                  <c:v>25</c:v>
                </c:pt>
                <c:pt idx="4">
                  <c:v>23.8</c:v>
                </c:pt>
                <c:pt idx="5">
                  <c:v>61.11</c:v>
                </c:pt>
                <c:pt idx="6">
                  <c:v>43.75</c:v>
                </c:pt>
                <c:pt idx="8">
                  <c:v>4.76</c:v>
                </c:pt>
                <c:pt idx="9">
                  <c:v>5.55</c:v>
                </c:pt>
                <c:pt idx="10">
                  <c:v>0</c:v>
                </c:pt>
                <c:pt idx="12">
                  <c:v>9.52</c:v>
                </c:pt>
                <c:pt idx="13">
                  <c:v>33.33</c:v>
                </c:pt>
                <c:pt idx="14">
                  <c:v>43.75</c:v>
                </c:pt>
              </c:numCache>
            </c:numRef>
          </c:val>
          <c:extLst>
            <c:ext xmlns:c16="http://schemas.microsoft.com/office/drawing/2014/chart" uri="{C3380CC4-5D6E-409C-BE32-E72D297353CC}">
              <c16:uniqueId val="{00000003-5E13-4CCA-9BC2-397F9A8E7743}"/>
            </c:ext>
          </c:extLst>
        </c:ser>
        <c:ser>
          <c:idx val="4"/>
          <c:order val="4"/>
          <c:tx>
            <c:strRef>
              <c:f>Sheet1!$F$1</c:f>
              <c:strCache>
                <c:ptCount val="1"/>
                <c:pt idx="0">
                  <c:v>Always</c:v>
                </c:pt>
              </c:strCache>
            </c:strRef>
          </c:tx>
          <c:spPr>
            <a:solidFill>
              <a:schemeClr val="accent5"/>
            </a:solidFill>
            <a:ln>
              <a:noFill/>
            </a:ln>
            <a:effectLst/>
          </c:spPr>
          <c:invertIfNegative val="0"/>
          <c:cat>
            <c:strRef>
              <c:f>Sheet1!$A$2:$A$16</c:f>
              <c:strCache>
                <c:ptCount val="15"/>
                <c:pt idx="0">
                  <c:v>Survey 1</c:v>
                </c:pt>
                <c:pt idx="1">
                  <c:v>Survey 2</c:v>
                </c:pt>
                <c:pt idx="2">
                  <c:v>Survey 3</c:v>
                </c:pt>
                <c:pt idx="4">
                  <c:v>Survey 1</c:v>
                </c:pt>
                <c:pt idx="5">
                  <c:v>Survey 2</c:v>
                </c:pt>
                <c:pt idx="6">
                  <c:v>Survey 3</c:v>
                </c:pt>
                <c:pt idx="8">
                  <c:v>Survey 1</c:v>
                </c:pt>
                <c:pt idx="9">
                  <c:v>Survey 2</c:v>
                </c:pt>
                <c:pt idx="10">
                  <c:v>Survey 3</c:v>
                </c:pt>
                <c:pt idx="12">
                  <c:v>Survey 1</c:v>
                </c:pt>
                <c:pt idx="13">
                  <c:v>Survey 2</c:v>
                </c:pt>
                <c:pt idx="14">
                  <c:v>Survey 3</c:v>
                </c:pt>
              </c:strCache>
            </c:strRef>
          </c:cat>
          <c:val>
            <c:numRef>
              <c:f>Sheet1!$F$2:$F$16</c:f>
              <c:numCache>
                <c:formatCode>General</c:formatCode>
                <c:ptCount val="15"/>
                <c:pt idx="0">
                  <c:v>19.04</c:v>
                </c:pt>
                <c:pt idx="1">
                  <c:v>27.77</c:v>
                </c:pt>
                <c:pt idx="2">
                  <c:v>31.25</c:v>
                </c:pt>
                <c:pt idx="4">
                  <c:v>19.04</c:v>
                </c:pt>
                <c:pt idx="5">
                  <c:v>22.22</c:v>
                </c:pt>
                <c:pt idx="6">
                  <c:v>43.75</c:v>
                </c:pt>
                <c:pt idx="8">
                  <c:v>4.76</c:v>
                </c:pt>
                <c:pt idx="9">
                  <c:v>5.55</c:v>
                </c:pt>
                <c:pt idx="10">
                  <c:v>0</c:v>
                </c:pt>
                <c:pt idx="12">
                  <c:v>14.28</c:v>
                </c:pt>
                <c:pt idx="13">
                  <c:v>27.77</c:v>
                </c:pt>
                <c:pt idx="14">
                  <c:v>6.25</c:v>
                </c:pt>
              </c:numCache>
            </c:numRef>
          </c:val>
          <c:extLst>
            <c:ext xmlns:c16="http://schemas.microsoft.com/office/drawing/2014/chart" uri="{C3380CC4-5D6E-409C-BE32-E72D297353CC}">
              <c16:uniqueId val="{00000004-5E13-4CCA-9BC2-397F9A8E7743}"/>
            </c:ext>
          </c:extLst>
        </c:ser>
        <c:dLbls>
          <c:showLegendKey val="0"/>
          <c:showVal val="0"/>
          <c:showCatName val="0"/>
          <c:showSerName val="0"/>
          <c:showPercent val="0"/>
          <c:showBubbleSize val="0"/>
        </c:dLbls>
        <c:gapWidth val="25"/>
        <c:overlap val="100"/>
        <c:axId val="838455855"/>
        <c:axId val="1933431072"/>
      </c:barChart>
      <c:catAx>
        <c:axId val="83845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Narrow" panose="020B0606020202030204" pitchFamily="34" charset="0"/>
                <a:ea typeface="+mn-ea"/>
                <a:cs typeface="+mn-cs"/>
              </a:defRPr>
            </a:pPr>
            <a:endParaRPr lang="en-US"/>
          </a:p>
        </c:txPr>
        <c:crossAx val="1933431072"/>
        <c:crosses val="autoZero"/>
        <c:auto val="1"/>
        <c:lblAlgn val="ctr"/>
        <c:lblOffset val="100"/>
        <c:noMultiLvlLbl val="0"/>
      </c:catAx>
      <c:valAx>
        <c:axId val="1933431072"/>
        <c:scaling>
          <c:orientation val="minMax"/>
        </c:scaling>
        <c:delete val="1"/>
        <c:axPos val="l"/>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Arial Narrow" panose="020B0606020202030204" pitchFamily="34" charset="0"/>
                    <a:ea typeface="+mn-ea"/>
                    <a:cs typeface="+mn-cs"/>
                  </a:defRPr>
                </a:pPr>
                <a:r>
                  <a:rPr lang="en-US" sz="1000" b="0" i="0" u="none" strike="noStrike" kern="1200" baseline="0">
                    <a:solidFill>
                      <a:sysClr val="windowText" lastClr="000000"/>
                    </a:solidFill>
                    <a:latin typeface="Arial Narrow" panose="020B0606020202030204" pitchFamily="34" charset="0"/>
                  </a:rPr>
                  <a:t>percentage of respondents</a:t>
                </a:r>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Arial Narrow" panose="020B0606020202030204" pitchFamily="34" charset="0"/>
                  <a:ea typeface="+mn-ea"/>
                  <a:cs typeface="+mn-cs"/>
                </a:defRPr>
              </a:pPr>
              <a:endParaRPr lang="en-US"/>
            </a:p>
          </c:txPr>
        </c:title>
        <c:numFmt formatCode="0%" sourceLinked="1"/>
        <c:majorTickMark val="none"/>
        <c:minorTickMark val="none"/>
        <c:tickLblPos val="nextTo"/>
        <c:crossAx val="838455855"/>
        <c:crosses val="autoZero"/>
        <c:crossBetween val="between"/>
      </c:valAx>
      <c:spPr>
        <a:noFill/>
        <a:ln>
          <a:noFill/>
        </a:ln>
        <a:effectLst/>
      </c:spPr>
    </c:plotArea>
    <c:legend>
      <c:legendPos val="b"/>
      <c:layout>
        <c:manualLayout>
          <c:xMode val="edge"/>
          <c:yMode val="edge"/>
          <c:x val="7.3491907261592312E-2"/>
          <c:y val="0.92497325257054364"/>
          <c:w val="0.83028488626421693"/>
          <c:h val="5.312263050452027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Narrow" panose="020B060602020203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3C919-163A-4C41-92F6-B273F3D67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1416</TotalTime>
  <Pages>25</Pages>
  <Words>6578</Words>
  <Characters>37500</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Gibson, Christina T.</dc:creator>
  <cp:keywords/>
  <dc:description/>
  <cp:lastModifiedBy>Elizabeth Diana Massey</cp:lastModifiedBy>
  <cp:revision>136</cp:revision>
  <cp:lastPrinted>2024-03-21T15:10:00Z</cp:lastPrinted>
  <dcterms:created xsi:type="dcterms:W3CDTF">2024-03-21T15:06:00Z</dcterms:created>
  <dcterms:modified xsi:type="dcterms:W3CDTF">2024-03-22T14:42:00Z</dcterms:modified>
</cp:coreProperties>
</file>