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AA260A3" w14:textId="1C5C36A2" w:rsidR="00E103FB" w:rsidRPr="00E103FB" w:rsidRDefault="00E103FB" w:rsidP="00E103FB">
      <w:pPr>
        <w:outlineLvl w:val="0"/>
        <w:rPr>
          <w:rFonts w:ascii="Georgia" w:hAnsi="Georgia" w:cs="Times New Roman"/>
          <w:b/>
        </w:rPr>
      </w:pPr>
    </w:p>
    <w:p w14:paraId="42624A7F" w14:textId="77777777" w:rsidR="00E103FB" w:rsidRPr="00E103FB" w:rsidRDefault="00E103FB" w:rsidP="00E103FB">
      <w:pPr>
        <w:jc w:val="center"/>
        <w:rPr>
          <w:rFonts w:ascii="Georgia" w:hAnsi="Georgia" w:cs="Times New Roman"/>
        </w:rPr>
      </w:pPr>
    </w:p>
    <w:p w14:paraId="194A04C6" w14:textId="77777777" w:rsidR="00E103FB" w:rsidRPr="00E103FB" w:rsidRDefault="00E103FB" w:rsidP="00E103FB">
      <w:pPr>
        <w:jc w:val="center"/>
        <w:rPr>
          <w:rFonts w:ascii="Georgia" w:hAnsi="Georgia" w:cs="Times New Roman"/>
          <w:sz w:val="24"/>
          <w:szCs w:val="24"/>
        </w:rPr>
      </w:pPr>
    </w:p>
    <w:p w14:paraId="4FD0B896" w14:textId="440C65E6" w:rsidR="00E103FB" w:rsidRPr="00E103FB" w:rsidRDefault="00E103FB" w:rsidP="00E103FB">
      <w:pPr>
        <w:jc w:val="center"/>
        <w:rPr>
          <w:rFonts w:ascii="Georgia" w:hAnsi="Georgia" w:cs="Times New Roman"/>
          <w:sz w:val="32"/>
          <w:szCs w:val="32"/>
        </w:rPr>
      </w:pPr>
      <w:r w:rsidRPr="00E103FB">
        <w:rPr>
          <w:rFonts w:ascii="Georgia" w:hAnsi="Georgia" w:cs="Times New Roman"/>
          <w:sz w:val="32"/>
          <w:szCs w:val="32"/>
        </w:rPr>
        <w:t>Chinese Blues in the Congolese Earth</w:t>
      </w:r>
    </w:p>
    <w:p w14:paraId="15463327" w14:textId="75C630DF" w:rsidR="00E103FB" w:rsidRPr="00E103FB" w:rsidRDefault="00E103FB" w:rsidP="00E103FB">
      <w:pPr>
        <w:jc w:val="center"/>
        <w:rPr>
          <w:rFonts w:ascii="Georgia" w:hAnsi="Georgia" w:cs="Times New Roman"/>
          <w:sz w:val="24"/>
          <w:szCs w:val="24"/>
        </w:rPr>
      </w:pPr>
      <w:r w:rsidRPr="00E103FB">
        <w:rPr>
          <w:rFonts w:ascii="Georgia" w:hAnsi="Georgia" w:cs="Times New Roman"/>
          <w:sz w:val="24"/>
          <w:szCs w:val="24"/>
        </w:rPr>
        <w:t>America’s Green Energy Dilemma</w:t>
      </w:r>
    </w:p>
    <w:p w14:paraId="41251EC8" w14:textId="77777777" w:rsidR="00E103FB" w:rsidRPr="00E103FB" w:rsidRDefault="00E103FB" w:rsidP="00E103FB">
      <w:pPr>
        <w:jc w:val="center"/>
        <w:rPr>
          <w:rFonts w:ascii="Georgia" w:hAnsi="Georgia" w:cs="Times New Roman"/>
          <w:sz w:val="24"/>
          <w:szCs w:val="24"/>
        </w:rPr>
      </w:pPr>
    </w:p>
    <w:p w14:paraId="481AC0AA" w14:textId="77777777" w:rsidR="00E103FB" w:rsidRPr="00E103FB" w:rsidRDefault="00E103FB" w:rsidP="00E103FB">
      <w:pPr>
        <w:jc w:val="center"/>
        <w:rPr>
          <w:rFonts w:ascii="Georgia" w:hAnsi="Georgia" w:cs="Times New Roman"/>
        </w:rPr>
      </w:pPr>
    </w:p>
    <w:p w14:paraId="455E03B6" w14:textId="77777777" w:rsidR="00E103FB" w:rsidRPr="00E103FB" w:rsidRDefault="00E103FB" w:rsidP="00E103FB">
      <w:pPr>
        <w:jc w:val="center"/>
        <w:rPr>
          <w:rFonts w:ascii="Georgia" w:hAnsi="Georgia" w:cs="Times New Roman"/>
        </w:rPr>
      </w:pPr>
    </w:p>
    <w:p w14:paraId="0B013430" w14:textId="77777777" w:rsidR="00E103FB" w:rsidRPr="00E103FB" w:rsidRDefault="00E103FB" w:rsidP="00E103FB">
      <w:pPr>
        <w:jc w:val="center"/>
        <w:rPr>
          <w:rFonts w:ascii="Georgia" w:hAnsi="Georgia" w:cs="Times New Roman"/>
        </w:rPr>
      </w:pPr>
    </w:p>
    <w:p w14:paraId="483BBA9A" w14:textId="77777777" w:rsidR="00E103FB" w:rsidRPr="00E103FB" w:rsidRDefault="00E103FB" w:rsidP="00E103FB">
      <w:pPr>
        <w:jc w:val="center"/>
        <w:rPr>
          <w:rFonts w:ascii="Georgia" w:hAnsi="Georgia" w:cs="Times New Roman"/>
        </w:rPr>
      </w:pPr>
    </w:p>
    <w:p w14:paraId="36728362" w14:textId="77777777" w:rsidR="00E103FB" w:rsidRPr="00E103FB" w:rsidRDefault="00E103FB" w:rsidP="00E103FB">
      <w:pPr>
        <w:jc w:val="center"/>
        <w:rPr>
          <w:rFonts w:ascii="Georgia" w:hAnsi="Georgia" w:cs="Times New Roman"/>
        </w:rPr>
      </w:pPr>
    </w:p>
    <w:p w14:paraId="62270D7B" w14:textId="1136001D" w:rsidR="00E103FB" w:rsidRPr="00E103FB" w:rsidRDefault="00E103FB" w:rsidP="00E103FB">
      <w:pPr>
        <w:jc w:val="center"/>
        <w:rPr>
          <w:rFonts w:ascii="Georgia" w:hAnsi="Georgia" w:cs="Times New Roman"/>
        </w:rPr>
      </w:pPr>
      <w:r w:rsidRPr="00E103FB">
        <w:rPr>
          <w:rFonts w:ascii="Georgia" w:hAnsi="Georgia" w:cs="Times New Roman"/>
        </w:rPr>
        <w:t>Myles Maxwell</w:t>
      </w:r>
    </w:p>
    <w:p w14:paraId="1418D6B2" w14:textId="77777777" w:rsidR="00E103FB" w:rsidRDefault="00E103FB" w:rsidP="00E103FB">
      <w:pPr>
        <w:jc w:val="center"/>
        <w:rPr>
          <w:rFonts w:ascii="Georgia" w:hAnsi="Georgia" w:cs="Times New Roman"/>
        </w:rPr>
      </w:pPr>
      <w:r>
        <w:rPr>
          <w:rFonts w:ascii="Georgia" w:hAnsi="Georgia" w:cs="Times New Roman"/>
        </w:rPr>
        <w:t xml:space="preserve">Bachelor’s thesis submitted for honors </w:t>
      </w:r>
    </w:p>
    <w:p w14:paraId="6B1A596B" w14:textId="2BE53B18" w:rsidR="00E103FB" w:rsidRDefault="00E103FB" w:rsidP="00E103FB">
      <w:pPr>
        <w:jc w:val="center"/>
        <w:rPr>
          <w:rFonts w:ascii="Georgia" w:hAnsi="Georgia" w:cs="Times New Roman"/>
        </w:rPr>
      </w:pPr>
      <w:r>
        <w:rPr>
          <w:rFonts w:ascii="Georgia" w:hAnsi="Georgia" w:cs="Times New Roman"/>
        </w:rPr>
        <w:t>in International Relations</w:t>
      </w:r>
    </w:p>
    <w:p w14:paraId="1777B470" w14:textId="77777777" w:rsidR="00E103FB" w:rsidRDefault="00E103FB" w:rsidP="00E103FB">
      <w:pPr>
        <w:jc w:val="center"/>
        <w:rPr>
          <w:rFonts w:ascii="Georgia" w:hAnsi="Georgia" w:cs="Times New Roman"/>
        </w:rPr>
      </w:pPr>
    </w:p>
    <w:p w14:paraId="2FB5AB21" w14:textId="77777777" w:rsidR="00E103FB" w:rsidRDefault="00E103FB" w:rsidP="00E103FB">
      <w:pPr>
        <w:jc w:val="center"/>
        <w:rPr>
          <w:rFonts w:ascii="Georgia" w:hAnsi="Georgia" w:cs="Times New Roman"/>
        </w:rPr>
      </w:pPr>
    </w:p>
    <w:p w14:paraId="6E5399F4" w14:textId="35E3041F" w:rsidR="00E103FB" w:rsidRDefault="00E103FB" w:rsidP="00E103FB">
      <w:pPr>
        <w:jc w:val="center"/>
        <w:rPr>
          <w:rFonts w:ascii="Georgia" w:hAnsi="Georgia" w:cs="Times New Roman"/>
        </w:rPr>
      </w:pPr>
      <w:r>
        <w:rPr>
          <w:rFonts w:ascii="Georgia" w:hAnsi="Georgia" w:cs="Times New Roman"/>
        </w:rPr>
        <w:t>Presented to and supported by Thesis Committee Members</w:t>
      </w:r>
    </w:p>
    <w:p w14:paraId="1C10333B" w14:textId="77777777" w:rsidR="00E103FB" w:rsidRPr="00E103FB" w:rsidRDefault="00E103FB" w:rsidP="00E103FB">
      <w:pPr>
        <w:spacing w:after="0" w:line="240" w:lineRule="auto"/>
        <w:jc w:val="center"/>
        <w:textAlignment w:val="baseline"/>
        <w:rPr>
          <w:rFonts w:ascii="Georgia" w:eastAsia="Times New Roman" w:hAnsi="Georgia" w:cs="Times New Roman"/>
          <w:color w:val="000000"/>
          <w:sz w:val="18"/>
          <w:szCs w:val="18"/>
        </w:rPr>
      </w:pPr>
      <w:r w:rsidRPr="00E103FB">
        <w:rPr>
          <w:rFonts w:ascii="Georgia" w:hAnsi="Georgia" w:cs="Times New Roman"/>
        </w:rPr>
        <w:t>Dr. Amalia Fried Honick</w:t>
      </w:r>
      <w:r>
        <w:rPr>
          <w:rFonts w:ascii="Georgia" w:hAnsi="Georgia" w:cs="Times New Roman"/>
        </w:rPr>
        <w:t xml:space="preserve">, </w:t>
      </w:r>
      <w:r w:rsidRPr="00E103FB">
        <w:rPr>
          <w:rFonts w:ascii="Georgia" w:hAnsi="Georgia" w:cs="Times New Roman"/>
        </w:rPr>
        <w:t>Dr. Julie Chernov</w:t>
      </w:r>
      <w:r>
        <w:rPr>
          <w:rFonts w:ascii="Georgia" w:hAnsi="Georgia" w:cs="Times New Roman"/>
        </w:rPr>
        <w:t>,</w:t>
      </w:r>
      <w:r w:rsidRPr="00E103FB">
        <w:rPr>
          <w:rFonts w:ascii="Georgia" w:hAnsi="Georgia" w:cs="Times New Roman"/>
        </w:rPr>
        <w:t xml:space="preserve"> and Dr. Margret Bock</w:t>
      </w:r>
    </w:p>
    <w:p w14:paraId="6EC87A7E" w14:textId="77777777" w:rsidR="00E103FB" w:rsidRPr="00E103FB" w:rsidRDefault="00E103FB" w:rsidP="00E103FB">
      <w:pPr>
        <w:jc w:val="center"/>
        <w:rPr>
          <w:rFonts w:ascii="Georgia" w:hAnsi="Georgia" w:cs="Times New Roman"/>
        </w:rPr>
      </w:pPr>
    </w:p>
    <w:p w14:paraId="6CE55A1A" w14:textId="77777777" w:rsidR="00E103FB" w:rsidRDefault="00E103FB" w:rsidP="00E103FB">
      <w:pPr>
        <w:jc w:val="center"/>
        <w:rPr>
          <w:rFonts w:ascii="Georgia" w:hAnsi="Georgia" w:cs="Times New Roman"/>
        </w:rPr>
      </w:pPr>
    </w:p>
    <w:p w14:paraId="1AB33F02" w14:textId="77777777" w:rsidR="00E103FB" w:rsidRPr="00E103FB" w:rsidRDefault="00E103FB" w:rsidP="00E103FB">
      <w:pPr>
        <w:jc w:val="center"/>
        <w:rPr>
          <w:rFonts w:ascii="Georgia" w:hAnsi="Georgia" w:cs="Times New Roman"/>
        </w:rPr>
      </w:pPr>
    </w:p>
    <w:p w14:paraId="35BE7794" w14:textId="77777777" w:rsidR="00E103FB" w:rsidRPr="00E103FB" w:rsidRDefault="00E103FB" w:rsidP="00E103FB">
      <w:pPr>
        <w:jc w:val="center"/>
        <w:rPr>
          <w:rFonts w:ascii="Georgia" w:hAnsi="Georgia" w:cs="Times New Roman"/>
        </w:rPr>
      </w:pPr>
      <w:r w:rsidRPr="00E103FB">
        <w:rPr>
          <w:rFonts w:ascii="Georgia" w:hAnsi="Georgia" w:cs="Times New Roman"/>
        </w:rPr>
        <w:t>Goucher College</w:t>
      </w:r>
    </w:p>
    <w:p w14:paraId="7616257E" w14:textId="5FAF0651" w:rsidR="00E103FB" w:rsidRPr="00E103FB" w:rsidRDefault="00E103FB" w:rsidP="00E103FB">
      <w:pPr>
        <w:jc w:val="center"/>
        <w:rPr>
          <w:rFonts w:ascii="Georgia" w:hAnsi="Georgia" w:cs="Times New Roman"/>
        </w:rPr>
      </w:pPr>
      <w:r w:rsidRPr="00E103FB">
        <w:rPr>
          <w:rFonts w:ascii="Georgia" w:hAnsi="Georgia" w:cs="Times New Roman"/>
        </w:rPr>
        <w:t>Baltimore, Maryland</w:t>
      </w:r>
    </w:p>
    <w:p w14:paraId="4AA93D19" w14:textId="77777777" w:rsidR="00E103FB" w:rsidRDefault="00E103FB" w:rsidP="00E103FB">
      <w:pPr>
        <w:jc w:val="center"/>
        <w:rPr>
          <w:rFonts w:ascii="Georgia" w:hAnsi="Georgia" w:cs="Times New Roman"/>
        </w:rPr>
      </w:pPr>
    </w:p>
    <w:p w14:paraId="461BFD05" w14:textId="77777777" w:rsidR="00E103FB" w:rsidRPr="00E103FB" w:rsidRDefault="00E103FB" w:rsidP="00E103FB">
      <w:pPr>
        <w:jc w:val="center"/>
        <w:rPr>
          <w:rFonts w:ascii="Georgia" w:hAnsi="Georgia" w:cs="Times New Roman"/>
        </w:rPr>
      </w:pPr>
    </w:p>
    <w:p w14:paraId="3BBC3A50" w14:textId="77777777" w:rsidR="00E103FB" w:rsidRPr="00E103FB" w:rsidRDefault="00E103FB" w:rsidP="00E103FB">
      <w:pPr>
        <w:jc w:val="center"/>
        <w:rPr>
          <w:rFonts w:ascii="Georgia" w:hAnsi="Georgia" w:cs="Times New Roman"/>
        </w:rPr>
      </w:pPr>
    </w:p>
    <w:p w14:paraId="79415CF5" w14:textId="59E75D15" w:rsidR="00E103FB" w:rsidRPr="00E103FB" w:rsidRDefault="00E103FB" w:rsidP="00E103FB">
      <w:pPr>
        <w:jc w:val="center"/>
        <w:rPr>
          <w:rFonts w:ascii="Georgia" w:hAnsi="Georgia" w:cs="Times New Roman"/>
        </w:rPr>
      </w:pPr>
      <w:r>
        <w:rPr>
          <w:rFonts w:ascii="Georgia" w:hAnsi="Georgia" w:cs="Times New Roman"/>
        </w:rPr>
        <w:t>April 17, 2024</w:t>
      </w:r>
    </w:p>
    <w:p w14:paraId="5B98192A" w14:textId="77777777" w:rsidR="00E103FB" w:rsidRPr="00E103FB" w:rsidRDefault="00E103FB" w:rsidP="00E103FB">
      <w:pPr>
        <w:jc w:val="center"/>
        <w:rPr>
          <w:rFonts w:ascii="Georgia" w:hAnsi="Georgia" w:cs="Times New Roman"/>
        </w:rPr>
      </w:pPr>
    </w:p>
    <w:p w14:paraId="750A4B54" w14:textId="59E20DC4" w:rsidR="00E103FB" w:rsidRPr="00E103FB" w:rsidRDefault="00E103FB" w:rsidP="00E103FB">
      <w:pPr>
        <w:jc w:val="center"/>
        <w:rPr>
          <w:rFonts w:ascii="Georgia" w:hAnsi="Georgia" w:cs="Times New Roman"/>
        </w:rPr>
      </w:pPr>
    </w:p>
    <w:p w14:paraId="242C0FBB" w14:textId="77777777" w:rsidR="00E103FB" w:rsidRPr="00E103FB" w:rsidRDefault="00E103FB" w:rsidP="00FA3978">
      <w:pPr>
        <w:spacing w:after="0" w:line="240" w:lineRule="auto"/>
        <w:jc w:val="center"/>
        <w:textAlignment w:val="baseline"/>
        <w:rPr>
          <w:rFonts w:ascii="Georgia" w:eastAsia="Times New Roman" w:hAnsi="Georgia" w:cs="Times New Roman"/>
          <w:color w:val="000000"/>
          <w:sz w:val="18"/>
          <w:szCs w:val="18"/>
        </w:rPr>
      </w:pPr>
    </w:p>
    <w:p w14:paraId="25614ECA" w14:textId="77777777" w:rsidR="00E103FB" w:rsidRPr="00E103FB" w:rsidRDefault="00E103FB" w:rsidP="00FA3978">
      <w:pPr>
        <w:spacing w:after="0" w:line="240" w:lineRule="auto"/>
        <w:jc w:val="center"/>
        <w:textAlignment w:val="baseline"/>
        <w:rPr>
          <w:rFonts w:ascii="Georgia" w:eastAsia="Times New Roman" w:hAnsi="Georgia" w:cs="Times New Roman"/>
          <w:color w:val="000000"/>
          <w:sz w:val="18"/>
          <w:szCs w:val="18"/>
        </w:rPr>
      </w:pPr>
    </w:p>
    <w:p w14:paraId="3FAC9C08" w14:textId="77777777" w:rsidR="00E103FB" w:rsidRPr="00E103FB" w:rsidRDefault="00E103FB" w:rsidP="00FA3978">
      <w:pPr>
        <w:spacing w:after="0" w:line="240" w:lineRule="auto"/>
        <w:jc w:val="center"/>
        <w:textAlignment w:val="baseline"/>
        <w:rPr>
          <w:rFonts w:ascii="Georgia" w:eastAsia="Times New Roman" w:hAnsi="Georgia" w:cs="Times New Roman"/>
          <w:color w:val="000000"/>
        </w:rPr>
      </w:pPr>
    </w:p>
    <w:p w14:paraId="5390CDA8" w14:textId="77777777" w:rsidR="00E103FB" w:rsidRPr="00E103FB" w:rsidRDefault="00E103FB" w:rsidP="00FA3978">
      <w:pPr>
        <w:spacing w:after="0" w:line="240" w:lineRule="auto"/>
        <w:jc w:val="center"/>
        <w:textAlignment w:val="baseline"/>
        <w:rPr>
          <w:rFonts w:ascii="Georgia" w:eastAsia="Times New Roman" w:hAnsi="Georgia" w:cs="Times New Roman"/>
          <w:color w:val="000000"/>
        </w:rPr>
      </w:pPr>
    </w:p>
    <w:p w14:paraId="162865F3" w14:textId="77777777" w:rsidR="00E103FB" w:rsidRDefault="00E103FB" w:rsidP="00FA3978">
      <w:pPr>
        <w:spacing w:after="0" w:line="240" w:lineRule="auto"/>
        <w:jc w:val="center"/>
        <w:textAlignment w:val="baseline"/>
        <w:rPr>
          <w:rFonts w:ascii="Georgia" w:eastAsia="Times New Roman" w:hAnsi="Georgia" w:cs="Times New Roman"/>
          <w:color w:val="000000"/>
        </w:rPr>
      </w:pPr>
    </w:p>
    <w:p w14:paraId="34D130DF" w14:textId="77777777" w:rsidR="0010632F" w:rsidRDefault="0010632F" w:rsidP="00FA3978">
      <w:pPr>
        <w:spacing w:after="0" w:line="240" w:lineRule="auto"/>
        <w:jc w:val="center"/>
        <w:textAlignment w:val="baseline"/>
        <w:rPr>
          <w:rFonts w:ascii="Georgia" w:eastAsia="Times New Roman" w:hAnsi="Georgia" w:cs="Times New Roman"/>
          <w:color w:val="000000"/>
        </w:rPr>
      </w:pPr>
    </w:p>
    <w:p w14:paraId="4181B779" w14:textId="0E7F8685" w:rsidR="00E103FB" w:rsidRDefault="00E103FB" w:rsidP="00FA3978">
      <w:pPr>
        <w:spacing w:after="0" w:line="240" w:lineRule="auto"/>
        <w:jc w:val="center"/>
        <w:textAlignment w:val="baseline"/>
        <w:rPr>
          <w:rFonts w:ascii="Georgia" w:eastAsia="Times New Roman" w:hAnsi="Georgia" w:cs="Times New Roman"/>
          <w:color w:val="000000"/>
          <w:sz w:val="36"/>
          <w:szCs w:val="36"/>
        </w:rPr>
      </w:pPr>
      <w:r>
        <w:rPr>
          <w:rFonts w:ascii="Georgia" w:eastAsia="Times New Roman" w:hAnsi="Georgia" w:cs="Times New Roman"/>
          <w:color w:val="000000"/>
          <w:sz w:val="36"/>
          <w:szCs w:val="36"/>
        </w:rPr>
        <w:t>Abstract</w:t>
      </w:r>
    </w:p>
    <w:p w14:paraId="4E8A00F9" w14:textId="77777777" w:rsidR="00E103FB" w:rsidRDefault="00E103FB" w:rsidP="005015DB">
      <w:pPr>
        <w:spacing w:after="0" w:line="480" w:lineRule="auto"/>
        <w:jc w:val="center"/>
        <w:textAlignment w:val="baseline"/>
        <w:rPr>
          <w:rFonts w:ascii="Georgia" w:eastAsia="Times New Roman" w:hAnsi="Georgia" w:cs="Times New Roman"/>
          <w:color w:val="000000"/>
          <w:sz w:val="36"/>
          <w:szCs w:val="36"/>
        </w:rPr>
      </w:pPr>
    </w:p>
    <w:p w14:paraId="7966489C" w14:textId="4C31B8E6" w:rsidR="00E103FB" w:rsidRPr="00E103FB" w:rsidRDefault="005015DB" w:rsidP="005015DB">
      <w:pPr>
        <w:spacing w:after="0" w:line="480" w:lineRule="auto"/>
        <w:textAlignment w:val="baseline"/>
        <w:rPr>
          <w:rFonts w:ascii="Georgia" w:eastAsia="Times New Roman" w:hAnsi="Georgia" w:cs="Times New Roman"/>
          <w:color w:val="000000"/>
        </w:rPr>
      </w:pPr>
      <w:r>
        <w:rPr>
          <w:rFonts w:ascii="Georgia" w:eastAsia="Times New Roman" w:hAnsi="Georgia" w:cs="Times New Roman"/>
          <w:color w:val="000000"/>
        </w:rPr>
        <w:tab/>
        <w:t xml:space="preserve">The inevitable beat of climate change that the world has begun marching to has forced an American policy change. As Washington begins to seriously undertake the task of converting the source of the enormous American energy demand from fossil fuels to green sources, </w:t>
      </w:r>
      <w:r w:rsidR="0010632F">
        <w:rPr>
          <w:rFonts w:ascii="Georgia" w:eastAsia="Times New Roman" w:hAnsi="Georgia" w:cs="Times New Roman"/>
          <w:color w:val="000000"/>
        </w:rPr>
        <w:t xml:space="preserve">new </w:t>
      </w:r>
      <w:r>
        <w:rPr>
          <w:rFonts w:ascii="Georgia" w:eastAsia="Times New Roman" w:hAnsi="Georgia" w:cs="Times New Roman"/>
          <w:color w:val="000000"/>
        </w:rPr>
        <w:t>geopolitical</w:t>
      </w:r>
      <w:r w:rsidR="0010632F">
        <w:rPr>
          <w:rFonts w:ascii="Georgia" w:eastAsia="Times New Roman" w:hAnsi="Georgia" w:cs="Times New Roman"/>
          <w:color w:val="000000"/>
        </w:rPr>
        <w:t xml:space="preserve"> roadblocks</w:t>
      </w:r>
      <w:r>
        <w:rPr>
          <w:rFonts w:ascii="Georgia" w:eastAsia="Times New Roman" w:hAnsi="Georgia" w:cs="Times New Roman"/>
          <w:color w:val="000000"/>
        </w:rPr>
        <w:t xml:space="preserve"> </w:t>
      </w:r>
      <w:r w:rsidR="0010632F">
        <w:rPr>
          <w:rFonts w:ascii="Georgia" w:eastAsia="Times New Roman" w:hAnsi="Georgia" w:cs="Times New Roman"/>
          <w:color w:val="000000"/>
        </w:rPr>
        <w:t xml:space="preserve">have emerged </w:t>
      </w:r>
      <w:r>
        <w:rPr>
          <w:rFonts w:ascii="Georgia" w:eastAsia="Times New Roman" w:hAnsi="Georgia" w:cs="Times New Roman"/>
          <w:color w:val="000000"/>
        </w:rPr>
        <w:t xml:space="preserve">that the United States must clear </w:t>
      </w:r>
      <w:r w:rsidR="0010632F">
        <w:rPr>
          <w:rFonts w:ascii="Georgia" w:eastAsia="Times New Roman" w:hAnsi="Georgia" w:cs="Times New Roman"/>
          <w:color w:val="000000"/>
        </w:rPr>
        <w:t xml:space="preserve">in order </w:t>
      </w:r>
      <w:r>
        <w:rPr>
          <w:rFonts w:ascii="Georgia" w:eastAsia="Times New Roman" w:hAnsi="Georgia" w:cs="Times New Roman"/>
          <w:color w:val="000000"/>
        </w:rPr>
        <w:t xml:space="preserve">to ensure its own energy security. The shift towards green sources will shift the raw material demand from sources like oil, gas, and coal towards a wide array of minerals. This paper is looking to accomplish a few things. First and foremost, it is looking to analyze the Congolese cobalt trade as a means of expressing how the emerging demand for minerals as a necessity for American energy puts the United States within the crosshairs of China’s more than decade long mineral monopoly. Secondly, this paper is looking to use this analysis to bring green energy into the </w:t>
      </w:r>
      <w:r w:rsidR="0010632F">
        <w:rPr>
          <w:rFonts w:ascii="Georgia" w:eastAsia="Times New Roman" w:hAnsi="Georgia" w:cs="Times New Roman"/>
          <w:color w:val="000000"/>
        </w:rPr>
        <w:t xml:space="preserve">study of power within </w:t>
      </w:r>
      <w:r>
        <w:rPr>
          <w:rFonts w:ascii="Georgia" w:eastAsia="Times New Roman" w:hAnsi="Georgia" w:cs="Times New Roman"/>
          <w:color w:val="000000"/>
        </w:rPr>
        <w:t>International Relations</w:t>
      </w:r>
      <w:r w:rsidR="0010632F">
        <w:rPr>
          <w:rFonts w:ascii="Georgia" w:eastAsia="Times New Roman" w:hAnsi="Georgia" w:cs="Times New Roman"/>
          <w:color w:val="000000"/>
        </w:rPr>
        <w:t>. The Chinese monopoly of cobalt pokes at a growing wound in the American ego as its relative strength to the United States engenders American fears of losing political economic autonomy and potential dependency on China. This paper will build on the relationship between China, the Democratic Republic of Congo, and the United States to assess how the US is attempting to clear the hurdle of the Chinese cobalt monopoly to secure its green future.</w:t>
      </w:r>
    </w:p>
    <w:p w14:paraId="5D1E2B2D" w14:textId="77777777" w:rsidR="00E103FB" w:rsidRPr="00E103FB" w:rsidRDefault="00E103FB" w:rsidP="005015DB">
      <w:pPr>
        <w:spacing w:after="0" w:line="480" w:lineRule="auto"/>
        <w:jc w:val="center"/>
        <w:textAlignment w:val="baseline"/>
        <w:rPr>
          <w:rFonts w:ascii="Georgia" w:eastAsia="Times New Roman" w:hAnsi="Georgia" w:cs="Times New Roman"/>
          <w:color w:val="000000"/>
        </w:rPr>
      </w:pPr>
    </w:p>
    <w:p w14:paraId="52AC6D0A" w14:textId="77777777" w:rsidR="00E103FB" w:rsidRPr="00E103FB" w:rsidRDefault="00E103FB" w:rsidP="005015DB">
      <w:pPr>
        <w:spacing w:after="0" w:line="480" w:lineRule="auto"/>
        <w:jc w:val="center"/>
        <w:textAlignment w:val="baseline"/>
        <w:rPr>
          <w:rFonts w:ascii="Georgia" w:eastAsia="Times New Roman" w:hAnsi="Georgia" w:cs="Times New Roman"/>
          <w:color w:val="000000"/>
        </w:rPr>
      </w:pPr>
    </w:p>
    <w:p w14:paraId="184C2A4E" w14:textId="77777777" w:rsidR="00E103FB" w:rsidRPr="00E103FB" w:rsidRDefault="00E103FB" w:rsidP="005015DB">
      <w:pPr>
        <w:spacing w:after="0" w:line="480" w:lineRule="auto"/>
        <w:jc w:val="center"/>
        <w:textAlignment w:val="baseline"/>
        <w:rPr>
          <w:rFonts w:ascii="Georgia" w:eastAsia="Times New Roman" w:hAnsi="Georgia" w:cs="Times New Roman"/>
          <w:color w:val="000000"/>
        </w:rPr>
      </w:pPr>
    </w:p>
    <w:p w14:paraId="397FCC18" w14:textId="77777777" w:rsidR="00E103FB" w:rsidRPr="00E103FB" w:rsidRDefault="00E103FB" w:rsidP="005015DB">
      <w:pPr>
        <w:spacing w:after="0" w:line="480" w:lineRule="auto"/>
        <w:jc w:val="center"/>
        <w:textAlignment w:val="baseline"/>
        <w:rPr>
          <w:rFonts w:ascii="Georgia" w:eastAsia="Times New Roman" w:hAnsi="Georgia" w:cs="Times New Roman"/>
          <w:color w:val="000000"/>
        </w:rPr>
      </w:pPr>
    </w:p>
    <w:p w14:paraId="11D8AE32" w14:textId="77777777" w:rsidR="00E103FB" w:rsidRPr="00E103FB" w:rsidRDefault="00E103FB" w:rsidP="005015DB">
      <w:pPr>
        <w:spacing w:after="0" w:line="480" w:lineRule="auto"/>
        <w:jc w:val="center"/>
        <w:textAlignment w:val="baseline"/>
        <w:rPr>
          <w:rFonts w:ascii="Georgia" w:eastAsia="Times New Roman" w:hAnsi="Georgia" w:cs="Times New Roman"/>
          <w:color w:val="000000"/>
        </w:rPr>
      </w:pPr>
    </w:p>
    <w:p w14:paraId="40A235DE" w14:textId="77777777" w:rsidR="00E103FB" w:rsidRPr="00E103FB" w:rsidRDefault="00E103FB" w:rsidP="005015DB">
      <w:pPr>
        <w:spacing w:after="0" w:line="480" w:lineRule="auto"/>
        <w:jc w:val="center"/>
        <w:textAlignment w:val="baseline"/>
        <w:rPr>
          <w:rFonts w:ascii="Georgia" w:eastAsia="Times New Roman" w:hAnsi="Georgia" w:cs="Times New Roman"/>
          <w:color w:val="000000"/>
        </w:rPr>
      </w:pPr>
    </w:p>
    <w:p w14:paraId="0800A8C0" w14:textId="77777777" w:rsidR="00E103FB" w:rsidRPr="00E103FB" w:rsidRDefault="00E103FB" w:rsidP="005015DB">
      <w:pPr>
        <w:spacing w:after="0" w:line="480" w:lineRule="auto"/>
        <w:jc w:val="center"/>
        <w:textAlignment w:val="baseline"/>
        <w:rPr>
          <w:rFonts w:ascii="Georgia" w:eastAsia="Times New Roman" w:hAnsi="Georgia" w:cs="Times New Roman"/>
          <w:color w:val="000000"/>
        </w:rPr>
      </w:pPr>
    </w:p>
    <w:sdt>
      <w:sdtPr>
        <w:id w:val="-1847236668"/>
        <w:docPartObj>
          <w:docPartGallery w:val="Table of Contents"/>
          <w:docPartUnique/>
        </w:docPartObj>
      </w:sdtPr>
      <w:sdtEndPr>
        <w:rPr>
          <w:rFonts w:asciiTheme="minorHAnsi" w:eastAsiaTheme="minorHAnsi" w:hAnsiTheme="minorHAnsi" w:cstheme="minorBidi"/>
          <w:color w:val="auto"/>
          <w:sz w:val="22"/>
          <w:szCs w:val="22"/>
        </w:rPr>
      </w:sdtEndPr>
      <w:sdtContent>
        <w:p w14:paraId="2557A193" w14:textId="0E6D49F1" w:rsidR="0067462D" w:rsidRPr="0067462D" w:rsidRDefault="0067462D" w:rsidP="0067462D">
          <w:pPr>
            <w:pStyle w:val="TOCHeading"/>
            <w:jc w:val="center"/>
            <w:rPr>
              <w:rFonts w:ascii="Georgia" w:hAnsi="Georgia"/>
            </w:rPr>
          </w:pPr>
        </w:p>
        <w:p w14:paraId="69AFDE06" w14:textId="04DCD7CE" w:rsidR="0067462D" w:rsidRPr="0067462D" w:rsidRDefault="0067462D" w:rsidP="0067462D">
          <w:pPr>
            <w:jc w:val="center"/>
            <w:rPr>
              <w:rFonts w:ascii="Georgia" w:hAnsi="Georgia"/>
              <w:sz w:val="36"/>
              <w:szCs w:val="36"/>
            </w:rPr>
          </w:pPr>
          <w:r>
            <w:rPr>
              <w:rFonts w:ascii="Georgia" w:hAnsi="Georgia"/>
              <w:sz w:val="36"/>
              <w:szCs w:val="36"/>
            </w:rPr>
            <w:t>Table of Contents</w:t>
          </w:r>
        </w:p>
        <w:p w14:paraId="6EE08FF7" w14:textId="77777777" w:rsidR="0067462D" w:rsidRPr="0067462D" w:rsidRDefault="0067462D" w:rsidP="0067462D"/>
        <w:p w14:paraId="3BAF1DE2" w14:textId="3B398197" w:rsidR="0067462D" w:rsidRPr="0067462D" w:rsidRDefault="0067462D" w:rsidP="0067462D">
          <w:pPr>
            <w:pStyle w:val="TOC1"/>
            <w:rPr>
              <w:b/>
              <w:bCs/>
            </w:rPr>
          </w:pPr>
          <w:r>
            <w:rPr>
              <w:b/>
              <w:bCs/>
            </w:rPr>
            <w:t xml:space="preserve">Introduction </w:t>
          </w:r>
          <w:r>
            <w:ptab w:relativeTo="margin" w:alignment="right" w:leader="dot"/>
          </w:r>
          <w:r w:rsidRPr="0067462D">
            <w:rPr>
              <w:b/>
              <w:bCs/>
            </w:rPr>
            <w:t>4</w:t>
          </w:r>
        </w:p>
        <w:p w14:paraId="45A74FA5" w14:textId="6D4827D1" w:rsidR="0067462D" w:rsidRDefault="0067462D">
          <w:pPr>
            <w:pStyle w:val="TOC2"/>
            <w:ind w:left="216"/>
          </w:pPr>
          <w:r>
            <w:t>Theories</w:t>
          </w:r>
          <w:r>
            <w:ptab w:relativeTo="margin" w:alignment="right" w:leader="dot"/>
          </w:r>
          <w:r>
            <w:t>7</w:t>
          </w:r>
        </w:p>
        <w:p w14:paraId="3EA74CED" w14:textId="48FFA6CA" w:rsidR="0067462D" w:rsidRDefault="0067462D" w:rsidP="0067462D">
          <w:pPr>
            <w:pStyle w:val="TOC3"/>
            <w:ind w:left="0" w:firstLine="216"/>
          </w:pPr>
          <w:r>
            <w:t>Literature Review</w:t>
          </w:r>
          <w:r>
            <w:ptab w:relativeTo="margin" w:alignment="right" w:leader="dot"/>
          </w:r>
          <w:r>
            <w:t>10</w:t>
          </w:r>
        </w:p>
        <w:p w14:paraId="571A285D" w14:textId="21FA894C" w:rsidR="0067462D" w:rsidRDefault="0067462D" w:rsidP="0067462D">
          <w:pPr>
            <w:pStyle w:val="TOC2"/>
            <w:ind w:left="216"/>
          </w:pPr>
          <w:r>
            <w:t>Methods and Sources</w:t>
          </w:r>
          <w:r>
            <w:ptab w:relativeTo="margin" w:alignment="right" w:leader="dot"/>
          </w:r>
          <w:r>
            <w:t>15</w:t>
          </w:r>
        </w:p>
        <w:p w14:paraId="1E54E0C6" w14:textId="77777777" w:rsidR="0067462D" w:rsidRPr="0067462D" w:rsidRDefault="0067462D" w:rsidP="0067462D"/>
        <w:p w14:paraId="333EEDB9" w14:textId="2AC23EEB" w:rsidR="0067462D" w:rsidRDefault="0067462D">
          <w:pPr>
            <w:pStyle w:val="TOC1"/>
          </w:pPr>
          <w:r>
            <w:rPr>
              <w:b/>
              <w:bCs/>
            </w:rPr>
            <w:t>The Cobalt Trade</w:t>
          </w:r>
          <w:r>
            <w:ptab w:relativeTo="margin" w:alignment="right" w:leader="dot"/>
          </w:r>
          <w:r w:rsidR="006D59A7">
            <w:rPr>
              <w:b/>
              <w:bCs/>
            </w:rPr>
            <w:t>16</w:t>
          </w:r>
        </w:p>
        <w:p w14:paraId="4C6B7F3D" w14:textId="77777777" w:rsidR="0067462D" w:rsidRDefault="0067462D" w:rsidP="0067462D"/>
        <w:p w14:paraId="52DF5A92" w14:textId="09641083" w:rsidR="0067462D" w:rsidRDefault="0067462D" w:rsidP="0067462D">
          <w:r>
            <w:rPr>
              <w:b/>
              <w:bCs/>
            </w:rPr>
            <w:t>Interests, Incentives, Insecurities, and Actions</w:t>
          </w:r>
          <w:r>
            <w:ptab w:relativeTo="margin" w:alignment="right" w:leader="dot"/>
          </w:r>
          <w:r w:rsidR="006D59A7">
            <w:rPr>
              <w:b/>
              <w:bCs/>
            </w:rPr>
            <w:t>21</w:t>
          </w:r>
        </w:p>
        <w:p w14:paraId="232FEAE3" w14:textId="4324618F" w:rsidR="0067462D" w:rsidRDefault="006D59A7" w:rsidP="0067462D">
          <w:pPr>
            <w:pStyle w:val="TOC2"/>
            <w:ind w:left="216"/>
          </w:pPr>
          <w:r>
            <w:t>The DRC</w:t>
          </w:r>
          <w:r w:rsidR="0067462D">
            <w:ptab w:relativeTo="margin" w:alignment="right" w:leader="dot"/>
          </w:r>
          <w:r>
            <w:t>21</w:t>
          </w:r>
        </w:p>
        <w:p w14:paraId="5FFDF494" w14:textId="5FA7B821" w:rsidR="006D59A7" w:rsidRDefault="006D59A7" w:rsidP="006D59A7">
          <w:pPr>
            <w:pStyle w:val="TOC2"/>
            <w:ind w:left="216"/>
          </w:pPr>
          <w:r>
            <w:t>China</w:t>
          </w:r>
          <w:r>
            <w:ptab w:relativeTo="margin" w:alignment="right" w:leader="dot"/>
          </w:r>
          <w:r>
            <w:t>35</w:t>
          </w:r>
        </w:p>
        <w:p w14:paraId="2C9CAFE1" w14:textId="1291877A" w:rsidR="006D59A7" w:rsidRDefault="006D59A7" w:rsidP="006D59A7">
          <w:pPr>
            <w:pStyle w:val="TOC2"/>
            <w:ind w:left="216"/>
          </w:pPr>
          <w:r>
            <w:t xml:space="preserve">The </w:t>
          </w:r>
          <w:r>
            <w:t>United States</w:t>
          </w:r>
          <w:r>
            <w:ptab w:relativeTo="margin" w:alignment="right" w:leader="dot"/>
          </w:r>
          <w:r>
            <w:t>51</w:t>
          </w:r>
        </w:p>
        <w:p w14:paraId="115C8BD7" w14:textId="77777777" w:rsidR="006D59A7" w:rsidRDefault="006D59A7" w:rsidP="0067462D"/>
        <w:p w14:paraId="266D729A" w14:textId="1CA445D9" w:rsidR="006D59A7" w:rsidRDefault="006D59A7" w:rsidP="006D59A7">
          <w:pPr>
            <w:rPr>
              <w:b/>
              <w:bCs/>
            </w:rPr>
          </w:pPr>
          <w:r>
            <w:rPr>
              <w:b/>
              <w:bCs/>
            </w:rPr>
            <w:t>I</w:t>
          </w:r>
          <w:r>
            <w:rPr>
              <w:b/>
              <w:bCs/>
            </w:rPr>
            <w:t>mplications and Current Balance</w:t>
          </w:r>
          <w:r>
            <w:ptab w:relativeTo="margin" w:alignment="right" w:leader="dot"/>
          </w:r>
          <w:r>
            <w:rPr>
              <w:b/>
              <w:bCs/>
            </w:rPr>
            <w:t>68</w:t>
          </w:r>
        </w:p>
        <w:p w14:paraId="72451066" w14:textId="77777777" w:rsidR="006D59A7" w:rsidRDefault="006D59A7" w:rsidP="006D59A7">
          <w:pPr>
            <w:rPr>
              <w:b/>
              <w:bCs/>
            </w:rPr>
          </w:pPr>
        </w:p>
        <w:p w14:paraId="4BCF8FA3" w14:textId="0C64E67F" w:rsidR="006D59A7" w:rsidRDefault="006D59A7" w:rsidP="006D59A7">
          <w:r>
            <w:rPr>
              <w:b/>
              <w:bCs/>
            </w:rPr>
            <w:t>Conclusion</w:t>
          </w:r>
          <w:r>
            <w:ptab w:relativeTo="margin" w:alignment="right" w:leader="dot"/>
          </w:r>
          <w:r>
            <w:rPr>
              <w:b/>
              <w:bCs/>
            </w:rPr>
            <w:t>72</w:t>
          </w:r>
        </w:p>
        <w:p w14:paraId="04078E23" w14:textId="5070C5AE" w:rsidR="0067462D" w:rsidRPr="0067462D" w:rsidRDefault="0067462D" w:rsidP="0067462D"/>
      </w:sdtContent>
    </w:sdt>
    <w:p w14:paraId="3E82D5EA" w14:textId="77777777" w:rsidR="00E103FB" w:rsidRPr="00E103FB" w:rsidRDefault="00E103FB" w:rsidP="005015DB">
      <w:pPr>
        <w:spacing w:after="0" w:line="480" w:lineRule="auto"/>
        <w:jc w:val="center"/>
        <w:textAlignment w:val="baseline"/>
        <w:rPr>
          <w:rFonts w:ascii="Georgia" w:eastAsia="Times New Roman" w:hAnsi="Georgia" w:cs="Times New Roman"/>
          <w:color w:val="000000"/>
        </w:rPr>
      </w:pPr>
    </w:p>
    <w:p w14:paraId="2E48E125" w14:textId="77777777" w:rsidR="00E103FB" w:rsidRPr="00E103FB" w:rsidRDefault="00E103FB" w:rsidP="005015DB">
      <w:pPr>
        <w:spacing w:after="0" w:line="480" w:lineRule="auto"/>
        <w:jc w:val="center"/>
        <w:textAlignment w:val="baseline"/>
        <w:rPr>
          <w:rFonts w:ascii="Georgia" w:eastAsia="Times New Roman" w:hAnsi="Georgia" w:cs="Times New Roman"/>
          <w:color w:val="000000"/>
        </w:rPr>
      </w:pPr>
    </w:p>
    <w:p w14:paraId="2E200C97" w14:textId="77777777" w:rsidR="00E103FB" w:rsidRPr="00E103FB" w:rsidRDefault="00E103FB" w:rsidP="005015DB">
      <w:pPr>
        <w:spacing w:after="0" w:line="480" w:lineRule="auto"/>
        <w:jc w:val="center"/>
        <w:textAlignment w:val="baseline"/>
        <w:rPr>
          <w:rFonts w:ascii="Georgia" w:eastAsia="Times New Roman" w:hAnsi="Georgia" w:cs="Times New Roman"/>
          <w:color w:val="000000"/>
        </w:rPr>
      </w:pPr>
    </w:p>
    <w:p w14:paraId="0E910353" w14:textId="77777777" w:rsidR="00E103FB" w:rsidRPr="00E103FB" w:rsidRDefault="00E103FB" w:rsidP="005015DB">
      <w:pPr>
        <w:spacing w:after="0" w:line="480" w:lineRule="auto"/>
        <w:jc w:val="center"/>
        <w:textAlignment w:val="baseline"/>
        <w:rPr>
          <w:rFonts w:ascii="Georgia" w:eastAsia="Times New Roman" w:hAnsi="Georgia" w:cs="Times New Roman"/>
          <w:color w:val="000000"/>
        </w:rPr>
      </w:pPr>
    </w:p>
    <w:p w14:paraId="69549220" w14:textId="77777777" w:rsidR="00E103FB" w:rsidRPr="00E103FB" w:rsidRDefault="00E103FB" w:rsidP="005015DB">
      <w:pPr>
        <w:spacing w:after="0" w:line="480" w:lineRule="auto"/>
        <w:jc w:val="center"/>
        <w:textAlignment w:val="baseline"/>
        <w:rPr>
          <w:rFonts w:ascii="Georgia" w:eastAsia="Times New Roman" w:hAnsi="Georgia" w:cs="Times New Roman"/>
          <w:color w:val="000000"/>
        </w:rPr>
      </w:pPr>
    </w:p>
    <w:p w14:paraId="23A01297" w14:textId="77777777" w:rsidR="00E103FB" w:rsidRPr="00E103FB" w:rsidRDefault="00E103FB" w:rsidP="005015DB">
      <w:pPr>
        <w:spacing w:after="0" w:line="480" w:lineRule="auto"/>
        <w:jc w:val="center"/>
        <w:textAlignment w:val="baseline"/>
        <w:rPr>
          <w:rFonts w:ascii="Georgia" w:eastAsia="Times New Roman" w:hAnsi="Georgia" w:cs="Times New Roman"/>
          <w:color w:val="000000"/>
        </w:rPr>
      </w:pPr>
    </w:p>
    <w:p w14:paraId="4C12938A" w14:textId="77777777" w:rsidR="00E103FB" w:rsidRPr="00E103FB" w:rsidRDefault="00E103FB" w:rsidP="005015DB">
      <w:pPr>
        <w:spacing w:after="0" w:line="240" w:lineRule="auto"/>
        <w:textAlignment w:val="baseline"/>
        <w:rPr>
          <w:rFonts w:ascii="Georgia" w:eastAsia="Times New Roman" w:hAnsi="Georgia" w:cs="Times New Roman"/>
          <w:color w:val="000000"/>
        </w:rPr>
      </w:pPr>
    </w:p>
    <w:p w14:paraId="1E7EE0BF" w14:textId="77777777" w:rsidR="00FE22F4" w:rsidRPr="00E103FB" w:rsidRDefault="00FE22F4" w:rsidP="00FA3978">
      <w:pPr>
        <w:spacing w:after="0" w:line="240" w:lineRule="auto"/>
        <w:jc w:val="center"/>
        <w:textAlignment w:val="baseline"/>
        <w:rPr>
          <w:rFonts w:ascii="Georgia" w:eastAsia="Times New Roman" w:hAnsi="Georgia" w:cs="Times New Roman"/>
          <w:color w:val="000000"/>
        </w:rPr>
      </w:pPr>
    </w:p>
    <w:p w14:paraId="328724C9" w14:textId="1CBF4576" w:rsidR="00FA3978" w:rsidRPr="006D59A7" w:rsidRDefault="006D59A7" w:rsidP="006D59A7">
      <w:pPr>
        <w:spacing w:after="0" w:line="240" w:lineRule="auto"/>
        <w:jc w:val="center"/>
        <w:textAlignment w:val="baseline"/>
        <w:rPr>
          <w:rFonts w:ascii="Georgia" w:eastAsia="Times New Roman" w:hAnsi="Georgia" w:cs="Times New Roman"/>
          <w:i/>
          <w:iCs/>
          <w:color w:val="000000"/>
        </w:rPr>
      </w:pPr>
      <w:r w:rsidRPr="006D59A7">
        <w:rPr>
          <w:rFonts w:ascii="Georgia" w:eastAsia="Times New Roman" w:hAnsi="Georgia" w:cs="Times New Roman"/>
          <w:i/>
          <w:iCs/>
          <w:color w:val="000000"/>
        </w:rPr>
        <w:lastRenderedPageBreak/>
        <w:t>INTRODUCTION</w:t>
      </w:r>
    </w:p>
    <w:p w14:paraId="7E2C00F0" w14:textId="77777777" w:rsidR="006D59A7" w:rsidRPr="006D59A7" w:rsidRDefault="006D59A7" w:rsidP="006D59A7">
      <w:pPr>
        <w:spacing w:after="0" w:line="480" w:lineRule="auto"/>
        <w:textAlignment w:val="baseline"/>
        <w:rPr>
          <w:rFonts w:ascii="Georgia" w:eastAsia="Times New Roman" w:hAnsi="Georgia" w:cs="Times New Roman"/>
          <w:color w:val="000000"/>
        </w:rPr>
      </w:pPr>
    </w:p>
    <w:p w14:paraId="059AF962" w14:textId="77777777" w:rsidR="00FA3978" w:rsidRDefault="00FA3978" w:rsidP="00FA3978">
      <w:pPr>
        <w:spacing w:after="0" w:line="480" w:lineRule="auto"/>
        <w:textAlignment w:val="baseline"/>
        <w:rPr>
          <w:rFonts w:ascii="Georgia" w:eastAsia="Times New Roman" w:hAnsi="Georgia" w:cs="Times New Roman"/>
          <w:color w:val="000000"/>
        </w:rPr>
      </w:pPr>
      <w:r>
        <w:rPr>
          <w:rFonts w:ascii="Georgia" w:eastAsia="Times New Roman" w:hAnsi="Georgia" w:cs="Times New Roman"/>
          <w:color w:val="000000"/>
        </w:rPr>
        <w:tab/>
        <w:t>At this point, it is well established that fossil fuels are toxic and need to be phased out of society. Green energy is something that many Americans are generally aware of by now — solar panels are on some people’s homes, most folks at least know someone who drives an electric car, wind turbines are a more common sight in American farmland, etc. Policymakers and the public alike have become more familiar with the concept of green energy, and now the discussion has been recentered on logistics. In 2022, the total American energy consumption was around 100.4 quadrillion British thermal units (Btu), equal to about 17.3 million barrels of oil</w:t>
      </w:r>
      <w:r>
        <w:rPr>
          <w:rStyle w:val="FootnoteReference"/>
          <w:rFonts w:ascii="Georgia" w:eastAsia="Times New Roman" w:hAnsi="Georgia" w:cs="Times New Roman"/>
          <w:color w:val="000000"/>
        </w:rPr>
        <w:footnoteReference w:id="1"/>
      </w:r>
      <w:r>
        <w:rPr>
          <w:rFonts w:ascii="Georgia" w:eastAsia="Times New Roman" w:hAnsi="Georgia" w:cs="Times New Roman"/>
          <w:color w:val="000000"/>
        </w:rPr>
        <w:t>. Transitioning this much energy towards green sources (which are currently meeting 13% of American energy requirements</w:t>
      </w:r>
      <w:r>
        <w:rPr>
          <w:rStyle w:val="FootnoteReference"/>
          <w:rFonts w:ascii="Georgia" w:eastAsia="Times New Roman" w:hAnsi="Georgia" w:cs="Times New Roman"/>
          <w:color w:val="000000"/>
        </w:rPr>
        <w:footnoteReference w:id="2"/>
      </w:r>
      <w:r>
        <w:rPr>
          <w:rFonts w:ascii="Georgia" w:eastAsia="Times New Roman" w:hAnsi="Georgia" w:cs="Times New Roman"/>
          <w:color w:val="000000"/>
        </w:rPr>
        <w:t>) will be an immense task to say the least. However, there are more hurdles to be leapt and more dilemmas to be faced before the United States can sufficiently transition to green energy.</w:t>
      </w:r>
    </w:p>
    <w:p w14:paraId="255DC738" w14:textId="77777777" w:rsidR="00FA3978" w:rsidRDefault="00FA3978" w:rsidP="00FA3978">
      <w:pPr>
        <w:spacing w:after="0" w:line="480" w:lineRule="auto"/>
        <w:textAlignment w:val="baseline"/>
        <w:rPr>
          <w:rFonts w:ascii="Georgia" w:eastAsia="Times New Roman" w:hAnsi="Georgia" w:cs="Times New Roman"/>
          <w:color w:val="000000"/>
        </w:rPr>
      </w:pPr>
      <w:r>
        <w:rPr>
          <w:rFonts w:ascii="Georgia" w:eastAsia="Times New Roman" w:hAnsi="Georgia" w:cs="Times New Roman"/>
          <w:color w:val="000000"/>
        </w:rPr>
        <w:tab/>
        <w:t xml:space="preserve">This paper is taking an international relations approach to the American green energy transition to broadly think about what sort of hurdles the United States might encounter in trying to secure its energy transition. Minerals have emerged as the next critical raw material for powering a green energy sector. Compared to fossil fuel sources, renewable energy sources require a much higher variety of extremely specialized minerals, and strategic, lasting access to these minerals will be critical for future American energy. Much like with oil, gas, or coal today, minerals are not evenly distributed across the world, and the greatest supplies like outside of American borders. Problems start to emerge when critical materials are held in the hands of ambivalent or even antagonistic actors. As an increasingly problematic and combative actor, China’s monopolies over numerous critical minerals presents a massive hurdle for an American transition to green energy. By taking an international relations approach to the American energy </w:t>
      </w:r>
      <w:r>
        <w:rPr>
          <w:rFonts w:ascii="Georgia" w:eastAsia="Times New Roman" w:hAnsi="Georgia" w:cs="Times New Roman"/>
          <w:color w:val="000000"/>
        </w:rPr>
        <w:lastRenderedPageBreak/>
        <w:t>transition, this paper is hoping to problematize Chinese mineral monopolies as a unique pressure that drives a reactionary American policy response to Chinese power.</w:t>
      </w:r>
    </w:p>
    <w:p w14:paraId="19B0860A" w14:textId="77777777" w:rsidR="00FA3978" w:rsidRDefault="00FA3978" w:rsidP="00FA3978">
      <w:pPr>
        <w:spacing w:after="0" w:line="480" w:lineRule="auto"/>
        <w:textAlignment w:val="baseline"/>
        <w:rPr>
          <w:rFonts w:ascii="Georgia" w:eastAsia="Times New Roman" w:hAnsi="Georgia" w:cs="Times New Roman"/>
          <w:color w:val="000000"/>
        </w:rPr>
      </w:pPr>
      <w:r>
        <w:rPr>
          <w:rFonts w:ascii="Georgia" w:eastAsia="Times New Roman" w:hAnsi="Georgia" w:cs="Times New Roman"/>
          <w:color w:val="000000"/>
        </w:rPr>
        <w:tab/>
        <w:t>China has placed itself at several chokepoints of global green energy supply chains and is an actor that is ready, willing, and able to use its dominating presence in mineral trades as a form of leverage over the United States. This sort of leverage poses a serious risk as energy is perhaps one of the most critical economic sectors for daily American life. The potential for a state, who frequently clashes with the US over geopolitical issues, to cut off the tap for American energy as a form of reprisal to unfavorable decisions is a real threat that steers how American policymakers approach an energy transition. This risk places the US in a critical dilemma over whether to prioritize an energy transition or political economic autonomy. This paper is looking to use the Chinese monopoly of the cobalt trade sprouting from the Democratic Republic of Congo (DRC) as a means of understanding how Chinese mineral monopolies are shaping an American energy transition. Cobalt is a particularly apt case study as it is a mineral almost wholly concentrated within the DRC, and China’s sixteen-year relationship with the Congolese has awarded it a near total monopoly.</w:t>
      </w:r>
    </w:p>
    <w:p w14:paraId="2412E72E" w14:textId="77777777" w:rsidR="00FA3978" w:rsidRDefault="00FA3978" w:rsidP="00FA3978">
      <w:pPr>
        <w:spacing w:after="0" w:line="480" w:lineRule="auto"/>
        <w:textAlignment w:val="baseline"/>
        <w:rPr>
          <w:rFonts w:ascii="Georgia" w:eastAsia="Times New Roman" w:hAnsi="Georgia" w:cs="Times New Roman"/>
          <w:color w:val="000000"/>
        </w:rPr>
      </w:pPr>
      <w:r>
        <w:rPr>
          <w:rFonts w:ascii="Georgia" w:eastAsia="Times New Roman" w:hAnsi="Georgia" w:cs="Times New Roman"/>
          <w:color w:val="000000"/>
        </w:rPr>
        <w:tab/>
        <w:t>Cobalt is a critical mineral because of its use in lithium-ion batteries which fuel electric vehicles, power various forms of smart technology, and store electricity generated by renewable energy sources. As a point of distinction, there are many terms used to describe the American transition from using fossil fuels towards using mostly renewable energy sources. In this paper, renewables (also known as green energy sources) will be referring to energy sources that range from hydropower plants, solar panels &amp; farms, wind turbines &amp; farms, geothermal reactors, and electric vehicles. Compared to other battery-types, lithium-ion batteries are more energy dense (i.e. can store more energy), lower maintenance, and have specialty cells which provide high current towards traditionally challenging things like power tools</w:t>
      </w:r>
      <w:r>
        <w:rPr>
          <w:rStyle w:val="FootnoteReference"/>
          <w:rFonts w:ascii="Georgia" w:eastAsia="Times New Roman" w:hAnsi="Georgia" w:cs="Times New Roman"/>
          <w:color w:val="000000"/>
        </w:rPr>
        <w:footnoteReference w:id="3"/>
      </w:r>
      <w:r>
        <w:rPr>
          <w:rFonts w:ascii="Georgia" w:eastAsia="Times New Roman" w:hAnsi="Georgia" w:cs="Times New Roman"/>
          <w:color w:val="000000"/>
        </w:rPr>
        <w:t xml:space="preserve">. Lithium-ion batteries and the </w:t>
      </w:r>
      <w:r>
        <w:rPr>
          <w:rFonts w:ascii="Georgia" w:eastAsia="Times New Roman" w:hAnsi="Georgia" w:cs="Times New Roman"/>
          <w:color w:val="000000"/>
        </w:rPr>
        <w:lastRenderedPageBreak/>
        <w:t>cobalt used for them are of particular concern for an American energy transition. The largest and most cobalt-dense batteries are used in electric vehicles. The largest contributor to American greenhouse gas emissions come from the transportation sector</w:t>
      </w:r>
      <w:r>
        <w:rPr>
          <w:rStyle w:val="FootnoteReference"/>
          <w:rFonts w:ascii="Georgia" w:eastAsia="Times New Roman" w:hAnsi="Georgia" w:cs="Times New Roman"/>
          <w:color w:val="000000"/>
        </w:rPr>
        <w:footnoteReference w:id="4"/>
      </w:r>
      <w:r>
        <w:rPr>
          <w:rFonts w:ascii="Georgia" w:eastAsia="Times New Roman" w:hAnsi="Georgia" w:cs="Times New Roman"/>
          <w:color w:val="000000"/>
        </w:rPr>
        <w:t xml:space="preserve">, and the Biden administration has targeted a national shift towards electric vehicles as a critical pillar of the American green energy future. </w:t>
      </w:r>
    </w:p>
    <w:p w14:paraId="043B965F" w14:textId="77777777" w:rsidR="00FA3978" w:rsidRDefault="00FA3978" w:rsidP="00FA3978">
      <w:pPr>
        <w:spacing w:after="0" w:line="480" w:lineRule="auto"/>
        <w:ind w:firstLine="720"/>
        <w:textAlignment w:val="baseline"/>
        <w:rPr>
          <w:rFonts w:ascii="Georgia" w:eastAsia="Times New Roman" w:hAnsi="Georgia" w:cs="Times New Roman"/>
          <w:color w:val="000000"/>
        </w:rPr>
      </w:pPr>
      <w:r>
        <w:rPr>
          <w:rFonts w:ascii="Georgia" w:eastAsia="Times New Roman" w:hAnsi="Georgia" w:cs="Times New Roman"/>
          <w:color w:val="000000"/>
        </w:rPr>
        <w:t>To gain consistent access to these batteries, the United States will have to tackle the complex web of Chinese influence within the cobalt-to-lithium-ion battery supply chain. By its conclusion, this paper is seeking to understand how the United States has reacted to the Chinese monopoly over Congolese cobalt in the wake of its transition to green energy. It argues that the DRC-China dynamic has engendered American fears of dependency on China and a potential loss of political economic autonomy. As such, these fears have encouraged the United States to strive for greater energy security and pursue an economic paradigm shift towards protectionism.</w:t>
      </w:r>
    </w:p>
    <w:p w14:paraId="7D047900" w14:textId="77777777" w:rsidR="00FA3978" w:rsidRDefault="00FA3978" w:rsidP="00FA3978">
      <w:pPr>
        <w:spacing w:after="0" w:line="480" w:lineRule="auto"/>
        <w:ind w:firstLine="720"/>
        <w:textAlignment w:val="baseline"/>
        <w:rPr>
          <w:rFonts w:ascii="Georgia" w:eastAsia="Times New Roman" w:hAnsi="Georgia" w:cs="Times New Roman"/>
          <w:color w:val="000000"/>
        </w:rPr>
      </w:pPr>
      <w:r>
        <w:rPr>
          <w:rFonts w:ascii="Georgia" w:eastAsia="Times New Roman" w:hAnsi="Georgia" w:cs="Times New Roman"/>
          <w:color w:val="000000"/>
        </w:rPr>
        <w:t xml:space="preserve">This paper will start by outlining its theoretical framework, basis of literature, and methods before moving on to draw out a more comprehensive image of the cobalt trade, tracing cobalt from Congolese mines all the way to its use in lithium-ion batteries. With this being established, this paper will then shift towards a more analytical discussion of some of the interests, incentives, insecurities, and actions that are driving each state actor in the US-China-DRC dynamic. The goal is to build a picture of how the United States’s response to China’s monopoly over Congolese cobalt has complicated the triangular dynamic that has formed between these three actors. Finally, this paper will look at all of these three actors in conjunction to try to understand how their interests, insecurities, incentives, and actions all intermingle and affect one another. </w:t>
      </w:r>
    </w:p>
    <w:p w14:paraId="2FA2E193" w14:textId="77777777" w:rsidR="00FA3978" w:rsidRDefault="00FA3978" w:rsidP="00FA3978">
      <w:pPr>
        <w:spacing w:line="480" w:lineRule="auto"/>
        <w:rPr>
          <w:rFonts w:ascii="Georgia" w:hAnsi="Georgia"/>
        </w:rPr>
      </w:pPr>
    </w:p>
    <w:p w14:paraId="098819E2" w14:textId="32E51E36" w:rsidR="00404551" w:rsidRPr="00FE22F4" w:rsidRDefault="00404551" w:rsidP="00404551">
      <w:pPr>
        <w:tabs>
          <w:tab w:val="center" w:pos="4680"/>
          <w:tab w:val="left" w:pos="7452"/>
        </w:tabs>
        <w:spacing w:line="480" w:lineRule="auto"/>
        <w:jc w:val="center"/>
        <w:rPr>
          <w:rFonts w:ascii="Georgia" w:hAnsi="Georgia"/>
          <w:i/>
          <w:iCs/>
        </w:rPr>
      </w:pPr>
      <w:r w:rsidRPr="00FE22F4">
        <w:rPr>
          <w:rFonts w:ascii="Georgia" w:hAnsi="Georgia"/>
          <w:i/>
          <w:iCs/>
        </w:rPr>
        <w:t>THEORIES AND FRAMEWORK</w:t>
      </w:r>
    </w:p>
    <w:p w14:paraId="4555B4AA" w14:textId="77777777" w:rsidR="00404551" w:rsidRDefault="00404551" w:rsidP="00404551">
      <w:pPr>
        <w:spacing w:line="480" w:lineRule="auto"/>
        <w:ind w:firstLine="720"/>
        <w:rPr>
          <w:rFonts w:ascii="Georgia" w:hAnsi="Georgia" w:cs="Times New Roman"/>
        </w:rPr>
      </w:pPr>
      <w:r>
        <w:rPr>
          <w:rFonts w:ascii="Georgia" w:hAnsi="Georgia" w:cs="Times New Roman"/>
        </w:rPr>
        <w:lastRenderedPageBreak/>
        <w:t xml:space="preserve">As this paper takes a look into the dynamics behind the United States’ complexifying relationship with China and the DRC, power, interests, and insecurities are the fundamental elements being analyzed to describe these dynamics. There are two theories of power that are particularly useful in analyzing a triangular US-China-DRC dynamic – Kenneth Waltz’s theory of Structural Realism and Joseph Nye’s theory of Soft Power. </w:t>
      </w:r>
    </w:p>
    <w:p w14:paraId="0400B521" w14:textId="11F70F14" w:rsidR="00404551" w:rsidRDefault="00404551" w:rsidP="00404551">
      <w:pPr>
        <w:spacing w:line="480" w:lineRule="auto"/>
        <w:ind w:firstLine="720"/>
        <w:rPr>
          <w:rFonts w:ascii="Georgia" w:hAnsi="Georgia" w:cs="Times New Roman"/>
        </w:rPr>
      </w:pPr>
      <w:r>
        <w:rPr>
          <w:rFonts w:ascii="Georgia" w:hAnsi="Georgia" w:cs="Times New Roman"/>
        </w:rPr>
        <w:t xml:space="preserve">In his book </w:t>
      </w:r>
      <w:r>
        <w:rPr>
          <w:rFonts w:ascii="Georgia" w:hAnsi="Georgia" w:cs="Times New Roman"/>
          <w:i/>
          <w:iCs/>
        </w:rPr>
        <w:t>Theory of International Politics</w:t>
      </w:r>
      <w:r w:rsidR="00104535">
        <w:rPr>
          <w:rStyle w:val="FootnoteReference"/>
          <w:rFonts w:ascii="Georgia" w:hAnsi="Georgia" w:cs="Times New Roman"/>
          <w:i/>
          <w:iCs/>
        </w:rPr>
        <w:footnoteReference w:id="5"/>
      </w:r>
      <w:r>
        <w:rPr>
          <w:rFonts w:ascii="Georgia" w:hAnsi="Georgia" w:cs="Times New Roman"/>
        </w:rPr>
        <w:t xml:space="preserve">, Waltz lays out the groundwork for structural realism and looks to the structure or nature of the international system to explain conflict within geopolitics. </w:t>
      </w:r>
      <w:r w:rsidR="00713AF3">
        <w:rPr>
          <w:rFonts w:ascii="Georgia" w:hAnsi="Georgia" w:cs="Times New Roman"/>
        </w:rPr>
        <w:t>Structural</w:t>
      </w:r>
      <w:r>
        <w:rPr>
          <w:rFonts w:ascii="Georgia" w:hAnsi="Georgia" w:cs="Times New Roman"/>
        </w:rPr>
        <w:t xml:space="preserve"> realism focuses on dynamics between nation-states, thinks of power as a finite resource (AKA zero-sum), and centers power and security issues. Waltz’s structural realism is based on the assumption that a state’s chief concern is survival and is constantly managing issues of power to maximize a stable feeling of security. One of the critical concepts for this paper is the security dilemma. The security dilemma is a positive feedback loop where an increase in one state’s power creates feelings of insecurity within another. The insecure state looks to settle its anxieties by increasing its own power, creating insecurity within other states. Structural realism as a theory usually functions most accurately when examining issues between states that involve significant power dynamics and insecurity. For describing American relations with the European Union, structural realism may be less helpful because of a general lack of insecurity between these two entities.</w:t>
      </w:r>
    </w:p>
    <w:p w14:paraId="2A315E86" w14:textId="77777777" w:rsidR="00404551" w:rsidRDefault="00404551" w:rsidP="00404551">
      <w:pPr>
        <w:spacing w:line="480" w:lineRule="auto"/>
        <w:ind w:firstLine="720"/>
        <w:rPr>
          <w:rFonts w:ascii="Georgia" w:hAnsi="Georgia" w:cs="Times New Roman"/>
        </w:rPr>
      </w:pPr>
      <w:r>
        <w:rPr>
          <w:rFonts w:ascii="Georgia" w:hAnsi="Georgia" w:cs="Times New Roman"/>
        </w:rPr>
        <w:t xml:space="preserve">However, the United States and China’s increasingly competitive relationship make their dynamic more applicable to realist assumptions and approaches. Waltz’s focus on the structure of the international system is important for understanding the more fundamental nature of the insecurities that drive Sino-American tension. The US and China are the largest economies on Earth by quite a wide margin, and there is a relatively small disparity in power between these two countries (compared to the next largest players). However, the United States and China did </w:t>
      </w:r>
      <w:r>
        <w:rPr>
          <w:rFonts w:ascii="Georgia" w:hAnsi="Georgia" w:cs="Times New Roman"/>
        </w:rPr>
        <w:lastRenderedPageBreak/>
        <w:t xml:space="preserve">not arrive at their current stature at the same time or in vacuum. The US has been at the height of the world’s economy for several decades now, so China’s more recent rise within the last twenty years has been putting more and more pressure on the US. American feelings of insecurity from a growing Chinese economy have been stewing slowly for several years, and China’s dominance in the Congolese cobalt trade has only accelerated and validated those anxieties. </w:t>
      </w:r>
    </w:p>
    <w:p w14:paraId="4304029C" w14:textId="53D5EC5F" w:rsidR="00404551" w:rsidRDefault="00404551" w:rsidP="00404551">
      <w:pPr>
        <w:spacing w:line="480" w:lineRule="auto"/>
        <w:ind w:firstLine="720"/>
        <w:rPr>
          <w:rFonts w:ascii="Georgia" w:hAnsi="Georgia" w:cs="Times New Roman"/>
        </w:rPr>
      </w:pPr>
      <w:r>
        <w:rPr>
          <w:rFonts w:ascii="Georgia" w:hAnsi="Georgia" w:cs="Times New Roman"/>
        </w:rPr>
        <w:t xml:space="preserve">Where structural realism is used to articulate the thinking and actions within the US-China dynamic, Joseph Nye’s conception of soft power from his book </w:t>
      </w:r>
      <w:r>
        <w:rPr>
          <w:rFonts w:ascii="Georgia" w:hAnsi="Georgia" w:cs="Times New Roman"/>
          <w:i/>
          <w:iCs/>
        </w:rPr>
        <w:t>Soft Power: The Means of Success in World Politics</w:t>
      </w:r>
      <w:r w:rsidR="00104535">
        <w:rPr>
          <w:rStyle w:val="FootnoteReference"/>
          <w:rFonts w:ascii="Georgia" w:hAnsi="Georgia" w:cs="Times New Roman"/>
          <w:i/>
          <w:iCs/>
        </w:rPr>
        <w:footnoteReference w:id="6"/>
      </w:r>
      <w:r>
        <w:rPr>
          <w:rFonts w:ascii="Georgia" w:hAnsi="Georgia" w:cs="Times New Roman"/>
        </w:rPr>
        <w:t xml:space="preserve"> works best to describe the non-competitive relationships within the DRC-China-US dynamic (i.e. US-DRC and DRC-China). The relationships China is fostering with the Democratic Republic of Congo, as well as many other African nations, is broader than just economic interests. Soft power is a particularly useful concept when thinking about China in Africa as it gets to some of the core reasons why China has now spent more than a decade and billions of dollars in investment in the continent. More than a pragmatic grab for resources, Africa stands as an opportunity for China to build its international reputation and increase its power uncontested. The 2008 Sicomines deal between the DRC and China is the foundation for dozens of other infrastructure deals China has signed in the past sixteen years as a part of its global Belt and Road Initiative (BRI). The BRI utilizes China’s immense economic power to foster better diplomatic relations between nations and foster consent for China’s increasing power on the world stage.</w:t>
      </w:r>
    </w:p>
    <w:p w14:paraId="0BE502E7" w14:textId="77777777" w:rsidR="00404551" w:rsidRDefault="00404551" w:rsidP="00404551">
      <w:pPr>
        <w:spacing w:line="480" w:lineRule="auto"/>
        <w:ind w:firstLine="720"/>
        <w:rPr>
          <w:rFonts w:ascii="Georgia" w:hAnsi="Georgia" w:cs="Times New Roman"/>
        </w:rPr>
      </w:pPr>
      <w:r>
        <w:rPr>
          <w:rFonts w:ascii="Georgia" w:hAnsi="Georgia" w:cs="Times New Roman"/>
        </w:rPr>
        <w:t xml:space="preserve">Nye looks at power as the ability to get what you want from others and soft power as a means of getting what you want through persuasion or attraction rather than more conventional means of force or payment. Nye’s concept of soft power works incredibly well with Waltz’s conception of structural realism. When states express most forms of power, they foster greater </w:t>
      </w:r>
      <w:r>
        <w:rPr>
          <w:rFonts w:ascii="Georgia" w:hAnsi="Georgia" w:cs="Times New Roman"/>
        </w:rPr>
        <w:lastRenderedPageBreak/>
        <w:t xml:space="preserve">resentment and insecurity abroad. Nye looks at coercion, force, and payment as elements of hard power and all as likely to cause irritation or fear in foreign affairs. Instead, soft power acts as a means of potentially escaping the security dilemma. Soft power is something that is built slowly over time, typically through the appreciation of culture, history, or values. When one state comes to admire another for their great music, advocation for peace over violence, and/or their heroism in the face of oppression, then the admirer becomes more likely to follow the other. In more realistic terms, blue jeans, rock and roll, and Coca-Cola are all as much a piece of American hegemony as the American dollar. Soft power can be an opportunity for states to increase their power on the world stage peacefully, and more relevantly to this paper, states use soft power to incentivize others to cooperate with them and form partnerships. </w:t>
      </w:r>
    </w:p>
    <w:p w14:paraId="7CC57E06" w14:textId="3089F11A" w:rsidR="00404551" w:rsidRPr="00104535" w:rsidRDefault="00404551" w:rsidP="00104535">
      <w:pPr>
        <w:spacing w:line="480" w:lineRule="auto"/>
        <w:ind w:firstLine="720"/>
        <w:rPr>
          <w:rFonts w:ascii="Georgia" w:hAnsi="Georgia" w:cs="Times New Roman"/>
        </w:rPr>
      </w:pPr>
      <w:r>
        <w:rPr>
          <w:rFonts w:ascii="Georgia" w:hAnsi="Georgia" w:cs="Times New Roman"/>
        </w:rPr>
        <w:t xml:space="preserve">Lastly, it would be a missed opportunity if a paper on green minerals and the energy transition did not make, to some degree, explicit the environmental theories driving American political economic policy. The vast majority of American climate policy and energy policy is driven by the theory of ecomodernism – a theory that essentially views technological advancement as </w:t>
      </w:r>
      <w:r>
        <w:rPr>
          <w:rFonts w:ascii="Georgia" w:hAnsi="Georgia" w:cs="Times New Roman"/>
          <w:i/>
          <w:iCs/>
        </w:rPr>
        <w:t>the</w:t>
      </w:r>
      <w:r>
        <w:rPr>
          <w:rFonts w:ascii="Georgia" w:hAnsi="Georgia" w:cs="Times New Roman"/>
        </w:rPr>
        <w:t xml:space="preserve"> solution to climate change. Max </w:t>
      </w:r>
      <w:proofErr w:type="spellStart"/>
      <w:r>
        <w:rPr>
          <w:rFonts w:ascii="Georgia" w:hAnsi="Georgia" w:cs="Times New Roman"/>
        </w:rPr>
        <w:t>Ajl’s</w:t>
      </w:r>
      <w:proofErr w:type="spellEnd"/>
      <w:r>
        <w:rPr>
          <w:rFonts w:ascii="Georgia" w:hAnsi="Georgia" w:cs="Times New Roman"/>
        </w:rPr>
        <w:t xml:space="preserve"> “Theories of Political Ecology: Monopoly Capital Against People and the Planet” builds much of this paper’s understanding of ecomodernism as well as a host of other environmental theories</w:t>
      </w:r>
      <w:r w:rsidR="00104535">
        <w:rPr>
          <w:rStyle w:val="FootnoteReference"/>
          <w:rFonts w:ascii="Georgia" w:hAnsi="Georgia" w:cs="Times New Roman"/>
        </w:rPr>
        <w:footnoteReference w:id="7"/>
      </w:r>
      <w:r>
        <w:rPr>
          <w:rFonts w:ascii="Georgia" w:hAnsi="Georgia" w:cs="Times New Roman"/>
        </w:rPr>
        <w:t xml:space="preserve">. </w:t>
      </w:r>
      <w:proofErr w:type="spellStart"/>
      <w:r>
        <w:rPr>
          <w:rFonts w:ascii="Georgia" w:hAnsi="Georgia" w:cs="Times New Roman"/>
        </w:rPr>
        <w:t>Ajl’s</w:t>
      </w:r>
      <w:proofErr w:type="spellEnd"/>
      <w:r>
        <w:rPr>
          <w:rFonts w:ascii="Georgia" w:hAnsi="Georgia" w:cs="Times New Roman"/>
        </w:rPr>
        <w:t xml:space="preserve"> main focus of study is typically the intersections between class, geography, and the environment (particularly food sovereignty in the Global South), so his assessment of ecomodernism is both an assessment and a critique. To him, ecomodernism looks to solve environmental issues by making as little structural change as possible. In other words, the conditions for the poor and people within the Global South are never addressed, and how societies source their energy remains discriminatory and unchanged. This criticism seems rather fitting considering that the bottom of the supply </w:t>
      </w:r>
      <w:r>
        <w:rPr>
          <w:rFonts w:ascii="Georgia" w:hAnsi="Georgia" w:cs="Times New Roman"/>
        </w:rPr>
        <w:lastRenderedPageBreak/>
        <w:t xml:space="preserve">chain for electric vehicles is another case of underpaid, oppressed people in a perpetually impoverished country. </w:t>
      </w:r>
    </w:p>
    <w:p w14:paraId="481CA96F" w14:textId="77777777" w:rsidR="00404551" w:rsidRDefault="00404551" w:rsidP="00FA3978">
      <w:pPr>
        <w:spacing w:after="0" w:line="360" w:lineRule="auto"/>
        <w:jc w:val="center"/>
        <w:textAlignment w:val="baseline"/>
        <w:rPr>
          <w:rFonts w:ascii="Georgia" w:eastAsia="Times New Roman" w:hAnsi="Georgia" w:cs="Times New Roman"/>
          <w:color w:val="000000"/>
        </w:rPr>
      </w:pPr>
    </w:p>
    <w:p w14:paraId="709B262A" w14:textId="77777777" w:rsidR="00404551" w:rsidRPr="00FE22F4" w:rsidRDefault="00404551" w:rsidP="00404551">
      <w:pPr>
        <w:jc w:val="center"/>
        <w:rPr>
          <w:rFonts w:ascii="Georgia" w:hAnsi="Georgia"/>
          <w:i/>
          <w:iCs/>
        </w:rPr>
      </w:pPr>
      <w:r w:rsidRPr="00FE22F4">
        <w:rPr>
          <w:rFonts w:ascii="Georgia" w:hAnsi="Georgia"/>
          <w:i/>
          <w:iCs/>
        </w:rPr>
        <w:t>LITERATURE REVIEW</w:t>
      </w:r>
    </w:p>
    <w:p w14:paraId="0B141438" w14:textId="77777777" w:rsidR="00404551" w:rsidRDefault="00404551" w:rsidP="00404551">
      <w:pPr>
        <w:jc w:val="center"/>
        <w:rPr>
          <w:rFonts w:ascii="Georgia" w:hAnsi="Georgia"/>
        </w:rPr>
      </w:pPr>
    </w:p>
    <w:p w14:paraId="1C585EAB" w14:textId="77777777" w:rsidR="00404551" w:rsidRDefault="00404551" w:rsidP="00404551">
      <w:pPr>
        <w:spacing w:line="480" w:lineRule="auto"/>
        <w:ind w:firstLine="720"/>
        <w:rPr>
          <w:rFonts w:ascii="Georgia" w:hAnsi="Georgia"/>
        </w:rPr>
      </w:pPr>
      <w:r>
        <w:rPr>
          <w:rFonts w:ascii="Georgia" w:hAnsi="Georgia"/>
        </w:rPr>
        <w:t xml:space="preserve">Two of the main concepts central to this paper are autonomy and resource insecurity, particularly in the case of energy. The literature around energy security, energy independence, or some term of that general ilk is both relatively young and not very standardized. As might be quickly apparent from the descriptions of other scholarly works, the scholarship on the minerals used in the production of renewable energy sources (and other associates) has not come to a full consensus on terminology. There doesn’t even seem to be a standard term used for the aforementioned minerals. There is one term that is worth really discussing – “critical raw minerals.” In the United States, the first list of “critical minerals” was drafted in the shortages of WWI. Critical minerals were defined in war time, as they are today, by a nation’s dependency on something which they could not readily access (usually because it wasn’t found within its own borders). </w:t>
      </w:r>
    </w:p>
    <w:p w14:paraId="0534940D" w14:textId="77777777" w:rsidR="00404551" w:rsidRDefault="00404551" w:rsidP="00404551">
      <w:pPr>
        <w:spacing w:line="480" w:lineRule="auto"/>
        <w:ind w:firstLine="720"/>
        <w:rPr>
          <w:rFonts w:ascii="Georgia" w:hAnsi="Georgia"/>
        </w:rPr>
      </w:pPr>
      <w:r>
        <w:rPr>
          <w:rFonts w:ascii="Georgia" w:hAnsi="Georgia"/>
        </w:rPr>
        <w:t>As an observational note, there is a noticeably shift within the literature on critical minerals that occurs around the year 2010. Scholarly works prior to 2010 typically either take a more scientific slant or are more focused on advocating for the implementation of renewable energy sources. Critical raw minerals (CRMs) weren’t really included in literature on resource competitions and hadn’t been analyzed as a source of geopolitical contention yet. This isn’t overly shocking when taken with the context of the 2010 Rare Earth crisis when China (then producer of 97% of the world’s rare earth minerals) cut its exports of rare earth minerals (REMs) by 40% and stopped all exports of REMs to Japan</w:t>
      </w:r>
      <w:r>
        <w:rPr>
          <w:rStyle w:val="FootnoteReference"/>
          <w:rFonts w:ascii="Georgia" w:hAnsi="Georgia"/>
        </w:rPr>
        <w:footnoteReference w:id="8"/>
      </w:r>
      <w:r>
        <w:rPr>
          <w:rFonts w:ascii="Georgia" w:hAnsi="Georgia"/>
        </w:rPr>
        <w:t xml:space="preserve">. After 2010, there is a noticeable </w:t>
      </w:r>
      <w:r>
        <w:rPr>
          <w:rFonts w:ascii="Georgia" w:hAnsi="Georgia"/>
        </w:rPr>
        <w:lastRenderedPageBreak/>
        <w:t xml:space="preserve">explosion of research papers and books over the implications of resource scarcity, and scholars and policymakers seemed to finally view Chinese monopoly of REMs as more problematic. As such, the papers written about critical raw minerals prior to 2010 are noticeably out-of-date in their analytic framework. </w:t>
      </w:r>
    </w:p>
    <w:p w14:paraId="4D20669A" w14:textId="253FA704" w:rsidR="00404551" w:rsidRDefault="00404551" w:rsidP="00404551">
      <w:pPr>
        <w:spacing w:line="480" w:lineRule="auto"/>
        <w:ind w:firstLine="720"/>
        <w:rPr>
          <w:rFonts w:ascii="Georgia" w:hAnsi="Georgia"/>
        </w:rPr>
      </w:pPr>
      <w:r>
        <w:rPr>
          <w:rFonts w:ascii="Georgia" w:hAnsi="Georgia"/>
        </w:rPr>
        <w:t xml:space="preserve">One of the most notable examples of this within the energy independence realm is the book </w:t>
      </w:r>
      <w:r>
        <w:rPr>
          <w:rFonts w:ascii="Georgia" w:hAnsi="Georgia"/>
          <w:i/>
          <w:iCs/>
        </w:rPr>
        <w:t>Energy Autonomy</w:t>
      </w:r>
      <w:r>
        <w:rPr>
          <w:rFonts w:ascii="Georgia" w:hAnsi="Georgia"/>
        </w:rPr>
        <w:t xml:space="preserve"> written by Dr. Hermann Scheer in 2006</w:t>
      </w:r>
      <w:r w:rsidR="00104535">
        <w:rPr>
          <w:rStyle w:val="FootnoteReference"/>
          <w:rFonts w:ascii="Georgia" w:hAnsi="Georgia"/>
        </w:rPr>
        <w:footnoteReference w:id="9"/>
      </w:r>
      <w:r>
        <w:rPr>
          <w:rFonts w:ascii="Georgia" w:hAnsi="Georgia"/>
        </w:rPr>
        <w:t xml:space="preserve">. Dr. Scheer’s description of what energy autonomy is and renewable energy sources in general is emblematic of the pre-rare earth crisis era. </w:t>
      </w:r>
      <w:r>
        <w:rPr>
          <w:rFonts w:ascii="Georgia" w:hAnsi="Georgia"/>
          <w:i/>
          <w:iCs/>
        </w:rPr>
        <w:t>Energy Autonomy</w:t>
      </w:r>
      <w:r>
        <w:rPr>
          <w:rFonts w:ascii="Georgia" w:hAnsi="Georgia"/>
        </w:rPr>
        <w:t xml:space="preserve"> is written as a means of advocating for the mass implementation of renewables and as a means of dispelling many fears and myths about non-conventional (non-fossil fuel) energy sources. This book seems to live in a completely different world from </w:t>
      </w:r>
      <w:r w:rsidR="00E670E9">
        <w:rPr>
          <w:rFonts w:ascii="Georgia" w:hAnsi="Georgia"/>
        </w:rPr>
        <w:t>the post</w:t>
      </w:r>
      <w:r>
        <w:rPr>
          <w:rFonts w:ascii="Georgia" w:hAnsi="Georgia"/>
        </w:rPr>
        <w:t xml:space="preserve">-2010 scholarship under the same topic title and shows how much the dialogue has changed on green energy autonomy. This book was called “Energy Autonomy” to emulate Dr. Scheer’s argument that German energy could be produced locally and more economically efficiently by bypassing the long supply chains for foreign oil. Numerous discoveries since 2006 have meant that Dr. Scheer’s work has not aged particularly well, but they were extremely effective in convincing the German government to invest more heavily in renewables. </w:t>
      </w:r>
    </w:p>
    <w:p w14:paraId="6F0CFE67" w14:textId="2512D8E1" w:rsidR="00404551" w:rsidRDefault="00404551" w:rsidP="00404551">
      <w:pPr>
        <w:spacing w:line="480" w:lineRule="auto"/>
        <w:ind w:firstLine="720"/>
        <w:rPr>
          <w:rFonts w:ascii="Georgia" w:hAnsi="Georgia"/>
        </w:rPr>
      </w:pPr>
      <w:r>
        <w:rPr>
          <w:rFonts w:ascii="Georgia" w:hAnsi="Georgia"/>
        </w:rPr>
        <w:t xml:space="preserve">There is also a noticeable shift within the literature after the inauguration of President Donald Trump. The 2016 Trump administration enacted a distinct departure in the basic approach to US-China relations that have remained consistent through the Biden administration. Weixing Hu’s article “The United States, China, and the Indo-Pacific Strategy: The Rise and Return of Strategic Competition” articulates the context and depth of this </w:t>
      </w:r>
      <w:r>
        <w:rPr>
          <w:rFonts w:ascii="Georgia" w:hAnsi="Georgia"/>
        </w:rPr>
        <w:lastRenderedPageBreak/>
        <w:t>departure exceptionally well</w:t>
      </w:r>
      <w:r w:rsidR="00104535">
        <w:rPr>
          <w:rStyle w:val="FootnoteReference"/>
          <w:rFonts w:ascii="Georgia" w:hAnsi="Georgia"/>
        </w:rPr>
        <w:footnoteReference w:id="10"/>
      </w:r>
      <w:r>
        <w:rPr>
          <w:rFonts w:ascii="Georgia" w:hAnsi="Georgia"/>
        </w:rPr>
        <w:t xml:space="preserve">. By 2017, the Trump administration had recentered the US-China dynamic around competition rather than cooperation and had incorporated a great power competition with China into the Trump national security strategy. Hu’s article helps to describe how different this approach was compared to past presidents as well as give context to the shift in the American framing of China that has rippled across the scholarship. China became a matter of national security, and a zero-sum understanding of power defines how a lot of post-2017 literature and policy examines the US-China relationship. There are four works from this era that were particularly formative in the framework of this paper. </w:t>
      </w:r>
    </w:p>
    <w:p w14:paraId="6088BB2A" w14:textId="666FA8EE" w:rsidR="00404551" w:rsidRDefault="00404551" w:rsidP="00404551">
      <w:pPr>
        <w:spacing w:line="480" w:lineRule="auto"/>
        <w:ind w:firstLine="720"/>
        <w:rPr>
          <w:rFonts w:ascii="Georgia" w:hAnsi="Georgia" w:cs="Times New Roman"/>
        </w:rPr>
      </w:pPr>
      <w:r>
        <w:rPr>
          <w:rFonts w:ascii="Georgia" w:hAnsi="Georgia"/>
        </w:rPr>
        <w:t>First and foremost, Frank Umbach’s paper “</w:t>
      </w:r>
      <w:r>
        <w:rPr>
          <w:rFonts w:ascii="Georgia" w:hAnsi="Georgia" w:cs="Times New Roman"/>
        </w:rPr>
        <w:t>The New ‘Rare Metal Age’ New Challenges and Implications of Critical Raw Materials Supply Security in the 21</w:t>
      </w:r>
      <w:r>
        <w:rPr>
          <w:rFonts w:ascii="Georgia" w:hAnsi="Georgia" w:cs="Times New Roman"/>
          <w:vertAlign w:val="superscript"/>
        </w:rPr>
        <w:t>st</w:t>
      </w:r>
      <w:r>
        <w:rPr>
          <w:rFonts w:ascii="Georgia" w:hAnsi="Georgia" w:cs="Times New Roman"/>
        </w:rPr>
        <w:t xml:space="preserve"> Century” formed the basis for the conception of an upcoming, mineral-dependent era</w:t>
      </w:r>
      <w:r w:rsidR="00104535">
        <w:rPr>
          <w:rStyle w:val="FootnoteReference"/>
          <w:rFonts w:ascii="Georgia" w:hAnsi="Georgia" w:cs="Times New Roman"/>
        </w:rPr>
        <w:footnoteReference w:id="11"/>
      </w:r>
      <w:r>
        <w:rPr>
          <w:rFonts w:ascii="Georgia" w:hAnsi="Georgia" w:cs="Times New Roman"/>
        </w:rPr>
        <w:t xml:space="preserve">. Umbach frames the supply and demand of critical rare minerals through his framework of “supply chain security.” Compared to the other works that built the framework of this paper, Umbach takes a more economic-based approach by looking at CRMs through a lens of supply and demand. As such, his explanation for why the Chinese government and businesses have such a high stake in the CRM market is due to their different standards and efficiency of business. Umbach describes a phenomenon of “social licenses for sustainable sourcing” by which Western nations are obligated by their population’s expectations to make their mines safer for the environment and their laborers. Comparatively, the Chinese government and Chinese businesses don’t have this same pressure and can open mining operations as quickly as possible, making larger profits in shorter amounts of time. </w:t>
      </w:r>
    </w:p>
    <w:p w14:paraId="78811CEF" w14:textId="77777777" w:rsidR="00404551" w:rsidRDefault="00404551" w:rsidP="00404551">
      <w:pPr>
        <w:spacing w:line="480" w:lineRule="auto"/>
        <w:ind w:firstLine="720"/>
        <w:rPr>
          <w:rFonts w:ascii="Georgia" w:hAnsi="Georgia" w:cs="Times New Roman"/>
        </w:rPr>
      </w:pPr>
      <w:r>
        <w:rPr>
          <w:rFonts w:ascii="Georgia" w:hAnsi="Georgia" w:cs="Times New Roman"/>
        </w:rPr>
        <w:t xml:space="preserve">Umbach’s findings from his economic lens and his description of a new era of energy are worth their weight in paper, but there is one key area where this paper will diverge from his </w:t>
      </w:r>
      <w:r>
        <w:rPr>
          <w:rFonts w:ascii="Georgia" w:hAnsi="Georgia" w:cs="Times New Roman"/>
        </w:rPr>
        <w:lastRenderedPageBreak/>
        <w:t xml:space="preserve">framework. Though Umbach does note that Chinese business open more dangerous mines and pay local workers less, he does seem to believe that, for nations in the Global South, selling their minerals will be an economic and geopolitical net positive. The findings of this paper directly conflict with this assumption as the DRC has not significantly benefited from its mineral resources, but rather it has been exploited by foreign powers using economic leverage to strike unbalanced agreements. </w:t>
      </w:r>
    </w:p>
    <w:p w14:paraId="0C40057F" w14:textId="46D20152" w:rsidR="00404551" w:rsidRDefault="00404551" w:rsidP="00404551">
      <w:pPr>
        <w:spacing w:line="480" w:lineRule="auto"/>
        <w:ind w:firstLine="720"/>
        <w:rPr>
          <w:rFonts w:ascii="Georgia" w:hAnsi="Georgia"/>
        </w:rPr>
      </w:pPr>
      <w:r>
        <w:rPr>
          <w:rFonts w:ascii="Georgia" w:hAnsi="Georgia" w:cs="Times New Roman"/>
        </w:rPr>
        <w:t xml:space="preserve">The second formative paper is “The Geopolitics of Critical Minerals” by Sophia </w:t>
      </w:r>
      <w:r>
        <w:rPr>
          <w:rFonts w:ascii="Georgia" w:hAnsi="Georgia"/>
        </w:rPr>
        <w:t>Kalantzakos</w:t>
      </w:r>
      <w:r w:rsidR="00AC3726">
        <w:rPr>
          <w:rStyle w:val="FootnoteReference"/>
          <w:rFonts w:ascii="Georgia" w:hAnsi="Georgia"/>
        </w:rPr>
        <w:footnoteReference w:id="12"/>
      </w:r>
      <w:r>
        <w:rPr>
          <w:rFonts w:ascii="Georgia" w:hAnsi="Georgia"/>
        </w:rPr>
        <w:t xml:space="preserve">. Kalantzakos’s paper helps to build more of a political framework for the understanding energy security and green minerals. One of her main arguments is that most governments have not built cohesive, viable resource strategies. Her paper is one of the few that takes a broader geopolitical lens to how a global competition for green minerals will affect international relations – specifically as more traditional industrial actors (the US, the EU, and Japan) shift towards taking a more security-based lens to CRMs. Kalantzakos posits that politics, not geological supply, is one of the major constraining factors on access to CRMs as political disagreements between supply and demand countries have and continue to limit supply via trade tariffs. In response, traditional consumers (e.g. the US or the EU) have moved to make their energy sectors more independent in reaction to their suppliers (AKA China). This fundamental understanding of the push for energy independence as reactionary is highly useful for this paper in its description of American relations with the DRC and China. She also expands the scope of CRMs and green energy to include a broader “green economy” that consists not only of the renewable energy sector but also support sectors within the tech field. Her green economy is a way of expanding conceptions of how deep an energy transition will be and lends itself towards having a fuller economic and political understanding of all the hands on the wheel. </w:t>
      </w:r>
    </w:p>
    <w:p w14:paraId="0F1F989B" w14:textId="07C8EC57" w:rsidR="00404551" w:rsidRDefault="00404551" w:rsidP="00404551">
      <w:pPr>
        <w:spacing w:line="480" w:lineRule="auto"/>
        <w:ind w:firstLine="720"/>
        <w:rPr>
          <w:rFonts w:ascii="Georgia" w:hAnsi="Georgia"/>
        </w:rPr>
      </w:pPr>
      <w:r>
        <w:rPr>
          <w:rFonts w:ascii="Georgia" w:hAnsi="Georgia"/>
        </w:rPr>
        <w:lastRenderedPageBreak/>
        <w:t>Christian-Geraud Neema Byamungu’s paper “Blue Metal Blues: Cobalt, the Democratic Republic of Congo, and China” also takes a political lens but tightens the scope to take in more nuance of Congolese, Chinese, and American domestic politics</w:t>
      </w:r>
      <w:r w:rsidR="00AC3726">
        <w:rPr>
          <w:rStyle w:val="FootnoteReference"/>
          <w:rFonts w:ascii="Georgia" w:hAnsi="Georgia"/>
        </w:rPr>
        <w:footnoteReference w:id="13"/>
      </w:r>
      <w:r>
        <w:rPr>
          <w:rFonts w:ascii="Georgia" w:hAnsi="Georgia"/>
        </w:rPr>
        <w:t>. Of the current literature on cobalt in the DRC, few take the Congolese political scene and history into their analysis when trying to explain Congolese-Chinese relations and favor either zooming into the small scale of injustices faced by Congolese people or simply give a hand waive of “the DRC started making deals with China because they weren’t a former Imperial power”. Both of those perspectives have some validity but neither captures the state-level politics and economics the way Neema Byamungu does. H</w:t>
      </w:r>
      <w:r w:rsidR="00E670E9">
        <w:rPr>
          <w:rFonts w:ascii="Georgia" w:hAnsi="Georgia"/>
        </w:rPr>
        <w:t>e</w:t>
      </w:r>
      <w:r>
        <w:rPr>
          <w:rFonts w:ascii="Georgia" w:hAnsi="Georgia"/>
        </w:rPr>
        <w:t xml:space="preserve"> describes the Congolese business environment as extremely opaque and frequently racked with political corruption – this is a problem for Western countries who need more transparency in business to satisfy domestic Western markets but isn’t a problem for the Chinese. The real value of Neema Byamungu’s paper comes from his adept characterization of the DRC-China relationship and why these two work together. He also analyzes the Congolese-Chinese relationship through the more recent shift in Congolese politics that mirrored the national souring towards Chinese investment. Neema Byamungu’s description of the nature of the relationship between the DRC and China (and, to a lesser extent, the US) forms the basis for this paper’s characterization of these relationships. </w:t>
      </w:r>
    </w:p>
    <w:p w14:paraId="4A2E2004" w14:textId="60A6D476" w:rsidR="00404551" w:rsidRDefault="00404551" w:rsidP="00404551">
      <w:pPr>
        <w:spacing w:line="480" w:lineRule="auto"/>
        <w:ind w:firstLine="720"/>
        <w:rPr>
          <w:rFonts w:ascii="Georgia" w:hAnsi="Georgia"/>
        </w:rPr>
      </w:pPr>
      <w:r>
        <w:rPr>
          <w:rFonts w:ascii="Georgia" w:hAnsi="Georgia"/>
        </w:rPr>
        <w:t xml:space="preserve">The final work the rounds out the framework of this paper is Sharon Burke and Rachel Zimmerman’s book </w:t>
      </w:r>
      <w:r>
        <w:rPr>
          <w:rFonts w:ascii="Georgia" w:hAnsi="Georgia"/>
          <w:i/>
          <w:iCs/>
        </w:rPr>
        <w:t>The Global Race for Critical Minerals in the Deep Ocean: The Cursed Treasure in Davy Jones’ Locker</w:t>
      </w:r>
      <w:r w:rsidR="00AC3726">
        <w:rPr>
          <w:rStyle w:val="FootnoteReference"/>
          <w:rFonts w:ascii="Georgia" w:hAnsi="Georgia"/>
          <w:i/>
          <w:iCs/>
        </w:rPr>
        <w:footnoteReference w:id="14"/>
      </w:r>
      <w:r>
        <w:rPr>
          <w:rFonts w:ascii="Georgia" w:hAnsi="Georgia"/>
        </w:rPr>
        <w:t xml:space="preserve">. Much like this paper, Burke and Zimmerman’s book stands as a case study of a sub-section of green minerals – in this case, minerals mined in the deep sea. This book takes a deeper look into the process of opening mines, securing contracts, and trying to keep mines profitable and, as such, highlights a very important difference between how the </w:t>
      </w:r>
      <w:r>
        <w:rPr>
          <w:rFonts w:ascii="Georgia" w:hAnsi="Georgia"/>
        </w:rPr>
        <w:lastRenderedPageBreak/>
        <w:t>West and how China do business. Similarly to Neema Byamungu’s characterization of China’s economic culture, Burke and Zimmerman highlight the speed and ease by which Chinese companies can secure contracts and open profitable mines. Without worrying about as many environmental restraints or labor expectations and with greater government subsidies, Chinese mining companies play be effectively different rules from Western ones. This unbalanced playing field is used in this paper to describe how and why Chinese firms are so successful in acquiring mineral monopolies.</w:t>
      </w:r>
    </w:p>
    <w:p w14:paraId="5326D8FB" w14:textId="77777777" w:rsidR="00404551" w:rsidRDefault="00404551" w:rsidP="00404551">
      <w:pPr>
        <w:spacing w:after="0" w:line="360" w:lineRule="auto"/>
        <w:textAlignment w:val="baseline"/>
        <w:rPr>
          <w:rFonts w:ascii="Georgia" w:eastAsia="Times New Roman" w:hAnsi="Georgia" w:cs="Times New Roman"/>
          <w:color w:val="000000"/>
        </w:rPr>
      </w:pPr>
    </w:p>
    <w:p w14:paraId="1D099C8E" w14:textId="77777777" w:rsidR="00404551" w:rsidRDefault="00404551" w:rsidP="00FA3978">
      <w:pPr>
        <w:spacing w:after="0" w:line="360" w:lineRule="auto"/>
        <w:jc w:val="center"/>
        <w:textAlignment w:val="baseline"/>
        <w:rPr>
          <w:rFonts w:ascii="Georgia" w:eastAsia="Times New Roman" w:hAnsi="Georgia" w:cs="Times New Roman"/>
          <w:color w:val="000000"/>
        </w:rPr>
      </w:pPr>
    </w:p>
    <w:p w14:paraId="16B47F86" w14:textId="314B56B2" w:rsidR="00FA3978" w:rsidRPr="00FE22F4" w:rsidRDefault="00404551" w:rsidP="00FA3978">
      <w:pPr>
        <w:spacing w:after="0" w:line="360" w:lineRule="auto"/>
        <w:jc w:val="center"/>
        <w:textAlignment w:val="baseline"/>
        <w:rPr>
          <w:rFonts w:ascii="Georgia" w:eastAsia="Times New Roman" w:hAnsi="Georgia" w:cs="Times New Roman"/>
          <w:i/>
          <w:iCs/>
          <w:color w:val="000000"/>
        </w:rPr>
      </w:pPr>
      <w:r w:rsidRPr="00FE22F4">
        <w:rPr>
          <w:rFonts w:ascii="Georgia" w:eastAsia="Times New Roman" w:hAnsi="Georgia" w:cs="Times New Roman"/>
          <w:i/>
          <w:iCs/>
          <w:color w:val="000000"/>
        </w:rPr>
        <w:t>METHODS AND SOURCES</w:t>
      </w:r>
    </w:p>
    <w:p w14:paraId="258CF739" w14:textId="77777777" w:rsidR="00FA3978" w:rsidRDefault="00FA3978" w:rsidP="00FA3978">
      <w:pPr>
        <w:spacing w:after="0" w:line="360" w:lineRule="auto"/>
        <w:textAlignment w:val="baseline"/>
        <w:rPr>
          <w:rFonts w:ascii="Georgia" w:eastAsia="Times New Roman" w:hAnsi="Georgia" w:cs="Times New Roman"/>
          <w:color w:val="000000"/>
        </w:rPr>
      </w:pPr>
    </w:p>
    <w:p w14:paraId="2BF4FA62" w14:textId="77777777" w:rsidR="00FA3978" w:rsidRDefault="00FA3978" w:rsidP="00FA3978">
      <w:pPr>
        <w:spacing w:line="480" w:lineRule="auto"/>
        <w:ind w:firstLine="720"/>
        <w:rPr>
          <w:rFonts w:ascii="Georgia" w:eastAsia="Times New Roman" w:hAnsi="Georgia" w:cs="Times New Roman"/>
          <w:color w:val="000000"/>
        </w:rPr>
      </w:pPr>
      <w:r>
        <w:rPr>
          <w:rFonts w:ascii="Georgia" w:eastAsia="Times New Roman" w:hAnsi="Georgia" w:cs="Times New Roman"/>
          <w:color w:val="000000"/>
        </w:rPr>
        <w:t>Between each of the three major actors within this paper, there is quite a bit of variety in the availability of certain types of sources and that has shaped the analysis this paper contributed. Public opinion surveys were used to capture the American and Congolese public’s perspective as they seemed to have a more noticeable impact on their respective governments’ actions. One actor that is subsequently absent in this analysis is the Chinese public. Reliable public opinion surveys in English on how the Chinese public views US-China relations or Chinese relationships in Africa were extremely scarce and thus restricted the visible role of the Chinese public in shaping Chinese policy. In that same vein, there is a distinctive limitation on how well this paper can characterize the domestic landscapes within the DRC and China as the vast majority of sources on their domestic political economic scenes are in French and Chinese, respectively. This paper’s language limitations constricted the use of more Chinese or Congolese governmental documents, speeches, or health reports. The comparable availability of these sorts of sources is why the American analysis includes more pieces of legislation, public speeches, and the like, so the analysis of the domestic American landscape is more robust.</w:t>
      </w:r>
    </w:p>
    <w:p w14:paraId="70364FAD" w14:textId="77777777" w:rsidR="00FA3978" w:rsidRDefault="00FA3978" w:rsidP="00FA3978">
      <w:pPr>
        <w:spacing w:line="480" w:lineRule="auto"/>
        <w:rPr>
          <w:rFonts w:ascii="Georgia" w:eastAsia="Times New Roman" w:hAnsi="Georgia" w:cs="Times New Roman"/>
          <w:color w:val="000000"/>
        </w:rPr>
      </w:pPr>
      <w:r>
        <w:rPr>
          <w:rFonts w:ascii="Georgia" w:eastAsia="Times New Roman" w:hAnsi="Georgia" w:cs="Times New Roman"/>
          <w:color w:val="000000"/>
        </w:rPr>
        <w:lastRenderedPageBreak/>
        <w:tab/>
        <w:t xml:space="preserve">Additionally, the Democratic Republic of Congo was even more difficult to find sources with respect to the domestic political economic climate and scholarly works that take a more nuanced approach to Congolese power dynamics. China is a very active subject of debate in the United States, so there are more English sources on its domestic climate and how its power relates to the US. Comparatively, the DRC is a much smaller topic amongst scholars and policy experts. The dominant narrative about the DRC is centered on its poverty and looks at it as a prime example of a resource curse. There were far fewer </w:t>
      </w:r>
      <w:proofErr w:type="gramStart"/>
      <w:r>
        <w:rPr>
          <w:rFonts w:ascii="Georgia" w:eastAsia="Times New Roman" w:hAnsi="Georgia" w:cs="Times New Roman"/>
          <w:color w:val="000000"/>
        </w:rPr>
        <w:t>academic</w:t>
      </w:r>
      <w:proofErr w:type="gramEnd"/>
      <w:r>
        <w:rPr>
          <w:rFonts w:ascii="Georgia" w:eastAsia="Times New Roman" w:hAnsi="Georgia" w:cs="Times New Roman"/>
          <w:color w:val="000000"/>
        </w:rPr>
        <w:t xml:space="preserve"> or policy research works that take the DRC as a serious and relevant political actor, so the scholarly framework for the Congolese analysis is somewhat thinner than the framework for China or the United States.  </w:t>
      </w:r>
    </w:p>
    <w:p w14:paraId="6E9B8406" w14:textId="421F67A0" w:rsidR="00FA3978" w:rsidRDefault="00FA3978" w:rsidP="00FA3978">
      <w:pPr>
        <w:spacing w:line="480" w:lineRule="auto"/>
        <w:ind w:firstLine="720"/>
        <w:rPr>
          <w:rFonts w:ascii="Georgia" w:eastAsia="Times New Roman" w:hAnsi="Georgia" w:cs="Times New Roman"/>
          <w:color w:val="000000"/>
        </w:rPr>
      </w:pPr>
      <w:r>
        <w:rPr>
          <w:rFonts w:ascii="Georgia" w:eastAsia="Times New Roman" w:hAnsi="Georgia" w:cs="Times New Roman"/>
          <w:color w:val="000000"/>
        </w:rPr>
        <w:t>Investigations by independent journalists, activist groups, and international organizations proved to be very good sources for finding original quotes from Congolese or Chinese officials and the Congolese public. These sorts of sources usually take a backstage to more scholarly works in academia, but in this paper, independent journalists and boots-on-the-ground activists take a more noticeable role. Larger scholarly works are used to build more conceptual frameworks, and independent journalists and boots-on-the-ground activists help to fill in with current events or trends that scholars struggle to cover. As the last point of note, there is a substantial amount of economic data and even some economic scholarly framework that is used for this paper. In an investigation of the power dynamics of the Chinese monopoly over Congolese cobalt, the line of separation between political and economic power, incentives, insecurities, etc. is so blurred as to be become almost irrelevant. This paper uses a mixture of political, diplomatic, and economic evidence to build up a larger discussion on power.</w:t>
      </w:r>
    </w:p>
    <w:p w14:paraId="5F24D4D6" w14:textId="77777777" w:rsidR="00FA3978" w:rsidRDefault="00FA3978" w:rsidP="00FA3978">
      <w:pPr>
        <w:spacing w:line="480" w:lineRule="auto"/>
        <w:rPr>
          <w:rFonts w:ascii="Georgia" w:eastAsia="Times New Roman" w:hAnsi="Georgia" w:cs="Times New Roman"/>
          <w:color w:val="000000"/>
        </w:rPr>
      </w:pPr>
    </w:p>
    <w:p w14:paraId="21934030" w14:textId="77777777" w:rsidR="00404551" w:rsidRPr="00FE22F4" w:rsidRDefault="00404551" w:rsidP="00404551">
      <w:pPr>
        <w:spacing w:line="480" w:lineRule="auto"/>
        <w:jc w:val="center"/>
        <w:rPr>
          <w:rFonts w:ascii="Georgia" w:hAnsi="Georgia"/>
          <w:i/>
          <w:iCs/>
        </w:rPr>
      </w:pPr>
      <w:r w:rsidRPr="00FE22F4">
        <w:rPr>
          <w:rFonts w:ascii="Georgia" w:hAnsi="Georgia"/>
          <w:i/>
          <w:iCs/>
        </w:rPr>
        <w:t>THE COBALT TRADE</w:t>
      </w:r>
    </w:p>
    <w:p w14:paraId="291247D5" w14:textId="77777777" w:rsidR="00404551" w:rsidRDefault="00404551" w:rsidP="00404551">
      <w:pPr>
        <w:spacing w:line="480" w:lineRule="auto"/>
        <w:rPr>
          <w:rFonts w:ascii="Georgia" w:hAnsi="Georgia"/>
        </w:rPr>
      </w:pPr>
      <w:r>
        <w:rPr>
          <w:rFonts w:ascii="Georgia" w:hAnsi="Georgia"/>
        </w:rPr>
        <w:tab/>
        <w:t xml:space="preserve">Before jumping into the complex dynamics between the DRC, China, and the United States, it is important to understand the actual cobalt supply chain and what that entails. The </w:t>
      </w:r>
      <w:r>
        <w:rPr>
          <w:rFonts w:ascii="Georgia" w:hAnsi="Georgia"/>
        </w:rPr>
        <w:lastRenderedPageBreak/>
        <w:t>U.S. Geological Survey reports each year on the world’s many minerals, where they are mined, who they are sold to, and more. Each year, they estimate how much cobalt is mined in the DRC and how much of the world’s supply it accounts for. Though that percentage tends to vary year to year depending on production, the DRC produced 130,000 MT of the world’s 190,000 total MT of cobalt mined in 2022 (approximately 70%)</w:t>
      </w:r>
      <w:r>
        <w:rPr>
          <w:rStyle w:val="FootnoteReference"/>
          <w:rFonts w:ascii="Georgia" w:hAnsi="Georgia"/>
        </w:rPr>
        <w:footnoteReference w:id="15"/>
      </w:r>
      <w:r>
        <w:rPr>
          <w:rFonts w:ascii="Georgia" w:hAnsi="Georgia"/>
        </w:rPr>
        <w:t>. Though cobalt can be used in smaller applications as catalysts within the oil industry or in paint, the vast majority of cobalt demand is driven by its use in lithium-ion batteries. These batteries have been popular for their use in phones, laptops, jet turbines, rocket engines, and other pieces of smart technology, but the lithium-ion batteries used to power electric cars is driving cobalt consumption</w:t>
      </w:r>
      <w:r>
        <w:rPr>
          <w:rStyle w:val="FootnoteReference"/>
          <w:rFonts w:ascii="Georgia" w:hAnsi="Georgia"/>
        </w:rPr>
        <w:footnoteReference w:id="16"/>
      </w:r>
      <w:r>
        <w:rPr>
          <w:rFonts w:ascii="Georgia" w:hAnsi="Georgia"/>
        </w:rPr>
        <w:t xml:space="preserve">. </w:t>
      </w:r>
    </w:p>
    <w:p w14:paraId="3D5A7A6A" w14:textId="77777777" w:rsidR="00404551" w:rsidRDefault="00404551" w:rsidP="00404551">
      <w:pPr>
        <w:spacing w:line="480" w:lineRule="auto"/>
        <w:rPr>
          <w:rFonts w:ascii="Georgia" w:hAnsi="Georgia"/>
        </w:rPr>
      </w:pPr>
      <w:r>
        <w:rPr>
          <w:rFonts w:ascii="Georgia" w:hAnsi="Georgia"/>
        </w:rPr>
        <w:tab/>
        <w:t>The cobalt in the Democratic Republic of Congo is unearthed in two types of mines and the vast majority is sold, either immediately or eventually to China. The DRC has about 19 major industrial mines that produce the vast majority of its cobalt. Industrial mines are often owned by large foreign mining companies that have formal contracts with Gecamines, the state-owned mining company, and are beholden to stricter labor laws under the Congolese Mining Code</w:t>
      </w:r>
      <w:r>
        <w:rPr>
          <w:rStyle w:val="FootnoteReference"/>
          <w:rFonts w:ascii="Georgia" w:hAnsi="Georgia"/>
        </w:rPr>
        <w:footnoteReference w:id="17"/>
      </w:r>
      <w:r>
        <w:rPr>
          <w:rFonts w:ascii="Georgia" w:hAnsi="Georgia"/>
        </w:rPr>
        <w:t>. Under the Congolese mining code, these mines are subject to inspection and are required to have a “child and pregnant woman-free” workforce</w:t>
      </w:r>
      <w:r>
        <w:rPr>
          <w:rStyle w:val="FootnoteReference"/>
          <w:rFonts w:ascii="Georgia" w:hAnsi="Georgia"/>
        </w:rPr>
        <w:footnoteReference w:id="18"/>
      </w:r>
      <w:r>
        <w:rPr>
          <w:rFonts w:ascii="Georgia" w:hAnsi="Georgia"/>
        </w:rPr>
        <w:t xml:space="preserve">. Compared to the “artisanal” mines contracted to individuals or small companies, industrial mines usually have marginally better working conditions and somewhat better pay. The major concerns coming from these mines are ongoing issues with pollution, human health impacts, and still abysmal working conditions. </w:t>
      </w:r>
    </w:p>
    <w:p w14:paraId="53170BA6" w14:textId="7F3D01C3" w:rsidR="00404551" w:rsidRDefault="00404551" w:rsidP="00404551">
      <w:pPr>
        <w:spacing w:line="480" w:lineRule="auto"/>
        <w:ind w:firstLine="720"/>
        <w:rPr>
          <w:rFonts w:ascii="Georgia" w:hAnsi="Georgia"/>
        </w:rPr>
      </w:pPr>
      <w:r>
        <w:rPr>
          <w:rFonts w:ascii="Georgia" w:hAnsi="Georgia"/>
        </w:rPr>
        <w:t xml:space="preserve">U.K.-based corporate watchdog Rights and Accountability in Development (RAID) and Congo-based African Resource Watch (AFREWATCH) conducted 170 interviews with locals living around five industrial cobalt mines in Kolwezi, Congo. Locals were extremely concerned </w:t>
      </w:r>
      <w:r>
        <w:rPr>
          <w:rFonts w:ascii="Georgia" w:hAnsi="Georgia"/>
        </w:rPr>
        <w:lastRenderedPageBreak/>
        <w:t>lack of clean water for drinking or hygiene, reported high numbers of birth defects and issues with reproductive health, more skin diseases (especially among children), and sharply declining crop yields</w:t>
      </w:r>
      <w:r>
        <w:rPr>
          <w:rStyle w:val="FootnoteReference"/>
          <w:rFonts w:ascii="Georgia" w:hAnsi="Georgia"/>
        </w:rPr>
        <w:footnoteReference w:id="19"/>
      </w:r>
      <w:r>
        <w:rPr>
          <w:rFonts w:ascii="Georgia" w:hAnsi="Georgia"/>
        </w:rPr>
        <w:t>. The University of Lubumbashi’s Toxicology and Environmental Department conducted research on the four major rivers that supply Kolwezi’s water and found them all to be highly acidic from industrial pollution</w:t>
      </w:r>
      <w:r>
        <w:rPr>
          <w:rStyle w:val="FootnoteReference"/>
          <w:rFonts w:ascii="Georgia" w:hAnsi="Georgia"/>
        </w:rPr>
        <w:footnoteReference w:id="20"/>
      </w:r>
      <w:r>
        <w:rPr>
          <w:rFonts w:ascii="Georgia" w:hAnsi="Georgia"/>
        </w:rPr>
        <w:t>. All of these rivers were too toxic to hold fish and had to be avoided due to potential impacts on human and animal health. Industrial mines around the country have been under heavy fire by locals (and to a lesser degree, the Congolese Health Ministry and World Health Organization) for issues with harmful chemicals polluting water supplies and heavy metals infecting young children. Locals living near these mines are all at risk for their health and their livelihoods, and none more</w:t>
      </w:r>
      <w:r w:rsidR="00E670E9">
        <w:rPr>
          <w:rFonts w:ascii="Georgia" w:hAnsi="Georgia"/>
        </w:rPr>
        <w:t xml:space="preserve"> </w:t>
      </w:r>
      <w:r>
        <w:rPr>
          <w:rFonts w:ascii="Georgia" w:hAnsi="Georgia"/>
        </w:rPr>
        <w:t>so than the miners themselves.</w:t>
      </w:r>
    </w:p>
    <w:p w14:paraId="3626C2A9" w14:textId="77777777" w:rsidR="00404551" w:rsidRDefault="00404551" w:rsidP="00404551">
      <w:pPr>
        <w:spacing w:line="480" w:lineRule="auto"/>
        <w:ind w:firstLine="720"/>
        <w:rPr>
          <w:rFonts w:ascii="Georgia" w:hAnsi="Georgia"/>
        </w:rPr>
      </w:pPr>
      <w:r>
        <w:rPr>
          <w:rFonts w:ascii="Georgia" w:hAnsi="Georgia"/>
        </w:rPr>
        <w:t>Though industrial mines do have stricter labor guidelines than artisanal mines, labor laws are not well enforced and are frankly too low to begin with. Congolese labor laws are shirked by mining companies who contract over half of their miners for third-party companies, and miners interviewed at the largest cobalt mines in the world report receiving below the minimum wage, degrading treatment, discrimination and racism, violence, excessive work hours, and disregard for basic human health</w:t>
      </w:r>
      <w:r>
        <w:rPr>
          <w:rStyle w:val="FootnoteReference"/>
          <w:rFonts w:ascii="Georgia" w:hAnsi="Georgia"/>
        </w:rPr>
        <w:footnoteReference w:id="21"/>
      </w:r>
      <w:r>
        <w:rPr>
          <w:rFonts w:ascii="Georgia" w:hAnsi="Georgia"/>
        </w:rPr>
        <w:t xml:space="preserve">. Combined with the rising cost of living in mining towns and industrial pollution, its’ not a stretch to say that these mines are literally suffocating the people that live and work there. Unfortunately, it’s still true that working in industrial mines is usually still safer than artisanal mines. “Artisanal mines” are mines owned by individuals or small companies, some of whom mine legally and receive government permits and some who do not. Despite how brutal the mining industry is to work in, miners do make better wages than most Congolese. Most artisanal miners make $3-$4 per day in a country where over 60% of the </w:t>
      </w:r>
      <w:r>
        <w:rPr>
          <w:rFonts w:ascii="Georgia" w:hAnsi="Georgia"/>
        </w:rPr>
        <w:lastRenderedPageBreak/>
        <w:t>population lives in poverty on less than $2 a day</w:t>
      </w:r>
      <w:r>
        <w:rPr>
          <w:rStyle w:val="FootnoteReference"/>
          <w:rFonts w:ascii="Georgia" w:hAnsi="Georgia"/>
        </w:rPr>
        <w:footnoteReference w:id="22"/>
      </w:r>
      <w:r>
        <w:rPr>
          <w:rFonts w:ascii="Georgia" w:hAnsi="Georgia"/>
        </w:rPr>
        <w:t>. The relatively higher wages draw in thousands of people despite the industry’s bloody reputation.</w:t>
      </w:r>
    </w:p>
    <w:p w14:paraId="0806A1B1" w14:textId="77777777" w:rsidR="00404551" w:rsidRDefault="00404551" w:rsidP="00404551">
      <w:pPr>
        <w:spacing w:line="480" w:lineRule="auto"/>
        <w:ind w:firstLine="720"/>
        <w:rPr>
          <w:rFonts w:ascii="Georgia" w:hAnsi="Georgia"/>
        </w:rPr>
      </w:pPr>
      <w:r>
        <w:rPr>
          <w:rFonts w:ascii="Georgia" w:hAnsi="Georgia"/>
        </w:rPr>
        <w:t>Due to the prevalence of illegal mining, precise figures for how much Congolese cobalt comes from artisanal mines is very difficult. Estimates from international and Congolese organizations say that artisanal mining employs between 44,000 to 200,000 people and can make up approximately 10% to 25% of all Congolese cobalt (13,000 – 32,000 MT in 2022)</w:t>
      </w:r>
      <w:r>
        <w:rPr>
          <w:rStyle w:val="FootnoteReference"/>
          <w:rFonts w:ascii="Georgia" w:hAnsi="Georgia"/>
        </w:rPr>
        <w:footnoteReference w:id="23"/>
      </w:r>
      <w:r>
        <w:rPr>
          <w:rFonts w:ascii="Georgia" w:hAnsi="Georgia"/>
        </w:rPr>
        <w:t>. Artisanal cobalt mines are infamously dangerous because they are usually compact holes that plunge 200 to 500 feet below the surface, and severe injuries or deaths from collapsing mines are common</w:t>
      </w:r>
      <w:r>
        <w:rPr>
          <w:rStyle w:val="FootnoteReference"/>
          <w:rFonts w:ascii="Georgia" w:hAnsi="Georgia"/>
        </w:rPr>
        <w:footnoteReference w:id="24"/>
      </w:r>
      <w:r>
        <w:rPr>
          <w:rFonts w:ascii="Georgia" w:hAnsi="Georgia"/>
        </w:rPr>
        <w:t>. Amnesty International and AFREWATCH produced a report in 2016 that broke the news to the rest of the world about the child-mined Congolese cobalt that leaked into some of the world’s largest technology companies</w:t>
      </w:r>
      <w:r>
        <w:rPr>
          <w:rStyle w:val="FootnoteReference"/>
          <w:rFonts w:ascii="Georgia" w:hAnsi="Georgia"/>
        </w:rPr>
        <w:footnoteReference w:id="25"/>
      </w:r>
      <w:r>
        <w:rPr>
          <w:rFonts w:ascii="Georgia" w:hAnsi="Georgia"/>
        </w:rPr>
        <w:t>. Rumors of child labor had already been abundant as the US Department of Labor has declared cobalt a good produced by child labor since 2009 and UNICEF estimated in 2014 that approximately 40,000 children worked in the mines in Congo’s southern-most province. Child labour is officially banned outright by Congolese labor laws, child protection laws, and its mining code, but in practice, inspectors and state-employed security guards take bribes (often from the children themselves) and don’t report it.</w:t>
      </w:r>
    </w:p>
    <w:p w14:paraId="0175C40B" w14:textId="77777777" w:rsidR="00404551" w:rsidRDefault="00404551" w:rsidP="00404551">
      <w:pPr>
        <w:spacing w:line="480" w:lineRule="auto"/>
        <w:rPr>
          <w:rFonts w:ascii="Georgia" w:hAnsi="Georgia"/>
        </w:rPr>
      </w:pPr>
      <w:r>
        <w:rPr>
          <w:rFonts w:ascii="Georgia" w:hAnsi="Georgia"/>
        </w:rPr>
        <w:tab/>
        <w:t xml:space="preserve">The 2016 report made such an impact because of their interviews with 17 children mining in artisanal cobalt mines and because they followed the child-mined cobalt to cobalt trade centers and onwards to the leading cobalt supplier for companies like Apple, Samsung, Dell, Volkswagen, etc. Even years later, as companies are becoming more conscious of their global supply chains, it is incredibly difficult to trace cobalt down to the specific mine it came </w:t>
      </w:r>
      <w:r>
        <w:rPr>
          <w:rFonts w:ascii="Georgia" w:hAnsi="Georgia"/>
        </w:rPr>
        <w:lastRenderedPageBreak/>
        <w:t xml:space="preserve">from. Before the cobalt even reaches Chinese shores, it has passed numerous hands and through multiple companies. Cobalt from artisanal miners can either be sold directly to industrial mines, or more commonly, it is taken to large trade centers. Independent traders in large markets buy cobalt without asking questions and sell it to processing centers within the DRC. The largest processing center inside of Congolese borders is Congo DongFang Mining International (CDM), a Chinese subsidiary 100% owned by Zhejiang Huayou Cobalt Company Ltd (Huayou Cobalt). CDM exports all of their processed cobalt to Huayou who then sells it to the largest technology companies and automakers in the world. </w:t>
      </w:r>
    </w:p>
    <w:p w14:paraId="1DEE8B14" w14:textId="77777777" w:rsidR="00404551" w:rsidRDefault="00404551" w:rsidP="00404551">
      <w:pPr>
        <w:spacing w:line="480" w:lineRule="auto"/>
        <w:ind w:firstLine="720"/>
        <w:rPr>
          <w:rFonts w:ascii="Georgia" w:hAnsi="Georgia"/>
        </w:rPr>
      </w:pPr>
      <w:r>
        <w:rPr>
          <w:rFonts w:ascii="Georgia" w:hAnsi="Georgia"/>
        </w:rPr>
        <w:t>CDM, Huayou, and other “smelters” are responsible for buying cobalt they don’t directly mine and have a history of being incredibly opaque with how rigorously they inspect where their cobalt comes from and how it is mined. Amnesty International and AFREWATCH rang the alarm bell that any company that buys from Huayou could very easily be using cobalt mined by children, but Huayou is not the only supplier of cobalt. China’s monopoly over Congolese cobalt isn’t a secret, but there is a certain degree of opacity to how much of the Congo’s cobalt actually goes to China. The Congressional-Execuitve Commission on China estimates that around 80% of Congolese cobalt goes to China,</w:t>
      </w:r>
      <w:r>
        <w:rPr>
          <w:rStyle w:val="FootnoteReference"/>
          <w:rFonts w:ascii="Georgia" w:hAnsi="Georgia"/>
        </w:rPr>
        <w:footnoteReference w:id="26"/>
      </w:r>
      <w:r>
        <w:rPr>
          <w:rFonts w:ascii="Georgia" w:hAnsi="Georgia"/>
        </w:rPr>
        <w:t xml:space="preserve"> but cobalt gets into China through multiple avenues. Cobalt mined and processed outside of Chinese-owned mines can be exported to other countries like the US, Canada, Switzerland, etc. before being exported again to China. Making a linear track for all of the Congolese cobalt entering China is difficult due to the many ways this blue mineral enters Chinese influence, either mined directly by or eventually sold to Chinese firms. Part of the trick to its monopoly is that Chinese presence saturates multiple stages of the cobalt trade rooted in Congo. </w:t>
      </w:r>
    </w:p>
    <w:p w14:paraId="160DC4E2" w14:textId="46E9EACC" w:rsidR="00404551" w:rsidRDefault="00404551" w:rsidP="00FE22F4">
      <w:pPr>
        <w:spacing w:line="480" w:lineRule="auto"/>
        <w:ind w:firstLine="720"/>
        <w:rPr>
          <w:rFonts w:ascii="Georgia" w:hAnsi="Georgia"/>
        </w:rPr>
      </w:pPr>
      <w:r>
        <w:rPr>
          <w:rFonts w:ascii="Georgia" w:hAnsi="Georgia"/>
        </w:rPr>
        <w:lastRenderedPageBreak/>
        <w:t>Artisanal miners that can’t reach the trade centers themselves will typically sell to negociants, who then sell it to independent traders for a profit. When Katharine Houreld and Arlette Bashizi went back and traced Amnesty International’s steps in 2023, they reported how many independent traders and negociants were small- and medium-scale Chinese businessmen, making their money buying cheap cobalt from dozens or hundreds of sources and selling it in bulk to the same company</w:t>
      </w:r>
      <w:r>
        <w:rPr>
          <w:rStyle w:val="FootnoteReference"/>
          <w:rFonts w:ascii="Georgia" w:hAnsi="Georgia"/>
        </w:rPr>
        <w:footnoteReference w:id="27"/>
      </w:r>
      <w:r>
        <w:rPr>
          <w:rFonts w:ascii="Georgia" w:hAnsi="Georgia"/>
        </w:rPr>
        <w:t>. These independent traders sell either to industrial mines (of which, 15 of the 19 major cobalt mines are Chinese-owned</w:t>
      </w:r>
      <w:r>
        <w:rPr>
          <w:rStyle w:val="FootnoteReference"/>
          <w:rFonts w:ascii="Georgia" w:hAnsi="Georgia"/>
        </w:rPr>
        <w:footnoteReference w:id="28"/>
      </w:r>
      <w:r>
        <w:rPr>
          <w:rFonts w:ascii="Georgia" w:hAnsi="Georgia"/>
        </w:rPr>
        <w:t xml:space="preserve">) or to processors (also majority Chinese firms).  The cobalt from both of these sources </w:t>
      </w:r>
      <w:r w:rsidR="00E670E9">
        <w:rPr>
          <w:rFonts w:ascii="Georgia" w:hAnsi="Georgia"/>
        </w:rPr>
        <w:t>is</w:t>
      </w:r>
      <w:r>
        <w:rPr>
          <w:rFonts w:ascii="Georgia" w:hAnsi="Georgia"/>
        </w:rPr>
        <w:t xml:space="preserve"> exported to commercial refineries around the world, and approximately three-quarters of the world’s refineries are in China</w:t>
      </w:r>
      <w:r>
        <w:rPr>
          <w:rStyle w:val="FootnoteReference"/>
          <w:rFonts w:ascii="Georgia" w:hAnsi="Georgia"/>
        </w:rPr>
        <w:footnoteReference w:id="29"/>
      </w:r>
      <w:r>
        <w:rPr>
          <w:rFonts w:ascii="Georgia" w:hAnsi="Georgia"/>
        </w:rPr>
        <w:t>. Once it</w:t>
      </w:r>
      <w:r w:rsidR="00E670E9">
        <w:rPr>
          <w:rFonts w:ascii="Georgia" w:hAnsi="Georgia"/>
        </w:rPr>
        <w:t>’</w:t>
      </w:r>
      <w:r>
        <w:rPr>
          <w:rFonts w:ascii="Georgia" w:hAnsi="Georgia"/>
        </w:rPr>
        <w:t xml:space="preserve">s exported to refineries, it becomes almost impossible to distinguish between cobalt from artisanal and industrial mines. The majority of the processed cobalt that enters China exits as battery cells or finished batteries. </w:t>
      </w:r>
      <w:r>
        <w:rPr>
          <w:rFonts w:ascii="Georgia" w:eastAsia="Times New Roman" w:hAnsi="Georgia" w:cs="Times New Roman"/>
          <w:color w:val="000000"/>
        </w:rPr>
        <w:t>80% of the world’s battery cells are made in China, and 80% of completed batteries are made by six companies in China, Korea, and Japan</w:t>
      </w:r>
      <w:r>
        <w:rPr>
          <w:rStyle w:val="FootnoteReference"/>
          <w:rFonts w:ascii="Georgia" w:eastAsia="Times New Roman" w:hAnsi="Georgia" w:cs="Times New Roman"/>
          <w:color w:val="000000"/>
        </w:rPr>
        <w:footnoteReference w:id="30"/>
      </w:r>
      <w:r>
        <w:rPr>
          <w:rFonts w:ascii="Georgia" w:eastAsia="Times New Roman" w:hAnsi="Georgia" w:cs="Times New Roman"/>
          <w:color w:val="000000"/>
        </w:rPr>
        <w:t xml:space="preserve">. Global technology companies and automakers buy cobalt at various stages of the process depending on their needs, but China has done a very thorough job of monopolizing the trade from stem to stern. </w:t>
      </w:r>
    </w:p>
    <w:p w14:paraId="5067DBE2" w14:textId="77777777" w:rsidR="00FE22F4" w:rsidRDefault="00FE22F4" w:rsidP="00FE22F4">
      <w:pPr>
        <w:spacing w:line="480" w:lineRule="auto"/>
        <w:ind w:firstLine="720"/>
        <w:rPr>
          <w:rFonts w:ascii="Georgia" w:hAnsi="Georgia"/>
        </w:rPr>
      </w:pPr>
    </w:p>
    <w:p w14:paraId="622D2B8A" w14:textId="77777777" w:rsidR="004A3470" w:rsidRPr="00FE22F4" w:rsidRDefault="004A3470" w:rsidP="004A3470">
      <w:pPr>
        <w:spacing w:line="480" w:lineRule="auto"/>
        <w:jc w:val="center"/>
        <w:rPr>
          <w:rFonts w:ascii="Georgia" w:hAnsi="Georgia"/>
          <w:i/>
          <w:iCs/>
        </w:rPr>
      </w:pPr>
      <w:r w:rsidRPr="00FE22F4">
        <w:rPr>
          <w:rFonts w:ascii="Georgia" w:hAnsi="Georgia"/>
          <w:i/>
          <w:iCs/>
        </w:rPr>
        <w:t>INCENTIVES, INTERESTS, AND INSECURITIES: DRC</w:t>
      </w:r>
    </w:p>
    <w:p w14:paraId="79EC4670" w14:textId="77777777" w:rsidR="004A3470" w:rsidRDefault="004A3470" w:rsidP="004A3470">
      <w:pPr>
        <w:spacing w:line="480" w:lineRule="auto"/>
        <w:ind w:firstLine="720"/>
        <w:rPr>
          <w:rFonts w:ascii="Georgia" w:hAnsi="Georgia"/>
        </w:rPr>
      </w:pPr>
      <w:r>
        <w:rPr>
          <w:rFonts w:ascii="Georgia" w:hAnsi="Georgia"/>
        </w:rPr>
        <w:t xml:space="preserve">For the other actors in this dynamic, the United States and China, cobalt is a critical mineral and for good reason. The United States needs cobalt to power its energy transition, and China needs cobalt for a similar energy transition as well as to power their domestic </w:t>
      </w:r>
      <w:r>
        <w:rPr>
          <w:rFonts w:ascii="Georgia" w:hAnsi="Georgia"/>
        </w:rPr>
        <w:lastRenderedPageBreak/>
        <w:t>manufacturing sector. However, of all these actors, cobalt is the most critical for the Democratic Republic of Congo. The relative power the DRC has in the cobalt industry is not just important for geopolitical power or a feeling of security, but cobalt mining is quite literally a matter of survival for the Congolese. The DRC relies heavily on its mining sector to drive growth and support their economy. Compared to the United States and China, the DRC doesn’t hold a candle to their power within this triangular dynamic. China’s cobalt monopoly certainly isn’t the origin of Congo’s relative weakness, but rather, China’s control over the cobalt trade and the DRC’s weakness live in a positive feedback loop, each re-enforcing the other to create a chronic Congolese deficit of power within the DRC’s cobalt trade.</w:t>
      </w:r>
    </w:p>
    <w:p w14:paraId="785739CF" w14:textId="3049842D" w:rsidR="004A3470" w:rsidRDefault="004A3470" w:rsidP="004A3470">
      <w:pPr>
        <w:spacing w:line="480" w:lineRule="auto"/>
        <w:ind w:firstLine="720"/>
        <w:rPr>
          <w:rFonts w:ascii="Georgia" w:hAnsi="Georgia"/>
        </w:rPr>
      </w:pPr>
      <w:r>
        <w:rPr>
          <w:rFonts w:ascii="Georgia" w:hAnsi="Georgia"/>
        </w:rPr>
        <w:t>Mining is an easy industry to rely on for the DRC considering that their entire supply of minerals is worth approximately $24 trillion</w:t>
      </w:r>
      <w:r>
        <w:rPr>
          <w:rStyle w:val="FootnoteReference"/>
          <w:rFonts w:ascii="Georgia" w:hAnsi="Georgia"/>
        </w:rPr>
        <w:footnoteReference w:id="31"/>
      </w:r>
      <w:r>
        <w:rPr>
          <w:rFonts w:ascii="Georgia" w:hAnsi="Georgia"/>
        </w:rPr>
        <w:t>. As of 2017, mining and heavy industry account for approximately 43% of the DRC’s GDP, and 90% of all Congolese exports are its minerals</w:t>
      </w:r>
      <w:r>
        <w:rPr>
          <w:rStyle w:val="FootnoteReference"/>
          <w:rFonts w:ascii="Georgia" w:hAnsi="Georgia"/>
        </w:rPr>
        <w:footnoteReference w:id="32"/>
      </w:r>
      <w:r>
        <w:rPr>
          <w:rFonts w:ascii="Georgia" w:hAnsi="Georgia"/>
        </w:rPr>
        <w:t xml:space="preserve">. That </w:t>
      </w:r>
      <w:r w:rsidR="00713AF3">
        <w:rPr>
          <w:rFonts w:ascii="Georgia" w:hAnsi="Georgia"/>
        </w:rPr>
        <w:t xml:space="preserve">$24 trillion </w:t>
      </w:r>
      <w:r>
        <w:rPr>
          <w:rFonts w:ascii="Georgia" w:hAnsi="Georgia"/>
        </w:rPr>
        <w:t xml:space="preserve">estimation is based on the current prices for all of the minerals within the borders of the DRC, and as of the writing of this paper, the vast majority of Congolese minerals have yet to be mined. Unfortunately, there’s a real possibility the DRC won’t ever see even a fraction of that money. Within the Great Lakes region of Africa and on the world stage, the Democratic Republic of Congo is an actor defined by its crippling weakness. </w:t>
      </w:r>
    </w:p>
    <w:p w14:paraId="4551B59B" w14:textId="77777777" w:rsidR="004A3470" w:rsidRDefault="004A3470" w:rsidP="004A3470">
      <w:pPr>
        <w:spacing w:line="480" w:lineRule="auto"/>
        <w:rPr>
          <w:rFonts w:ascii="Georgia" w:hAnsi="Georgia"/>
        </w:rPr>
      </w:pPr>
      <w:r>
        <w:rPr>
          <w:rFonts w:ascii="Georgia" w:hAnsi="Georgia"/>
        </w:rPr>
        <w:tab/>
        <w:t xml:space="preserve">The DRC’s vast mineral wealth as well as the Congolese government’s notorious struggles with patrolling and monitoring its borders have made it extremely attractive to illicit actors, especially those outside the country. S.A. Igbatayo wrote an article in 2019 about the illicit financial flows from Africa’s extractive industries that both characterizes the many ways that money from the mining industry can leak out of the country and describes the porous </w:t>
      </w:r>
      <w:r>
        <w:rPr>
          <w:rFonts w:ascii="Georgia" w:hAnsi="Georgia"/>
        </w:rPr>
        <w:lastRenderedPageBreak/>
        <w:t>nature of Congolese governance</w:t>
      </w:r>
      <w:r>
        <w:rPr>
          <w:rStyle w:val="FootnoteReference"/>
          <w:rFonts w:ascii="Georgia" w:hAnsi="Georgia"/>
        </w:rPr>
        <w:footnoteReference w:id="33"/>
      </w:r>
      <w:r>
        <w:rPr>
          <w:rFonts w:ascii="Georgia" w:hAnsi="Georgia"/>
        </w:rPr>
        <w:t>. Both illegal mining and governmental corruption are born of state weakness which characterize the DRC’s fragile position in its own cobalt industry. Of the two types of mines in the DRC, artisanal and industrial, it is the artisanal mines that are the most prone to illegal mining and smuggling. Artisanal mines have lower barriers to entry compared to large-scale industrial mines. Under the Congolese Mining Code, artisanal miners are only allowed to work in government-designated zones and are required to work as a part of approved cooperatives</w:t>
      </w:r>
      <w:r>
        <w:rPr>
          <w:rStyle w:val="FootnoteReference"/>
          <w:rFonts w:ascii="Georgia" w:hAnsi="Georgia"/>
        </w:rPr>
        <w:footnoteReference w:id="34"/>
      </w:r>
      <w:r>
        <w:rPr>
          <w:rFonts w:ascii="Georgia" w:hAnsi="Georgia"/>
        </w:rPr>
        <w:t>. However, this law is practically unenforceable for the underfunded and over-burdened provincial governments. Practically speaking, you only need a shovel, some friends, and an open plot of dirt to start mining cobalt. While some illicit miners are just ordinary people desperate for work and unable to meet the legal requirements for mining, many illicit miners are a part of the over 100 militias and rebel groups within the DRC</w:t>
      </w:r>
      <w:r>
        <w:rPr>
          <w:rStyle w:val="FootnoteReference"/>
          <w:rFonts w:ascii="Georgia" w:hAnsi="Georgia"/>
        </w:rPr>
        <w:footnoteReference w:id="35"/>
      </w:r>
      <w:r>
        <w:rPr>
          <w:rFonts w:ascii="Georgia" w:hAnsi="Georgia"/>
        </w:rPr>
        <w:t xml:space="preserve">. </w:t>
      </w:r>
    </w:p>
    <w:p w14:paraId="6AB0DB70" w14:textId="1F6E7C38" w:rsidR="004A3470" w:rsidRDefault="004A3470" w:rsidP="004A3470">
      <w:pPr>
        <w:spacing w:line="480" w:lineRule="auto"/>
        <w:rPr>
          <w:rFonts w:ascii="Georgia" w:hAnsi="Georgia"/>
        </w:rPr>
      </w:pPr>
      <w:r>
        <w:rPr>
          <w:rFonts w:ascii="Georgia" w:hAnsi="Georgia"/>
        </w:rPr>
        <w:tab/>
        <w:t xml:space="preserve">The eastern provinces of the DRC (specifically the Nord- and Sud-Kivu and </w:t>
      </w:r>
      <w:proofErr w:type="spellStart"/>
      <w:r>
        <w:rPr>
          <w:rFonts w:ascii="Georgia" w:hAnsi="Georgia"/>
        </w:rPr>
        <w:t>Ituri</w:t>
      </w:r>
      <w:proofErr w:type="spellEnd"/>
      <w:r>
        <w:rPr>
          <w:rFonts w:ascii="Georgia" w:hAnsi="Georgia"/>
        </w:rPr>
        <w:t xml:space="preserve"> provinces) that </w:t>
      </w:r>
      <w:r w:rsidR="00713AF3">
        <w:rPr>
          <w:rFonts w:ascii="Georgia" w:hAnsi="Georgia"/>
        </w:rPr>
        <w:t>sit along</w:t>
      </w:r>
      <w:r>
        <w:rPr>
          <w:rFonts w:ascii="Georgia" w:hAnsi="Georgia"/>
        </w:rPr>
        <w:t xml:space="preserve"> the Congolese borders with Rwanda and Uganda have been home to the Congo’s worst conflicts. Armed groups have flooded across the Rwanda-Congo border ever since the 1994 Rwandan genocide. Two wars were fought in this region as Uganda, Rwanda, and Angola all invaded the DRC to target Hutu fighters from Rwanda. One two-decade long UN peacekeeping mission and two treaties later, and the conflict is still on-going. Though the interstate wars have simmered down, there have been multiple UN reports by the Group of Experts on the Democratic Republic of Congo, the latest one coming in 2023, that show evidence of Rwandan support for the prominent rebel group Mouvement du 23 Mars (M23)</w:t>
      </w:r>
      <w:r>
        <w:rPr>
          <w:rStyle w:val="FootnoteReference"/>
          <w:rFonts w:ascii="Georgia" w:hAnsi="Georgia"/>
        </w:rPr>
        <w:footnoteReference w:id="36"/>
      </w:r>
      <w:r w:rsidR="00A81463">
        <w:rPr>
          <w:rFonts w:ascii="Georgia" w:hAnsi="Georgia"/>
        </w:rPr>
        <w:t xml:space="preserve"> and several other militias tearing through the Eastern Congolese countryside</w:t>
      </w:r>
      <w:r>
        <w:rPr>
          <w:rFonts w:ascii="Georgia" w:hAnsi="Georgia"/>
        </w:rPr>
        <w:t xml:space="preserve">. </w:t>
      </w:r>
      <w:r w:rsidR="001D4276">
        <w:rPr>
          <w:rFonts w:ascii="Georgia" w:hAnsi="Georgia"/>
        </w:rPr>
        <w:t xml:space="preserve">Many foreign </w:t>
      </w:r>
      <w:r w:rsidR="00870C9A">
        <w:rPr>
          <w:rFonts w:ascii="Georgia" w:hAnsi="Georgia"/>
        </w:rPr>
        <w:lastRenderedPageBreak/>
        <w:t>militia groups</w:t>
      </w:r>
      <w:r w:rsidR="001D4276">
        <w:rPr>
          <w:rFonts w:ascii="Georgia" w:hAnsi="Georgia"/>
        </w:rPr>
        <w:t xml:space="preserve"> who</w:t>
      </w:r>
      <w:r w:rsidR="00870C9A">
        <w:rPr>
          <w:rFonts w:ascii="Georgia" w:hAnsi="Georgia"/>
        </w:rPr>
        <w:t xml:space="preserve"> were pushed out of their home countries regrouped within the DRC, killing local Congolese and taking up territory, and their presence </w:t>
      </w:r>
      <w:r w:rsidR="009D1147">
        <w:rPr>
          <w:rFonts w:ascii="Georgia" w:hAnsi="Georgia"/>
        </w:rPr>
        <w:t>incited the rise of counter-militias, pushing forward the cycle of violence</w:t>
      </w:r>
      <w:r w:rsidR="009D1147">
        <w:rPr>
          <w:rStyle w:val="FootnoteReference"/>
          <w:rFonts w:ascii="Georgia" w:hAnsi="Georgia"/>
        </w:rPr>
        <w:footnoteReference w:id="37"/>
      </w:r>
      <w:r w:rsidR="009D1147">
        <w:rPr>
          <w:rFonts w:ascii="Georgia" w:hAnsi="Georgia"/>
        </w:rPr>
        <w:t xml:space="preserve">. Anti-government, pro-government, and foreign militias all swarm the Eastern regions of the DRC and </w:t>
      </w:r>
      <w:r w:rsidR="00C10D27">
        <w:rPr>
          <w:rFonts w:ascii="Georgia" w:hAnsi="Georgia"/>
        </w:rPr>
        <w:t>are reported to engage in</w:t>
      </w:r>
      <w:r w:rsidR="002E53EF">
        <w:rPr>
          <w:rFonts w:ascii="Georgia" w:hAnsi="Georgia"/>
        </w:rPr>
        <w:t xml:space="preserve"> extrajudicial killings of civilians, sexual violence, and exploitation of local communities</w:t>
      </w:r>
      <w:r w:rsidR="002E53EF">
        <w:rPr>
          <w:rStyle w:val="FootnoteReference"/>
          <w:rFonts w:ascii="Georgia" w:hAnsi="Georgia"/>
        </w:rPr>
        <w:footnoteReference w:id="38"/>
      </w:r>
      <w:r w:rsidR="002E53EF">
        <w:rPr>
          <w:rFonts w:ascii="Georgia" w:hAnsi="Georgia"/>
        </w:rPr>
        <w:t xml:space="preserve">. </w:t>
      </w:r>
      <w:r>
        <w:rPr>
          <w:rFonts w:ascii="Georgia" w:hAnsi="Georgia"/>
        </w:rPr>
        <w:t>The armed groups in the Eastern provinces pose a serious threat to Congolese governance</w:t>
      </w:r>
      <w:r w:rsidR="0032310E">
        <w:rPr>
          <w:rFonts w:ascii="Georgia" w:hAnsi="Georgia"/>
        </w:rPr>
        <w:t xml:space="preserve"> as they cut off several regions of the country from the influence of the Congo</w:t>
      </w:r>
      <w:r w:rsidR="00C10D27">
        <w:rPr>
          <w:rFonts w:ascii="Georgia" w:hAnsi="Georgia"/>
        </w:rPr>
        <w:t>lese law and order</w:t>
      </w:r>
      <w:r w:rsidR="0032310E">
        <w:rPr>
          <w:rFonts w:ascii="Georgia" w:hAnsi="Georgia"/>
        </w:rPr>
        <w:t xml:space="preserve">. </w:t>
      </w:r>
      <w:r>
        <w:rPr>
          <w:rFonts w:ascii="Georgia" w:hAnsi="Georgia"/>
        </w:rPr>
        <w:t>They are both actively eroding Congolese sovereignty over its own lands and people</w:t>
      </w:r>
      <w:r w:rsidR="001D4276">
        <w:rPr>
          <w:rFonts w:ascii="Georgia" w:hAnsi="Georgia"/>
        </w:rPr>
        <w:t>,</w:t>
      </w:r>
      <w:r>
        <w:rPr>
          <w:rFonts w:ascii="Georgia" w:hAnsi="Georgia"/>
        </w:rPr>
        <w:t xml:space="preserve"> and </w:t>
      </w:r>
      <w:r w:rsidR="001D4276">
        <w:rPr>
          <w:rFonts w:ascii="Georgia" w:hAnsi="Georgia"/>
        </w:rPr>
        <w:t xml:space="preserve">they </w:t>
      </w:r>
      <w:r>
        <w:rPr>
          <w:rFonts w:ascii="Georgia" w:hAnsi="Georgia"/>
        </w:rPr>
        <w:t xml:space="preserve">frequently engage in illegal mining, selling Congolese minerals for their own profit. </w:t>
      </w:r>
    </w:p>
    <w:p w14:paraId="1DDF599E" w14:textId="4B0C17A4" w:rsidR="004A3470" w:rsidRDefault="004A3470" w:rsidP="004A3470">
      <w:pPr>
        <w:spacing w:line="480" w:lineRule="auto"/>
        <w:rPr>
          <w:rFonts w:ascii="Georgia" w:hAnsi="Georgia"/>
        </w:rPr>
      </w:pPr>
      <w:r>
        <w:rPr>
          <w:rFonts w:ascii="Georgia" w:hAnsi="Georgia"/>
        </w:rPr>
        <w:tab/>
        <w:t>There is a real blowback onto the DRC’s negotiating power in its cobalt industry when the Congolese government can’t even exercise control over its own territory. As of the writing of this paper, M23 is circling the city of Goma, the regional capital of Nord-Kivu, home to over two million people and hundreds of thousands of refugees</w:t>
      </w:r>
      <w:r>
        <w:rPr>
          <w:rStyle w:val="FootnoteReference"/>
          <w:rFonts w:ascii="Georgia" w:hAnsi="Georgia"/>
        </w:rPr>
        <w:footnoteReference w:id="39"/>
      </w:r>
      <w:r>
        <w:rPr>
          <w:rFonts w:ascii="Georgia" w:hAnsi="Georgia"/>
        </w:rPr>
        <w:t>. With M23’s resurgence after a decade-long hiatus, illegal mineral exports have increased as more rebel groups rely on illicit mining to supplement their increasing need for arms and supplies in the spiraling conflict</w:t>
      </w:r>
      <w:r>
        <w:rPr>
          <w:rStyle w:val="FootnoteReference"/>
          <w:rFonts w:ascii="Georgia" w:hAnsi="Georgia"/>
        </w:rPr>
        <w:footnoteReference w:id="40"/>
      </w:r>
      <w:r>
        <w:rPr>
          <w:rFonts w:ascii="Georgia" w:hAnsi="Georgia"/>
        </w:rPr>
        <w:t>. The minerals being drained by these rebel groups have a very real monetary consequence as the valuation of all the natural resources in the Eastern DRC that have been sold across the border ranges between $722 million and $1.25 billion per year</w:t>
      </w:r>
      <w:r>
        <w:rPr>
          <w:rStyle w:val="FootnoteReference"/>
          <w:rFonts w:ascii="Georgia" w:hAnsi="Georgia"/>
        </w:rPr>
        <w:footnoteReference w:id="41"/>
      </w:r>
      <w:r>
        <w:rPr>
          <w:rFonts w:ascii="Georgia" w:hAnsi="Georgia"/>
        </w:rPr>
        <w:t xml:space="preserve">. Without the failure of the Congolese government and </w:t>
      </w:r>
      <w:r w:rsidR="001D4276">
        <w:rPr>
          <w:rFonts w:ascii="Georgia" w:hAnsi="Georgia"/>
        </w:rPr>
        <w:t>military</w:t>
      </w:r>
      <w:r>
        <w:rPr>
          <w:rFonts w:ascii="Georgia" w:hAnsi="Georgia"/>
        </w:rPr>
        <w:t xml:space="preserve"> to keep a grip on its own territory, all of this money could have stayed </w:t>
      </w:r>
      <w:r>
        <w:rPr>
          <w:rFonts w:ascii="Georgia" w:hAnsi="Georgia"/>
        </w:rPr>
        <w:lastRenderedPageBreak/>
        <w:t xml:space="preserve">within the DRC and been directed towards Congolese needs like education or poverty reduction. Instead, the resurgence of violence and the struggling response by the Congolese army have shown a proliferation of state weakness in the DRC. </w:t>
      </w:r>
      <w:r w:rsidR="0032310E">
        <w:rPr>
          <w:rFonts w:ascii="Georgia" w:hAnsi="Georgia"/>
        </w:rPr>
        <w:t>Though this paper largely looks at the interactions between states, it is</w:t>
      </w:r>
      <w:r w:rsidR="00C10D27">
        <w:rPr>
          <w:rFonts w:ascii="Georgia" w:hAnsi="Georgia"/>
        </w:rPr>
        <w:t xml:space="preserve"> still</w:t>
      </w:r>
      <w:r w:rsidR="0032310E">
        <w:rPr>
          <w:rFonts w:ascii="Georgia" w:hAnsi="Georgia"/>
        </w:rPr>
        <w:t xml:space="preserve"> important to understand how the many militant non-state actors in the Congo erode Kinshasa’s authority within its own borders and make it harder for the government to rule effectively.</w:t>
      </w:r>
    </w:p>
    <w:p w14:paraId="1C7DB487" w14:textId="7284E006" w:rsidR="004A3470" w:rsidRDefault="004A3470" w:rsidP="004A3470">
      <w:pPr>
        <w:spacing w:line="480" w:lineRule="auto"/>
        <w:rPr>
          <w:rFonts w:ascii="Georgia" w:hAnsi="Georgia"/>
        </w:rPr>
      </w:pPr>
      <w:r>
        <w:rPr>
          <w:rFonts w:ascii="Georgia" w:hAnsi="Georgia"/>
        </w:rPr>
        <w:tab/>
        <w:t>Even considering all the money lost to illegal mining and Congo’s security deficit in the Eastern provinces, the biggest illicit drain on the DRC’s economy comes from governmental corruption within the Congolese borders. Between 2013 and 2015, Global Witness reported that at least $750 million in taxes paid to the DRC’s tax agencies and state-owned mining company, Gecamines, disappeared</w:t>
      </w:r>
      <w:r>
        <w:rPr>
          <w:rStyle w:val="FootnoteReference"/>
          <w:rFonts w:ascii="Georgia" w:hAnsi="Georgia"/>
        </w:rPr>
        <w:footnoteReference w:id="42"/>
      </w:r>
      <w:r>
        <w:rPr>
          <w:rFonts w:ascii="Georgia" w:hAnsi="Georgia"/>
        </w:rPr>
        <w:t xml:space="preserve">. Valuations for the total amount of money lost to corruption </w:t>
      </w:r>
      <w:r w:rsidR="00E670E9">
        <w:rPr>
          <w:rFonts w:ascii="Georgia" w:hAnsi="Georgia"/>
        </w:rPr>
        <w:t xml:space="preserve">are </w:t>
      </w:r>
      <w:r>
        <w:rPr>
          <w:rFonts w:ascii="Georgia" w:hAnsi="Georgia"/>
        </w:rPr>
        <w:t>extremely hard to come by, and many reports vary widely in how much they report as well as what they report as a loss. In 2015, Congolese President Joseph Kabila’s anti-corruption advisor, Luzolo Bambi, gave an interview with a local Congolese radio station and reported between $10 and $15 billion per year lost to fraud, leaks, and evasion</w:t>
      </w:r>
      <w:r>
        <w:rPr>
          <w:rStyle w:val="FootnoteReference"/>
          <w:rFonts w:ascii="Georgia" w:hAnsi="Georgia"/>
        </w:rPr>
        <w:footnoteReference w:id="43"/>
      </w:r>
      <w:r>
        <w:rPr>
          <w:rFonts w:ascii="Georgia" w:hAnsi="Georgia"/>
        </w:rPr>
        <w:t xml:space="preserve">. Bambi did not give any names or positions but claimed that corruption, money-laundering, and fraud extended up to some of the highest offices of government. It is important to note the historic shift in Congolese politics that occurred in 2019 when discussing the impact of fraud on Congolese governance. Since the DRC gained independence in June of 1960, there had not been a single peaceful transition of power in over fifty-nine years and across four presidential administrations. </w:t>
      </w:r>
    </w:p>
    <w:p w14:paraId="1D836661" w14:textId="77777777" w:rsidR="004A3470" w:rsidRDefault="004A3470" w:rsidP="004A3470">
      <w:pPr>
        <w:spacing w:line="480" w:lineRule="auto"/>
        <w:rPr>
          <w:rFonts w:ascii="Georgia" w:hAnsi="Georgia"/>
        </w:rPr>
      </w:pPr>
      <w:r>
        <w:rPr>
          <w:rFonts w:ascii="Georgia" w:hAnsi="Georgia"/>
        </w:rPr>
        <w:tab/>
        <w:t xml:space="preserve">Under the previous Kabila </w:t>
      </w:r>
      <w:proofErr w:type="gramStart"/>
      <w:r>
        <w:rPr>
          <w:rFonts w:ascii="Georgia" w:hAnsi="Georgia"/>
        </w:rPr>
        <w:t>administrations</w:t>
      </w:r>
      <w:proofErr w:type="gramEnd"/>
      <w:r>
        <w:rPr>
          <w:rFonts w:ascii="Georgia" w:hAnsi="Georgia"/>
        </w:rPr>
        <w:t xml:space="preserve">, corruption had been extremely rampant among high government officials. Though there have long been anti-corruption institutions and infrastructure in the DRC, the political will to crack down on corruption was utterly absent. The </w:t>
      </w:r>
      <w:r>
        <w:rPr>
          <w:rFonts w:ascii="Georgia" w:hAnsi="Georgia"/>
        </w:rPr>
        <w:lastRenderedPageBreak/>
        <w:t>turning point was 2019 when Joseph Kabila finally stepped down from power and Felix Tshisekedi was inaugurated as president in the DRC’s first mostly-free election. For the first in Congolese history, corruption and embezzlement investigations were held among ministers in office, the director of the cabinet of the head of state, provincial governors, and other high-ranking officials</w:t>
      </w:r>
      <w:r>
        <w:rPr>
          <w:rStyle w:val="FootnoteReference"/>
          <w:rFonts w:ascii="Georgia" w:hAnsi="Georgia"/>
        </w:rPr>
        <w:footnoteReference w:id="44"/>
      </w:r>
      <w:r>
        <w:rPr>
          <w:rFonts w:ascii="Georgia" w:hAnsi="Georgia"/>
        </w:rPr>
        <w:t xml:space="preserve">. Tshisekedi’s anti-corruption campaign has largely been targeted towards well-known figures within the Congolese government and were a useful campaign-speech point when he ran for re-election in 2023. </w:t>
      </w:r>
    </w:p>
    <w:p w14:paraId="54FB47B7" w14:textId="77777777" w:rsidR="004A3470" w:rsidRDefault="004A3470" w:rsidP="004A3470">
      <w:pPr>
        <w:spacing w:line="480" w:lineRule="auto"/>
        <w:rPr>
          <w:rFonts w:ascii="Georgia" w:hAnsi="Georgia"/>
        </w:rPr>
      </w:pPr>
      <w:r>
        <w:rPr>
          <w:rFonts w:ascii="Georgia" w:hAnsi="Georgia"/>
        </w:rPr>
        <w:tab/>
        <w:t>A useful example of how governmental and personal corruption works in the DRC is that of the notorious Israeli businessman Dan Gertler. Gertler is a prominent figure in the Congolese mining sector and is well known in the US Treasury Department after the United States added his name to the sanctions list for his corrupt dealings in the Congolese mining and oil industries. A recent financial investigation by Congolese anti-corruption coalition, Congo is Not for Sale, analyzed financial data on Gertler’s transactions in the extractive sector and found a loss of almost $2B between 2003 and 2021</w:t>
      </w:r>
      <w:r>
        <w:rPr>
          <w:rStyle w:val="FootnoteReference"/>
          <w:rFonts w:ascii="Georgia" w:hAnsi="Georgia"/>
        </w:rPr>
        <w:footnoteReference w:id="45"/>
      </w:r>
      <w:r>
        <w:rPr>
          <w:rFonts w:ascii="Georgia" w:hAnsi="Georgia"/>
        </w:rPr>
        <w:t>. The US Treasury Department reports a much steeper $1.36B loss of revenue for the DRC between 2010 and 2012</w:t>
      </w:r>
      <w:r>
        <w:rPr>
          <w:rStyle w:val="FootnoteReference"/>
          <w:rFonts w:ascii="Georgia" w:hAnsi="Georgia"/>
        </w:rPr>
        <w:footnoteReference w:id="46"/>
      </w:r>
      <w:r>
        <w:rPr>
          <w:rFonts w:ascii="Georgia" w:hAnsi="Georgia"/>
        </w:rPr>
        <w:t xml:space="preserve">. Gertler’s incredible wealth-stripping of the Congo came as a result of acting as the intermediary for the DRC’s biggest mining deals for decades, a privilege attributed to his close friendship with President Joseph Kabila. Multiple anti-corruption organizations have called for Tshisekedi’s government to investigate Gertler’s mining deals. However, Tshisekedi’s famous anti-corruption campaign seems to have faltered as in 2023 President Tshisekedi personally lobbied President Biden through a letter to have Gertler’s name removed from the sanctions list. The Congolese President and Gertler had come to an agreement that Gertler would return an estimated $2B </w:t>
      </w:r>
      <w:r>
        <w:rPr>
          <w:rFonts w:ascii="Georgia" w:hAnsi="Georgia"/>
        </w:rPr>
        <w:lastRenderedPageBreak/>
        <w:t>worth of mining and oil rights to the Congolese government. In exchange, Mr. Tshisekedi had agreed to help him lobby the United States to have his sanctions revoked, to make a $260M payment for the mining rights, and for continual royalties from those mines valued at $200,000 per day for the next decade</w:t>
      </w:r>
      <w:r>
        <w:rPr>
          <w:rStyle w:val="FootnoteReference"/>
          <w:rFonts w:ascii="Georgia" w:hAnsi="Georgia"/>
        </w:rPr>
        <w:footnoteReference w:id="47"/>
      </w:r>
      <w:r>
        <w:rPr>
          <w:rFonts w:ascii="Georgia" w:hAnsi="Georgia"/>
        </w:rPr>
        <w:t>.</w:t>
      </w:r>
    </w:p>
    <w:p w14:paraId="46FB2553" w14:textId="77777777" w:rsidR="004A3470" w:rsidRDefault="004A3470" w:rsidP="004A3470">
      <w:pPr>
        <w:spacing w:line="480" w:lineRule="auto"/>
        <w:rPr>
          <w:rFonts w:ascii="Georgia" w:hAnsi="Georgia"/>
        </w:rPr>
      </w:pPr>
      <w:r>
        <w:rPr>
          <w:rFonts w:ascii="Georgia" w:hAnsi="Georgia"/>
        </w:rPr>
        <w:tab/>
        <w:t xml:space="preserve">Aside from corrupt politicians directly skimming some tax money off the top, the culture of corruption spreads very far into the Congolese economy. Personal deals between businessmen and politicians to turn profits from Congolese state property is an extremely slippery way to drain the DRC of more money. Part of why there is so much variation in valuations of corruption in the DRC is because of this sort of embezzlement. Gertler made money on copper and cobalt mines by buying up the rights from Gecamines at a </w:t>
      </w:r>
      <w:proofErr w:type="spellStart"/>
      <w:r>
        <w:rPr>
          <w:rFonts w:ascii="Georgia" w:hAnsi="Georgia"/>
        </w:rPr>
        <w:t>friends</w:t>
      </w:r>
      <w:proofErr w:type="spellEnd"/>
      <w:r>
        <w:rPr>
          <w:rFonts w:ascii="Georgia" w:hAnsi="Georgia"/>
        </w:rPr>
        <w:t>-only discount through his offshore shell companies before selling them to other foreign companies or back to the Congolese government at skyrocketed rates</w:t>
      </w:r>
      <w:r>
        <w:rPr>
          <w:rStyle w:val="FootnoteReference"/>
          <w:rFonts w:ascii="Georgia" w:hAnsi="Georgia"/>
        </w:rPr>
        <w:footnoteReference w:id="48"/>
      </w:r>
      <w:r>
        <w:rPr>
          <w:rFonts w:ascii="Georgia" w:hAnsi="Georgia"/>
        </w:rPr>
        <w:t xml:space="preserve">. He could only make his money from state property because of his lucrative relationships with Congolese politicians. Unlike directly stealing from the tax coffers, this sort of complex fraud scheme is hard to trace. Since the DRC is technically a democracy, the Treasury has to make things like tax records and reports publicly available. Since tax records have been where a lot of government fraud is caught, they are watched very closely. However, combing through the complex structure of corporate holdings of individual businessmen is both labour-intensive and requires the investigator to go actively looking through someone’s records. In other words, you have to already be at least somewhat aware of someone’s embezzling to incentivize an investigation. How much corruption is discovered is a game of who gets caught, so the full valuation of corruption in the DRC is likely undervalued, or at the very least unknown. If one thing is clear from Gertler’s embezzlement it is that corruption </w:t>
      </w:r>
      <w:r>
        <w:rPr>
          <w:rFonts w:ascii="Georgia" w:hAnsi="Georgia"/>
        </w:rPr>
        <w:lastRenderedPageBreak/>
        <w:t xml:space="preserve">in the DRC has several actors and components, but the government itself plays a critical role in devaluing its own sovereignty. </w:t>
      </w:r>
    </w:p>
    <w:p w14:paraId="2BD3C5EF" w14:textId="77777777" w:rsidR="004A3470" w:rsidRDefault="004A3470" w:rsidP="004A3470">
      <w:pPr>
        <w:spacing w:line="480" w:lineRule="auto"/>
        <w:ind w:firstLine="720"/>
        <w:rPr>
          <w:rFonts w:ascii="Georgia" w:hAnsi="Georgia"/>
        </w:rPr>
      </w:pPr>
      <w:r>
        <w:rPr>
          <w:rFonts w:ascii="Georgia" w:hAnsi="Georgia"/>
        </w:rPr>
        <w:t xml:space="preserve">Governmental authority over its mines is being intentionally and knowingly bought and sold for the profit of outside actors. Congo’s mining sector is frequently the target of these sorts of deals. As already highlighted by the crisis with rebel groups in the Eastern provinces and their illegal mining, there is a lot of grey area with minimal oversight within the mining sector. The staggering quantity of untapped mineral wealth and unenforced/unenforceable regulations makes for a promising business environment for outside actors. Illicit mining in the Eastern provinces shows the inability of the DRC government to enforce its laws within its own territory, and the prevalence of political and corporate embezzlement highlights the proneness of the Congolese government to make deals that actively work against the interest of the DRC for economic or political gain. This is the context of the 2008 Sicomines deal and its renegotiation in late 2023. </w:t>
      </w:r>
    </w:p>
    <w:p w14:paraId="765D2110" w14:textId="77777777" w:rsidR="004A3470" w:rsidRDefault="004A3470" w:rsidP="004A3470">
      <w:pPr>
        <w:spacing w:line="480" w:lineRule="auto"/>
        <w:ind w:firstLine="720"/>
        <w:rPr>
          <w:rFonts w:ascii="Georgia" w:hAnsi="Georgia"/>
        </w:rPr>
      </w:pPr>
      <w:r>
        <w:rPr>
          <w:rFonts w:ascii="Georgia" w:hAnsi="Georgia"/>
        </w:rPr>
        <w:t>In the original deal, a group of Chinese companies agreed to purchase 68% stake in a Congolese state-owned mine, Sicomines copper and cobalt mine, and in exchange, these companies would spend $3B on infrastructure projects like roads or hospitals. This majority stake in the mine was sold for around $3B in 2008, running up the total Chinese bill to approximately $6B</w:t>
      </w:r>
      <w:r>
        <w:rPr>
          <w:rStyle w:val="FootnoteReference"/>
          <w:rFonts w:ascii="Georgia" w:hAnsi="Georgia"/>
        </w:rPr>
        <w:footnoteReference w:id="49"/>
      </w:r>
      <w:r>
        <w:rPr>
          <w:rFonts w:ascii="Georgia" w:hAnsi="Georgia"/>
        </w:rPr>
        <w:t xml:space="preserve">. This deal was signed under President Kabila after months of negotiation with the Chinese party – including several major banks, private investors, and some state-owned firms. After Kabila was first officially elected to office, his main agenda was to rebuild the DRC after the devastating Second Congo War, just three years prior. His agenda centered around his </w:t>
      </w:r>
      <w:r>
        <w:rPr>
          <w:rFonts w:ascii="Georgia" w:hAnsi="Georgia"/>
          <w:i/>
          <w:iCs/>
        </w:rPr>
        <w:t>Cinq Chantiers</w:t>
      </w:r>
      <w:r>
        <w:rPr>
          <w:rFonts w:ascii="Georgia" w:hAnsi="Georgia"/>
        </w:rPr>
        <w:t xml:space="preserve"> (Five Construction Sites) program that required massive investments in post-war development of infrastructure, job creation, education, water and electricity, and </w:t>
      </w:r>
      <w:r>
        <w:rPr>
          <w:rFonts w:ascii="Georgia" w:hAnsi="Georgia"/>
        </w:rPr>
        <w:lastRenderedPageBreak/>
        <w:t>health</w:t>
      </w:r>
      <w:r>
        <w:rPr>
          <w:rStyle w:val="FootnoteReference"/>
          <w:rFonts w:ascii="Georgia" w:hAnsi="Georgia"/>
        </w:rPr>
        <w:footnoteReference w:id="50"/>
      </w:r>
      <w:r>
        <w:rPr>
          <w:rFonts w:ascii="Georgia" w:hAnsi="Georgia"/>
        </w:rPr>
        <w:t xml:space="preserve">. To fund this development plan, Kabila signed a $9B deal (later reduced to $6B) with the China Railway Engineering Corporation (CREC) to allocate Congolese exploitation licenses 9681 and 9682 (otherwise called Sicomines copper and cobalt mine) to a group of Chinese companies led by CREC. The Sicomines deal was subject to intense debate when it was first signed and is still under extreme scrutiny in the DRC. The biggest criticism levied against it is that it heavily favors the Chinese party and severely undervalued the mines being sold. </w:t>
      </w:r>
    </w:p>
    <w:p w14:paraId="6DCA4856" w14:textId="77777777" w:rsidR="004A3470" w:rsidRDefault="004A3470" w:rsidP="004A3470">
      <w:pPr>
        <w:spacing w:line="480" w:lineRule="auto"/>
        <w:ind w:firstLine="720"/>
        <w:rPr>
          <w:rFonts w:ascii="Georgia" w:hAnsi="Georgia"/>
        </w:rPr>
      </w:pPr>
      <w:r>
        <w:rPr>
          <w:rFonts w:ascii="Georgia" w:hAnsi="Georgia"/>
        </w:rPr>
        <w:t>The deal was significant because it was the first major infrastructure-for-minerals deal that China had ever signed and the sticker price outsized the Congolese budget in the year it was signed. Though an infrastructure-for-minerals deal is a core piece of modern Chinese foreign policy, especially seen in its Belt and Road Initiative, the Sicomines deal was the first time the Chinese had ever attempted this sort of arrangement. The growing Chinese manufacturing industry was looking overseas for a new source for raw materials and negotiated with the Congolese for cheap and ready access to their mineral supply. The Congolese in comparison needed an absolutely massive amount of investment for the projects they had in mind. At the time, the Congolese GDP was around $20B and had a budget of $3B</w:t>
      </w:r>
      <w:r>
        <w:rPr>
          <w:rStyle w:val="FootnoteReference"/>
          <w:rFonts w:ascii="Georgia" w:hAnsi="Georgia"/>
        </w:rPr>
        <w:footnoteReference w:id="51"/>
      </w:r>
      <w:r>
        <w:rPr>
          <w:rFonts w:ascii="Georgia" w:hAnsi="Georgia"/>
        </w:rPr>
        <w:t xml:space="preserve"> that was grossly over-stretched for the rebuilding of a war-torn nation of approximately 62 million people</w:t>
      </w:r>
      <w:r>
        <w:rPr>
          <w:rStyle w:val="FootnoteReference"/>
          <w:rFonts w:ascii="Georgia" w:hAnsi="Georgia"/>
        </w:rPr>
        <w:footnoteReference w:id="52"/>
      </w:r>
      <w:r>
        <w:rPr>
          <w:rFonts w:ascii="Georgia" w:hAnsi="Georgia"/>
        </w:rPr>
        <w:t>. The Sicomines deal must have seemed attractive as it offered to double the Congolese budget for infrastructure needs. Yet, many Congolese still argued that this deal had been poorly negotiated.</w:t>
      </w:r>
    </w:p>
    <w:p w14:paraId="0446103E" w14:textId="77777777" w:rsidR="004A3470" w:rsidRDefault="004A3470" w:rsidP="004A3470">
      <w:pPr>
        <w:spacing w:line="480" w:lineRule="auto"/>
        <w:ind w:firstLine="720"/>
        <w:rPr>
          <w:rFonts w:ascii="Georgia" w:hAnsi="Georgia"/>
        </w:rPr>
      </w:pPr>
      <w:r>
        <w:rPr>
          <w:rFonts w:ascii="Georgia" w:hAnsi="Georgia"/>
        </w:rPr>
        <w:t xml:space="preserve">The Sicomines deal had been a prominent campaign talking point for opposition leaders in Congolese politics as many promised to revisit or even annul the deal if elected. These opposition leaders and, midway through his re-election campaign, Tshisekedi represented a popular discontent with the deal among Congolese voters. Though this sort of deal was new for </w:t>
      </w:r>
      <w:r>
        <w:rPr>
          <w:rFonts w:ascii="Georgia" w:hAnsi="Georgia"/>
        </w:rPr>
        <w:lastRenderedPageBreak/>
        <w:t>the Chinese, the Congolese had seen their government buy and sell state property for individual or corporate profit for years, such as the case with Gertler. Even when the sticker price seemed to have impressed Kabila’s administration, the public met the deal with a great deal of skepticism. Many small-scale Congolese miners protested the deal early on and still do for its exploitation of Congolese resources, its heavy environmental burden, and its damaging effect on the ability of artisanal miners to compete with industrially low prices</w:t>
      </w:r>
      <w:r>
        <w:rPr>
          <w:rStyle w:val="FootnoteReference"/>
          <w:rFonts w:ascii="Georgia" w:hAnsi="Georgia"/>
        </w:rPr>
        <w:footnoteReference w:id="53"/>
      </w:r>
      <w:r>
        <w:rPr>
          <w:rFonts w:ascii="Georgia" w:hAnsi="Georgia"/>
        </w:rPr>
        <w:t>.</w:t>
      </w:r>
    </w:p>
    <w:p w14:paraId="0EE9DDE3" w14:textId="77777777" w:rsidR="004A3470" w:rsidRDefault="004A3470" w:rsidP="004A3470">
      <w:pPr>
        <w:spacing w:line="480" w:lineRule="auto"/>
        <w:ind w:firstLine="720"/>
        <w:rPr>
          <w:rFonts w:ascii="Georgia" w:hAnsi="Georgia"/>
        </w:rPr>
      </w:pPr>
      <w:r>
        <w:rPr>
          <w:rFonts w:ascii="Georgia" w:hAnsi="Georgia"/>
        </w:rPr>
        <w:t>Staring down the barrel of December 2023 presidential elections, President Tshisekedi demanded that the deal be re-negotiated. After months of negotiations between Kinshasa and Beijing, the new agreement was to increase the infrastructure investment by up to $7B as well as the addition of 1.2% royalties the Chinese partners would now pay annually to the Congolese government</w:t>
      </w:r>
      <w:r>
        <w:rPr>
          <w:rStyle w:val="FootnoteReference"/>
          <w:rFonts w:ascii="Georgia" w:hAnsi="Georgia"/>
        </w:rPr>
        <w:footnoteReference w:id="54"/>
      </w:r>
      <w:r>
        <w:rPr>
          <w:rFonts w:ascii="Georgia" w:hAnsi="Georgia"/>
        </w:rPr>
        <w:t xml:space="preserve">. Though the renegotiations were successful in bringing in more money to the DRC, that success starts to crack a little when two factors are considered. First, the Congolese government’s main aim of rebalancing the Sicomines deal by increasing the Congolese ownership of the mine from 32% to 70% was wholly unsuccessful. Under the renegotiated terms, the current structure of shareholding will remain the same, and their Chinese partners will continue to hold control of the mines’ operations and dealings. </w:t>
      </w:r>
    </w:p>
    <w:p w14:paraId="3CF20C41" w14:textId="77777777" w:rsidR="004A3470" w:rsidRDefault="004A3470" w:rsidP="004A3470">
      <w:pPr>
        <w:spacing w:line="480" w:lineRule="auto"/>
        <w:ind w:firstLine="720"/>
        <w:rPr>
          <w:rFonts w:ascii="Georgia" w:hAnsi="Georgia"/>
        </w:rPr>
      </w:pPr>
      <w:r>
        <w:rPr>
          <w:rFonts w:ascii="Georgia" w:hAnsi="Georgia"/>
        </w:rPr>
        <w:t>Secondly, majority stake of the mine was sold in 2008 for around $6B and even after increasing that total to $13B, the Chinese paid pennies on the dollar for majority ownership considering the independent valuations of the mine. In February 2023, the Inspectorate General of Finances (the DRC’s state auditor) released a report stating that the mine had been grossly undervalued and highlighted two financial discrepancies</w:t>
      </w:r>
      <w:r>
        <w:rPr>
          <w:rStyle w:val="FootnoteReference"/>
          <w:rFonts w:ascii="Georgia" w:hAnsi="Georgia"/>
        </w:rPr>
        <w:footnoteReference w:id="55"/>
      </w:r>
      <w:r>
        <w:rPr>
          <w:rFonts w:ascii="Georgia" w:hAnsi="Georgia"/>
        </w:rPr>
        <w:t xml:space="preserve">. First and foremost, the report said </w:t>
      </w:r>
      <w:r>
        <w:rPr>
          <w:rFonts w:ascii="Georgia" w:hAnsi="Georgia"/>
        </w:rPr>
        <w:lastRenderedPageBreak/>
        <w:t>that the deal needed to be rebalanced to reflect the mine’s actual worth — increasing the $3B infrastructure investment to $20B. The report also discovered that only a fraction of the initial $3B investment had ever been paid</w:t>
      </w:r>
      <w:proofErr w:type="gramStart"/>
      <w:r>
        <w:rPr>
          <w:rFonts w:ascii="Georgia" w:hAnsi="Georgia"/>
        </w:rPr>
        <w:t>, only</w:t>
      </w:r>
      <w:proofErr w:type="gramEnd"/>
      <w:r>
        <w:rPr>
          <w:rFonts w:ascii="Georgia" w:hAnsi="Georgia"/>
        </w:rPr>
        <w:t xml:space="preserve"> amounting to approximately $822M or less than one-third of the agreed upon investment. Voice of America interviewed two experts, Emmanuel Umpula, the executive director of African Natural Resources Watch, and another who chose to remain anonymous, after the renegotiation</w:t>
      </w:r>
      <w:r>
        <w:rPr>
          <w:rStyle w:val="FootnoteReference"/>
          <w:rFonts w:ascii="Georgia" w:hAnsi="Georgia"/>
        </w:rPr>
        <w:footnoteReference w:id="56"/>
      </w:r>
      <w:r>
        <w:rPr>
          <w:rFonts w:ascii="Georgia" w:hAnsi="Georgia"/>
        </w:rPr>
        <w:t xml:space="preserve">. Umpula criticized the lack of transparency around the negotiations and questioned how the parties arrived at the $7B figure. The second expert further affirms this skepticism and disappointment while adding that there had been no new study of the mine’s reserve, so it was difficult to independently determine the value of the mine. </w:t>
      </w:r>
    </w:p>
    <w:p w14:paraId="2CCCFBB2" w14:textId="76C93383" w:rsidR="004A3470" w:rsidRDefault="004A3470" w:rsidP="004A3470">
      <w:pPr>
        <w:spacing w:line="480" w:lineRule="auto"/>
        <w:ind w:firstLine="720"/>
        <w:rPr>
          <w:rFonts w:ascii="Georgia" w:hAnsi="Georgia"/>
        </w:rPr>
      </w:pPr>
      <w:r>
        <w:rPr>
          <w:rFonts w:ascii="Georgia" w:hAnsi="Georgia"/>
        </w:rPr>
        <w:t xml:space="preserve">The Tshisekedi administration, despite its campaign project of renegotiating the Sicomines deal, seems to still roll over for Chinese investors, solving very few of the initial problems with the deal. This is somewhat understandable as Kinshasa is charged with renegotiating the deal as well as maintaining Congolese-Chinese relations and keeping the economy afloat. In the years since the initial signing of the deal, the Chinese have dug their feet in and set down roots into the Congolese economy. China is the DRC’s largest trading partner by leaps and bounds. According to the Observatory of Economic Complexity, almost $16B of the DRC’s total $29B of exported goods go to China; the </w:t>
      </w:r>
      <w:r w:rsidR="00E670E9">
        <w:rPr>
          <w:rFonts w:ascii="Georgia" w:hAnsi="Georgia"/>
        </w:rPr>
        <w:t xml:space="preserve">DRC’s </w:t>
      </w:r>
      <w:r>
        <w:rPr>
          <w:rFonts w:ascii="Georgia" w:hAnsi="Georgia"/>
        </w:rPr>
        <w:t>next largest trading partners are the United Arab Emirates and Singapore, who each buy around $1.5B worth of goods per year</w:t>
      </w:r>
      <w:r>
        <w:rPr>
          <w:rStyle w:val="FootnoteReference"/>
          <w:rFonts w:ascii="Georgia" w:hAnsi="Georgia"/>
        </w:rPr>
        <w:footnoteReference w:id="57"/>
      </w:r>
      <w:r>
        <w:rPr>
          <w:rFonts w:ascii="Georgia" w:hAnsi="Georgia"/>
        </w:rPr>
        <w:t>. This is similarly reflected among the DRC’s imports as almost one-third of all imported goods come from China</w:t>
      </w:r>
      <w:r>
        <w:rPr>
          <w:rStyle w:val="FootnoteReference"/>
          <w:rFonts w:ascii="Georgia" w:hAnsi="Georgia"/>
        </w:rPr>
        <w:footnoteReference w:id="58"/>
      </w:r>
      <w:r>
        <w:rPr>
          <w:rFonts w:ascii="Georgia" w:hAnsi="Georgia"/>
        </w:rPr>
        <w:t xml:space="preserve">. China has firmly entangled itself into the Congolese economy, even beyond the mining sector. It’s not a stretch to describe the DRC as reliant on China. If the Chinese suddenly slapped them with trade tariffs like they have with the United States, there would be serious ramifications for the Congolese people and their government. Currently, it seems very </w:t>
      </w:r>
      <w:r>
        <w:rPr>
          <w:rFonts w:ascii="Georgia" w:hAnsi="Georgia"/>
        </w:rPr>
        <w:lastRenderedPageBreak/>
        <w:t xml:space="preserve">unlikely that China would burn this bridge with the DRC but having that level of control over the Congolese economy gives them serious leverage when it comes to negotiations, trade deals, or political support. It’s less surprising </w:t>
      </w:r>
      <w:proofErr w:type="gramStart"/>
      <w:r>
        <w:rPr>
          <w:rFonts w:ascii="Georgia" w:hAnsi="Georgia"/>
        </w:rPr>
        <w:t>then</w:t>
      </w:r>
      <w:proofErr w:type="gramEnd"/>
      <w:r>
        <w:rPr>
          <w:rFonts w:ascii="Georgia" w:hAnsi="Georgia"/>
        </w:rPr>
        <w:t xml:space="preserve"> to see the Congolese government sign a disadvantageous deal after renegotiating the original Sicomines deal as the DRC fundamentally struggles with a deficit of bargaining power.</w:t>
      </w:r>
    </w:p>
    <w:p w14:paraId="4EE0AC96" w14:textId="77777777" w:rsidR="004A3470" w:rsidRDefault="004A3470" w:rsidP="004A3470">
      <w:pPr>
        <w:spacing w:line="480" w:lineRule="auto"/>
        <w:rPr>
          <w:rFonts w:ascii="Georgia" w:hAnsi="Georgia"/>
        </w:rPr>
      </w:pPr>
      <w:r>
        <w:rPr>
          <w:rFonts w:ascii="Georgia" w:hAnsi="Georgia"/>
        </w:rPr>
        <w:tab/>
        <w:t>The DRC’s power deficit seems like a counter-intuitive concept when considering that the Congolese cobalt reserves makes up almost 70% of the world’s supply</w:t>
      </w:r>
      <w:r>
        <w:rPr>
          <w:rStyle w:val="FootnoteReference"/>
          <w:rFonts w:ascii="Georgia" w:hAnsi="Georgia"/>
        </w:rPr>
        <w:footnoteReference w:id="59"/>
      </w:r>
      <w:r>
        <w:rPr>
          <w:rFonts w:ascii="Georgia" w:hAnsi="Georgia"/>
        </w:rPr>
        <w:t>. It would seem odd without the context of the Congo’s history of state weakness that the party with such a large market share would be at a disadvantage when striking a deal with a buyer. Omri Ben-Shahar wrote an article in 2009 that expands on the theory of bargaining power</w:t>
      </w:r>
      <w:r>
        <w:rPr>
          <w:rStyle w:val="FootnoteReference"/>
          <w:rFonts w:ascii="Georgia" w:hAnsi="Georgia"/>
        </w:rPr>
        <w:footnoteReference w:id="60"/>
      </w:r>
      <w:r>
        <w:rPr>
          <w:rFonts w:ascii="Georgia" w:hAnsi="Georgia"/>
        </w:rPr>
        <w:t>. Bargaining power is an economic concept that mirrors a blend of coercion and Joseph Nye’s soft power. Generally speaking, it is the ability of one party (either the consumer or the supplier) to influence the prices for goods and services. Ben-Shahar makes this theory more applicable to political economy by expanding bargaining power to the ability to set the norms and terms of negotiations. Several factors reduce the DRC’s ability to set the terms and agenda of the deals they strike to sell their cobalt. The reputation that the Congolese mining industry has earned is a bloody one. Amnesty International’s now infamous 2016 report on human rights abuses and child labour in the Congolese cobalt industry shocked much of the Western world. This report gained a significant amount of traction among European and American audiences, and this shock and horror only grew when automakers, confronted with these charges, couldn’t reliably confirm that their lithium-ion batteries didn’t contain cobalt mined by children</w:t>
      </w:r>
      <w:r>
        <w:rPr>
          <w:rStyle w:val="FootnoteReference"/>
          <w:rFonts w:ascii="Georgia" w:hAnsi="Georgia"/>
        </w:rPr>
        <w:footnoteReference w:id="61"/>
      </w:r>
      <w:r>
        <w:rPr>
          <w:rFonts w:ascii="Georgia" w:hAnsi="Georgia"/>
        </w:rPr>
        <w:t xml:space="preserve">. Ever since then, there has been a rising pressure from civilians and policymakers for automakers and technology companies to either source less cobalt from the DRC or design batteries that relied </w:t>
      </w:r>
      <w:r>
        <w:rPr>
          <w:rFonts w:ascii="Georgia" w:hAnsi="Georgia"/>
        </w:rPr>
        <w:lastRenderedPageBreak/>
        <w:t>on less cobalt. This reputation of inhuman working conditions and human rights abuses within the Congolese mining sector has to change if the DRC intends to continue to rely on their extractive industries for economic growth. Otherwise, the Congolese government will be stuck as it is now, with fewer buyers for a critical economic sector.</w:t>
      </w:r>
    </w:p>
    <w:p w14:paraId="1C49D6ED" w14:textId="77777777" w:rsidR="004A3470" w:rsidRDefault="004A3470" w:rsidP="004A3470">
      <w:pPr>
        <w:spacing w:line="480" w:lineRule="auto"/>
        <w:rPr>
          <w:rFonts w:ascii="Georgia" w:hAnsi="Georgia"/>
        </w:rPr>
      </w:pPr>
      <w:r>
        <w:rPr>
          <w:rFonts w:ascii="Georgia" w:hAnsi="Georgia"/>
        </w:rPr>
        <w:tab/>
        <w:t>Even prior to the 2016 report on the cobalt mining conditions, the Democratic Republic of Congo’s reputation had already been strained due to the DRC’s long history with armed groups, illicit mineral trades, and governmental corruption. The largest buyers of cobalt-products, aside from China, are Europe and North America</w:t>
      </w:r>
      <w:r>
        <w:rPr>
          <w:rStyle w:val="FootnoteReference"/>
          <w:rFonts w:ascii="Georgia" w:hAnsi="Georgia"/>
        </w:rPr>
        <w:footnoteReference w:id="62"/>
      </w:r>
      <w:r>
        <w:rPr>
          <w:rFonts w:ascii="Georgia" w:hAnsi="Georgia"/>
        </w:rPr>
        <w:t xml:space="preserve">. With Europe and North America increasingly hesitant to buy Congolese cobalt, the DRC is becoming even more dependent on China. It’s under these strains that the DRC has such limited bargaining power in their negotiations with China. In 2008, when the Sicomines deal was signed, the DRC had similarly low bargaining power due to limited demand for their cobalt from other actors aside from China. The United States has only recently begun to flock to Africa in dire need of minerals to try to power an energy transition without increasing the American dependence on China. In 2008, cobalt was only relevant for large-scale technology manufacturers or in other words, China. Until the DRC can raise demand for their cobalt from other parties, they will continue to be at China’s mercy within their own mining industry. </w:t>
      </w:r>
    </w:p>
    <w:p w14:paraId="57C7132B" w14:textId="77777777" w:rsidR="004A3470" w:rsidRDefault="004A3470" w:rsidP="004A3470">
      <w:pPr>
        <w:spacing w:line="480" w:lineRule="auto"/>
        <w:rPr>
          <w:rFonts w:ascii="Georgia" w:hAnsi="Georgia"/>
        </w:rPr>
      </w:pPr>
      <w:r>
        <w:rPr>
          <w:rFonts w:ascii="Georgia" w:hAnsi="Georgia"/>
        </w:rPr>
        <w:tab/>
        <w:t>For the world’s largest producer of cobalt, the transition to green energy should be extremely lucrative, and ideally it would bring in much needed income for one of the world’s most impoverished countries. Yet there are still many unknowns to be tackled as climate change continues to accelerate and global cobalt prices begin to slip</w:t>
      </w:r>
      <w:r>
        <w:rPr>
          <w:rStyle w:val="FootnoteReference"/>
          <w:rFonts w:ascii="Georgia" w:hAnsi="Georgia"/>
        </w:rPr>
        <w:footnoteReference w:id="63"/>
      </w:r>
      <w:r>
        <w:rPr>
          <w:rFonts w:ascii="Georgia" w:hAnsi="Georgia"/>
        </w:rPr>
        <w:t xml:space="preserve">. Global changes in precipitation patterns, climbing temperatures, and more extreme weather events are all extremely likely to devastate the already struggling Democratic Republic of Congo. A 2021 Notre Dame Global </w:t>
      </w:r>
      <w:r>
        <w:rPr>
          <w:rFonts w:ascii="Georgia" w:hAnsi="Georgia"/>
        </w:rPr>
        <w:lastRenderedPageBreak/>
        <w:t>Adaptation Initiative Index ranked the DRC as the fourth least ready country to address climate shocks and the seventeenth most vulnerable country in the world</w:t>
      </w:r>
      <w:r>
        <w:rPr>
          <w:rStyle w:val="FootnoteReference"/>
          <w:rFonts w:ascii="Georgia" w:hAnsi="Georgia"/>
        </w:rPr>
        <w:footnoteReference w:id="64"/>
      </w:r>
      <w:r>
        <w:rPr>
          <w:rFonts w:ascii="Georgia" w:hAnsi="Georgia"/>
        </w:rPr>
        <w:t xml:space="preserve">. The DRC is home to the second largest rainforest on Earth that supports incredible biodiversity and the DRC’s critical agriculture industry, both of which are extremely vulnerable to climate change. The net impact of climate change on the Congo is still up in the air. If the Congolese government can make enough changes to their country, they may be able to attract other buyers for their vast mineral reserves and stabilize and grow a much-needed source of income. </w:t>
      </w:r>
    </w:p>
    <w:p w14:paraId="0B3746FE" w14:textId="77777777" w:rsidR="004A3470" w:rsidRDefault="004A3470" w:rsidP="004A3470">
      <w:pPr>
        <w:spacing w:line="480" w:lineRule="auto"/>
        <w:ind w:firstLine="720"/>
        <w:rPr>
          <w:rFonts w:ascii="Georgia" w:hAnsi="Georgia"/>
        </w:rPr>
      </w:pPr>
      <w:r>
        <w:rPr>
          <w:rFonts w:ascii="Georgia" w:hAnsi="Georgia"/>
        </w:rPr>
        <w:t>On the other hand, the mining industry for green minerals is extremely destructive to the regional environment and the Congolese. The National Institutes of Health conducted a study in 2022 on the prevalence of heavy metals in the Congolese and Zambian populations living within the copper-cobalt belt</w:t>
      </w:r>
      <w:r>
        <w:rPr>
          <w:rStyle w:val="FootnoteReference"/>
          <w:rFonts w:ascii="Georgia" w:hAnsi="Georgia"/>
        </w:rPr>
        <w:footnoteReference w:id="65"/>
      </w:r>
      <w:r>
        <w:rPr>
          <w:rFonts w:ascii="Georgia" w:hAnsi="Georgia"/>
        </w:rPr>
        <w:t>. Their study found that mineral extraction in the area was a major source of pollution, contaminating water supplies, food crops, and ambient air. Green minerals (minerals used for the construction of renewable energy sources) have an ironically destructive wake in the DRC. The pollution of cobalt and copper mines is yet another addition to the many changes the DRC will need to tackle to improve its welfare.</w:t>
      </w:r>
    </w:p>
    <w:p w14:paraId="62AB471A" w14:textId="77777777" w:rsidR="004A3470" w:rsidRDefault="004A3470" w:rsidP="004A3470">
      <w:pPr>
        <w:spacing w:line="480" w:lineRule="auto"/>
        <w:ind w:firstLine="720"/>
        <w:rPr>
          <w:rFonts w:ascii="Georgia" w:hAnsi="Georgia"/>
        </w:rPr>
      </w:pPr>
      <w:r>
        <w:rPr>
          <w:rFonts w:ascii="Georgia" w:hAnsi="Georgia"/>
        </w:rPr>
        <w:t xml:space="preserve">The future of the Democratic Republic of Congo is unclear, and climate change holds even more unknowns for a country that needs stability and security. Fundamentally, it is within the DRC’s interest to increase their relative bargaining power to China. The current status quo of their dynamic with the Chinese is inherently toxic. The Chinese are not intrinsically scheming or conniving, and the Congolese are not hapless or stupid. The problem lays not with the countries themselves but with the nature of a monopoly, the messy history, and the political economic incentives. The DRC has a power and security deficit that is both caused by its circumstances </w:t>
      </w:r>
      <w:r>
        <w:rPr>
          <w:rFonts w:ascii="Georgia" w:hAnsi="Georgia"/>
        </w:rPr>
        <w:lastRenderedPageBreak/>
        <w:t xml:space="preserve">and the rampant culture of corruption within the government. Even though the Congo as a state actor is political and economically quite weak, the failure of the renegotiated Sicomines deal has made it abundantly clear that the only means the DRC has of changing their standing is by changing the game they’re playing. </w:t>
      </w:r>
    </w:p>
    <w:p w14:paraId="5FD39F90" w14:textId="77777777" w:rsidR="004A3470" w:rsidRDefault="004A3470" w:rsidP="004A3470">
      <w:pPr>
        <w:spacing w:line="480" w:lineRule="auto"/>
        <w:rPr>
          <w:rFonts w:ascii="Georgia" w:hAnsi="Georgia"/>
        </w:rPr>
      </w:pPr>
    </w:p>
    <w:p w14:paraId="3BEE2681" w14:textId="77777777" w:rsidR="00C74058" w:rsidRPr="00FE22F4" w:rsidRDefault="00C74058" w:rsidP="00C74058">
      <w:pPr>
        <w:spacing w:line="480" w:lineRule="auto"/>
        <w:jc w:val="center"/>
        <w:rPr>
          <w:rFonts w:ascii="Georgia" w:hAnsi="Georgia"/>
          <w:i/>
          <w:iCs/>
        </w:rPr>
      </w:pPr>
      <w:r w:rsidRPr="00FE22F4">
        <w:rPr>
          <w:rFonts w:ascii="Georgia" w:hAnsi="Georgia"/>
          <w:i/>
          <w:iCs/>
        </w:rPr>
        <w:t>INTERESTS, INCENTIVES, AND INSECURITIES: CHINA</w:t>
      </w:r>
    </w:p>
    <w:p w14:paraId="3A47F1D7" w14:textId="77777777" w:rsidR="00C74058" w:rsidRDefault="00C74058" w:rsidP="00C74058">
      <w:pPr>
        <w:spacing w:line="480" w:lineRule="auto"/>
        <w:ind w:firstLine="720"/>
        <w:rPr>
          <w:rFonts w:ascii="Georgia" w:hAnsi="Georgia"/>
        </w:rPr>
      </w:pPr>
      <w:r>
        <w:rPr>
          <w:rFonts w:ascii="Georgia" w:hAnsi="Georgia"/>
        </w:rPr>
        <w:t xml:space="preserve">On the opposite side of the fence from the United States and the Democratic Republic of Congo, China has every incentive and significant ability to maintain its monopoly over the Congolese cobalt trade. In the trade of cobalt and cobalt products, from its mining to the sale of electric vehicles, China is the ten-ton elephant in the room. It was only in 2010 with the Rare Earth Crisis that the United States began to look at a Chinese mineral monopoly through a security lens. China’s 2010 restriction of rare earth minerals exports to Japan over a political dispute was the first, and certainly not last, time it had used its monopoly over a critical material as a political weapon. This incident has radically shifted how Americans perceive the cobalt monopoly of today. With the signing of the 2008 Sicomines deal, China gained access to the most cobalt-rich ground in the world for an incredible price and, today, maintains dominance over Congolese and global cobalt production. </w:t>
      </w:r>
    </w:p>
    <w:p w14:paraId="751589D0" w14:textId="77777777" w:rsidR="00C74058" w:rsidRDefault="00C74058" w:rsidP="00C74058">
      <w:pPr>
        <w:spacing w:line="480" w:lineRule="auto"/>
        <w:ind w:firstLine="720"/>
        <w:rPr>
          <w:rFonts w:ascii="Georgia" w:hAnsi="Georgia"/>
        </w:rPr>
      </w:pPr>
      <w:r>
        <w:rPr>
          <w:rFonts w:ascii="Georgia" w:hAnsi="Georgia"/>
        </w:rPr>
        <w:t xml:space="preserve">Sitting in a chair in Washington, this would be a nightmare. In 2008, the deal China signed with the Congolese government was a part of the Chinese attempts towards vertical integration for their technology manufacturing sector by gaining control over the raw materials needed for production. Since the post-2010 shift in the American perspective, China’s monopoly of this critical mineral has been subsumed into the greater Sino-American competition. It is important to note that the Congolese cobalt trade is one of dozens of the various global mineral markets where China has majority stake hold, if not an outright monopoly. In the triangular dynamic of the cobalt trade, China is the actor defined by its surplus of power and leverage. The </w:t>
      </w:r>
      <w:r>
        <w:rPr>
          <w:rFonts w:ascii="Georgia" w:hAnsi="Georgia"/>
        </w:rPr>
        <w:lastRenderedPageBreak/>
        <w:t xml:space="preserve">status quo in the Congolese cobalt trade is upheld by China’s dominance in its political, diplomatic, and economic relations with the DRC as well as the leverage that awards China over cobalt-buyers, in this case the United States. </w:t>
      </w:r>
    </w:p>
    <w:p w14:paraId="5654E00E" w14:textId="77777777" w:rsidR="00C74058" w:rsidRDefault="00C74058" w:rsidP="00C74058">
      <w:pPr>
        <w:spacing w:line="480" w:lineRule="auto"/>
        <w:ind w:firstLine="720"/>
        <w:rPr>
          <w:rFonts w:ascii="Georgia" w:hAnsi="Georgia"/>
        </w:rPr>
      </w:pPr>
      <w:r>
        <w:rPr>
          <w:rFonts w:ascii="Georgia" w:hAnsi="Georgia"/>
        </w:rPr>
        <w:t>There are several incentives for the Chinese to maintain this dominance in the Congolese cobalt trade. Cobalt and other various key minerals are critical materials for China’s large manufacturing sector. As of 2021, China’s industrial sector made up 39% of their GDP — the largest industrial sector of any wealthy nation on Earth</w:t>
      </w:r>
      <w:r>
        <w:rPr>
          <w:rStyle w:val="FootnoteReference"/>
          <w:rFonts w:ascii="Georgia" w:hAnsi="Georgia"/>
        </w:rPr>
        <w:footnoteReference w:id="66"/>
      </w:r>
      <w:r>
        <w:rPr>
          <w:rFonts w:ascii="Georgia" w:hAnsi="Georgia"/>
        </w:rPr>
        <w:t>. Though Chinese economic policy of recent years seems to favour growing their services sector, China’s industries continue to fuel growth and act as a relatively steady stream of income. Cobalt’s use in smartphones, laptops, and other complex pieces of technology originally enticed the Chinese into signing the 2008 Sicomines deal for greater and cheaper access. Since the explosion of lithium-ion batteries as the power source for electric vehicles, Chinese manufacturing of these rechargeable batteries has increased dramatically. As of 2022, China had 75% of all battery cell manufacturing capacity, 90% of anode and electrolyte production, and 50% of all lithium-ion battery production</w:t>
      </w:r>
      <w:r>
        <w:rPr>
          <w:rStyle w:val="FootnoteReference"/>
          <w:rFonts w:ascii="Georgia" w:hAnsi="Georgia"/>
        </w:rPr>
        <w:footnoteReference w:id="67"/>
      </w:r>
      <w:r>
        <w:rPr>
          <w:rFonts w:ascii="Georgia" w:hAnsi="Georgia"/>
        </w:rPr>
        <w:t>. A significant portion of this is purely to support China’s own domestic energy transition as almost half of all electric vehicles on Earth are sold and driven in China</w:t>
      </w:r>
      <w:r>
        <w:rPr>
          <w:rStyle w:val="FootnoteReference"/>
          <w:rFonts w:ascii="Georgia" w:hAnsi="Georgia"/>
        </w:rPr>
        <w:footnoteReference w:id="68"/>
      </w:r>
      <w:r>
        <w:rPr>
          <w:rFonts w:ascii="Georgia" w:hAnsi="Georgia"/>
        </w:rPr>
        <w:t xml:space="preserve">. </w:t>
      </w:r>
    </w:p>
    <w:p w14:paraId="11245DB8" w14:textId="77777777" w:rsidR="00C74058" w:rsidRDefault="00C74058" w:rsidP="00C74058">
      <w:pPr>
        <w:spacing w:line="480" w:lineRule="auto"/>
        <w:ind w:firstLine="720"/>
        <w:rPr>
          <w:rFonts w:ascii="Georgia" w:hAnsi="Georgia"/>
        </w:rPr>
      </w:pPr>
      <w:r>
        <w:rPr>
          <w:rFonts w:ascii="Georgia" w:hAnsi="Georgia"/>
        </w:rPr>
        <w:t xml:space="preserve">Comparatively, the geopolitical leverage China now has from its dominance in the cobalt trade has seemingly developed as a result of economic drivers for cheap and available cobalt. Cobalt is almost a requirement for China to maintain its vast industries and encroaching energy transition. However, even if China’s cobalt monopoly wasn’t developed for geopolitical reasons, it certainly isn’t afraid of using this advantage for political and diplomatic gain. Within its relationship with the DRC, China’s monopoly reenforces its power imbalance with the </w:t>
      </w:r>
      <w:r>
        <w:rPr>
          <w:rFonts w:ascii="Georgia" w:hAnsi="Georgia"/>
        </w:rPr>
        <w:lastRenderedPageBreak/>
        <w:t xml:space="preserve">Congolese. Comparatively, this monopoly has seemed to engender an aggressive American response rather than reinforce the current power imbalance like China’s dominance had with the Congolese. There is a complex mosaic of reasons why China has been able to pacify, or at the very least debilitate, the Congolese into compliance in such as unequal exchange. Namely, China has ingratiated itself within the Congolese economy and political economic environment, though this is now having more of an adverse effect on China’s grip on the DRC. Over time, the status quo of Chinese dominance within the Congolese cobalt trade is becoming continually more upset by the souring of Congolese people towards China and the growing American presence in the region.  </w:t>
      </w:r>
    </w:p>
    <w:p w14:paraId="3B2C0D26" w14:textId="77777777" w:rsidR="00C74058" w:rsidRDefault="00C74058" w:rsidP="00C74058">
      <w:pPr>
        <w:spacing w:line="480" w:lineRule="auto"/>
        <w:ind w:firstLine="720"/>
        <w:rPr>
          <w:rFonts w:ascii="Georgia" w:hAnsi="Georgia"/>
        </w:rPr>
      </w:pPr>
      <w:r>
        <w:rPr>
          <w:rFonts w:ascii="Georgia" w:hAnsi="Georgia"/>
        </w:rPr>
        <w:t>In its current position, China has a lot to gain by maintaining the status quo in the cobalt trade. The Observatory of Economic Complexity values the global trade of raw cobalt at around $7.7 billion as of 2021 with export growth from the DRC sitting at 54.6% from 2020 to 2021</w:t>
      </w:r>
      <w:r>
        <w:rPr>
          <w:rStyle w:val="FootnoteReference"/>
          <w:rFonts w:ascii="Georgia" w:hAnsi="Georgia"/>
        </w:rPr>
        <w:footnoteReference w:id="69"/>
      </w:r>
      <w:r>
        <w:rPr>
          <w:rFonts w:ascii="Georgia" w:hAnsi="Georgia"/>
        </w:rPr>
        <w:t>. Raw cobalt is increasing in value as its demand increases for its use in manufacturing wind turbines, jet engines, smart appliances, and more. However, the demand for lithium-ion batteries in particular is driving demand for cobalt under different implications. In a decade, we may use different minerals for smart fridges or demand might decrease for other reasons, but we know that lithium-ion batteries are going to be essential for just about every nation on Earth in the near and long-term future. According to S&amp;P Global Market Intelligence, 2022 was the third consecutive year in which American lithium-ion battery imports roughly doubled</w:t>
      </w:r>
      <w:r>
        <w:rPr>
          <w:rStyle w:val="FootnoteReference"/>
          <w:rFonts w:ascii="Georgia" w:hAnsi="Georgia"/>
        </w:rPr>
        <w:footnoteReference w:id="70"/>
      </w:r>
      <w:r>
        <w:rPr>
          <w:rFonts w:ascii="Georgia" w:hAnsi="Georgia"/>
        </w:rPr>
        <w:t>. Between 2022 and 2030, the global demand for lithium-ion batteries is expected to increase by approximately seven-fold</w:t>
      </w:r>
      <w:r>
        <w:rPr>
          <w:rStyle w:val="FootnoteReference"/>
          <w:rFonts w:ascii="Georgia" w:hAnsi="Georgia"/>
        </w:rPr>
        <w:footnoteReference w:id="71"/>
      </w:r>
      <w:r>
        <w:rPr>
          <w:rFonts w:ascii="Georgia" w:hAnsi="Georgia"/>
        </w:rPr>
        <w:t xml:space="preserve">. </w:t>
      </w:r>
    </w:p>
    <w:p w14:paraId="24013237" w14:textId="77777777" w:rsidR="00C74058" w:rsidRDefault="00C74058" w:rsidP="00C74058">
      <w:pPr>
        <w:spacing w:line="480" w:lineRule="auto"/>
        <w:ind w:firstLine="720"/>
        <w:rPr>
          <w:rFonts w:ascii="Georgia" w:hAnsi="Georgia"/>
        </w:rPr>
      </w:pPr>
      <w:r>
        <w:rPr>
          <w:rFonts w:ascii="Georgia" w:hAnsi="Georgia"/>
        </w:rPr>
        <w:lastRenderedPageBreak/>
        <w:t>Whether it is for raw cobalt or cobalt-reliant products, global demand is expected to grow substantially over the next decade, to say the least. If the status quo remains unchanged, China stands to be a primary economic benefactor from the increasing global demand for cobalt. Being a required supplier for the world’s transition to green energy would be extremely lucrative to say the least. As of 2023, the global trade for lithium-ion batteries is valued around $56.8 billion and increasing by each year</w:t>
      </w:r>
      <w:r>
        <w:rPr>
          <w:rStyle w:val="FootnoteReference"/>
          <w:rFonts w:ascii="Georgia" w:hAnsi="Georgia"/>
        </w:rPr>
        <w:footnoteReference w:id="72"/>
      </w:r>
      <w:r>
        <w:rPr>
          <w:rFonts w:ascii="Georgia" w:hAnsi="Georgia"/>
        </w:rPr>
        <w:t xml:space="preserve">. Just considering the money to be made from being the only salesman of a critical raw mineral as well as the constructor of higher margin, complex battery parts, China has a serious incentive to keep its chokehold on the cobalt trade. Any lost control over this trade would essentially just be lost money for the Chinese government and economy, and any more control gained would equate to more money flowing into China. </w:t>
      </w:r>
    </w:p>
    <w:p w14:paraId="5CF01F6D" w14:textId="4ED0F984" w:rsidR="00C74058" w:rsidRDefault="00C74058" w:rsidP="00C74058">
      <w:pPr>
        <w:spacing w:line="480" w:lineRule="auto"/>
        <w:ind w:firstLine="360"/>
        <w:rPr>
          <w:rFonts w:ascii="Georgia" w:hAnsi="Georgia"/>
        </w:rPr>
      </w:pPr>
      <w:r>
        <w:rPr>
          <w:rFonts w:ascii="Georgia" w:hAnsi="Georgia"/>
        </w:rPr>
        <w:t xml:space="preserve"> </w:t>
      </w:r>
      <w:r>
        <w:rPr>
          <w:rFonts w:ascii="Georgia" w:hAnsi="Georgia"/>
        </w:rPr>
        <w:tab/>
        <w:t>It's then interesting to reassess the 2023 renegotiation of the 2008 Sicomines deal with the Congolese government within this context. While the Chinese have no incentives to loosen their grip on the Congolese cobalt industry, they have every incentive to keep the Congolese government relatively happy (or at the very least, placated). It’s interesting and not surprising then that China would be willing to cough up an additional $7 billion</w:t>
      </w:r>
      <w:r>
        <w:rPr>
          <w:rFonts w:ascii="Georgia" w:hAnsi="Georgia"/>
          <w:b/>
          <w:bCs/>
        </w:rPr>
        <w:t xml:space="preserve"> </w:t>
      </w:r>
      <w:r>
        <w:rPr>
          <w:rFonts w:ascii="Georgia" w:hAnsi="Georgia"/>
        </w:rPr>
        <w:t>of infrastructure investments to incentivize the Congolese to not go looking elsewhere for buyers</w:t>
      </w:r>
      <w:r>
        <w:rPr>
          <w:rStyle w:val="FootnoteReference"/>
          <w:rFonts w:ascii="Georgia" w:hAnsi="Georgia"/>
        </w:rPr>
        <w:footnoteReference w:id="73"/>
      </w:r>
      <w:r>
        <w:rPr>
          <w:rFonts w:ascii="Georgia" w:hAnsi="Georgia"/>
        </w:rPr>
        <w:t>. If the Congolese started selling their cobalt to other nations directly, this would be a direct and painful blow to their industrial sector and hard-earned geo-political leverage. Without their monopoly, China loses their coercive power to demand other nations’ consent at the threat of cutting off their mineral supply (and by extension, their energy supply). There are subtler means the Chinese could use to reduce the price the Congolese could demand for their cobalt. Given China’s intensive penetration into the DRC’s economy across all of its sectors</w:t>
      </w:r>
      <w:r>
        <w:rPr>
          <w:rStyle w:val="FootnoteReference"/>
          <w:rFonts w:ascii="Georgia" w:hAnsi="Georgia"/>
        </w:rPr>
        <w:footnoteReference w:id="74"/>
      </w:r>
      <w:r>
        <w:rPr>
          <w:rFonts w:ascii="Georgia" w:hAnsi="Georgia"/>
        </w:rPr>
        <w:t xml:space="preserve">, China could reduce exports of food, clothes, or machinery as a means of coercing the Congolese government </w:t>
      </w:r>
      <w:r>
        <w:rPr>
          <w:rFonts w:ascii="Georgia" w:hAnsi="Georgia"/>
        </w:rPr>
        <w:lastRenderedPageBreak/>
        <w:t>to sell its mining rights for cheaper than their actual value. However, this likely would have backfired as that sort of underhanded diplomacy has the tendency of fostering more hostile social relations between the DRC and China. So</w:t>
      </w:r>
      <w:r w:rsidR="00E670E9">
        <w:rPr>
          <w:rFonts w:ascii="Georgia" w:hAnsi="Georgia"/>
        </w:rPr>
        <w:t>,</w:t>
      </w:r>
      <w:r>
        <w:rPr>
          <w:rFonts w:ascii="Georgia" w:hAnsi="Georgia"/>
        </w:rPr>
        <w:t xml:space="preserve"> in the end, the easiest way China could preserve its mineral monopoly in the DRC was by paying more money for their cobalt. </w:t>
      </w:r>
    </w:p>
    <w:p w14:paraId="02F28253" w14:textId="77777777" w:rsidR="00C74058" w:rsidRDefault="00C74058" w:rsidP="00C74058">
      <w:pPr>
        <w:spacing w:line="480" w:lineRule="auto"/>
        <w:ind w:firstLine="720"/>
        <w:rPr>
          <w:rFonts w:ascii="Georgia" w:hAnsi="Georgia"/>
        </w:rPr>
      </w:pPr>
      <w:r>
        <w:rPr>
          <w:rFonts w:ascii="Georgia" w:hAnsi="Georgia"/>
        </w:rPr>
        <w:t>Though many Chinese diplomats had previously gone on record as not wanting to renegotiate the deal and to keep things as they were, in the end, China’s desire to maintain the core relationship with the Congolese government outweighed any desires to save money. The conditions of the original 2008 Sicomines deal were already extremely favorable for Chinese companies. Under the original 2008 deal, several Chinese investors (some state-owned, others private) entered into a $6.2 Billion joint-venture with the DRC’s state mining company, Gecamines, to run the Sicomines copper and cobalt mine in Kolwezi</w:t>
      </w:r>
      <w:r>
        <w:rPr>
          <w:rStyle w:val="FootnoteReference"/>
          <w:rFonts w:ascii="Georgia" w:hAnsi="Georgia"/>
        </w:rPr>
        <w:footnoteReference w:id="75"/>
      </w:r>
      <w:r>
        <w:rPr>
          <w:rFonts w:ascii="Georgia" w:hAnsi="Georgia"/>
        </w:rPr>
        <w:t xml:space="preserve">. The deal had very little transparency when it was negotiated, and the budgeting and operations of the mine remains relatively opaque even today. Of the incentives to renegotiate with the Congolese, there was also a significant incentive for the Chinese to preserve their largely positive relations with the DRC. Over the past almost sixteen years since the deal was signed, the Congolese mining sector has grown and stretched to accommodate Chinese business.  </w:t>
      </w:r>
    </w:p>
    <w:p w14:paraId="2C7E68F2" w14:textId="77777777" w:rsidR="00C74058" w:rsidRDefault="00C74058" w:rsidP="00C74058">
      <w:pPr>
        <w:spacing w:line="480" w:lineRule="auto"/>
        <w:ind w:firstLine="720"/>
        <w:rPr>
          <w:rFonts w:ascii="Georgia" w:hAnsi="Georgia"/>
          <w:b/>
          <w:bCs/>
        </w:rPr>
      </w:pPr>
      <w:r>
        <w:rPr>
          <w:rFonts w:ascii="Georgia" w:hAnsi="Georgia"/>
        </w:rPr>
        <w:t>Mining is an almost notoriously low-margin industry, and many Western companies struggle to compete with Chinese mines in Africa and elsewhere across the globe. Western mines are more expensive and time-consuming to develop and maintain operation</w:t>
      </w:r>
      <w:r>
        <w:rPr>
          <w:rStyle w:val="FootnoteReference"/>
          <w:rFonts w:ascii="Georgia" w:hAnsi="Georgia"/>
        </w:rPr>
        <w:t xml:space="preserve"> </w:t>
      </w:r>
      <w:r>
        <w:rPr>
          <w:rStyle w:val="FootnoteReference"/>
          <w:rFonts w:ascii="Georgia" w:hAnsi="Georgia"/>
        </w:rPr>
        <w:footnoteReference w:id="76"/>
      </w:r>
      <w:r>
        <w:rPr>
          <w:rFonts w:ascii="Georgia" w:hAnsi="Georgia"/>
        </w:rPr>
        <w:t>. The major difference between Chinese and Western mines is the disparity in transparency and the subsequent regulations imposed on the industry.</w:t>
      </w:r>
      <w:r>
        <w:rPr>
          <w:rFonts w:ascii="Georgia" w:hAnsi="Georgia"/>
          <w:i/>
          <w:iCs/>
        </w:rPr>
        <w:t xml:space="preserve"> </w:t>
      </w:r>
      <w:r>
        <w:rPr>
          <w:rFonts w:ascii="Georgia" w:hAnsi="Georgia"/>
        </w:rPr>
        <w:t>In the West, average citizens have greater social expectations with respect to wages and working conditions for miners as well as regulations on environmental impact</w:t>
      </w:r>
      <w:r>
        <w:rPr>
          <w:rStyle w:val="FootnoteReference"/>
          <w:rFonts w:ascii="Georgia" w:hAnsi="Georgia"/>
        </w:rPr>
        <w:footnoteReference w:id="77"/>
      </w:r>
      <w:r>
        <w:rPr>
          <w:rFonts w:ascii="Georgia" w:hAnsi="Georgia"/>
        </w:rPr>
        <w:t xml:space="preserve">, and critically, they have more means of putting pressure </w:t>
      </w:r>
      <w:r>
        <w:rPr>
          <w:rFonts w:ascii="Georgia" w:hAnsi="Georgia"/>
        </w:rPr>
        <w:lastRenderedPageBreak/>
        <w:t xml:space="preserve">on their native companies and governments. Chinese state-owned and private companies work with much less transparency, and the Chinese public has substantially less ability to influence mining and environmental regulations. </w:t>
      </w:r>
    </w:p>
    <w:p w14:paraId="088CC7A3" w14:textId="77777777" w:rsidR="00C74058" w:rsidRDefault="00C74058" w:rsidP="00C74058">
      <w:pPr>
        <w:spacing w:line="480" w:lineRule="auto"/>
        <w:ind w:firstLine="720"/>
        <w:rPr>
          <w:rFonts w:ascii="Georgia" w:hAnsi="Georgia"/>
          <w:b/>
          <w:bCs/>
        </w:rPr>
      </w:pPr>
      <w:r>
        <w:rPr>
          <w:rFonts w:ascii="Georgia" w:hAnsi="Georgia"/>
        </w:rPr>
        <w:t>When it comes to the relative transparency of business, Congolese and Chinese political economic culture both trend more towards the opaque end as neither Chinese or Congolese citizens have much visibility to or control over their mining industry. This consensus on the culture of business allows Chinese companies to operate more profitable mines and acquire cheaper cobalt. The labour and environmental regulations set for mining in the DRC are determined and enforced by the Congolese government (specifically the Ministries of the Environment, Mining, and Finance). The Ministry of Mining and the Ministry of the Environment both have a record of setting low regulations and chronically under-enforcing them when it comes to Chinese-owned mines</w:t>
      </w:r>
      <w:r>
        <w:rPr>
          <w:rStyle w:val="FootnoteReference"/>
          <w:rFonts w:ascii="Georgia" w:hAnsi="Georgia"/>
        </w:rPr>
        <w:footnoteReference w:id="78"/>
      </w:r>
      <w:r>
        <w:rPr>
          <w:rFonts w:ascii="Georgia" w:hAnsi="Georgia"/>
        </w:rPr>
        <w:t xml:space="preserve">. In some cases, mining ministers will even conduct missions to pressure reluctant communities and local authorities into supporting Chinese investments and mining cooperatives. This was the case with an interview conducted by Mongabay and EL PAIS/Planeta </w:t>
      </w:r>
      <w:proofErr w:type="spellStart"/>
      <w:r>
        <w:rPr>
          <w:rFonts w:ascii="Georgia" w:hAnsi="Georgia"/>
        </w:rPr>
        <w:t>Futuro</w:t>
      </w:r>
      <w:proofErr w:type="spellEnd"/>
      <w:r>
        <w:rPr>
          <w:rFonts w:ascii="Georgia" w:hAnsi="Georgia"/>
        </w:rPr>
        <w:t xml:space="preserve"> with Congolese youth leaders of the Northern Tshopo province who had been bribed with $1,700 and company jobs for access to local lands</w:t>
      </w:r>
      <w:r>
        <w:rPr>
          <w:rStyle w:val="FootnoteReference"/>
          <w:rFonts w:ascii="Georgia" w:hAnsi="Georgia"/>
        </w:rPr>
        <w:footnoteReference w:id="79"/>
      </w:r>
      <w:r>
        <w:rPr>
          <w:rFonts w:ascii="Georgia" w:hAnsi="Georgia"/>
        </w:rPr>
        <w:t>. One leader with the pseudonym Charles Kolo said,” Kinshasa was with them. The province was with them. Even the military were with them. What could we do?”</w:t>
      </w:r>
    </w:p>
    <w:p w14:paraId="1BD379C8" w14:textId="77777777" w:rsidR="00C74058" w:rsidRDefault="00C74058" w:rsidP="00C74058">
      <w:pPr>
        <w:spacing w:line="480" w:lineRule="auto"/>
        <w:ind w:firstLine="720"/>
        <w:rPr>
          <w:rFonts w:ascii="Georgia" w:hAnsi="Georgia"/>
        </w:rPr>
      </w:pPr>
      <w:r>
        <w:rPr>
          <w:rFonts w:ascii="Georgia" w:hAnsi="Georgia"/>
        </w:rPr>
        <w:t xml:space="preserve">The Congolese federal and provincial governments make the opening and operation of Chinese mines significantly easier and cheaper. </w:t>
      </w:r>
      <w:proofErr w:type="gramStart"/>
      <w:r>
        <w:rPr>
          <w:rFonts w:ascii="Georgia" w:hAnsi="Georgia"/>
        </w:rPr>
        <w:t>Beyond greasing the wheels for industrial mines, there</w:t>
      </w:r>
      <w:proofErr w:type="gramEnd"/>
      <w:r>
        <w:rPr>
          <w:rFonts w:ascii="Georgia" w:hAnsi="Georgia"/>
        </w:rPr>
        <w:t xml:space="preserve"> are numerous other back doors that have been left open for the Chinese to acquire cheap cobalt. Artisanal mines were authorized under the Congolese Mining Code, and these miners were under even looser environmental and labour regulations than industrial mines, many of </w:t>
      </w:r>
      <w:r>
        <w:rPr>
          <w:rFonts w:ascii="Georgia" w:hAnsi="Georgia"/>
        </w:rPr>
        <w:lastRenderedPageBreak/>
        <w:t>which aren’t practically enforceable</w:t>
      </w:r>
      <w:r>
        <w:rPr>
          <w:rStyle w:val="FootnoteReference"/>
          <w:rFonts w:ascii="Georgia" w:hAnsi="Georgia"/>
        </w:rPr>
        <w:footnoteReference w:id="80"/>
      </w:r>
      <w:r>
        <w:rPr>
          <w:rFonts w:ascii="Georgia" w:hAnsi="Georgia"/>
        </w:rPr>
        <w:t>. Chinese buyers in vast cobalt trade centers buy illicit cobalt mined under extremely dubious conditions before selling them to larger mining companies. The cobalt bought in markets by middlemen is often both cheaper and carries the extra coverage of plausible deniability for the human rights abuses occurring in many artisanal mines. Amnesty International and African Resource Watch released a damning report in 2016 on Congo DongFang Mining International (CDM), among other companies, buying and selling this cheap cobalt purchased by middlemen</w:t>
      </w:r>
      <w:r>
        <w:rPr>
          <w:rStyle w:val="FootnoteReference"/>
          <w:rFonts w:ascii="Georgia" w:hAnsi="Georgia"/>
        </w:rPr>
        <w:footnoteReference w:id="81"/>
      </w:r>
      <w:r>
        <w:rPr>
          <w:rFonts w:ascii="Georgia" w:hAnsi="Georgia"/>
        </w:rPr>
        <w:t xml:space="preserve">. They traced the cobalt bought by these massive mining cooperatives to the artisanal mines where it had been produced, finding numerous children working to dig up the very cobalt being used for Chinese batteries and smartphones. </w:t>
      </w:r>
    </w:p>
    <w:p w14:paraId="1AF39EA9" w14:textId="77777777" w:rsidR="00C74058" w:rsidRDefault="00C74058" w:rsidP="00C74058">
      <w:pPr>
        <w:spacing w:line="480" w:lineRule="auto"/>
        <w:ind w:firstLine="360"/>
        <w:rPr>
          <w:rFonts w:ascii="Georgia" w:hAnsi="Georgia"/>
        </w:rPr>
      </w:pPr>
      <w:r>
        <w:rPr>
          <w:rFonts w:ascii="Georgia" w:hAnsi="Georgia"/>
        </w:rPr>
        <w:tab/>
        <w:t xml:space="preserve">The Congolese government is similarly implicated in the trade of, or at least consent to, tainted or illicit cobalt. The DRC created the Entreprise Generale du Cobalt (EGC) to contain the issue of illicit, artisanal mined cobalt in 2021 due to mass public pressure to improve the working conditions and standard wages of miners. The idea was for the EGC to buy up all of the artisanal cobalt at a price that gave legitimate miners a living wage (encouraging more illegal miners to switch to hopefully more profitable legal mining) and then the EGC would sell this cobalt to mining companies instead of it being purchased through sketchy trade centers. As of the writing of this paper, the EGC has yet to buy any cobalt. The Congolese government’s trend of paper promises and Chinese firm’s tendency to buy through shady middlemen are examples of the softer elements of the Chinese-Congolese relations that have been built over the last sixteen years. The Congolese government has adapted its mining industry and its economy to create easier conditions for Chinese business. The culture of business that the DRC and China have built together is a piece of the status quo that China paid an additional $7 Billion to maintain in 2023. When the DRC is unhappy, demanding more compensation, or is threatening </w:t>
      </w:r>
      <w:r>
        <w:rPr>
          <w:rFonts w:ascii="Georgia" w:hAnsi="Georgia"/>
        </w:rPr>
        <w:lastRenderedPageBreak/>
        <w:t xml:space="preserve">to look elsewhere for customers, there is more at stake for China than simply lost profits. Even if the Chinese </w:t>
      </w:r>
      <w:r>
        <w:rPr>
          <w:rFonts w:ascii="Georgia" w:hAnsi="Georgia"/>
          <w:i/>
          <w:iCs/>
        </w:rPr>
        <w:t>could</w:t>
      </w:r>
      <w:r>
        <w:rPr>
          <w:rFonts w:ascii="Georgia" w:hAnsi="Georgia"/>
        </w:rPr>
        <w:t xml:space="preserve"> look elsewhere to stake out a monopoly in the cobalt industry (which, to be clear, they couldn’t), the domestic political economic environment would not be so well adapted for the greater profitability of Chinese business. </w:t>
      </w:r>
    </w:p>
    <w:p w14:paraId="0F1A8B4B" w14:textId="77777777" w:rsidR="00C74058" w:rsidRDefault="00C74058" w:rsidP="00C74058">
      <w:pPr>
        <w:spacing w:line="480" w:lineRule="auto"/>
        <w:ind w:firstLine="720"/>
        <w:rPr>
          <w:rFonts w:ascii="Georgia" w:hAnsi="Georgia"/>
        </w:rPr>
      </w:pPr>
      <w:r>
        <w:rPr>
          <w:rFonts w:ascii="Georgia" w:hAnsi="Georgia"/>
        </w:rPr>
        <w:t>There are yet still broader incentives for maintaining the current balance of Chinese-Congolese relations. The 2008 Sicomines deal does not live in a vacuum, devoid of its context. It was a piece of what would grow into a much larger foreign policy initiative by the Chinese government – the now infamous Belt and Road Initiative (BRI). The BRI began in 2013 as a means of connecting East Asia with Europe through its New Silk Road land route and a Maritime route that spanned the Indian Ocean and crossed the Suez Canal into the Mediterranean. However, the BRI soon expanded to include much of Southeast Asia, Africa, and the Middle East. As the BRI expanded in physical scope it also began to include projects more aimed towards development and aligning BRI members on high-level government policies</w:t>
      </w:r>
      <w:r>
        <w:rPr>
          <w:rStyle w:val="FootnoteReference"/>
          <w:rFonts w:ascii="Georgia" w:hAnsi="Georgia"/>
        </w:rPr>
        <w:footnoteReference w:id="82"/>
      </w:r>
      <w:r>
        <w:rPr>
          <w:rFonts w:ascii="Georgia" w:hAnsi="Georgia"/>
        </w:rPr>
        <w:t>. Many of the new nations being brought into the BRI were poorer countries who would sign investment deals with Chinese firms to build infrastructure projects (e.g. railways, ports, highways, etc.). While the BRI is certainly still profitable and a key part of China’s foreign policy strategy, it’s become more divisive at home and abroad as the full bill of global development has come knocking</w:t>
      </w:r>
      <w:r>
        <w:rPr>
          <w:rStyle w:val="FootnoteReference"/>
          <w:rFonts w:ascii="Georgia" w:hAnsi="Georgia"/>
        </w:rPr>
        <w:footnoteReference w:id="83"/>
      </w:r>
      <w:r>
        <w:rPr>
          <w:rFonts w:ascii="Georgia" w:hAnsi="Georgia"/>
        </w:rPr>
        <w:t xml:space="preserve">. So where does the DRC fit into this? </w:t>
      </w:r>
    </w:p>
    <w:p w14:paraId="085E842E" w14:textId="50641578" w:rsidR="00C74058" w:rsidRDefault="00C74058" w:rsidP="00C74058">
      <w:pPr>
        <w:spacing w:line="480" w:lineRule="auto"/>
        <w:ind w:firstLine="720"/>
        <w:rPr>
          <w:rFonts w:ascii="Georgia" w:hAnsi="Georgia"/>
        </w:rPr>
      </w:pPr>
      <w:r>
        <w:rPr>
          <w:rFonts w:ascii="Georgia" w:hAnsi="Georgia"/>
        </w:rPr>
        <w:t>The Democratic Republic of Congo only signed an official BRI Memorandum of Understanding in 2021</w:t>
      </w:r>
      <w:r>
        <w:rPr>
          <w:rStyle w:val="FootnoteReference"/>
          <w:rFonts w:ascii="Georgia" w:hAnsi="Georgia"/>
        </w:rPr>
        <w:footnoteReference w:id="84"/>
      </w:r>
      <w:r>
        <w:rPr>
          <w:rFonts w:ascii="Georgia" w:hAnsi="Georgia"/>
        </w:rPr>
        <w:t>, and the 2008 Sicomines deal pre-dates the BRI by several years. The BRI and the Sicomines deal are both useful examples of how China used economically</w:t>
      </w:r>
      <w:r w:rsidR="00E670E9">
        <w:rPr>
          <w:rFonts w:ascii="Georgia" w:hAnsi="Georgia"/>
        </w:rPr>
        <w:t xml:space="preserve"> </w:t>
      </w:r>
      <w:r>
        <w:rPr>
          <w:rFonts w:ascii="Georgia" w:hAnsi="Georgia"/>
        </w:rPr>
        <w:t xml:space="preserve">focused deals to develop </w:t>
      </w:r>
      <w:proofErr w:type="gramStart"/>
      <w:r>
        <w:rPr>
          <w:rFonts w:ascii="Georgia" w:hAnsi="Georgia"/>
        </w:rPr>
        <w:t>real</w:t>
      </w:r>
      <w:proofErr w:type="gramEnd"/>
      <w:r>
        <w:rPr>
          <w:rFonts w:ascii="Georgia" w:hAnsi="Georgia"/>
        </w:rPr>
        <w:t xml:space="preserve"> political, diplomatic power. Generally speaking, the success of the 2008 </w:t>
      </w:r>
      <w:r>
        <w:rPr>
          <w:rFonts w:ascii="Georgia" w:hAnsi="Georgia"/>
        </w:rPr>
        <w:lastRenderedPageBreak/>
        <w:t xml:space="preserve">Sicomines deal incentivized the Chinese to expand their business-focused partnerships with other nations, especially in Africa. Proponents of the BRI argue that China’s dealings in Africa speak better to African needs and work with African countries on more equal terms than historic dealings between Africa and the West. Opponents of the BRI argue that the terms of Chinese loans border on predatory (the term “debt-trapping” gets thrown around a lot) and semi-coercive relations are used to secure African support for China on the world stage. Both of these arguments aren’t technically antithetical to one another, and rather, combined, they build a more holistic image of Chinese relations in Africa. </w:t>
      </w:r>
    </w:p>
    <w:p w14:paraId="2D019A93" w14:textId="77777777" w:rsidR="00C74058" w:rsidRDefault="00C74058" w:rsidP="00C74058">
      <w:pPr>
        <w:spacing w:line="480" w:lineRule="auto"/>
        <w:ind w:firstLine="720"/>
        <w:rPr>
          <w:rFonts w:ascii="Georgia" w:hAnsi="Georgia"/>
        </w:rPr>
      </w:pPr>
      <w:r>
        <w:rPr>
          <w:rFonts w:ascii="Georgia" w:hAnsi="Georgia"/>
        </w:rPr>
        <w:t>After the Chinese government hosted the 2007 annual meeting of the African Development Bank in Shanghai, China started taking a more active role in trying to fill the gaps left by largely ineffective Western development aid. Horace Campbell characterizes state-to-state relations as largely opportunistic and colours Chinese interest in Africa as a largely pragmatic bid for African resources</w:t>
      </w:r>
      <w:r>
        <w:rPr>
          <w:rStyle w:val="FootnoteReference"/>
          <w:rFonts w:ascii="Georgia" w:hAnsi="Georgia"/>
        </w:rPr>
        <w:footnoteReference w:id="85"/>
      </w:r>
      <w:r>
        <w:rPr>
          <w:rFonts w:ascii="Georgia" w:hAnsi="Georgia"/>
        </w:rPr>
        <w:t>. Even in 2007, before most climate scientists and engineers had determined how vital certain minerals would be for the upcoming energy transition, China had a distinct need for precious minerals. Their growing economy was and is largely based on manufacturing exports, especially of technology and machinery, and requires a high quantity of raw minerals to keep up with demand for Chinese goods</w:t>
      </w:r>
      <w:r>
        <w:rPr>
          <w:rStyle w:val="FootnoteReference"/>
          <w:rFonts w:ascii="Georgia" w:hAnsi="Georgia"/>
        </w:rPr>
        <w:footnoteReference w:id="86"/>
      </w:r>
      <w:r>
        <w:rPr>
          <w:rFonts w:ascii="Georgia" w:hAnsi="Georgia"/>
        </w:rPr>
        <w:t>. The initial goal for fostering better relations with African nations was largely based on economic pragmatism. Yet the Chinese explicitly approached African nations to build a “Partnership of Equals,” at least rhetorically</w:t>
      </w:r>
      <w:r>
        <w:rPr>
          <w:rStyle w:val="FootnoteReference"/>
          <w:rFonts w:ascii="Georgia" w:hAnsi="Georgia"/>
        </w:rPr>
        <w:footnoteReference w:id="87"/>
      </w:r>
      <w:r>
        <w:rPr>
          <w:rFonts w:ascii="Georgia" w:hAnsi="Georgia"/>
        </w:rPr>
        <w:t xml:space="preserve">. This rhetorical choice to center their equal footing is likely used to contrast the historically unequal relations between the West and Africa. The Chinese chose to center the frustrations that African countries had been identifying at the 2007 summit– namely the needs </w:t>
      </w:r>
      <w:r>
        <w:rPr>
          <w:rFonts w:ascii="Georgia" w:hAnsi="Georgia"/>
        </w:rPr>
        <w:lastRenderedPageBreak/>
        <w:t xml:space="preserve">for developmental rather than humanitarian aid and an end to patronizing relations – and were initially more successful at gaining African diplomatic support. </w:t>
      </w:r>
    </w:p>
    <w:p w14:paraId="3193C648" w14:textId="77777777" w:rsidR="00C74058" w:rsidRDefault="00C74058" w:rsidP="00C74058">
      <w:pPr>
        <w:spacing w:line="480" w:lineRule="auto"/>
        <w:ind w:firstLine="720"/>
        <w:rPr>
          <w:rFonts w:ascii="Georgia" w:hAnsi="Georgia"/>
        </w:rPr>
      </w:pPr>
      <w:r>
        <w:rPr>
          <w:rFonts w:ascii="Georgia" w:hAnsi="Georgia"/>
        </w:rPr>
        <w:t>Though “debt-trap diplomacy” is a political enticing term, it doesn’t seem to be wholly accurate for the situation in most African countries. Anzetse Were describes how many African countries have chosen to take on larger projects that require more money up-front and rely on Chinese lending for the cash necessary to complete those projects</w:t>
      </w:r>
      <w:r>
        <w:rPr>
          <w:rStyle w:val="FootnoteReference"/>
          <w:rFonts w:ascii="Georgia" w:hAnsi="Georgia"/>
        </w:rPr>
        <w:footnoteReference w:id="88"/>
      </w:r>
      <w:r>
        <w:rPr>
          <w:rFonts w:ascii="Georgia" w:hAnsi="Georgia"/>
        </w:rPr>
        <w:t>. The development projects many African countries needed (things like ports, governmental offices, transnational railways, etc.) are extremely cash intensive and required expansive foreign loans. At a time where Western countries like the United States were largely interested in humanitarian aid, China was the only investor with enough cash to finance these projects. This lending wasn’t as well thought out as it really should have been, and as some nations are beginning to default on their loans, Xi Jinping’s “no strings attached” loan style</w:t>
      </w:r>
      <w:r>
        <w:rPr>
          <w:rStyle w:val="FootnoteReference"/>
          <w:rFonts w:ascii="Georgia" w:hAnsi="Georgia"/>
        </w:rPr>
        <w:footnoteReference w:id="89"/>
      </w:r>
      <w:r>
        <w:rPr>
          <w:rFonts w:ascii="Georgia" w:hAnsi="Georgia"/>
        </w:rPr>
        <w:t xml:space="preserve"> will likely have to be revised. The larger issue with the vaguely orientalist assumptions about Chinese debt-trapping is that these critiques seem to miss one of the main goals of Chinese diplomacy in Africa. </w:t>
      </w:r>
    </w:p>
    <w:p w14:paraId="0D2A7992" w14:textId="77777777" w:rsidR="00C74058" w:rsidRDefault="00C74058" w:rsidP="00C74058">
      <w:pPr>
        <w:spacing w:line="480" w:lineRule="auto"/>
        <w:ind w:firstLine="720"/>
        <w:rPr>
          <w:rFonts w:ascii="Georgia" w:hAnsi="Georgia"/>
        </w:rPr>
      </w:pPr>
      <w:r>
        <w:rPr>
          <w:rFonts w:ascii="Georgia" w:hAnsi="Georgia"/>
        </w:rPr>
        <w:t>The debt many BRI-recipients are now struggling with was not the primary goal of Chinese loans. Rather these aggressive loans were an oversight in China’s energetic efforts to strengthen diplomatic, political, and economic relations in Africa.</w:t>
      </w:r>
      <w:r>
        <w:rPr>
          <w:rFonts w:ascii="Georgia" w:hAnsi="Georgia"/>
          <w:i/>
          <w:iCs/>
        </w:rPr>
        <w:t xml:space="preserve"> </w:t>
      </w:r>
      <w:r>
        <w:rPr>
          <w:rFonts w:ascii="Georgia" w:hAnsi="Georgia"/>
        </w:rPr>
        <w:t xml:space="preserve">The broader goal of this diplomacy is for the sake of diplomacy itself. While many American critics spend time arguing over whether the BRI is a direct snub to historically declining American power in Africa, not enough pay attention to how China has been largely successful in answering African needs (at least on paper). The rhetoric around equal partnerships and the focus on infrastructure and development is still very present and relatively effective in Chinese foreign policy in Africa </w:t>
      </w:r>
      <w:r>
        <w:rPr>
          <w:rFonts w:ascii="Georgia" w:hAnsi="Georgia"/>
        </w:rPr>
        <w:lastRenderedPageBreak/>
        <w:t xml:space="preserve">today. The most notable development from the BRI for China hasn’t been wholesale decline of American power but the fostering of Chinese soft power across the continent. </w:t>
      </w:r>
    </w:p>
    <w:p w14:paraId="31869F78" w14:textId="77777777" w:rsidR="00C74058" w:rsidRDefault="00C74058" w:rsidP="00C74058">
      <w:pPr>
        <w:spacing w:line="480" w:lineRule="auto"/>
        <w:ind w:firstLine="720"/>
        <w:rPr>
          <w:rFonts w:ascii="Georgia" w:hAnsi="Georgia"/>
        </w:rPr>
      </w:pPr>
      <w:r>
        <w:rPr>
          <w:rFonts w:ascii="Georgia" w:hAnsi="Georgia"/>
        </w:rPr>
        <w:t>Joseph Nye’s concept of soft power is part of the backbone of Chinese relations in Africa. The ability to get others to do what you want because they want to, not because they have to, is a potent weapon on the international stage. The expression of most forms of power usually fosters greater bitterness and anxieties over national security. By focusing on African needs and meeting their taste for independence and equality, China can build a better international reputation within Africa. This is clearly already paying its dividends – a collection of 2019/2020 national surveys by Afrobarometer in 34 African countries showed approximately two-thirds of Africans saying that China was having a positive political and economic influence in their country</w:t>
      </w:r>
      <w:r>
        <w:rPr>
          <w:rStyle w:val="FootnoteReference"/>
          <w:rFonts w:ascii="Georgia" w:hAnsi="Georgia"/>
        </w:rPr>
        <w:footnoteReference w:id="90"/>
      </w:r>
      <w:r>
        <w:rPr>
          <w:rFonts w:ascii="Georgia" w:hAnsi="Georgia"/>
        </w:rPr>
        <w:t>. By strengthening its reputation abroad, China can build a greater, more sympathetic consensus in the international community without inciting widespread fear at rising Chinese power. Africa holds 54 member states of the United Nations, the largest regional group in the UN, and China can, and has, use(d) this to its advantage when it comes under fire for things like human rights abuses. During the 2022 efforts to condemn China’s detention and brutalization of the Uyghur Muslims, most Muslim majority countries in Asia and Africa remained largely silent, some even uniting with Pakistan, Morocco, and Egypt to call for a stop to the UN’s interference with Chinese domestic affairs</w:t>
      </w:r>
      <w:r>
        <w:rPr>
          <w:rStyle w:val="FootnoteReference"/>
          <w:rFonts w:ascii="Georgia" w:hAnsi="Georgia"/>
        </w:rPr>
        <w:footnoteReference w:id="91"/>
      </w:r>
      <w:r>
        <w:rPr>
          <w:rFonts w:ascii="Georgia" w:hAnsi="Georgia"/>
        </w:rPr>
        <w:t xml:space="preserve">. </w:t>
      </w:r>
    </w:p>
    <w:p w14:paraId="14A098BC" w14:textId="77777777" w:rsidR="00C74058" w:rsidRDefault="00C74058" w:rsidP="00C74058">
      <w:pPr>
        <w:spacing w:line="480" w:lineRule="auto"/>
        <w:ind w:firstLine="360"/>
        <w:rPr>
          <w:rFonts w:ascii="Georgia" w:hAnsi="Georgia"/>
        </w:rPr>
      </w:pPr>
      <w:r>
        <w:rPr>
          <w:rFonts w:ascii="Georgia" w:hAnsi="Georgia"/>
        </w:rPr>
        <w:tab/>
        <w:t xml:space="preserve">Convincing countries to act against what is likely their own interest or values is one of the more disturbing side effects of building this greater sympathetic consensus. States can act more amorally than most individuals would ever dream of, and there is a difference between developing soft power government-government compared to government-people or people-people. China can develop its soft power either through fostering greater public affection or by </w:t>
      </w:r>
      <w:r>
        <w:rPr>
          <w:rFonts w:ascii="Georgia" w:hAnsi="Georgia"/>
        </w:rPr>
        <w:lastRenderedPageBreak/>
        <w:t>bonding with governments due to a similar political economic culture. Either (or preferably both) are useful for getting better deals in China’s infrastructure agreements. Most states are more willing to give more generous terms to friends rather than associates. However, this can all backfire in cases like the DRC. The DRC ranks 166</w:t>
      </w:r>
      <w:r>
        <w:rPr>
          <w:rFonts w:ascii="Georgia" w:hAnsi="Georgia"/>
          <w:vertAlign w:val="superscript"/>
        </w:rPr>
        <w:t>th</w:t>
      </w:r>
      <w:r>
        <w:rPr>
          <w:rFonts w:ascii="Georgia" w:hAnsi="Georgia"/>
        </w:rPr>
        <w:t xml:space="preserve"> out of 180 countries on the Corruption Perceptions Index</w:t>
      </w:r>
      <w:r>
        <w:rPr>
          <w:rStyle w:val="FootnoteReference"/>
          <w:rFonts w:ascii="Georgia" w:hAnsi="Georgia"/>
        </w:rPr>
        <w:footnoteReference w:id="92"/>
      </w:r>
      <w:r>
        <w:rPr>
          <w:rFonts w:ascii="Georgia" w:hAnsi="Georgia"/>
        </w:rPr>
        <w:t>. The Corruption Perceptions Index uses public opinion data on 180 countries around the world to determine how corrupt citizens think their governments are and ranking them based on that score. With a rank of 168</w:t>
      </w:r>
      <w:r>
        <w:rPr>
          <w:rFonts w:ascii="Georgia" w:hAnsi="Georgia"/>
          <w:vertAlign w:val="superscript"/>
        </w:rPr>
        <w:t>th</w:t>
      </w:r>
      <w:r>
        <w:rPr>
          <w:rFonts w:ascii="Georgia" w:hAnsi="Georgia"/>
        </w:rPr>
        <w:t xml:space="preserve"> of 180 countries and a score of 20/100, the DRC is seen as one of the most corrupt countries on Earth by its own citizens. In American politics, presidents who were extremely popular have “long coat tails” that make it easy for people associated with them to ride their wave of popularity just by association, and the inverse is true of presidents with “short coat tails.” In the case of China’s relationship of equals with the DRC government, participating in non-transparent deals with a corrupt government could be part of the source of the Congolese public largely souring on the Chinese presence in the country.</w:t>
      </w:r>
    </w:p>
    <w:p w14:paraId="70102B7A" w14:textId="77777777" w:rsidR="00C74058" w:rsidRDefault="00C74058" w:rsidP="00C74058">
      <w:pPr>
        <w:spacing w:line="480" w:lineRule="auto"/>
        <w:ind w:firstLine="360"/>
        <w:rPr>
          <w:rFonts w:ascii="Georgia" w:hAnsi="Georgia"/>
        </w:rPr>
      </w:pPr>
      <w:r>
        <w:rPr>
          <w:rFonts w:ascii="Georgia" w:hAnsi="Georgia"/>
        </w:rPr>
        <w:tab/>
        <w:t>While the Congolese government has largely opened the gates for Chinese investors, the Congolese people have become increasingly agitated with Chinese presence in the DRC. Working-class Congolese have been the most outspoken as to how Chinese mining firms actively hurt the Congo. In some cases, this can make village leaders like Charles Kolo less welcoming to Chinese companies opening mines near them, and in other cases, it can spark protests and riots. The anti-government riots of 2015 swelled in response to President Kabila’s new election laws, designed to make it easier for him to stay in power even if he wasn’t re-elected</w:t>
      </w:r>
      <w:r>
        <w:rPr>
          <w:rStyle w:val="FootnoteReference"/>
          <w:rFonts w:ascii="Georgia" w:hAnsi="Georgia"/>
        </w:rPr>
        <w:footnoteReference w:id="93"/>
      </w:r>
      <w:r>
        <w:rPr>
          <w:rFonts w:ascii="Georgia" w:hAnsi="Georgia"/>
        </w:rPr>
        <w:t xml:space="preserve">. However, riots in Kinshasa quickly took an anti-Chinese turn as protestors started attacking Chinese-owned stores (around 50 in total) for the Chinese connections with Kabila’s government. Anti-Chinese protests are still occurring in flashes around the country, most often in and around major </w:t>
      </w:r>
      <w:r>
        <w:rPr>
          <w:rFonts w:ascii="Georgia" w:hAnsi="Georgia"/>
        </w:rPr>
        <w:lastRenderedPageBreak/>
        <w:t>mining areas. A 2021 protest was sparked in a small town, Kitutu, in the South Kivu province, demanding that a Chinese-owned gold mine cease operations immediately due to serious environmental violations</w:t>
      </w:r>
      <w:r>
        <w:rPr>
          <w:rStyle w:val="FootnoteReference"/>
          <w:rFonts w:ascii="Georgia" w:hAnsi="Georgia"/>
        </w:rPr>
        <w:footnoteReference w:id="94"/>
      </w:r>
      <w:r>
        <w:rPr>
          <w:rFonts w:ascii="Georgia" w:hAnsi="Georgia"/>
        </w:rPr>
        <w:t xml:space="preserve">. Local activist Justin Mubarkikwa told Agence France-Presse (AFP),”The people of Kitutu barricaded the road to demand the Chinese company that continues to exploit minerals to stop its activities.” </w:t>
      </w:r>
    </w:p>
    <w:p w14:paraId="3760D697" w14:textId="77777777" w:rsidR="00C74058" w:rsidRDefault="00C74058" w:rsidP="00C74058">
      <w:pPr>
        <w:spacing w:line="480" w:lineRule="auto"/>
        <w:ind w:firstLine="720"/>
        <w:rPr>
          <w:rFonts w:ascii="Georgia" w:hAnsi="Georgia"/>
        </w:rPr>
      </w:pPr>
      <w:r>
        <w:rPr>
          <w:rFonts w:ascii="Georgia" w:hAnsi="Georgia"/>
        </w:rPr>
        <w:t>Many of the anti-Chinese protests were centered on Chinese exploitation of Congolese minerals and the rampant environmental damage Chinese companies refused to address. While Kinshasa has been open to renegotiating with the Chinese for a better deal on Chinese mining within the Congo, the Congolese people still seem to be conflicted over whether diplomacy with the Chinese is worth it at all. Even though many other Africans have quite positive perceptions of China from all their investments in African development, the Congolese are souring on the Chinese presence in the DRC.</w:t>
      </w:r>
    </w:p>
    <w:p w14:paraId="19152EA8" w14:textId="77777777" w:rsidR="00C74058" w:rsidRDefault="00C74058" w:rsidP="00C74058">
      <w:pPr>
        <w:spacing w:line="480" w:lineRule="auto"/>
        <w:ind w:firstLine="720"/>
        <w:rPr>
          <w:rFonts w:ascii="Georgia" w:hAnsi="Georgia"/>
        </w:rPr>
      </w:pPr>
      <w:r>
        <w:rPr>
          <w:rFonts w:ascii="Georgia" w:hAnsi="Georgia"/>
        </w:rPr>
        <w:t xml:space="preserve">For the first time in over a decade, this might be a real problem for China. Generally speaking, the Congolese were already suspicious of Chinese investment when the Sicomines deal was first signed, and protests or local resistance have continually popped up in small towns over the past sixteen years. Why would now be any different? There are additional factors that threaten China’s grip on Congolese cobalt that have developed over the past few years. In the DRC, there was a massive political shift when the previous Congolese president, Joseph Kabila, stepped down from power in 2019 and the Congo got to vote for its first democratically elected President. The Sicomines deal and the opaque political economic culture were developed under the DRC’s famously corrupt, autocratic political system. Now that Kabila is gone and Tshisekedi has spurred on his anti-corruption campaign, the pressure from embittered Congolese voters have more of an impact on Sino-Congolese relations. This bubbled up into the renegotiation of </w:t>
      </w:r>
      <w:r>
        <w:rPr>
          <w:rFonts w:ascii="Georgia" w:hAnsi="Georgia"/>
        </w:rPr>
        <w:lastRenderedPageBreak/>
        <w:t>the Sicomines deal in 2023 under the pressure Tshisekedi faced as he ran for re-election that year. However, seeing as Tshisekedi’s administration is also under fire by several activists and the Catholic Church for claims of corruption and embezzlement, it’s unlikely that the Congolese government’s trail of corruption and lack of political economic transparency will end any time soon</w:t>
      </w:r>
      <w:r>
        <w:rPr>
          <w:rStyle w:val="FootnoteReference"/>
          <w:rFonts w:ascii="Georgia" w:hAnsi="Georgia"/>
        </w:rPr>
        <w:footnoteReference w:id="95"/>
      </w:r>
      <w:r>
        <w:rPr>
          <w:rFonts w:ascii="Georgia" w:hAnsi="Georgia"/>
        </w:rPr>
        <w:t>. Yet, it is still notable that Congolese voters are slowly gaining more power in the DRC.</w:t>
      </w:r>
    </w:p>
    <w:p w14:paraId="5CABA7AA" w14:textId="2A986BF2" w:rsidR="00C74058" w:rsidRDefault="00C74058" w:rsidP="00C74058">
      <w:pPr>
        <w:spacing w:line="480" w:lineRule="auto"/>
        <w:ind w:firstLine="720"/>
        <w:rPr>
          <w:rFonts w:ascii="Georgia" w:hAnsi="Georgia"/>
        </w:rPr>
      </w:pPr>
      <w:r>
        <w:rPr>
          <w:rFonts w:ascii="Georgia" w:hAnsi="Georgia"/>
        </w:rPr>
        <w:t>More substantially, China itself is struggling with a punishing, post-COVID economic slowdown. With a large labour force, a large trade surplus, and a steady-footed domestic market, China has been able to continually grow its economy even through periods of domestic and global turmoil. So</w:t>
      </w:r>
      <w:r w:rsidR="00E670E9">
        <w:rPr>
          <w:rFonts w:ascii="Georgia" w:hAnsi="Georgia"/>
        </w:rPr>
        <w:t>,</w:t>
      </w:r>
      <w:r>
        <w:rPr>
          <w:rFonts w:ascii="Georgia" w:hAnsi="Georgia"/>
        </w:rPr>
        <w:t xml:space="preserve"> 2023 rang a lot of alarm bells for economists and investors around the world as China struggled to achieve its 5.2% GDP growth, even after ending pandemic lockdown protocols in January</w:t>
      </w:r>
      <w:r>
        <w:rPr>
          <w:rStyle w:val="FootnoteReference"/>
          <w:rFonts w:ascii="Georgia" w:hAnsi="Georgia"/>
        </w:rPr>
        <w:footnoteReference w:id="96"/>
      </w:r>
      <w:r>
        <w:rPr>
          <w:rFonts w:ascii="Georgia" w:hAnsi="Georgia"/>
        </w:rPr>
        <w:t>. Aside from the years under the coronavirus pandemic, this was a shockingly low growth rate from a country which hasn’t seen under 5% GDP growth since 1990</w:t>
      </w:r>
      <w:r>
        <w:rPr>
          <w:rStyle w:val="FootnoteReference"/>
          <w:rFonts w:ascii="Georgia" w:hAnsi="Georgia"/>
        </w:rPr>
        <w:footnoteReference w:id="97"/>
      </w:r>
      <w:r>
        <w:rPr>
          <w:rFonts w:ascii="Georgia" w:hAnsi="Georgia"/>
        </w:rPr>
        <w:t xml:space="preserve">. This sluggish growth is evident of a few persistent factors that explain why China is struggling in 2024 to achieve its 5% growth target once again. China’s once prosperous property market, cash-strapped local governments, low domestic and foreign confidence, and struggles with youth unemployment are all handicapping the Chinese economy. </w:t>
      </w:r>
    </w:p>
    <w:p w14:paraId="404C0D48" w14:textId="3471E41A" w:rsidR="00C74058" w:rsidRDefault="00C74058" w:rsidP="00C74058">
      <w:pPr>
        <w:spacing w:line="480" w:lineRule="auto"/>
        <w:ind w:firstLine="720"/>
        <w:rPr>
          <w:rFonts w:ascii="Georgia" w:hAnsi="Georgia"/>
        </w:rPr>
      </w:pPr>
      <w:r>
        <w:rPr>
          <w:rFonts w:ascii="Georgia" w:hAnsi="Georgia"/>
        </w:rPr>
        <w:t>A bursting property bubble has garnered a lot of attention on headlines about the decline in the Chinese economy. Once, the property market was a major factor in growing the wealth of average Chinese citizens, accounting for approximately 60% of household wealth in 2023</w:t>
      </w:r>
      <w:r>
        <w:rPr>
          <w:rStyle w:val="FootnoteReference"/>
          <w:rFonts w:ascii="Georgia" w:hAnsi="Georgia"/>
        </w:rPr>
        <w:footnoteReference w:id="98"/>
      </w:r>
      <w:r>
        <w:rPr>
          <w:rFonts w:ascii="Georgia" w:hAnsi="Georgia"/>
        </w:rPr>
        <w:t xml:space="preserve">. Chinese property sales and prices had climbed for years due to high confidence and seeming stability; however, when Beijing rolled out regulations in 2020 aimed at controlling the bubble </w:t>
      </w:r>
      <w:r>
        <w:rPr>
          <w:rFonts w:ascii="Georgia" w:hAnsi="Georgia"/>
        </w:rPr>
        <w:lastRenderedPageBreak/>
        <w:t>by limiting excess borrowing, already indebted real estate developers started defaulting on loans</w:t>
      </w:r>
      <w:r>
        <w:rPr>
          <w:rStyle w:val="FootnoteReference"/>
          <w:rFonts w:ascii="Georgia" w:hAnsi="Georgia"/>
        </w:rPr>
        <w:footnoteReference w:id="99"/>
      </w:r>
      <w:r>
        <w:rPr>
          <w:rFonts w:ascii="Georgia" w:hAnsi="Georgia"/>
        </w:rPr>
        <w:t xml:space="preserve">. Many of the biggest names in real estate (e.g. Country Garden or Evergrande) had accumulated hundreds of billions of dollars of debt they had no means of paying off. The massive debts incurred by the property market were not just limited to private companies but expanded into China’s local governments. For decades, growing public infrastructure was an efficient way of driving demand for Chinese construction, concrete, steel, etc., but this relied on large loans to pay for China’s enormous urban landscape. </w:t>
      </w:r>
    </w:p>
    <w:p w14:paraId="40A66BE8" w14:textId="77777777" w:rsidR="00C74058" w:rsidRDefault="00C74058" w:rsidP="00C74058">
      <w:pPr>
        <w:spacing w:line="480" w:lineRule="auto"/>
        <w:ind w:firstLine="720"/>
        <w:rPr>
          <w:rFonts w:ascii="Georgia" w:hAnsi="Georgia"/>
        </w:rPr>
      </w:pPr>
      <w:r>
        <w:rPr>
          <w:rFonts w:ascii="Georgia" w:hAnsi="Georgia"/>
        </w:rPr>
        <w:t>If the hundreds of billions of dollars of debt in the private sector was bad, then the over $13 Trillion of debt from Chinese municipal governments was stroke-inducing – equivalent to approximately 76% of China’s GDP as of 2022</w:t>
      </w:r>
      <w:r>
        <w:rPr>
          <w:rStyle w:val="FootnoteReference"/>
          <w:rFonts w:ascii="Georgia" w:hAnsi="Georgia"/>
        </w:rPr>
        <w:footnoteReference w:id="100"/>
      </w:r>
      <w:r>
        <w:rPr>
          <w:rFonts w:ascii="Georgia" w:hAnsi="Georgia"/>
        </w:rPr>
        <w:t>. Massive domestic bills seem to have seriously cooled China’s appetite for foreign investment as 2023 saw an 80% drop in foreign investment compared to 2022, according to the State Administration of Foreign Exchange</w:t>
      </w:r>
      <w:r>
        <w:rPr>
          <w:rStyle w:val="FootnoteReference"/>
          <w:rFonts w:ascii="Georgia" w:hAnsi="Georgia"/>
        </w:rPr>
        <w:footnoteReference w:id="101"/>
      </w:r>
      <w:r>
        <w:rPr>
          <w:rFonts w:ascii="Georgia" w:hAnsi="Georgia"/>
        </w:rPr>
        <w:t>. Declining foreign investment and sluggish growth are only two of the multiple indicators of a struggling economy that have caused Chinese citizens and foreign investors to dampen their spending. High youth unemployment (peaking at 21% in June 2023 before China stopped reporting it</w:t>
      </w:r>
      <w:r>
        <w:rPr>
          <w:rStyle w:val="FootnoteReference"/>
          <w:rFonts w:ascii="Georgia" w:hAnsi="Georgia"/>
        </w:rPr>
        <w:footnoteReference w:id="102"/>
      </w:r>
      <w:r>
        <w:rPr>
          <w:rFonts w:ascii="Georgia" w:hAnsi="Georgia"/>
        </w:rPr>
        <w:t>) and the Chinese Yuan’s (¥) value hitting a sixteen year low in August 2023</w:t>
      </w:r>
      <w:r>
        <w:rPr>
          <w:rStyle w:val="FootnoteReference"/>
          <w:rFonts w:ascii="Georgia" w:hAnsi="Georgia"/>
        </w:rPr>
        <w:footnoteReference w:id="103"/>
      </w:r>
      <w:r>
        <w:rPr>
          <w:rFonts w:ascii="Georgia" w:hAnsi="Georgia"/>
        </w:rPr>
        <w:t xml:space="preserve"> all signal that China is going through quite a bit of economic pain. </w:t>
      </w:r>
    </w:p>
    <w:p w14:paraId="4B867A93" w14:textId="77777777" w:rsidR="00C74058" w:rsidRDefault="00C74058" w:rsidP="00C74058">
      <w:pPr>
        <w:spacing w:line="480" w:lineRule="auto"/>
        <w:ind w:firstLine="720"/>
        <w:rPr>
          <w:rFonts w:ascii="Georgia" w:hAnsi="Georgia"/>
        </w:rPr>
      </w:pPr>
      <w:r>
        <w:rPr>
          <w:rFonts w:ascii="Georgia" w:hAnsi="Georgia"/>
        </w:rPr>
        <w:t>While China’s cobalt imports seem to still be increasing even through its economic struggles</w:t>
      </w:r>
      <w:r>
        <w:rPr>
          <w:rStyle w:val="FootnoteReference"/>
          <w:rFonts w:ascii="Georgia" w:hAnsi="Georgia"/>
        </w:rPr>
        <w:footnoteReference w:id="104"/>
      </w:r>
      <w:r>
        <w:rPr>
          <w:rFonts w:ascii="Georgia" w:hAnsi="Georgia"/>
        </w:rPr>
        <w:t xml:space="preserve">, China’s development investments in Africa and across its BRI have declined. This reduction in investments has unintentionally left the door open for the United States to re-enter Africa. U.S. President Joe Biden’s focus on tackling the American energy transition, rejuvenating </w:t>
      </w:r>
      <w:r>
        <w:rPr>
          <w:rFonts w:ascii="Georgia" w:hAnsi="Georgia"/>
        </w:rPr>
        <w:lastRenderedPageBreak/>
        <w:t>the American manufacturing sector, and reducing dependency on China all at once has led his administration to draw its attention towards the African continent. In 2022, President Biden addressed 49 of Africa’s 54 nations for the first U.S.-African assembly in Washington since 2014</w:t>
      </w:r>
      <w:r>
        <w:rPr>
          <w:rStyle w:val="FootnoteReference"/>
          <w:rFonts w:ascii="Georgia" w:hAnsi="Georgia"/>
        </w:rPr>
        <w:footnoteReference w:id="105"/>
      </w:r>
      <w:r>
        <w:rPr>
          <w:rFonts w:ascii="Georgia" w:hAnsi="Georgia"/>
        </w:rPr>
        <w:t xml:space="preserve">. His speech was the first of a notable shift in American-African policy as he made promises not for humanitarian aid but for infrastructure and development. For China, the United States couldn’t have chosen a worse time to start addressing African needs. </w:t>
      </w:r>
    </w:p>
    <w:p w14:paraId="01192456" w14:textId="77777777" w:rsidR="00C74058" w:rsidRDefault="00C74058" w:rsidP="00C74058">
      <w:pPr>
        <w:spacing w:line="480" w:lineRule="auto"/>
        <w:ind w:firstLine="720"/>
        <w:rPr>
          <w:rFonts w:ascii="Georgia" w:hAnsi="Georgia"/>
        </w:rPr>
      </w:pPr>
      <w:r>
        <w:rPr>
          <w:rFonts w:ascii="Georgia" w:hAnsi="Georgia"/>
        </w:rPr>
        <w:t>Investment and business-focused deals are a stapple of Chinese diplomacy, so China’s ability to respond through greater displays of diplomatic strength is relatively paralyzed by its economic struggles. While China is still very economically interested in cobalt, as is clear by the dramatic increase of cobalt production by China’s companies in 2023 (state-owned cobalt output is up by about 144%</w:t>
      </w:r>
      <w:r>
        <w:rPr>
          <w:rStyle w:val="FootnoteReference"/>
          <w:rFonts w:ascii="Georgia" w:hAnsi="Georgia"/>
        </w:rPr>
        <w:footnoteReference w:id="106"/>
      </w:r>
      <w:r>
        <w:rPr>
          <w:rFonts w:ascii="Georgia" w:hAnsi="Georgia"/>
        </w:rPr>
        <w:t>), it’s facing quite a few hurdles in the DRC and Africa overall. Since that 2022 summit, President Biden has only doubled down on investments in Africa. The United States’ $2.3 Billion investment in a mega-railway through the Lobito Corridor knocks on China’s front door as this railway would increase shipments of Congo’s cobalt and copper from its Southern provinces to neighboring Zambian ports before they head across the Atlantic to America – utterly avoiding China’s grip</w:t>
      </w:r>
      <w:r>
        <w:rPr>
          <w:rStyle w:val="FootnoteReference"/>
          <w:rFonts w:ascii="Georgia" w:hAnsi="Georgia"/>
        </w:rPr>
        <w:footnoteReference w:id="107"/>
      </w:r>
      <w:r>
        <w:rPr>
          <w:rFonts w:ascii="Georgia" w:hAnsi="Georgia"/>
        </w:rPr>
        <w:t>.</w:t>
      </w:r>
    </w:p>
    <w:p w14:paraId="3C939CEF" w14:textId="77777777" w:rsidR="00C74058" w:rsidRDefault="00C74058" w:rsidP="00C74058">
      <w:pPr>
        <w:spacing w:line="480" w:lineRule="auto"/>
        <w:ind w:firstLine="720"/>
        <w:rPr>
          <w:rFonts w:ascii="Georgia" w:hAnsi="Georgia"/>
        </w:rPr>
      </w:pPr>
      <w:r>
        <w:rPr>
          <w:rFonts w:ascii="Georgia" w:hAnsi="Georgia"/>
        </w:rPr>
        <w:t xml:space="preserve">This investment in the Lobito Corridor in and of itself won’t topple the Chinese monopoly of Congolese cobalt. However, it is emblematic of China’s weakening grip. The United States’ recent push into Africa might be more welcomed by the embittered Congolese as an alternative buyer for their critical cobalt. As the Chinese economy is now, high price renegotiations would only be more economically damaging as high domestic debt, deflation, and slow growth limit their ability to use their conventional means of greasing diplomatic wheels. </w:t>
      </w:r>
      <w:r>
        <w:rPr>
          <w:rFonts w:ascii="Georgia" w:hAnsi="Georgia"/>
        </w:rPr>
        <w:lastRenderedPageBreak/>
        <w:t>Even though the DRC is economically dependent on China, in many ways China is also dependent on the Congolese for their cheap cobalt. With a population of over 1.4 billion people and the total energy consumption equivalent to the United States and India combined</w:t>
      </w:r>
      <w:r>
        <w:rPr>
          <w:rStyle w:val="FootnoteReference"/>
          <w:rFonts w:ascii="Georgia" w:hAnsi="Georgia"/>
        </w:rPr>
        <w:footnoteReference w:id="108"/>
      </w:r>
      <w:r>
        <w:rPr>
          <w:rFonts w:ascii="Georgia" w:hAnsi="Georgia"/>
        </w:rPr>
        <w:t xml:space="preserve">, China’s energy transition will be a massive endeavor and require an enormous </w:t>
      </w:r>
      <w:proofErr w:type="gramStart"/>
      <w:r>
        <w:rPr>
          <w:rFonts w:ascii="Georgia" w:hAnsi="Georgia"/>
        </w:rPr>
        <w:t>amount</w:t>
      </w:r>
      <w:proofErr w:type="gramEnd"/>
      <w:r>
        <w:rPr>
          <w:rFonts w:ascii="Georgia" w:hAnsi="Georgia"/>
        </w:rPr>
        <w:t xml:space="preserve"> of raw materials. Even without their transition to green energy, China’s mineral-dependent industrial sector is more important than ever to bolster their struggling economy. To be sure, China is still maintaining its dominance in the Congolese cobalt trade, but its iron grip is starting to crack even if its dependence on cobalt isn’t.  </w:t>
      </w:r>
    </w:p>
    <w:p w14:paraId="2946BCAA" w14:textId="77777777" w:rsidR="00404551" w:rsidRDefault="00404551" w:rsidP="004A3470">
      <w:pPr>
        <w:spacing w:line="480" w:lineRule="auto"/>
        <w:jc w:val="center"/>
        <w:rPr>
          <w:rFonts w:ascii="Georgia" w:hAnsi="Georgia"/>
        </w:rPr>
      </w:pPr>
    </w:p>
    <w:p w14:paraId="2CF7EBCD" w14:textId="77777777" w:rsidR="008A4B41" w:rsidRPr="00FE22F4" w:rsidRDefault="008A4B41" w:rsidP="008A4B41">
      <w:pPr>
        <w:spacing w:line="480" w:lineRule="auto"/>
        <w:jc w:val="center"/>
        <w:rPr>
          <w:rFonts w:ascii="Georgia" w:hAnsi="Georgia"/>
          <w:i/>
          <w:iCs/>
        </w:rPr>
      </w:pPr>
      <w:r w:rsidRPr="00FE22F4">
        <w:rPr>
          <w:rFonts w:ascii="Georgia" w:hAnsi="Georgia"/>
          <w:i/>
          <w:iCs/>
        </w:rPr>
        <w:t>INCENTIVES, INTERESTS, AND INSECURITIES: THE UNITED STATES</w:t>
      </w:r>
    </w:p>
    <w:p w14:paraId="3E1DD6A3" w14:textId="77777777" w:rsidR="008A4B41" w:rsidRDefault="008A4B41" w:rsidP="008A4B41">
      <w:pPr>
        <w:spacing w:line="480" w:lineRule="auto"/>
        <w:ind w:firstLine="720"/>
        <w:rPr>
          <w:rFonts w:ascii="Georgia" w:hAnsi="Georgia"/>
        </w:rPr>
      </w:pPr>
      <w:r>
        <w:rPr>
          <w:rFonts w:ascii="Georgia" w:hAnsi="Georgia"/>
        </w:rPr>
        <w:t xml:space="preserve">The last two sections of this paper have attempted to describe the complex, domineering and yet co-dependent relationship between the DRC and China with respect to the Congolese cobalt trade. It is with this in mind that now this paper shifts to ask what is the nature of the American response to this dynamic and why is that the case? The response has been to radically recontextualize the American energy transition through a security lens as the only kind of American energy policy that could effectively leave the nest was policy that combined concepts of national security and energy necessity. American policymakers and citizens alike have become increasingly more fearful of China’s relative power to the United States. As green minerals re-entered the national discussion in the new context of security, there has been an uneasy consensus formed within the United States to combat Chinese power. </w:t>
      </w:r>
    </w:p>
    <w:p w14:paraId="19C009C7" w14:textId="77777777" w:rsidR="008A4B41" w:rsidRDefault="008A4B41" w:rsidP="008A4B41">
      <w:pPr>
        <w:spacing w:line="480" w:lineRule="auto"/>
        <w:ind w:firstLine="720"/>
        <w:rPr>
          <w:rFonts w:ascii="Georgia" w:hAnsi="Georgia"/>
        </w:rPr>
      </w:pPr>
      <w:r>
        <w:rPr>
          <w:rFonts w:ascii="Georgia" w:hAnsi="Georgia"/>
        </w:rPr>
        <w:t xml:space="preserve">Green industrial domestic policies and renewed investments in Africa have both been twin spears in the Biden administration’s effort to tackle the Chinese monopoly in the Congolese cobalt trade. The United States has targeted the DRC, and other African countries, as potential </w:t>
      </w:r>
      <w:r>
        <w:rPr>
          <w:rFonts w:ascii="Georgia" w:hAnsi="Georgia"/>
        </w:rPr>
        <w:lastRenderedPageBreak/>
        <w:t xml:space="preserve">allies for changing the status quo of Chinese dominance of African minerals. Compared to the DRC, which is defined by its awareness but relative weakness, the United States has only recently become aware of the consequences of China’s mineral monopolies but has much greater relative strength within the US-DRC-China dynamic. The United States and China maintain a toxic tango as each takes economic and political stabs at one another while their economies continue to become uncomfortably interdependent. One question that could determine the trajectory of the American energy transition is how successful the United States is in its efforts to upset Chinese dominance in the Congo. </w:t>
      </w:r>
    </w:p>
    <w:p w14:paraId="7743D39B" w14:textId="77777777" w:rsidR="008A4B41" w:rsidRDefault="008A4B41" w:rsidP="008A4B41">
      <w:pPr>
        <w:spacing w:line="480" w:lineRule="auto"/>
        <w:ind w:firstLine="720"/>
        <w:rPr>
          <w:rFonts w:ascii="Georgia" w:hAnsi="Georgia"/>
        </w:rPr>
      </w:pPr>
      <w:r>
        <w:rPr>
          <w:rFonts w:ascii="Georgia" w:hAnsi="Georgia"/>
        </w:rPr>
        <w:t>The 2010 Rare Earth crisis was responsible for the United States having a rude awakening to Chinese mineral leverage and its willingness to capitalize on that advantage. However, American fears about growing Chinese power and what that might mean for the United States predates the Rare Earth crisis. After China cut rare earth mineral exports to Japan in 2010, the United States included this new fear of Chinese mineral monopolies into the broader, more prevalent fears of rising Chinese power. Fundamentally, American fears over the rise of China are an expression of the United States’ insecurities over its own power and hegemony. Kenneth Waltz’s theory of structural realism can help describe this fear not as an inherent Sino-phobia (thought that certainly plays a role) but as driven by the structure of the international system</w:t>
      </w:r>
      <w:r>
        <w:rPr>
          <w:rStyle w:val="FootnoteReference"/>
          <w:rFonts w:ascii="Georgia" w:hAnsi="Georgia"/>
        </w:rPr>
        <w:footnoteReference w:id="109"/>
      </w:r>
      <w:r>
        <w:rPr>
          <w:rFonts w:ascii="Georgia" w:hAnsi="Georgia"/>
        </w:rPr>
        <w:t xml:space="preserve">. Structural realism dictates that states will inherently seek power as a means of protection because the international system has no other means of ensuring one’s own survival except for the accumulation of power. The fundamental principles describe how one state expanding their own power can create feelings of insecurity in other states. In this case, China’s rise on the world stage over the past few decades has fostered American feelings of insecurity. This is aggravated by the United States’ status as a contested hegemon. </w:t>
      </w:r>
    </w:p>
    <w:p w14:paraId="0019E9FB" w14:textId="6D1913BB" w:rsidR="008A4B41" w:rsidRDefault="008A4B41" w:rsidP="008A4B41">
      <w:pPr>
        <w:spacing w:line="480" w:lineRule="auto"/>
        <w:ind w:firstLine="720"/>
        <w:rPr>
          <w:rFonts w:ascii="Georgia" w:hAnsi="Georgia"/>
        </w:rPr>
      </w:pPr>
      <w:r>
        <w:rPr>
          <w:rFonts w:ascii="Georgia" w:hAnsi="Georgia"/>
        </w:rPr>
        <w:lastRenderedPageBreak/>
        <w:t xml:space="preserve">As the U.S. has been acknowledged for several decades now as a leading (if not </w:t>
      </w:r>
      <w:r>
        <w:rPr>
          <w:rFonts w:ascii="Georgia" w:hAnsi="Georgia"/>
          <w:i/>
          <w:iCs/>
        </w:rPr>
        <w:t>the</w:t>
      </w:r>
      <w:r>
        <w:rPr>
          <w:rFonts w:ascii="Georgia" w:hAnsi="Georgia"/>
        </w:rPr>
        <w:t xml:space="preserve"> leading) global power, there is even more room for insecurities over a changing power balance. Another concept Waltz tangles </w:t>
      </w:r>
      <w:proofErr w:type="gramStart"/>
      <w:r>
        <w:rPr>
          <w:rFonts w:ascii="Georgia" w:hAnsi="Georgia"/>
        </w:rPr>
        <w:t>with in</w:t>
      </w:r>
      <w:proofErr w:type="gramEnd"/>
      <w:r>
        <w:rPr>
          <w:rFonts w:ascii="Georgia" w:hAnsi="Georgia"/>
        </w:rPr>
        <w:t xml:space="preserve"> his book </w:t>
      </w:r>
      <w:r>
        <w:rPr>
          <w:rFonts w:ascii="Georgia" w:hAnsi="Georgia"/>
          <w:i/>
          <w:iCs/>
        </w:rPr>
        <w:t>Theory of International Politics</w:t>
      </w:r>
      <w:r>
        <w:rPr>
          <w:rFonts w:ascii="Georgia" w:hAnsi="Georgia"/>
        </w:rPr>
        <w:t xml:space="preserve"> is the nature of polarity as he asks himself how the number of major world powers affect</w:t>
      </w:r>
      <w:r w:rsidR="00552CB9">
        <w:rPr>
          <w:rFonts w:ascii="Georgia" w:hAnsi="Georgia"/>
        </w:rPr>
        <w:t>s</w:t>
      </w:r>
      <w:r>
        <w:rPr>
          <w:rFonts w:ascii="Georgia" w:hAnsi="Georgia"/>
        </w:rPr>
        <w:t xml:space="preserve"> the stability of the international system. Waltz grapples with ideas of a unipolar, bipolar, or multipolar world, but for the purposes of this paper, it is important to think of polarity as a relative concept. That is to say, different countries can see the world as fundamentally different places. The United States under the Biden administration has a tendency to describe the world as more unipolar with the world upheld by American leadership. In an October speech in 2023 addressing the growing war in Gaza and the war in Ukraine, President Biden remarked that:</w:t>
      </w:r>
    </w:p>
    <w:p w14:paraId="7D3201A5" w14:textId="77777777" w:rsidR="008A4B41" w:rsidRDefault="008A4B41" w:rsidP="008A4B41">
      <w:pPr>
        <w:spacing w:line="480" w:lineRule="auto"/>
        <w:ind w:left="720"/>
        <w:rPr>
          <w:rFonts w:ascii="Georgia" w:hAnsi="Georgia"/>
          <w:sz w:val="20"/>
          <w:szCs w:val="20"/>
        </w:rPr>
      </w:pPr>
      <w:r>
        <w:rPr>
          <w:rFonts w:ascii="Georgia" w:hAnsi="Georgia"/>
          <w:sz w:val="20"/>
          <w:szCs w:val="20"/>
        </w:rPr>
        <w:t xml:space="preserve">American leadership is what holds the world together… America is a beacon to the world still.  Still. We are, as my friend Madeleine Albright said, “the indispensable nation.” Tonight, there are innocent people all over the world who hope because of us, who believe in a better life because of us, who are desperate not to be forgotten by us, and who are waiting for us. We are the United States of America — the United States of America.  And there is nothing — nothing beyond our capacity if we do it together. </w:t>
      </w:r>
      <w:r>
        <w:rPr>
          <w:rStyle w:val="FootnoteReference"/>
          <w:rFonts w:ascii="Georgia" w:hAnsi="Georgia"/>
          <w:sz w:val="20"/>
          <w:szCs w:val="20"/>
        </w:rPr>
        <w:footnoteReference w:id="110"/>
      </w:r>
    </w:p>
    <w:p w14:paraId="02761161" w14:textId="77777777" w:rsidR="008A4B41" w:rsidRDefault="008A4B41" w:rsidP="008A4B41">
      <w:pPr>
        <w:spacing w:line="480" w:lineRule="auto"/>
        <w:rPr>
          <w:rFonts w:ascii="Georgia" w:hAnsi="Georgia"/>
        </w:rPr>
      </w:pPr>
      <w:r>
        <w:rPr>
          <w:rFonts w:ascii="Georgia" w:hAnsi="Georgia"/>
        </w:rPr>
        <w:t xml:space="preserve">President Biden’s remarks about a world waiting for American intervention is a classic understanding of what it means to see one’s own country as the leader of a unipolar world. In the anarchy of the international system described by structural realists, a unipolar hegemon could (and theoretically would) act as the policeman and final arbiter for the entire world. However, this is contrasted by how the world is understood by Xi Jinping, who commands the modern Chinese Communist Party’s (CCP) doctrine and ideology. Rather than a world held up by a single great nation, Xi characterizes the United States as one of many powerful actors within the West as his worldview is dominated by an East-West division. In 2021, he </w:t>
      </w:r>
      <w:r>
        <w:rPr>
          <w:rFonts w:ascii="Georgia" w:hAnsi="Georgia"/>
        </w:rPr>
        <w:lastRenderedPageBreak/>
        <w:t xml:space="preserve">popularized the phrase “the East is </w:t>
      </w:r>
      <w:proofErr w:type="gramStart"/>
      <w:r>
        <w:rPr>
          <w:rFonts w:ascii="Georgia" w:hAnsi="Georgia"/>
        </w:rPr>
        <w:t>rising</w:t>
      </w:r>
      <w:proofErr w:type="gramEnd"/>
      <w:r>
        <w:rPr>
          <w:rFonts w:ascii="Georgia" w:hAnsi="Georgia"/>
        </w:rPr>
        <w:t xml:space="preserve"> and the West is declining,” and many senior Chinese officials have reported out his party doctrine of the West as an established, albeit dysfunctional power</w:t>
      </w:r>
      <w:r>
        <w:rPr>
          <w:rStyle w:val="FootnoteReference"/>
          <w:rFonts w:ascii="Georgia" w:hAnsi="Georgia"/>
        </w:rPr>
        <w:footnoteReference w:id="111"/>
      </w:r>
      <w:r>
        <w:rPr>
          <w:rFonts w:ascii="Georgia" w:hAnsi="Georgia"/>
        </w:rPr>
        <w:t>. In contrast to the American unipolar perspective, China sees the world as more multipolar, dominated by many powerful nations within “the West.”</w:t>
      </w:r>
    </w:p>
    <w:p w14:paraId="06856FDD" w14:textId="77777777" w:rsidR="008A4B41" w:rsidRDefault="008A4B41" w:rsidP="008A4B41">
      <w:pPr>
        <w:spacing w:line="480" w:lineRule="auto"/>
        <w:rPr>
          <w:rFonts w:ascii="Georgia" w:hAnsi="Georgia"/>
        </w:rPr>
      </w:pPr>
      <w:r>
        <w:rPr>
          <w:rFonts w:ascii="Georgia" w:hAnsi="Georgia"/>
        </w:rPr>
        <w:tab/>
        <w:t xml:space="preserve"> Compared to the divided opinions on China between the Congolese people and the DRC government, there is a relative consensus among the American public and the US government. A 2023 nation-wide public opinion survey by the Chicago Council on Global Affairs investigated the American public’s fears of China and found that, especially post-2020, Americans’ views of ‘China’s development as a world power as a critical threat to the interest of the United States’ have increased dramatically</w:t>
      </w:r>
      <w:r>
        <w:rPr>
          <w:rStyle w:val="FootnoteReference"/>
          <w:rFonts w:ascii="Georgia" w:hAnsi="Georgia"/>
        </w:rPr>
        <w:footnoteReference w:id="112"/>
      </w:r>
      <w:r>
        <w:rPr>
          <w:rFonts w:ascii="Georgia" w:hAnsi="Georgia"/>
        </w:rPr>
        <w:t xml:space="preserve">. To Americans, China’s immense economic power and increasing confrontational attitude with the United States have exacerbated fears among the general public. As of 2023, approximately 60% of Americans view China’s rise as a critical threat and that number continues to rise over time. Another point of note from this study is that it is only in the mid-to-late 2010s that fears of Chinese power start to really increase (mid-2000s were a low point for fears of China). This has a potentially interesting overlap with some of China’s more aggressive policies of that same time-period such as the BRI or the Trump-era trade war where China really started to throw its political and economic weight around. The most popular fears were of China encroaching on American sovereignty, intellectual property, and of potential economic domination. </w:t>
      </w:r>
    </w:p>
    <w:p w14:paraId="4821188D" w14:textId="7616D4DB" w:rsidR="008A4B41" w:rsidRDefault="008A4B41" w:rsidP="008A4B41">
      <w:pPr>
        <w:spacing w:line="480" w:lineRule="auto"/>
        <w:ind w:firstLine="720"/>
        <w:rPr>
          <w:rFonts w:ascii="Georgia" w:hAnsi="Georgia"/>
        </w:rPr>
      </w:pPr>
      <w:r>
        <w:rPr>
          <w:rFonts w:ascii="Georgia" w:hAnsi="Georgia"/>
        </w:rPr>
        <w:t>This is all to say that the American people and government share broader fears of Chinese power and dominance. If the 2010 Rare Earth crisis was the US’ wake up call to Chinese mineral monopolies</w:t>
      </w:r>
      <w:r w:rsidR="00552CB9">
        <w:rPr>
          <w:rFonts w:ascii="Georgia" w:hAnsi="Georgia"/>
        </w:rPr>
        <w:t>,</w:t>
      </w:r>
      <w:r>
        <w:rPr>
          <w:rFonts w:ascii="Georgia" w:hAnsi="Georgia"/>
        </w:rPr>
        <w:t xml:space="preserve"> then Trump’s trade war and the late 2020 semi-conductor chip shortage sent off alarm bells for the entire country. These two events were important landmarks for </w:t>
      </w:r>
      <w:r>
        <w:rPr>
          <w:rFonts w:ascii="Georgia" w:hAnsi="Georgia"/>
        </w:rPr>
        <w:lastRenderedPageBreak/>
        <w:t>Americans to feel the impact of Chinese mineral monopolies and American dependence on foreign legs of the supply chain. In the 2018-2019 trade war, President Donald Trump hiked up tariffs on $550B of Chinese imports in an effort to pressure Beijing to give more favorable terms to American businesses in Chinese economic policy</w:t>
      </w:r>
      <w:r>
        <w:rPr>
          <w:rStyle w:val="FootnoteReference"/>
          <w:rFonts w:ascii="Georgia" w:hAnsi="Georgia"/>
        </w:rPr>
        <w:footnoteReference w:id="113"/>
      </w:r>
      <w:r>
        <w:rPr>
          <w:rFonts w:ascii="Georgia" w:hAnsi="Georgia"/>
        </w:rPr>
        <w:t xml:space="preserve">. China quickly responded with multiple rounds of tariffs on billions of dollars of American imports. China’s willingness to respond and sustained resistance to American economic pressure was confirmation for many Americans of China’s growing power relative to the United States. The Trump trade war was an opportunity for the United States and China to directly compete, throwing economic blows at one another, and in the end, the two states looked remarkably evenly matched. For a country that sees itself as the world leader, a draw is as good as a loss. </w:t>
      </w:r>
    </w:p>
    <w:p w14:paraId="38B7AA96" w14:textId="77777777" w:rsidR="008A4B41" w:rsidRDefault="008A4B41" w:rsidP="008A4B41">
      <w:pPr>
        <w:spacing w:line="480" w:lineRule="auto"/>
        <w:ind w:firstLine="720"/>
        <w:rPr>
          <w:rFonts w:ascii="Georgia" w:hAnsi="Georgia"/>
        </w:rPr>
      </w:pPr>
      <w:r>
        <w:rPr>
          <w:rFonts w:ascii="Georgia" w:hAnsi="Georgia"/>
        </w:rPr>
        <w:t>Outside of Washington, the trade wars had been devastating for the American economy, and the public couldn’t avoid the economic strain. A 2019 study by Moody’s Analytics found that by September 2019 the trade war had cost the U.S. economy nearly 300,000 jobs</w:t>
      </w:r>
      <w:r>
        <w:rPr>
          <w:rStyle w:val="FootnoteReference"/>
          <w:rFonts w:ascii="Georgia" w:hAnsi="Georgia"/>
        </w:rPr>
        <w:footnoteReference w:id="114"/>
      </w:r>
      <w:r>
        <w:rPr>
          <w:rFonts w:ascii="Georgia" w:hAnsi="Georgia"/>
        </w:rPr>
        <w:t>, and the Federal Reserve Bank of New York and Columbia University found that American companies had lost at least $1.7T in stock prices from the trade war</w:t>
      </w:r>
      <w:r>
        <w:rPr>
          <w:rStyle w:val="FootnoteReference"/>
          <w:rFonts w:ascii="Georgia" w:hAnsi="Georgia"/>
        </w:rPr>
        <w:footnoteReference w:id="115"/>
      </w:r>
      <w:r>
        <w:rPr>
          <w:rFonts w:ascii="Georgia" w:hAnsi="Georgia"/>
        </w:rPr>
        <w:t xml:space="preserve">. Businesses stopped hiring, farmers went bankrupt, investments froze, and the manufacturing and transportation sectors hit recession-level lows. The economic pain from the trade war revealed not only China’s ability and willingness to retaliate against American power but also how vulnerable the US economy was to Chinese leverage. President Trump’s trade war solidified the very thing he was looking to deny – to the American people, the United States had become dependent on China. The chips shortage hit at the similar sore-spot of American dependency on foreign supply chains for critical goods. </w:t>
      </w:r>
    </w:p>
    <w:p w14:paraId="79181115" w14:textId="77777777" w:rsidR="008A4B41" w:rsidRDefault="008A4B41" w:rsidP="008A4B41">
      <w:pPr>
        <w:spacing w:line="480" w:lineRule="auto"/>
        <w:ind w:firstLine="720"/>
        <w:rPr>
          <w:rFonts w:ascii="Georgia" w:hAnsi="Georgia"/>
        </w:rPr>
      </w:pPr>
      <w:r>
        <w:rPr>
          <w:rFonts w:ascii="Georgia" w:hAnsi="Georgia"/>
        </w:rPr>
        <w:lastRenderedPageBreak/>
        <w:t>Due to spiking demand and COVID-related supply issues, 2020 saw a dramatic shortage of semi-conductors (AKA chips) and suddenly, Americans were struggling to purchase cars, laptops, refrigerators, and cell phones. Chips are small pieces of highly complex technology that are created through a very intensive global supply chain with many bottlenecks. The semi-conductor shortage became a point where Americans across social and economic boundaries became familiar with concepts of a ”supply chain” and developed an understanding about how issues in a few factories in Malaysia or Taiwan could strangle the American automotive sector. The 2020 chip shortage taught the United States a critical lesson that it could lose more of its autonomy not only from giants like China but from anywhere along its supply chains. What is also notable about the semi-conductor shortage is how the United States chose to tackle it. Under the Biden administration, the CHIPS and Science Act was signed into law in 2022 to open significant government subsidies and incentives for chip manufacturers to develop and produce semi-conductors within American borders. The idea was to reduce risks of shortages or economic leverage of foreign actors by domesticating more aspects of critical supply chains. The United States has also included numerous export restrictions on AI-related chips and semiconductors manufacturing equipment to China in the name of national security</w:t>
      </w:r>
      <w:r>
        <w:rPr>
          <w:rStyle w:val="FootnoteReference"/>
          <w:rFonts w:ascii="Georgia" w:hAnsi="Georgia"/>
        </w:rPr>
        <w:footnoteReference w:id="116"/>
      </w:r>
      <w:r>
        <w:rPr>
          <w:rFonts w:ascii="Georgia" w:hAnsi="Georgia"/>
        </w:rPr>
        <w:t xml:space="preserve">. </w:t>
      </w:r>
    </w:p>
    <w:p w14:paraId="2B54559B" w14:textId="77777777" w:rsidR="008A4B41" w:rsidRDefault="008A4B41" w:rsidP="008A4B41">
      <w:pPr>
        <w:spacing w:line="480" w:lineRule="auto"/>
        <w:ind w:firstLine="720"/>
        <w:rPr>
          <w:rFonts w:ascii="Georgia" w:hAnsi="Georgia"/>
        </w:rPr>
      </w:pPr>
      <w:r>
        <w:rPr>
          <w:rFonts w:ascii="Georgia" w:hAnsi="Georgia"/>
        </w:rPr>
        <w:t>Many of the Biden and Trump-era industrial policies reframe certain products, materials, supply chains, etc. as critical to “national security.” President Trump ordered American companies to “start looking for alternatives” to China during his trade war by using the Emergency Economic Powers Act of 1977 to restrict private entities in the name of national security</w:t>
      </w:r>
      <w:r>
        <w:rPr>
          <w:rStyle w:val="FootnoteReference"/>
          <w:rFonts w:ascii="Georgia" w:hAnsi="Georgia"/>
        </w:rPr>
        <w:footnoteReference w:id="117"/>
      </w:r>
      <w:r>
        <w:rPr>
          <w:rFonts w:ascii="Georgia" w:hAnsi="Georgia"/>
        </w:rPr>
        <w:t xml:space="preserve">. It has been under the Biden administration that green minerals (minerals critical for renewable energy sources) have been re-energized in American policy discussions under the concept of energy security. The overwhelming Chinese presence within the cobalt trade has </w:t>
      </w:r>
      <w:r>
        <w:rPr>
          <w:rFonts w:ascii="Georgia" w:hAnsi="Georgia"/>
        </w:rPr>
        <w:lastRenderedPageBreak/>
        <w:t xml:space="preserve">engendered a shift in the tone and approach of the American energy transition. Cobalt sits at the crossroads between the growing American fears of dependency on China and a heightened awareness of vulnerabilities in critical supply chains. This is particularly potent as the Biden administration has chosen to push for the adoption of electric vehicles and other renewable energy sources as a mainstay of the American energy transition. </w:t>
      </w:r>
    </w:p>
    <w:p w14:paraId="5D64E244" w14:textId="77777777" w:rsidR="008A4B41" w:rsidRDefault="008A4B41" w:rsidP="008A4B41">
      <w:pPr>
        <w:spacing w:line="480" w:lineRule="auto"/>
        <w:ind w:firstLine="720"/>
        <w:rPr>
          <w:rFonts w:ascii="Georgia" w:hAnsi="Georgia"/>
        </w:rPr>
      </w:pPr>
      <w:r>
        <w:rPr>
          <w:rFonts w:ascii="Georgia" w:hAnsi="Georgia"/>
        </w:rPr>
        <w:t>Energy security as a concept has historically been dominated by scholars of the Middle East and the global oil industry. Velichka Milina’s 2013 paper “Energy Security: A Paradigm Shift” captures two distinct ideas about energy security that emerged within the context of the global oil and natural gas industries</w:t>
      </w:r>
      <w:r>
        <w:rPr>
          <w:rStyle w:val="FootnoteReference"/>
          <w:rFonts w:ascii="Georgia" w:hAnsi="Georgia"/>
        </w:rPr>
        <w:footnoteReference w:id="118"/>
      </w:r>
      <w:r>
        <w:rPr>
          <w:rFonts w:ascii="Georgia" w:hAnsi="Georgia"/>
        </w:rPr>
        <w:t xml:space="preserve">. The first concept was developed in the wake of the oil shocks of the 1970s and centers around the ability to have a continuous supply of affordable energy (this is still more or less the same ideology used by the International Energy Agency). Milina’s second concept of energy security more directly translates to energy independence and prioritizes a country’s ability to be self-sufficient in its own energy supplies and set its own prices. This second conception encapsulates the framework and ideology of the United States’ current approach to climate policy. Climate policy under the Biden administration has combined climate action with industrial policy and framed it through the lens of security. </w:t>
      </w:r>
    </w:p>
    <w:p w14:paraId="02492512" w14:textId="77777777" w:rsidR="008A4B41" w:rsidRDefault="008A4B41" w:rsidP="008A4B41">
      <w:pPr>
        <w:spacing w:line="480" w:lineRule="auto"/>
        <w:ind w:firstLine="720"/>
        <w:rPr>
          <w:rFonts w:ascii="Georgia" w:hAnsi="Georgia"/>
        </w:rPr>
      </w:pPr>
      <w:r>
        <w:rPr>
          <w:rFonts w:ascii="Georgia" w:hAnsi="Georgia"/>
        </w:rPr>
        <w:t xml:space="preserve">China’s monopoly over a critical energy mineral and the potential leverage that would award it as well as cobalt’s low abundance in the United States has restricted the US’ options for effective climate policy without increasing dependence on China. In this sense, the Chinese monopoly of Congolese cobalt has forced the United States into a particular dilemma with only three real outcomes. Option one: buy cobalt and cobalt-products from China and potentially become reliant on Chinese consent for a consistent American energy supply. Option two: don’t buy Sino-Congolese cobalt and run the risk of not having enough cobalt to supply an energy transition, exponentially increasing the risk of more climate change. Option three: challenge and </w:t>
      </w:r>
      <w:r>
        <w:rPr>
          <w:rFonts w:ascii="Georgia" w:hAnsi="Georgia"/>
        </w:rPr>
        <w:lastRenderedPageBreak/>
        <w:t xml:space="preserve">change China’s monopoly. American fears of dependency on China had already been spiking before reliance on China for energy had entered the discussion, so any option that increased American dependency was out of the question. The Biden administration’s take on climate policy has been incorporated into efforts to repeal Chinese influence and restore a sense of American autonomy. To accomplish this, the US is having to think outside the box to acquire no-strings-attached cobalt and has started down the road of a paradigm shift in its Africa policy and its economic approach to policy. </w:t>
      </w:r>
    </w:p>
    <w:p w14:paraId="4B1FD943" w14:textId="77777777" w:rsidR="008A4B41" w:rsidRDefault="008A4B41" w:rsidP="008A4B41">
      <w:pPr>
        <w:spacing w:line="480" w:lineRule="auto"/>
        <w:ind w:firstLine="720"/>
        <w:rPr>
          <w:rFonts w:ascii="Georgia" w:hAnsi="Georgia"/>
        </w:rPr>
      </w:pPr>
      <w:r>
        <w:rPr>
          <w:rFonts w:ascii="Georgia" w:hAnsi="Georgia"/>
        </w:rPr>
        <w:t>The climate discussion that had been previously held by scientists and listless or overshadowed policymakers has been subsumed into the fervor of increasingly competitive Sino-American relations. The energy transition has become a topic of national security in the face of potential American dependency on China. After the 2010 Rare Earth crisis, the American literature on green minerals takes a notable shift in tone away from scientific necessity towards security liability, and this shift is mirrored by the expansion of the energy transition discussion across the political aisle. The energy transition was a project traditionally championed by the political left, but the securitization of the green minerals under the blanket of national security has rallied policymakers on the political right to focus on ensuring consistent American access to this resource. Though there are still policymakers (mostly on the political right) who remain stubbornly opposed to the concept of climate change, the majority of Republican policymakers see combatting China and domesticating manufacturing are more important issues. Chinese monopoly and the climate have formed an interesting unifier among a historically polarized Congress.</w:t>
      </w:r>
    </w:p>
    <w:p w14:paraId="1FDEC240" w14:textId="77777777" w:rsidR="008A4B41" w:rsidRDefault="008A4B41" w:rsidP="008A4B41">
      <w:pPr>
        <w:spacing w:line="480" w:lineRule="auto"/>
        <w:ind w:firstLine="720"/>
        <w:rPr>
          <w:rFonts w:ascii="Georgia" w:hAnsi="Georgia"/>
        </w:rPr>
      </w:pPr>
      <w:r>
        <w:rPr>
          <w:rFonts w:ascii="Georgia" w:hAnsi="Georgia"/>
        </w:rPr>
        <w:t xml:space="preserve">This might help explain why critical minerals haven’t been struggling to achieve bipartisan support as many other critical issues have. In January of 2024, Senator Angus King (I-ME), introduced the </w:t>
      </w:r>
      <w:r>
        <w:rPr>
          <w:rFonts w:ascii="Georgia" w:hAnsi="Georgia"/>
          <w:i/>
          <w:iCs/>
        </w:rPr>
        <w:t>Critical Minerals Security Act</w:t>
      </w:r>
      <w:r>
        <w:rPr>
          <w:rFonts w:ascii="Georgia" w:hAnsi="Georgia"/>
        </w:rPr>
        <w:t xml:space="preserve"> bill to give American businesses a better </w:t>
      </w:r>
      <w:r>
        <w:rPr>
          <w:rFonts w:ascii="Georgia" w:hAnsi="Georgia"/>
        </w:rPr>
        <w:lastRenderedPageBreak/>
        <w:t>chance of avoiding Chinese mineral monopolies</w:t>
      </w:r>
      <w:r>
        <w:rPr>
          <w:rStyle w:val="FootnoteReference"/>
          <w:rFonts w:ascii="Georgia" w:hAnsi="Georgia"/>
        </w:rPr>
        <w:footnoteReference w:id="119"/>
      </w:r>
      <w:r>
        <w:rPr>
          <w:rFonts w:ascii="Georgia" w:hAnsi="Georgia"/>
        </w:rPr>
        <w:t>. The idea is to fund the Department of the Interior to co-operate more with American companies and regularly evaluate the global supply chains of critical minerals to help American companies buy from friendly sources. Lithium, nickel, and cobalt are of particular concern as all have famous convoluted supply chains saturated by Chinese influence. Senator King has argued that:</w:t>
      </w:r>
    </w:p>
    <w:p w14:paraId="3FCED2BD" w14:textId="77777777" w:rsidR="008A4B41" w:rsidRDefault="008A4B41" w:rsidP="008A4B41">
      <w:pPr>
        <w:spacing w:line="480" w:lineRule="auto"/>
        <w:ind w:left="720"/>
        <w:rPr>
          <w:rFonts w:ascii="Georgia" w:hAnsi="Georgia"/>
          <w:sz w:val="20"/>
          <w:szCs w:val="20"/>
        </w:rPr>
      </w:pPr>
      <w:r>
        <w:rPr>
          <w:rFonts w:ascii="Georgia" w:hAnsi="Georgia"/>
          <w:sz w:val="20"/>
          <w:szCs w:val="20"/>
        </w:rPr>
        <w:t xml:space="preserve">Critical minerals are essential to both America’s national security and our supply chain resiliency… The </w:t>
      </w:r>
      <w:r>
        <w:rPr>
          <w:rStyle w:val="Emphasis"/>
          <w:rFonts w:ascii="Georgia" w:hAnsi="Georgia"/>
          <w:sz w:val="20"/>
          <w:szCs w:val="20"/>
        </w:rPr>
        <w:t>Critical Minerals Security Act</w:t>
      </w:r>
      <w:r>
        <w:rPr>
          <w:rFonts w:ascii="Georgia" w:hAnsi="Georgia"/>
          <w:sz w:val="20"/>
          <w:szCs w:val="20"/>
        </w:rPr>
        <w:t xml:space="preserve"> would help us better understand these complex supply chains so we can secure United States’ access to critical minerals and counter Chinese dominance. Any continued reliance on China – and other bad actors – for these resources is downright dangerous so we must invest in our own rare earth minerals supply chain. Thanks to my colleagues for recognizing the importance of American industry to build jobs here at home, and reduce dependence on our adversaries.</w:t>
      </w:r>
      <w:r>
        <w:rPr>
          <w:rStyle w:val="FootnoteReference"/>
          <w:rFonts w:ascii="Georgia" w:hAnsi="Georgia"/>
          <w:sz w:val="20"/>
          <w:szCs w:val="20"/>
        </w:rPr>
        <w:footnoteReference w:id="120"/>
      </w:r>
    </w:p>
    <w:p w14:paraId="7C776D0E" w14:textId="77777777" w:rsidR="008A4B41" w:rsidRDefault="008A4B41" w:rsidP="008A4B41">
      <w:pPr>
        <w:spacing w:line="480" w:lineRule="auto"/>
        <w:rPr>
          <w:rFonts w:ascii="Georgia" w:hAnsi="Georgia"/>
        </w:rPr>
      </w:pPr>
      <w:r>
        <w:rPr>
          <w:rFonts w:ascii="Georgia" w:hAnsi="Georgia"/>
        </w:rPr>
        <w:t>This bill received near-even bipartisan support in the Senate when it was introduced in January 2024 as well as in March 2024 when the bill was introduced in the House of Representatives. Republican and Democrats are becoming more cooperative when climate policies are recentered on China as a critical security threat to American energy. The Biden administration’s 2022 Inflation Reduction Act (IRA) is a massive collection of climate and industrial policy investments that were and have been extremely politicized. Unlike the more bipartisan bills and laws that have come out of Congress in recent times, the IRA is an investment in green energy infrastructure and manufacturing that wasn’t framed through a security lens and has received harsh criticism from across the political aisle.</w:t>
      </w:r>
    </w:p>
    <w:p w14:paraId="0C9FAE78" w14:textId="77777777" w:rsidR="008A4B41" w:rsidRDefault="008A4B41" w:rsidP="008A4B41">
      <w:pPr>
        <w:spacing w:line="480" w:lineRule="auto"/>
        <w:ind w:firstLine="720"/>
        <w:rPr>
          <w:rFonts w:ascii="Georgia" w:hAnsi="Georgia"/>
        </w:rPr>
      </w:pPr>
      <w:r>
        <w:rPr>
          <w:rFonts w:ascii="Georgia" w:hAnsi="Georgia"/>
        </w:rPr>
        <w:t>Republicans like Representative Cathy McMorris Rodgers (R-WA 5</w:t>
      </w:r>
      <w:r>
        <w:rPr>
          <w:rFonts w:ascii="Georgia" w:hAnsi="Georgia"/>
          <w:vertAlign w:val="superscript"/>
        </w:rPr>
        <w:t>th</w:t>
      </w:r>
      <w:r>
        <w:rPr>
          <w:rFonts w:ascii="Georgia" w:hAnsi="Georgia"/>
        </w:rPr>
        <w:t xml:space="preserve"> District) have taken their shots at the IRA before and after it passed. At its passage into law, not a single Republican </w:t>
      </w:r>
      <w:r>
        <w:rPr>
          <w:rFonts w:ascii="Georgia" w:hAnsi="Georgia"/>
        </w:rPr>
        <w:lastRenderedPageBreak/>
        <w:t>voted in favour of the IRA</w:t>
      </w:r>
      <w:r>
        <w:rPr>
          <w:rStyle w:val="FootnoteReference"/>
          <w:rFonts w:ascii="Georgia" w:hAnsi="Georgia"/>
        </w:rPr>
        <w:footnoteReference w:id="121"/>
      </w:r>
      <w:r>
        <w:rPr>
          <w:rFonts w:ascii="Georgia" w:hAnsi="Georgia"/>
        </w:rPr>
        <w:t>. Representative McMorris Rodgers produced an article in August of 2023 arguing that President Biden’s Inflation Reduction Act hadn’t reduced costs for American households and had contributed to economic strain</w:t>
      </w:r>
      <w:r>
        <w:rPr>
          <w:rStyle w:val="FootnoteReference"/>
          <w:rFonts w:ascii="Georgia" w:hAnsi="Georgia"/>
        </w:rPr>
        <w:footnoteReference w:id="122"/>
      </w:r>
      <w:r>
        <w:rPr>
          <w:rFonts w:ascii="Georgia" w:hAnsi="Georgia"/>
        </w:rPr>
        <w:t xml:space="preserve">. Despite her continued resistance to the IRA, Rep. McMorris Rodgers is a major advocate of hydropower within her home state of Washington and advocates for the United States to decrease its dependence on foreign oil to maintain its autonomy. The major lesson from the IRA was that without a security or anti-Chinese dependence lens, there aren’t enough incentives for bipartisan support. However, there is a loose consensus among Democrats and Republicans on securitized climate policy. </w:t>
      </w:r>
    </w:p>
    <w:p w14:paraId="64F4F926" w14:textId="77777777" w:rsidR="008A4B41" w:rsidRDefault="008A4B41" w:rsidP="008A4B41">
      <w:pPr>
        <w:spacing w:line="480" w:lineRule="auto"/>
        <w:ind w:firstLine="720"/>
        <w:rPr>
          <w:rFonts w:ascii="Georgia" w:hAnsi="Georgia"/>
        </w:rPr>
      </w:pPr>
      <w:r>
        <w:rPr>
          <w:rFonts w:ascii="Georgia" w:hAnsi="Georgia"/>
        </w:rPr>
        <w:t xml:space="preserve"> This consensus across the aisle is visible not only in Congress but in the White House. Despite their many differences of opinion, there has been an interesting level of consistency between the Trump and Biden administrations in their approaches to security and China policy. In the face of China’s growing power, Presidents Biden and Trump mark a shift in American economic policy that takes a more nationalistic, protectionist stance to maintaining American power and autonomy. Historian Gary Gerstle develops a theory of a historic shift in political economic order in his book </w:t>
      </w:r>
      <w:r>
        <w:rPr>
          <w:rFonts w:ascii="Georgia" w:hAnsi="Georgia"/>
          <w:i/>
          <w:iCs/>
        </w:rPr>
        <w:t>The Rise and Fall of the Neoliberal Order: America and the World in the Free-Market Era</w:t>
      </w:r>
      <w:r>
        <w:rPr>
          <w:rStyle w:val="FootnoteReference"/>
          <w:rFonts w:ascii="Georgia" w:hAnsi="Georgia"/>
          <w:i/>
          <w:iCs/>
        </w:rPr>
        <w:footnoteReference w:id="123"/>
      </w:r>
      <w:r>
        <w:rPr>
          <w:rFonts w:ascii="Georgia" w:hAnsi="Georgia"/>
          <w:i/>
          <w:iCs/>
        </w:rPr>
        <w:t>.</w:t>
      </w:r>
      <w:r>
        <w:rPr>
          <w:rFonts w:ascii="Georgia" w:hAnsi="Georgia"/>
        </w:rPr>
        <w:t xml:space="preserve"> Gerstle defines neoliberalism as the leading American political economic ideology of the last forty years, first championed by President Ronald Reagan and Prime Minister Margret Thatcher in the 1980s. The goal of neoliberalism (AKA Reaganomics or trickle-down economics) was to lift government restraints on the economy and to strengthen American power by boosting its economic might. It was in this era that American companies expanded their overseas footprint, and many moved manufacturing to developing countries. </w:t>
      </w:r>
      <w:r>
        <w:rPr>
          <w:rFonts w:ascii="Georgia" w:hAnsi="Georgia"/>
        </w:rPr>
        <w:lastRenderedPageBreak/>
        <w:t>While President Trump had a similar focus on economic might as President Reagan, his tactics were remarkably different and were the first shift away from this hands-off style of economics.</w:t>
      </w:r>
    </w:p>
    <w:p w14:paraId="2507128E" w14:textId="77777777" w:rsidR="008A4B41" w:rsidRDefault="008A4B41" w:rsidP="008A4B41">
      <w:pPr>
        <w:spacing w:line="480" w:lineRule="auto"/>
        <w:ind w:firstLine="720"/>
        <w:rPr>
          <w:rFonts w:ascii="Georgia" w:hAnsi="Georgia"/>
        </w:rPr>
      </w:pPr>
      <w:r>
        <w:rPr>
          <w:rFonts w:ascii="Georgia" w:hAnsi="Georgia"/>
        </w:rPr>
        <w:t xml:space="preserve"> President Trump using emergency presidential powers to command the economy and his efforts to re-domesticate the American manufacturing sector are tactics that would make Reagan sweat. By centering “America First,” Donald Trump looked at Chinese economic power as an existential threat to American economic security and increased government authority within the economy in the name of national interest</w:t>
      </w:r>
      <w:r>
        <w:rPr>
          <w:rStyle w:val="FootnoteReference"/>
          <w:rFonts w:ascii="Georgia" w:hAnsi="Georgia"/>
        </w:rPr>
        <w:footnoteReference w:id="124"/>
      </w:r>
      <w:r>
        <w:rPr>
          <w:rFonts w:ascii="Georgia" w:hAnsi="Georgia"/>
        </w:rPr>
        <w:t>. President Biden’s 2022 CHIPS and Science Act and 2022 Inflation Reduction Act have been accused by China, the World Trade Organization, and the European Union (EU) of economic protectionism for similar reasons. Though his political ideologies are quite different from Donald Trump’s, President Biden’s economic agenda, “Bidenomics,” centers on public investments (especially infrastructure and manufacturing) and developing a more robust middle-class</w:t>
      </w:r>
      <w:r>
        <w:rPr>
          <w:rStyle w:val="FootnoteReference"/>
          <w:rFonts w:ascii="Georgia" w:hAnsi="Georgia"/>
        </w:rPr>
        <w:footnoteReference w:id="125"/>
      </w:r>
      <w:r>
        <w:rPr>
          <w:rFonts w:ascii="Georgia" w:hAnsi="Georgia"/>
        </w:rPr>
        <w:t xml:space="preserve">. Despite its tamer language, Biden’s economic policy is an even larger departure from the prior theories of trickle-down economics. Direct federal incentives for businesses to move manufacturing back to the US or grow their electric vehicle supply already violate the hands-off doctrine characteristic of neoliberalism. Yet Biden’s assertion that a strong middle-class drives economic growth is fundamentally at odds with Reaganomics’ forty-year-long bet on the United States’ businesses and upper-class to grow the economy. The last overlap between President Trump and President Biden’s economic policies is their focus on security responses to China. Where Trump focused on economic security, Biden expanded this concept to include green energy and climate policies as critical to national and economic security. </w:t>
      </w:r>
    </w:p>
    <w:p w14:paraId="1B5F8CB5" w14:textId="3E930C18" w:rsidR="008A4B41" w:rsidRDefault="008A4B41" w:rsidP="008A4B41">
      <w:pPr>
        <w:spacing w:line="480" w:lineRule="auto"/>
        <w:ind w:firstLine="720"/>
        <w:rPr>
          <w:rFonts w:ascii="Georgia" w:hAnsi="Georgia"/>
        </w:rPr>
      </w:pPr>
      <w:r>
        <w:rPr>
          <w:rFonts w:ascii="Georgia" w:hAnsi="Georgia"/>
        </w:rPr>
        <w:t xml:space="preserve">While this paper can’t concur with Gerstle’s characterization of the Trump and Biden transition away from neoliberalism as a “shift in political economic order” as it still seems like a </w:t>
      </w:r>
      <w:r>
        <w:rPr>
          <w:rFonts w:ascii="Georgia" w:hAnsi="Georgia"/>
        </w:rPr>
        <w:lastRenderedPageBreak/>
        <w:t xml:space="preserve">somewhat premature conclusion, their economic policies have been key drivers in a paradigm shift within American foreign policy. What is useful from Gerstle’s theory on a shift in political economic order is the indicator he uses to describe this shift – cross party consensus. When </w:t>
      </w:r>
      <w:r w:rsidR="00552CB9">
        <w:rPr>
          <w:rFonts w:ascii="Georgia" w:hAnsi="Georgia"/>
        </w:rPr>
        <w:t>opposing</w:t>
      </w:r>
      <w:r>
        <w:rPr>
          <w:rFonts w:ascii="Georgia" w:hAnsi="Georgia"/>
        </w:rPr>
        <w:t xml:space="preserve"> political parties can agree upon a new political economic philosophy, there has been a paradigm shift. In this sense, President Biden’s concurrence on governmental power being used to steer the American economy in the name of national security is confirmation of a paradigm shift.</w:t>
      </w:r>
    </w:p>
    <w:p w14:paraId="3BA5BB4B" w14:textId="77777777" w:rsidR="008A4B41" w:rsidRDefault="008A4B41" w:rsidP="008A4B41">
      <w:pPr>
        <w:spacing w:line="480" w:lineRule="auto"/>
        <w:ind w:firstLine="720"/>
        <w:rPr>
          <w:rFonts w:ascii="Georgia" w:hAnsi="Georgia"/>
        </w:rPr>
      </w:pPr>
      <w:r>
        <w:rPr>
          <w:rFonts w:ascii="Georgia" w:hAnsi="Georgia"/>
        </w:rPr>
        <w:t>This political economic shift towards protectionism does not rise in a vacuum. Donald Trump’s “Make America Great Again” and Joe Biden’s “Build Back Better” quietly signal that the United States is feeling the pressure from rising global competition. Waltz’s structural realism describes how states are constantly reacting to feelings of insecurity and move to express their power to counter those feelings, thereby creating insecurity in others. According to the World Bank’s measures of Chinese GDP over time, it’s only been since the early 2000s that the Chinese economy has started growing at its now notoriously rapid pace</w:t>
      </w:r>
      <w:r>
        <w:rPr>
          <w:rStyle w:val="FootnoteReference"/>
          <w:rFonts w:ascii="Georgia" w:hAnsi="Georgia"/>
        </w:rPr>
        <w:footnoteReference w:id="126"/>
      </w:r>
      <w:r>
        <w:rPr>
          <w:rFonts w:ascii="Georgia" w:hAnsi="Georgia"/>
        </w:rPr>
        <w:t>. More interestingly, over the past ten years, China has started to close the economic gap between it and the United States at an exponential rate. Insecurity over China’s growing status was compounded by its increasing power over key bottlenecks of global supply chains, and that insecurity in status is reflected by Presidents Biden and Trump’s policies recalling American businesses and economic engines back to US borders. Past presidents who championed economic liberalization (AKA neoliberalism) such as Obama, Clinton, or even W. Bush all operated in a world with an economically weaker China that was significantly more cooperative. In this sense, the recent economic paradigm shift from neoliberalism towards protectionism is a part of the American reaction to rising Chinese power in an attempt to preserve national security.</w:t>
      </w:r>
    </w:p>
    <w:p w14:paraId="600F0748" w14:textId="77777777" w:rsidR="008A4B41" w:rsidRDefault="008A4B41" w:rsidP="008A4B41">
      <w:pPr>
        <w:spacing w:line="480" w:lineRule="auto"/>
        <w:ind w:firstLine="720"/>
        <w:rPr>
          <w:rFonts w:ascii="Georgia" w:hAnsi="Georgia"/>
        </w:rPr>
      </w:pPr>
      <w:r>
        <w:rPr>
          <w:rFonts w:ascii="Georgia" w:hAnsi="Georgia"/>
        </w:rPr>
        <w:lastRenderedPageBreak/>
        <w:t>Minerals became included in this paradigm shift when the Biden administration chose to heavily invest in the United States’ green energy future. Cobalt, and minerals in general, have taken up a renewed importance under the Biden administration. Green minerals sit right in the middle of the spider’s web of the United States’ geopolitical, economic, and environmental incentives and insecurities. Under the Final 2023 Department of Energy (DOE) Critical Materials List, cobalt is part of “the electric eighteen” group of critical materials for energy – identified by the DOE for their short- and medium-term criticality for American energy and high risk of supply chain disruption</w:t>
      </w:r>
      <w:r>
        <w:rPr>
          <w:rStyle w:val="FootnoteReference"/>
          <w:rFonts w:ascii="Georgia" w:hAnsi="Georgia"/>
        </w:rPr>
        <w:footnoteReference w:id="127"/>
      </w:r>
      <w:r>
        <w:rPr>
          <w:rFonts w:ascii="Georgia" w:hAnsi="Georgia"/>
        </w:rPr>
        <w:t xml:space="preserve">. Cobalt is particularly vulnerable because of its modern uses in the energy sector, the limited availability of cobalt outside the DRC, and more than a decade of Chinese monopoly over Congolese cobalt. </w:t>
      </w:r>
    </w:p>
    <w:p w14:paraId="3B974998" w14:textId="77777777" w:rsidR="008A4B41" w:rsidRDefault="008A4B41" w:rsidP="008A4B41">
      <w:pPr>
        <w:spacing w:line="480" w:lineRule="auto"/>
        <w:ind w:firstLine="720"/>
        <w:rPr>
          <w:rFonts w:ascii="Georgia" w:hAnsi="Georgia"/>
        </w:rPr>
      </w:pPr>
      <w:r>
        <w:rPr>
          <w:rFonts w:ascii="Georgia" w:hAnsi="Georgia"/>
        </w:rPr>
        <w:t>China’s overwhelming presence in the cobalt trade is being tackled through the re-adjusted lens of economic protectionism and energy security. Washington has re-developed its approach to climate issues and the relative bipartisan consensus for climate-forward, anti-China efforts have liberated the Biden administration to express more executive power on foreign policy with respect to minerals. With this extra breathing room, the Biden administration has put the focus on Africa as a way to circumvent the Chinese cobalt monopoly. With an estimated $24T in mineral wealth, the DRC is an ideal start place to strengthen US-African relations if the US is hoping to develop a stable supply of green minerals</w:t>
      </w:r>
      <w:r>
        <w:rPr>
          <w:rStyle w:val="FootnoteReference"/>
          <w:rFonts w:ascii="Georgia" w:hAnsi="Georgia"/>
        </w:rPr>
        <w:footnoteReference w:id="128"/>
      </w:r>
      <w:r>
        <w:rPr>
          <w:rFonts w:ascii="Georgia" w:hAnsi="Georgia"/>
        </w:rPr>
        <w:t xml:space="preserve">. The Biden administration has made a few key changes to the historically troubled Afro-American relationship, yet there are still a few sore spots that need to be ironed out in the American approach to Africa. President Biden has changed the tactics of investments to start investing in African infrastructure, addressing African nations more frequently and on somewhat more equal terms, and start capitalizing on Chinese economic weakness. </w:t>
      </w:r>
    </w:p>
    <w:p w14:paraId="35EF3066" w14:textId="77777777" w:rsidR="008A4B41" w:rsidRDefault="008A4B41" w:rsidP="008A4B41">
      <w:pPr>
        <w:spacing w:line="480" w:lineRule="auto"/>
        <w:ind w:firstLine="720"/>
        <w:rPr>
          <w:rFonts w:ascii="Georgia" w:hAnsi="Georgia"/>
        </w:rPr>
      </w:pPr>
      <w:r>
        <w:rPr>
          <w:rFonts w:ascii="Georgia" w:hAnsi="Georgia"/>
        </w:rPr>
        <w:lastRenderedPageBreak/>
        <w:t>Africans remain largely conflicted on the United States because relations have historically been diplomatically unfulfilling; however, American soft power remains curiously high across the continent. African Union Ambassador Arikana Chihombori-Quao did an interview with Al-Jazeera describing the critical problems within US-African relations</w:t>
      </w:r>
      <w:r>
        <w:rPr>
          <w:rStyle w:val="FootnoteReference"/>
          <w:rFonts w:ascii="Georgia" w:hAnsi="Georgia"/>
        </w:rPr>
        <w:footnoteReference w:id="129"/>
      </w:r>
      <w:r>
        <w:rPr>
          <w:rFonts w:ascii="Georgia" w:hAnsi="Georgia"/>
        </w:rPr>
        <w:t xml:space="preserve">. The Ambassador’s interview was in response to the 2023 US-African Leaders Summit, and in her interview, she articulated three problems the United States would need to target and address if its new Africa policies were going to be effective. Ambassador Chihombori-Quao highlighted the US’s history of allying with African dictators and warlords, the prevalent disrespect for African needs and perspectives, and the moral high ground American diplomats and leaders tended to approach African issues from. Of those issues, the Ambassador articulated that the culture of disrespect within American foreign policy circles for Africa would be the largest hurdle if the United States wanted to compete with Chinese diplomacy. </w:t>
      </w:r>
    </w:p>
    <w:p w14:paraId="34208D46" w14:textId="32E64E52" w:rsidR="008A4B41" w:rsidRDefault="008A4B41" w:rsidP="008A4B41">
      <w:pPr>
        <w:spacing w:line="480" w:lineRule="auto"/>
        <w:ind w:firstLine="720"/>
        <w:rPr>
          <w:rFonts w:ascii="Georgia" w:hAnsi="Georgia"/>
        </w:rPr>
      </w:pPr>
      <w:r>
        <w:rPr>
          <w:rFonts w:ascii="Georgia" w:hAnsi="Georgia"/>
        </w:rPr>
        <w:t>She described the culture of the US’ Africa initiatives as “We make policy, and then we tell the Africans.” The key problem was not engaging African leaders or policymakers in discussions about what sort of policies or initiatives were most needed. For the bulk of Afro-American relations, American investment has come in the form of humanitarian aid (around $2B across the continent in 2022</w:t>
      </w:r>
      <w:r>
        <w:rPr>
          <w:rStyle w:val="FootnoteReference"/>
          <w:rFonts w:ascii="Georgia" w:hAnsi="Georgia"/>
        </w:rPr>
        <w:footnoteReference w:id="130"/>
      </w:r>
      <w:r>
        <w:rPr>
          <w:rFonts w:ascii="Georgia" w:hAnsi="Georgia"/>
        </w:rPr>
        <w:t>). China gained more ground in African relations when its forums were centered on African infrastructure needs — the top goal most African leaders articulated at the 2018 Forum on China-Africa Cooperation</w:t>
      </w:r>
      <w:r>
        <w:rPr>
          <w:rStyle w:val="FootnoteReference"/>
          <w:rFonts w:ascii="Georgia" w:hAnsi="Georgia"/>
        </w:rPr>
        <w:footnoteReference w:id="131"/>
      </w:r>
      <w:r>
        <w:rPr>
          <w:rFonts w:ascii="Georgia" w:hAnsi="Georgia"/>
        </w:rPr>
        <w:t xml:space="preserve">. African leaders and activists have tried for years to reorient American policy towards infrastructure because massive financial need for infrastructure. Currently, the African Development Bank estimates the total bill for the continent’s infrastructure needs at $130-$170B per year with $68-$108B of that going unpaid </w:t>
      </w:r>
      <w:r>
        <w:rPr>
          <w:rFonts w:ascii="Georgia" w:hAnsi="Georgia"/>
        </w:rPr>
        <w:lastRenderedPageBreak/>
        <w:t>each year</w:t>
      </w:r>
      <w:r>
        <w:rPr>
          <w:rStyle w:val="FootnoteReference"/>
          <w:rFonts w:ascii="Georgia" w:hAnsi="Georgia"/>
        </w:rPr>
        <w:footnoteReference w:id="132"/>
      </w:r>
      <w:r>
        <w:rPr>
          <w:rFonts w:ascii="Georgia" w:hAnsi="Georgia"/>
        </w:rPr>
        <w:t xml:space="preserve">. This insane bill is why Ambassador Chihombori-Quao thinks that African leaders may be willing to overlook American alliances and even its moral high ground if the United States can just address the issues that the continent cares about. Interestingly, she also highlights that prior to China needing African minerals for their manufacturing sector, Chinese diplomats also had many of the same problems as American diplomats, particularly a lack of respect for African perspectives and an excessive focus on humanitarian aid. It was only when China started listening and approaching African countries on more equal terms that those relationships started to strengthen. </w:t>
      </w:r>
    </w:p>
    <w:p w14:paraId="5FD89690" w14:textId="48575BCE" w:rsidR="008A4B41" w:rsidRDefault="008A4B41" w:rsidP="008A4B41">
      <w:pPr>
        <w:spacing w:line="480" w:lineRule="auto"/>
        <w:ind w:firstLine="720"/>
        <w:rPr>
          <w:rFonts w:ascii="Georgia" w:hAnsi="Georgia"/>
        </w:rPr>
      </w:pPr>
      <w:r>
        <w:rPr>
          <w:rFonts w:ascii="Georgia" w:hAnsi="Georgia"/>
        </w:rPr>
        <w:t>The Biden administration must have been taking notes. At the 2022 Leaders’ Summit, President Biden announced that “The United States is ‘all in’ on Africa’s future.”</w:t>
      </w:r>
      <w:r>
        <w:rPr>
          <w:rStyle w:val="FootnoteReference"/>
          <w:rFonts w:ascii="Georgia" w:hAnsi="Georgia"/>
        </w:rPr>
        <w:footnoteReference w:id="133"/>
      </w:r>
      <w:r>
        <w:rPr>
          <w:rFonts w:ascii="Georgia" w:hAnsi="Georgia"/>
        </w:rPr>
        <w:t xml:space="preserve"> Washington has been rapidly re-shaping its Africa policy towards infrastructure and treating African countries on more equal terms. The Biden administration has committed to ramping up investment in Africa to $55B over the next three years and has since welcomed the African Union as permanent member of the G20</w:t>
      </w:r>
      <w:r>
        <w:rPr>
          <w:rStyle w:val="FootnoteReference"/>
          <w:rFonts w:ascii="Georgia" w:hAnsi="Georgia"/>
        </w:rPr>
        <w:footnoteReference w:id="134"/>
      </w:r>
      <w:r>
        <w:rPr>
          <w:rFonts w:ascii="Georgia" w:hAnsi="Georgia"/>
        </w:rPr>
        <w:t xml:space="preserve">. Time will tell how those investments will land, but the Lobito Corridor project stands out as the crown jewel of Biden’s infrastructure shift. The Lobito Corridor project is an infrastructure investment in an 835-mile-long international rail line connecting the copper-cobalt mines in Southern Congo and the Zambian copper capital, Ndola, to the Angolan port of Lobito. The port of Lobito sits on the Western coast of Africa, and massive cargo vessels can easily set sail from the port and head straight to American harbors, creating a direct pipeline of copper and cobalt for the US. This project characterizes the US’ goals in Africa by using an infrastructure investment to simultaneously strengthen African </w:t>
      </w:r>
      <w:r>
        <w:rPr>
          <w:rFonts w:ascii="Georgia" w:hAnsi="Georgia"/>
        </w:rPr>
        <w:lastRenderedPageBreak/>
        <w:t xml:space="preserve">relations, provide greater access for critical minerals, and poke a hole in the iron armor of China’s monopolies over African minerals. </w:t>
      </w:r>
    </w:p>
    <w:p w14:paraId="1314EDE1" w14:textId="77777777" w:rsidR="008A4B41" w:rsidRDefault="008A4B41" w:rsidP="008A4B41">
      <w:pPr>
        <w:spacing w:line="480" w:lineRule="auto"/>
        <w:ind w:firstLine="720"/>
        <w:rPr>
          <w:rFonts w:ascii="Georgia" w:hAnsi="Georgia"/>
        </w:rPr>
      </w:pPr>
      <w:r>
        <w:rPr>
          <w:rFonts w:ascii="Georgia" w:hAnsi="Georgia"/>
        </w:rPr>
        <w:t>The United States has already signed two memoranda of understanding, one with the DRC and Zambia and the other with Congolese state mining company Gécamines and the Japan Organization for Metals and Energy Security</w:t>
      </w:r>
      <w:r>
        <w:rPr>
          <w:rStyle w:val="FootnoteReference"/>
          <w:rFonts w:ascii="Georgia" w:hAnsi="Georgia"/>
        </w:rPr>
        <w:footnoteReference w:id="135"/>
      </w:r>
      <w:r>
        <w:rPr>
          <w:rFonts w:ascii="Georgia" w:hAnsi="Georgia"/>
        </w:rPr>
        <w:t>. Interestingly, the memorandum with Gécamines was signed in February of 2024, only three months after the Congolese government had finalized the 2023 renegotiations of the Sicomines copper-cobalt mine. Chinese private and state-owned companies coughed up an additional $7B of infrastructure payments to incentivize the Congolese to not seek other buyers for their cobalt, and yet three months later, the DRC was signing deals to open Congo other buyers. This also came at a time when the Chinese government and economy really didn’t extra cash to spare. It’s unsurprising that Washington would reach out in a desperate bid to try and avoid buying necessary minerals from China, but it’s more telling that Kinshasa responded. While the Lobito Corridor poses a great economic and political win for the US and DRC, it also shows a shift in the relative power balance between China, the DRC, and the US. China has historically dominated the Congolese cobalt trade, and the Congolese government has had minimal power to demand higher prices or better terms. However, the emergence of the United States into the Congolese cobalt trade has raised the DRC’s bargaining power within this dynamic.</w:t>
      </w:r>
    </w:p>
    <w:p w14:paraId="24F682DE" w14:textId="77777777" w:rsidR="008A4B41" w:rsidRDefault="008A4B41" w:rsidP="008A4B41">
      <w:pPr>
        <w:spacing w:line="480" w:lineRule="auto"/>
        <w:ind w:firstLine="720"/>
        <w:rPr>
          <w:rFonts w:ascii="Georgia" w:hAnsi="Georgia"/>
        </w:rPr>
      </w:pPr>
      <w:r>
        <w:rPr>
          <w:rFonts w:ascii="Georgia" w:hAnsi="Georgia"/>
        </w:rPr>
        <w:t xml:space="preserve">This rise in bargaining power is no longer just a theoretical change; the Congolese government has already started to act on this new opportunity. This is a net positive for the United States. Even if Washington is unlikely to be able to ever have the easy access and low prices China has enjoyed for sixteen years, the DRC is opening the door for the United States to break up the Chinese monopoly and reduce its dependency on Chinese minerals. The United </w:t>
      </w:r>
      <w:r>
        <w:rPr>
          <w:rFonts w:ascii="Georgia" w:hAnsi="Georgia"/>
        </w:rPr>
        <w:lastRenderedPageBreak/>
        <w:t xml:space="preserve">States and Democratic Republic of Congo have an alignment of incentives to break up the Chinese monopoly of Congolese cobalt, and this alignment is resulting in cooperation between these two countries. Time will tell if American investment in African infrastructure will stand the test of time or what risks or rifts might develop over time. However, success in the Lobito Corridor could incentivize Congress and the White House towards more investments in Africa. Strong relations in Africa could generate more China-free minerals that can power the Biden administration’s industrialized climate policies and increase the United States’ energy security. </w:t>
      </w:r>
    </w:p>
    <w:p w14:paraId="200745FC" w14:textId="77777777" w:rsidR="008A4B41" w:rsidRDefault="008A4B41" w:rsidP="008A4B41">
      <w:pPr>
        <w:spacing w:line="480" w:lineRule="auto"/>
        <w:ind w:firstLine="720"/>
        <w:rPr>
          <w:rFonts w:ascii="Georgia" w:hAnsi="Georgia"/>
        </w:rPr>
      </w:pPr>
      <w:r>
        <w:rPr>
          <w:rFonts w:ascii="Georgia" w:hAnsi="Georgia"/>
        </w:rPr>
        <w:t>For China, the United States successfully strengthening its ties with the DRC is a threat to Chinese economic and energy security. Despite the many mistakes and poor choices the US has made in Africa, the United States remains a very attractive partner across the continent. In the same 2019/2021 African public opinion survey across 34 countries where almost two-thirds of Africans saw China’s influence as mostly positive, 60% of Africans saw the United States’ influence as mostly positive</w:t>
      </w:r>
      <w:r>
        <w:rPr>
          <w:rStyle w:val="FootnoteReference"/>
          <w:rFonts w:ascii="Georgia" w:hAnsi="Georgia"/>
        </w:rPr>
        <w:footnoteReference w:id="136"/>
      </w:r>
      <w:r>
        <w:rPr>
          <w:rFonts w:ascii="Georgia" w:hAnsi="Georgia"/>
        </w:rPr>
        <w:t>. Both countries have similar levels of support among Africans, yet when comparing models for development, Africans seemed to prefer the American model compared to the Chinese model</w:t>
      </w:r>
      <w:r>
        <w:rPr>
          <w:rStyle w:val="FootnoteReference"/>
          <w:rFonts w:ascii="Georgia" w:hAnsi="Georgia"/>
        </w:rPr>
        <w:footnoteReference w:id="137"/>
      </w:r>
      <w:r>
        <w:rPr>
          <w:rFonts w:ascii="Georgia" w:hAnsi="Georgia"/>
        </w:rPr>
        <w:t>. In other words, when Africans think of the kind of economy and society they want in their home countries, a majority think of the United States. The United States still holds an element of luster to many Africans. While there is a growing body of American literature on the ramifications of Chinese soft power in Africa, very little seems to address the resilience of American soft power across the continent. Nye’s conception of soft power can grow from a multitude of sources, and American soft power doesn’t seem to be based in its diplomatic or economic initiatives in Africa.</w:t>
      </w:r>
    </w:p>
    <w:p w14:paraId="52148506" w14:textId="29F548CD" w:rsidR="008A4B41" w:rsidRDefault="008A4B41" w:rsidP="008A4B41">
      <w:pPr>
        <w:spacing w:line="480" w:lineRule="auto"/>
        <w:ind w:firstLine="720"/>
        <w:rPr>
          <w:rFonts w:ascii="Georgia" w:hAnsi="Georgia"/>
        </w:rPr>
      </w:pPr>
      <w:r>
        <w:rPr>
          <w:rFonts w:ascii="Georgia" w:hAnsi="Georgia"/>
        </w:rPr>
        <w:t xml:space="preserve">The core of soft power is built on attraction and is used as a form of persuasion. While China’s soft power has been built on its government initiatives and investments, the United </w:t>
      </w:r>
      <w:r>
        <w:rPr>
          <w:rFonts w:ascii="Georgia" w:hAnsi="Georgia"/>
        </w:rPr>
        <w:lastRenderedPageBreak/>
        <w:t>States’ attraction comes from its civil society, based on its globalized culture and the American mythos of being a “land of opportunity.” This soft power makes the United States a more attractive business partner for African countries, despite years of diplomatic neglect. Additionally, the United States’ comparable economy and power to China make it an attractive partner for states like the DRC who may be looking to use the US as a means of counterbalancing or breaking from Chinese influence. For now, the United States’ empowering presence in the DRC-China dynamic looks promising for the US as a means of upsetting the Chinese monopoly of Congolese cobalt. In contrast to the positive feedback loop of Chinese monopoly and Congolese weakness, Chinese monopoly has engendered a securitized counter-response from the United States designed to settle growing feelings of American insecurity. Cobalt’s role in the energy sector has only exacerbated this phenomenon as states are particularly sensitive to insecurity within their energy supplies. So</w:t>
      </w:r>
      <w:r w:rsidR="00552CB9">
        <w:rPr>
          <w:rFonts w:ascii="Georgia" w:hAnsi="Georgia"/>
        </w:rPr>
        <w:t>,</w:t>
      </w:r>
      <w:r>
        <w:rPr>
          <w:rFonts w:ascii="Georgia" w:hAnsi="Georgia"/>
        </w:rPr>
        <w:t xml:space="preserve"> </w:t>
      </w:r>
      <w:bookmarkStart w:id="1" w:name="_Hlk163097764"/>
      <w:r>
        <w:rPr>
          <w:rFonts w:ascii="Georgia" w:hAnsi="Georgia"/>
        </w:rPr>
        <w:t xml:space="preserve">for the American energy transition, the Biden administration has been laying the tracks towards greater energy security, and a rare bipartisan consensus on green energy security has been combined within the greater American efforts to rollback Chinese gains, not just in minerals but in power. </w:t>
      </w:r>
      <w:bookmarkEnd w:id="1"/>
    </w:p>
    <w:p w14:paraId="0BDAA210" w14:textId="77777777" w:rsidR="00C74058" w:rsidRDefault="00C74058" w:rsidP="004A3470">
      <w:pPr>
        <w:spacing w:line="480" w:lineRule="auto"/>
        <w:jc w:val="center"/>
        <w:rPr>
          <w:rFonts w:ascii="Georgia" w:hAnsi="Georgia"/>
        </w:rPr>
      </w:pPr>
    </w:p>
    <w:p w14:paraId="02D28BD4" w14:textId="77777777" w:rsidR="00354631" w:rsidRPr="00606BC4" w:rsidRDefault="00354631" w:rsidP="00354631">
      <w:pPr>
        <w:spacing w:line="480" w:lineRule="auto"/>
        <w:jc w:val="center"/>
        <w:rPr>
          <w:rFonts w:ascii="Georgia" w:hAnsi="Georgia"/>
          <w:i/>
          <w:iCs/>
        </w:rPr>
      </w:pPr>
      <w:r w:rsidRPr="00606BC4">
        <w:rPr>
          <w:rFonts w:ascii="Georgia" w:hAnsi="Georgia"/>
          <w:i/>
          <w:iCs/>
        </w:rPr>
        <w:t>Implications and Current Balance</w:t>
      </w:r>
    </w:p>
    <w:p w14:paraId="624AEA3A" w14:textId="41F6B30B" w:rsidR="00354631" w:rsidRDefault="00354631" w:rsidP="00354631">
      <w:pPr>
        <w:spacing w:line="480" w:lineRule="auto"/>
        <w:rPr>
          <w:rFonts w:ascii="Georgia" w:hAnsi="Georgia"/>
        </w:rPr>
      </w:pPr>
      <w:r>
        <w:rPr>
          <w:rFonts w:ascii="Georgia" w:hAnsi="Georgia"/>
        </w:rPr>
        <w:tab/>
        <w:t>As one state grows in power, the other feels more insecure and feels the need to settle that concern by enhancing their own power. For the United States and China, their relative power to each other is close enough that any major moves from one spark insecurity in the other. Even as Xi Jinping has expressed the idea that China is waxing while the West and US are waning, he talks about American power in his speeches within China as real threat to Chinese development and security</w:t>
      </w:r>
      <w:r>
        <w:rPr>
          <w:rStyle w:val="FootnoteReference"/>
          <w:rFonts w:ascii="Georgia" w:hAnsi="Georgia"/>
        </w:rPr>
        <w:footnoteReference w:id="138"/>
      </w:r>
      <w:r>
        <w:rPr>
          <w:rFonts w:ascii="Georgia" w:hAnsi="Georgia"/>
        </w:rPr>
        <w:t xml:space="preserve">. The unsettled feeling of insecurity between Beijing and </w:t>
      </w:r>
      <w:r>
        <w:rPr>
          <w:rFonts w:ascii="Georgia" w:hAnsi="Georgia"/>
        </w:rPr>
        <w:lastRenderedPageBreak/>
        <w:t xml:space="preserve">Washington is mutual, and the growing American presence in the DRC presents China with a critical problem. The monopoly that China has constructed is, in essence, artificial. It’s based on the consent of the Congolese and/or the leverage China has over Congo. The Congolese have the natural monopoly of cobalt, but their state and economic weakness is a critical impairment in their ability to utilize the power gained from having a monopoly. Instead, the Congolese have found themselves on the other end of a monopoly — the losing one. </w:t>
      </w:r>
    </w:p>
    <w:p w14:paraId="6F08A556" w14:textId="77777777" w:rsidR="00354631" w:rsidRDefault="00354631" w:rsidP="00354631">
      <w:pPr>
        <w:spacing w:line="480" w:lineRule="auto"/>
        <w:rPr>
          <w:rFonts w:ascii="Georgia" w:hAnsi="Georgia"/>
        </w:rPr>
      </w:pPr>
      <w:r>
        <w:rPr>
          <w:rFonts w:ascii="Georgia" w:hAnsi="Georgia"/>
        </w:rPr>
        <w:tab/>
        <w:t>The problem the US presents China is that the very presence of another buyer of cobalt increases the DRC’s power within the US-China-DRC dynamic. When China is the only/vast majority buyer of a critical economic driver, the DRC doesn’t effectively have the means of resisting Chinese terms within an agreement. Before the US started to turn towards Africa, if China walked out, the Congolese economy could have cracked under the strain. But with another potential buyer, the DRC can set more favorable terms in its agreements with China or drive up the price for cobalt. In more economic terms, the American presence is essentially increasing demand and thereby increasing the bargaining power of the seller. This would probably be the ideal scenario for the Democratic Republic of Congo and could be potentially beneficial for the United States. However, this ideal scenario might be disturbed by lingering issues within the US-DRC relationship.</w:t>
      </w:r>
    </w:p>
    <w:p w14:paraId="39BBC529" w14:textId="303F8D48" w:rsidR="00354631" w:rsidRDefault="00354631" w:rsidP="00354631">
      <w:pPr>
        <w:spacing w:line="480" w:lineRule="auto"/>
        <w:rPr>
          <w:rFonts w:ascii="Georgia" w:hAnsi="Georgia"/>
        </w:rPr>
      </w:pPr>
      <w:r>
        <w:rPr>
          <w:rFonts w:ascii="Georgia" w:hAnsi="Georgia"/>
        </w:rPr>
        <w:tab/>
        <w:t xml:space="preserve">When the US is trying to better its relations with the DRC, it has the opportunities from gaps left by the Chinese approach, and it has weaknesses that need to be fortified from the US’s history in the Congo. While infrastructure projects are certainly a welcome start, there are still unresolved tensions with the American-Congolese relationship. An American shift towards infrastructure over humanitarian aid has curried favour with the Congolese government, but the US’s ongoing relationship with Rwanda is severely damaging the American reputation with the Congolese people. Seven days after the United States and its allies signed the second agreement over the Lobito Corridor, American embassies in Kinshasa were targeted by protestors burning </w:t>
      </w:r>
      <w:r>
        <w:rPr>
          <w:rFonts w:ascii="Georgia" w:hAnsi="Georgia"/>
        </w:rPr>
        <w:lastRenderedPageBreak/>
        <w:t>tires and American and Belgian flags</w:t>
      </w:r>
      <w:r>
        <w:rPr>
          <w:rStyle w:val="FootnoteReference"/>
          <w:rFonts w:ascii="Georgia" w:hAnsi="Georgia"/>
        </w:rPr>
        <w:footnoteReference w:id="139"/>
      </w:r>
      <w:r>
        <w:rPr>
          <w:rFonts w:ascii="Georgia" w:hAnsi="Georgia"/>
        </w:rPr>
        <w:t>. Protestors accuse Western countries, especially the US and the UK, of financing Rwanda, who they and numerous independent reports say funds the M23 rebel group that is carving a bloody path through Eastern Congo. If the United States doesn’t try to settle this division of opinion between the Congolese government versus the Congolese people</w:t>
      </w:r>
      <w:r w:rsidR="00552CB9">
        <w:rPr>
          <w:rFonts w:ascii="Georgia" w:hAnsi="Georgia"/>
        </w:rPr>
        <w:t>,</w:t>
      </w:r>
      <w:r>
        <w:rPr>
          <w:rFonts w:ascii="Georgia" w:hAnsi="Georgia"/>
        </w:rPr>
        <w:t xml:space="preserve"> then it could very well have the same issues China has in the DRC. The United States must also contend with the American domestic dissent towards buying more Congolese cobalt. </w:t>
      </w:r>
    </w:p>
    <w:p w14:paraId="7387858A" w14:textId="77777777" w:rsidR="00354631" w:rsidRDefault="00354631" w:rsidP="00354631">
      <w:pPr>
        <w:spacing w:line="480" w:lineRule="auto"/>
        <w:ind w:firstLine="720"/>
        <w:rPr>
          <w:rFonts w:ascii="Georgia" w:hAnsi="Georgia"/>
        </w:rPr>
      </w:pPr>
      <w:r>
        <w:rPr>
          <w:rFonts w:ascii="Georgia" w:hAnsi="Georgia"/>
        </w:rPr>
        <w:t>The numerous human rights reports coming out of Congolese mines have not fallen on deaf ears. International Rights Advocates, an American legal advocacy group that fights slave labour in global supply chains, filed a class action lawsuit in 2020 and called for a federal court to hold Apple, Alphabet (Google), Microsoft, Dell, and Tesla accountable for aiding and abetting child labour in Congolese cobalt mines</w:t>
      </w:r>
      <w:r>
        <w:rPr>
          <w:rStyle w:val="FootnoteReference"/>
          <w:rFonts w:ascii="Georgia" w:hAnsi="Georgia"/>
        </w:rPr>
        <w:footnoteReference w:id="140"/>
      </w:r>
      <w:r>
        <w:rPr>
          <w:rFonts w:ascii="Georgia" w:hAnsi="Georgia"/>
        </w:rPr>
        <w:t>. Though the court ultimately ruled against them in March 2024, multiple of these companies have already reset their standards for mineral supply chains. There is a push from humanitarian organizations, research centers, and the public for companies to at minimum become more accountable for their supply chains, if not halting the purchase of Congolese cobalt all together. Some companies like Tesla are trying to explore cobalt-free battery options for their electric vehicles because of overwhelming humanitarian concerns and the Chinese monopoly. These strains on the American-Congolese relationship pose a real threat to their relative power within the dynamic of the Chinese monopoly.</w:t>
      </w:r>
    </w:p>
    <w:p w14:paraId="311B028F" w14:textId="77777777" w:rsidR="00354631" w:rsidRDefault="00354631" w:rsidP="00354631">
      <w:pPr>
        <w:spacing w:line="480" w:lineRule="auto"/>
        <w:ind w:firstLine="720"/>
        <w:rPr>
          <w:rFonts w:ascii="Georgia" w:hAnsi="Georgia"/>
        </w:rPr>
      </w:pPr>
      <w:r>
        <w:rPr>
          <w:rFonts w:ascii="Georgia" w:hAnsi="Georgia"/>
        </w:rPr>
        <w:t xml:space="preserve">The United States and DRC’s ability to wear down the Chinese monopoly hinges on their cooperation. If the US doesn’t invest, the DRC has no leverage, and if the DRC isn’t open to American investment, the US has no China-free cobalt. Still, both parties have significant incentives to cooperate, especially the United States. The US poses an existential threat to China </w:t>
      </w:r>
      <w:r>
        <w:rPr>
          <w:rFonts w:ascii="Georgia" w:hAnsi="Georgia"/>
        </w:rPr>
        <w:lastRenderedPageBreak/>
        <w:t xml:space="preserve">because it is, as of now, the only solitary entity/state that has the economic, political, and diplomatic means of competing with China. Yet in that same vein, China poses this same existential threat to the United States. These mirrored threats have encouraged both countries to turn towards economic protectionism. Within the discipline of International Relations, this paper understands protectionism as an economic strategy where states prioritize security and political autonomy over raw economic success. Years of neoliberal economic strategy have been extremely economically lucrative for China, the US, and the rest of the world. The trade-off has been the growing power of transnational corporations, increased economic interdependency between states, and a political focus on economic growth. </w:t>
      </w:r>
    </w:p>
    <w:p w14:paraId="743DF280" w14:textId="111BC64C" w:rsidR="00354631" w:rsidRDefault="00354631" w:rsidP="00354631">
      <w:pPr>
        <w:spacing w:line="480" w:lineRule="auto"/>
        <w:ind w:firstLine="720"/>
        <w:rPr>
          <w:rFonts w:ascii="Georgia" w:hAnsi="Georgia"/>
        </w:rPr>
      </w:pPr>
      <w:r>
        <w:rPr>
          <w:rFonts w:ascii="Georgia" w:hAnsi="Georgia"/>
        </w:rPr>
        <w:t xml:space="preserve">Trump- and Biden-era American politics have turned towards protectionism as a way to cut back on foreign influence over the American economy, especially Chinese influence. In an era of increasing geopolitical competition, more countries are using economic interdependence as a political weapon to punish unfavorable decisions. The United States and its allies levied heavy sanctions on Russia after its 2022 invasion of Ukraine that have continued to gauge the Russian economy, and Russia responded in kind by cutting off gas exports to European countries dependent on Russian gas to meet affordable energy needs. Between the American economic struggles from Trump’s trade war and sanction battles that have continued into the Biden administration, the United States is all too aware of how vulnerable it is to reprisals from the second largest economy in the world, China. The US’ turn towards protectionism is mirrored by China’s shift in policy. For the past several decades, China’s leading economic strategy has centered development and economic growth, lifting millions out of poverty and also increasing Chinese economic entanglements within foreign markets. In the emerging era, Xi Jinping has prioritized national security in the Communist Party of China’s (CCP) official policy goals and shifted economic focus to state-owned firms over private sector businesses. Economic growth is important but not more so than political autonomy. Control over their supply of cobalt is part of the Chinese strategy for maintaining autonomy and security in an interdependent world. </w:t>
      </w:r>
    </w:p>
    <w:p w14:paraId="078D0E71" w14:textId="77777777" w:rsidR="00354631" w:rsidRDefault="00354631" w:rsidP="00354631">
      <w:pPr>
        <w:spacing w:line="480" w:lineRule="auto"/>
        <w:ind w:firstLine="720"/>
        <w:rPr>
          <w:rFonts w:ascii="Georgia" w:hAnsi="Georgia"/>
        </w:rPr>
      </w:pPr>
      <w:r>
        <w:rPr>
          <w:rFonts w:ascii="Georgia" w:hAnsi="Georgia"/>
        </w:rPr>
        <w:lastRenderedPageBreak/>
        <w:t xml:space="preserve">China’s monopoly of Congolese cobalt is both a product of and a source of Congolese state weakness. The monopoly relies on economic leverage and soft power to keep the Congolese from looking elsewhere for partners, but the byproduct of reduced Congolese political economic autonomy has incentivized the DRC to find another buyer for their cobalt. As the US steps in to try and fill that role, they are responding to and generating a positive feedback loop of power and insecurity within US-China relations. Each step the US or China takes to ensure their cobalt supply or gain power within this triangular dynamic engenders a fearful response from the other. This loop is created by the American and Chinese shared interests in cobalt, greater autonomy, and a sense of security, but their positions of relative power within the international system have placed them as opposing forces to one another.  </w:t>
      </w:r>
    </w:p>
    <w:p w14:paraId="496FB4EE" w14:textId="2EC6FF38" w:rsidR="00354631" w:rsidRDefault="00354631" w:rsidP="00354631">
      <w:pPr>
        <w:spacing w:line="480" w:lineRule="auto"/>
        <w:rPr>
          <w:rFonts w:ascii="Georgia" w:hAnsi="Georgia"/>
        </w:rPr>
      </w:pPr>
    </w:p>
    <w:p w14:paraId="0E6D01A9" w14:textId="77777777" w:rsidR="00354631" w:rsidRPr="00606BC4" w:rsidRDefault="00354631" w:rsidP="00354631">
      <w:pPr>
        <w:spacing w:line="480" w:lineRule="auto"/>
        <w:jc w:val="center"/>
        <w:rPr>
          <w:rFonts w:ascii="Georgia" w:hAnsi="Georgia"/>
          <w:i/>
          <w:iCs/>
        </w:rPr>
      </w:pPr>
      <w:r w:rsidRPr="00606BC4">
        <w:rPr>
          <w:rFonts w:ascii="Georgia" w:hAnsi="Georgia"/>
          <w:i/>
          <w:iCs/>
        </w:rPr>
        <w:t>CONCLUSION</w:t>
      </w:r>
    </w:p>
    <w:p w14:paraId="06E56D64" w14:textId="77777777" w:rsidR="00354631" w:rsidRDefault="00354631" w:rsidP="00354631">
      <w:pPr>
        <w:spacing w:line="480" w:lineRule="auto"/>
        <w:rPr>
          <w:rFonts w:ascii="Georgia" w:hAnsi="Georgia"/>
        </w:rPr>
      </w:pPr>
      <w:r>
        <w:rPr>
          <w:rFonts w:ascii="Georgia" w:hAnsi="Georgia"/>
        </w:rPr>
        <w:tab/>
        <w:t>Despite the structural elements of US-China-DRC power dynamics, the American alignment with the DRC that will need to mature before any real conclusions can be drawn about the fate of the Chinese monopoly over Congolese cobalt. However, at least in the short term, it seems safe to assume that each of these three actors will become more embroiled in increasing their relative power within the Congolese cobalt trade. Each state has a level of dependency on cobalt and thus something to lose. Of these three actors, China still has the most independence and control over the Congolese cobalt trade, but it is becoming more insecure as the United States enters the playing field. The United States’ efforts to enter the Congolese cobalt trade play into and are a function of the increasingly competitive relationship between the United States and China. Yet, at present, the Democratic Republic of Congo remains the most mysterious actor. China and the US are circling towards Congo as they both still want and need cobalt. However, it remains unclear what the endgame is for the DRC, and numerous questions will have to be explored as the American-Congolese relationship matures.</w:t>
      </w:r>
    </w:p>
    <w:p w14:paraId="2AA24343" w14:textId="4D4E78CB" w:rsidR="00354631" w:rsidRDefault="00354631" w:rsidP="00354631">
      <w:pPr>
        <w:spacing w:line="480" w:lineRule="auto"/>
        <w:rPr>
          <w:rFonts w:ascii="Georgia" w:hAnsi="Georgia"/>
        </w:rPr>
      </w:pPr>
      <w:r>
        <w:rPr>
          <w:rFonts w:ascii="Georgia" w:hAnsi="Georgia"/>
        </w:rPr>
        <w:lastRenderedPageBreak/>
        <w:tab/>
        <w:t xml:space="preserve">How much the Congolese want to depart from Beijing and what amount of American presence in the Congolese cobalt trade the DRC is looking for will be critical questions that only the Congolese can answer. Having American and Chinese influence counterbalance each other in a more bipolar Congolese cobalt market might be ideal, or perhaps the DRC would prefer to use American power to drive up the price of cobalt but ultimately stay firmly attached to China. Regardless, the growing American presence in Africa and its attention to minerals gives the DRC more potential relative power. It’s important to describe this increase in relative power as potential because the DRC has not resolved its long-term issues with state weakness. Some of the Congo’s weakness is self-inflicted by governmental corruption that has profited from strong relations with China. Corrupt actors in the DRC might be inclined to handicap the Congo’s growing relative power for personal gain, or armed groups in the Congo’s Eastern provinces might embroil the country in so much chaos that it cripples the state. </w:t>
      </w:r>
    </w:p>
    <w:p w14:paraId="2DFB2214" w14:textId="77777777" w:rsidR="00354631" w:rsidRDefault="00354631" w:rsidP="00354631">
      <w:pPr>
        <w:spacing w:line="480" w:lineRule="auto"/>
        <w:ind w:firstLine="720"/>
        <w:rPr>
          <w:rFonts w:ascii="Georgia" w:hAnsi="Georgia"/>
        </w:rPr>
      </w:pPr>
      <w:r>
        <w:rPr>
          <w:rFonts w:ascii="Georgia" w:hAnsi="Georgia"/>
        </w:rPr>
        <w:t xml:space="preserve">How the DRC will tackle these issues is a million-dollar question, but if the Congolese government can maintain some hold on stability, the cobalt trade could be more of a boon than curse. Despite the many unknowns for the DRC, China and the United States seem on unwavering course towards more competition. The struggle between the United States and China to woo the DRC is fought with soft power and which state can present the most attractive incentives to the country with the world’s natural monopoly of cobalt. For the United States, combatting China’s growing power on the world stage and ensuring a stable supply of green minerals seem to be equal incentives for investing in the DRC. Chinese monopolies over green minerals around the globe have become a unifier and a catalyst within the American political landscape. To respond to these green monopolies, the US has expanded the concept of energy security to include green energy and developed a young, fragile domestic consensus. </w:t>
      </w:r>
    </w:p>
    <w:p w14:paraId="165730B6" w14:textId="77777777" w:rsidR="00354631" w:rsidRDefault="00354631" w:rsidP="00354631">
      <w:pPr>
        <w:spacing w:line="480" w:lineRule="auto"/>
        <w:ind w:firstLine="720"/>
        <w:rPr>
          <w:rFonts w:ascii="Georgia" w:hAnsi="Georgia"/>
        </w:rPr>
      </w:pPr>
      <w:r>
        <w:rPr>
          <w:rFonts w:ascii="Georgia" w:hAnsi="Georgia"/>
        </w:rPr>
        <w:t>However this new era of energy policy matures over time, it is still interesting and significant that climate policy has become bipartisan when it is absorbed into a greater US-</w:t>
      </w:r>
      <w:r>
        <w:rPr>
          <w:rFonts w:ascii="Georgia" w:hAnsi="Georgia"/>
        </w:rPr>
        <w:lastRenderedPageBreak/>
        <w:t xml:space="preserve">China competition and that securitization of green energy has engendered more unilateral support. The bipartisan consent on fighting for American energy security has enabled the United States to create more cohesive and responsive policy, but how long this consensus will last </w:t>
      </w:r>
      <w:proofErr w:type="gramStart"/>
      <w:r>
        <w:rPr>
          <w:rFonts w:ascii="Georgia" w:hAnsi="Georgia"/>
        </w:rPr>
        <w:t>remains</w:t>
      </w:r>
      <w:proofErr w:type="gramEnd"/>
      <w:r>
        <w:rPr>
          <w:rFonts w:ascii="Georgia" w:hAnsi="Georgia"/>
        </w:rPr>
        <w:t xml:space="preserve"> unclear. The steps the United States is taking to ensure its green energy security have come at a time when China is caught in a back pedal. Chinese insecurities over a sluggish economy are being amplified by a greater push of American power. The American shift towards Africa as a strategic region for green minerals and increasingly protectionist policies looking to cut China out of the American economy have pushed the pendulum of insecurity towards China. In all likeliness, this could be an ongoing issue for the foreseeable future. </w:t>
      </w:r>
    </w:p>
    <w:p w14:paraId="29F4689F" w14:textId="77777777" w:rsidR="00354631" w:rsidRDefault="00354631" w:rsidP="00354631">
      <w:pPr>
        <w:spacing w:line="480" w:lineRule="auto"/>
        <w:ind w:firstLine="720"/>
        <w:rPr>
          <w:rFonts w:ascii="Georgia" w:hAnsi="Georgia"/>
        </w:rPr>
      </w:pPr>
      <w:r>
        <w:rPr>
          <w:rFonts w:ascii="Georgia" w:hAnsi="Georgia"/>
        </w:rPr>
        <w:t xml:space="preserve">American scholars and policymakers have been strategizing how to best increase American energy security within the oil and natural gas industries for decades. Energy is a universal need, and its raw materials are not distributed evenly. The push-and-pull of Sino-American power and insecurity spreading into the realm of energy shouldn’t be overly surprising. From a geopolitical sense, the power dynamics of energy, whether its fossil fuels or renewables, aren’t really that different. The major change has been the reshuffling of natural advantages based on where raw materials happen to be abundant. As the world shifts towards green energy, mineral-rich countries like the Democratic Republic of Congo will become significantly more relevant for other countries. Each of the three actors highlighted in this paper, the DRC, China, and the US, are all inherently looking to increase their own security and relative power over a critical raw mineral, and their insecurities and incentives wax and wane depending on whether they are gaining or losing power within this dynamic. </w:t>
      </w:r>
    </w:p>
    <w:p w14:paraId="3E502404" w14:textId="78F9750B" w:rsidR="001C3C9C" w:rsidRDefault="00354631" w:rsidP="00C66DD3">
      <w:pPr>
        <w:spacing w:line="480" w:lineRule="auto"/>
        <w:ind w:firstLine="720"/>
        <w:rPr>
          <w:rFonts w:ascii="Georgia" w:hAnsi="Georgia"/>
        </w:rPr>
      </w:pPr>
      <w:r>
        <w:rPr>
          <w:rFonts w:ascii="Georgia" w:hAnsi="Georgia"/>
        </w:rPr>
        <w:t xml:space="preserve">This push and pull of power in the Congolese cobalt trade began when the United States entered the playing field and upset the previously rigid monopoly China held over the DRC’s cobalt. The US entered this dynamic because of the insecurity it felt from the Chinese monopoly, and since then, the US has started adopting strategies that are more directly addressing the root </w:t>
      </w:r>
      <w:r>
        <w:rPr>
          <w:rFonts w:ascii="Georgia" w:hAnsi="Georgia"/>
        </w:rPr>
        <w:lastRenderedPageBreak/>
        <w:t xml:space="preserve">American fears of dependency and loss of autonomy that Chinese power enflames. Protectionism and a securitized American energy transition may become a mainstay of American political economic policy as this triangular dynamic can increase and decrease American feelings of security as China and the DRC react to the growing American presence in Congo. In the end, this strategy is not guaranteed to increase American energy security, but the dilemma that the Chinese monopoly of Congolese cobalt forced onto the United States was always going to engender a reaction. </w:t>
      </w:r>
    </w:p>
    <w:p w14:paraId="79D97FA4" w14:textId="77777777" w:rsidR="007917E8" w:rsidRDefault="007917E8" w:rsidP="007917E8">
      <w:pPr>
        <w:spacing w:line="480" w:lineRule="auto"/>
        <w:rPr>
          <w:rFonts w:ascii="Georgia" w:hAnsi="Georgia"/>
        </w:rPr>
      </w:pPr>
    </w:p>
    <w:p w14:paraId="0AE5EB83" w14:textId="77777777" w:rsidR="007917E8" w:rsidRDefault="007917E8" w:rsidP="007917E8">
      <w:pPr>
        <w:spacing w:line="480" w:lineRule="auto"/>
        <w:rPr>
          <w:rFonts w:ascii="Georgia" w:hAnsi="Georgia"/>
        </w:rPr>
      </w:pPr>
    </w:p>
    <w:p w14:paraId="62FDF287" w14:textId="77777777" w:rsidR="007917E8" w:rsidRDefault="007917E8" w:rsidP="007917E8">
      <w:pPr>
        <w:spacing w:line="480" w:lineRule="auto"/>
        <w:rPr>
          <w:rFonts w:ascii="Georgia" w:hAnsi="Georgia"/>
        </w:rPr>
      </w:pPr>
    </w:p>
    <w:p w14:paraId="27149DC7" w14:textId="77777777" w:rsidR="007917E8" w:rsidRDefault="007917E8" w:rsidP="007917E8">
      <w:pPr>
        <w:spacing w:line="480" w:lineRule="auto"/>
        <w:rPr>
          <w:rFonts w:ascii="Georgia" w:hAnsi="Georgia"/>
        </w:rPr>
      </w:pPr>
    </w:p>
    <w:p w14:paraId="562D6DD0" w14:textId="77777777" w:rsidR="007917E8" w:rsidRDefault="007917E8" w:rsidP="007917E8">
      <w:pPr>
        <w:spacing w:line="480" w:lineRule="auto"/>
        <w:rPr>
          <w:rFonts w:ascii="Georgia" w:hAnsi="Georgia"/>
        </w:rPr>
      </w:pPr>
    </w:p>
    <w:p w14:paraId="08520EB9" w14:textId="77777777" w:rsidR="007917E8" w:rsidRDefault="007917E8" w:rsidP="007917E8">
      <w:pPr>
        <w:spacing w:line="480" w:lineRule="auto"/>
        <w:rPr>
          <w:rFonts w:ascii="Georgia" w:hAnsi="Georgia"/>
        </w:rPr>
      </w:pPr>
    </w:p>
    <w:p w14:paraId="09814FA7" w14:textId="77777777" w:rsidR="007917E8" w:rsidRDefault="007917E8" w:rsidP="007917E8">
      <w:pPr>
        <w:spacing w:line="480" w:lineRule="auto"/>
        <w:rPr>
          <w:rFonts w:ascii="Georgia" w:hAnsi="Georgia"/>
        </w:rPr>
      </w:pPr>
    </w:p>
    <w:p w14:paraId="7084D2E1" w14:textId="77777777" w:rsidR="007917E8" w:rsidRDefault="007917E8" w:rsidP="007917E8">
      <w:pPr>
        <w:spacing w:line="480" w:lineRule="auto"/>
        <w:rPr>
          <w:rFonts w:ascii="Georgia" w:hAnsi="Georgia"/>
        </w:rPr>
      </w:pPr>
    </w:p>
    <w:p w14:paraId="7BA41A8A" w14:textId="77777777" w:rsidR="007917E8" w:rsidRDefault="007917E8" w:rsidP="007917E8">
      <w:pPr>
        <w:spacing w:line="480" w:lineRule="auto"/>
        <w:rPr>
          <w:rFonts w:ascii="Georgia" w:hAnsi="Georgia"/>
        </w:rPr>
      </w:pPr>
    </w:p>
    <w:p w14:paraId="157C88DB" w14:textId="77777777" w:rsidR="007917E8" w:rsidRDefault="007917E8" w:rsidP="007917E8">
      <w:pPr>
        <w:spacing w:line="480" w:lineRule="auto"/>
        <w:rPr>
          <w:rFonts w:ascii="Georgia" w:hAnsi="Georgia"/>
        </w:rPr>
      </w:pPr>
    </w:p>
    <w:p w14:paraId="024AF20B" w14:textId="77777777" w:rsidR="007917E8" w:rsidRDefault="007917E8" w:rsidP="007917E8">
      <w:pPr>
        <w:spacing w:line="480" w:lineRule="auto"/>
        <w:rPr>
          <w:rFonts w:ascii="Georgia" w:hAnsi="Georgia"/>
        </w:rPr>
      </w:pPr>
    </w:p>
    <w:p w14:paraId="3E4FBEAD" w14:textId="77777777" w:rsidR="007917E8" w:rsidRDefault="007917E8" w:rsidP="007917E8">
      <w:pPr>
        <w:spacing w:line="480" w:lineRule="auto"/>
        <w:rPr>
          <w:rFonts w:ascii="Georgia" w:hAnsi="Georgia"/>
        </w:rPr>
      </w:pPr>
    </w:p>
    <w:p w14:paraId="48E1FDD5" w14:textId="77777777" w:rsidR="007917E8" w:rsidRDefault="007917E8" w:rsidP="007917E8">
      <w:pPr>
        <w:spacing w:line="480" w:lineRule="auto"/>
        <w:rPr>
          <w:rFonts w:ascii="Georgia" w:hAnsi="Georgia"/>
        </w:rPr>
      </w:pPr>
    </w:p>
    <w:p w14:paraId="7322F3C6" w14:textId="77777777" w:rsidR="007917E8" w:rsidRDefault="007917E8" w:rsidP="007917E8">
      <w:pPr>
        <w:spacing w:line="480" w:lineRule="auto"/>
        <w:rPr>
          <w:rFonts w:ascii="Georgia" w:hAnsi="Georgia"/>
        </w:rPr>
      </w:pPr>
    </w:p>
    <w:p w14:paraId="4CB0969A" w14:textId="5FB7F522" w:rsidR="007917E8" w:rsidRDefault="007917E8" w:rsidP="00683459">
      <w:pPr>
        <w:spacing w:line="480" w:lineRule="auto"/>
        <w:jc w:val="center"/>
        <w:rPr>
          <w:rFonts w:ascii="Georgia" w:hAnsi="Georgia"/>
          <w:i/>
          <w:iCs/>
        </w:rPr>
      </w:pPr>
      <w:r>
        <w:rPr>
          <w:rFonts w:ascii="Georgia" w:hAnsi="Georgia"/>
          <w:i/>
          <w:iCs/>
        </w:rPr>
        <w:lastRenderedPageBreak/>
        <w:t>WORKS CITED</w:t>
      </w:r>
    </w:p>
    <w:p w14:paraId="542B9C5D"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University of Michigan. (2023). </w:t>
      </w:r>
      <w:r>
        <w:rPr>
          <w:rFonts w:ascii="Georgia" w:hAnsi="Georgia"/>
          <w:i/>
          <w:iCs/>
          <w:color w:val="000000"/>
          <w:sz w:val="22"/>
          <w:szCs w:val="22"/>
        </w:rPr>
        <w:t>U.S. Energy System Factsheet</w:t>
      </w:r>
      <w:r>
        <w:rPr>
          <w:rFonts w:ascii="Georgia" w:hAnsi="Georgia"/>
          <w:color w:val="000000"/>
          <w:sz w:val="22"/>
          <w:szCs w:val="22"/>
        </w:rPr>
        <w:t>. Center for Sustainable Development.</w:t>
      </w:r>
    </w:p>
    <w:p w14:paraId="1DCB4282" w14:textId="77777777" w:rsidR="00683459" w:rsidRDefault="00683459" w:rsidP="00683459">
      <w:pPr>
        <w:pStyle w:val="NormalWeb"/>
        <w:spacing w:before="0" w:beforeAutospacing="0" w:after="240" w:afterAutospacing="0" w:line="360" w:lineRule="auto"/>
      </w:pPr>
      <w:r>
        <w:rPr>
          <w:rFonts w:ascii="Georgia" w:hAnsi="Georgia"/>
          <w:i/>
          <w:iCs/>
          <w:color w:val="000000"/>
          <w:sz w:val="22"/>
          <w:szCs w:val="22"/>
        </w:rPr>
        <w:t>Is Lithium-ion the Ideal Battery?</w:t>
      </w:r>
      <w:r>
        <w:rPr>
          <w:rFonts w:ascii="Georgia" w:hAnsi="Georgia"/>
          <w:color w:val="000000"/>
          <w:sz w:val="22"/>
          <w:szCs w:val="22"/>
        </w:rPr>
        <w:t>. Battery University. (2022, May 10).</w:t>
      </w:r>
    </w:p>
    <w:p w14:paraId="19C349C0" w14:textId="77777777" w:rsidR="00683459" w:rsidRDefault="00683459" w:rsidP="00683459">
      <w:pPr>
        <w:pStyle w:val="NormalWeb"/>
        <w:spacing w:before="0" w:beforeAutospacing="0" w:after="240" w:afterAutospacing="0" w:line="360" w:lineRule="auto"/>
        <w:ind w:left="720" w:hanging="720"/>
      </w:pPr>
      <w:r>
        <w:rPr>
          <w:rFonts w:ascii="Georgia" w:hAnsi="Georgia"/>
          <w:i/>
          <w:iCs/>
          <w:color w:val="000000"/>
          <w:sz w:val="22"/>
          <w:szCs w:val="22"/>
        </w:rPr>
        <w:t>Sources of Greenhouse Gas Emissions.</w:t>
      </w:r>
      <w:r>
        <w:rPr>
          <w:rFonts w:ascii="Georgia" w:hAnsi="Georgia"/>
          <w:color w:val="000000"/>
          <w:sz w:val="22"/>
          <w:szCs w:val="22"/>
        </w:rPr>
        <w:t xml:space="preserve"> United States Environmental Protection Agency (EPA). (2024, April).</w:t>
      </w:r>
    </w:p>
    <w:p w14:paraId="73F0FA07" w14:textId="77777777" w:rsidR="00683459" w:rsidRDefault="00683459" w:rsidP="00683459">
      <w:pPr>
        <w:pStyle w:val="NormalWeb"/>
        <w:spacing w:before="0" w:beforeAutospacing="0" w:after="240" w:afterAutospacing="0" w:line="360" w:lineRule="auto"/>
      </w:pPr>
      <w:r>
        <w:rPr>
          <w:rFonts w:ascii="Georgia" w:hAnsi="Georgia"/>
          <w:color w:val="000000"/>
          <w:sz w:val="22"/>
          <w:szCs w:val="22"/>
        </w:rPr>
        <w:t xml:space="preserve">Waltz K. N. (1979). </w:t>
      </w:r>
      <w:r>
        <w:rPr>
          <w:rFonts w:ascii="Georgia" w:hAnsi="Georgia"/>
          <w:i/>
          <w:iCs/>
          <w:color w:val="000000"/>
          <w:sz w:val="22"/>
          <w:szCs w:val="22"/>
        </w:rPr>
        <w:t>Theory of international politics</w:t>
      </w:r>
      <w:r>
        <w:rPr>
          <w:rFonts w:ascii="Georgia" w:hAnsi="Georgia"/>
          <w:color w:val="000000"/>
          <w:sz w:val="22"/>
          <w:szCs w:val="22"/>
        </w:rPr>
        <w:t>. Addison-Wesley Pub.</w:t>
      </w:r>
    </w:p>
    <w:p w14:paraId="7EB4CFFB" w14:textId="77777777" w:rsidR="00683459" w:rsidRDefault="00683459" w:rsidP="00683459">
      <w:pPr>
        <w:pStyle w:val="NormalWeb"/>
        <w:spacing w:before="0" w:beforeAutospacing="0" w:after="240" w:afterAutospacing="0" w:line="360" w:lineRule="auto"/>
      </w:pPr>
      <w:r>
        <w:rPr>
          <w:rFonts w:ascii="Georgia" w:hAnsi="Georgia"/>
          <w:color w:val="000000"/>
          <w:sz w:val="22"/>
          <w:szCs w:val="22"/>
        </w:rPr>
        <w:t xml:space="preserve">Nye, J. (2009). </w:t>
      </w:r>
      <w:r>
        <w:rPr>
          <w:rFonts w:ascii="Georgia" w:hAnsi="Georgia"/>
          <w:i/>
          <w:iCs/>
          <w:color w:val="000000"/>
          <w:sz w:val="22"/>
          <w:szCs w:val="22"/>
        </w:rPr>
        <w:t>Soft Power: The Means of Success in World Politics</w:t>
      </w:r>
      <w:r>
        <w:rPr>
          <w:rFonts w:ascii="Georgia" w:hAnsi="Georgia"/>
          <w:color w:val="000000"/>
          <w:sz w:val="22"/>
          <w:szCs w:val="22"/>
        </w:rPr>
        <w:t xml:space="preserve">. </w:t>
      </w:r>
      <w:proofErr w:type="spellStart"/>
      <w:r>
        <w:rPr>
          <w:rFonts w:ascii="Georgia" w:hAnsi="Georgia"/>
          <w:color w:val="000000"/>
          <w:sz w:val="22"/>
          <w:szCs w:val="22"/>
        </w:rPr>
        <w:t>PublicAffairs</w:t>
      </w:r>
      <w:proofErr w:type="spellEnd"/>
      <w:r>
        <w:rPr>
          <w:rFonts w:ascii="Georgia" w:hAnsi="Georgia"/>
          <w:color w:val="000000"/>
          <w:sz w:val="22"/>
          <w:szCs w:val="22"/>
        </w:rPr>
        <w:t>.</w:t>
      </w:r>
    </w:p>
    <w:p w14:paraId="799BD0AF" w14:textId="77777777" w:rsidR="00683459" w:rsidRDefault="00683459" w:rsidP="00683459">
      <w:pPr>
        <w:pStyle w:val="NormalWeb"/>
        <w:spacing w:before="0" w:beforeAutospacing="0" w:after="240" w:afterAutospacing="0" w:line="360" w:lineRule="auto"/>
        <w:ind w:left="720" w:hanging="720"/>
      </w:pPr>
      <w:proofErr w:type="spellStart"/>
      <w:r>
        <w:rPr>
          <w:rFonts w:ascii="Georgia" w:hAnsi="Georgia"/>
          <w:color w:val="000000"/>
          <w:sz w:val="22"/>
          <w:szCs w:val="22"/>
        </w:rPr>
        <w:t>Ajl</w:t>
      </w:r>
      <w:proofErr w:type="spellEnd"/>
      <w:r>
        <w:rPr>
          <w:rFonts w:ascii="Georgia" w:hAnsi="Georgia"/>
          <w:color w:val="000000"/>
          <w:sz w:val="22"/>
          <w:szCs w:val="22"/>
        </w:rPr>
        <w:t xml:space="preserve">, M. (2023). Theories of Political Ecology: Monopoly Capital Against People and the Planet. </w:t>
      </w:r>
      <w:r>
        <w:rPr>
          <w:rFonts w:ascii="Georgia" w:hAnsi="Georgia"/>
          <w:i/>
          <w:iCs/>
          <w:color w:val="000000"/>
          <w:sz w:val="22"/>
          <w:szCs w:val="22"/>
        </w:rPr>
        <w:t>Agrarian South: Journal of Political Economy</w:t>
      </w:r>
      <w:r>
        <w:rPr>
          <w:rFonts w:ascii="Georgia" w:hAnsi="Georgia"/>
          <w:color w:val="000000"/>
          <w:sz w:val="22"/>
          <w:szCs w:val="22"/>
        </w:rPr>
        <w:t>, 12(1), 12-50.</w:t>
      </w:r>
    </w:p>
    <w:p w14:paraId="69A1B731"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Klinger, J. M. (2017). </w:t>
      </w:r>
      <w:r>
        <w:rPr>
          <w:rFonts w:ascii="Georgia" w:hAnsi="Georgia"/>
          <w:i/>
          <w:iCs/>
          <w:color w:val="000000"/>
          <w:sz w:val="22"/>
          <w:szCs w:val="22"/>
        </w:rPr>
        <w:t>RUDE AWAKENINGS. In Rare Earth Frontiers: From Terrestrial Subsoils to Lunar Landscapes</w:t>
      </w:r>
      <w:r>
        <w:rPr>
          <w:rFonts w:ascii="Georgia" w:hAnsi="Georgia"/>
          <w:color w:val="000000"/>
          <w:sz w:val="22"/>
          <w:szCs w:val="22"/>
        </w:rPr>
        <w:t xml:space="preserve"> (pp. 137–164). Cornell University Press.</w:t>
      </w:r>
    </w:p>
    <w:p w14:paraId="7BFDC91C"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Scheer, H. (2006).</w:t>
      </w:r>
      <w:r>
        <w:rPr>
          <w:rFonts w:ascii="Georgia" w:hAnsi="Georgia"/>
          <w:i/>
          <w:iCs/>
          <w:color w:val="000000"/>
          <w:sz w:val="22"/>
          <w:szCs w:val="22"/>
        </w:rPr>
        <w:t xml:space="preserve"> Energy Autonomy: The Economic, Social &amp; Technological Case for Renewable Energy</w:t>
      </w:r>
      <w:r>
        <w:rPr>
          <w:rFonts w:ascii="Georgia" w:hAnsi="Georgia"/>
          <w:color w:val="000000"/>
          <w:sz w:val="22"/>
          <w:szCs w:val="22"/>
        </w:rPr>
        <w:t>. Routledge.</w:t>
      </w:r>
    </w:p>
    <w:p w14:paraId="5219301B"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Hu, W. (2020). The United States, China, and the Indo-Pacific Strategy: The Rise and Return of Strategic Competition. </w:t>
      </w:r>
      <w:r>
        <w:rPr>
          <w:rFonts w:ascii="Georgia" w:hAnsi="Georgia"/>
          <w:i/>
          <w:iCs/>
          <w:color w:val="000000"/>
          <w:sz w:val="22"/>
          <w:szCs w:val="22"/>
        </w:rPr>
        <w:t>China Review</w:t>
      </w:r>
      <w:r>
        <w:rPr>
          <w:rFonts w:ascii="Georgia" w:hAnsi="Georgia"/>
          <w:color w:val="000000"/>
          <w:sz w:val="22"/>
          <w:szCs w:val="22"/>
        </w:rPr>
        <w:t>, 20(3), 127–142.</w:t>
      </w:r>
    </w:p>
    <w:p w14:paraId="2B575C3E"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Umbach, F. (2020). </w:t>
      </w:r>
      <w:r>
        <w:rPr>
          <w:rFonts w:ascii="Georgia" w:hAnsi="Georgia"/>
          <w:i/>
          <w:iCs/>
          <w:color w:val="000000"/>
          <w:sz w:val="22"/>
          <w:szCs w:val="22"/>
        </w:rPr>
        <w:t>New “Rare metal age”: New challenges and implications of critical raw materials supply security in the 21st Century</w:t>
      </w:r>
      <w:r>
        <w:rPr>
          <w:rFonts w:ascii="Georgia" w:hAnsi="Georgia"/>
          <w:color w:val="000000"/>
          <w:sz w:val="22"/>
          <w:szCs w:val="22"/>
        </w:rPr>
        <w:t>. S. Rajaratnam School of International Studies.</w:t>
      </w:r>
    </w:p>
    <w:p w14:paraId="517A8798" w14:textId="77777777" w:rsidR="00683459" w:rsidRPr="00683459" w:rsidRDefault="00683459" w:rsidP="00683459">
      <w:pPr>
        <w:pStyle w:val="NormalWeb"/>
        <w:spacing w:before="0" w:beforeAutospacing="0" w:after="240" w:afterAutospacing="0" w:line="360" w:lineRule="auto"/>
        <w:rPr>
          <w:lang w:val="de-DE"/>
        </w:rPr>
      </w:pPr>
      <w:r>
        <w:rPr>
          <w:rFonts w:ascii="Georgia" w:hAnsi="Georgia"/>
          <w:color w:val="000000"/>
          <w:sz w:val="22"/>
          <w:szCs w:val="22"/>
        </w:rPr>
        <w:t xml:space="preserve">Kalantzakos, S. (2019). </w:t>
      </w:r>
      <w:r>
        <w:rPr>
          <w:rFonts w:ascii="Georgia" w:hAnsi="Georgia"/>
          <w:i/>
          <w:iCs/>
          <w:color w:val="000000"/>
          <w:sz w:val="22"/>
          <w:szCs w:val="22"/>
        </w:rPr>
        <w:t>The Geopolitics of Critical Minerals</w:t>
      </w:r>
      <w:r>
        <w:rPr>
          <w:rFonts w:ascii="Georgia" w:hAnsi="Georgia"/>
          <w:color w:val="000000"/>
          <w:sz w:val="22"/>
          <w:szCs w:val="22"/>
        </w:rPr>
        <w:t xml:space="preserve">. </w:t>
      </w:r>
      <w:r w:rsidRPr="00683459">
        <w:rPr>
          <w:rFonts w:ascii="Georgia" w:hAnsi="Georgia"/>
          <w:color w:val="000000"/>
          <w:sz w:val="22"/>
          <w:szCs w:val="22"/>
          <w:lang w:val="de-DE"/>
        </w:rPr>
        <w:t>Istituto Affari Internazionali (IAI).</w:t>
      </w:r>
    </w:p>
    <w:p w14:paraId="64B0C096" w14:textId="77777777" w:rsidR="00683459" w:rsidRDefault="00683459" w:rsidP="00683459">
      <w:pPr>
        <w:pStyle w:val="NormalWeb"/>
        <w:spacing w:before="0" w:beforeAutospacing="0" w:after="240" w:afterAutospacing="0" w:line="360" w:lineRule="auto"/>
        <w:ind w:left="720" w:hanging="720"/>
      </w:pPr>
      <w:r w:rsidRPr="00683459">
        <w:rPr>
          <w:rFonts w:ascii="Georgia" w:hAnsi="Georgia"/>
          <w:color w:val="000000"/>
          <w:sz w:val="22"/>
          <w:szCs w:val="22"/>
          <w:lang w:val="de-DE"/>
        </w:rPr>
        <w:t xml:space="preserve">Byamungu, C.-G. N. (2022). </w:t>
      </w:r>
      <w:r>
        <w:rPr>
          <w:rFonts w:ascii="Georgia" w:hAnsi="Georgia"/>
          <w:i/>
          <w:iCs/>
          <w:color w:val="000000"/>
          <w:sz w:val="22"/>
          <w:szCs w:val="22"/>
        </w:rPr>
        <w:t>Blue Metal Blues: Cobalt, the Democratic Republic of Congo, and China.</w:t>
      </w:r>
      <w:r>
        <w:rPr>
          <w:rFonts w:ascii="Georgia" w:hAnsi="Georgia"/>
          <w:color w:val="000000"/>
          <w:sz w:val="22"/>
          <w:szCs w:val="22"/>
        </w:rPr>
        <w:t xml:space="preserve"> South African Institute of International Affairs.</w:t>
      </w:r>
    </w:p>
    <w:p w14:paraId="6BD929AF"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Burke, S., &amp; Zimmerman, R. (2019). </w:t>
      </w:r>
      <w:r>
        <w:rPr>
          <w:rFonts w:ascii="Georgia" w:hAnsi="Georgia"/>
          <w:i/>
          <w:iCs/>
          <w:color w:val="000000"/>
          <w:sz w:val="22"/>
          <w:szCs w:val="22"/>
        </w:rPr>
        <w:t>The Global Race for Critical Minerals in the Deep Ocean: The Cursed Treasure in Davy Jones’ Locker</w:t>
      </w:r>
      <w:r>
        <w:rPr>
          <w:rFonts w:ascii="Georgia" w:hAnsi="Georgia"/>
          <w:color w:val="000000"/>
          <w:sz w:val="22"/>
          <w:szCs w:val="22"/>
        </w:rPr>
        <w:t>. New America.</w:t>
      </w:r>
    </w:p>
    <w:p w14:paraId="05210DB2" w14:textId="77777777" w:rsidR="00683459" w:rsidRDefault="00683459" w:rsidP="00683459">
      <w:pPr>
        <w:pStyle w:val="NormalWeb"/>
        <w:spacing w:before="0" w:beforeAutospacing="0" w:after="240" w:afterAutospacing="0" w:line="360" w:lineRule="auto"/>
      </w:pPr>
      <w:r>
        <w:rPr>
          <w:rFonts w:ascii="Georgia" w:hAnsi="Georgia"/>
          <w:i/>
          <w:iCs/>
          <w:color w:val="000000"/>
          <w:sz w:val="22"/>
          <w:szCs w:val="22"/>
        </w:rPr>
        <w:t>Cobalt Statistics and Information.</w:t>
      </w:r>
      <w:r>
        <w:rPr>
          <w:rFonts w:ascii="Georgia" w:hAnsi="Georgia"/>
          <w:color w:val="000000"/>
          <w:sz w:val="22"/>
          <w:szCs w:val="22"/>
        </w:rPr>
        <w:t>  U.S. Geological Survey. (2023).</w:t>
      </w:r>
    </w:p>
    <w:p w14:paraId="60172786" w14:textId="77777777" w:rsidR="00683459" w:rsidRDefault="00683459" w:rsidP="00683459">
      <w:pPr>
        <w:pStyle w:val="NormalWeb"/>
        <w:spacing w:before="0" w:beforeAutospacing="0" w:after="240" w:afterAutospacing="0" w:line="360" w:lineRule="auto"/>
      </w:pPr>
      <w:r>
        <w:rPr>
          <w:rFonts w:ascii="Georgia" w:hAnsi="Georgia"/>
          <w:i/>
          <w:iCs/>
          <w:color w:val="000000"/>
          <w:sz w:val="22"/>
          <w:szCs w:val="22"/>
        </w:rPr>
        <w:lastRenderedPageBreak/>
        <w:t>Cobalt Market Report 2021.</w:t>
      </w:r>
      <w:r>
        <w:rPr>
          <w:rFonts w:ascii="Georgia" w:hAnsi="Georgia"/>
          <w:color w:val="000000"/>
          <w:sz w:val="22"/>
          <w:szCs w:val="22"/>
        </w:rPr>
        <w:t xml:space="preserve"> Cobalt Institute. (2022)</w:t>
      </w:r>
    </w:p>
    <w:p w14:paraId="735432EB" w14:textId="77777777" w:rsidR="00683459" w:rsidRDefault="00683459" w:rsidP="00683459">
      <w:pPr>
        <w:pStyle w:val="NormalWeb"/>
        <w:spacing w:before="0" w:beforeAutospacing="0" w:after="240" w:afterAutospacing="0" w:line="360" w:lineRule="auto"/>
      </w:pPr>
      <w:r>
        <w:rPr>
          <w:rFonts w:ascii="Georgia" w:hAnsi="Georgia"/>
          <w:i/>
          <w:iCs/>
          <w:color w:val="000000"/>
          <w:sz w:val="22"/>
          <w:szCs w:val="22"/>
        </w:rPr>
        <w:t>Ministry of Mines, Democratic Republic of Congo</w:t>
      </w:r>
      <w:r>
        <w:rPr>
          <w:rFonts w:ascii="Georgia" w:hAnsi="Georgia"/>
          <w:color w:val="000000"/>
          <w:sz w:val="22"/>
          <w:szCs w:val="22"/>
        </w:rPr>
        <w:t>. DRC Ministry of Mines. (n.d.).</w:t>
      </w:r>
    </w:p>
    <w:p w14:paraId="242D0050" w14:textId="77777777" w:rsidR="00683459" w:rsidRDefault="00683459" w:rsidP="00683459">
      <w:pPr>
        <w:pStyle w:val="NormalWeb"/>
        <w:spacing w:before="0" w:beforeAutospacing="0" w:after="240" w:afterAutospacing="0" w:line="360" w:lineRule="auto"/>
      </w:pPr>
      <w:r>
        <w:rPr>
          <w:rFonts w:ascii="Georgia" w:hAnsi="Georgia"/>
          <w:color w:val="000000"/>
          <w:sz w:val="22"/>
          <w:szCs w:val="22"/>
        </w:rPr>
        <w:t xml:space="preserve">Shaw, A. (2024). </w:t>
      </w:r>
      <w:r>
        <w:rPr>
          <w:rFonts w:ascii="Georgia" w:hAnsi="Georgia"/>
          <w:i/>
          <w:iCs/>
          <w:color w:val="000000"/>
          <w:sz w:val="22"/>
          <w:szCs w:val="22"/>
        </w:rPr>
        <w:t>Global Cobalt Rush Drives Toxic Toll Near DRC Mines</w:t>
      </w:r>
      <w:r>
        <w:rPr>
          <w:rFonts w:ascii="Georgia" w:hAnsi="Georgia"/>
          <w:color w:val="000000"/>
          <w:sz w:val="22"/>
          <w:szCs w:val="22"/>
        </w:rPr>
        <w:t>. Mongabay. </w:t>
      </w:r>
    </w:p>
    <w:p w14:paraId="6D71B7CE" w14:textId="77777777" w:rsidR="00683459" w:rsidRDefault="00683459" w:rsidP="00683459">
      <w:pPr>
        <w:pStyle w:val="NormalWeb"/>
        <w:spacing w:before="0" w:beforeAutospacing="0" w:after="240" w:afterAutospacing="0" w:line="360" w:lineRule="auto"/>
        <w:ind w:left="720" w:hanging="720"/>
      </w:pPr>
      <w:proofErr w:type="gramStart"/>
      <w:r>
        <w:rPr>
          <w:rFonts w:ascii="Georgia" w:hAnsi="Georgia"/>
          <w:i/>
          <w:iCs/>
          <w:color w:val="000000"/>
          <w:sz w:val="22"/>
          <w:szCs w:val="22"/>
        </w:rPr>
        <w:t>New</w:t>
      </w:r>
      <w:proofErr w:type="gramEnd"/>
      <w:r>
        <w:rPr>
          <w:rFonts w:ascii="Georgia" w:hAnsi="Georgia"/>
          <w:i/>
          <w:iCs/>
          <w:color w:val="000000"/>
          <w:sz w:val="22"/>
          <w:szCs w:val="22"/>
        </w:rPr>
        <w:t xml:space="preserve"> report exposes the environmental and human costs of DRC's cobalt boom</w:t>
      </w:r>
      <w:r>
        <w:rPr>
          <w:rFonts w:ascii="Georgia" w:hAnsi="Georgia"/>
          <w:color w:val="000000"/>
          <w:sz w:val="22"/>
          <w:szCs w:val="22"/>
        </w:rPr>
        <w:t>. Rights and Accountability in Development. (2024). </w:t>
      </w:r>
    </w:p>
    <w:p w14:paraId="3EA551A6" w14:textId="77777777" w:rsidR="00683459" w:rsidRDefault="00683459" w:rsidP="00683459">
      <w:pPr>
        <w:pStyle w:val="NormalWeb"/>
        <w:spacing w:before="0" w:beforeAutospacing="0" w:after="240" w:afterAutospacing="0" w:line="360" w:lineRule="auto"/>
        <w:ind w:left="720" w:hanging="720"/>
      </w:pPr>
      <w:r>
        <w:rPr>
          <w:rFonts w:ascii="Georgia" w:hAnsi="Georgia"/>
          <w:i/>
          <w:iCs/>
          <w:color w:val="000000"/>
          <w:sz w:val="22"/>
          <w:szCs w:val="22"/>
        </w:rPr>
        <w:t>The Road to Run? Electric vehicles and workers’ rights abuses in DR Congo’s industrial cobalt mines</w:t>
      </w:r>
      <w:r>
        <w:rPr>
          <w:rFonts w:ascii="Georgia" w:hAnsi="Georgia"/>
          <w:color w:val="000000"/>
          <w:sz w:val="22"/>
          <w:szCs w:val="22"/>
        </w:rPr>
        <w:t>. RAID and AFREWATCH. (2021).</w:t>
      </w:r>
    </w:p>
    <w:p w14:paraId="673A11DD"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Ritchie, H. (2023).</w:t>
      </w:r>
      <w:r>
        <w:rPr>
          <w:rFonts w:ascii="Georgia" w:hAnsi="Georgia"/>
          <w:i/>
          <w:iCs/>
          <w:color w:val="000000"/>
          <w:sz w:val="22"/>
          <w:szCs w:val="22"/>
        </w:rPr>
        <w:t xml:space="preserve"> Is cobalt the 'blood diamond of electric cars'? What can be done about it?</w:t>
      </w:r>
      <w:r>
        <w:rPr>
          <w:rFonts w:ascii="Georgia" w:hAnsi="Georgia"/>
          <w:color w:val="000000"/>
          <w:sz w:val="22"/>
          <w:szCs w:val="22"/>
        </w:rPr>
        <w:t>. Sustainability by numbers.</w:t>
      </w:r>
    </w:p>
    <w:p w14:paraId="1FBAEDBD"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Amnesty International Ltd. (2016). </w:t>
      </w:r>
      <w:r>
        <w:rPr>
          <w:rFonts w:ascii="Georgia" w:hAnsi="Georgia"/>
          <w:i/>
          <w:iCs/>
          <w:color w:val="000000"/>
          <w:sz w:val="22"/>
          <w:szCs w:val="22"/>
        </w:rPr>
        <w:t>“This is What We Die For”: Human Rights Abuses in the Democratic Republic of the Congo Power the Global Trade in Cobalt.</w:t>
      </w:r>
      <w:r>
        <w:rPr>
          <w:rFonts w:ascii="Georgia" w:hAnsi="Georgia"/>
          <w:color w:val="000000"/>
          <w:sz w:val="22"/>
          <w:szCs w:val="22"/>
        </w:rPr>
        <w:t xml:space="preserve"> Amnesty International and African Resource Watch.</w:t>
      </w:r>
    </w:p>
    <w:p w14:paraId="613F3A1C" w14:textId="77777777" w:rsidR="00683459" w:rsidRDefault="00683459" w:rsidP="00683459">
      <w:pPr>
        <w:pStyle w:val="NormalWeb"/>
        <w:spacing w:before="0" w:beforeAutospacing="0" w:after="240" w:afterAutospacing="0" w:line="360" w:lineRule="auto"/>
        <w:ind w:left="720" w:hanging="720"/>
      </w:pPr>
      <w:r>
        <w:rPr>
          <w:rFonts w:ascii="Georgia" w:hAnsi="Georgia"/>
          <w:i/>
          <w:iCs/>
          <w:color w:val="000000"/>
          <w:sz w:val="22"/>
          <w:szCs w:val="22"/>
        </w:rPr>
        <w:t>From cobalt to cars: How China exploits child and forced labor in the Congo.</w:t>
      </w:r>
      <w:r>
        <w:rPr>
          <w:rFonts w:ascii="Georgia" w:hAnsi="Georgia"/>
          <w:color w:val="000000"/>
          <w:sz w:val="22"/>
          <w:szCs w:val="22"/>
        </w:rPr>
        <w:t xml:space="preserve"> Congressional-Executive Commission on China. (2023, November).</w:t>
      </w:r>
    </w:p>
    <w:p w14:paraId="51A524D4"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Houreld, K., &amp; Bashizi, A. (2023). </w:t>
      </w:r>
      <w:r>
        <w:rPr>
          <w:rFonts w:ascii="Georgia" w:hAnsi="Georgia"/>
          <w:i/>
          <w:iCs/>
          <w:color w:val="000000"/>
          <w:sz w:val="22"/>
          <w:szCs w:val="22"/>
        </w:rPr>
        <w:t>Despite reforms, mining for EV metals in Congo exacts steep cost on workers</w:t>
      </w:r>
      <w:r>
        <w:rPr>
          <w:rFonts w:ascii="Georgia" w:hAnsi="Georgia"/>
          <w:color w:val="000000"/>
          <w:sz w:val="22"/>
          <w:szCs w:val="22"/>
        </w:rPr>
        <w:t>. Washington Post.</w:t>
      </w:r>
    </w:p>
    <w:p w14:paraId="4782BEFE" w14:textId="77777777" w:rsidR="00683459" w:rsidRDefault="00683459" w:rsidP="00683459">
      <w:pPr>
        <w:pStyle w:val="NormalWeb"/>
        <w:spacing w:before="0" w:beforeAutospacing="0" w:after="240" w:afterAutospacing="0" w:line="360" w:lineRule="auto"/>
      </w:pPr>
      <w:r>
        <w:rPr>
          <w:rFonts w:ascii="Georgia" w:hAnsi="Georgia"/>
          <w:color w:val="000000"/>
          <w:sz w:val="22"/>
          <w:szCs w:val="22"/>
        </w:rPr>
        <w:t xml:space="preserve">Wald, E. (2024). </w:t>
      </w:r>
      <w:r>
        <w:rPr>
          <w:rFonts w:ascii="Georgia" w:hAnsi="Georgia"/>
          <w:i/>
          <w:iCs/>
          <w:color w:val="000000"/>
          <w:sz w:val="22"/>
          <w:szCs w:val="22"/>
        </w:rPr>
        <w:t>The US wants to end its reliance on Chinese lithium</w:t>
      </w:r>
      <w:r>
        <w:rPr>
          <w:rFonts w:ascii="Georgia" w:hAnsi="Georgia"/>
          <w:color w:val="000000"/>
          <w:sz w:val="22"/>
          <w:szCs w:val="22"/>
        </w:rPr>
        <w:t>. The Atlantic Council.</w:t>
      </w:r>
    </w:p>
    <w:p w14:paraId="7A72AC1B" w14:textId="77777777" w:rsidR="00683459" w:rsidRDefault="00683459" w:rsidP="00683459">
      <w:pPr>
        <w:pStyle w:val="NormalWeb"/>
        <w:spacing w:before="0" w:beforeAutospacing="0" w:after="240" w:afterAutospacing="0" w:line="360" w:lineRule="auto"/>
        <w:ind w:left="720" w:hanging="720"/>
      </w:pPr>
      <w:r>
        <w:rPr>
          <w:rFonts w:ascii="Georgia" w:hAnsi="Georgia"/>
          <w:i/>
          <w:iCs/>
          <w:color w:val="000000"/>
          <w:sz w:val="22"/>
          <w:szCs w:val="22"/>
        </w:rPr>
        <w:t>Responsible minerals trade: Democratic Republic of the Congo: Fact sheet</w:t>
      </w:r>
      <w:r>
        <w:rPr>
          <w:rFonts w:ascii="Georgia" w:hAnsi="Georgia"/>
          <w:color w:val="000000"/>
          <w:sz w:val="22"/>
          <w:szCs w:val="22"/>
        </w:rPr>
        <w:t>. U.S. Agency for International Development. (n.d.). </w:t>
      </w:r>
    </w:p>
    <w:p w14:paraId="1C4192CE" w14:textId="77777777" w:rsidR="00683459" w:rsidRDefault="00683459" w:rsidP="00683459">
      <w:pPr>
        <w:pStyle w:val="NormalWeb"/>
        <w:spacing w:before="0" w:beforeAutospacing="0" w:after="240" w:afterAutospacing="0" w:line="360" w:lineRule="auto"/>
      </w:pPr>
      <w:r>
        <w:rPr>
          <w:rFonts w:ascii="Georgia" w:hAnsi="Georgia"/>
          <w:i/>
          <w:iCs/>
          <w:color w:val="000000"/>
          <w:sz w:val="22"/>
          <w:szCs w:val="22"/>
        </w:rPr>
        <w:t>Democratic Republic of the Congo - World Factbook</w:t>
      </w:r>
      <w:r>
        <w:rPr>
          <w:rFonts w:ascii="Georgia" w:hAnsi="Georgia"/>
          <w:color w:val="000000"/>
          <w:sz w:val="22"/>
          <w:szCs w:val="22"/>
        </w:rPr>
        <w:t>. Central Intelligence Agency (CIA). (2024).</w:t>
      </w:r>
    </w:p>
    <w:p w14:paraId="1AA99A37"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Igbatayo, S. A. (2019). Combating Illicit Financial Flows from Africa’s Extractive Industries and Implications for Good Governance: A Multi-country Study of Angola, the Democratic Republic of Congo and Nigeria. </w:t>
      </w:r>
      <w:r>
        <w:rPr>
          <w:rFonts w:ascii="Georgia" w:hAnsi="Georgia"/>
          <w:i/>
          <w:iCs/>
          <w:color w:val="000000"/>
          <w:sz w:val="22"/>
          <w:szCs w:val="22"/>
        </w:rPr>
        <w:t>Africa Development / Afrique et Développement</w:t>
      </w:r>
      <w:r>
        <w:rPr>
          <w:rFonts w:ascii="Georgia" w:hAnsi="Georgia"/>
          <w:color w:val="000000"/>
          <w:sz w:val="22"/>
          <w:szCs w:val="22"/>
        </w:rPr>
        <w:t>, 44(3), 55–86.</w:t>
      </w:r>
    </w:p>
    <w:p w14:paraId="778DFE5A" w14:textId="77777777" w:rsidR="00683459" w:rsidRDefault="00683459" w:rsidP="00683459">
      <w:pPr>
        <w:pStyle w:val="NormalWeb"/>
        <w:spacing w:before="0" w:beforeAutospacing="0" w:after="240" w:afterAutospacing="0" w:line="360" w:lineRule="auto"/>
      </w:pPr>
      <w:r>
        <w:rPr>
          <w:rFonts w:ascii="Georgia" w:hAnsi="Georgia"/>
          <w:color w:val="000000"/>
          <w:sz w:val="22"/>
          <w:szCs w:val="22"/>
        </w:rPr>
        <w:t xml:space="preserve">DRC Sets Artisanal Mining Scheme. </w:t>
      </w:r>
      <w:r>
        <w:rPr>
          <w:rFonts w:ascii="Georgia" w:hAnsi="Georgia"/>
          <w:i/>
          <w:iCs/>
          <w:color w:val="000000"/>
          <w:sz w:val="22"/>
          <w:szCs w:val="22"/>
        </w:rPr>
        <w:t>Voice of Africa</w:t>
      </w:r>
      <w:r>
        <w:rPr>
          <w:rFonts w:ascii="Georgia" w:hAnsi="Georgia"/>
          <w:color w:val="000000"/>
          <w:sz w:val="22"/>
          <w:szCs w:val="22"/>
        </w:rPr>
        <w:t>. (2023).</w:t>
      </w:r>
    </w:p>
    <w:p w14:paraId="1D63C2C0" w14:textId="77777777" w:rsidR="00683459" w:rsidRDefault="00683459" w:rsidP="00683459">
      <w:pPr>
        <w:pStyle w:val="NormalWeb"/>
        <w:spacing w:before="0" w:beforeAutospacing="0" w:after="240" w:afterAutospacing="0" w:line="360" w:lineRule="auto"/>
      </w:pPr>
      <w:r>
        <w:rPr>
          <w:rFonts w:ascii="Georgia" w:hAnsi="Georgia"/>
          <w:color w:val="000000"/>
          <w:sz w:val="22"/>
          <w:szCs w:val="22"/>
        </w:rPr>
        <w:lastRenderedPageBreak/>
        <w:t xml:space="preserve">Stearns, J. K. and Vogel, C. (2015). The Landscape of Armed Groups in the Eastern Congo. </w:t>
      </w:r>
      <w:r>
        <w:rPr>
          <w:rFonts w:ascii="Georgia" w:hAnsi="Georgia"/>
          <w:i/>
          <w:iCs/>
          <w:color w:val="000000"/>
          <w:sz w:val="22"/>
          <w:szCs w:val="22"/>
        </w:rPr>
        <w:t>Center on International Cooperation and Congo Research Group.</w:t>
      </w:r>
    </w:p>
    <w:p w14:paraId="17330390" w14:textId="77777777" w:rsidR="00683459" w:rsidRDefault="00683459" w:rsidP="00683459">
      <w:pPr>
        <w:pStyle w:val="NormalWeb"/>
        <w:spacing w:before="0" w:beforeAutospacing="0" w:after="240" w:afterAutospacing="0" w:line="360" w:lineRule="auto"/>
      </w:pPr>
      <w:r>
        <w:rPr>
          <w:rFonts w:ascii="Georgia" w:hAnsi="Georgia"/>
          <w:i/>
          <w:iCs/>
          <w:color w:val="000000"/>
          <w:sz w:val="22"/>
          <w:szCs w:val="22"/>
        </w:rPr>
        <w:t xml:space="preserve">Letter to the United Nations. </w:t>
      </w:r>
      <w:r>
        <w:rPr>
          <w:rFonts w:ascii="Georgia" w:hAnsi="Georgia"/>
          <w:color w:val="000000"/>
          <w:sz w:val="22"/>
          <w:szCs w:val="22"/>
        </w:rPr>
        <w:t>Group of Experts on the Democratic Republic of Congo. (2022).</w:t>
      </w:r>
    </w:p>
    <w:p w14:paraId="1B1C6D8D" w14:textId="77777777" w:rsidR="00683459" w:rsidRDefault="00683459" w:rsidP="00683459">
      <w:pPr>
        <w:pStyle w:val="NormalWeb"/>
        <w:spacing w:before="0" w:beforeAutospacing="0" w:after="240" w:afterAutospacing="0" w:line="360" w:lineRule="auto"/>
      </w:pPr>
      <w:r>
        <w:rPr>
          <w:rFonts w:ascii="Georgia" w:hAnsi="Georgia"/>
          <w:color w:val="000000"/>
          <w:sz w:val="22"/>
          <w:szCs w:val="22"/>
        </w:rPr>
        <w:t>DR Congo: Army Units Aided Abusive Armed Groups. Human Rights Watch. (2022).</w:t>
      </w:r>
    </w:p>
    <w:p w14:paraId="2CA38394" w14:textId="77777777" w:rsidR="00683459" w:rsidRDefault="00683459" w:rsidP="00683459">
      <w:pPr>
        <w:pStyle w:val="NormalWeb"/>
        <w:spacing w:before="0" w:beforeAutospacing="0" w:after="240" w:afterAutospacing="0" w:line="360" w:lineRule="auto"/>
      </w:pPr>
      <w:r>
        <w:rPr>
          <w:rFonts w:ascii="Georgia" w:hAnsi="Georgia"/>
          <w:color w:val="000000"/>
          <w:sz w:val="22"/>
          <w:szCs w:val="22"/>
        </w:rPr>
        <w:t xml:space="preserve">Serwat, L. (2023). </w:t>
      </w:r>
      <w:r>
        <w:rPr>
          <w:rFonts w:ascii="Georgia" w:hAnsi="Georgia"/>
          <w:i/>
          <w:iCs/>
          <w:color w:val="000000"/>
          <w:sz w:val="22"/>
          <w:szCs w:val="22"/>
        </w:rPr>
        <w:t>Actor Profile: The March 23 Movement (M23)</w:t>
      </w:r>
      <w:r>
        <w:rPr>
          <w:rFonts w:ascii="Georgia" w:hAnsi="Georgia"/>
          <w:color w:val="000000"/>
          <w:sz w:val="22"/>
          <w:szCs w:val="22"/>
        </w:rPr>
        <w:t>. The Armed Conflict Location &amp; Event Data Project.</w:t>
      </w:r>
    </w:p>
    <w:p w14:paraId="17FB97F0" w14:textId="77777777" w:rsidR="00683459" w:rsidRDefault="00683459" w:rsidP="00683459">
      <w:pPr>
        <w:pStyle w:val="NormalWeb"/>
        <w:spacing w:before="0" w:beforeAutospacing="0" w:after="240" w:afterAutospacing="0" w:line="360" w:lineRule="auto"/>
      </w:pPr>
      <w:r>
        <w:rPr>
          <w:rFonts w:ascii="Georgia" w:hAnsi="Georgia"/>
          <w:i/>
          <w:iCs/>
          <w:color w:val="000000"/>
          <w:sz w:val="22"/>
          <w:szCs w:val="22"/>
        </w:rPr>
        <w:t>Mineral Supply Chains and Conflict Links in Eastern Democratic Republic of Congo.</w:t>
      </w:r>
      <w:r>
        <w:rPr>
          <w:rFonts w:ascii="Georgia" w:hAnsi="Georgia"/>
          <w:color w:val="000000"/>
          <w:sz w:val="22"/>
          <w:szCs w:val="22"/>
        </w:rPr>
        <w:t xml:space="preserve"> Organisation for Economic Co-operation and Development. (2015).</w:t>
      </w:r>
    </w:p>
    <w:p w14:paraId="2A009D7E" w14:textId="77777777" w:rsidR="00683459" w:rsidRDefault="00683459" w:rsidP="00683459">
      <w:pPr>
        <w:pStyle w:val="NormalWeb"/>
        <w:spacing w:before="0" w:beforeAutospacing="0" w:after="240" w:afterAutospacing="0" w:line="360" w:lineRule="auto"/>
        <w:ind w:left="720" w:hanging="720"/>
      </w:pPr>
      <w:proofErr w:type="spellStart"/>
      <w:r>
        <w:rPr>
          <w:rFonts w:ascii="Georgia" w:hAnsi="Georgia"/>
          <w:color w:val="000000"/>
          <w:sz w:val="22"/>
          <w:szCs w:val="22"/>
        </w:rPr>
        <w:t>Nellmann</w:t>
      </w:r>
      <w:proofErr w:type="spellEnd"/>
      <w:r>
        <w:rPr>
          <w:rFonts w:ascii="Georgia" w:hAnsi="Georgia"/>
          <w:color w:val="000000"/>
          <w:sz w:val="22"/>
          <w:szCs w:val="22"/>
        </w:rPr>
        <w:t xml:space="preserve">, C., Henriksen, R., </w:t>
      </w:r>
      <w:proofErr w:type="spellStart"/>
      <w:r>
        <w:rPr>
          <w:rFonts w:ascii="Georgia" w:hAnsi="Georgia"/>
          <w:color w:val="000000"/>
          <w:sz w:val="22"/>
          <w:szCs w:val="22"/>
        </w:rPr>
        <w:t>Pravettoni</w:t>
      </w:r>
      <w:proofErr w:type="spellEnd"/>
      <w:r>
        <w:rPr>
          <w:rFonts w:ascii="Georgia" w:hAnsi="Georgia"/>
          <w:color w:val="000000"/>
          <w:sz w:val="22"/>
          <w:szCs w:val="22"/>
        </w:rPr>
        <w:t xml:space="preserve">, R., Stewart, D., </w:t>
      </w:r>
      <w:proofErr w:type="spellStart"/>
      <w:r>
        <w:rPr>
          <w:rFonts w:ascii="Georgia" w:hAnsi="Georgia"/>
          <w:color w:val="000000"/>
          <w:sz w:val="22"/>
          <w:szCs w:val="22"/>
        </w:rPr>
        <w:t>Kotsovou</w:t>
      </w:r>
      <w:proofErr w:type="spellEnd"/>
      <w:r>
        <w:rPr>
          <w:rFonts w:ascii="Georgia" w:hAnsi="Georgia"/>
          <w:color w:val="000000"/>
          <w:sz w:val="22"/>
          <w:szCs w:val="22"/>
        </w:rPr>
        <w:t>, M., Reitano, T., Shaw, M., &amp; M.A.J., S. (2018). World Atlas of Illicit Flows.</w:t>
      </w:r>
    </w:p>
    <w:p w14:paraId="74A6B34D" w14:textId="77777777" w:rsidR="00683459" w:rsidRDefault="00683459" w:rsidP="00683459">
      <w:pPr>
        <w:pStyle w:val="NormalWeb"/>
        <w:spacing w:before="0" w:beforeAutospacing="0" w:after="240" w:afterAutospacing="0" w:line="360" w:lineRule="auto"/>
      </w:pPr>
      <w:r>
        <w:rPr>
          <w:rFonts w:ascii="Georgia" w:hAnsi="Georgia"/>
          <w:i/>
          <w:iCs/>
          <w:color w:val="000000"/>
          <w:sz w:val="22"/>
          <w:szCs w:val="22"/>
        </w:rPr>
        <w:t>DR Congo loses $750m in mining revenues to corruption</w:t>
      </w:r>
      <w:r>
        <w:rPr>
          <w:rFonts w:ascii="Georgia" w:hAnsi="Georgia"/>
          <w:color w:val="000000"/>
          <w:sz w:val="22"/>
          <w:szCs w:val="22"/>
        </w:rPr>
        <w:t>. Al-Jazeera. (2017).</w:t>
      </w:r>
    </w:p>
    <w:p w14:paraId="3A398A95" w14:textId="77777777" w:rsidR="00683459" w:rsidRDefault="00683459" w:rsidP="00683459">
      <w:pPr>
        <w:pStyle w:val="NormalWeb"/>
        <w:spacing w:before="0" w:beforeAutospacing="0" w:after="240" w:afterAutospacing="0" w:line="360" w:lineRule="auto"/>
      </w:pPr>
      <w:r>
        <w:rPr>
          <w:rFonts w:ascii="Georgia" w:hAnsi="Georgia"/>
          <w:color w:val="000000"/>
          <w:sz w:val="22"/>
          <w:szCs w:val="22"/>
        </w:rPr>
        <w:t xml:space="preserve">Ross, A. (2015). </w:t>
      </w:r>
      <w:r>
        <w:rPr>
          <w:rFonts w:ascii="Georgia" w:hAnsi="Georgia"/>
          <w:i/>
          <w:iCs/>
          <w:color w:val="000000"/>
          <w:sz w:val="22"/>
          <w:szCs w:val="22"/>
        </w:rPr>
        <w:t>Congo loses up to $15bln per year to fraud - official</w:t>
      </w:r>
      <w:r>
        <w:rPr>
          <w:rFonts w:ascii="Georgia" w:hAnsi="Georgia"/>
          <w:color w:val="000000"/>
          <w:sz w:val="22"/>
          <w:szCs w:val="22"/>
        </w:rPr>
        <w:t>. Reuters.</w:t>
      </w:r>
    </w:p>
    <w:p w14:paraId="4C86487A" w14:textId="77777777" w:rsidR="00683459" w:rsidRDefault="00683459" w:rsidP="00683459">
      <w:pPr>
        <w:pStyle w:val="NormalWeb"/>
        <w:spacing w:before="0" w:beforeAutospacing="0" w:after="240" w:afterAutospacing="0" w:line="360" w:lineRule="auto"/>
        <w:ind w:left="720" w:hanging="720"/>
      </w:pPr>
      <w:r>
        <w:rPr>
          <w:rFonts w:ascii="Georgia" w:hAnsi="Georgia"/>
          <w:i/>
          <w:iCs/>
          <w:color w:val="000000"/>
          <w:sz w:val="22"/>
          <w:szCs w:val="22"/>
        </w:rPr>
        <w:t>New Civil Society Report on the Democratic Republic of the Congo</w:t>
      </w:r>
      <w:r>
        <w:rPr>
          <w:rFonts w:ascii="Georgia" w:hAnsi="Georgia"/>
          <w:color w:val="000000"/>
          <w:sz w:val="22"/>
          <w:szCs w:val="22"/>
        </w:rPr>
        <w:t>. United Nations Convention against Corruption. (2022).</w:t>
      </w:r>
    </w:p>
    <w:p w14:paraId="56973BB2" w14:textId="77777777" w:rsidR="00683459" w:rsidRDefault="00683459" w:rsidP="00683459">
      <w:pPr>
        <w:pStyle w:val="NormalWeb"/>
        <w:spacing w:before="0" w:beforeAutospacing="0" w:after="240" w:afterAutospacing="0" w:line="360" w:lineRule="auto"/>
        <w:ind w:left="720" w:hanging="720"/>
      </w:pPr>
      <w:r>
        <w:rPr>
          <w:rFonts w:ascii="Georgia" w:hAnsi="Georgia"/>
          <w:i/>
          <w:iCs/>
          <w:color w:val="000000"/>
          <w:sz w:val="22"/>
          <w:szCs w:val="22"/>
        </w:rPr>
        <w:t>Billions lost: Financial investigation into Dan Gertler's transactions in the extractive sector</w:t>
      </w:r>
      <w:r>
        <w:rPr>
          <w:rFonts w:ascii="Georgia" w:hAnsi="Georgia"/>
          <w:color w:val="000000"/>
          <w:sz w:val="22"/>
          <w:szCs w:val="22"/>
        </w:rPr>
        <w:t xml:space="preserve">. Le Congo </w:t>
      </w:r>
      <w:proofErr w:type="spellStart"/>
      <w:r>
        <w:rPr>
          <w:rFonts w:ascii="Georgia" w:hAnsi="Georgia"/>
          <w:color w:val="000000"/>
          <w:sz w:val="22"/>
          <w:szCs w:val="22"/>
        </w:rPr>
        <w:t>N’Est</w:t>
      </w:r>
      <w:proofErr w:type="spellEnd"/>
      <w:r>
        <w:rPr>
          <w:rFonts w:ascii="Georgia" w:hAnsi="Georgia"/>
          <w:color w:val="000000"/>
          <w:sz w:val="22"/>
          <w:szCs w:val="22"/>
        </w:rPr>
        <w:t xml:space="preserve"> Pas a </w:t>
      </w:r>
      <w:proofErr w:type="spellStart"/>
      <w:r>
        <w:rPr>
          <w:rFonts w:ascii="Georgia" w:hAnsi="Georgia"/>
          <w:color w:val="000000"/>
          <w:sz w:val="22"/>
          <w:szCs w:val="22"/>
        </w:rPr>
        <w:t>Vendre</w:t>
      </w:r>
      <w:proofErr w:type="spellEnd"/>
      <w:r>
        <w:rPr>
          <w:rFonts w:ascii="Georgia" w:hAnsi="Georgia"/>
          <w:color w:val="000000"/>
          <w:sz w:val="22"/>
          <w:szCs w:val="22"/>
        </w:rPr>
        <w:t>. (2021).</w:t>
      </w:r>
    </w:p>
    <w:p w14:paraId="02DA1188" w14:textId="77777777" w:rsidR="00683459" w:rsidRDefault="00683459" w:rsidP="00683459">
      <w:pPr>
        <w:pStyle w:val="NormalWeb"/>
        <w:spacing w:before="0" w:beforeAutospacing="0" w:after="240" w:afterAutospacing="0" w:line="360" w:lineRule="auto"/>
        <w:ind w:left="720" w:hanging="720"/>
      </w:pPr>
      <w:r>
        <w:rPr>
          <w:rFonts w:ascii="Georgia" w:hAnsi="Georgia"/>
          <w:i/>
          <w:iCs/>
          <w:color w:val="000000"/>
          <w:sz w:val="22"/>
          <w:szCs w:val="22"/>
        </w:rPr>
        <w:t>United States Sanctions Human Rights Abusers and Corrupt Actors Across the Globe</w:t>
      </w:r>
      <w:r>
        <w:rPr>
          <w:rFonts w:ascii="Georgia" w:hAnsi="Georgia"/>
          <w:color w:val="000000"/>
          <w:sz w:val="22"/>
          <w:szCs w:val="22"/>
        </w:rPr>
        <w:t>. United States Department of the Treasury. (2017).</w:t>
      </w:r>
    </w:p>
    <w:p w14:paraId="02DF372C" w14:textId="77777777" w:rsidR="00683459" w:rsidRDefault="00683459" w:rsidP="00683459">
      <w:pPr>
        <w:pStyle w:val="NormalWeb"/>
        <w:spacing w:before="0" w:beforeAutospacing="0" w:after="240" w:afterAutospacing="0" w:line="360" w:lineRule="auto"/>
        <w:ind w:left="720" w:hanging="720"/>
      </w:pPr>
      <w:r>
        <w:rPr>
          <w:rFonts w:ascii="Georgia" w:hAnsi="Georgia"/>
          <w:i/>
          <w:iCs/>
          <w:color w:val="000000"/>
          <w:sz w:val="22"/>
          <w:szCs w:val="22"/>
        </w:rPr>
        <w:t xml:space="preserve">Memorandum of Understanding: Between The Democratic Republic of Congo and </w:t>
      </w:r>
      <w:proofErr w:type="spellStart"/>
      <w:r>
        <w:rPr>
          <w:rFonts w:ascii="Georgia" w:hAnsi="Georgia"/>
          <w:i/>
          <w:iCs/>
          <w:color w:val="000000"/>
          <w:sz w:val="22"/>
          <w:szCs w:val="22"/>
        </w:rPr>
        <w:t>Ventora</w:t>
      </w:r>
      <w:proofErr w:type="spellEnd"/>
      <w:r>
        <w:rPr>
          <w:rFonts w:ascii="Georgia" w:hAnsi="Georgia"/>
          <w:i/>
          <w:iCs/>
          <w:color w:val="000000"/>
          <w:sz w:val="22"/>
          <w:szCs w:val="22"/>
        </w:rPr>
        <w:t xml:space="preserve"> Development Sasu</w:t>
      </w:r>
      <w:r>
        <w:rPr>
          <w:rFonts w:ascii="Georgia" w:hAnsi="Georgia"/>
          <w:color w:val="000000"/>
          <w:sz w:val="22"/>
          <w:szCs w:val="22"/>
        </w:rPr>
        <w:t>. New York Times Documents. (2022).</w:t>
      </w:r>
    </w:p>
    <w:p w14:paraId="48543F45" w14:textId="77777777" w:rsidR="00683459" w:rsidRDefault="00683459" w:rsidP="00683459">
      <w:pPr>
        <w:pStyle w:val="NormalWeb"/>
        <w:spacing w:before="0" w:beforeAutospacing="0" w:after="240" w:afterAutospacing="0" w:line="360" w:lineRule="auto"/>
        <w:ind w:left="720" w:hanging="720"/>
      </w:pPr>
      <w:r>
        <w:rPr>
          <w:rFonts w:ascii="Georgia" w:hAnsi="Georgia"/>
          <w:i/>
          <w:iCs/>
          <w:color w:val="000000"/>
          <w:sz w:val="22"/>
          <w:szCs w:val="22"/>
        </w:rPr>
        <w:t>DR Congo Stands to Lose $3.71 billion in Mining Deals with Dan Gertler</w:t>
      </w:r>
      <w:r>
        <w:rPr>
          <w:rFonts w:ascii="Georgia" w:hAnsi="Georgia"/>
          <w:color w:val="000000"/>
          <w:sz w:val="22"/>
          <w:szCs w:val="22"/>
        </w:rPr>
        <w:t>. Rights and Accountability in Development. (2021).</w:t>
      </w:r>
    </w:p>
    <w:p w14:paraId="630C11F3" w14:textId="77777777" w:rsidR="00683459" w:rsidRDefault="00683459" w:rsidP="00683459">
      <w:pPr>
        <w:pStyle w:val="NormalWeb"/>
        <w:spacing w:before="0" w:beforeAutospacing="0" w:after="240" w:afterAutospacing="0" w:line="360" w:lineRule="auto"/>
      </w:pPr>
      <w:r>
        <w:rPr>
          <w:rFonts w:ascii="Georgia" w:hAnsi="Georgia"/>
          <w:color w:val="000000"/>
          <w:sz w:val="22"/>
          <w:szCs w:val="22"/>
        </w:rPr>
        <w:t xml:space="preserve">Rolley, S. (2023). </w:t>
      </w:r>
      <w:r>
        <w:rPr>
          <w:rFonts w:ascii="Georgia" w:hAnsi="Georgia"/>
          <w:i/>
          <w:iCs/>
          <w:color w:val="000000"/>
          <w:sz w:val="22"/>
          <w:szCs w:val="22"/>
        </w:rPr>
        <w:t>Exclusive: Congo to hike stake in copper, cobalt venture with China</w:t>
      </w:r>
      <w:r>
        <w:rPr>
          <w:rFonts w:ascii="Georgia" w:hAnsi="Georgia"/>
          <w:color w:val="000000"/>
          <w:sz w:val="22"/>
          <w:szCs w:val="22"/>
        </w:rPr>
        <w:t>. Reuters.</w:t>
      </w:r>
    </w:p>
    <w:p w14:paraId="6119924F"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Landry, D. G. (2018). </w:t>
      </w:r>
      <w:r>
        <w:rPr>
          <w:rFonts w:ascii="Georgia" w:hAnsi="Georgia"/>
          <w:i/>
          <w:iCs/>
          <w:color w:val="000000"/>
          <w:sz w:val="22"/>
          <w:szCs w:val="22"/>
        </w:rPr>
        <w:t>The risks and rewards of Resource-for-Infrastructure deals: Lessons from the Congo's Sicomines Agreement</w:t>
      </w:r>
      <w:r>
        <w:rPr>
          <w:rFonts w:ascii="Georgia" w:hAnsi="Georgia"/>
          <w:color w:val="000000"/>
          <w:sz w:val="22"/>
          <w:szCs w:val="22"/>
        </w:rPr>
        <w:t>. China Africa Research Initiative.</w:t>
      </w:r>
    </w:p>
    <w:p w14:paraId="2D0EC448" w14:textId="77777777" w:rsidR="00683459" w:rsidRDefault="00683459" w:rsidP="00683459">
      <w:pPr>
        <w:pStyle w:val="NormalWeb"/>
        <w:spacing w:before="0" w:beforeAutospacing="0" w:after="240" w:afterAutospacing="0" w:line="360" w:lineRule="auto"/>
      </w:pPr>
      <w:r>
        <w:rPr>
          <w:rFonts w:ascii="Georgia" w:hAnsi="Georgia"/>
          <w:i/>
          <w:iCs/>
          <w:color w:val="000000"/>
          <w:sz w:val="22"/>
          <w:szCs w:val="22"/>
        </w:rPr>
        <w:lastRenderedPageBreak/>
        <w:t>GRP (current US$) - Congo, Dem. Rep</w:t>
      </w:r>
      <w:r>
        <w:rPr>
          <w:rFonts w:ascii="Georgia" w:hAnsi="Georgia"/>
          <w:color w:val="000000"/>
          <w:sz w:val="22"/>
          <w:szCs w:val="22"/>
        </w:rPr>
        <w:t>. The World Bank. (n.d.).</w:t>
      </w:r>
    </w:p>
    <w:p w14:paraId="2A8CC0FE" w14:textId="77777777" w:rsidR="00683459" w:rsidRDefault="00683459" w:rsidP="00683459">
      <w:pPr>
        <w:pStyle w:val="NormalWeb"/>
        <w:spacing w:before="0" w:beforeAutospacing="0" w:after="240" w:afterAutospacing="0" w:line="360" w:lineRule="auto"/>
      </w:pPr>
      <w:r>
        <w:rPr>
          <w:rFonts w:ascii="Georgia" w:hAnsi="Georgia"/>
          <w:i/>
          <w:iCs/>
          <w:color w:val="000000"/>
          <w:sz w:val="22"/>
          <w:szCs w:val="22"/>
        </w:rPr>
        <w:t>Population, total - Congo, Dem. Rep</w:t>
      </w:r>
      <w:r>
        <w:rPr>
          <w:rFonts w:ascii="Georgia" w:hAnsi="Georgia"/>
          <w:color w:val="000000"/>
          <w:sz w:val="22"/>
          <w:szCs w:val="22"/>
        </w:rPr>
        <w:t>. The World Bank. (n.d.-b).</w:t>
      </w:r>
    </w:p>
    <w:p w14:paraId="74D4AB02"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Olander, E. (2022). </w:t>
      </w:r>
      <w:r>
        <w:rPr>
          <w:rFonts w:ascii="Georgia" w:hAnsi="Georgia"/>
          <w:i/>
          <w:iCs/>
          <w:color w:val="000000"/>
          <w:sz w:val="22"/>
          <w:szCs w:val="22"/>
        </w:rPr>
        <w:t>Small-scale Miners in Northeastern DR Congo Protest Against Chinese Mining Companies' Use of Heavy Machinery</w:t>
      </w:r>
      <w:r>
        <w:rPr>
          <w:rFonts w:ascii="Georgia" w:hAnsi="Georgia"/>
          <w:color w:val="000000"/>
          <w:sz w:val="22"/>
          <w:szCs w:val="22"/>
        </w:rPr>
        <w:t>. China Global South Project.</w:t>
      </w:r>
    </w:p>
    <w:p w14:paraId="1DB16AA8"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Rolley, S. and Kasongo, A. (2024).</w:t>
      </w:r>
      <w:r>
        <w:rPr>
          <w:rFonts w:ascii="Georgia" w:hAnsi="Georgia"/>
          <w:i/>
          <w:iCs/>
          <w:color w:val="000000"/>
          <w:sz w:val="22"/>
          <w:szCs w:val="22"/>
        </w:rPr>
        <w:t xml:space="preserve"> Chinese companies to invest up to $7 billion in Congo mining infrastructure</w:t>
      </w:r>
      <w:r>
        <w:rPr>
          <w:rFonts w:ascii="Georgia" w:hAnsi="Georgia"/>
          <w:color w:val="000000"/>
          <w:sz w:val="22"/>
          <w:szCs w:val="22"/>
        </w:rPr>
        <w:t>. Reuters</w:t>
      </w:r>
    </w:p>
    <w:p w14:paraId="3A557D7B"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Livingstone, E. (2024). </w:t>
      </w:r>
      <w:r>
        <w:rPr>
          <w:rFonts w:ascii="Georgia" w:hAnsi="Georgia"/>
          <w:i/>
          <w:iCs/>
          <w:color w:val="000000"/>
          <w:sz w:val="22"/>
          <w:szCs w:val="22"/>
        </w:rPr>
        <w:t>Uncertainties Remain With Renegotiated Chinese Mining Deal in DRC.</w:t>
      </w:r>
      <w:r>
        <w:rPr>
          <w:rFonts w:ascii="Georgia" w:hAnsi="Georgia"/>
          <w:color w:val="000000"/>
          <w:sz w:val="22"/>
          <w:szCs w:val="22"/>
        </w:rPr>
        <w:t xml:space="preserve"> Voice of America - Africa.</w:t>
      </w:r>
    </w:p>
    <w:p w14:paraId="7CBBB856" w14:textId="77777777" w:rsidR="00683459" w:rsidRDefault="00683459" w:rsidP="00683459">
      <w:pPr>
        <w:pStyle w:val="NormalWeb"/>
        <w:spacing w:before="0" w:beforeAutospacing="0" w:after="240" w:afterAutospacing="0" w:line="360" w:lineRule="auto"/>
        <w:ind w:left="720" w:hanging="720"/>
      </w:pPr>
      <w:r>
        <w:rPr>
          <w:rFonts w:ascii="Georgia" w:hAnsi="Georgia"/>
          <w:i/>
          <w:iCs/>
          <w:color w:val="000000"/>
          <w:sz w:val="22"/>
          <w:szCs w:val="22"/>
        </w:rPr>
        <w:t>Democratic Republic of the Congo (COD) exports, imports, and trade partners</w:t>
      </w:r>
      <w:r>
        <w:rPr>
          <w:rFonts w:ascii="Georgia" w:hAnsi="Georgia"/>
          <w:color w:val="000000"/>
          <w:sz w:val="22"/>
          <w:szCs w:val="22"/>
        </w:rPr>
        <w:t>. The Observatory of Economic Complexity. (n.d.).</w:t>
      </w:r>
    </w:p>
    <w:p w14:paraId="489BC795" w14:textId="77777777" w:rsidR="00683459" w:rsidRDefault="00683459" w:rsidP="00683459">
      <w:pPr>
        <w:pStyle w:val="NormalWeb"/>
        <w:spacing w:before="0" w:beforeAutospacing="0" w:after="240" w:afterAutospacing="0" w:line="360" w:lineRule="auto"/>
      </w:pPr>
      <w:r>
        <w:rPr>
          <w:rFonts w:ascii="Georgia" w:hAnsi="Georgia"/>
          <w:color w:val="000000"/>
          <w:sz w:val="22"/>
          <w:szCs w:val="22"/>
        </w:rPr>
        <w:t>Pistilli, M. (2023).</w:t>
      </w:r>
      <w:r>
        <w:rPr>
          <w:rFonts w:ascii="Georgia" w:hAnsi="Georgia"/>
          <w:i/>
          <w:iCs/>
          <w:color w:val="000000"/>
          <w:sz w:val="22"/>
          <w:szCs w:val="22"/>
        </w:rPr>
        <w:t xml:space="preserve"> Top 10 Cobalt Producers by Country</w:t>
      </w:r>
      <w:r>
        <w:rPr>
          <w:rFonts w:ascii="Georgia" w:hAnsi="Georgia"/>
          <w:color w:val="000000"/>
          <w:sz w:val="22"/>
          <w:szCs w:val="22"/>
        </w:rPr>
        <w:t>. Investing News Network.</w:t>
      </w:r>
    </w:p>
    <w:p w14:paraId="1B448136" w14:textId="77777777" w:rsidR="00683459" w:rsidRDefault="00683459" w:rsidP="00683459">
      <w:pPr>
        <w:pStyle w:val="NormalWeb"/>
        <w:spacing w:before="0" w:beforeAutospacing="0" w:after="240" w:afterAutospacing="0" w:line="360" w:lineRule="auto"/>
      </w:pPr>
      <w:r>
        <w:rPr>
          <w:rFonts w:ascii="Georgia" w:hAnsi="Georgia"/>
          <w:color w:val="000000"/>
          <w:sz w:val="22"/>
          <w:szCs w:val="22"/>
        </w:rPr>
        <w:t xml:space="preserve">Ben-Shahar, O. (2009).  </w:t>
      </w:r>
      <w:r>
        <w:rPr>
          <w:rFonts w:ascii="Georgia" w:hAnsi="Georgia"/>
          <w:i/>
          <w:iCs/>
          <w:color w:val="000000"/>
          <w:sz w:val="22"/>
          <w:szCs w:val="22"/>
        </w:rPr>
        <w:t>A Bargaining Power Theory of Default Rules</w:t>
      </w:r>
      <w:r>
        <w:rPr>
          <w:rFonts w:ascii="Georgia" w:hAnsi="Georgia"/>
          <w:color w:val="000000"/>
          <w:sz w:val="22"/>
          <w:szCs w:val="22"/>
        </w:rPr>
        <w:t>. Columbia Law Review. </w:t>
      </w:r>
    </w:p>
    <w:p w14:paraId="2E1DC58B" w14:textId="77777777" w:rsidR="00683459" w:rsidRDefault="00683459" w:rsidP="00683459">
      <w:pPr>
        <w:pStyle w:val="NormalWeb"/>
        <w:spacing w:before="0" w:beforeAutospacing="0" w:after="240" w:afterAutospacing="0" w:line="360" w:lineRule="auto"/>
      </w:pPr>
      <w:r>
        <w:rPr>
          <w:rFonts w:ascii="Georgia" w:hAnsi="Georgia"/>
          <w:color w:val="000000"/>
          <w:sz w:val="22"/>
          <w:szCs w:val="22"/>
        </w:rPr>
        <w:t xml:space="preserve">Frankel, T. C. (2016). </w:t>
      </w:r>
      <w:r>
        <w:rPr>
          <w:rFonts w:ascii="Georgia" w:hAnsi="Georgia"/>
          <w:i/>
          <w:iCs/>
          <w:color w:val="000000"/>
          <w:sz w:val="22"/>
          <w:szCs w:val="22"/>
        </w:rPr>
        <w:t>The Cobalt Pipeline</w:t>
      </w:r>
      <w:r>
        <w:rPr>
          <w:rFonts w:ascii="Georgia" w:hAnsi="Georgia"/>
          <w:color w:val="000000"/>
          <w:sz w:val="22"/>
          <w:szCs w:val="22"/>
        </w:rPr>
        <w:t>. The Washington Post.</w:t>
      </w:r>
    </w:p>
    <w:p w14:paraId="47301F91" w14:textId="77777777" w:rsidR="00683459" w:rsidRDefault="00683459" w:rsidP="00683459">
      <w:pPr>
        <w:pStyle w:val="NormalWeb"/>
        <w:spacing w:before="0" w:beforeAutospacing="0" w:after="240" w:afterAutospacing="0" w:line="360" w:lineRule="auto"/>
      </w:pPr>
      <w:r>
        <w:rPr>
          <w:rFonts w:ascii="Georgia" w:hAnsi="Georgia"/>
          <w:color w:val="000000"/>
          <w:sz w:val="22"/>
          <w:szCs w:val="22"/>
        </w:rPr>
        <w:t xml:space="preserve">Irle, R. (2024). </w:t>
      </w:r>
      <w:r>
        <w:rPr>
          <w:rFonts w:ascii="Georgia" w:hAnsi="Georgia"/>
          <w:i/>
          <w:iCs/>
          <w:color w:val="000000"/>
          <w:sz w:val="22"/>
          <w:szCs w:val="22"/>
        </w:rPr>
        <w:t>Global EV Sales for 2023</w:t>
      </w:r>
      <w:r>
        <w:rPr>
          <w:rFonts w:ascii="Georgia" w:hAnsi="Georgia"/>
          <w:color w:val="000000"/>
          <w:sz w:val="22"/>
          <w:szCs w:val="22"/>
        </w:rPr>
        <w:t>. J.D. Power.</w:t>
      </w:r>
    </w:p>
    <w:p w14:paraId="1C37CEC0"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Viernes, F. (2023). </w:t>
      </w:r>
      <w:r>
        <w:rPr>
          <w:rFonts w:ascii="Georgia" w:hAnsi="Georgia"/>
          <w:i/>
          <w:iCs/>
          <w:color w:val="000000"/>
          <w:sz w:val="22"/>
          <w:szCs w:val="22"/>
        </w:rPr>
        <w:t>Oversupply, low prices for cobalt to persist in 2024 as demand slips</w:t>
      </w:r>
      <w:r>
        <w:rPr>
          <w:rFonts w:ascii="Georgia" w:hAnsi="Georgia"/>
          <w:color w:val="000000"/>
          <w:sz w:val="22"/>
          <w:szCs w:val="22"/>
        </w:rPr>
        <w:t>. S&amp;P Global Commodity Insights.</w:t>
      </w:r>
    </w:p>
    <w:p w14:paraId="240363C2" w14:textId="77777777" w:rsidR="00683459" w:rsidRDefault="00683459" w:rsidP="00683459">
      <w:pPr>
        <w:pStyle w:val="NormalWeb"/>
        <w:spacing w:before="0" w:beforeAutospacing="0" w:after="240" w:afterAutospacing="0" w:line="360" w:lineRule="auto"/>
        <w:ind w:left="720" w:hanging="720"/>
      </w:pPr>
      <w:r>
        <w:rPr>
          <w:rFonts w:ascii="Georgia" w:hAnsi="Georgia"/>
          <w:i/>
          <w:iCs/>
          <w:color w:val="000000"/>
          <w:sz w:val="22"/>
          <w:szCs w:val="22"/>
        </w:rPr>
        <w:t>Country Profiles: Democratic Republic of the Congo (DRC)</w:t>
      </w:r>
      <w:r>
        <w:rPr>
          <w:rFonts w:ascii="Georgia" w:hAnsi="Georgia"/>
          <w:color w:val="000000"/>
          <w:sz w:val="22"/>
          <w:szCs w:val="22"/>
        </w:rPr>
        <w:t>.  United States Agency for International Development. (2023).</w:t>
      </w:r>
    </w:p>
    <w:p w14:paraId="3116D24F"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w:t>
      </w:r>
      <w:proofErr w:type="spellStart"/>
      <w:r>
        <w:rPr>
          <w:rFonts w:ascii="Georgia" w:hAnsi="Georgia"/>
          <w:color w:val="000000"/>
          <w:sz w:val="22"/>
          <w:szCs w:val="22"/>
        </w:rPr>
        <w:t>Muimba</w:t>
      </w:r>
      <w:proofErr w:type="spellEnd"/>
      <w:r>
        <w:rPr>
          <w:rFonts w:ascii="Georgia" w:hAnsi="Georgia"/>
          <w:color w:val="000000"/>
          <w:sz w:val="22"/>
          <w:szCs w:val="22"/>
        </w:rPr>
        <w:t xml:space="preserve">-Kankolongo, A., Banza Lubaba Nkulu, C., Mwitwa, J., </w:t>
      </w:r>
      <w:proofErr w:type="spellStart"/>
      <w:r>
        <w:rPr>
          <w:rFonts w:ascii="Georgia" w:hAnsi="Georgia"/>
          <w:color w:val="000000"/>
          <w:sz w:val="22"/>
          <w:szCs w:val="22"/>
        </w:rPr>
        <w:t>Kampemba</w:t>
      </w:r>
      <w:proofErr w:type="spellEnd"/>
      <w:r>
        <w:rPr>
          <w:rFonts w:ascii="Georgia" w:hAnsi="Georgia"/>
          <w:color w:val="000000"/>
          <w:sz w:val="22"/>
          <w:szCs w:val="22"/>
        </w:rPr>
        <w:t xml:space="preserve">, F. M., &amp; </w:t>
      </w:r>
      <w:proofErr w:type="spellStart"/>
      <w:r>
        <w:rPr>
          <w:rFonts w:ascii="Georgia" w:hAnsi="Georgia"/>
          <w:color w:val="000000"/>
          <w:sz w:val="22"/>
          <w:szCs w:val="22"/>
        </w:rPr>
        <w:t>Mulele</w:t>
      </w:r>
      <w:proofErr w:type="spellEnd"/>
      <w:r>
        <w:rPr>
          <w:rFonts w:ascii="Georgia" w:hAnsi="Georgia"/>
          <w:color w:val="000000"/>
          <w:sz w:val="22"/>
          <w:szCs w:val="22"/>
        </w:rPr>
        <w:t xml:space="preserve"> </w:t>
      </w:r>
      <w:proofErr w:type="spellStart"/>
      <w:r>
        <w:rPr>
          <w:rFonts w:ascii="Georgia" w:hAnsi="Georgia"/>
          <w:color w:val="000000"/>
          <w:sz w:val="22"/>
          <w:szCs w:val="22"/>
        </w:rPr>
        <w:t>Nabuyanda</w:t>
      </w:r>
      <w:proofErr w:type="spellEnd"/>
      <w:r>
        <w:rPr>
          <w:rFonts w:ascii="Georgia" w:hAnsi="Georgia"/>
          <w:color w:val="000000"/>
          <w:sz w:val="22"/>
          <w:szCs w:val="22"/>
        </w:rPr>
        <w:t xml:space="preserve">, M. (2022). Impacts of Trace Metals Pollution of Water, Food Crops, and Ambient Air on Population Health in Zambia and the DR Congo. </w:t>
      </w:r>
      <w:r>
        <w:rPr>
          <w:rFonts w:ascii="Georgia" w:hAnsi="Georgia"/>
          <w:i/>
          <w:iCs/>
          <w:color w:val="000000"/>
          <w:sz w:val="22"/>
          <w:szCs w:val="22"/>
        </w:rPr>
        <w:t>Journal of Environmental and Public Health</w:t>
      </w:r>
      <w:r>
        <w:rPr>
          <w:rFonts w:ascii="Georgia" w:hAnsi="Georgia"/>
          <w:color w:val="000000"/>
          <w:sz w:val="22"/>
          <w:szCs w:val="22"/>
        </w:rPr>
        <w:t>, 2022, 1-14. </w:t>
      </w:r>
    </w:p>
    <w:p w14:paraId="538EE974" w14:textId="77777777" w:rsidR="00683459" w:rsidRDefault="00683459" w:rsidP="00683459">
      <w:pPr>
        <w:pStyle w:val="NormalWeb"/>
        <w:spacing w:before="0" w:beforeAutospacing="0" w:after="240" w:afterAutospacing="0" w:line="360" w:lineRule="auto"/>
      </w:pPr>
      <w:r>
        <w:rPr>
          <w:rFonts w:ascii="Georgia" w:hAnsi="Georgia"/>
          <w:i/>
          <w:iCs/>
          <w:color w:val="000000"/>
          <w:sz w:val="22"/>
          <w:szCs w:val="22"/>
        </w:rPr>
        <w:t>Unpacking China's GDP</w:t>
      </w:r>
      <w:r>
        <w:rPr>
          <w:rFonts w:ascii="Georgia" w:hAnsi="Georgia"/>
          <w:color w:val="000000"/>
          <w:sz w:val="22"/>
          <w:szCs w:val="22"/>
        </w:rPr>
        <w:t>. CSIS China Power Project and the World Bank. (2021).</w:t>
      </w:r>
    </w:p>
    <w:p w14:paraId="2C9EEF4B"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Henze, V. (2022). </w:t>
      </w:r>
      <w:r>
        <w:rPr>
          <w:rFonts w:ascii="Georgia" w:hAnsi="Georgia"/>
          <w:i/>
          <w:iCs/>
          <w:color w:val="000000"/>
          <w:sz w:val="22"/>
          <w:szCs w:val="22"/>
        </w:rPr>
        <w:t>China's Battery Supply Chain Tops BNEF Ranking for Third Consecutive Time, with Canada a Close Second</w:t>
      </w:r>
      <w:r>
        <w:rPr>
          <w:rFonts w:ascii="Georgia" w:hAnsi="Georgia"/>
          <w:color w:val="000000"/>
          <w:sz w:val="22"/>
          <w:szCs w:val="22"/>
        </w:rPr>
        <w:t xml:space="preserve">. </w:t>
      </w:r>
      <w:proofErr w:type="spellStart"/>
      <w:r>
        <w:rPr>
          <w:rFonts w:ascii="Georgia" w:hAnsi="Georgia"/>
          <w:color w:val="000000"/>
          <w:sz w:val="22"/>
          <w:szCs w:val="22"/>
        </w:rPr>
        <w:t>BloombergNEF</w:t>
      </w:r>
      <w:proofErr w:type="spellEnd"/>
      <w:r>
        <w:rPr>
          <w:rFonts w:ascii="Georgia" w:hAnsi="Georgia"/>
          <w:color w:val="000000"/>
          <w:sz w:val="22"/>
          <w:szCs w:val="22"/>
        </w:rPr>
        <w:t>.</w:t>
      </w:r>
    </w:p>
    <w:p w14:paraId="684ED627" w14:textId="77777777" w:rsidR="00683459" w:rsidRDefault="00683459" w:rsidP="00683459">
      <w:pPr>
        <w:pStyle w:val="NormalWeb"/>
        <w:spacing w:before="0" w:beforeAutospacing="0" w:after="240" w:afterAutospacing="0" w:line="360" w:lineRule="auto"/>
      </w:pPr>
      <w:r>
        <w:rPr>
          <w:rFonts w:ascii="Georgia" w:hAnsi="Georgia"/>
          <w:color w:val="000000"/>
          <w:sz w:val="22"/>
          <w:szCs w:val="22"/>
        </w:rPr>
        <w:lastRenderedPageBreak/>
        <w:t xml:space="preserve">Yu, Bai. (2023). </w:t>
      </w:r>
      <w:r>
        <w:rPr>
          <w:rFonts w:ascii="Georgia" w:hAnsi="Georgia"/>
          <w:i/>
          <w:iCs/>
          <w:color w:val="000000"/>
          <w:sz w:val="22"/>
          <w:szCs w:val="22"/>
        </w:rPr>
        <w:t>Life after subsidies for China's EVs</w:t>
      </w:r>
      <w:r>
        <w:rPr>
          <w:rFonts w:ascii="Georgia" w:hAnsi="Georgia"/>
          <w:color w:val="000000"/>
          <w:sz w:val="22"/>
          <w:szCs w:val="22"/>
        </w:rPr>
        <w:t>. China Dialogue.</w:t>
      </w:r>
    </w:p>
    <w:p w14:paraId="337A8211"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Hering, G. and </w:t>
      </w:r>
      <w:proofErr w:type="spellStart"/>
      <w:r>
        <w:rPr>
          <w:rFonts w:ascii="Georgia" w:hAnsi="Georgia"/>
          <w:color w:val="000000"/>
          <w:sz w:val="22"/>
          <w:szCs w:val="22"/>
        </w:rPr>
        <w:t>Duquiatan</w:t>
      </w:r>
      <w:proofErr w:type="spellEnd"/>
      <w:r>
        <w:rPr>
          <w:rFonts w:ascii="Georgia" w:hAnsi="Georgia"/>
          <w:color w:val="000000"/>
          <w:sz w:val="22"/>
          <w:szCs w:val="22"/>
        </w:rPr>
        <w:t xml:space="preserve">, A. (2023). </w:t>
      </w:r>
      <w:r>
        <w:rPr>
          <w:rFonts w:ascii="Georgia" w:hAnsi="Georgia"/>
          <w:i/>
          <w:iCs/>
          <w:color w:val="000000"/>
          <w:sz w:val="22"/>
          <w:szCs w:val="22"/>
        </w:rPr>
        <w:t>US lithium-ion battery imports, mostly from China, skyrocket in 2022</w:t>
      </w:r>
      <w:r>
        <w:rPr>
          <w:rFonts w:ascii="Georgia" w:hAnsi="Georgia"/>
          <w:color w:val="000000"/>
          <w:sz w:val="22"/>
          <w:szCs w:val="22"/>
        </w:rPr>
        <w:t>. S&amp;P Global Market Intelligence.</w:t>
      </w:r>
    </w:p>
    <w:p w14:paraId="7DDC8F3A" w14:textId="77777777" w:rsidR="00683459" w:rsidRDefault="00683459" w:rsidP="00683459">
      <w:pPr>
        <w:pStyle w:val="NormalWeb"/>
        <w:spacing w:before="0" w:beforeAutospacing="0" w:after="240" w:afterAutospacing="0" w:line="360" w:lineRule="auto"/>
      </w:pPr>
      <w:r>
        <w:rPr>
          <w:rFonts w:ascii="Georgia" w:hAnsi="Georgia"/>
          <w:i/>
          <w:iCs/>
          <w:color w:val="000000"/>
          <w:sz w:val="22"/>
          <w:szCs w:val="22"/>
        </w:rPr>
        <w:t>Global Li-Ion Battery Demand 2022-2030</w:t>
      </w:r>
      <w:r>
        <w:rPr>
          <w:rFonts w:ascii="Georgia" w:hAnsi="Georgia"/>
          <w:color w:val="000000"/>
          <w:sz w:val="22"/>
          <w:szCs w:val="22"/>
        </w:rPr>
        <w:t>. Statista and McKinsey &amp; Co. (2023).</w:t>
      </w:r>
    </w:p>
    <w:p w14:paraId="116FA819" w14:textId="77777777" w:rsidR="00683459" w:rsidRDefault="00683459" w:rsidP="00683459">
      <w:pPr>
        <w:pStyle w:val="NormalWeb"/>
        <w:spacing w:before="0" w:beforeAutospacing="0" w:after="240" w:afterAutospacing="0" w:line="360" w:lineRule="auto"/>
      </w:pPr>
      <w:r>
        <w:rPr>
          <w:rFonts w:ascii="Georgia" w:hAnsi="Georgia"/>
          <w:i/>
          <w:iCs/>
          <w:color w:val="000000"/>
          <w:sz w:val="22"/>
          <w:szCs w:val="22"/>
        </w:rPr>
        <w:t>Report on Lithium-ion Battery Market</w:t>
      </w:r>
      <w:r>
        <w:rPr>
          <w:rFonts w:ascii="Georgia" w:hAnsi="Georgia"/>
          <w:color w:val="000000"/>
          <w:sz w:val="22"/>
          <w:szCs w:val="22"/>
        </w:rPr>
        <w:t>. MarketsandMarkets. (2023).</w:t>
      </w:r>
    </w:p>
    <w:p w14:paraId="03907CA9"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Rolley, S. and Kasongo, A. (2024). </w:t>
      </w:r>
      <w:r>
        <w:rPr>
          <w:rFonts w:ascii="Georgia" w:hAnsi="Georgia"/>
          <w:i/>
          <w:iCs/>
          <w:color w:val="000000"/>
          <w:sz w:val="22"/>
          <w:szCs w:val="22"/>
        </w:rPr>
        <w:t>Chinese companies to invest up to $7 billion in Congo mining infrastructure</w:t>
      </w:r>
      <w:r>
        <w:rPr>
          <w:rFonts w:ascii="Georgia" w:hAnsi="Georgia"/>
          <w:color w:val="000000"/>
          <w:sz w:val="22"/>
          <w:szCs w:val="22"/>
        </w:rPr>
        <w:t>. Reuters.</w:t>
      </w:r>
    </w:p>
    <w:p w14:paraId="590B0E00" w14:textId="77777777" w:rsidR="00683459" w:rsidRDefault="00683459" w:rsidP="00683459">
      <w:pPr>
        <w:pStyle w:val="NormalWeb"/>
        <w:spacing w:before="0" w:beforeAutospacing="0" w:after="240" w:afterAutospacing="0" w:line="360" w:lineRule="auto"/>
      </w:pPr>
      <w:r>
        <w:rPr>
          <w:rFonts w:ascii="Georgia" w:hAnsi="Georgia"/>
          <w:i/>
          <w:iCs/>
          <w:color w:val="000000"/>
          <w:sz w:val="22"/>
          <w:szCs w:val="22"/>
        </w:rPr>
        <w:t>Profile: Democratic Republic of the Congo.</w:t>
      </w:r>
      <w:r>
        <w:rPr>
          <w:rFonts w:ascii="Georgia" w:hAnsi="Georgia"/>
          <w:color w:val="000000"/>
          <w:sz w:val="22"/>
          <w:szCs w:val="22"/>
        </w:rPr>
        <w:t xml:space="preserve"> Observatory of Economic Complexity. (n.d.)</w:t>
      </w:r>
    </w:p>
    <w:p w14:paraId="1824EF18"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Pallares, G. (2022). </w:t>
      </w:r>
      <w:r>
        <w:rPr>
          <w:rFonts w:ascii="Georgia" w:hAnsi="Georgia"/>
          <w:i/>
          <w:iCs/>
          <w:color w:val="000000"/>
          <w:sz w:val="22"/>
          <w:szCs w:val="22"/>
        </w:rPr>
        <w:t>Chinese companies linked to illegal logging and mining in northern DRC</w:t>
      </w:r>
      <w:r>
        <w:rPr>
          <w:rFonts w:ascii="Georgia" w:hAnsi="Georgia"/>
          <w:color w:val="000000"/>
          <w:sz w:val="22"/>
          <w:szCs w:val="22"/>
        </w:rPr>
        <w:t>. Mongabay Series: Investigation.</w:t>
      </w:r>
    </w:p>
    <w:p w14:paraId="5BF51E12"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International Comparative Legal Guides. (2023). </w:t>
      </w:r>
      <w:r>
        <w:rPr>
          <w:rFonts w:ascii="Georgia" w:hAnsi="Georgia"/>
          <w:i/>
          <w:iCs/>
          <w:color w:val="000000"/>
          <w:sz w:val="22"/>
          <w:szCs w:val="22"/>
        </w:rPr>
        <w:t>Mining Laws and Regulations Congo D.R. 2024</w:t>
      </w:r>
      <w:r>
        <w:rPr>
          <w:rFonts w:ascii="Georgia" w:hAnsi="Georgia"/>
          <w:color w:val="000000"/>
          <w:sz w:val="22"/>
          <w:szCs w:val="22"/>
        </w:rPr>
        <w:t>. Global Legal Group.</w:t>
      </w:r>
    </w:p>
    <w:p w14:paraId="658F74C6"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China Power Team. (2017). </w:t>
      </w:r>
      <w:r>
        <w:rPr>
          <w:rFonts w:ascii="Georgia" w:hAnsi="Georgia"/>
          <w:i/>
          <w:iCs/>
          <w:color w:val="000000"/>
          <w:sz w:val="22"/>
          <w:szCs w:val="22"/>
        </w:rPr>
        <w:t>How is the Belt and Road Initiative Advancing China's Interests?</w:t>
      </w:r>
      <w:r>
        <w:rPr>
          <w:rFonts w:ascii="Georgia" w:hAnsi="Georgia"/>
          <w:color w:val="000000"/>
          <w:sz w:val="22"/>
          <w:szCs w:val="22"/>
        </w:rPr>
        <w:t>. ChinaPower.</w:t>
      </w:r>
    </w:p>
    <w:p w14:paraId="4B7FC0C5" w14:textId="77777777" w:rsidR="00683459" w:rsidRDefault="00683459" w:rsidP="00683459">
      <w:pPr>
        <w:pStyle w:val="NormalWeb"/>
        <w:spacing w:before="0" w:beforeAutospacing="0" w:after="240" w:afterAutospacing="0" w:line="360" w:lineRule="auto"/>
      </w:pPr>
      <w:r>
        <w:rPr>
          <w:rFonts w:ascii="Georgia" w:hAnsi="Georgia"/>
          <w:color w:val="000000"/>
          <w:sz w:val="22"/>
          <w:szCs w:val="22"/>
        </w:rPr>
        <w:t xml:space="preserve">Clark, N. (2023). </w:t>
      </w:r>
      <w:r>
        <w:rPr>
          <w:rFonts w:ascii="Georgia" w:hAnsi="Georgia"/>
          <w:i/>
          <w:iCs/>
          <w:color w:val="000000"/>
          <w:sz w:val="22"/>
          <w:szCs w:val="22"/>
        </w:rPr>
        <w:t>The Rise and Fall of the BRI</w:t>
      </w:r>
      <w:r>
        <w:rPr>
          <w:rFonts w:ascii="Georgia" w:hAnsi="Georgia"/>
          <w:color w:val="000000"/>
          <w:sz w:val="22"/>
          <w:szCs w:val="22"/>
        </w:rPr>
        <w:t>. Council on Foreign Relations.</w:t>
      </w:r>
    </w:p>
    <w:p w14:paraId="7F133488"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McBride, J., Berman, N., and Chatzky, A. (2023). </w:t>
      </w:r>
      <w:r>
        <w:rPr>
          <w:rFonts w:ascii="Georgia" w:hAnsi="Georgia"/>
          <w:i/>
          <w:iCs/>
          <w:color w:val="000000"/>
          <w:sz w:val="22"/>
          <w:szCs w:val="22"/>
        </w:rPr>
        <w:t>China's Massive Belt and Road Initiative</w:t>
      </w:r>
      <w:r>
        <w:rPr>
          <w:rFonts w:ascii="Georgia" w:hAnsi="Georgia"/>
          <w:color w:val="000000"/>
          <w:sz w:val="22"/>
          <w:szCs w:val="22"/>
        </w:rPr>
        <w:t>. Council on Foreign Relations.</w:t>
      </w:r>
    </w:p>
    <w:p w14:paraId="1ED345FC" w14:textId="77777777" w:rsidR="00683459" w:rsidRDefault="00683459" w:rsidP="00683459">
      <w:pPr>
        <w:pStyle w:val="NormalWeb"/>
        <w:spacing w:before="0" w:beforeAutospacing="0" w:after="240" w:afterAutospacing="0" w:line="360" w:lineRule="auto"/>
        <w:ind w:left="810" w:hanging="810"/>
      </w:pPr>
      <w:r>
        <w:rPr>
          <w:rFonts w:ascii="Georgia" w:hAnsi="Georgia"/>
          <w:color w:val="000000"/>
          <w:sz w:val="22"/>
          <w:szCs w:val="22"/>
        </w:rPr>
        <w:t xml:space="preserve">Campbell, H. (2008). </w:t>
      </w:r>
      <w:r>
        <w:rPr>
          <w:rFonts w:ascii="Georgia" w:hAnsi="Georgia"/>
          <w:i/>
          <w:iCs/>
          <w:color w:val="000000"/>
          <w:sz w:val="22"/>
          <w:szCs w:val="22"/>
        </w:rPr>
        <w:t>China in Africa: Challenging US Global Hegemony</w:t>
      </w:r>
      <w:r>
        <w:rPr>
          <w:rFonts w:ascii="Georgia" w:hAnsi="Georgia"/>
          <w:color w:val="000000"/>
          <w:sz w:val="22"/>
          <w:szCs w:val="22"/>
        </w:rPr>
        <w:t>. Third World Quarterly, 29(1), 89–105.</w:t>
      </w:r>
    </w:p>
    <w:p w14:paraId="2A30A2B3" w14:textId="77777777" w:rsidR="00683459" w:rsidRDefault="00683459" w:rsidP="00683459">
      <w:pPr>
        <w:pStyle w:val="NormalWeb"/>
        <w:spacing w:before="0" w:beforeAutospacing="0" w:after="240" w:afterAutospacing="0" w:line="360" w:lineRule="auto"/>
      </w:pPr>
      <w:r>
        <w:rPr>
          <w:rFonts w:ascii="Georgia" w:hAnsi="Georgia"/>
          <w:color w:val="000000"/>
          <w:sz w:val="22"/>
          <w:szCs w:val="22"/>
        </w:rPr>
        <w:t xml:space="preserve">Page, V. (2023). </w:t>
      </w:r>
      <w:r>
        <w:rPr>
          <w:rFonts w:ascii="Georgia" w:hAnsi="Georgia"/>
          <w:i/>
          <w:iCs/>
          <w:color w:val="000000"/>
          <w:sz w:val="22"/>
          <w:szCs w:val="22"/>
        </w:rPr>
        <w:t>Primary Drivers of the Chinese Economy</w:t>
      </w:r>
      <w:r>
        <w:rPr>
          <w:rFonts w:ascii="Georgia" w:hAnsi="Georgia"/>
          <w:color w:val="000000"/>
          <w:sz w:val="22"/>
          <w:szCs w:val="22"/>
        </w:rPr>
        <w:t>. Investopedia. </w:t>
      </w:r>
    </w:p>
    <w:p w14:paraId="26DE71D0" w14:textId="77777777" w:rsidR="00683459" w:rsidRDefault="00683459" w:rsidP="00683459">
      <w:pPr>
        <w:pStyle w:val="NormalWeb"/>
        <w:spacing w:before="0" w:beforeAutospacing="0" w:after="240" w:afterAutospacing="0" w:line="360" w:lineRule="auto"/>
        <w:ind w:left="810" w:hanging="810"/>
      </w:pPr>
      <w:r>
        <w:rPr>
          <w:rFonts w:ascii="Georgia" w:hAnsi="Georgia"/>
          <w:color w:val="000000"/>
          <w:sz w:val="22"/>
          <w:szCs w:val="22"/>
        </w:rPr>
        <w:t xml:space="preserve">Ministry of Foreign Affairs of the People’s Republic of China. (2021). </w:t>
      </w:r>
      <w:r>
        <w:rPr>
          <w:rFonts w:ascii="Georgia" w:hAnsi="Georgia"/>
          <w:i/>
          <w:iCs/>
          <w:color w:val="000000"/>
          <w:sz w:val="22"/>
          <w:szCs w:val="22"/>
        </w:rPr>
        <w:t>Communique of China and Africa in the New Era: A Partnership of Equals</w:t>
      </w:r>
      <w:r>
        <w:rPr>
          <w:rFonts w:ascii="Georgia" w:hAnsi="Georgia"/>
          <w:color w:val="000000"/>
          <w:sz w:val="22"/>
          <w:szCs w:val="22"/>
        </w:rPr>
        <w:t>. The State Council Information Office of the People’s Republic of China.</w:t>
      </w:r>
    </w:p>
    <w:p w14:paraId="3EC108A9" w14:textId="77777777" w:rsidR="00683459" w:rsidRDefault="00683459" w:rsidP="00683459">
      <w:pPr>
        <w:pStyle w:val="NormalWeb"/>
        <w:spacing w:before="0" w:beforeAutospacing="0" w:after="240" w:afterAutospacing="0" w:line="360" w:lineRule="auto"/>
        <w:ind w:left="810" w:hanging="810"/>
      </w:pPr>
      <w:r>
        <w:rPr>
          <w:rFonts w:ascii="Georgia" w:hAnsi="Georgia"/>
          <w:color w:val="000000"/>
          <w:sz w:val="22"/>
          <w:szCs w:val="22"/>
        </w:rPr>
        <w:t>Were, A. (2018).</w:t>
      </w:r>
      <w:r>
        <w:rPr>
          <w:rFonts w:ascii="Georgia" w:hAnsi="Georgia"/>
          <w:i/>
          <w:iCs/>
          <w:color w:val="000000"/>
          <w:sz w:val="22"/>
          <w:szCs w:val="22"/>
        </w:rPr>
        <w:t xml:space="preserve"> Debt Trap?: Chinese Loans and Africa’s Development Options</w:t>
      </w:r>
      <w:r>
        <w:rPr>
          <w:rFonts w:ascii="Georgia" w:hAnsi="Georgia"/>
          <w:color w:val="000000"/>
          <w:sz w:val="22"/>
          <w:szCs w:val="22"/>
        </w:rPr>
        <w:t>. South African Institute of International Affairs.</w:t>
      </w:r>
    </w:p>
    <w:p w14:paraId="0E761BE8" w14:textId="77777777" w:rsidR="00683459" w:rsidRDefault="00683459" w:rsidP="00683459">
      <w:pPr>
        <w:pStyle w:val="NormalWeb"/>
        <w:spacing w:before="0" w:beforeAutospacing="0" w:after="240" w:afterAutospacing="0" w:line="360" w:lineRule="auto"/>
        <w:ind w:left="810" w:hanging="810"/>
      </w:pPr>
      <w:r>
        <w:rPr>
          <w:rFonts w:ascii="Georgia" w:hAnsi="Georgia"/>
          <w:color w:val="000000"/>
          <w:sz w:val="22"/>
          <w:szCs w:val="22"/>
        </w:rPr>
        <w:lastRenderedPageBreak/>
        <w:t xml:space="preserve">Li, X. (2018). </w:t>
      </w:r>
      <w:r>
        <w:rPr>
          <w:rFonts w:ascii="Georgia" w:hAnsi="Georgia"/>
          <w:i/>
          <w:iCs/>
          <w:color w:val="000000"/>
          <w:sz w:val="22"/>
          <w:szCs w:val="22"/>
        </w:rPr>
        <w:t>China is offering 'no strings attached aid' to Africa</w:t>
      </w:r>
      <w:r>
        <w:rPr>
          <w:rFonts w:ascii="Georgia" w:hAnsi="Georgia"/>
          <w:color w:val="000000"/>
          <w:sz w:val="22"/>
          <w:szCs w:val="22"/>
        </w:rPr>
        <w:t>.</w:t>
      </w:r>
      <w:r>
        <w:rPr>
          <w:rFonts w:ascii="Georgia" w:hAnsi="Georgia"/>
          <w:i/>
          <w:iCs/>
          <w:color w:val="000000"/>
          <w:sz w:val="22"/>
          <w:szCs w:val="22"/>
        </w:rPr>
        <w:t xml:space="preserve"> Here's what that means</w:t>
      </w:r>
      <w:r>
        <w:rPr>
          <w:rFonts w:ascii="Georgia" w:hAnsi="Georgia"/>
          <w:color w:val="000000"/>
          <w:sz w:val="22"/>
          <w:szCs w:val="22"/>
        </w:rPr>
        <w:t>. The Washington Post.</w:t>
      </w:r>
    </w:p>
    <w:p w14:paraId="641944F5"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Appiah-Nyamekye Sanny, J. and Selormey, E. (2021). </w:t>
      </w:r>
      <w:r>
        <w:rPr>
          <w:rFonts w:ascii="Georgia" w:hAnsi="Georgia"/>
          <w:i/>
          <w:iCs/>
          <w:color w:val="000000"/>
          <w:sz w:val="22"/>
          <w:szCs w:val="22"/>
        </w:rPr>
        <w:t>Africans welcome China's influence but maintain democratic aspirations</w:t>
      </w:r>
      <w:r>
        <w:rPr>
          <w:rFonts w:ascii="Georgia" w:hAnsi="Georgia"/>
          <w:color w:val="000000"/>
          <w:sz w:val="22"/>
          <w:szCs w:val="22"/>
        </w:rPr>
        <w:t>. Afrobarometer.</w:t>
      </w:r>
    </w:p>
    <w:p w14:paraId="38775541" w14:textId="77777777" w:rsidR="00683459" w:rsidRDefault="00683459" w:rsidP="00683459">
      <w:pPr>
        <w:pStyle w:val="NormalWeb"/>
        <w:spacing w:before="0" w:beforeAutospacing="0" w:after="240" w:afterAutospacing="0" w:line="360" w:lineRule="auto"/>
      </w:pPr>
      <w:proofErr w:type="spellStart"/>
      <w:r>
        <w:rPr>
          <w:rFonts w:ascii="Georgia" w:hAnsi="Georgia"/>
          <w:color w:val="000000"/>
          <w:sz w:val="22"/>
          <w:szCs w:val="22"/>
        </w:rPr>
        <w:t>Abdeleli</w:t>
      </w:r>
      <w:proofErr w:type="spellEnd"/>
      <w:r>
        <w:rPr>
          <w:rFonts w:ascii="Georgia" w:hAnsi="Georgia"/>
          <w:color w:val="000000"/>
          <w:sz w:val="22"/>
          <w:szCs w:val="22"/>
        </w:rPr>
        <w:t xml:space="preserve">, A. (2022). </w:t>
      </w:r>
      <w:r>
        <w:rPr>
          <w:rFonts w:ascii="Georgia" w:hAnsi="Georgia"/>
          <w:i/>
          <w:iCs/>
          <w:color w:val="000000"/>
          <w:sz w:val="22"/>
          <w:szCs w:val="22"/>
        </w:rPr>
        <w:t>Why Arab and African countries stand with China at the UN</w:t>
      </w:r>
      <w:r>
        <w:rPr>
          <w:rFonts w:ascii="Georgia" w:hAnsi="Georgia"/>
          <w:color w:val="000000"/>
          <w:sz w:val="22"/>
          <w:szCs w:val="22"/>
        </w:rPr>
        <w:t>. Swissinfo.ch.</w:t>
      </w:r>
    </w:p>
    <w:p w14:paraId="550E67D1" w14:textId="77777777" w:rsidR="00683459" w:rsidRDefault="00683459" w:rsidP="00683459">
      <w:pPr>
        <w:pStyle w:val="NormalWeb"/>
        <w:spacing w:before="0" w:beforeAutospacing="0" w:after="240" w:afterAutospacing="0" w:line="360" w:lineRule="auto"/>
        <w:ind w:left="720" w:hanging="720"/>
      </w:pPr>
      <w:r>
        <w:rPr>
          <w:rFonts w:ascii="Georgia" w:hAnsi="Georgia"/>
          <w:i/>
          <w:iCs/>
          <w:color w:val="000000"/>
          <w:sz w:val="22"/>
          <w:szCs w:val="22"/>
        </w:rPr>
        <w:t>Corruption Perceptions Index - Democratic Republic of Congo</w:t>
      </w:r>
      <w:r>
        <w:rPr>
          <w:rFonts w:ascii="Georgia" w:hAnsi="Georgia"/>
          <w:color w:val="000000"/>
          <w:sz w:val="22"/>
          <w:szCs w:val="22"/>
        </w:rPr>
        <w:t>. Transparency International. (2022)</w:t>
      </w:r>
    </w:p>
    <w:p w14:paraId="24B1A886" w14:textId="77777777" w:rsidR="00683459" w:rsidRDefault="00683459" w:rsidP="00683459">
      <w:pPr>
        <w:pStyle w:val="NormalWeb"/>
        <w:spacing w:before="0" w:beforeAutospacing="0" w:after="240" w:afterAutospacing="0" w:line="360" w:lineRule="auto"/>
      </w:pPr>
      <w:r>
        <w:rPr>
          <w:rFonts w:ascii="Georgia" w:hAnsi="Georgia"/>
          <w:i/>
          <w:iCs/>
          <w:color w:val="000000"/>
          <w:sz w:val="22"/>
          <w:szCs w:val="22"/>
        </w:rPr>
        <w:t>Chinese become targets in DR Congo anti-government riots</w:t>
      </w:r>
      <w:r>
        <w:rPr>
          <w:rFonts w:ascii="Georgia" w:hAnsi="Georgia"/>
          <w:color w:val="000000"/>
          <w:sz w:val="22"/>
          <w:szCs w:val="22"/>
        </w:rPr>
        <w:t>. Daily Mail.com. (2015).</w:t>
      </w:r>
    </w:p>
    <w:p w14:paraId="4E9AF039"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Olander, E. (2021). </w:t>
      </w:r>
      <w:r>
        <w:rPr>
          <w:rFonts w:ascii="Georgia" w:hAnsi="Georgia"/>
          <w:i/>
          <w:iCs/>
          <w:color w:val="000000"/>
          <w:sz w:val="22"/>
          <w:szCs w:val="22"/>
        </w:rPr>
        <w:t>Police Use Force to Disburse Anti-Chinese Protests in the Eastern DR Congo</w:t>
      </w:r>
      <w:r>
        <w:rPr>
          <w:rFonts w:ascii="Georgia" w:hAnsi="Georgia"/>
          <w:color w:val="000000"/>
          <w:sz w:val="22"/>
          <w:szCs w:val="22"/>
        </w:rPr>
        <w:t>. China Global South Project.</w:t>
      </w:r>
    </w:p>
    <w:p w14:paraId="28FEA8DA"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Mila, J. (2023). </w:t>
      </w:r>
      <w:r>
        <w:rPr>
          <w:rFonts w:ascii="Georgia" w:hAnsi="Georgia"/>
          <w:i/>
          <w:iCs/>
          <w:color w:val="000000"/>
          <w:sz w:val="22"/>
          <w:szCs w:val="22"/>
        </w:rPr>
        <w:t>DRC: Unmasking Tshisekedi's failure to address deep-seated corruption</w:t>
      </w:r>
      <w:r>
        <w:rPr>
          <w:rFonts w:ascii="Georgia" w:hAnsi="Georgia"/>
          <w:color w:val="000000"/>
          <w:sz w:val="22"/>
          <w:szCs w:val="22"/>
        </w:rPr>
        <w:t>. The Great Lakes Eye.</w:t>
      </w:r>
    </w:p>
    <w:p w14:paraId="4CA08D7C" w14:textId="77777777" w:rsidR="00683459" w:rsidRDefault="00683459" w:rsidP="00683459">
      <w:pPr>
        <w:pStyle w:val="NormalWeb"/>
        <w:spacing w:before="0" w:beforeAutospacing="0" w:after="240" w:afterAutospacing="0" w:line="360" w:lineRule="auto"/>
        <w:ind w:left="720" w:hanging="720"/>
      </w:pPr>
      <w:proofErr w:type="spellStart"/>
      <w:r>
        <w:rPr>
          <w:rFonts w:ascii="Georgia" w:hAnsi="Georgia"/>
          <w:color w:val="000000"/>
          <w:sz w:val="22"/>
          <w:szCs w:val="22"/>
        </w:rPr>
        <w:t>Ergenc</w:t>
      </w:r>
      <w:proofErr w:type="spellEnd"/>
      <w:r>
        <w:rPr>
          <w:rFonts w:ascii="Georgia" w:hAnsi="Georgia"/>
          <w:color w:val="000000"/>
          <w:sz w:val="22"/>
          <w:szCs w:val="22"/>
        </w:rPr>
        <w:t xml:space="preserve">, C. (2023). </w:t>
      </w:r>
      <w:r>
        <w:rPr>
          <w:rFonts w:ascii="Georgia" w:hAnsi="Georgia"/>
          <w:i/>
          <w:iCs/>
          <w:color w:val="000000"/>
          <w:sz w:val="22"/>
          <w:szCs w:val="22"/>
        </w:rPr>
        <w:t>China Suddenly Abandoned its Zero COVID Policy. How Did It Start In The First Place?</w:t>
      </w:r>
      <w:r>
        <w:rPr>
          <w:rFonts w:ascii="Georgia" w:hAnsi="Georgia"/>
          <w:color w:val="000000"/>
          <w:sz w:val="22"/>
          <w:szCs w:val="22"/>
        </w:rPr>
        <w:t>. The Diplomat.</w:t>
      </w:r>
    </w:p>
    <w:p w14:paraId="4660A32A" w14:textId="77777777" w:rsidR="00683459" w:rsidRDefault="00683459" w:rsidP="00683459">
      <w:pPr>
        <w:pStyle w:val="NormalWeb"/>
        <w:spacing w:before="0" w:beforeAutospacing="0" w:after="240" w:afterAutospacing="0" w:line="360" w:lineRule="auto"/>
      </w:pPr>
      <w:r>
        <w:rPr>
          <w:rFonts w:ascii="Georgia" w:hAnsi="Georgia"/>
          <w:i/>
          <w:iCs/>
          <w:color w:val="000000"/>
          <w:sz w:val="22"/>
          <w:szCs w:val="22"/>
        </w:rPr>
        <w:t>GDP growth (annual %) - China</w:t>
      </w:r>
      <w:r>
        <w:rPr>
          <w:rFonts w:ascii="Georgia" w:hAnsi="Georgia"/>
          <w:color w:val="000000"/>
          <w:sz w:val="22"/>
          <w:szCs w:val="22"/>
        </w:rPr>
        <w:t>. The World Bank. (</w:t>
      </w:r>
      <w:proofErr w:type="spellStart"/>
      <w:r>
        <w:rPr>
          <w:rFonts w:ascii="Georgia" w:hAnsi="Georgia"/>
          <w:color w:val="000000"/>
          <w:sz w:val="22"/>
          <w:szCs w:val="22"/>
        </w:rPr>
        <w:t>n.d</w:t>
      </w:r>
      <w:proofErr w:type="spellEnd"/>
      <w:r>
        <w:rPr>
          <w:rFonts w:ascii="Georgia" w:hAnsi="Georgia"/>
          <w:color w:val="000000"/>
          <w:sz w:val="22"/>
          <w:szCs w:val="22"/>
        </w:rPr>
        <w:t>).</w:t>
      </w:r>
    </w:p>
    <w:p w14:paraId="0460694A" w14:textId="77777777" w:rsidR="00683459" w:rsidRDefault="00683459" w:rsidP="00683459">
      <w:pPr>
        <w:pStyle w:val="NormalWeb"/>
        <w:spacing w:before="0" w:beforeAutospacing="0" w:after="240" w:afterAutospacing="0" w:line="360" w:lineRule="auto"/>
        <w:ind w:left="720" w:hanging="720"/>
      </w:pPr>
      <w:r>
        <w:rPr>
          <w:rFonts w:ascii="Georgia" w:hAnsi="Georgia"/>
          <w:i/>
          <w:iCs/>
          <w:color w:val="000000"/>
          <w:sz w:val="22"/>
          <w:szCs w:val="22"/>
        </w:rPr>
        <w:t>J.P. Morgan AM: Chinese household assets are dominated by property</w:t>
      </w:r>
      <w:r>
        <w:rPr>
          <w:rFonts w:ascii="Georgia" w:hAnsi="Georgia"/>
          <w:color w:val="000000"/>
          <w:sz w:val="22"/>
          <w:szCs w:val="22"/>
        </w:rPr>
        <w:t>. Financial Investigator. (2023).</w:t>
      </w:r>
    </w:p>
    <w:p w14:paraId="01B3E5FF"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Wakabayashi, D. and Fu, C. (2024). </w:t>
      </w:r>
      <w:r>
        <w:rPr>
          <w:rFonts w:ascii="Georgia" w:hAnsi="Georgia"/>
          <w:i/>
          <w:iCs/>
          <w:color w:val="000000"/>
          <w:sz w:val="22"/>
          <w:szCs w:val="22"/>
        </w:rPr>
        <w:t>China's Real Estate Crisis 'Has Not Touched Bottom'</w:t>
      </w:r>
      <w:r>
        <w:rPr>
          <w:rFonts w:ascii="Georgia" w:hAnsi="Georgia"/>
          <w:color w:val="000000"/>
          <w:sz w:val="22"/>
          <w:szCs w:val="22"/>
        </w:rPr>
        <w:t>. New York Times.</w:t>
      </w:r>
    </w:p>
    <w:p w14:paraId="6D8B1E42" w14:textId="77777777" w:rsidR="00683459" w:rsidRDefault="00683459" w:rsidP="00683459">
      <w:pPr>
        <w:pStyle w:val="NormalWeb"/>
        <w:spacing w:before="0" w:beforeAutospacing="0" w:after="240" w:afterAutospacing="0" w:line="360" w:lineRule="auto"/>
        <w:ind w:left="720" w:hanging="720"/>
      </w:pPr>
      <w:r>
        <w:rPr>
          <w:rFonts w:ascii="Georgia" w:hAnsi="Georgia"/>
          <w:i/>
          <w:iCs/>
          <w:color w:val="000000"/>
          <w:sz w:val="22"/>
          <w:szCs w:val="22"/>
        </w:rPr>
        <w:t>China orders indebted local governments to halt some infrastructure projects-sources</w:t>
      </w:r>
      <w:r>
        <w:rPr>
          <w:rFonts w:ascii="Georgia" w:hAnsi="Georgia"/>
          <w:color w:val="000000"/>
          <w:sz w:val="22"/>
          <w:szCs w:val="22"/>
        </w:rPr>
        <w:t>. Reuters. (2024).</w:t>
      </w:r>
    </w:p>
    <w:p w14:paraId="0D14B3C8"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Kawate, I. and </w:t>
      </w:r>
      <w:proofErr w:type="spellStart"/>
      <w:r>
        <w:rPr>
          <w:rFonts w:ascii="Georgia" w:hAnsi="Georgia"/>
          <w:color w:val="000000"/>
          <w:sz w:val="22"/>
          <w:szCs w:val="22"/>
        </w:rPr>
        <w:t>Tabeta</w:t>
      </w:r>
      <w:proofErr w:type="spellEnd"/>
      <w:r>
        <w:rPr>
          <w:rFonts w:ascii="Georgia" w:hAnsi="Georgia"/>
          <w:color w:val="000000"/>
          <w:sz w:val="22"/>
          <w:szCs w:val="22"/>
        </w:rPr>
        <w:t xml:space="preserve">, S. (2024). </w:t>
      </w:r>
      <w:r>
        <w:rPr>
          <w:rFonts w:ascii="Georgia" w:hAnsi="Georgia"/>
          <w:i/>
          <w:iCs/>
          <w:color w:val="000000"/>
          <w:sz w:val="22"/>
          <w:szCs w:val="22"/>
        </w:rPr>
        <w:t>Foreign direct investment in China falls to 30-year low</w:t>
      </w:r>
      <w:r>
        <w:rPr>
          <w:rFonts w:ascii="Georgia" w:hAnsi="Georgia"/>
          <w:color w:val="000000"/>
          <w:sz w:val="22"/>
          <w:szCs w:val="22"/>
        </w:rPr>
        <w:t>. Nikkei Asia.</w:t>
      </w:r>
    </w:p>
    <w:p w14:paraId="6E41B620" w14:textId="77777777" w:rsidR="00683459" w:rsidRDefault="00683459" w:rsidP="00683459">
      <w:pPr>
        <w:pStyle w:val="NormalWeb"/>
        <w:spacing w:before="0" w:beforeAutospacing="0" w:after="240" w:afterAutospacing="0" w:line="360" w:lineRule="auto"/>
      </w:pPr>
      <w:r>
        <w:rPr>
          <w:rFonts w:ascii="Georgia" w:hAnsi="Georgia"/>
          <w:color w:val="000000"/>
          <w:sz w:val="22"/>
          <w:szCs w:val="22"/>
        </w:rPr>
        <w:t>National Bureau of Statistics in China. (2024).</w:t>
      </w:r>
      <w:r>
        <w:rPr>
          <w:rFonts w:ascii="Georgia" w:hAnsi="Georgia"/>
          <w:i/>
          <w:iCs/>
          <w:color w:val="000000"/>
          <w:sz w:val="22"/>
          <w:szCs w:val="22"/>
        </w:rPr>
        <w:t>Youth urban unemployment rate</w:t>
      </w:r>
      <w:r>
        <w:rPr>
          <w:rFonts w:ascii="Georgia" w:hAnsi="Georgia"/>
          <w:color w:val="000000"/>
          <w:sz w:val="22"/>
          <w:szCs w:val="22"/>
        </w:rPr>
        <w:t>. Statista.</w:t>
      </w:r>
    </w:p>
    <w:p w14:paraId="69F4EBD9" w14:textId="77777777" w:rsidR="00683459" w:rsidRDefault="00683459" w:rsidP="00683459">
      <w:pPr>
        <w:pStyle w:val="NormalWeb"/>
        <w:spacing w:before="0" w:beforeAutospacing="0" w:after="240" w:afterAutospacing="0" w:line="360" w:lineRule="auto"/>
      </w:pPr>
      <w:r>
        <w:rPr>
          <w:rFonts w:ascii="Georgia" w:hAnsi="Georgia"/>
          <w:color w:val="000000"/>
          <w:sz w:val="22"/>
          <w:szCs w:val="22"/>
        </w:rPr>
        <w:t xml:space="preserve">Zak, L. (2023). </w:t>
      </w:r>
      <w:r>
        <w:rPr>
          <w:rFonts w:ascii="Georgia" w:hAnsi="Georgia"/>
          <w:i/>
          <w:iCs/>
          <w:color w:val="000000"/>
          <w:sz w:val="22"/>
          <w:szCs w:val="22"/>
        </w:rPr>
        <w:t>Why China's economy is in crisis</w:t>
      </w:r>
      <w:r>
        <w:rPr>
          <w:rFonts w:ascii="Georgia" w:hAnsi="Georgia"/>
          <w:color w:val="000000"/>
          <w:sz w:val="22"/>
          <w:szCs w:val="22"/>
        </w:rPr>
        <w:t>. CBS News.</w:t>
      </w:r>
    </w:p>
    <w:p w14:paraId="7408D858" w14:textId="77777777" w:rsidR="00683459" w:rsidRDefault="00683459" w:rsidP="00683459">
      <w:pPr>
        <w:pStyle w:val="NormalWeb"/>
        <w:spacing w:before="0" w:beforeAutospacing="0" w:after="240" w:afterAutospacing="0" w:line="360" w:lineRule="auto"/>
      </w:pPr>
      <w:r>
        <w:rPr>
          <w:rFonts w:ascii="Georgia" w:hAnsi="Georgia"/>
          <w:color w:val="000000"/>
          <w:sz w:val="22"/>
          <w:szCs w:val="22"/>
        </w:rPr>
        <w:lastRenderedPageBreak/>
        <w:t xml:space="preserve">Onstad, E. (2023). </w:t>
      </w:r>
      <w:r>
        <w:rPr>
          <w:rFonts w:ascii="Georgia" w:hAnsi="Georgia"/>
          <w:i/>
          <w:iCs/>
          <w:color w:val="000000"/>
          <w:sz w:val="22"/>
          <w:szCs w:val="22"/>
        </w:rPr>
        <w:t>China turbo-charges cobalt mine output despite price crash</w:t>
      </w:r>
      <w:r>
        <w:rPr>
          <w:rFonts w:ascii="Georgia" w:hAnsi="Georgia"/>
          <w:color w:val="000000"/>
          <w:sz w:val="22"/>
          <w:szCs w:val="22"/>
        </w:rPr>
        <w:t>. Reuters.</w:t>
      </w:r>
    </w:p>
    <w:p w14:paraId="1260931F"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Baker, P. and Walsh, D. (2022). </w:t>
      </w:r>
      <w:r>
        <w:rPr>
          <w:rFonts w:ascii="Georgia" w:hAnsi="Georgia"/>
          <w:i/>
          <w:iCs/>
          <w:color w:val="000000"/>
          <w:sz w:val="22"/>
          <w:szCs w:val="22"/>
        </w:rPr>
        <w:t>Biden Aims to Inject New Energy Into U.S. Relations With African Nations</w:t>
      </w:r>
      <w:r>
        <w:rPr>
          <w:rFonts w:ascii="Georgia" w:hAnsi="Georgia"/>
          <w:color w:val="000000"/>
          <w:sz w:val="22"/>
          <w:szCs w:val="22"/>
        </w:rPr>
        <w:t>. The New York Times.</w:t>
      </w:r>
    </w:p>
    <w:p w14:paraId="1DF8B626"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Lu, C. (2024). </w:t>
      </w:r>
      <w:r>
        <w:rPr>
          <w:rFonts w:ascii="Georgia" w:hAnsi="Georgia"/>
          <w:i/>
          <w:iCs/>
          <w:color w:val="000000"/>
          <w:sz w:val="22"/>
          <w:szCs w:val="22"/>
        </w:rPr>
        <w:t>Washington Wants to Revive a Critical Minerals Mega-Railway Through Africa</w:t>
      </w:r>
      <w:r>
        <w:rPr>
          <w:rFonts w:ascii="Georgia" w:hAnsi="Georgia"/>
          <w:color w:val="000000"/>
          <w:sz w:val="22"/>
          <w:szCs w:val="22"/>
        </w:rPr>
        <w:t>. Foreign Policy.</w:t>
      </w:r>
    </w:p>
    <w:p w14:paraId="697097E2"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Energy Institute, KPMG, and Kearney. (2022). </w:t>
      </w:r>
      <w:r>
        <w:rPr>
          <w:rFonts w:ascii="Georgia" w:hAnsi="Georgia"/>
          <w:i/>
          <w:iCs/>
          <w:color w:val="000000"/>
          <w:sz w:val="22"/>
          <w:szCs w:val="22"/>
        </w:rPr>
        <w:t>Primary energy consumption worldwide in 2022.</w:t>
      </w:r>
      <w:r>
        <w:rPr>
          <w:rFonts w:ascii="Georgia" w:hAnsi="Georgia"/>
          <w:color w:val="000000"/>
          <w:sz w:val="22"/>
          <w:szCs w:val="22"/>
        </w:rPr>
        <w:t xml:space="preserve"> Statista.</w:t>
      </w:r>
    </w:p>
    <w:p w14:paraId="1F7FAF44"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Biden, J. (2023).  S</w:t>
      </w:r>
      <w:r>
        <w:rPr>
          <w:rFonts w:ascii="Georgia" w:hAnsi="Georgia"/>
          <w:i/>
          <w:iCs/>
          <w:color w:val="000000"/>
          <w:sz w:val="22"/>
          <w:szCs w:val="22"/>
        </w:rPr>
        <w:t>peech Transcript: Remarks by President Biden on the United States' Response to Hamas's Terrorist Attacks Against Israel and Russia's Ongoing Brutal War Against Ukraine.</w:t>
      </w:r>
      <w:r>
        <w:rPr>
          <w:rFonts w:ascii="Georgia" w:hAnsi="Georgia"/>
          <w:color w:val="000000"/>
          <w:sz w:val="22"/>
          <w:szCs w:val="22"/>
        </w:rPr>
        <w:t xml:space="preserve"> The White House.</w:t>
      </w:r>
    </w:p>
    <w:p w14:paraId="00738857"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Buckley, C. (2021). </w:t>
      </w:r>
      <w:r>
        <w:rPr>
          <w:rFonts w:ascii="Georgia" w:hAnsi="Georgia"/>
          <w:i/>
          <w:iCs/>
          <w:color w:val="000000"/>
          <w:sz w:val="22"/>
          <w:szCs w:val="22"/>
        </w:rPr>
        <w:t>‘The East Is Rising’: Xi Maps Out China’s Post-Covid Ascent</w:t>
      </w:r>
      <w:r>
        <w:rPr>
          <w:rFonts w:ascii="Georgia" w:hAnsi="Georgia"/>
          <w:color w:val="000000"/>
          <w:sz w:val="22"/>
          <w:szCs w:val="22"/>
        </w:rPr>
        <w:t>. The New York Times.</w:t>
      </w:r>
    </w:p>
    <w:p w14:paraId="6B4233C4" w14:textId="77777777" w:rsidR="00683459" w:rsidRDefault="00683459" w:rsidP="00683459">
      <w:pPr>
        <w:pStyle w:val="NormalWeb"/>
        <w:spacing w:before="0" w:beforeAutospacing="0" w:after="240" w:afterAutospacing="0" w:line="360" w:lineRule="auto"/>
        <w:ind w:left="720" w:hanging="720"/>
      </w:pPr>
      <w:proofErr w:type="spellStart"/>
      <w:r>
        <w:rPr>
          <w:rFonts w:ascii="Georgia" w:hAnsi="Georgia"/>
          <w:color w:val="000000"/>
          <w:sz w:val="22"/>
          <w:szCs w:val="22"/>
        </w:rPr>
        <w:t>Kafura</w:t>
      </w:r>
      <w:proofErr w:type="spellEnd"/>
      <w:r>
        <w:rPr>
          <w:rFonts w:ascii="Georgia" w:hAnsi="Georgia"/>
          <w:color w:val="000000"/>
          <w:sz w:val="22"/>
          <w:szCs w:val="22"/>
        </w:rPr>
        <w:t>, C. (2023).</w:t>
      </w:r>
      <w:r>
        <w:rPr>
          <w:rFonts w:ascii="Georgia" w:hAnsi="Georgia"/>
          <w:i/>
          <w:iCs/>
          <w:color w:val="000000"/>
          <w:sz w:val="22"/>
          <w:szCs w:val="22"/>
        </w:rPr>
        <w:t xml:space="preserve"> Americans Feel More Threat from China Now than in Past Three Decades</w:t>
      </w:r>
      <w:r>
        <w:rPr>
          <w:rFonts w:ascii="Georgia" w:hAnsi="Georgia"/>
          <w:color w:val="000000"/>
          <w:sz w:val="22"/>
          <w:szCs w:val="22"/>
        </w:rPr>
        <w:t>. The Chicago Council on Global Affairs.</w:t>
      </w:r>
    </w:p>
    <w:p w14:paraId="65C8CEF4"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Hass, R. and Denmark, A. (2020). </w:t>
      </w:r>
      <w:r>
        <w:rPr>
          <w:rFonts w:ascii="Georgia" w:hAnsi="Georgia"/>
          <w:i/>
          <w:iCs/>
          <w:color w:val="000000"/>
          <w:sz w:val="22"/>
          <w:szCs w:val="22"/>
        </w:rPr>
        <w:t>More pain than gain: How the US-China trade war hurt America</w:t>
      </w:r>
      <w:r>
        <w:rPr>
          <w:rFonts w:ascii="Georgia" w:hAnsi="Georgia"/>
          <w:color w:val="000000"/>
          <w:sz w:val="22"/>
          <w:szCs w:val="22"/>
        </w:rPr>
        <w:t>. Brookings Institute. </w:t>
      </w:r>
    </w:p>
    <w:p w14:paraId="63B84978" w14:textId="77777777" w:rsidR="00683459" w:rsidRDefault="00683459" w:rsidP="00683459">
      <w:pPr>
        <w:pStyle w:val="NormalWeb"/>
        <w:spacing w:before="0" w:beforeAutospacing="0" w:after="240" w:afterAutospacing="0" w:line="360" w:lineRule="auto"/>
        <w:ind w:left="720" w:hanging="720"/>
      </w:pPr>
      <w:proofErr w:type="spellStart"/>
      <w:r>
        <w:rPr>
          <w:rFonts w:ascii="Georgia" w:hAnsi="Georgia"/>
          <w:color w:val="000000"/>
          <w:sz w:val="22"/>
          <w:szCs w:val="22"/>
        </w:rPr>
        <w:t>Zandl</w:t>
      </w:r>
      <w:proofErr w:type="spellEnd"/>
      <w:r>
        <w:rPr>
          <w:rFonts w:ascii="Georgia" w:hAnsi="Georgia"/>
          <w:color w:val="000000"/>
          <w:sz w:val="22"/>
          <w:szCs w:val="22"/>
        </w:rPr>
        <w:t xml:space="preserve">, M., Rogers, J., and Cosma, M. (2019). </w:t>
      </w:r>
      <w:r>
        <w:rPr>
          <w:rFonts w:ascii="Georgia" w:hAnsi="Georgia"/>
          <w:i/>
          <w:iCs/>
          <w:color w:val="000000"/>
          <w:sz w:val="22"/>
          <w:szCs w:val="22"/>
        </w:rPr>
        <w:t>Trade War Chicken: The Tariffs and the Damage Done</w:t>
      </w:r>
      <w:r>
        <w:rPr>
          <w:rFonts w:ascii="Georgia" w:hAnsi="Georgia"/>
          <w:color w:val="000000"/>
          <w:sz w:val="22"/>
          <w:szCs w:val="22"/>
        </w:rPr>
        <w:t>. Moody’s Analytics.</w:t>
      </w:r>
    </w:p>
    <w:p w14:paraId="2FE770D6"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Amiti, M., Hoon Kong, S., and Weinstein, D. (2020). </w:t>
      </w:r>
      <w:r>
        <w:rPr>
          <w:rFonts w:ascii="Georgia" w:hAnsi="Georgia"/>
          <w:i/>
          <w:iCs/>
          <w:color w:val="000000"/>
          <w:sz w:val="22"/>
          <w:szCs w:val="22"/>
        </w:rPr>
        <w:t>The Investment Cost of the U.S.-China Trade War</w:t>
      </w:r>
      <w:r>
        <w:rPr>
          <w:rFonts w:ascii="Georgia" w:hAnsi="Georgia"/>
          <w:color w:val="000000"/>
          <w:sz w:val="22"/>
          <w:szCs w:val="22"/>
        </w:rPr>
        <w:t>. Federal Reserve Bank of New York, Liberty Street Economics.</w:t>
      </w:r>
    </w:p>
    <w:p w14:paraId="5CE09F54" w14:textId="77777777" w:rsidR="00683459" w:rsidRDefault="00683459" w:rsidP="00683459">
      <w:pPr>
        <w:pStyle w:val="NormalWeb"/>
        <w:spacing w:before="0" w:beforeAutospacing="0" w:after="240" w:afterAutospacing="0" w:line="360" w:lineRule="auto"/>
        <w:ind w:left="720" w:hanging="720"/>
      </w:pPr>
      <w:proofErr w:type="spellStart"/>
      <w:r>
        <w:rPr>
          <w:rFonts w:ascii="Georgia" w:hAnsi="Georgia"/>
          <w:color w:val="000000"/>
          <w:sz w:val="22"/>
          <w:szCs w:val="22"/>
        </w:rPr>
        <w:t>Xijia</w:t>
      </w:r>
      <w:proofErr w:type="spellEnd"/>
      <w:r>
        <w:rPr>
          <w:rFonts w:ascii="Georgia" w:hAnsi="Georgia"/>
          <w:color w:val="000000"/>
          <w:sz w:val="22"/>
          <w:szCs w:val="22"/>
        </w:rPr>
        <w:t xml:space="preserve">, Q. (2024). </w:t>
      </w:r>
      <w:r>
        <w:rPr>
          <w:rFonts w:ascii="Georgia" w:hAnsi="Georgia"/>
          <w:i/>
          <w:iCs/>
          <w:color w:val="000000"/>
          <w:sz w:val="22"/>
          <w:szCs w:val="22"/>
        </w:rPr>
        <w:t>China opposes US abuse of national security as chip export restrictions extended</w:t>
      </w:r>
      <w:r>
        <w:rPr>
          <w:rFonts w:ascii="Georgia" w:hAnsi="Georgia"/>
          <w:color w:val="000000"/>
          <w:sz w:val="22"/>
          <w:szCs w:val="22"/>
        </w:rPr>
        <w:t>. Global Times.</w:t>
      </w:r>
    </w:p>
    <w:p w14:paraId="304D2E56" w14:textId="77777777" w:rsidR="00683459" w:rsidRDefault="00683459" w:rsidP="00683459">
      <w:pPr>
        <w:pStyle w:val="NormalWeb"/>
        <w:spacing w:before="0" w:beforeAutospacing="0" w:after="240" w:afterAutospacing="0" w:line="360" w:lineRule="auto"/>
      </w:pPr>
      <w:r>
        <w:rPr>
          <w:rFonts w:ascii="Georgia" w:hAnsi="Georgia"/>
          <w:color w:val="000000"/>
          <w:sz w:val="22"/>
          <w:szCs w:val="22"/>
        </w:rPr>
        <w:t xml:space="preserve">Picchi, A. (2019). </w:t>
      </w:r>
      <w:r>
        <w:rPr>
          <w:rFonts w:ascii="Georgia" w:hAnsi="Georgia"/>
          <w:i/>
          <w:iCs/>
          <w:color w:val="000000"/>
          <w:sz w:val="22"/>
          <w:szCs w:val="22"/>
        </w:rPr>
        <w:t>Trump boosting U.S. tariffs on $550 billion in Chinese imports</w:t>
      </w:r>
      <w:r>
        <w:rPr>
          <w:rFonts w:ascii="Georgia" w:hAnsi="Georgia"/>
          <w:color w:val="000000"/>
          <w:sz w:val="22"/>
          <w:szCs w:val="22"/>
        </w:rPr>
        <w:t>. CBS News.</w:t>
      </w:r>
    </w:p>
    <w:p w14:paraId="1BF76466" w14:textId="77777777" w:rsidR="00683459" w:rsidRDefault="00683459" w:rsidP="00683459">
      <w:pPr>
        <w:pStyle w:val="NormalWeb"/>
        <w:spacing w:before="0" w:beforeAutospacing="0" w:after="240" w:afterAutospacing="0" w:line="360" w:lineRule="auto"/>
      </w:pPr>
      <w:r>
        <w:rPr>
          <w:rFonts w:ascii="Georgia" w:hAnsi="Georgia"/>
          <w:color w:val="000000"/>
          <w:sz w:val="22"/>
          <w:szCs w:val="22"/>
        </w:rPr>
        <w:t xml:space="preserve">Milina, V. (2013). Energy Security: A Paradigm Shift. </w:t>
      </w:r>
      <w:r>
        <w:rPr>
          <w:rFonts w:ascii="Georgia" w:hAnsi="Georgia"/>
          <w:i/>
          <w:iCs/>
          <w:color w:val="000000"/>
          <w:sz w:val="22"/>
          <w:szCs w:val="22"/>
        </w:rPr>
        <w:t>Connections</w:t>
      </w:r>
      <w:r>
        <w:rPr>
          <w:rFonts w:ascii="Georgia" w:hAnsi="Georgia"/>
          <w:color w:val="000000"/>
          <w:sz w:val="22"/>
          <w:szCs w:val="22"/>
        </w:rPr>
        <w:t>, 12(4), 75–98.</w:t>
      </w:r>
    </w:p>
    <w:p w14:paraId="7CD357A5" w14:textId="77777777" w:rsidR="00683459" w:rsidRDefault="00683459" w:rsidP="00683459">
      <w:pPr>
        <w:pStyle w:val="NormalWeb"/>
        <w:spacing w:before="0" w:beforeAutospacing="0" w:after="240" w:afterAutospacing="0" w:line="360" w:lineRule="auto"/>
        <w:ind w:left="720" w:hanging="720"/>
      </w:pPr>
      <w:r>
        <w:rPr>
          <w:rFonts w:ascii="Georgia" w:hAnsi="Georgia"/>
          <w:i/>
          <w:iCs/>
          <w:color w:val="000000"/>
          <w:sz w:val="22"/>
          <w:szCs w:val="22"/>
        </w:rPr>
        <w:t>King Introduces Bipartisan Bill to Reduce Dependence on China for Key Minerals Used in Military Technology, Consumer Goods</w:t>
      </w:r>
      <w:r>
        <w:rPr>
          <w:rFonts w:ascii="Georgia" w:hAnsi="Georgia"/>
          <w:color w:val="000000"/>
          <w:sz w:val="22"/>
          <w:szCs w:val="22"/>
        </w:rPr>
        <w:t>. Senator Angus King Press Release. (2024).</w:t>
      </w:r>
    </w:p>
    <w:p w14:paraId="52D656CB" w14:textId="77777777" w:rsidR="00683459" w:rsidRDefault="00683459" w:rsidP="00683459">
      <w:pPr>
        <w:pStyle w:val="NormalWeb"/>
        <w:spacing w:before="0" w:beforeAutospacing="0" w:after="240" w:afterAutospacing="0" w:line="360" w:lineRule="auto"/>
      </w:pPr>
      <w:r>
        <w:rPr>
          <w:rFonts w:ascii="Georgia" w:hAnsi="Georgia"/>
          <w:color w:val="000000"/>
          <w:sz w:val="22"/>
          <w:szCs w:val="22"/>
        </w:rPr>
        <w:lastRenderedPageBreak/>
        <w:t xml:space="preserve">Meyer, R. (2022). </w:t>
      </w:r>
      <w:r>
        <w:rPr>
          <w:rFonts w:ascii="Georgia" w:hAnsi="Georgia"/>
          <w:i/>
          <w:iCs/>
          <w:color w:val="000000"/>
          <w:sz w:val="22"/>
          <w:szCs w:val="22"/>
        </w:rPr>
        <w:t>Not Even a Single Republican Voted for the Climate Bill</w:t>
      </w:r>
      <w:r>
        <w:rPr>
          <w:rFonts w:ascii="Georgia" w:hAnsi="Georgia"/>
          <w:color w:val="000000"/>
          <w:sz w:val="22"/>
          <w:szCs w:val="22"/>
        </w:rPr>
        <w:t>. The Atlantic.</w:t>
      </w:r>
    </w:p>
    <w:p w14:paraId="03CC7B59"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Chair Rodgers and staff. (2023). </w:t>
      </w:r>
      <w:r>
        <w:rPr>
          <w:rFonts w:ascii="Georgia" w:hAnsi="Georgia"/>
          <w:i/>
          <w:iCs/>
          <w:color w:val="000000"/>
          <w:sz w:val="22"/>
          <w:szCs w:val="22"/>
        </w:rPr>
        <w:t>One Year Later, Even President Biden Admits the “Inflation Reduction Act” Failed to Lower Costs for Americans</w:t>
      </w:r>
      <w:r>
        <w:rPr>
          <w:rFonts w:ascii="Georgia" w:hAnsi="Georgia"/>
          <w:color w:val="000000"/>
          <w:sz w:val="22"/>
          <w:szCs w:val="22"/>
        </w:rPr>
        <w:t>. The Committee on Energy and Commerce.</w:t>
      </w:r>
    </w:p>
    <w:p w14:paraId="56A4B164"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Gerstle, G. (2022). </w:t>
      </w:r>
      <w:r>
        <w:rPr>
          <w:rFonts w:ascii="Georgia" w:hAnsi="Georgia"/>
          <w:i/>
          <w:iCs/>
          <w:color w:val="000000"/>
          <w:sz w:val="22"/>
          <w:szCs w:val="22"/>
        </w:rPr>
        <w:t>The Rise and Fall of the Neoliberal Order: America and the World in the Free Market Era</w:t>
      </w:r>
      <w:r>
        <w:rPr>
          <w:rFonts w:ascii="Georgia" w:hAnsi="Georgia"/>
          <w:color w:val="000000"/>
          <w:sz w:val="22"/>
          <w:szCs w:val="22"/>
        </w:rPr>
        <w:t>. Oxford University Press.</w:t>
      </w:r>
    </w:p>
    <w:p w14:paraId="07361BAE" w14:textId="77777777" w:rsidR="00683459" w:rsidRDefault="00683459" w:rsidP="00683459">
      <w:pPr>
        <w:pStyle w:val="NormalWeb"/>
        <w:spacing w:before="0" w:beforeAutospacing="0" w:after="240" w:afterAutospacing="0" w:line="360" w:lineRule="auto"/>
        <w:ind w:left="720" w:hanging="720"/>
      </w:pPr>
      <w:r>
        <w:rPr>
          <w:rFonts w:ascii="Georgia" w:hAnsi="Georgia"/>
          <w:i/>
          <w:iCs/>
          <w:color w:val="000000"/>
          <w:sz w:val="22"/>
          <w:szCs w:val="22"/>
        </w:rPr>
        <w:t>President Donald J. Trump's Foreign Policy Puts America First</w:t>
      </w:r>
      <w:r>
        <w:rPr>
          <w:rFonts w:ascii="Georgia" w:hAnsi="Georgia"/>
          <w:color w:val="000000"/>
          <w:sz w:val="22"/>
          <w:szCs w:val="22"/>
        </w:rPr>
        <w:t>. Trump White House Archives. (2018).</w:t>
      </w:r>
    </w:p>
    <w:p w14:paraId="41D0873A" w14:textId="77777777" w:rsidR="00683459" w:rsidRDefault="00683459" w:rsidP="00683459">
      <w:pPr>
        <w:pStyle w:val="NormalWeb"/>
        <w:spacing w:before="0" w:beforeAutospacing="0" w:after="240" w:afterAutospacing="0" w:line="360" w:lineRule="auto"/>
        <w:ind w:left="720" w:hanging="720"/>
      </w:pPr>
      <w:r>
        <w:rPr>
          <w:rFonts w:ascii="Georgia" w:hAnsi="Georgia"/>
          <w:i/>
          <w:iCs/>
          <w:color w:val="000000"/>
          <w:sz w:val="22"/>
          <w:szCs w:val="22"/>
        </w:rPr>
        <w:t>Bidenomics Is Working: The President’s Plan Grows the Economy from the Middle Out and Bottom Up—Not the Top Down</w:t>
      </w:r>
      <w:r>
        <w:rPr>
          <w:rFonts w:ascii="Georgia" w:hAnsi="Georgia"/>
          <w:color w:val="000000"/>
          <w:sz w:val="22"/>
          <w:szCs w:val="22"/>
        </w:rPr>
        <w:t>. White House Briefing Room. (2023).</w:t>
      </w:r>
    </w:p>
    <w:p w14:paraId="77E08B91" w14:textId="77777777" w:rsidR="00683459" w:rsidRDefault="00683459" w:rsidP="00683459">
      <w:pPr>
        <w:pStyle w:val="NormalWeb"/>
        <w:spacing w:before="0" w:beforeAutospacing="0" w:after="240" w:afterAutospacing="0" w:line="360" w:lineRule="auto"/>
      </w:pPr>
      <w:r>
        <w:rPr>
          <w:rFonts w:ascii="Georgia" w:hAnsi="Georgia"/>
          <w:i/>
          <w:iCs/>
          <w:color w:val="000000"/>
          <w:sz w:val="22"/>
          <w:szCs w:val="22"/>
        </w:rPr>
        <w:t>GDP (current US$) - China</w:t>
      </w:r>
      <w:r>
        <w:rPr>
          <w:rFonts w:ascii="Georgia" w:hAnsi="Georgia"/>
          <w:color w:val="000000"/>
          <w:sz w:val="22"/>
          <w:szCs w:val="22"/>
        </w:rPr>
        <w:t>. The World Bank. (n.d.)</w:t>
      </w:r>
    </w:p>
    <w:p w14:paraId="7C572F29" w14:textId="77777777" w:rsidR="00683459" w:rsidRDefault="00683459" w:rsidP="00683459">
      <w:pPr>
        <w:pStyle w:val="NormalWeb"/>
        <w:spacing w:before="0" w:beforeAutospacing="0" w:after="240" w:afterAutospacing="0" w:line="360" w:lineRule="auto"/>
        <w:ind w:left="720" w:hanging="720"/>
      </w:pPr>
      <w:r>
        <w:rPr>
          <w:rFonts w:ascii="Georgia" w:hAnsi="Georgia"/>
          <w:i/>
          <w:iCs/>
          <w:color w:val="000000"/>
          <w:sz w:val="22"/>
          <w:szCs w:val="22"/>
        </w:rPr>
        <w:t>Notice of Final Determination on 2023 DOE Critical Materials List</w:t>
      </w:r>
      <w:r>
        <w:rPr>
          <w:rFonts w:ascii="Georgia" w:hAnsi="Georgia"/>
          <w:color w:val="000000"/>
          <w:sz w:val="22"/>
          <w:szCs w:val="22"/>
        </w:rPr>
        <w:t>. US Department of Energy. (2023).</w:t>
      </w:r>
    </w:p>
    <w:p w14:paraId="37B930E8" w14:textId="77777777" w:rsidR="00683459" w:rsidRDefault="00683459" w:rsidP="00683459">
      <w:pPr>
        <w:pStyle w:val="NormalWeb"/>
        <w:spacing w:before="0" w:beforeAutospacing="0" w:after="240" w:afterAutospacing="0" w:line="360" w:lineRule="auto"/>
      </w:pPr>
      <w:r>
        <w:rPr>
          <w:rFonts w:ascii="Georgia" w:hAnsi="Georgia"/>
          <w:i/>
          <w:iCs/>
          <w:color w:val="000000"/>
          <w:sz w:val="22"/>
          <w:szCs w:val="22"/>
        </w:rPr>
        <w:t>Responsible Minerals Trade</w:t>
      </w:r>
      <w:r>
        <w:rPr>
          <w:rFonts w:ascii="Georgia" w:hAnsi="Georgia"/>
          <w:color w:val="000000"/>
          <w:sz w:val="22"/>
          <w:szCs w:val="22"/>
        </w:rPr>
        <w:t>. United States Agency for International Development. (n.d.).</w:t>
      </w:r>
    </w:p>
    <w:p w14:paraId="5695F53E"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Clemons, S. (2023).</w:t>
      </w:r>
      <w:r>
        <w:rPr>
          <w:rFonts w:ascii="Georgia" w:hAnsi="Georgia"/>
          <w:i/>
          <w:iCs/>
          <w:color w:val="000000"/>
          <w:sz w:val="22"/>
          <w:szCs w:val="22"/>
        </w:rPr>
        <w:t xml:space="preserve"> Recorded Interview: Is it time for a 'reset' of the US strategy in Africa</w:t>
      </w:r>
      <w:r>
        <w:rPr>
          <w:rFonts w:ascii="Georgia" w:hAnsi="Georgia"/>
          <w:color w:val="000000"/>
          <w:sz w:val="22"/>
          <w:szCs w:val="22"/>
        </w:rPr>
        <w:t>. Al-Jazeera, The Bottom Line.</w:t>
      </w:r>
    </w:p>
    <w:p w14:paraId="51EE37DE" w14:textId="77777777" w:rsidR="00683459" w:rsidRDefault="00683459" w:rsidP="00683459">
      <w:pPr>
        <w:pStyle w:val="NormalWeb"/>
        <w:spacing w:before="0" w:beforeAutospacing="0" w:after="240" w:afterAutospacing="0" w:line="360" w:lineRule="auto"/>
        <w:ind w:left="720" w:hanging="720"/>
      </w:pPr>
      <w:r>
        <w:rPr>
          <w:rFonts w:ascii="Georgia" w:hAnsi="Georgia"/>
          <w:i/>
          <w:iCs/>
          <w:color w:val="000000"/>
          <w:sz w:val="22"/>
          <w:szCs w:val="22"/>
        </w:rPr>
        <w:t>United States to Provide $2 Billion in Humanitarian Assistance for the People of Africa</w:t>
      </w:r>
      <w:r>
        <w:rPr>
          <w:rFonts w:ascii="Georgia" w:hAnsi="Georgia"/>
          <w:color w:val="000000"/>
          <w:sz w:val="22"/>
          <w:szCs w:val="22"/>
        </w:rPr>
        <w:t>. United States Agency for International Development. (2022).</w:t>
      </w:r>
    </w:p>
    <w:p w14:paraId="3AE23284"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Ip, C. (2024). </w:t>
      </w:r>
      <w:r>
        <w:rPr>
          <w:rFonts w:ascii="Georgia" w:hAnsi="Georgia"/>
          <w:i/>
          <w:iCs/>
          <w:color w:val="000000"/>
          <w:sz w:val="22"/>
          <w:szCs w:val="22"/>
        </w:rPr>
        <w:t>China stands ‘shoulder to shoulder’ with Africa and supports its chosen development path: Wang Yi</w:t>
      </w:r>
      <w:r>
        <w:rPr>
          <w:rFonts w:ascii="Georgia" w:hAnsi="Georgia"/>
          <w:color w:val="000000"/>
          <w:sz w:val="22"/>
          <w:szCs w:val="22"/>
        </w:rPr>
        <w:t>. South China Morning Post.</w:t>
      </w:r>
    </w:p>
    <w:p w14:paraId="12B8B6E4" w14:textId="77777777" w:rsidR="00683459" w:rsidRDefault="00683459" w:rsidP="00683459">
      <w:pPr>
        <w:pStyle w:val="NormalWeb"/>
        <w:spacing w:before="0" w:beforeAutospacing="0" w:after="240" w:afterAutospacing="0" w:line="360" w:lineRule="auto"/>
        <w:ind w:left="720" w:hanging="720"/>
      </w:pPr>
      <w:r>
        <w:rPr>
          <w:rFonts w:ascii="Georgia" w:hAnsi="Georgia"/>
          <w:i/>
          <w:iCs/>
          <w:color w:val="000000"/>
          <w:sz w:val="22"/>
          <w:szCs w:val="22"/>
        </w:rPr>
        <w:t xml:space="preserve">Public-private partnerships </w:t>
      </w:r>
      <w:proofErr w:type="gramStart"/>
      <w:r>
        <w:rPr>
          <w:rFonts w:ascii="Georgia" w:hAnsi="Georgia"/>
          <w:i/>
          <w:iCs/>
          <w:color w:val="000000"/>
          <w:sz w:val="22"/>
          <w:szCs w:val="22"/>
        </w:rPr>
        <w:t>needed</w:t>
      </w:r>
      <w:proofErr w:type="gramEnd"/>
      <w:r>
        <w:rPr>
          <w:rFonts w:ascii="Georgia" w:hAnsi="Georgia"/>
          <w:i/>
          <w:iCs/>
          <w:color w:val="000000"/>
          <w:sz w:val="22"/>
          <w:szCs w:val="22"/>
        </w:rPr>
        <w:t xml:space="preserve"> to bridge Africa’s infrastructure development gap</w:t>
      </w:r>
      <w:r>
        <w:rPr>
          <w:rFonts w:ascii="Georgia" w:hAnsi="Georgia"/>
          <w:color w:val="000000"/>
          <w:sz w:val="22"/>
          <w:szCs w:val="22"/>
        </w:rPr>
        <w:t>. African Development Bank. (2023).</w:t>
      </w:r>
    </w:p>
    <w:p w14:paraId="534D0080"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Shalal, A., </w:t>
      </w:r>
      <w:proofErr w:type="spellStart"/>
      <w:r>
        <w:rPr>
          <w:rFonts w:ascii="Georgia" w:hAnsi="Georgia"/>
          <w:color w:val="000000"/>
          <w:sz w:val="22"/>
          <w:szCs w:val="22"/>
        </w:rPr>
        <w:t>Psaledakis</w:t>
      </w:r>
      <w:proofErr w:type="spellEnd"/>
      <w:r>
        <w:rPr>
          <w:rFonts w:ascii="Georgia" w:hAnsi="Georgia"/>
          <w:color w:val="000000"/>
          <w:sz w:val="22"/>
          <w:szCs w:val="22"/>
        </w:rPr>
        <w:t xml:space="preserve">, D., and Martina, M. (2022). </w:t>
      </w:r>
      <w:r>
        <w:rPr>
          <w:rFonts w:ascii="Georgia" w:hAnsi="Georgia"/>
          <w:i/>
          <w:iCs/>
          <w:color w:val="000000"/>
          <w:sz w:val="22"/>
          <w:szCs w:val="22"/>
        </w:rPr>
        <w:t>Biden says U.S. is 'all in' on Africa's future</w:t>
      </w:r>
      <w:r>
        <w:rPr>
          <w:rFonts w:ascii="Georgia" w:hAnsi="Georgia"/>
          <w:color w:val="000000"/>
          <w:sz w:val="22"/>
          <w:szCs w:val="22"/>
        </w:rPr>
        <w:t>. Reuters.</w:t>
      </w:r>
    </w:p>
    <w:p w14:paraId="4C1906C4" w14:textId="77777777" w:rsidR="00683459" w:rsidRDefault="00683459" w:rsidP="00683459">
      <w:pPr>
        <w:pStyle w:val="NormalWeb"/>
        <w:spacing w:before="0" w:beforeAutospacing="0" w:after="240" w:afterAutospacing="0" w:line="360" w:lineRule="auto"/>
        <w:ind w:left="720" w:hanging="720"/>
      </w:pPr>
      <w:r>
        <w:rPr>
          <w:rFonts w:ascii="Georgia" w:hAnsi="Georgia"/>
          <w:i/>
          <w:iCs/>
          <w:color w:val="000000"/>
          <w:sz w:val="22"/>
          <w:szCs w:val="22"/>
        </w:rPr>
        <w:t xml:space="preserve">Fact Sheet: Accelerating the U.S. – Africa Partnership After the 2022 U.S.-Africa </w:t>
      </w:r>
      <w:proofErr w:type="spellStart"/>
      <w:r>
        <w:rPr>
          <w:rFonts w:ascii="Georgia" w:hAnsi="Georgia"/>
          <w:i/>
          <w:iCs/>
          <w:color w:val="000000"/>
          <w:sz w:val="22"/>
          <w:szCs w:val="22"/>
        </w:rPr>
        <w:t>Leaders</w:t>
      </w:r>
      <w:proofErr w:type="spellEnd"/>
      <w:r>
        <w:rPr>
          <w:rFonts w:ascii="Georgia" w:hAnsi="Georgia"/>
          <w:i/>
          <w:iCs/>
          <w:color w:val="000000"/>
          <w:sz w:val="22"/>
          <w:szCs w:val="22"/>
        </w:rPr>
        <w:t xml:space="preserve"> Summit</w:t>
      </w:r>
      <w:r>
        <w:rPr>
          <w:rFonts w:ascii="Georgia" w:hAnsi="Georgia"/>
          <w:color w:val="000000"/>
          <w:sz w:val="22"/>
          <w:szCs w:val="22"/>
        </w:rPr>
        <w:t>. White House Briefing Room. (2023).</w:t>
      </w:r>
    </w:p>
    <w:p w14:paraId="772565FD"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lastRenderedPageBreak/>
        <w:t xml:space="preserve">US Department of State. (2024). </w:t>
      </w:r>
      <w:r>
        <w:rPr>
          <w:rFonts w:ascii="Georgia" w:hAnsi="Georgia"/>
          <w:i/>
          <w:iCs/>
          <w:color w:val="000000"/>
          <w:sz w:val="22"/>
          <w:szCs w:val="22"/>
        </w:rPr>
        <w:t>The Minerals Security Partnership Announces Collaboration between GECAMINES and JOGMEC</w:t>
      </w:r>
      <w:r>
        <w:rPr>
          <w:rFonts w:ascii="Georgia" w:hAnsi="Georgia"/>
          <w:color w:val="000000"/>
          <w:sz w:val="22"/>
          <w:szCs w:val="22"/>
        </w:rPr>
        <w:t>. Office of the Spokesperson.</w:t>
      </w:r>
    </w:p>
    <w:p w14:paraId="70C6A47A"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Appiah-Nyamekye Sanny, J. and Selormey, E. (2021). </w:t>
      </w:r>
      <w:r>
        <w:rPr>
          <w:rFonts w:ascii="Georgia" w:hAnsi="Georgia"/>
          <w:i/>
          <w:iCs/>
          <w:color w:val="000000"/>
          <w:sz w:val="22"/>
          <w:szCs w:val="22"/>
        </w:rPr>
        <w:t>Africans welcome China's influence but maintain democratic aspirations</w:t>
      </w:r>
      <w:r>
        <w:rPr>
          <w:rFonts w:ascii="Georgia" w:hAnsi="Georgia"/>
          <w:color w:val="000000"/>
          <w:sz w:val="22"/>
          <w:szCs w:val="22"/>
        </w:rPr>
        <w:t>. Afrobarometer.</w:t>
      </w:r>
    </w:p>
    <w:p w14:paraId="0FA0C90B" w14:textId="77777777" w:rsidR="00683459" w:rsidRDefault="00683459" w:rsidP="00683459">
      <w:pPr>
        <w:pStyle w:val="NormalWeb"/>
        <w:spacing w:before="0" w:beforeAutospacing="0" w:after="240" w:afterAutospacing="0" w:line="360" w:lineRule="auto"/>
        <w:ind w:left="720" w:hanging="720"/>
      </w:pPr>
      <w:r>
        <w:rPr>
          <w:rFonts w:ascii="Georgia" w:hAnsi="Georgia"/>
          <w:color w:val="000000"/>
          <w:sz w:val="22"/>
          <w:szCs w:val="22"/>
        </w:rPr>
        <w:t xml:space="preserve">Kasongo, A. A. (2024). </w:t>
      </w:r>
      <w:r>
        <w:rPr>
          <w:rFonts w:ascii="Georgia" w:hAnsi="Georgia"/>
          <w:i/>
          <w:iCs/>
          <w:color w:val="000000"/>
          <w:sz w:val="22"/>
          <w:szCs w:val="22"/>
        </w:rPr>
        <w:t>Congo protesters burn US and Belgian flags, target Western embassies</w:t>
      </w:r>
      <w:r>
        <w:rPr>
          <w:rFonts w:ascii="Georgia" w:hAnsi="Georgia"/>
          <w:color w:val="000000"/>
          <w:sz w:val="22"/>
          <w:szCs w:val="22"/>
        </w:rPr>
        <w:t>. Reuters.</w:t>
      </w:r>
    </w:p>
    <w:p w14:paraId="264D740E" w14:textId="77777777" w:rsidR="00683459" w:rsidRDefault="00683459" w:rsidP="00683459">
      <w:pPr>
        <w:pStyle w:val="NormalWeb"/>
        <w:spacing w:before="0" w:beforeAutospacing="0" w:after="240" w:afterAutospacing="0" w:line="360" w:lineRule="auto"/>
      </w:pPr>
      <w:r>
        <w:rPr>
          <w:rFonts w:ascii="Georgia" w:hAnsi="Georgia"/>
          <w:i/>
          <w:iCs/>
          <w:color w:val="000000"/>
          <w:sz w:val="22"/>
          <w:szCs w:val="22"/>
        </w:rPr>
        <w:t>Cobalt DRC Case</w:t>
      </w:r>
      <w:r>
        <w:rPr>
          <w:rFonts w:ascii="Georgia" w:hAnsi="Georgia"/>
          <w:color w:val="000000"/>
          <w:sz w:val="22"/>
          <w:szCs w:val="22"/>
        </w:rPr>
        <w:t>. International Rights Advocates. (2019).</w:t>
      </w:r>
    </w:p>
    <w:p w14:paraId="605927FE" w14:textId="77777777" w:rsidR="007917E8" w:rsidRPr="007917E8" w:rsidRDefault="007917E8" w:rsidP="007917E8">
      <w:pPr>
        <w:spacing w:line="480" w:lineRule="auto"/>
        <w:rPr>
          <w:rFonts w:ascii="Georgia" w:hAnsi="Georgia"/>
        </w:rPr>
      </w:pPr>
    </w:p>
    <w:sectPr w:rsidR="007917E8" w:rsidRPr="007917E8" w:rsidSect="00E103FB">
      <w:headerReference w:type="default" r:id="rId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0D4EF64" w14:textId="77777777" w:rsidR="001F541A" w:rsidRDefault="001F541A" w:rsidP="00FA3978">
      <w:pPr>
        <w:spacing w:after="0" w:line="240" w:lineRule="auto"/>
      </w:pPr>
      <w:r>
        <w:separator/>
      </w:r>
    </w:p>
  </w:endnote>
  <w:endnote w:type="continuationSeparator" w:id="0">
    <w:p w14:paraId="5CDCAA3F" w14:textId="77777777" w:rsidR="001F541A" w:rsidRDefault="001F541A" w:rsidP="00FA39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F6527D8" w14:textId="77777777" w:rsidR="001F541A" w:rsidRDefault="001F541A" w:rsidP="00FA3978">
      <w:pPr>
        <w:spacing w:after="0" w:line="240" w:lineRule="auto"/>
      </w:pPr>
      <w:r>
        <w:separator/>
      </w:r>
    </w:p>
  </w:footnote>
  <w:footnote w:type="continuationSeparator" w:id="0">
    <w:p w14:paraId="195B156F" w14:textId="77777777" w:rsidR="001F541A" w:rsidRDefault="001F541A" w:rsidP="00FA3978">
      <w:pPr>
        <w:spacing w:after="0" w:line="240" w:lineRule="auto"/>
      </w:pPr>
      <w:r>
        <w:continuationSeparator/>
      </w:r>
    </w:p>
  </w:footnote>
  <w:footnote w:id="1">
    <w:p w14:paraId="37C4A1C8" w14:textId="0AFFEBFD" w:rsidR="00FA3978" w:rsidRDefault="00FA3978" w:rsidP="00FA3978">
      <w:pPr>
        <w:pStyle w:val="FootnoteText"/>
      </w:pPr>
      <w:bookmarkStart w:id="0" w:name="_Hlk166499594"/>
      <w:r>
        <w:rPr>
          <w:rStyle w:val="FootnoteReference"/>
        </w:rPr>
        <w:footnoteRef/>
      </w:r>
      <w:r>
        <w:t xml:space="preserve"> </w:t>
      </w:r>
      <w:r w:rsidR="00D858B7" w:rsidRPr="00D858B7">
        <w:t xml:space="preserve">University of Michigan. (2023). </w:t>
      </w:r>
      <w:r w:rsidR="00D858B7" w:rsidRPr="00142FD2">
        <w:rPr>
          <w:i/>
          <w:iCs/>
        </w:rPr>
        <w:t>U.S. Energy System Factsheet</w:t>
      </w:r>
      <w:r w:rsidR="00D858B7" w:rsidRPr="00D858B7">
        <w:t>. Center for Sustainable Development.</w:t>
      </w:r>
    </w:p>
  </w:footnote>
  <w:footnote w:id="2">
    <w:p w14:paraId="0D7F4A67" w14:textId="4FE710CC" w:rsidR="00FA3978" w:rsidRDefault="00FA3978" w:rsidP="00FA3978">
      <w:pPr>
        <w:pStyle w:val="FootnoteText"/>
      </w:pPr>
      <w:r>
        <w:rPr>
          <w:rStyle w:val="FootnoteReference"/>
        </w:rPr>
        <w:footnoteRef/>
      </w:r>
      <w:r>
        <w:t xml:space="preserve"> </w:t>
      </w:r>
      <w:r w:rsidR="00D858B7">
        <w:t>University of Michigan, Ibid.</w:t>
      </w:r>
    </w:p>
  </w:footnote>
  <w:footnote w:id="3">
    <w:p w14:paraId="6756159A" w14:textId="24DCD29A" w:rsidR="00FA3978" w:rsidRDefault="00FA3978" w:rsidP="00FA3978">
      <w:pPr>
        <w:pStyle w:val="FootnoteText"/>
      </w:pPr>
      <w:r>
        <w:rPr>
          <w:rStyle w:val="FootnoteReference"/>
        </w:rPr>
        <w:footnoteRef/>
      </w:r>
      <w:r>
        <w:t xml:space="preserve"> </w:t>
      </w:r>
      <w:r w:rsidR="00D858B7" w:rsidRPr="00142FD2">
        <w:rPr>
          <w:i/>
          <w:iCs/>
        </w:rPr>
        <w:t>Is Lithium-ion the Ideal Battery?</w:t>
      </w:r>
      <w:r w:rsidR="00D858B7" w:rsidRPr="00D858B7">
        <w:t>. Battery University. (2022, May 10).</w:t>
      </w:r>
    </w:p>
  </w:footnote>
  <w:footnote w:id="4">
    <w:p w14:paraId="6C879A05" w14:textId="30B0C0B9" w:rsidR="00FA3978" w:rsidRDefault="00FA3978" w:rsidP="00FA3978">
      <w:pPr>
        <w:pStyle w:val="FootnoteText"/>
      </w:pPr>
      <w:r>
        <w:rPr>
          <w:rStyle w:val="FootnoteReference"/>
        </w:rPr>
        <w:footnoteRef/>
      </w:r>
      <w:r>
        <w:t xml:space="preserve"> </w:t>
      </w:r>
      <w:r w:rsidR="00142FD2" w:rsidRPr="00406892">
        <w:rPr>
          <w:i/>
          <w:iCs/>
        </w:rPr>
        <w:t>Sources of Greenhouse Gas Emissions</w:t>
      </w:r>
      <w:r w:rsidR="00142FD2" w:rsidRPr="00142FD2">
        <w:t>. United States Environmental Protection Agency (EPA). (2024, April).</w:t>
      </w:r>
    </w:p>
  </w:footnote>
  <w:footnote w:id="5">
    <w:p w14:paraId="294CCF68" w14:textId="55BD2233" w:rsidR="00104535" w:rsidRDefault="00104535">
      <w:pPr>
        <w:pStyle w:val="FootnoteText"/>
      </w:pPr>
      <w:r>
        <w:rPr>
          <w:rStyle w:val="FootnoteReference"/>
        </w:rPr>
        <w:footnoteRef/>
      </w:r>
      <w:r>
        <w:t xml:space="preserve"> Waltz K. N. (1979). </w:t>
      </w:r>
      <w:r>
        <w:rPr>
          <w:i/>
          <w:iCs/>
        </w:rPr>
        <w:t>Theory of international politics</w:t>
      </w:r>
      <w:r>
        <w:t>. Addison-Wesley Pub.</w:t>
      </w:r>
    </w:p>
  </w:footnote>
  <w:footnote w:id="6">
    <w:p w14:paraId="50D9DD4A" w14:textId="6F3866C7" w:rsidR="00104535" w:rsidRPr="00104535" w:rsidRDefault="00104535">
      <w:pPr>
        <w:pStyle w:val="FootnoteText"/>
      </w:pPr>
      <w:r>
        <w:rPr>
          <w:rStyle w:val="FootnoteReference"/>
        </w:rPr>
        <w:footnoteRef/>
      </w:r>
      <w:r w:rsidRPr="00104535">
        <w:t xml:space="preserve"> Nye, J. (200</w:t>
      </w:r>
      <w:r>
        <w:t>9</w:t>
      </w:r>
      <w:r w:rsidRPr="00104535">
        <w:t xml:space="preserve">). </w:t>
      </w:r>
      <w:r w:rsidRPr="00104535">
        <w:rPr>
          <w:i/>
          <w:iCs/>
        </w:rPr>
        <w:t>Soft Power: Th</w:t>
      </w:r>
      <w:r>
        <w:rPr>
          <w:i/>
          <w:iCs/>
        </w:rPr>
        <w:t>e Means of Success in World Politics</w:t>
      </w:r>
      <w:r>
        <w:t xml:space="preserve">. </w:t>
      </w:r>
      <w:proofErr w:type="spellStart"/>
      <w:r>
        <w:t>PublicAffairs</w:t>
      </w:r>
      <w:proofErr w:type="spellEnd"/>
      <w:r>
        <w:t>.</w:t>
      </w:r>
    </w:p>
  </w:footnote>
  <w:footnote w:id="7">
    <w:p w14:paraId="63A44E93" w14:textId="4FD791D0" w:rsidR="00104535" w:rsidRPr="00104535" w:rsidRDefault="00104535">
      <w:pPr>
        <w:pStyle w:val="FootnoteText"/>
      </w:pPr>
      <w:r>
        <w:rPr>
          <w:rStyle w:val="FootnoteReference"/>
        </w:rPr>
        <w:footnoteRef/>
      </w:r>
      <w:r>
        <w:t xml:space="preserve"> </w:t>
      </w:r>
      <w:proofErr w:type="spellStart"/>
      <w:r>
        <w:t>Ajl</w:t>
      </w:r>
      <w:proofErr w:type="spellEnd"/>
      <w:r>
        <w:t>, M. (2023).</w:t>
      </w:r>
      <w:r w:rsidRPr="00104535">
        <w:t xml:space="preserve"> </w:t>
      </w:r>
      <w:r w:rsidRPr="00142FD2">
        <w:t>Theories of Political Ecology: Monopoly Capital Against People and the Planet</w:t>
      </w:r>
      <w:r>
        <w:t xml:space="preserve">. </w:t>
      </w:r>
      <w:r>
        <w:rPr>
          <w:i/>
          <w:iCs/>
        </w:rPr>
        <w:t>Agrarian South: Journal of Political Economy</w:t>
      </w:r>
      <w:r>
        <w:t xml:space="preserve">, </w:t>
      </w:r>
      <w:r>
        <w:rPr>
          <w:i/>
          <w:iCs/>
        </w:rPr>
        <w:t>12</w:t>
      </w:r>
      <w:r>
        <w:t xml:space="preserve">(1), 12-50. </w:t>
      </w:r>
    </w:p>
  </w:footnote>
  <w:footnote w:id="8">
    <w:p w14:paraId="18BEC31D" w14:textId="77777777" w:rsidR="00404551" w:rsidRDefault="00404551" w:rsidP="00404551">
      <w:pPr>
        <w:pStyle w:val="FootnoteText"/>
      </w:pPr>
      <w:r>
        <w:rPr>
          <w:rStyle w:val="FootnoteReference"/>
        </w:rPr>
        <w:footnoteRef/>
      </w:r>
      <w:r w:rsidRPr="00104535">
        <w:t xml:space="preserve"> Klinger, J. M. (2017). </w:t>
      </w:r>
      <w:r>
        <w:t xml:space="preserve">RUDE AWAKENINGS. In </w:t>
      </w:r>
      <w:r>
        <w:rPr>
          <w:i/>
          <w:iCs/>
        </w:rPr>
        <w:t>Rare Earth Frontiers: From Terrestrial Subsoils to Lunar Landscapes</w:t>
      </w:r>
      <w:r>
        <w:t xml:space="preserve"> (pp. 137–164). Cornell University Press.</w:t>
      </w:r>
    </w:p>
  </w:footnote>
  <w:footnote w:id="9">
    <w:p w14:paraId="2AEB4A6C" w14:textId="70EF3D62" w:rsidR="00104535" w:rsidRPr="00104535" w:rsidRDefault="00104535">
      <w:pPr>
        <w:pStyle w:val="FootnoteText"/>
      </w:pPr>
      <w:r>
        <w:rPr>
          <w:rStyle w:val="FootnoteReference"/>
        </w:rPr>
        <w:footnoteRef/>
      </w:r>
      <w:r w:rsidRPr="00713AF3">
        <w:t xml:space="preserve"> Scheer, H. (2006). </w:t>
      </w:r>
      <w:r w:rsidRPr="00104535">
        <w:rPr>
          <w:i/>
          <w:iCs/>
        </w:rPr>
        <w:t>Energy Autonomy: The Economic, S</w:t>
      </w:r>
      <w:r>
        <w:rPr>
          <w:i/>
          <w:iCs/>
        </w:rPr>
        <w:t>ocial &amp; Technological Case for Renewable Energy</w:t>
      </w:r>
      <w:r>
        <w:t xml:space="preserve">. Routledge. </w:t>
      </w:r>
    </w:p>
  </w:footnote>
  <w:footnote w:id="10">
    <w:p w14:paraId="5F170860" w14:textId="09901ACC" w:rsidR="00104535" w:rsidRDefault="00104535">
      <w:pPr>
        <w:pStyle w:val="FootnoteText"/>
      </w:pPr>
      <w:r>
        <w:rPr>
          <w:rStyle w:val="FootnoteReference"/>
        </w:rPr>
        <w:footnoteRef/>
      </w:r>
      <w:r>
        <w:t xml:space="preserve"> Hu, W. (2020). </w:t>
      </w:r>
      <w:r w:rsidRPr="00142FD2">
        <w:t>The United States, China, and the Indo-Pacific Strategy: The Rise and Return of Strategic Competition</w:t>
      </w:r>
      <w:r>
        <w:t xml:space="preserve">. </w:t>
      </w:r>
      <w:r>
        <w:rPr>
          <w:i/>
          <w:iCs/>
        </w:rPr>
        <w:t>China Review</w:t>
      </w:r>
      <w:r>
        <w:t xml:space="preserve">, </w:t>
      </w:r>
      <w:r>
        <w:rPr>
          <w:i/>
          <w:iCs/>
        </w:rPr>
        <w:t>20</w:t>
      </w:r>
      <w:r>
        <w:t xml:space="preserve">(3), 127–142. </w:t>
      </w:r>
    </w:p>
  </w:footnote>
  <w:footnote w:id="11">
    <w:p w14:paraId="64B08CE6" w14:textId="6E4D116B" w:rsidR="00104535" w:rsidRDefault="00104535">
      <w:pPr>
        <w:pStyle w:val="FootnoteText"/>
      </w:pPr>
      <w:r>
        <w:rPr>
          <w:rStyle w:val="FootnoteReference"/>
        </w:rPr>
        <w:footnoteRef/>
      </w:r>
      <w:r>
        <w:t xml:space="preserve"> </w:t>
      </w:r>
      <w:r w:rsidR="00142FD2" w:rsidRPr="00142FD2">
        <w:rPr>
          <w:rFonts w:ascii="Aptos" w:hAnsi="Aptos" w:cs="Arial"/>
          <w:color w:val="000000"/>
        </w:rPr>
        <w:t>U</w:t>
      </w:r>
      <w:r w:rsidR="00142FD2">
        <w:rPr>
          <w:rFonts w:ascii="Aptos" w:hAnsi="Aptos" w:cs="Arial"/>
          <w:color w:val="000000"/>
        </w:rPr>
        <w:t>mbach</w:t>
      </w:r>
      <w:r w:rsidR="00142FD2" w:rsidRPr="00142FD2">
        <w:rPr>
          <w:rFonts w:ascii="Aptos" w:hAnsi="Aptos" w:cs="Arial"/>
          <w:color w:val="000000"/>
        </w:rPr>
        <w:t xml:space="preserve">, F. (2020). </w:t>
      </w:r>
      <w:r w:rsidR="00142FD2" w:rsidRPr="00406892">
        <w:rPr>
          <w:rFonts w:ascii="Aptos" w:hAnsi="Aptos" w:cs="Arial"/>
          <w:i/>
          <w:iCs/>
          <w:color w:val="000000"/>
        </w:rPr>
        <w:t>New “Rare metal age”: New challenges and implications of critical raw materials supply security in the 21st Century</w:t>
      </w:r>
      <w:r w:rsidR="00142FD2" w:rsidRPr="00142FD2">
        <w:rPr>
          <w:rFonts w:ascii="Aptos" w:hAnsi="Aptos" w:cs="Arial"/>
          <w:color w:val="000000"/>
        </w:rPr>
        <w:t>. S. Rajaratnam School of International Studies.</w:t>
      </w:r>
    </w:p>
  </w:footnote>
  <w:footnote w:id="12">
    <w:p w14:paraId="01897551" w14:textId="7AE3740D" w:rsidR="00AC3726" w:rsidRPr="00713AF3" w:rsidRDefault="00AC3726">
      <w:pPr>
        <w:pStyle w:val="FootnoteText"/>
      </w:pPr>
      <w:r>
        <w:rPr>
          <w:rStyle w:val="FootnoteReference"/>
        </w:rPr>
        <w:footnoteRef/>
      </w:r>
      <w:r>
        <w:t xml:space="preserve"> Kalantzakos, S. (2019).</w:t>
      </w:r>
      <w:r w:rsidRPr="00492863">
        <w:rPr>
          <w:i/>
          <w:iCs/>
          <w:color w:val="215E99" w:themeColor="text2" w:themeTint="BF"/>
        </w:rPr>
        <w:t xml:space="preserve"> </w:t>
      </w:r>
      <w:r w:rsidRPr="004760B7">
        <w:rPr>
          <w:i/>
          <w:iCs/>
        </w:rPr>
        <w:t>The Geopolitics of Critical Minerals</w:t>
      </w:r>
      <w:r>
        <w:t xml:space="preserve">. </w:t>
      </w:r>
      <w:proofErr w:type="spellStart"/>
      <w:r w:rsidRPr="00713AF3">
        <w:t>Istituto</w:t>
      </w:r>
      <w:proofErr w:type="spellEnd"/>
      <w:r w:rsidRPr="00713AF3">
        <w:t xml:space="preserve"> </w:t>
      </w:r>
      <w:proofErr w:type="spellStart"/>
      <w:r w:rsidRPr="00713AF3">
        <w:t>Affari</w:t>
      </w:r>
      <w:proofErr w:type="spellEnd"/>
      <w:r w:rsidRPr="00713AF3">
        <w:t xml:space="preserve"> </w:t>
      </w:r>
      <w:proofErr w:type="spellStart"/>
      <w:r w:rsidRPr="00713AF3">
        <w:t>Internazionali</w:t>
      </w:r>
      <w:proofErr w:type="spellEnd"/>
      <w:r w:rsidRPr="00713AF3">
        <w:t xml:space="preserve"> (IAI). </w:t>
      </w:r>
    </w:p>
  </w:footnote>
  <w:footnote w:id="13">
    <w:p w14:paraId="0BB4E661" w14:textId="1CF53193" w:rsidR="00AC3726" w:rsidRPr="00AC3726" w:rsidRDefault="00AC3726">
      <w:pPr>
        <w:pStyle w:val="FootnoteText"/>
      </w:pPr>
      <w:r>
        <w:rPr>
          <w:rStyle w:val="FootnoteReference"/>
        </w:rPr>
        <w:footnoteRef/>
      </w:r>
      <w:r w:rsidRPr="00AC3726">
        <w:t xml:space="preserve"> </w:t>
      </w:r>
      <w:r>
        <w:t>Byamungu, C.-G. N. (2022).</w:t>
      </w:r>
      <w:r w:rsidRPr="00AC3726">
        <w:t xml:space="preserve"> </w:t>
      </w:r>
      <w:r w:rsidRPr="004760B7">
        <w:rPr>
          <w:i/>
          <w:iCs/>
        </w:rPr>
        <w:t>Blue Metal Blues: Cobalt, the Democratic Republic of Congo, and China</w:t>
      </w:r>
      <w:r>
        <w:t xml:space="preserve">. South African Institute of International Affairs. </w:t>
      </w:r>
    </w:p>
  </w:footnote>
  <w:footnote w:id="14">
    <w:p w14:paraId="7B31A37B" w14:textId="700740AD" w:rsidR="00AC3726" w:rsidRDefault="00AC3726">
      <w:pPr>
        <w:pStyle w:val="FootnoteText"/>
      </w:pPr>
      <w:r>
        <w:rPr>
          <w:rStyle w:val="FootnoteReference"/>
        </w:rPr>
        <w:footnoteRef/>
      </w:r>
      <w:r>
        <w:t xml:space="preserve"> Burke, S., &amp; Zimmerman, R. (2019).</w:t>
      </w:r>
      <w:r>
        <w:rPr>
          <w:i/>
          <w:iCs/>
        </w:rPr>
        <w:t xml:space="preserve"> </w:t>
      </w:r>
      <w:r w:rsidRPr="004760B7">
        <w:rPr>
          <w:i/>
          <w:iCs/>
        </w:rPr>
        <w:t>The Global Race for Critical Minerals in the Deep Ocean: The Cursed Treasure in Davy Jones’ Locker</w:t>
      </w:r>
      <w:r>
        <w:t xml:space="preserve">. New America. </w:t>
      </w:r>
    </w:p>
  </w:footnote>
  <w:footnote w:id="15">
    <w:p w14:paraId="08F4B917" w14:textId="7B899B6E" w:rsidR="00404551" w:rsidRPr="00AC3726" w:rsidRDefault="00404551" w:rsidP="00404551">
      <w:pPr>
        <w:pStyle w:val="FootnoteText"/>
      </w:pPr>
      <w:r>
        <w:rPr>
          <w:rStyle w:val="FootnoteReference"/>
        </w:rPr>
        <w:footnoteRef/>
      </w:r>
      <w:r w:rsidRPr="00AC3726">
        <w:t xml:space="preserve"> </w:t>
      </w:r>
      <w:r w:rsidR="0018632C" w:rsidRPr="0028352F">
        <w:rPr>
          <w:i/>
          <w:iCs/>
        </w:rPr>
        <w:t>Cobalt Statistics and Information</w:t>
      </w:r>
      <w:r w:rsidR="0018632C" w:rsidRPr="0018632C">
        <w:t>.  U.S. Geological Survey. (2023).</w:t>
      </w:r>
    </w:p>
  </w:footnote>
  <w:footnote w:id="16">
    <w:p w14:paraId="2F6D6F5D" w14:textId="082C4A2F" w:rsidR="00404551" w:rsidRPr="00713AF3" w:rsidRDefault="00404551" w:rsidP="00404551">
      <w:pPr>
        <w:pStyle w:val="FootnoteText"/>
      </w:pPr>
      <w:r>
        <w:rPr>
          <w:rStyle w:val="FootnoteReference"/>
        </w:rPr>
        <w:footnoteRef/>
      </w:r>
      <w:r w:rsidRPr="00713AF3">
        <w:t xml:space="preserve"> </w:t>
      </w:r>
      <w:r w:rsidR="0018632C" w:rsidRPr="0028352F">
        <w:rPr>
          <w:i/>
          <w:iCs/>
        </w:rPr>
        <w:t>Cobalt Market Report 2021</w:t>
      </w:r>
      <w:r w:rsidR="0018632C" w:rsidRPr="0018632C">
        <w:t>. Cobalt Institute. (2022</w:t>
      </w:r>
      <w:r w:rsidR="00406892">
        <w:t>)</w:t>
      </w:r>
    </w:p>
  </w:footnote>
  <w:footnote w:id="17">
    <w:p w14:paraId="14560B9E" w14:textId="4DB1D49B" w:rsidR="00404551" w:rsidRPr="00AC3726" w:rsidRDefault="00404551" w:rsidP="00404551">
      <w:pPr>
        <w:pStyle w:val="FootnoteText"/>
      </w:pPr>
      <w:r>
        <w:rPr>
          <w:rStyle w:val="FootnoteReference"/>
        </w:rPr>
        <w:footnoteRef/>
      </w:r>
      <w:r w:rsidRPr="00AC3726">
        <w:t xml:space="preserve"> </w:t>
      </w:r>
      <w:r w:rsidR="0018632C" w:rsidRPr="0028352F">
        <w:rPr>
          <w:i/>
          <w:iCs/>
        </w:rPr>
        <w:t>Ministry of Mines, Democratic Republic of Congo</w:t>
      </w:r>
      <w:r w:rsidR="0018632C" w:rsidRPr="0018632C">
        <w:t>. DRC Ministry of Mines. (n.d.).</w:t>
      </w:r>
      <w:r w:rsidRPr="00AC3726">
        <w:t xml:space="preserve"> </w:t>
      </w:r>
    </w:p>
  </w:footnote>
  <w:footnote w:id="18">
    <w:p w14:paraId="44087527" w14:textId="7C0E538D" w:rsidR="00404551" w:rsidRDefault="00404551" w:rsidP="00404551">
      <w:pPr>
        <w:pStyle w:val="FootnoteText"/>
      </w:pPr>
      <w:r>
        <w:rPr>
          <w:rStyle w:val="FootnoteReference"/>
        </w:rPr>
        <w:footnoteRef/>
      </w:r>
      <w:r>
        <w:t xml:space="preserve"> </w:t>
      </w:r>
      <w:r w:rsidR="0018632C">
        <w:t>Ministry of Mines, Ibid</w:t>
      </w:r>
      <w:r w:rsidR="00E670E9">
        <w:t>.</w:t>
      </w:r>
    </w:p>
  </w:footnote>
  <w:footnote w:id="19">
    <w:p w14:paraId="13834152" w14:textId="26D02CEA" w:rsidR="00404551" w:rsidRDefault="00404551" w:rsidP="00404551">
      <w:pPr>
        <w:pStyle w:val="FootnoteText"/>
      </w:pPr>
      <w:r>
        <w:rPr>
          <w:rStyle w:val="FootnoteReference"/>
        </w:rPr>
        <w:footnoteRef/>
      </w:r>
      <w:r>
        <w:t xml:space="preserve"> </w:t>
      </w:r>
      <w:r w:rsidR="00AC3726">
        <w:t xml:space="preserve">Shaw, A. (2024). </w:t>
      </w:r>
      <w:r w:rsidR="00AC3726" w:rsidRPr="0018632C">
        <w:rPr>
          <w:i/>
          <w:iCs/>
        </w:rPr>
        <w:t xml:space="preserve">Global </w:t>
      </w:r>
      <w:r w:rsidR="0018632C">
        <w:rPr>
          <w:i/>
          <w:iCs/>
        </w:rPr>
        <w:t>C</w:t>
      </w:r>
      <w:r w:rsidR="00AC3726" w:rsidRPr="0018632C">
        <w:rPr>
          <w:i/>
          <w:iCs/>
        </w:rPr>
        <w:t xml:space="preserve">obalt </w:t>
      </w:r>
      <w:r w:rsidR="0018632C">
        <w:rPr>
          <w:i/>
          <w:iCs/>
        </w:rPr>
        <w:t>R</w:t>
      </w:r>
      <w:r w:rsidR="00AC3726" w:rsidRPr="0018632C">
        <w:rPr>
          <w:i/>
          <w:iCs/>
        </w:rPr>
        <w:t xml:space="preserve">ush </w:t>
      </w:r>
      <w:r w:rsidR="0018632C">
        <w:rPr>
          <w:i/>
          <w:iCs/>
        </w:rPr>
        <w:t>D</w:t>
      </w:r>
      <w:r w:rsidR="00AC3726" w:rsidRPr="0018632C">
        <w:rPr>
          <w:i/>
          <w:iCs/>
        </w:rPr>
        <w:t xml:space="preserve">rives </w:t>
      </w:r>
      <w:r w:rsidR="0018632C">
        <w:rPr>
          <w:i/>
          <w:iCs/>
        </w:rPr>
        <w:t>T</w:t>
      </w:r>
      <w:r w:rsidR="00AC3726" w:rsidRPr="0018632C">
        <w:rPr>
          <w:i/>
          <w:iCs/>
        </w:rPr>
        <w:t xml:space="preserve">oxic </w:t>
      </w:r>
      <w:r w:rsidR="0018632C">
        <w:rPr>
          <w:i/>
          <w:iCs/>
        </w:rPr>
        <w:t>T</w:t>
      </w:r>
      <w:r w:rsidR="00AC3726" w:rsidRPr="0018632C">
        <w:rPr>
          <w:i/>
          <w:iCs/>
        </w:rPr>
        <w:t xml:space="preserve">oll </w:t>
      </w:r>
      <w:r w:rsidR="0018632C">
        <w:rPr>
          <w:i/>
          <w:iCs/>
        </w:rPr>
        <w:t>N</w:t>
      </w:r>
      <w:r w:rsidR="00AC3726" w:rsidRPr="0018632C">
        <w:rPr>
          <w:i/>
          <w:iCs/>
        </w:rPr>
        <w:t xml:space="preserve">ear DRC </w:t>
      </w:r>
      <w:r w:rsidR="0018632C">
        <w:rPr>
          <w:i/>
          <w:iCs/>
        </w:rPr>
        <w:t>M</w:t>
      </w:r>
      <w:r w:rsidR="00AC3726" w:rsidRPr="0018632C">
        <w:rPr>
          <w:i/>
          <w:iCs/>
        </w:rPr>
        <w:t>ines</w:t>
      </w:r>
      <w:r w:rsidR="00AC3726">
        <w:t xml:space="preserve">. Mongabay. </w:t>
      </w:r>
      <w:r>
        <w:t xml:space="preserve"> </w:t>
      </w:r>
    </w:p>
  </w:footnote>
  <w:footnote w:id="20">
    <w:p w14:paraId="2D6DACB3" w14:textId="33F519C1" w:rsidR="00404551" w:rsidRPr="006D5C0A" w:rsidRDefault="00404551" w:rsidP="00404551">
      <w:pPr>
        <w:pStyle w:val="FootnoteText"/>
        <w:rPr>
          <w:i/>
          <w:iCs/>
          <w:color w:val="215E99" w:themeColor="text2" w:themeTint="BF"/>
        </w:rPr>
      </w:pPr>
      <w:r>
        <w:rPr>
          <w:rStyle w:val="FootnoteReference"/>
        </w:rPr>
        <w:footnoteRef/>
      </w:r>
      <w:r w:rsidRPr="006D5C0A">
        <w:t xml:space="preserve"> </w:t>
      </w:r>
      <w:r w:rsidR="0028352F" w:rsidRPr="0028352F">
        <w:rPr>
          <w:i/>
          <w:iCs/>
        </w:rPr>
        <w:t>New report exposes the environmental and human costs of DRC's cobalt boom</w:t>
      </w:r>
      <w:r w:rsidR="0028352F" w:rsidRPr="006D5C0A">
        <w:rPr>
          <w:i/>
          <w:iCs/>
          <w:color w:val="215E99" w:themeColor="text2" w:themeTint="BF"/>
        </w:rPr>
        <w:t>.</w:t>
      </w:r>
      <w:r w:rsidR="0028352F">
        <w:rPr>
          <w:i/>
          <w:iCs/>
          <w:color w:val="215E99" w:themeColor="text2" w:themeTint="BF"/>
        </w:rPr>
        <w:t xml:space="preserve"> </w:t>
      </w:r>
      <w:r w:rsidR="006D5C0A" w:rsidRPr="006D5C0A">
        <w:t>Rig</w:t>
      </w:r>
      <w:r w:rsidR="006D5C0A">
        <w:t>hts and Accountability in Development. (2024).</w:t>
      </w:r>
      <w:r w:rsidR="006D5C0A" w:rsidRPr="006D5C0A">
        <w:rPr>
          <w:i/>
          <w:iCs/>
          <w:color w:val="215E99" w:themeColor="text2" w:themeTint="BF"/>
        </w:rPr>
        <w:t xml:space="preserve"> </w:t>
      </w:r>
      <w:r w:rsidRPr="006D5C0A">
        <w:rPr>
          <w:i/>
          <w:iCs/>
          <w:color w:val="215E99" w:themeColor="text2" w:themeTint="BF"/>
        </w:rPr>
        <w:t xml:space="preserve"> </w:t>
      </w:r>
    </w:p>
  </w:footnote>
  <w:footnote w:id="21">
    <w:p w14:paraId="6387148F" w14:textId="7C0EE07F" w:rsidR="00404551" w:rsidRDefault="00404551" w:rsidP="00404551">
      <w:pPr>
        <w:pStyle w:val="FootnoteText"/>
      </w:pPr>
      <w:r>
        <w:rPr>
          <w:rStyle w:val="FootnoteReference"/>
        </w:rPr>
        <w:footnoteRef/>
      </w:r>
      <w:r>
        <w:t xml:space="preserve"> </w:t>
      </w:r>
      <w:r w:rsidR="0028352F" w:rsidRPr="0028352F">
        <w:rPr>
          <w:i/>
          <w:iCs/>
        </w:rPr>
        <w:t>The Road to Run? Electric vehicles and workers’ rights abuses in DR Congo’s industrial cobalt mines</w:t>
      </w:r>
      <w:r w:rsidR="0028352F" w:rsidRPr="0028352F">
        <w:t>. RAID and AFREWATCH. (2021).</w:t>
      </w:r>
    </w:p>
  </w:footnote>
  <w:footnote w:id="22">
    <w:p w14:paraId="502CA15E" w14:textId="0F73835C" w:rsidR="00404551" w:rsidRPr="006D5C0A" w:rsidRDefault="00404551" w:rsidP="00404551">
      <w:pPr>
        <w:pStyle w:val="FootnoteText"/>
      </w:pPr>
      <w:r>
        <w:rPr>
          <w:rStyle w:val="FootnoteReference"/>
        </w:rPr>
        <w:footnoteRef/>
      </w:r>
      <w:r w:rsidRPr="006D5C0A">
        <w:t xml:space="preserve"> </w:t>
      </w:r>
      <w:r w:rsidR="006D5C0A" w:rsidRPr="006D5C0A">
        <w:t>Ritc</w:t>
      </w:r>
      <w:r w:rsidR="006D5C0A">
        <w:t>hie, H. (2023).</w:t>
      </w:r>
      <w:r w:rsidR="006D5C0A" w:rsidRPr="006D5C0A">
        <w:t xml:space="preserve"> </w:t>
      </w:r>
      <w:r w:rsidR="006D5C0A" w:rsidRPr="0028352F">
        <w:rPr>
          <w:i/>
          <w:iCs/>
        </w:rPr>
        <w:t>Is cobalt the 'blood diamond of electric cars'? What can be done about it?</w:t>
      </w:r>
      <w:r w:rsidR="006D5C0A">
        <w:t>. Sustainability by numbers.</w:t>
      </w:r>
      <w:r w:rsidRPr="006D5C0A">
        <w:t xml:space="preserve"> </w:t>
      </w:r>
    </w:p>
  </w:footnote>
  <w:footnote w:id="23">
    <w:p w14:paraId="5B3770CF" w14:textId="49B957E8" w:rsidR="00404551" w:rsidRDefault="00404551" w:rsidP="00404551">
      <w:pPr>
        <w:pStyle w:val="FootnoteText"/>
      </w:pPr>
      <w:r>
        <w:rPr>
          <w:rStyle w:val="FootnoteReference"/>
        </w:rPr>
        <w:footnoteRef/>
      </w:r>
      <w:r>
        <w:t xml:space="preserve"> </w:t>
      </w:r>
      <w:r w:rsidR="00DD1E04">
        <w:t>Ritchie, Ibid</w:t>
      </w:r>
      <w:r w:rsidR="00E670E9">
        <w:t>.</w:t>
      </w:r>
    </w:p>
  </w:footnote>
  <w:footnote w:id="24">
    <w:p w14:paraId="78EF90FC" w14:textId="231081B8" w:rsidR="00404551" w:rsidRDefault="00404551" w:rsidP="00404551">
      <w:pPr>
        <w:pStyle w:val="FootnoteText"/>
      </w:pPr>
      <w:r>
        <w:rPr>
          <w:rStyle w:val="FootnoteReference"/>
        </w:rPr>
        <w:footnoteRef/>
      </w:r>
      <w:r>
        <w:t xml:space="preserve"> </w:t>
      </w:r>
      <w:r w:rsidR="00DD1E04">
        <w:t>Ritchie, Ibid.</w:t>
      </w:r>
    </w:p>
  </w:footnote>
  <w:footnote w:id="25">
    <w:p w14:paraId="199A00F2" w14:textId="6471EA93" w:rsidR="00404551" w:rsidRDefault="00404551" w:rsidP="006D5C0A">
      <w:pPr>
        <w:pStyle w:val="FootnoteText"/>
      </w:pPr>
      <w:r>
        <w:rPr>
          <w:rStyle w:val="FootnoteReference"/>
        </w:rPr>
        <w:footnoteRef/>
      </w:r>
      <w:r>
        <w:t xml:space="preserve"> </w:t>
      </w:r>
      <w:r w:rsidR="00DD1E04" w:rsidRPr="00DD1E04">
        <w:t xml:space="preserve">Amnesty International Ltd. (2016). </w:t>
      </w:r>
      <w:r w:rsidR="00DD1E04" w:rsidRPr="00DD1E04">
        <w:rPr>
          <w:i/>
          <w:iCs/>
        </w:rPr>
        <w:t>“This is What We Die For”: Human Rights Abuses in the Democratic Republic of the Congo Power the Global Trade in Cobalt</w:t>
      </w:r>
      <w:r w:rsidR="00DD1E04" w:rsidRPr="00DD1E04">
        <w:t>. Amnesty International and African Resource Watch.</w:t>
      </w:r>
    </w:p>
  </w:footnote>
  <w:footnote w:id="26">
    <w:p w14:paraId="4422FEE2" w14:textId="23040EF0" w:rsidR="00404551" w:rsidRDefault="00404551" w:rsidP="00404551">
      <w:pPr>
        <w:pStyle w:val="FootnoteText"/>
      </w:pPr>
      <w:r>
        <w:rPr>
          <w:rStyle w:val="FootnoteReference"/>
        </w:rPr>
        <w:footnoteRef/>
      </w:r>
      <w:r>
        <w:t xml:space="preserve"> </w:t>
      </w:r>
      <w:r w:rsidR="00DD1E04" w:rsidRPr="00DD1E04">
        <w:rPr>
          <w:i/>
          <w:iCs/>
        </w:rPr>
        <w:t xml:space="preserve">From cobalt to cars: How </w:t>
      </w:r>
      <w:r w:rsidR="00DD1E04" w:rsidRPr="00DD1E04">
        <w:rPr>
          <w:i/>
          <w:iCs/>
        </w:rPr>
        <w:t>China</w:t>
      </w:r>
      <w:r w:rsidR="00DD1E04" w:rsidRPr="00DD1E04">
        <w:rPr>
          <w:i/>
          <w:iCs/>
        </w:rPr>
        <w:t xml:space="preserve"> exploits child and forced labor in the Congo</w:t>
      </w:r>
      <w:r w:rsidR="00DD1E04" w:rsidRPr="00DD1E04">
        <w:t>. Congressional-Executive Commission on China. (2023, November).</w:t>
      </w:r>
    </w:p>
  </w:footnote>
  <w:footnote w:id="27">
    <w:p w14:paraId="0D98FC12" w14:textId="490BF048" w:rsidR="00404551" w:rsidRDefault="00404551" w:rsidP="00404551">
      <w:pPr>
        <w:pStyle w:val="FootnoteText"/>
      </w:pPr>
      <w:r>
        <w:rPr>
          <w:rStyle w:val="FootnoteReference"/>
        </w:rPr>
        <w:footnoteRef/>
      </w:r>
      <w:r>
        <w:t xml:space="preserve"> </w:t>
      </w:r>
      <w:r w:rsidR="00DD1E04" w:rsidRPr="00DD1E04">
        <w:t xml:space="preserve">Houreld, K., &amp; Bashizi, A. (2023). </w:t>
      </w:r>
      <w:r w:rsidR="00DD1E04" w:rsidRPr="00DD1E04">
        <w:rPr>
          <w:i/>
          <w:iCs/>
        </w:rPr>
        <w:t>Despite reforms, mining for EV metals in Congo exacts steep cost on workers</w:t>
      </w:r>
      <w:r w:rsidR="00DD1E04" w:rsidRPr="00DD1E04">
        <w:t>. Washington Post.</w:t>
      </w:r>
    </w:p>
  </w:footnote>
  <w:footnote w:id="28">
    <w:p w14:paraId="410AFB75" w14:textId="14C036F9" w:rsidR="00404551" w:rsidRPr="00492863" w:rsidRDefault="00404551" w:rsidP="00404551">
      <w:pPr>
        <w:pStyle w:val="FootnoteText"/>
      </w:pPr>
      <w:r>
        <w:rPr>
          <w:rStyle w:val="FootnoteReference"/>
        </w:rPr>
        <w:footnoteRef/>
      </w:r>
      <w:r w:rsidRPr="00713AF3">
        <w:t xml:space="preserve"> </w:t>
      </w:r>
      <w:r w:rsidR="00492863" w:rsidRPr="00713AF3">
        <w:t xml:space="preserve">Uren, D. (2021). </w:t>
      </w:r>
      <w:r w:rsidR="00492863" w:rsidRPr="00DD1E04">
        <w:rPr>
          <w:i/>
          <w:iCs/>
        </w:rPr>
        <w:t>How China wrested control of the Congo's critical minerals</w:t>
      </w:r>
      <w:r w:rsidR="00492863">
        <w:t>. Australian Strategic Policy Institute.</w:t>
      </w:r>
      <w:r w:rsidRPr="00492863">
        <w:t xml:space="preserve"> </w:t>
      </w:r>
    </w:p>
  </w:footnote>
  <w:footnote w:id="29">
    <w:p w14:paraId="5D5D84D4" w14:textId="6878DE42" w:rsidR="00404551" w:rsidRPr="00492863" w:rsidRDefault="00404551" w:rsidP="00404551">
      <w:pPr>
        <w:pStyle w:val="FootnoteText"/>
      </w:pPr>
      <w:r>
        <w:rPr>
          <w:rStyle w:val="FootnoteReference"/>
        </w:rPr>
        <w:footnoteRef/>
      </w:r>
      <w:r w:rsidRPr="00713AF3">
        <w:t xml:space="preserve"> </w:t>
      </w:r>
      <w:r w:rsidR="00492863" w:rsidRPr="00713AF3">
        <w:t xml:space="preserve">Wald, E. (2024). </w:t>
      </w:r>
      <w:r w:rsidR="00492863" w:rsidRPr="00DD1E04">
        <w:rPr>
          <w:i/>
          <w:iCs/>
        </w:rPr>
        <w:t>The US wants to end its reliance on Chinese lithium.</w:t>
      </w:r>
      <w:r w:rsidR="00492863">
        <w:t xml:space="preserve"> The Atlantic Council.</w:t>
      </w:r>
    </w:p>
  </w:footnote>
  <w:footnote w:id="30">
    <w:p w14:paraId="67BDA43C" w14:textId="5083B31B" w:rsidR="00404551" w:rsidRDefault="00404551" w:rsidP="00404551">
      <w:pPr>
        <w:pStyle w:val="FootnoteText"/>
      </w:pPr>
      <w:r>
        <w:rPr>
          <w:rStyle w:val="FootnoteReference"/>
        </w:rPr>
        <w:footnoteRef/>
      </w:r>
      <w:r>
        <w:t xml:space="preserve"> </w:t>
      </w:r>
      <w:r w:rsidR="00DD1E04">
        <w:t>Wald, Ibid.</w:t>
      </w:r>
    </w:p>
  </w:footnote>
  <w:footnote w:id="31">
    <w:p w14:paraId="549D3F76" w14:textId="6651919B" w:rsidR="004A3470" w:rsidRDefault="004A3470" w:rsidP="004A3470">
      <w:pPr>
        <w:pStyle w:val="FootnoteText"/>
        <w:rPr>
          <w:color w:val="215E99" w:themeColor="text2" w:themeTint="BF"/>
        </w:rPr>
      </w:pPr>
      <w:r>
        <w:rPr>
          <w:rStyle w:val="FootnoteReference"/>
        </w:rPr>
        <w:footnoteRef/>
      </w:r>
      <w:r>
        <w:t xml:space="preserve"> </w:t>
      </w:r>
      <w:r w:rsidR="00D356F0" w:rsidRPr="00D356F0">
        <w:rPr>
          <w:i/>
          <w:iCs/>
        </w:rPr>
        <w:t>Responsible minerals trade: Democratic Republic of the Congo: Fact sheet</w:t>
      </w:r>
      <w:r w:rsidR="00D356F0" w:rsidRPr="00D356F0">
        <w:t xml:space="preserve">. U.S. Agency for International Development. (n.d.). </w:t>
      </w:r>
      <w:r>
        <w:rPr>
          <w:i/>
          <w:iCs/>
          <w:color w:val="215E99" w:themeColor="text2" w:themeTint="BF"/>
        </w:rPr>
        <w:t xml:space="preserve"> </w:t>
      </w:r>
    </w:p>
  </w:footnote>
  <w:footnote w:id="32">
    <w:p w14:paraId="2F987E24" w14:textId="60AC655F" w:rsidR="004A3470" w:rsidRDefault="004A3470" w:rsidP="004A3470">
      <w:pPr>
        <w:pStyle w:val="FootnoteText"/>
        <w:rPr>
          <w:i/>
          <w:iCs/>
          <w:color w:val="215E99" w:themeColor="text2" w:themeTint="BF"/>
        </w:rPr>
      </w:pPr>
      <w:r>
        <w:rPr>
          <w:rStyle w:val="FootnoteReference"/>
        </w:rPr>
        <w:footnoteRef/>
      </w:r>
      <w:r>
        <w:t xml:space="preserve"> </w:t>
      </w:r>
      <w:r w:rsidR="00D356F0" w:rsidRPr="00D356F0">
        <w:rPr>
          <w:i/>
          <w:iCs/>
        </w:rPr>
        <w:t>Democratic Republic of the Congo - World Factbook</w:t>
      </w:r>
      <w:r w:rsidR="00D356F0" w:rsidRPr="00D356F0">
        <w:t>. Central Intelligence Agency (CIA). (2024).</w:t>
      </w:r>
    </w:p>
  </w:footnote>
  <w:footnote w:id="33">
    <w:p w14:paraId="082BF09E" w14:textId="77777777" w:rsidR="004A3470" w:rsidRDefault="004A3470" w:rsidP="004A3470">
      <w:pPr>
        <w:pStyle w:val="FootnoteText"/>
      </w:pPr>
      <w:r>
        <w:rPr>
          <w:rStyle w:val="FootnoteReference"/>
        </w:rPr>
        <w:footnoteRef/>
      </w:r>
      <w:r>
        <w:t xml:space="preserve"> Igbatayo, S. A. (2019). Combating Illicit Financial Flows from Africa’s Extractive Industries and Implications for Good Governance: A Multi-country Study of Angola, the Democratic Republic of Congo and Nigeria. </w:t>
      </w:r>
      <w:r>
        <w:rPr>
          <w:i/>
          <w:iCs/>
        </w:rPr>
        <w:t>Africa Development / Afrique et Développement</w:t>
      </w:r>
      <w:r>
        <w:t xml:space="preserve">, </w:t>
      </w:r>
      <w:r>
        <w:rPr>
          <w:i/>
          <w:iCs/>
        </w:rPr>
        <w:t>44</w:t>
      </w:r>
      <w:r>
        <w:t>(3), 55–86.</w:t>
      </w:r>
    </w:p>
  </w:footnote>
  <w:footnote w:id="34">
    <w:p w14:paraId="18BA8018" w14:textId="6F941E9B" w:rsidR="004A3470" w:rsidRDefault="004A3470" w:rsidP="004A3470">
      <w:pPr>
        <w:pStyle w:val="FootnoteText"/>
        <w:rPr>
          <w:i/>
          <w:iCs/>
          <w:color w:val="215E99" w:themeColor="text2" w:themeTint="BF"/>
        </w:rPr>
      </w:pPr>
      <w:r>
        <w:rPr>
          <w:rStyle w:val="FootnoteReference"/>
        </w:rPr>
        <w:footnoteRef/>
      </w:r>
      <w:r>
        <w:t xml:space="preserve"> </w:t>
      </w:r>
      <w:r w:rsidRPr="00D356F0">
        <w:rPr>
          <w:i/>
          <w:iCs/>
        </w:rPr>
        <w:t>DRC Sets Artisanal Mining Scheme</w:t>
      </w:r>
      <w:r w:rsidR="00D356F0">
        <w:rPr>
          <w:i/>
          <w:iCs/>
          <w:color w:val="215E99" w:themeColor="text2" w:themeTint="BF"/>
        </w:rPr>
        <w:t>.</w:t>
      </w:r>
      <w:r>
        <w:rPr>
          <w:i/>
          <w:iCs/>
          <w:color w:val="215E99" w:themeColor="text2" w:themeTint="BF"/>
        </w:rPr>
        <w:t xml:space="preserve"> </w:t>
      </w:r>
      <w:r w:rsidR="00D356F0">
        <w:t>Voice of Africa.</w:t>
      </w:r>
      <w:r w:rsidR="00D356F0" w:rsidRPr="00D356F0">
        <w:t xml:space="preserve"> </w:t>
      </w:r>
      <w:r w:rsidR="00D356F0">
        <w:t>(2023).</w:t>
      </w:r>
    </w:p>
  </w:footnote>
  <w:footnote w:id="35">
    <w:p w14:paraId="45D0D004" w14:textId="3172BA2B" w:rsidR="004A3470" w:rsidRDefault="004A3470" w:rsidP="004A3470">
      <w:pPr>
        <w:pStyle w:val="FootnoteText"/>
        <w:rPr>
          <w:i/>
          <w:iCs/>
        </w:rPr>
      </w:pPr>
      <w:r>
        <w:rPr>
          <w:rStyle w:val="FootnoteReference"/>
        </w:rPr>
        <w:footnoteRef/>
      </w:r>
      <w:r>
        <w:t xml:space="preserve"> Stearns, J. K. and Vogel, C. (2015). The Landscape of Armed Groups in the Eastern Congo. </w:t>
      </w:r>
      <w:r>
        <w:rPr>
          <w:i/>
          <w:iCs/>
        </w:rPr>
        <w:t xml:space="preserve">Center on International Cooperation and </w:t>
      </w:r>
      <w:r w:rsidRPr="00D356F0">
        <w:rPr>
          <w:i/>
          <w:iCs/>
        </w:rPr>
        <w:t>Congo Research Group</w:t>
      </w:r>
      <w:r w:rsidR="00D356F0">
        <w:rPr>
          <w:i/>
          <w:iCs/>
          <w:color w:val="215E99" w:themeColor="text2" w:themeTint="BF"/>
        </w:rPr>
        <w:t>.</w:t>
      </w:r>
    </w:p>
  </w:footnote>
  <w:footnote w:id="36">
    <w:p w14:paraId="76C9053D" w14:textId="1B12F1C9" w:rsidR="004A3470" w:rsidRDefault="004A3470" w:rsidP="004A3470">
      <w:pPr>
        <w:pStyle w:val="FootnoteText"/>
      </w:pPr>
      <w:r>
        <w:rPr>
          <w:rStyle w:val="FootnoteReference"/>
        </w:rPr>
        <w:footnoteRef/>
      </w:r>
      <w:r>
        <w:t xml:space="preserve"> </w:t>
      </w:r>
      <w:r w:rsidR="00D356F0" w:rsidRPr="00D356F0">
        <w:rPr>
          <w:i/>
          <w:iCs/>
        </w:rPr>
        <w:t>Letter to the United Nations</w:t>
      </w:r>
      <w:r w:rsidR="00D356F0">
        <w:rPr>
          <w:i/>
          <w:iCs/>
          <w:color w:val="215E99" w:themeColor="text2" w:themeTint="BF"/>
        </w:rPr>
        <w:t>.</w:t>
      </w:r>
      <w:r w:rsidR="00D356F0">
        <w:rPr>
          <w:i/>
          <w:iCs/>
          <w:color w:val="215E99" w:themeColor="text2" w:themeTint="BF"/>
        </w:rPr>
        <w:t xml:space="preserve"> </w:t>
      </w:r>
      <w:r>
        <w:t xml:space="preserve">Group of Experts on the Democratic Republic of Congo. (2022). </w:t>
      </w:r>
    </w:p>
  </w:footnote>
  <w:footnote w:id="37">
    <w:p w14:paraId="52586D73" w14:textId="449B0E6F" w:rsidR="009D1147" w:rsidRDefault="009D1147">
      <w:pPr>
        <w:pStyle w:val="FootnoteText"/>
      </w:pPr>
      <w:r>
        <w:rPr>
          <w:rStyle w:val="FootnoteReference"/>
        </w:rPr>
        <w:footnoteRef/>
      </w:r>
      <w:r>
        <w:t xml:space="preserve"> Some of the most notable militias are the Allied Democratic Forces (ADF), a Ugandan Islamist group with ties to the Islamic State, the Democratic Forces for the Liberation of Rwanda (FDLR), an ethnic Hutu group backed by the Congolese Army looking to strike back at Kigali, and </w:t>
      </w:r>
      <w:r w:rsidR="001D4276">
        <w:t>the National Liberation Forces (FNL), a Burundian rebel group allied with Congolese forces to attack Burundi’s armed forces.</w:t>
      </w:r>
    </w:p>
  </w:footnote>
  <w:footnote w:id="38">
    <w:p w14:paraId="2531C76E" w14:textId="0AFF9D40" w:rsidR="002E53EF" w:rsidRDefault="002E53EF">
      <w:pPr>
        <w:pStyle w:val="FootnoteText"/>
      </w:pPr>
      <w:r>
        <w:rPr>
          <w:rStyle w:val="FootnoteReference"/>
        </w:rPr>
        <w:footnoteRef/>
      </w:r>
      <w:r>
        <w:t xml:space="preserve"> </w:t>
      </w:r>
      <w:r w:rsidR="00987C21" w:rsidRPr="00987C21">
        <w:rPr>
          <w:i/>
          <w:iCs/>
        </w:rPr>
        <w:t>DR Congo: Army Units Aided Abusive Armed Groups</w:t>
      </w:r>
      <w:r w:rsidR="00987C21" w:rsidRPr="002E53EF">
        <w:rPr>
          <w:i/>
          <w:iCs/>
          <w:color w:val="215E99" w:themeColor="text2" w:themeTint="BF"/>
        </w:rPr>
        <w:t>.</w:t>
      </w:r>
      <w:r w:rsidR="00987C21">
        <w:rPr>
          <w:i/>
          <w:iCs/>
          <w:color w:val="215E99" w:themeColor="text2" w:themeTint="BF"/>
        </w:rPr>
        <w:t xml:space="preserve"> </w:t>
      </w:r>
      <w:r>
        <w:t xml:space="preserve">Human Rights Watch. (2022). </w:t>
      </w:r>
    </w:p>
  </w:footnote>
  <w:footnote w:id="39">
    <w:p w14:paraId="18DAE28F" w14:textId="120F0AA3" w:rsidR="004A3470" w:rsidRDefault="004A3470" w:rsidP="004A3470">
      <w:pPr>
        <w:pStyle w:val="FootnoteText"/>
      </w:pPr>
      <w:r>
        <w:rPr>
          <w:rStyle w:val="FootnoteReference"/>
        </w:rPr>
        <w:footnoteRef/>
      </w:r>
      <w:r>
        <w:t xml:space="preserve"> Serwat, L. (2023). </w:t>
      </w:r>
      <w:r w:rsidRPr="00987C21">
        <w:rPr>
          <w:i/>
          <w:iCs/>
        </w:rPr>
        <w:t>Actor Profile: The March 23 Movement (M23)</w:t>
      </w:r>
      <w:r>
        <w:t xml:space="preserve">. </w:t>
      </w:r>
      <w:r w:rsidRPr="00987C21">
        <w:t>The Armed Conflict Location &amp; Event Data Project</w:t>
      </w:r>
      <w:r w:rsidR="00987C21">
        <w:t>.</w:t>
      </w:r>
    </w:p>
  </w:footnote>
  <w:footnote w:id="40">
    <w:p w14:paraId="203242EC" w14:textId="48D18851" w:rsidR="004A3470" w:rsidRDefault="004A3470" w:rsidP="004A3470">
      <w:pPr>
        <w:pStyle w:val="FootnoteText"/>
        <w:rPr>
          <w:i/>
          <w:iCs/>
          <w:color w:val="215E99" w:themeColor="text2" w:themeTint="BF"/>
        </w:rPr>
      </w:pPr>
      <w:r>
        <w:rPr>
          <w:rStyle w:val="FootnoteReference"/>
        </w:rPr>
        <w:footnoteRef/>
      </w:r>
      <w:r>
        <w:t xml:space="preserve"> </w:t>
      </w:r>
      <w:r w:rsidR="00987C21" w:rsidRPr="00987C21">
        <w:rPr>
          <w:i/>
          <w:iCs/>
        </w:rPr>
        <w:t>Mineral Supply Chains and Conflict Links in Eastern Democratic Republic of Congo</w:t>
      </w:r>
      <w:r w:rsidR="00987C21">
        <w:rPr>
          <w:i/>
          <w:iCs/>
        </w:rPr>
        <w:t>.</w:t>
      </w:r>
      <w:r w:rsidR="00987C21">
        <w:rPr>
          <w:i/>
          <w:iCs/>
          <w:color w:val="215E99" w:themeColor="text2" w:themeTint="BF"/>
        </w:rPr>
        <w:t xml:space="preserve"> </w:t>
      </w:r>
      <w:r>
        <w:t xml:space="preserve">Organisation for Economic Co-operation and Development. (2015). </w:t>
      </w:r>
    </w:p>
  </w:footnote>
  <w:footnote w:id="41">
    <w:p w14:paraId="3DF90B86" w14:textId="5E9E7A53" w:rsidR="004A3470" w:rsidRDefault="004A3470" w:rsidP="00987C21">
      <w:pPr>
        <w:pStyle w:val="FootnoteText"/>
      </w:pPr>
      <w:r>
        <w:rPr>
          <w:rStyle w:val="FootnoteReference"/>
        </w:rPr>
        <w:footnoteRef/>
      </w:r>
      <w:r w:rsidRPr="00987C21">
        <w:t xml:space="preserve"> </w:t>
      </w:r>
      <w:proofErr w:type="spellStart"/>
      <w:r w:rsidR="00987C21" w:rsidRPr="00987C21">
        <w:t>Nellmann</w:t>
      </w:r>
      <w:proofErr w:type="spellEnd"/>
      <w:r w:rsidR="00987C21" w:rsidRPr="00987C21">
        <w:t xml:space="preserve">, C., Henriksen, R., </w:t>
      </w:r>
      <w:proofErr w:type="spellStart"/>
      <w:r w:rsidR="00987C21" w:rsidRPr="00987C21">
        <w:t>Pravettoni</w:t>
      </w:r>
      <w:proofErr w:type="spellEnd"/>
      <w:r w:rsidR="00987C21" w:rsidRPr="00987C21">
        <w:t xml:space="preserve">, R., Stewart, D., </w:t>
      </w:r>
      <w:proofErr w:type="spellStart"/>
      <w:r w:rsidR="00987C21" w:rsidRPr="00987C21">
        <w:t>Kotsovou</w:t>
      </w:r>
      <w:proofErr w:type="spellEnd"/>
      <w:r w:rsidR="00987C21" w:rsidRPr="00987C21">
        <w:t>, M., Reitano, T., Shaw, M., &amp; M.A.J., S. (2018). World Atlas of Illicit Flows.</w:t>
      </w:r>
    </w:p>
  </w:footnote>
  <w:footnote w:id="42">
    <w:p w14:paraId="163BE102" w14:textId="6FA3427C" w:rsidR="004A3470" w:rsidRDefault="004A3470" w:rsidP="004A3470">
      <w:pPr>
        <w:pStyle w:val="FootnoteText"/>
        <w:rPr>
          <w:rStyle w:val="FootnoteReference"/>
        </w:rPr>
      </w:pPr>
      <w:r>
        <w:rPr>
          <w:rStyle w:val="FootnoteReference"/>
        </w:rPr>
        <w:footnoteRef/>
      </w:r>
      <w:r>
        <w:t xml:space="preserve"> </w:t>
      </w:r>
      <w:r w:rsidR="00987C21" w:rsidRPr="00987C21">
        <w:rPr>
          <w:i/>
          <w:iCs/>
        </w:rPr>
        <w:t>DR Congo loses $750m in mining revenues to corruption</w:t>
      </w:r>
      <w:r w:rsidR="00987C21">
        <w:rPr>
          <w:i/>
          <w:iCs/>
        </w:rPr>
        <w:t>.</w:t>
      </w:r>
      <w:r w:rsidR="00987C21">
        <w:rPr>
          <w:rStyle w:val="FootnoteReference"/>
        </w:rPr>
        <w:t xml:space="preserve"> </w:t>
      </w:r>
      <w:r>
        <w:t xml:space="preserve">Al-Jazeera. (2017). </w:t>
      </w:r>
    </w:p>
  </w:footnote>
  <w:footnote w:id="43">
    <w:p w14:paraId="1233CE97" w14:textId="4286955B" w:rsidR="004A3470" w:rsidRPr="004A3470" w:rsidRDefault="004A3470" w:rsidP="004A3470">
      <w:pPr>
        <w:pStyle w:val="FootnoteText"/>
      </w:pPr>
      <w:r>
        <w:rPr>
          <w:rStyle w:val="FootnoteReference"/>
        </w:rPr>
        <w:footnoteRef/>
      </w:r>
      <w:r>
        <w:t xml:space="preserve"> Ross, A. (2015). </w:t>
      </w:r>
      <w:r w:rsidRPr="00987C21">
        <w:rPr>
          <w:i/>
          <w:iCs/>
        </w:rPr>
        <w:t>Congo loses up to $15bln per year to fraud - official</w:t>
      </w:r>
      <w:r>
        <w:rPr>
          <w:color w:val="215E99" w:themeColor="text2" w:themeTint="BF"/>
        </w:rPr>
        <w:t xml:space="preserve">. </w:t>
      </w:r>
      <w:r w:rsidRPr="004A3470">
        <w:t>Reuters.</w:t>
      </w:r>
    </w:p>
  </w:footnote>
  <w:footnote w:id="44">
    <w:p w14:paraId="6889278F" w14:textId="31E1112B" w:rsidR="004A3470" w:rsidRDefault="004A3470" w:rsidP="004A3470">
      <w:pPr>
        <w:pStyle w:val="FootnoteText"/>
      </w:pPr>
      <w:r>
        <w:rPr>
          <w:rStyle w:val="FootnoteReference"/>
        </w:rPr>
        <w:footnoteRef/>
      </w:r>
      <w:r>
        <w:t xml:space="preserve"> </w:t>
      </w:r>
      <w:r w:rsidR="00246A8E" w:rsidRPr="00246A8E">
        <w:rPr>
          <w:i/>
          <w:iCs/>
        </w:rPr>
        <w:t>New Civil Society Report on the Democratic Republic of the Congo</w:t>
      </w:r>
      <w:r w:rsidR="00246A8E">
        <w:t>.</w:t>
      </w:r>
      <w:r w:rsidR="00246A8E">
        <w:t xml:space="preserve"> </w:t>
      </w:r>
      <w:r>
        <w:t xml:space="preserve">United Nations Convention against Corruption. (2022). </w:t>
      </w:r>
    </w:p>
  </w:footnote>
  <w:footnote w:id="45">
    <w:p w14:paraId="70BF7555" w14:textId="18773215" w:rsidR="004A3470" w:rsidRDefault="004A3470" w:rsidP="004A3470">
      <w:pPr>
        <w:pStyle w:val="FootnoteText"/>
      </w:pPr>
      <w:r>
        <w:rPr>
          <w:rStyle w:val="FootnoteReference"/>
        </w:rPr>
        <w:footnoteRef/>
      </w:r>
      <w:r>
        <w:t xml:space="preserve"> </w:t>
      </w:r>
      <w:r w:rsidR="00246A8E" w:rsidRPr="00246A8E">
        <w:rPr>
          <w:i/>
          <w:iCs/>
        </w:rPr>
        <w:t>Billions lost: Financial investigation into Dan Gertler's transactions in the extractive sector</w:t>
      </w:r>
      <w:r w:rsidR="00246A8E">
        <w:t>.</w:t>
      </w:r>
      <w:r w:rsidR="00246A8E">
        <w:t xml:space="preserve"> </w:t>
      </w:r>
      <w:r>
        <w:t xml:space="preserve">Le Congo </w:t>
      </w:r>
      <w:proofErr w:type="spellStart"/>
      <w:r>
        <w:t>N’Est</w:t>
      </w:r>
      <w:proofErr w:type="spellEnd"/>
      <w:r>
        <w:t xml:space="preserve"> Pas a </w:t>
      </w:r>
      <w:proofErr w:type="spellStart"/>
      <w:r>
        <w:t>Vendre</w:t>
      </w:r>
      <w:proofErr w:type="spellEnd"/>
      <w:r>
        <w:t xml:space="preserve">. (2021). </w:t>
      </w:r>
    </w:p>
  </w:footnote>
  <w:footnote w:id="46">
    <w:p w14:paraId="7C053CA7" w14:textId="47D2E4FF" w:rsidR="004A3470" w:rsidRDefault="004A3470" w:rsidP="004A3470">
      <w:pPr>
        <w:pStyle w:val="FootnoteText"/>
      </w:pPr>
      <w:r>
        <w:rPr>
          <w:rStyle w:val="FootnoteReference"/>
        </w:rPr>
        <w:footnoteRef/>
      </w:r>
      <w:r>
        <w:t xml:space="preserve"> </w:t>
      </w:r>
      <w:r w:rsidR="00246A8E" w:rsidRPr="00246A8E">
        <w:rPr>
          <w:i/>
          <w:iCs/>
        </w:rPr>
        <w:t>United States Sanctions Human Rights Abusers and Corrupt Actors Across the Globe</w:t>
      </w:r>
      <w:r w:rsidR="00246A8E">
        <w:t>.</w:t>
      </w:r>
      <w:r w:rsidR="00246A8E">
        <w:t xml:space="preserve"> </w:t>
      </w:r>
      <w:r>
        <w:t xml:space="preserve">United States Department of the Treasury. (2017). </w:t>
      </w:r>
    </w:p>
  </w:footnote>
  <w:footnote w:id="47">
    <w:p w14:paraId="6FF4DFC1" w14:textId="67327968" w:rsidR="004A3470" w:rsidRDefault="004A3470" w:rsidP="004A3470">
      <w:pPr>
        <w:pStyle w:val="FootnoteText"/>
      </w:pPr>
      <w:r>
        <w:rPr>
          <w:rStyle w:val="FootnoteReference"/>
        </w:rPr>
        <w:footnoteRef/>
      </w:r>
      <w:r>
        <w:t xml:space="preserve"> </w:t>
      </w:r>
      <w:r w:rsidR="00246A8E" w:rsidRPr="00246A8E">
        <w:rPr>
          <w:i/>
          <w:iCs/>
        </w:rPr>
        <w:t xml:space="preserve">Memorandum of Understanding: Between The Democratic Republic of Congo and </w:t>
      </w:r>
      <w:proofErr w:type="spellStart"/>
      <w:r w:rsidR="00246A8E" w:rsidRPr="00246A8E">
        <w:rPr>
          <w:i/>
          <w:iCs/>
        </w:rPr>
        <w:t>Ventora</w:t>
      </w:r>
      <w:proofErr w:type="spellEnd"/>
      <w:r w:rsidR="00246A8E" w:rsidRPr="00246A8E">
        <w:rPr>
          <w:i/>
          <w:iCs/>
        </w:rPr>
        <w:t xml:space="preserve"> Development Sasu</w:t>
      </w:r>
      <w:r w:rsidR="00246A8E">
        <w:t xml:space="preserve">. </w:t>
      </w:r>
      <w:r>
        <w:t>New York Times Documents. (2022).</w:t>
      </w:r>
      <w:r>
        <w:rPr>
          <w:i/>
          <w:iCs/>
          <w:color w:val="215E99" w:themeColor="text2" w:themeTint="BF"/>
        </w:rPr>
        <w:t xml:space="preserve"> </w:t>
      </w:r>
    </w:p>
  </w:footnote>
  <w:footnote w:id="48">
    <w:p w14:paraId="2038F084" w14:textId="7B317714" w:rsidR="004A3470" w:rsidRDefault="004A3470" w:rsidP="004A3470">
      <w:pPr>
        <w:pStyle w:val="FootnoteText"/>
      </w:pPr>
      <w:r>
        <w:rPr>
          <w:rStyle w:val="FootnoteReference"/>
        </w:rPr>
        <w:footnoteRef/>
      </w:r>
      <w:r>
        <w:t xml:space="preserve"> </w:t>
      </w:r>
      <w:r w:rsidR="00246A8E" w:rsidRPr="00246A8E">
        <w:rPr>
          <w:i/>
          <w:iCs/>
        </w:rPr>
        <w:t>DR Congo Stands to Lose $3.71 billion in Mining Deals with Dan Gertler</w:t>
      </w:r>
      <w:r w:rsidR="00246A8E">
        <w:t xml:space="preserve">. </w:t>
      </w:r>
      <w:r>
        <w:t xml:space="preserve">Rights and Accountability in Development. (2021). </w:t>
      </w:r>
    </w:p>
  </w:footnote>
  <w:footnote w:id="49">
    <w:p w14:paraId="436FC61A" w14:textId="57548118" w:rsidR="004A3470" w:rsidRDefault="004A3470" w:rsidP="004A3470">
      <w:pPr>
        <w:pStyle w:val="FootnoteText"/>
      </w:pPr>
      <w:r>
        <w:rPr>
          <w:rStyle w:val="FootnoteReference"/>
        </w:rPr>
        <w:footnoteRef/>
      </w:r>
      <w:r>
        <w:t xml:space="preserve"> Rolley, S. (2023). </w:t>
      </w:r>
      <w:r w:rsidRPr="00246A8E">
        <w:rPr>
          <w:i/>
          <w:iCs/>
        </w:rPr>
        <w:t>Exclusive: Congo to hike stake in copper, cobalt venture with China</w:t>
      </w:r>
      <w:r>
        <w:t xml:space="preserve">. Reuters. </w:t>
      </w:r>
    </w:p>
  </w:footnote>
  <w:footnote w:id="50">
    <w:p w14:paraId="320FBE98" w14:textId="18EAE118" w:rsidR="004A3470" w:rsidRDefault="004A3470" w:rsidP="004A3470">
      <w:pPr>
        <w:pStyle w:val="FootnoteText"/>
      </w:pPr>
      <w:r>
        <w:rPr>
          <w:rStyle w:val="FootnoteReference"/>
        </w:rPr>
        <w:footnoteRef/>
      </w:r>
      <w:r>
        <w:t xml:space="preserve"> Landry, D. G. (2018). </w:t>
      </w:r>
      <w:r w:rsidRPr="00246A8E">
        <w:rPr>
          <w:i/>
          <w:iCs/>
        </w:rPr>
        <w:t>The risks and rewards of Resource-for-Infrastructure deals: Lessons from the Congo's Sicomines Agreement</w:t>
      </w:r>
      <w:r>
        <w:rPr>
          <w:color w:val="215E99" w:themeColor="text2" w:themeTint="BF"/>
        </w:rPr>
        <w:t>.</w:t>
      </w:r>
      <w:r>
        <w:t xml:space="preserve"> China Africa Research Initiative.</w:t>
      </w:r>
    </w:p>
  </w:footnote>
  <w:footnote w:id="51">
    <w:p w14:paraId="210F9D52" w14:textId="1D785976" w:rsidR="004A3470" w:rsidRDefault="004A3470" w:rsidP="004A3470">
      <w:pPr>
        <w:pStyle w:val="FootnoteText"/>
        <w:rPr>
          <w:i/>
          <w:iCs/>
          <w:color w:val="215E99" w:themeColor="text2" w:themeTint="BF"/>
        </w:rPr>
      </w:pPr>
      <w:r>
        <w:rPr>
          <w:rStyle w:val="FootnoteReference"/>
        </w:rPr>
        <w:footnoteRef/>
      </w:r>
      <w:r>
        <w:t xml:space="preserve"> </w:t>
      </w:r>
      <w:r w:rsidR="00246A8E" w:rsidRPr="00246A8E">
        <w:rPr>
          <w:i/>
          <w:iCs/>
        </w:rPr>
        <w:t>GRP (current US$) - Congo, Dem. Rep.</w:t>
      </w:r>
      <w:r w:rsidR="00246A8E">
        <w:rPr>
          <w:i/>
          <w:iCs/>
          <w:color w:val="215E99" w:themeColor="text2" w:themeTint="BF"/>
        </w:rPr>
        <w:t xml:space="preserve"> </w:t>
      </w:r>
      <w:r>
        <w:t xml:space="preserve">The World Bank. </w:t>
      </w:r>
      <w:r w:rsidR="00246A8E">
        <w:t>(n.d.).</w:t>
      </w:r>
    </w:p>
  </w:footnote>
  <w:footnote w:id="52">
    <w:p w14:paraId="6F130CEE" w14:textId="5C3B4D11" w:rsidR="004A3470" w:rsidRPr="00246A8E" w:rsidRDefault="004A3470" w:rsidP="004A3470">
      <w:pPr>
        <w:pStyle w:val="FootnoteText"/>
        <w:rPr>
          <w:lang w:val="de-DE"/>
        </w:rPr>
      </w:pPr>
      <w:r>
        <w:rPr>
          <w:rStyle w:val="FootnoteReference"/>
        </w:rPr>
        <w:footnoteRef/>
      </w:r>
      <w:r>
        <w:t xml:space="preserve"> </w:t>
      </w:r>
      <w:r w:rsidR="00246A8E" w:rsidRPr="00246A8E">
        <w:rPr>
          <w:i/>
          <w:iCs/>
        </w:rPr>
        <w:t>Population, total - Congo, Dem. Rep.</w:t>
      </w:r>
      <w:r w:rsidR="00246A8E">
        <w:rPr>
          <w:color w:val="215E99" w:themeColor="text2" w:themeTint="BF"/>
        </w:rPr>
        <w:t xml:space="preserve"> </w:t>
      </w:r>
      <w:r>
        <w:t xml:space="preserve">The World Bank. </w:t>
      </w:r>
      <w:r w:rsidR="00246A8E" w:rsidRPr="00246A8E">
        <w:rPr>
          <w:lang w:val="de-DE"/>
        </w:rPr>
        <w:t>(n.d.-b</w:t>
      </w:r>
      <w:r w:rsidR="00246A8E">
        <w:rPr>
          <w:lang w:val="de-DE"/>
        </w:rPr>
        <w:t>).</w:t>
      </w:r>
    </w:p>
  </w:footnote>
  <w:footnote w:id="53">
    <w:p w14:paraId="48E404DD" w14:textId="6292FBB0" w:rsidR="004A3470" w:rsidRDefault="004A3470" w:rsidP="004A3470">
      <w:pPr>
        <w:pStyle w:val="FootnoteText"/>
      </w:pPr>
      <w:r>
        <w:rPr>
          <w:rStyle w:val="FootnoteReference"/>
        </w:rPr>
        <w:footnoteRef/>
      </w:r>
      <w:r w:rsidRPr="00246A8E">
        <w:rPr>
          <w:lang w:val="de-DE"/>
        </w:rPr>
        <w:t xml:space="preserve"> </w:t>
      </w:r>
      <w:r w:rsidRPr="00246A8E">
        <w:rPr>
          <w:lang w:val="de-DE"/>
        </w:rPr>
        <w:t xml:space="preserve">Olander, E. (2022). </w:t>
      </w:r>
      <w:r w:rsidRPr="00246A8E">
        <w:rPr>
          <w:i/>
          <w:iCs/>
        </w:rPr>
        <w:t>Small-scale Miners in Northeastern DR Congo Protest Against Chinese Mining Companies' Use of Heavy Machinery</w:t>
      </w:r>
      <w:r>
        <w:t xml:space="preserve">. China Global South Project. </w:t>
      </w:r>
    </w:p>
  </w:footnote>
  <w:footnote w:id="54">
    <w:p w14:paraId="6E9B7C9B" w14:textId="792065C1" w:rsidR="004A3470" w:rsidRPr="00C74058" w:rsidRDefault="004A3470" w:rsidP="004A3470">
      <w:pPr>
        <w:pStyle w:val="FootnoteText"/>
      </w:pPr>
      <w:r>
        <w:rPr>
          <w:rStyle w:val="FootnoteReference"/>
        </w:rPr>
        <w:footnoteRef/>
      </w:r>
      <w:r>
        <w:t xml:space="preserve"> Rolley, S. and Kasongo, A. (2024). </w:t>
      </w:r>
      <w:r w:rsidRPr="00246A8E">
        <w:rPr>
          <w:i/>
          <w:iCs/>
        </w:rPr>
        <w:t>Chinese companies to invest up to $7 billion in Congo mining infrastructure</w:t>
      </w:r>
      <w:r>
        <w:t xml:space="preserve">. </w:t>
      </w:r>
      <w:r w:rsidRPr="00C74058">
        <w:t xml:space="preserve">Reuters. </w:t>
      </w:r>
    </w:p>
  </w:footnote>
  <w:footnote w:id="55">
    <w:p w14:paraId="5E083CD8" w14:textId="37ED5544" w:rsidR="004A3470" w:rsidRDefault="004A3470" w:rsidP="004A3470">
      <w:pPr>
        <w:pStyle w:val="FootnoteText"/>
      </w:pPr>
      <w:r>
        <w:rPr>
          <w:rStyle w:val="FootnoteReference"/>
        </w:rPr>
        <w:footnoteRef/>
      </w:r>
      <w:r>
        <w:t xml:space="preserve"> Livingstone, E. (2024).</w:t>
      </w:r>
      <w:r>
        <w:rPr>
          <w:i/>
          <w:iCs/>
          <w:color w:val="215E99" w:themeColor="text2" w:themeTint="BF"/>
        </w:rPr>
        <w:t xml:space="preserve"> </w:t>
      </w:r>
      <w:r w:rsidRPr="00246A8E">
        <w:rPr>
          <w:i/>
          <w:iCs/>
        </w:rPr>
        <w:t>Uncertainties Remain With Renegotiated Chinese Mining Deal in DRC</w:t>
      </w:r>
      <w:r>
        <w:t>. Voice of A</w:t>
      </w:r>
      <w:r w:rsidR="00246A8E">
        <w:t>merica - Africa</w:t>
      </w:r>
      <w:r>
        <w:t>.</w:t>
      </w:r>
    </w:p>
  </w:footnote>
  <w:footnote w:id="56">
    <w:p w14:paraId="7D131217" w14:textId="30F7F5AC" w:rsidR="004A3470" w:rsidRDefault="004A3470" w:rsidP="004A3470">
      <w:pPr>
        <w:pStyle w:val="FootnoteText"/>
      </w:pPr>
      <w:r>
        <w:rPr>
          <w:rStyle w:val="FootnoteReference"/>
        </w:rPr>
        <w:footnoteRef/>
      </w:r>
      <w:r>
        <w:t xml:space="preserve"> </w:t>
      </w:r>
      <w:r w:rsidR="00246A8E">
        <w:t>Livingstone, Ibid</w:t>
      </w:r>
      <w:r w:rsidR="00E670E9">
        <w:t>.</w:t>
      </w:r>
    </w:p>
  </w:footnote>
  <w:footnote w:id="57">
    <w:p w14:paraId="5FAA0493" w14:textId="3C2A8E3C" w:rsidR="004A3470" w:rsidRDefault="004A3470" w:rsidP="004A3470">
      <w:pPr>
        <w:pStyle w:val="FootnoteText"/>
      </w:pPr>
      <w:r>
        <w:rPr>
          <w:rStyle w:val="FootnoteReference"/>
        </w:rPr>
        <w:footnoteRef/>
      </w:r>
      <w:r>
        <w:t xml:space="preserve"> </w:t>
      </w:r>
      <w:r w:rsidR="00246A8E" w:rsidRPr="00B778A6">
        <w:rPr>
          <w:i/>
          <w:iCs/>
        </w:rPr>
        <w:t>Democratic Republic of the Congo (COD) exports, imports, and trade partners</w:t>
      </w:r>
      <w:r w:rsidR="00246A8E" w:rsidRPr="00246A8E">
        <w:t>. The Observatory of Economic Complexity. (n.d.).</w:t>
      </w:r>
    </w:p>
  </w:footnote>
  <w:footnote w:id="58">
    <w:p w14:paraId="187E5DF0" w14:textId="56261F0C" w:rsidR="004A3470" w:rsidRDefault="004A3470" w:rsidP="004A3470">
      <w:pPr>
        <w:pStyle w:val="FootnoteText"/>
      </w:pPr>
      <w:r>
        <w:rPr>
          <w:rStyle w:val="FootnoteReference"/>
        </w:rPr>
        <w:footnoteRef/>
      </w:r>
      <w:r>
        <w:t xml:space="preserve"> </w:t>
      </w:r>
      <w:r w:rsidR="00246A8E">
        <w:t>Observatory of Economic Complexity, Ibid</w:t>
      </w:r>
      <w:r w:rsidR="00E670E9">
        <w:t>.</w:t>
      </w:r>
    </w:p>
  </w:footnote>
  <w:footnote w:id="59">
    <w:p w14:paraId="42E66E32" w14:textId="04DF2695" w:rsidR="004A3470" w:rsidRDefault="004A3470" w:rsidP="004A3470">
      <w:pPr>
        <w:pStyle w:val="FootnoteText"/>
      </w:pPr>
      <w:r>
        <w:rPr>
          <w:rStyle w:val="FootnoteReference"/>
        </w:rPr>
        <w:footnoteRef/>
      </w:r>
      <w:r w:rsidRPr="00C74058">
        <w:t xml:space="preserve"> Pistilli, M. (2023). </w:t>
      </w:r>
      <w:r w:rsidRPr="00246A8E">
        <w:rPr>
          <w:i/>
          <w:iCs/>
        </w:rPr>
        <w:t>Top 10 Cobalt Producers by Country</w:t>
      </w:r>
      <w:r>
        <w:t xml:space="preserve">. Investing News Network. </w:t>
      </w:r>
    </w:p>
  </w:footnote>
  <w:footnote w:id="60">
    <w:p w14:paraId="1D1E3BDF" w14:textId="18B40FC1" w:rsidR="004A3470" w:rsidRDefault="004A3470" w:rsidP="004A3470">
      <w:pPr>
        <w:pStyle w:val="FootnoteText"/>
      </w:pPr>
      <w:r>
        <w:rPr>
          <w:rStyle w:val="FootnoteReference"/>
        </w:rPr>
        <w:footnoteRef/>
      </w:r>
      <w:r w:rsidRPr="00C74058">
        <w:t xml:space="preserve"> Ben-Shahar, O. (2009).  </w:t>
      </w:r>
      <w:r w:rsidRPr="00246A8E">
        <w:rPr>
          <w:i/>
          <w:iCs/>
        </w:rPr>
        <w:t>A Bargaining Power Theory of Default Rules</w:t>
      </w:r>
      <w:r>
        <w:t xml:space="preserve">. Columbia Law Review.  </w:t>
      </w:r>
    </w:p>
  </w:footnote>
  <w:footnote w:id="61">
    <w:p w14:paraId="2BEBAD55" w14:textId="77777777" w:rsidR="004A3470" w:rsidRDefault="004A3470" w:rsidP="004A3470">
      <w:pPr>
        <w:pStyle w:val="FootnoteText"/>
        <w:rPr>
          <w:rFonts w:ascii="Calibri" w:hAnsi="Calibri" w:cs="Calibri"/>
        </w:rPr>
      </w:pPr>
      <w:r>
        <w:rPr>
          <w:rStyle w:val="FootnoteReference"/>
        </w:rPr>
        <w:footnoteRef/>
      </w:r>
      <w:r>
        <w:t xml:space="preserve"> </w:t>
      </w:r>
      <w:r>
        <w:rPr>
          <w:rFonts w:cs="Calibri"/>
          <w:color w:val="000000"/>
        </w:rPr>
        <w:t xml:space="preserve">Frankel, T. C. (2016). </w:t>
      </w:r>
      <w:r w:rsidRPr="00246A8E">
        <w:rPr>
          <w:rFonts w:cs="Calibri"/>
          <w:i/>
          <w:iCs/>
          <w:color w:val="000000"/>
        </w:rPr>
        <w:t>The Cobalt Pipeline</w:t>
      </w:r>
      <w:r>
        <w:rPr>
          <w:rFonts w:cs="Calibri"/>
          <w:color w:val="000000"/>
        </w:rPr>
        <w:t xml:space="preserve">. </w:t>
      </w:r>
      <w:r w:rsidRPr="00246A8E">
        <w:rPr>
          <w:rFonts w:cs="Calibri"/>
          <w:color w:val="000000"/>
        </w:rPr>
        <w:t>The Washington Post</w:t>
      </w:r>
      <w:r>
        <w:rPr>
          <w:rFonts w:cs="Calibri"/>
          <w:color w:val="000000"/>
        </w:rPr>
        <w:t xml:space="preserve">. </w:t>
      </w:r>
    </w:p>
  </w:footnote>
  <w:footnote w:id="62">
    <w:p w14:paraId="0B656F1F" w14:textId="139A5C5B" w:rsidR="004A3470" w:rsidRDefault="004A3470" w:rsidP="004A3470">
      <w:pPr>
        <w:pStyle w:val="FootnoteText"/>
      </w:pPr>
      <w:r>
        <w:rPr>
          <w:rStyle w:val="FootnoteReference"/>
        </w:rPr>
        <w:footnoteRef/>
      </w:r>
      <w:r>
        <w:t xml:space="preserve"> Irle, R. (2024). </w:t>
      </w:r>
      <w:r w:rsidRPr="00B778A6">
        <w:rPr>
          <w:i/>
          <w:iCs/>
        </w:rPr>
        <w:t>Global EV Sales for 2023</w:t>
      </w:r>
      <w:r>
        <w:t>. J.D. Power.</w:t>
      </w:r>
    </w:p>
  </w:footnote>
  <w:footnote w:id="63">
    <w:p w14:paraId="4D64B88D" w14:textId="5A63F5A3" w:rsidR="004A3470" w:rsidRDefault="004A3470" w:rsidP="004A3470">
      <w:pPr>
        <w:pStyle w:val="FootnoteText"/>
      </w:pPr>
      <w:r>
        <w:rPr>
          <w:rStyle w:val="FootnoteReference"/>
        </w:rPr>
        <w:footnoteRef/>
      </w:r>
      <w:r>
        <w:t xml:space="preserve"> Viernes, F. (2023). </w:t>
      </w:r>
      <w:r w:rsidRPr="00B778A6">
        <w:rPr>
          <w:i/>
          <w:iCs/>
        </w:rPr>
        <w:t>Oversupply, low prices for cobalt to persist in 2024 as demand slips</w:t>
      </w:r>
      <w:r>
        <w:t xml:space="preserve">. S&amp;P Global Commodity Insights. </w:t>
      </w:r>
    </w:p>
  </w:footnote>
  <w:footnote w:id="64">
    <w:p w14:paraId="2C08CD38" w14:textId="005CFDD8" w:rsidR="004A3470" w:rsidRDefault="004A3470" w:rsidP="004A3470">
      <w:pPr>
        <w:pStyle w:val="FootnoteText"/>
      </w:pPr>
      <w:r>
        <w:rPr>
          <w:rStyle w:val="FootnoteReference"/>
        </w:rPr>
        <w:footnoteRef/>
      </w:r>
      <w:r>
        <w:t xml:space="preserve"> </w:t>
      </w:r>
      <w:r w:rsidR="00B778A6" w:rsidRPr="00B778A6">
        <w:rPr>
          <w:i/>
          <w:iCs/>
        </w:rPr>
        <w:t>Country Profiles: Democratic Republic of the Congo (DRC)</w:t>
      </w:r>
      <w:r w:rsidR="00B778A6">
        <w:t xml:space="preserve">.  </w:t>
      </w:r>
      <w:r>
        <w:t xml:space="preserve">United States Agency for International Development. (2023). </w:t>
      </w:r>
    </w:p>
  </w:footnote>
  <w:footnote w:id="65">
    <w:p w14:paraId="68B5A892" w14:textId="2D3FE292" w:rsidR="004A3470" w:rsidRDefault="004A3470" w:rsidP="004A3470">
      <w:pPr>
        <w:pStyle w:val="FootnoteText"/>
      </w:pPr>
      <w:r>
        <w:rPr>
          <w:rStyle w:val="FootnoteReference"/>
        </w:rPr>
        <w:footnoteRef/>
      </w:r>
      <w:r>
        <w:t xml:space="preserve"> </w:t>
      </w:r>
      <w:proofErr w:type="spellStart"/>
      <w:r>
        <w:t>Muimba</w:t>
      </w:r>
      <w:proofErr w:type="spellEnd"/>
      <w:r>
        <w:t xml:space="preserve">-Kankolongo, A., Banza Lubaba Nkulu, C., Mwitwa, J., </w:t>
      </w:r>
      <w:proofErr w:type="spellStart"/>
      <w:r>
        <w:t>Kampemba</w:t>
      </w:r>
      <w:proofErr w:type="spellEnd"/>
      <w:r>
        <w:t xml:space="preserve">, F. M., &amp; </w:t>
      </w:r>
      <w:proofErr w:type="spellStart"/>
      <w:r>
        <w:t>Mulele</w:t>
      </w:r>
      <w:proofErr w:type="spellEnd"/>
      <w:r>
        <w:t xml:space="preserve"> </w:t>
      </w:r>
      <w:proofErr w:type="spellStart"/>
      <w:r>
        <w:t>Nabuyanda</w:t>
      </w:r>
      <w:proofErr w:type="spellEnd"/>
      <w:r>
        <w:t xml:space="preserve">, M. (2022). Impacts of Trace Metals Pollution of Water, Food Crops, and Ambient Air on Population Health in Zambia and the DR Congo. </w:t>
      </w:r>
      <w:r>
        <w:rPr>
          <w:i/>
          <w:iCs/>
        </w:rPr>
        <w:t xml:space="preserve">Journal of </w:t>
      </w:r>
      <w:r w:rsidR="00B778A6">
        <w:rPr>
          <w:i/>
          <w:iCs/>
        </w:rPr>
        <w:t>E</w:t>
      </w:r>
      <w:r>
        <w:rPr>
          <w:i/>
          <w:iCs/>
        </w:rPr>
        <w:t xml:space="preserve">nvironmental and </w:t>
      </w:r>
      <w:r w:rsidR="00B778A6">
        <w:rPr>
          <w:i/>
          <w:iCs/>
        </w:rPr>
        <w:t>P</w:t>
      </w:r>
      <w:r>
        <w:rPr>
          <w:i/>
          <w:iCs/>
        </w:rPr>
        <w:t xml:space="preserve">ublic </w:t>
      </w:r>
      <w:r w:rsidR="00B778A6">
        <w:rPr>
          <w:i/>
          <w:iCs/>
        </w:rPr>
        <w:t>H</w:t>
      </w:r>
      <w:r>
        <w:rPr>
          <w:i/>
          <w:iCs/>
        </w:rPr>
        <w:t>ealth</w:t>
      </w:r>
      <w:r>
        <w:t xml:space="preserve">, </w:t>
      </w:r>
      <w:r>
        <w:rPr>
          <w:i/>
          <w:iCs/>
        </w:rPr>
        <w:t>2022</w:t>
      </w:r>
      <w:r>
        <w:t xml:space="preserve">, </w:t>
      </w:r>
      <w:r w:rsidR="00B778A6">
        <w:t>1-14</w:t>
      </w:r>
      <w:r>
        <w:t xml:space="preserve">.  </w:t>
      </w:r>
    </w:p>
  </w:footnote>
  <w:footnote w:id="66">
    <w:p w14:paraId="05F83E51" w14:textId="2698B59E" w:rsidR="00C74058" w:rsidRDefault="00C74058" w:rsidP="00C74058">
      <w:pPr>
        <w:pStyle w:val="FootnoteText"/>
      </w:pPr>
      <w:r>
        <w:rPr>
          <w:rStyle w:val="FootnoteReference"/>
        </w:rPr>
        <w:footnoteRef/>
      </w:r>
      <w:r>
        <w:t xml:space="preserve"> </w:t>
      </w:r>
      <w:r w:rsidR="00B778A6" w:rsidRPr="00B778A6">
        <w:rPr>
          <w:i/>
          <w:iCs/>
        </w:rPr>
        <w:t>Unpacking China's GDP</w:t>
      </w:r>
      <w:r w:rsidR="00B778A6">
        <w:t xml:space="preserve">. </w:t>
      </w:r>
      <w:r>
        <w:t xml:space="preserve">CSIS China Power Project and the World Bank. (2021). </w:t>
      </w:r>
    </w:p>
  </w:footnote>
  <w:footnote w:id="67">
    <w:p w14:paraId="1F7B5EED" w14:textId="79EC1DD4" w:rsidR="00C74058" w:rsidRDefault="00C74058" w:rsidP="00C74058">
      <w:pPr>
        <w:pStyle w:val="FootnoteText"/>
      </w:pPr>
      <w:r>
        <w:rPr>
          <w:rStyle w:val="FootnoteReference"/>
        </w:rPr>
        <w:footnoteRef/>
      </w:r>
      <w:r w:rsidRPr="00C74058">
        <w:t xml:space="preserve"> Henze, V. (2022). </w:t>
      </w:r>
      <w:r w:rsidRPr="00B778A6">
        <w:rPr>
          <w:i/>
          <w:iCs/>
        </w:rPr>
        <w:t>China's Battery Supply Chain Tops BNEF Ranking for Third Consecutive Time, with Canada a Close Second</w:t>
      </w:r>
      <w:r>
        <w:t xml:space="preserve">. </w:t>
      </w:r>
      <w:proofErr w:type="spellStart"/>
      <w:r>
        <w:t>BloombergNEF</w:t>
      </w:r>
      <w:proofErr w:type="spellEnd"/>
      <w:r>
        <w:t xml:space="preserve">. </w:t>
      </w:r>
    </w:p>
  </w:footnote>
  <w:footnote w:id="68">
    <w:p w14:paraId="5AF57819" w14:textId="4E514CDE" w:rsidR="00C74058" w:rsidRDefault="00C74058" w:rsidP="00C74058">
      <w:pPr>
        <w:pStyle w:val="FootnoteText"/>
      </w:pPr>
      <w:r>
        <w:rPr>
          <w:rStyle w:val="FootnoteReference"/>
        </w:rPr>
        <w:footnoteRef/>
      </w:r>
      <w:r w:rsidRPr="00C74058">
        <w:t xml:space="preserve"> Yu, Bai. </w:t>
      </w:r>
      <w:r>
        <w:t xml:space="preserve">(2023). </w:t>
      </w:r>
      <w:r w:rsidRPr="00B778A6">
        <w:rPr>
          <w:i/>
          <w:iCs/>
        </w:rPr>
        <w:t>Life after subsidies for China's EVs</w:t>
      </w:r>
      <w:r>
        <w:t xml:space="preserve">. China Dialogue. </w:t>
      </w:r>
    </w:p>
  </w:footnote>
  <w:footnote w:id="69">
    <w:p w14:paraId="160D344C" w14:textId="325084AB" w:rsidR="00C74058" w:rsidRDefault="00C74058" w:rsidP="00C74058">
      <w:pPr>
        <w:pStyle w:val="FootnoteText"/>
      </w:pPr>
      <w:r>
        <w:rPr>
          <w:rStyle w:val="FootnoteReference"/>
        </w:rPr>
        <w:footnoteRef/>
      </w:r>
      <w:r>
        <w:t xml:space="preserve"> </w:t>
      </w:r>
      <w:r w:rsidR="00B778A6" w:rsidRPr="00B778A6">
        <w:rPr>
          <w:i/>
          <w:iCs/>
        </w:rPr>
        <w:t>Profile: Cobalt</w:t>
      </w:r>
      <w:r w:rsidR="00B778A6">
        <w:t xml:space="preserve">. </w:t>
      </w:r>
      <w:r>
        <w:t xml:space="preserve">Observatory of Economic Complexity. </w:t>
      </w:r>
      <w:r w:rsidR="00B778A6">
        <w:t>(n.d.)</w:t>
      </w:r>
    </w:p>
  </w:footnote>
  <w:footnote w:id="70">
    <w:p w14:paraId="139BF997" w14:textId="13B57C48" w:rsidR="00C74058" w:rsidRDefault="00C74058" w:rsidP="00C74058">
      <w:pPr>
        <w:pStyle w:val="FootnoteText"/>
      </w:pPr>
      <w:r>
        <w:rPr>
          <w:rStyle w:val="FootnoteReference"/>
        </w:rPr>
        <w:footnoteRef/>
      </w:r>
      <w:r>
        <w:t xml:space="preserve"> Hering, G. </w:t>
      </w:r>
      <w:r w:rsidR="00B778A6">
        <w:t>a</w:t>
      </w:r>
      <w:r>
        <w:t xml:space="preserve">nd </w:t>
      </w:r>
      <w:proofErr w:type="spellStart"/>
      <w:r>
        <w:t>Duquiatan</w:t>
      </w:r>
      <w:proofErr w:type="spellEnd"/>
      <w:r>
        <w:t xml:space="preserve">, A. (2023). </w:t>
      </w:r>
      <w:r w:rsidRPr="00B778A6">
        <w:rPr>
          <w:i/>
          <w:iCs/>
        </w:rPr>
        <w:t>US lithium-ion battery imports, mostly from China, skyrocket in 2022</w:t>
      </w:r>
      <w:r>
        <w:t xml:space="preserve">. S&amp;P Global Market Intelligence. </w:t>
      </w:r>
    </w:p>
  </w:footnote>
  <w:footnote w:id="71">
    <w:p w14:paraId="61C2CF40" w14:textId="5CF2F4B8" w:rsidR="00C74058" w:rsidRDefault="00C74058" w:rsidP="00C74058">
      <w:pPr>
        <w:pStyle w:val="FootnoteText"/>
      </w:pPr>
      <w:r>
        <w:rPr>
          <w:rStyle w:val="FootnoteReference"/>
        </w:rPr>
        <w:footnoteRef/>
      </w:r>
      <w:r>
        <w:t xml:space="preserve"> </w:t>
      </w:r>
      <w:r w:rsidR="00B778A6" w:rsidRPr="00B778A6">
        <w:rPr>
          <w:i/>
          <w:iCs/>
        </w:rPr>
        <w:t>Global Li-Ion Battery Demand 2022-2030</w:t>
      </w:r>
      <w:r w:rsidR="00B778A6" w:rsidRPr="00B778A6">
        <w:t>. Statista and McKinsey &amp; Co. (2023).</w:t>
      </w:r>
    </w:p>
  </w:footnote>
  <w:footnote w:id="72">
    <w:p w14:paraId="0995A956" w14:textId="49A5FCFF" w:rsidR="00C74058" w:rsidRDefault="00C74058" w:rsidP="00C74058">
      <w:pPr>
        <w:pStyle w:val="FootnoteText"/>
      </w:pPr>
      <w:r>
        <w:rPr>
          <w:rStyle w:val="FootnoteReference"/>
        </w:rPr>
        <w:footnoteRef/>
      </w:r>
      <w:r>
        <w:t xml:space="preserve"> </w:t>
      </w:r>
      <w:r w:rsidR="00B778A6" w:rsidRPr="00B778A6">
        <w:rPr>
          <w:i/>
          <w:iCs/>
        </w:rPr>
        <w:t>Report on Lithium-ion Battery Market</w:t>
      </w:r>
      <w:r w:rsidR="00B778A6">
        <w:t xml:space="preserve">. </w:t>
      </w:r>
      <w:r>
        <w:t xml:space="preserve">MarketsandMarkets. (2023). </w:t>
      </w:r>
    </w:p>
  </w:footnote>
  <w:footnote w:id="73">
    <w:p w14:paraId="4D8E0EF9" w14:textId="7464DABD" w:rsidR="00C74058" w:rsidRDefault="00C74058" w:rsidP="00C74058">
      <w:pPr>
        <w:pStyle w:val="FootnoteText"/>
      </w:pPr>
      <w:r>
        <w:rPr>
          <w:rStyle w:val="FootnoteReference"/>
        </w:rPr>
        <w:footnoteRef/>
      </w:r>
      <w:r>
        <w:t xml:space="preserve"> Rolley, S. and Kasongo, A. (2024). </w:t>
      </w:r>
      <w:r w:rsidRPr="00B778A6">
        <w:rPr>
          <w:i/>
          <w:iCs/>
        </w:rPr>
        <w:t>Chinese companies to invest up to $7 billion in Congo mining infrastructure</w:t>
      </w:r>
      <w:r>
        <w:t>. Reuters.</w:t>
      </w:r>
    </w:p>
  </w:footnote>
  <w:footnote w:id="74">
    <w:p w14:paraId="5DE15247" w14:textId="63442C6C" w:rsidR="00C74058" w:rsidRDefault="00C74058" w:rsidP="00C74058">
      <w:pPr>
        <w:pStyle w:val="FootnoteText"/>
      </w:pPr>
      <w:r>
        <w:rPr>
          <w:rStyle w:val="FootnoteReference"/>
        </w:rPr>
        <w:footnoteRef/>
      </w:r>
      <w:r>
        <w:t xml:space="preserve"> </w:t>
      </w:r>
      <w:r w:rsidR="00B778A6" w:rsidRPr="00B778A6">
        <w:rPr>
          <w:i/>
          <w:iCs/>
        </w:rPr>
        <w:t>Profile: Democratic Republic of the Congo</w:t>
      </w:r>
      <w:r w:rsidR="00B778A6">
        <w:t xml:space="preserve">. </w:t>
      </w:r>
      <w:r>
        <w:t xml:space="preserve">Observatory of Economic Complexity. </w:t>
      </w:r>
      <w:r w:rsidR="00B778A6">
        <w:t>(n.d.)</w:t>
      </w:r>
    </w:p>
  </w:footnote>
  <w:footnote w:id="75">
    <w:p w14:paraId="281E563F" w14:textId="78F70EAF" w:rsidR="00C74058" w:rsidRDefault="00C74058" w:rsidP="00C74058">
      <w:pPr>
        <w:pStyle w:val="FootnoteText"/>
      </w:pPr>
      <w:r>
        <w:rPr>
          <w:rStyle w:val="FootnoteReference"/>
        </w:rPr>
        <w:footnoteRef/>
      </w:r>
      <w:r>
        <w:t xml:space="preserve"> Livingstone, </w:t>
      </w:r>
      <w:r w:rsidR="00B778A6">
        <w:t>Ibid.</w:t>
      </w:r>
    </w:p>
  </w:footnote>
  <w:footnote w:id="76">
    <w:p w14:paraId="2EDF6A4E" w14:textId="732C2701" w:rsidR="00C74058" w:rsidRDefault="00C74058" w:rsidP="00C74058">
      <w:pPr>
        <w:pStyle w:val="FootnoteText"/>
      </w:pPr>
      <w:r>
        <w:rPr>
          <w:rStyle w:val="FootnoteReference"/>
        </w:rPr>
        <w:footnoteRef/>
      </w:r>
      <w:r>
        <w:t xml:space="preserve"> </w:t>
      </w:r>
      <w:r>
        <w:rPr>
          <w:rFonts w:ascii="Aptos" w:hAnsi="Aptos" w:cs="Arial"/>
          <w:color w:val="000000"/>
        </w:rPr>
        <w:t xml:space="preserve">Umbach, </w:t>
      </w:r>
      <w:r w:rsidR="00B778A6">
        <w:rPr>
          <w:rFonts w:ascii="Aptos" w:hAnsi="Aptos" w:cs="Arial"/>
          <w:color w:val="000000"/>
        </w:rPr>
        <w:t>Ibid.</w:t>
      </w:r>
    </w:p>
  </w:footnote>
  <w:footnote w:id="77">
    <w:p w14:paraId="4BFE0DC0" w14:textId="2A63C774" w:rsidR="00C74058" w:rsidRPr="00B778A6" w:rsidRDefault="00C74058" w:rsidP="00C74058">
      <w:pPr>
        <w:pStyle w:val="FootnoteText"/>
        <w:rPr>
          <w:lang w:val="de-DE"/>
        </w:rPr>
      </w:pPr>
      <w:r>
        <w:rPr>
          <w:rStyle w:val="FootnoteReference"/>
        </w:rPr>
        <w:footnoteRef/>
      </w:r>
      <w:r w:rsidRPr="00B778A6">
        <w:rPr>
          <w:lang w:val="de-DE"/>
        </w:rPr>
        <w:t xml:space="preserve"> </w:t>
      </w:r>
      <w:r w:rsidRPr="00B778A6">
        <w:rPr>
          <w:lang w:val="de-DE"/>
        </w:rPr>
        <w:t>Burke, S., &amp; Zimmerman, R.</w:t>
      </w:r>
      <w:r w:rsidR="00B778A6" w:rsidRPr="00B778A6">
        <w:rPr>
          <w:lang w:val="de-DE"/>
        </w:rPr>
        <w:t>, Ibi</w:t>
      </w:r>
      <w:r w:rsidR="00B778A6">
        <w:rPr>
          <w:lang w:val="de-DE"/>
        </w:rPr>
        <w:t>d.</w:t>
      </w:r>
    </w:p>
  </w:footnote>
  <w:footnote w:id="78">
    <w:p w14:paraId="6C62494D" w14:textId="5D93D875" w:rsidR="00C74058" w:rsidRDefault="00C74058" w:rsidP="00C74058">
      <w:pPr>
        <w:pStyle w:val="FootnoteText"/>
      </w:pPr>
      <w:r>
        <w:rPr>
          <w:rStyle w:val="FootnoteReference"/>
        </w:rPr>
        <w:footnoteRef/>
      </w:r>
      <w:r>
        <w:t xml:space="preserve"> Pallares, G. (2022). </w:t>
      </w:r>
      <w:r w:rsidRPr="00B778A6">
        <w:rPr>
          <w:i/>
          <w:iCs/>
        </w:rPr>
        <w:t>Chinese companies linked to illegal logging and mining in northern DRC</w:t>
      </w:r>
      <w:r>
        <w:t xml:space="preserve">. Mongabay Series: Investigation. </w:t>
      </w:r>
    </w:p>
  </w:footnote>
  <w:footnote w:id="79">
    <w:p w14:paraId="11A304EA" w14:textId="261CDA45" w:rsidR="00C74058" w:rsidRDefault="00C74058" w:rsidP="00C74058">
      <w:pPr>
        <w:pStyle w:val="FootnoteText"/>
      </w:pPr>
      <w:r>
        <w:rPr>
          <w:rStyle w:val="FootnoteReference"/>
        </w:rPr>
        <w:footnoteRef/>
      </w:r>
      <w:r>
        <w:t xml:space="preserve"> </w:t>
      </w:r>
      <w:r w:rsidR="00891793">
        <w:t>Livingstone, Ibid.</w:t>
      </w:r>
    </w:p>
  </w:footnote>
  <w:footnote w:id="80">
    <w:p w14:paraId="360034E3" w14:textId="40F98B1D" w:rsidR="00C74058" w:rsidRDefault="00C74058" w:rsidP="00C74058">
      <w:pPr>
        <w:pStyle w:val="FootnoteText"/>
      </w:pPr>
      <w:r>
        <w:rPr>
          <w:rStyle w:val="FootnoteReference"/>
        </w:rPr>
        <w:footnoteRef/>
      </w:r>
      <w:r>
        <w:t xml:space="preserve"> International Comparative Legal Guides. (2023). </w:t>
      </w:r>
      <w:r w:rsidRPr="00891793">
        <w:rPr>
          <w:i/>
          <w:iCs/>
        </w:rPr>
        <w:t>Mining Laws and Regulations Congo D.R. 2024</w:t>
      </w:r>
      <w:r>
        <w:t xml:space="preserve">. Global Legal Group. </w:t>
      </w:r>
    </w:p>
  </w:footnote>
  <w:footnote w:id="81">
    <w:p w14:paraId="40F9C4ED" w14:textId="6FB89F8C" w:rsidR="00C74058" w:rsidRDefault="00C74058" w:rsidP="00C74058">
      <w:pPr>
        <w:pStyle w:val="FootnoteText"/>
      </w:pPr>
      <w:r>
        <w:rPr>
          <w:rStyle w:val="FootnoteReference"/>
        </w:rPr>
        <w:footnoteRef/>
      </w:r>
      <w:r>
        <w:t xml:space="preserve"> Amnesty International and African Resource Watch. (2016).</w:t>
      </w:r>
      <w:r w:rsidRPr="00891793">
        <w:rPr>
          <w:i/>
          <w:iCs/>
        </w:rPr>
        <w:t>"This is What We Die For": Human Rights Abuses in the Democratic Republic of the Congo Power the Global Trade in Cobalt</w:t>
      </w:r>
      <w:r>
        <w:t xml:space="preserve">. Amnesty International Ltd </w:t>
      </w:r>
    </w:p>
  </w:footnote>
  <w:footnote w:id="82">
    <w:p w14:paraId="4904977B" w14:textId="277D0383" w:rsidR="00C74058" w:rsidRDefault="00C74058" w:rsidP="00C74058">
      <w:pPr>
        <w:pStyle w:val="FootnoteText"/>
      </w:pPr>
      <w:r>
        <w:rPr>
          <w:rStyle w:val="FootnoteReference"/>
        </w:rPr>
        <w:footnoteRef/>
      </w:r>
      <w:r>
        <w:t xml:space="preserve"> China Power Team. (2017). </w:t>
      </w:r>
      <w:r w:rsidRPr="00891793">
        <w:rPr>
          <w:i/>
          <w:iCs/>
        </w:rPr>
        <w:t>How is the Belt and Road Initiative Advancing China's Interests?</w:t>
      </w:r>
      <w:r>
        <w:t xml:space="preserve">. ChinaPower. </w:t>
      </w:r>
    </w:p>
  </w:footnote>
  <w:footnote w:id="83">
    <w:p w14:paraId="50342C4A" w14:textId="4C6E727A" w:rsidR="00C74058" w:rsidRDefault="00C74058" w:rsidP="00C74058">
      <w:pPr>
        <w:pStyle w:val="FootnoteText"/>
      </w:pPr>
      <w:r>
        <w:rPr>
          <w:rStyle w:val="FootnoteReference"/>
        </w:rPr>
        <w:footnoteRef/>
      </w:r>
      <w:r>
        <w:t xml:space="preserve"> Clark, N. (2023). </w:t>
      </w:r>
      <w:r w:rsidRPr="00891793">
        <w:rPr>
          <w:rFonts w:ascii="Georgia" w:hAnsi="Georgia"/>
          <w:i/>
          <w:iCs/>
        </w:rPr>
        <w:t>The Rise and Fall of the BRI</w:t>
      </w:r>
      <w:r>
        <w:rPr>
          <w:rFonts w:ascii="Georgia" w:hAnsi="Georgia"/>
        </w:rPr>
        <w:t xml:space="preserve">. Council on Foreign Relations. </w:t>
      </w:r>
    </w:p>
  </w:footnote>
  <w:footnote w:id="84">
    <w:p w14:paraId="7C93EE38" w14:textId="352C5ED8" w:rsidR="00C74058" w:rsidRDefault="00C74058" w:rsidP="00C74058">
      <w:pPr>
        <w:pStyle w:val="FootnoteText"/>
      </w:pPr>
      <w:r>
        <w:rPr>
          <w:rStyle w:val="FootnoteReference"/>
        </w:rPr>
        <w:footnoteRef/>
      </w:r>
      <w:r>
        <w:t xml:space="preserve"> McBride, J., Berman, N., and Chatzky, A. (2023).</w:t>
      </w:r>
      <w:r w:rsidR="00891793">
        <w:t xml:space="preserve"> </w:t>
      </w:r>
      <w:r w:rsidRPr="00891793">
        <w:rPr>
          <w:i/>
          <w:iCs/>
        </w:rPr>
        <w:t>China's Massive Belt and Road Initiative</w:t>
      </w:r>
      <w:r>
        <w:t xml:space="preserve">. Council on Foreign Relations. </w:t>
      </w:r>
    </w:p>
  </w:footnote>
  <w:footnote w:id="85">
    <w:p w14:paraId="5226C44B" w14:textId="77777777" w:rsidR="00C74058" w:rsidRDefault="00C74058" w:rsidP="00C74058">
      <w:pPr>
        <w:pStyle w:val="FootnoteText"/>
      </w:pPr>
      <w:r>
        <w:rPr>
          <w:rStyle w:val="FootnoteReference"/>
        </w:rPr>
        <w:footnoteRef/>
      </w:r>
      <w:r>
        <w:t xml:space="preserve"> Campbell, H. (2008). China in Africa: Challenging US Global Hegemony. </w:t>
      </w:r>
      <w:r>
        <w:rPr>
          <w:i/>
          <w:iCs/>
        </w:rPr>
        <w:t>Third World Quarterly</w:t>
      </w:r>
      <w:r>
        <w:t xml:space="preserve">, </w:t>
      </w:r>
      <w:r>
        <w:rPr>
          <w:i/>
          <w:iCs/>
        </w:rPr>
        <w:t>29</w:t>
      </w:r>
      <w:r>
        <w:t xml:space="preserve">(1), 89–105. </w:t>
      </w:r>
    </w:p>
  </w:footnote>
  <w:footnote w:id="86">
    <w:p w14:paraId="34454518" w14:textId="53E3D070" w:rsidR="00C74058" w:rsidRDefault="00C74058" w:rsidP="00C74058">
      <w:pPr>
        <w:pStyle w:val="FootnoteText"/>
      </w:pPr>
      <w:r>
        <w:rPr>
          <w:rStyle w:val="FootnoteReference"/>
        </w:rPr>
        <w:footnoteRef/>
      </w:r>
      <w:r w:rsidRPr="008A4B41">
        <w:t xml:space="preserve"> Page, V. (2023). </w:t>
      </w:r>
      <w:r w:rsidRPr="00891793">
        <w:rPr>
          <w:i/>
          <w:iCs/>
        </w:rPr>
        <w:t>Primary Drivers of the Chinese Economy</w:t>
      </w:r>
      <w:r>
        <w:t xml:space="preserve">. Investopedia.  </w:t>
      </w:r>
    </w:p>
  </w:footnote>
  <w:footnote w:id="87">
    <w:p w14:paraId="60786702" w14:textId="1D6FDEE7" w:rsidR="00C74058" w:rsidRDefault="00C74058" w:rsidP="00C74058">
      <w:pPr>
        <w:pStyle w:val="FootnoteText"/>
      </w:pPr>
      <w:r>
        <w:rPr>
          <w:rStyle w:val="FootnoteReference"/>
        </w:rPr>
        <w:footnoteRef/>
      </w:r>
      <w:r>
        <w:t xml:space="preserve"> Ministry of Foreign Affairs of the People’s Republic of China. (2021). </w:t>
      </w:r>
      <w:r w:rsidRPr="00891793">
        <w:rPr>
          <w:i/>
          <w:iCs/>
        </w:rPr>
        <w:t>Communique of China and Africa in the New Era: A Partnership of Equals</w:t>
      </w:r>
      <w:r>
        <w:t xml:space="preserve">. The State Council Information Office of the People’s Republic of China. </w:t>
      </w:r>
    </w:p>
  </w:footnote>
  <w:footnote w:id="88">
    <w:p w14:paraId="0614A7E6" w14:textId="77777777" w:rsidR="00C74058" w:rsidRDefault="00C74058" w:rsidP="00C74058">
      <w:pPr>
        <w:pStyle w:val="FootnoteText"/>
      </w:pPr>
      <w:r>
        <w:rPr>
          <w:rStyle w:val="FootnoteReference"/>
        </w:rPr>
        <w:footnoteRef/>
      </w:r>
      <w:r>
        <w:t xml:space="preserve"> Were, A. (2018). </w:t>
      </w:r>
      <w:r>
        <w:rPr>
          <w:i/>
          <w:iCs/>
        </w:rPr>
        <w:t>Debt Trap?: Chinese Loans and Africa</w:t>
      </w:r>
      <w:r>
        <w:rPr>
          <w:rFonts w:ascii="Arial" w:hAnsi="Arial" w:cs="Arial"/>
          <w:i/>
          <w:iCs/>
        </w:rPr>
        <w:t>’</w:t>
      </w:r>
      <w:r>
        <w:rPr>
          <w:i/>
          <w:iCs/>
        </w:rPr>
        <w:t>s Development Options</w:t>
      </w:r>
      <w:r>
        <w:t>. South African Institute of International Affairs.</w:t>
      </w:r>
    </w:p>
  </w:footnote>
  <w:footnote w:id="89">
    <w:p w14:paraId="6179D2CF" w14:textId="5C071612" w:rsidR="00C74058" w:rsidRDefault="00C74058" w:rsidP="00C74058">
      <w:pPr>
        <w:pStyle w:val="FootnoteText"/>
      </w:pPr>
      <w:r>
        <w:rPr>
          <w:rStyle w:val="FootnoteReference"/>
        </w:rPr>
        <w:footnoteRef/>
      </w:r>
      <w:r w:rsidRPr="008A4B41">
        <w:t xml:space="preserve"> Li, X. (2018). </w:t>
      </w:r>
      <w:r w:rsidRPr="00891793">
        <w:rPr>
          <w:i/>
          <w:iCs/>
        </w:rPr>
        <w:t>China is offering 'no strings attached aid' to Africa. Here's what that means</w:t>
      </w:r>
      <w:r>
        <w:t>. The Washington Post.</w:t>
      </w:r>
    </w:p>
  </w:footnote>
  <w:footnote w:id="90">
    <w:p w14:paraId="19992824" w14:textId="27A4C266" w:rsidR="00C74058" w:rsidRDefault="00C74058" w:rsidP="00C74058">
      <w:pPr>
        <w:pStyle w:val="FootnoteText"/>
      </w:pPr>
      <w:r>
        <w:rPr>
          <w:rStyle w:val="FootnoteReference"/>
        </w:rPr>
        <w:footnoteRef/>
      </w:r>
      <w:r>
        <w:t xml:space="preserve"> Appiah-Nyamekye Sanny, J. and Selormey, E. (2021). </w:t>
      </w:r>
      <w:r w:rsidRPr="00891793">
        <w:rPr>
          <w:i/>
          <w:iCs/>
        </w:rPr>
        <w:t>Africans welcome China's influence but maintain democratic aspirations</w:t>
      </w:r>
      <w:r>
        <w:t>. Afrobarometer.</w:t>
      </w:r>
    </w:p>
  </w:footnote>
  <w:footnote w:id="91">
    <w:p w14:paraId="23A5B7DC" w14:textId="22D8F110" w:rsidR="00C74058" w:rsidRPr="008A4B41" w:rsidRDefault="00C74058" w:rsidP="00C74058">
      <w:pPr>
        <w:pStyle w:val="FootnoteText"/>
      </w:pPr>
      <w:r>
        <w:rPr>
          <w:rStyle w:val="FootnoteReference"/>
        </w:rPr>
        <w:footnoteRef/>
      </w:r>
      <w:r w:rsidRPr="008A4B41">
        <w:t xml:space="preserve"> </w:t>
      </w:r>
      <w:proofErr w:type="spellStart"/>
      <w:r w:rsidRPr="008A4B41">
        <w:t>Abdeleli</w:t>
      </w:r>
      <w:proofErr w:type="spellEnd"/>
      <w:r w:rsidRPr="008A4B41">
        <w:t xml:space="preserve">, A. (2022). </w:t>
      </w:r>
      <w:r w:rsidRPr="00891793">
        <w:rPr>
          <w:i/>
          <w:iCs/>
        </w:rPr>
        <w:t>Why Arab and African countries stand with China at the UN</w:t>
      </w:r>
      <w:r>
        <w:t xml:space="preserve">. </w:t>
      </w:r>
      <w:r w:rsidRPr="008A4B41">
        <w:t xml:space="preserve">Swissinfo.ch. </w:t>
      </w:r>
    </w:p>
  </w:footnote>
  <w:footnote w:id="92">
    <w:p w14:paraId="278B310A" w14:textId="0C6E8C2B" w:rsidR="00C74058" w:rsidRDefault="00C74058" w:rsidP="00C74058">
      <w:pPr>
        <w:pStyle w:val="FootnoteText"/>
      </w:pPr>
      <w:r>
        <w:rPr>
          <w:rStyle w:val="FootnoteReference"/>
        </w:rPr>
        <w:footnoteRef/>
      </w:r>
      <w:r>
        <w:t xml:space="preserve"> </w:t>
      </w:r>
      <w:r w:rsidR="00891793" w:rsidRPr="00891793">
        <w:rPr>
          <w:i/>
          <w:iCs/>
        </w:rPr>
        <w:t>Corruption Perceptions Index - Democratic Republic of Congo</w:t>
      </w:r>
      <w:r w:rsidR="00891793">
        <w:t xml:space="preserve">. </w:t>
      </w:r>
      <w:r>
        <w:t xml:space="preserve">Transparency International. (2022) </w:t>
      </w:r>
    </w:p>
  </w:footnote>
  <w:footnote w:id="93">
    <w:p w14:paraId="21E5165D" w14:textId="2F820E3A" w:rsidR="00C74058" w:rsidRDefault="00C74058" w:rsidP="00C74058">
      <w:pPr>
        <w:pStyle w:val="FootnoteText"/>
      </w:pPr>
      <w:r>
        <w:rPr>
          <w:rStyle w:val="FootnoteReference"/>
        </w:rPr>
        <w:footnoteRef/>
      </w:r>
      <w:r>
        <w:t xml:space="preserve"> </w:t>
      </w:r>
      <w:r w:rsidR="00891793" w:rsidRPr="00891793">
        <w:rPr>
          <w:i/>
          <w:iCs/>
        </w:rPr>
        <w:t>Chinese become targets in DR Congo anti-government riots</w:t>
      </w:r>
      <w:r w:rsidR="00891793">
        <w:t xml:space="preserve">. </w:t>
      </w:r>
      <w:r>
        <w:t xml:space="preserve">Daily Mail.com. (2015). </w:t>
      </w:r>
    </w:p>
  </w:footnote>
  <w:footnote w:id="94">
    <w:p w14:paraId="6C97BD6E" w14:textId="66E96836" w:rsidR="00C74058" w:rsidRDefault="00C74058" w:rsidP="00C74058">
      <w:pPr>
        <w:pStyle w:val="FootnoteText"/>
      </w:pPr>
      <w:r>
        <w:rPr>
          <w:rStyle w:val="FootnoteReference"/>
        </w:rPr>
        <w:footnoteRef/>
      </w:r>
      <w:r>
        <w:t xml:space="preserve"> Olander, E. (2021). </w:t>
      </w:r>
      <w:r w:rsidRPr="00891793">
        <w:rPr>
          <w:i/>
          <w:iCs/>
        </w:rPr>
        <w:t>Police Use Force to Disburse Anti-Chinese Protests in the Eastern DR Congo</w:t>
      </w:r>
      <w:r>
        <w:t xml:space="preserve">. China Global South Project. </w:t>
      </w:r>
    </w:p>
  </w:footnote>
  <w:footnote w:id="95">
    <w:p w14:paraId="144B2863" w14:textId="498C957F" w:rsidR="00C74058" w:rsidRDefault="00C74058" w:rsidP="00C74058">
      <w:pPr>
        <w:pStyle w:val="FootnoteText"/>
      </w:pPr>
      <w:r>
        <w:rPr>
          <w:rStyle w:val="FootnoteReference"/>
        </w:rPr>
        <w:footnoteRef/>
      </w:r>
      <w:r>
        <w:t xml:space="preserve"> Mila, J. (2023). </w:t>
      </w:r>
      <w:r w:rsidRPr="00891793">
        <w:rPr>
          <w:i/>
          <w:iCs/>
        </w:rPr>
        <w:t>DRC: Unmasking Tshisekedi's failure to address deep-seated corruption</w:t>
      </w:r>
      <w:r>
        <w:t>. The Great Lakes Eye.</w:t>
      </w:r>
    </w:p>
  </w:footnote>
  <w:footnote w:id="96">
    <w:p w14:paraId="22592885" w14:textId="6601FD51" w:rsidR="00C74058" w:rsidRDefault="00C74058" w:rsidP="00C74058">
      <w:pPr>
        <w:pStyle w:val="FootnoteText"/>
      </w:pPr>
      <w:r>
        <w:rPr>
          <w:rStyle w:val="FootnoteReference"/>
        </w:rPr>
        <w:footnoteRef/>
      </w:r>
      <w:r>
        <w:t xml:space="preserve"> </w:t>
      </w:r>
      <w:proofErr w:type="spellStart"/>
      <w:r>
        <w:t>Ergenc</w:t>
      </w:r>
      <w:proofErr w:type="spellEnd"/>
      <w:r>
        <w:t xml:space="preserve">, C. (2023). </w:t>
      </w:r>
      <w:r w:rsidRPr="00891793">
        <w:rPr>
          <w:i/>
          <w:iCs/>
        </w:rPr>
        <w:t>China Suddenly Abandoned its Zero COVID Policy. How Did It Start In The First Place?</w:t>
      </w:r>
      <w:r>
        <w:t xml:space="preserve">. The Diplomat. </w:t>
      </w:r>
    </w:p>
  </w:footnote>
  <w:footnote w:id="97">
    <w:p w14:paraId="517445E4" w14:textId="21EFCEFE" w:rsidR="00C74058" w:rsidRDefault="00C74058" w:rsidP="00C74058">
      <w:pPr>
        <w:pStyle w:val="FootnoteText"/>
      </w:pPr>
      <w:r>
        <w:rPr>
          <w:rStyle w:val="FootnoteReference"/>
        </w:rPr>
        <w:footnoteRef/>
      </w:r>
      <w:r>
        <w:t xml:space="preserve"> </w:t>
      </w:r>
      <w:r w:rsidR="00891793" w:rsidRPr="00891793">
        <w:rPr>
          <w:i/>
          <w:iCs/>
        </w:rPr>
        <w:t>GDP growth (annual %) - China</w:t>
      </w:r>
      <w:r w:rsidR="00891793">
        <w:t xml:space="preserve">. </w:t>
      </w:r>
      <w:r>
        <w:t xml:space="preserve">The World Bank. </w:t>
      </w:r>
      <w:r w:rsidR="00891793">
        <w:t>(</w:t>
      </w:r>
      <w:proofErr w:type="spellStart"/>
      <w:r w:rsidR="00891793">
        <w:t>n.d</w:t>
      </w:r>
      <w:proofErr w:type="spellEnd"/>
      <w:r w:rsidR="00891793">
        <w:t>).</w:t>
      </w:r>
    </w:p>
  </w:footnote>
  <w:footnote w:id="98">
    <w:p w14:paraId="74AA11EB" w14:textId="452A7649" w:rsidR="00C74058" w:rsidRDefault="00C74058" w:rsidP="00C74058">
      <w:pPr>
        <w:pStyle w:val="FootnoteText"/>
      </w:pPr>
      <w:r>
        <w:rPr>
          <w:rStyle w:val="FootnoteReference"/>
        </w:rPr>
        <w:footnoteRef/>
      </w:r>
      <w:r>
        <w:t xml:space="preserve"> </w:t>
      </w:r>
      <w:r w:rsidR="00891793" w:rsidRPr="00891793">
        <w:rPr>
          <w:i/>
          <w:iCs/>
        </w:rPr>
        <w:t>J.P. Morgan AM: Chinese household assets are dominated by property</w:t>
      </w:r>
      <w:r w:rsidR="00891793">
        <w:t xml:space="preserve">. </w:t>
      </w:r>
      <w:r>
        <w:t xml:space="preserve">Financial Investigator. (2023). </w:t>
      </w:r>
    </w:p>
  </w:footnote>
  <w:footnote w:id="99">
    <w:p w14:paraId="3B7E5943" w14:textId="2E2F4C13" w:rsidR="00C74058" w:rsidRDefault="00C74058" w:rsidP="00C74058">
      <w:pPr>
        <w:pStyle w:val="FootnoteText"/>
      </w:pPr>
      <w:r>
        <w:rPr>
          <w:rStyle w:val="FootnoteReference"/>
        </w:rPr>
        <w:footnoteRef/>
      </w:r>
      <w:r>
        <w:t xml:space="preserve"> Wakabayashi, D. and Fu, C. (2024). </w:t>
      </w:r>
      <w:r w:rsidRPr="00891793">
        <w:rPr>
          <w:i/>
          <w:iCs/>
        </w:rPr>
        <w:t>China's Real Estate Crisis 'Has Not Touched Bottom'</w:t>
      </w:r>
      <w:r>
        <w:t xml:space="preserve">. New York Times. </w:t>
      </w:r>
    </w:p>
  </w:footnote>
  <w:footnote w:id="100">
    <w:p w14:paraId="79332099" w14:textId="6F3F1737" w:rsidR="00C74058" w:rsidRDefault="00C74058" w:rsidP="00C74058">
      <w:pPr>
        <w:pStyle w:val="FootnoteText"/>
      </w:pPr>
      <w:r>
        <w:rPr>
          <w:rStyle w:val="FootnoteReference"/>
        </w:rPr>
        <w:footnoteRef/>
      </w:r>
      <w:r w:rsidRPr="008A4B41">
        <w:t xml:space="preserve"> </w:t>
      </w:r>
      <w:r w:rsidR="00891793" w:rsidRPr="00891793">
        <w:rPr>
          <w:i/>
          <w:iCs/>
        </w:rPr>
        <w:t>China orders indebted local governments to halt some infrastructure projects-sources</w:t>
      </w:r>
      <w:r w:rsidR="00891793">
        <w:t xml:space="preserve">. </w:t>
      </w:r>
      <w:r w:rsidRPr="008A4B41">
        <w:t xml:space="preserve">Reuters. </w:t>
      </w:r>
      <w:r>
        <w:t xml:space="preserve">(2024). </w:t>
      </w:r>
    </w:p>
  </w:footnote>
  <w:footnote w:id="101">
    <w:p w14:paraId="397695CD" w14:textId="577C61E5" w:rsidR="00C74058" w:rsidRDefault="00C74058" w:rsidP="00C74058">
      <w:pPr>
        <w:pStyle w:val="FootnoteText"/>
      </w:pPr>
      <w:r>
        <w:rPr>
          <w:rStyle w:val="FootnoteReference"/>
        </w:rPr>
        <w:footnoteRef/>
      </w:r>
      <w:r>
        <w:t xml:space="preserve"> Kawate, I. and </w:t>
      </w:r>
      <w:proofErr w:type="spellStart"/>
      <w:r>
        <w:t>Tabeta</w:t>
      </w:r>
      <w:proofErr w:type="spellEnd"/>
      <w:r>
        <w:t xml:space="preserve">, S. (2024). </w:t>
      </w:r>
      <w:r w:rsidRPr="00891793">
        <w:rPr>
          <w:i/>
          <w:iCs/>
        </w:rPr>
        <w:t>Foreign direct investment in China falls to 30-year low</w:t>
      </w:r>
      <w:r>
        <w:rPr>
          <w:i/>
          <w:iCs/>
          <w:color w:val="215E99" w:themeColor="text2" w:themeTint="BF"/>
        </w:rPr>
        <w:t>.</w:t>
      </w:r>
      <w:r>
        <w:t xml:space="preserve"> Nikkei Asia. </w:t>
      </w:r>
    </w:p>
  </w:footnote>
  <w:footnote w:id="102">
    <w:p w14:paraId="155DBC02" w14:textId="58935A68" w:rsidR="00C74058" w:rsidRDefault="00C74058" w:rsidP="00C74058">
      <w:pPr>
        <w:pStyle w:val="FootnoteText"/>
      </w:pPr>
      <w:r>
        <w:rPr>
          <w:rStyle w:val="FootnoteReference"/>
        </w:rPr>
        <w:footnoteRef/>
      </w:r>
      <w:r>
        <w:t xml:space="preserve"> National Bureau of Statistics in China. (2024).</w:t>
      </w:r>
      <w:r w:rsidRPr="00891793">
        <w:rPr>
          <w:i/>
          <w:iCs/>
        </w:rPr>
        <w:t>Youth urban unemployment rate</w:t>
      </w:r>
      <w:r>
        <w:t>. Statista</w:t>
      </w:r>
      <w:r w:rsidR="004F4CD5">
        <w:t>.</w:t>
      </w:r>
      <w:r>
        <w:t xml:space="preserve"> </w:t>
      </w:r>
    </w:p>
  </w:footnote>
  <w:footnote w:id="103">
    <w:p w14:paraId="480246BB" w14:textId="4D7E9CF4" w:rsidR="00C74058" w:rsidRDefault="00C74058" w:rsidP="00C74058">
      <w:pPr>
        <w:pStyle w:val="FootnoteText"/>
      </w:pPr>
      <w:r>
        <w:rPr>
          <w:rStyle w:val="FootnoteReference"/>
        </w:rPr>
        <w:footnoteRef/>
      </w:r>
      <w:r w:rsidRPr="008A4B41">
        <w:t xml:space="preserve"> Zak, L. (2023).</w:t>
      </w:r>
      <w:r w:rsidRPr="008A4B41">
        <w:rPr>
          <w:i/>
          <w:iCs/>
          <w:color w:val="215E99" w:themeColor="text2" w:themeTint="BF"/>
        </w:rPr>
        <w:t xml:space="preserve"> </w:t>
      </w:r>
      <w:r w:rsidRPr="00891793">
        <w:rPr>
          <w:i/>
          <w:iCs/>
        </w:rPr>
        <w:t>Why China's economy is in crisis</w:t>
      </w:r>
      <w:r>
        <w:t xml:space="preserve">. CBS News. </w:t>
      </w:r>
    </w:p>
  </w:footnote>
  <w:footnote w:id="104">
    <w:p w14:paraId="1A606202" w14:textId="0A3A7DA4" w:rsidR="00C74058" w:rsidRDefault="00C74058" w:rsidP="00C74058">
      <w:pPr>
        <w:pStyle w:val="FootnoteText"/>
      </w:pPr>
      <w:r>
        <w:rPr>
          <w:rStyle w:val="FootnoteReference"/>
        </w:rPr>
        <w:footnoteRef/>
      </w:r>
      <w:r>
        <w:t xml:space="preserve"> Onstad, E. (2023). </w:t>
      </w:r>
      <w:r w:rsidRPr="00891793">
        <w:rPr>
          <w:i/>
          <w:iCs/>
        </w:rPr>
        <w:t>China turbo-charges cobalt mine output despite price crash</w:t>
      </w:r>
      <w:r>
        <w:t xml:space="preserve">. Reuters. </w:t>
      </w:r>
    </w:p>
  </w:footnote>
  <w:footnote w:id="105">
    <w:p w14:paraId="7E9C93AE" w14:textId="7842074D" w:rsidR="00C74058" w:rsidRDefault="00C74058" w:rsidP="00C74058">
      <w:pPr>
        <w:pStyle w:val="FootnoteText"/>
      </w:pPr>
      <w:r>
        <w:rPr>
          <w:rStyle w:val="FootnoteReference"/>
        </w:rPr>
        <w:footnoteRef/>
      </w:r>
      <w:r>
        <w:t xml:space="preserve"> Baker, P. and Walsh, D. (2022). </w:t>
      </w:r>
      <w:r w:rsidRPr="00891793">
        <w:rPr>
          <w:i/>
          <w:iCs/>
        </w:rPr>
        <w:t>Biden Aims to Inject New Energy Into U.S. Relations With African Nations</w:t>
      </w:r>
      <w:r>
        <w:t xml:space="preserve">. The New York Times. </w:t>
      </w:r>
    </w:p>
  </w:footnote>
  <w:footnote w:id="106">
    <w:p w14:paraId="57DA79D0" w14:textId="571A35E9" w:rsidR="00C74058" w:rsidRDefault="00C74058" w:rsidP="00C74058">
      <w:pPr>
        <w:pStyle w:val="FootnoteText"/>
      </w:pPr>
      <w:r>
        <w:rPr>
          <w:rStyle w:val="FootnoteReference"/>
        </w:rPr>
        <w:footnoteRef/>
      </w:r>
      <w:r>
        <w:t xml:space="preserve"> </w:t>
      </w:r>
      <w:r w:rsidR="00891793">
        <w:t>Onstad, Ibid.</w:t>
      </w:r>
      <w:r>
        <w:t xml:space="preserve">   </w:t>
      </w:r>
    </w:p>
  </w:footnote>
  <w:footnote w:id="107">
    <w:p w14:paraId="73800749" w14:textId="5E4E294A" w:rsidR="00C74058" w:rsidRDefault="00C74058" w:rsidP="00C74058">
      <w:pPr>
        <w:pStyle w:val="FootnoteText"/>
      </w:pPr>
      <w:r>
        <w:rPr>
          <w:rStyle w:val="FootnoteReference"/>
        </w:rPr>
        <w:footnoteRef/>
      </w:r>
      <w:r>
        <w:t xml:space="preserve"> Lu, C. (2024). </w:t>
      </w:r>
      <w:r w:rsidRPr="00891793">
        <w:rPr>
          <w:i/>
          <w:iCs/>
        </w:rPr>
        <w:t>Washington Wants to Revive a Critical Minerals Mega-Railway Through Africa</w:t>
      </w:r>
      <w:r>
        <w:t xml:space="preserve">. Foreign Policy. </w:t>
      </w:r>
    </w:p>
  </w:footnote>
  <w:footnote w:id="108">
    <w:p w14:paraId="11A47CD9" w14:textId="4216137C" w:rsidR="00C74058" w:rsidRDefault="00C74058" w:rsidP="00C74058">
      <w:pPr>
        <w:pStyle w:val="FootnoteText"/>
      </w:pPr>
      <w:r>
        <w:rPr>
          <w:rStyle w:val="FootnoteReference"/>
        </w:rPr>
        <w:footnoteRef/>
      </w:r>
      <w:r>
        <w:t xml:space="preserve"> Energy Institute, KPMG, and Kearney. (2022). </w:t>
      </w:r>
      <w:r w:rsidRPr="00C23683">
        <w:rPr>
          <w:i/>
          <w:iCs/>
        </w:rPr>
        <w:t>Primary energy consumption worldwide in 2022</w:t>
      </w:r>
      <w:r>
        <w:t xml:space="preserve">. Statista. </w:t>
      </w:r>
    </w:p>
  </w:footnote>
  <w:footnote w:id="109">
    <w:p w14:paraId="78402505" w14:textId="2FCC7198" w:rsidR="008A4B41" w:rsidRDefault="008A4B41" w:rsidP="008A4B41">
      <w:pPr>
        <w:pStyle w:val="FootnoteText"/>
      </w:pPr>
      <w:r>
        <w:rPr>
          <w:rStyle w:val="FootnoteReference"/>
        </w:rPr>
        <w:footnoteRef/>
      </w:r>
      <w:r>
        <w:t xml:space="preserve"> Waltz</w:t>
      </w:r>
      <w:r w:rsidR="00C23683">
        <w:t>, Ibid.</w:t>
      </w:r>
    </w:p>
  </w:footnote>
  <w:footnote w:id="110">
    <w:p w14:paraId="4FD93BF5" w14:textId="028E3887" w:rsidR="008A4B41" w:rsidRDefault="008A4B41" w:rsidP="008A4B41">
      <w:pPr>
        <w:pStyle w:val="FootnoteText"/>
      </w:pPr>
      <w:r>
        <w:rPr>
          <w:rStyle w:val="FootnoteReference"/>
        </w:rPr>
        <w:footnoteRef/>
      </w:r>
      <w:r>
        <w:t xml:space="preserve"> Biden, J. (2023).  </w:t>
      </w:r>
      <w:r w:rsidRPr="00C23683">
        <w:rPr>
          <w:i/>
          <w:iCs/>
        </w:rPr>
        <w:t>Speech Transcript: Remarks by President Biden on the United States' Response to Hamas's Terrorist Attacks Against Israel and Russia's Ongoing Brutal War Against Ukraine</w:t>
      </w:r>
      <w:r>
        <w:rPr>
          <w:i/>
          <w:iCs/>
          <w:color w:val="215E99" w:themeColor="text2" w:themeTint="BF"/>
        </w:rPr>
        <w:t>.</w:t>
      </w:r>
      <w:r>
        <w:t xml:space="preserve"> The White House. </w:t>
      </w:r>
    </w:p>
  </w:footnote>
  <w:footnote w:id="111">
    <w:p w14:paraId="5BDE0BAE" w14:textId="228FAC71" w:rsidR="008A4B41" w:rsidRDefault="008A4B41" w:rsidP="008A4B41">
      <w:pPr>
        <w:pStyle w:val="FootnoteText"/>
      </w:pPr>
      <w:r>
        <w:rPr>
          <w:rStyle w:val="FootnoteReference"/>
        </w:rPr>
        <w:footnoteRef/>
      </w:r>
      <w:r>
        <w:t xml:space="preserve"> Buckley, C. (2021). </w:t>
      </w:r>
      <w:r w:rsidRPr="00C23683">
        <w:rPr>
          <w:i/>
          <w:iCs/>
        </w:rPr>
        <w:t>‘The East Is Rising’: Xi Maps Out China’s Post-Covid Ascent</w:t>
      </w:r>
      <w:r>
        <w:t xml:space="preserve">. The New York Times. </w:t>
      </w:r>
    </w:p>
  </w:footnote>
  <w:footnote w:id="112">
    <w:p w14:paraId="7072FEB4" w14:textId="6572BEED" w:rsidR="008A4B41" w:rsidRDefault="008A4B41" w:rsidP="008A4B41">
      <w:pPr>
        <w:pStyle w:val="FootnoteText"/>
      </w:pPr>
      <w:r>
        <w:rPr>
          <w:rStyle w:val="FootnoteReference"/>
        </w:rPr>
        <w:footnoteRef/>
      </w:r>
      <w:r>
        <w:t xml:space="preserve">  </w:t>
      </w:r>
      <w:proofErr w:type="spellStart"/>
      <w:r>
        <w:t>Kafura</w:t>
      </w:r>
      <w:proofErr w:type="spellEnd"/>
      <w:r>
        <w:t xml:space="preserve">, C. (2023). </w:t>
      </w:r>
      <w:r w:rsidRPr="00C23683">
        <w:rPr>
          <w:i/>
          <w:iCs/>
        </w:rPr>
        <w:t>Americans Feel More Threat from China Now than in Past Three Decades</w:t>
      </w:r>
      <w:r>
        <w:t xml:space="preserve">. The Chicago Council on Global Affairs. </w:t>
      </w:r>
    </w:p>
  </w:footnote>
  <w:footnote w:id="113">
    <w:p w14:paraId="06A24032" w14:textId="4C1E1B21" w:rsidR="008A4B41" w:rsidRDefault="008A4B41" w:rsidP="008A4B41">
      <w:pPr>
        <w:pStyle w:val="FootnoteText"/>
      </w:pPr>
      <w:r>
        <w:rPr>
          <w:rStyle w:val="FootnoteReference"/>
        </w:rPr>
        <w:footnoteRef/>
      </w:r>
      <w:r>
        <w:t xml:space="preserve"> Hass, R. and Denmark, A. (2020). </w:t>
      </w:r>
      <w:r w:rsidRPr="00C23683">
        <w:rPr>
          <w:i/>
          <w:iCs/>
        </w:rPr>
        <w:t>More pain than gain: How the US-China trade war hurt America</w:t>
      </w:r>
      <w:r>
        <w:t xml:space="preserve">. Brookings Institute.  </w:t>
      </w:r>
    </w:p>
  </w:footnote>
  <w:footnote w:id="114">
    <w:p w14:paraId="19857AEF" w14:textId="3A20689E" w:rsidR="008A4B41" w:rsidRDefault="008A4B41" w:rsidP="008A4B41">
      <w:pPr>
        <w:pStyle w:val="FootnoteText"/>
      </w:pPr>
      <w:r>
        <w:rPr>
          <w:rStyle w:val="FootnoteReference"/>
        </w:rPr>
        <w:footnoteRef/>
      </w:r>
      <w:r>
        <w:t xml:space="preserve"> </w:t>
      </w:r>
      <w:proofErr w:type="spellStart"/>
      <w:r>
        <w:t>Zandl</w:t>
      </w:r>
      <w:proofErr w:type="spellEnd"/>
      <w:r>
        <w:t xml:space="preserve">, M., Rogers, J., and Cosma, M. (2019). </w:t>
      </w:r>
      <w:r w:rsidRPr="00C23683">
        <w:rPr>
          <w:i/>
          <w:iCs/>
        </w:rPr>
        <w:t>Trade War Chicken: The Tariffs and the Damage Done</w:t>
      </w:r>
      <w:r>
        <w:t xml:space="preserve">. Moody’s Analytics. </w:t>
      </w:r>
    </w:p>
  </w:footnote>
  <w:footnote w:id="115">
    <w:p w14:paraId="30C9E237" w14:textId="07DE9408" w:rsidR="008A4B41" w:rsidRDefault="008A4B41" w:rsidP="008A4B41">
      <w:pPr>
        <w:pStyle w:val="FootnoteText"/>
      </w:pPr>
      <w:r>
        <w:rPr>
          <w:rStyle w:val="FootnoteReference"/>
        </w:rPr>
        <w:footnoteRef/>
      </w:r>
      <w:r w:rsidRPr="008A4B41">
        <w:t xml:space="preserve"> Amiti, M., Hoon Kong, S., and Weinstein, D. (2020). </w:t>
      </w:r>
      <w:r w:rsidRPr="00C23683">
        <w:rPr>
          <w:i/>
          <w:iCs/>
        </w:rPr>
        <w:t>The Investment Cost of the U.S.-China Trade War</w:t>
      </w:r>
      <w:r>
        <w:t xml:space="preserve">. Federal Reserve Bank of New York, Liberty Street Economics. </w:t>
      </w:r>
    </w:p>
  </w:footnote>
  <w:footnote w:id="116">
    <w:p w14:paraId="4BF82515" w14:textId="6B8ECC11" w:rsidR="008A4B41" w:rsidRDefault="008A4B41" w:rsidP="008A4B41">
      <w:pPr>
        <w:pStyle w:val="FootnoteText"/>
      </w:pPr>
      <w:r>
        <w:rPr>
          <w:rStyle w:val="FootnoteReference"/>
        </w:rPr>
        <w:footnoteRef/>
      </w:r>
      <w:r>
        <w:t xml:space="preserve"> </w:t>
      </w:r>
      <w:proofErr w:type="spellStart"/>
      <w:r>
        <w:t>Xijia</w:t>
      </w:r>
      <w:proofErr w:type="spellEnd"/>
      <w:r>
        <w:t xml:space="preserve">, Q. (2024). </w:t>
      </w:r>
      <w:r w:rsidRPr="00C23683">
        <w:rPr>
          <w:i/>
          <w:iCs/>
        </w:rPr>
        <w:t>China opposes US abuse of national security as chip export restrictions extended</w:t>
      </w:r>
      <w:r>
        <w:t xml:space="preserve">. Global Times. </w:t>
      </w:r>
    </w:p>
  </w:footnote>
  <w:footnote w:id="117">
    <w:p w14:paraId="09B36CF3" w14:textId="4E32DD57" w:rsidR="008A4B41" w:rsidRDefault="008A4B41" w:rsidP="008A4B41">
      <w:pPr>
        <w:pStyle w:val="FootnoteText"/>
      </w:pPr>
      <w:r>
        <w:rPr>
          <w:rStyle w:val="FootnoteReference"/>
        </w:rPr>
        <w:footnoteRef/>
      </w:r>
      <w:r>
        <w:t xml:space="preserve"> Picchi, A. (2019). </w:t>
      </w:r>
      <w:r w:rsidRPr="00C23683">
        <w:rPr>
          <w:i/>
          <w:iCs/>
        </w:rPr>
        <w:t>Trump boosting U.S. tariffs on $550 billion in Chinese imports</w:t>
      </w:r>
      <w:r>
        <w:t xml:space="preserve">. CBS News. </w:t>
      </w:r>
    </w:p>
  </w:footnote>
  <w:footnote w:id="118">
    <w:p w14:paraId="43676358" w14:textId="217B0126" w:rsidR="008A4B41" w:rsidRDefault="008A4B41" w:rsidP="008A4B41">
      <w:pPr>
        <w:pStyle w:val="FootnoteText"/>
      </w:pPr>
      <w:r>
        <w:rPr>
          <w:rStyle w:val="FootnoteReference"/>
        </w:rPr>
        <w:footnoteRef/>
      </w:r>
      <w:r>
        <w:t xml:space="preserve"> Milina, V. (2013). </w:t>
      </w:r>
      <w:r w:rsidRPr="00C23683">
        <w:t>Energy Security: A Paradigm Shift.</w:t>
      </w:r>
      <w:r>
        <w:t xml:space="preserve"> </w:t>
      </w:r>
      <w:r>
        <w:rPr>
          <w:i/>
          <w:iCs/>
        </w:rPr>
        <w:t>Connections</w:t>
      </w:r>
      <w:r>
        <w:t xml:space="preserve">, 12(4), 75–98. </w:t>
      </w:r>
    </w:p>
  </w:footnote>
  <w:footnote w:id="119">
    <w:p w14:paraId="705B023B" w14:textId="59E1CE78" w:rsidR="008A4B41" w:rsidRDefault="008A4B41" w:rsidP="008A4B41">
      <w:pPr>
        <w:pStyle w:val="FootnoteText"/>
      </w:pPr>
      <w:r>
        <w:rPr>
          <w:rStyle w:val="FootnoteReference"/>
        </w:rPr>
        <w:footnoteRef/>
      </w:r>
      <w:r>
        <w:t xml:space="preserve"> </w:t>
      </w:r>
      <w:r w:rsidR="00C23683" w:rsidRPr="00C23683">
        <w:rPr>
          <w:i/>
          <w:iCs/>
        </w:rPr>
        <w:t>King Introduces Bipartisan Bill to Reduce Dependence on China for Key Minerals Used in Military Technology, Consumer Goods</w:t>
      </w:r>
      <w:r w:rsidR="00C23683">
        <w:t xml:space="preserve">. </w:t>
      </w:r>
      <w:r>
        <w:t xml:space="preserve">Senator Angus King Press Release. (2024). </w:t>
      </w:r>
    </w:p>
  </w:footnote>
  <w:footnote w:id="120">
    <w:p w14:paraId="6E717469" w14:textId="23BB67F3" w:rsidR="008A4B41" w:rsidRDefault="008A4B41" w:rsidP="008A4B41">
      <w:pPr>
        <w:pStyle w:val="FootnoteText"/>
      </w:pPr>
      <w:r>
        <w:rPr>
          <w:rStyle w:val="FootnoteReference"/>
        </w:rPr>
        <w:footnoteRef/>
      </w:r>
      <w:r>
        <w:t xml:space="preserve"> </w:t>
      </w:r>
      <w:r w:rsidR="00C23683">
        <w:t>Senator King, Ibid</w:t>
      </w:r>
      <w:r w:rsidR="00552CB9">
        <w:t>.</w:t>
      </w:r>
    </w:p>
  </w:footnote>
  <w:footnote w:id="121">
    <w:p w14:paraId="118BDE67" w14:textId="09CE76A8" w:rsidR="008A4B41" w:rsidRDefault="008A4B41" w:rsidP="008A4B41">
      <w:pPr>
        <w:pStyle w:val="FootnoteText"/>
      </w:pPr>
      <w:r>
        <w:rPr>
          <w:rStyle w:val="FootnoteReference"/>
        </w:rPr>
        <w:footnoteRef/>
      </w:r>
      <w:r>
        <w:t xml:space="preserve"> Meyer, R. (2022). </w:t>
      </w:r>
      <w:r w:rsidRPr="00C23683">
        <w:rPr>
          <w:i/>
          <w:iCs/>
        </w:rPr>
        <w:t>Not Even a Single Republican Voted for the Climate Bill</w:t>
      </w:r>
      <w:r>
        <w:t xml:space="preserve">. The Atlantic. </w:t>
      </w:r>
    </w:p>
  </w:footnote>
  <w:footnote w:id="122">
    <w:p w14:paraId="3DDFCB71" w14:textId="43C55718" w:rsidR="008A4B41" w:rsidRDefault="008A4B41" w:rsidP="008A4B41">
      <w:pPr>
        <w:pStyle w:val="FootnoteText"/>
      </w:pPr>
      <w:r>
        <w:rPr>
          <w:rStyle w:val="FootnoteReference"/>
        </w:rPr>
        <w:footnoteRef/>
      </w:r>
      <w:r>
        <w:t xml:space="preserve"> Chair Rodgers and staff. (2023). </w:t>
      </w:r>
      <w:r w:rsidRPr="00C23683">
        <w:rPr>
          <w:i/>
          <w:iCs/>
        </w:rPr>
        <w:t>One Year Later, Even President Biden Admits the “Inflation Reduction Act” Failed to Lower Costs for Americans</w:t>
      </w:r>
      <w:r>
        <w:t>. The Committee on Energy and Commerce.</w:t>
      </w:r>
    </w:p>
  </w:footnote>
  <w:footnote w:id="123">
    <w:p w14:paraId="4D8C8677" w14:textId="77777777" w:rsidR="008A4B41" w:rsidRDefault="008A4B41" w:rsidP="008A4B41">
      <w:pPr>
        <w:pStyle w:val="FootnoteText"/>
      </w:pPr>
      <w:r>
        <w:rPr>
          <w:rStyle w:val="FootnoteReference"/>
        </w:rPr>
        <w:footnoteRef/>
      </w:r>
      <w:r>
        <w:t xml:space="preserve"> Gerstle, G. (2022). </w:t>
      </w:r>
      <w:r>
        <w:rPr>
          <w:i/>
          <w:iCs/>
        </w:rPr>
        <w:t>The Rise and Fall of the Neoliberal Order: America and the World in the Free Market Era</w:t>
      </w:r>
      <w:r>
        <w:t>. Oxford University Press.</w:t>
      </w:r>
    </w:p>
  </w:footnote>
  <w:footnote w:id="124">
    <w:p w14:paraId="230F69F6" w14:textId="3491949E" w:rsidR="008A4B41" w:rsidRDefault="008A4B41" w:rsidP="008A4B41">
      <w:pPr>
        <w:pStyle w:val="FootnoteText"/>
      </w:pPr>
      <w:r>
        <w:rPr>
          <w:rStyle w:val="FootnoteReference"/>
        </w:rPr>
        <w:footnoteRef/>
      </w:r>
      <w:r>
        <w:t xml:space="preserve"> </w:t>
      </w:r>
      <w:r w:rsidR="009E5818" w:rsidRPr="009E5818">
        <w:rPr>
          <w:i/>
          <w:iCs/>
        </w:rPr>
        <w:t>President Donald J. Trump's Foreign Policy Puts America First</w:t>
      </w:r>
      <w:r w:rsidR="009E5818">
        <w:t xml:space="preserve">. </w:t>
      </w:r>
      <w:r>
        <w:t xml:space="preserve">Trump White House Archives. (2018). </w:t>
      </w:r>
    </w:p>
  </w:footnote>
  <w:footnote w:id="125">
    <w:p w14:paraId="2160B6F8" w14:textId="580FC68F" w:rsidR="008A4B41" w:rsidRDefault="008A4B41" w:rsidP="008A4B41">
      <w:pPr>
        <w:pStyle w:val="FootnoteText"/>
      </w:pPr>
      <w:r>
        <w:rPr>
          <w:rStyle w:val="FootnoteReference"/>
        </w:rPr>
        <w:footnoteRef/>
      </w:r>
      <w:r>
        <w:t xml:space="preserve"> </w:t>
      </w:r>
      <w:r w:rsidR="009E5818" w:rsidRPr="009E5818">
        <w:rPr>
          <w:i/>
          <w:iCs/>
        </w:rPr>
        <w:t>Bidenomics Is Working: The President’s Plan Grows the Economy from the Middle Out and Bottom Up—Not the Top Down</w:t>
      </w:r>
      <w:r w:rsidR="009E5818">
        <w:t>.</w:t>
      </w:r>
      <w:r w:rsidR="009E5818">
        <w:t xml:space="preserve"> </w:t>
      </w:r>
      <w:r>
        <w:t>White House Briefing Room. (2023).</w:t>
      </w:r>
      <w:r w:rsidRPr="009E5818">
        <w:rPr>
          <w:i/>
          <w:iCs/>
        </w:rPr>
        <w:t xml:space="preserve"> </w:t>
      </w:r>
    </w:p>
  </w:footnote>
  <w:footnote w:id="126">
    <w:p w14:paraId="16580F34" w14:textId="4F479D62" w:rsidR="008A4B41" w:rsidRDefault="008A4B41" w:rsidP="008A4B41">
      <w:pPr>
        <w:pStyle w:val="FootnoteText"/>
      </w:pPr>
      <w:r>
        <w:rPr>
          <w:rStyle w:val="FootnoteReference"/>
        </w:rPr>
        <w:footnoteRef/>
      </w:r>
      <w:r>
        <w:t xml:space="preserve"> </w:t>
      </w:r>
      <w:r w:rsidR="009E5818" w:rsidRPr="009E5818">
        <w:rPr>
          <w:i/>
          <w:iCs/>
        </w:rPr>
        <w:t>GDP (current US$) - China</w:t>
      </w:r>
      <w:r w:rsidR="009E5818">
        <w:t xml:space="preserve">. </w:t>
      </w:r>
      <w:r>
        <w:t xml:space="preserve">The World Bank. </w:t>
      </w:r>
      <w:r w:rsidR="009E5818">
        <w:t>(n.d.)</w:t>
      </w:r>
    </w:p>
  </w:footnote>
  <w:footnote w:id="127">
    <w:p w14:paraId="4B4BFFD4" w14:textId="3C9C3FBE" w:rsidR="008A4B41" w:rsidRDefault="008A4B41" w:rsidP="008A4B41">
      <w:pPr>
        <w:pStyle w:val="FootnoteText"/>
      </w:pPr>
      <w:r>
        <w:rPr>
          <w:rStyle w:val="FootnoteReference"/>
        </w:rPr>
        <w:footnoteRef/>
      </w:r>
      <w:r>
        <w:t xml:space="preserve"> </w:t>
      </w:r>
      <w:r w:rsidR="009E5818" w:rsidRPr="009E5818">
        <w:rPr>
          <w:i/>
          <w:iCs/>
        </w:rPr>
        <w:t>Notice of Final Determination on 2023 DOE Critical Materials List</w:t>
      </w:r>
      <w:r w:rsidR="009E5818">
        <w:t xml:space="preserve">. </w:t>
      </w:r>
      <w:r>
        <w:t xml:space="preserve">US Department of Energy. (2023). </w:t>
      </w:r>
    </w:p>
  </w:footnote>
  <w:footnote w:id="128">
    <w:p w14:paraId="3DA23BDC" w14:textId="617B8C27" w:rsidR="008A4B41" w:rsidRDefault="008A4B41" w:rsidP="008A4B41">
      <w:pPr>
        <w:pStyle w:val="FootnoteText"/>
      </w:pPr>
      <w:r>
        <w:rPr>
          <w:rStyle w:val="FootnoteReference"/>
        </w:rPr>
        <w:footnoteRef/>
      </w:r>
      <w:r>
        <w:t xml:space="preserve"> </w:t>
      </w:r>
      <w:r w:rsidR="009E5818" w:rsidRPr="009E5818">
        <w:rPr>
          <w:i/>
          <w:iCs/>
        </w:rPr>
        <w:t>Responsible Minerals Trade</w:t>
      </w:r>
      <w:r w:rsidR="009E5818">
        <w:t xml:space="preserve">. </w:t>
      </w:r>
      <w:r>
        <w:t xml:space="preserve">United States Agency for International Development. </w:t>
      </w:r>
      <w:r w:rsidR="009E5818">
        <w:t>(n.d.).</w:t>
      </w:r>
    </w:p>
  </w:footnote>
  <w:footnote w:id="129">
    <w:p w14:paraId="13DF4A94" w14:textId="6D5B607B" w:rsidR="008A4B41" w:rsidRDefault="008A4B41" w:rsidP="008A4B41">
      <w:pPr>
        <w:pStyle w:val="FootnoteText"/>
      </w:pPr>
      <w:r>
        <w:rPr>
          <w:rStyle w:val="FootnoteReference"/>
        </w:rPr>
        <w:footnoteRef/>
      </w:r>
      <w:r>
        <w:t xml:space="preserve"> Clemons, S. (2023). </w:t>
      </w:r>
      <w:r w:rsidRPr="009E5818">
        <w:rPr>
          <w:i/>
          <w:iCs/>
        </w:rPr>
        <w:t>Recorded Interview: Is it time for a 'reset' of the US strategy in Africa</w:t>
      </w:r>
      <w:r>
        <w:t xml:space="preserve">. Al-Jazeera, The Bottom Line. </w:t>
      </w:r>
    </w:p>
  </w:footnote>
  <w:footnote w:id="130">
    <w:p w14:paraId="783CD991" w14:textId="5D73F3ED" w:rsidR="008A4B41" w:rsidRDefault="008A4B41" w:rsidP="008A4B41">
      <w:pPr>
        <w:pStyle w:val="FootnoteText"/>
      </w:pPr>
      <w:r>
        <w:rPr>
          <w:rStyle w:val="FootnoteReference"/>
        </w:rPr>
        <w:footnoteRef/>
      </w:r>
      <w:r>
        <w:t xml:space="preserve"> </w:t>
      </w:r>
      <w:r w:rsidR="009E5818" w:rsidRPr="009E5818">
        <w:rPr>
          <w:i/>
          <w:iCs/>
        </w:rPr>
        <w:t>United States to Provide $2 Billion in Humanitarian Assistance for the People of Africa</w:t>
      </w:r>
      <w:r w:rsidR="009E5818">
        <w:t xml:space="preserve">. </w:t>
      </w:r>
      <w:r>
        <w:t xml:space="preserve">United States Agency for International Development. (2022). </w:t>
      </w:r>
    </w:p>
  </w:footnote>
  <w:footnote w:id="131">
    <w:p w14:paraId="51738CA8" w14:textId="7279EBEA" w:rsidR="008A4B41" w:rsidRDefault="008A4B41" w:rsidP="008A4B41">
      <w:pPr>
        <w:pStyle w:val="FootnoteText"/>
      </w:pPr>
      <w:r>
        <w:rPr>
          <w:rStyle w:val="FootnoteReference"/>
        </w:rPr>
        <w:footnoteRef/>
      </w:r>
      <w:r>
        <w:t xml:space="preserve"> Ip, C. (2024). </w:t>
      </w:r>
      <w:r w:rsidRPr="009E5818">
        <w:rPr>
          <w:i/>
          <w:iCs/>
        </w:rPr>
        <w:t>China stands ‘shoulder to shoulder’ with Africa and supports its chosen development path: Wang Yi</w:t>
      </w:r>
      <w:r>
        <w:t xml:space="preserve">. South China Morning Post. </w:t>
      </w:r>
    </w:p>
  </w:footnote>
  <w:footnote w:id="132">
    <w:p w14:paraId="58E7E1F8" w14:textId="68F36605" w:rsidR="008A4B41" w:rsidRDefault="008A4B41" w:rsidP="008A4B41">
      <w:pPr>
        <w:pStyle w:val="FootnoteText"/>
      </w:pPr>
      <w:r>
        <w:rPr>
          <w:rStyle w:val="FootnoteReference"/>
        </w:rPr>
        <w:footnoteRef/>
      </w:r>
      <w:r>
        <w:t xml:space="preserve"> </w:t>
      </w:r>
      <w:r w:rsidR="009E5818" w:rsidRPr="009E5818">
        <w:rPr>
          <w:i/>
          <w:iCs/>
        </w:rPr>
        <w:t>Public-private partnerships needed to bridge Africa’s infrastructure development gap</w:t>
      </w:r>
      <w:r w:rsidR="009E5818">
        <w:t xml:space="preserve">. </w:t>
      </w:r>
      <w:r>
        <w:t xml:space="preserve">African Development Bank. (2023). </w:t>
      </w:r>
    </w:p>
  </w:footnote>
  <w:footnote w:id="133">
    <w:p w14:paraId="52D4D83C" w14:textId="2871DB7B" w:rsidR="008A4B41" w:rsidRPr="008A4B41" w:rsidRDefault="008A4B41" w:rsidP="008A4B41">
      <w:pPr>
        <w:pStyle w:val="FootnoteText"/>
      </w:pPr>
      <w:r>
        <w:rPr>
          <w:rStyle w:val="FootnoteReference"/>
        </w:rPr>
        <w:footnoteRef/>
      </w:r>
      <w:r>
        <w:t xml:space="preserve"> Shalal, A., </w:t>
      </w:r>
      <w:proofErr w:type="spellStart"/>
      <w:r>
        <w:t>Psaledakis</w:t>
      </w:r>
      <w:proofErr w:type="spellEnd"/>
      <w:r>
        <w:t xml:space="preserve">, D., and Martina, M. (2022). </w:t>
      </w:r>
      <w:r w:rsidRPr="009E5818">
        <w:rPr>
          <w:i/>
          <w:iCs/>
        </w:rPr>
        <w:t>Biden says U.S. is 'all in' on Africa's future</w:t>
      </w:r>
      <w:r>
        <w:t xml:space="preserve">. </w:t>
      </w:r>
      <w:r w:rsidRPr="008A4B41">
        <w:t xml:space="preserve">Reuters. </w:t>
      </w:r>
    </w:p>
  </w:footnote>
  <w:footnote w:id="134">
    <w:p w14:paraId="4A785A47" w14:textId="6822C8B8" w:rsidR="008A4B41" w:rsidRDefault="008A4B41" w:rsidP="008A4B41">
      <w:pPr>
        <w:pStyle w:val="FootnoteText"/>
      </w:pPr>
      <w:r>
        <w:rPr>
          <w:rStyle w:val="FootnoteReference"/>
        </w:rPr>
        <w:footnoteRef/>
      </w:r>
      <w:r>
        <w:t xml:space="preserve"> </w:t>
      </w:r>
      <w:r w:rsidR="009E5818" w:rsidRPr="009E5818">
        <w:rPr>
          <w:i/>
          <w:iCs/>
        </w:rPr>
        <w:t xml:space="preserve">Fact Sheet: Accelerating the U.S. – Africa Partnership After the 2022 U.S.-Africa </w:t>
      </w:r>
      <w:proofErr w:type="spellStart"/>
      <w:r w:rsidR="009E5818" w:rsidRPr="009E5818">
        <w:rPr>
          <w:i/>
          <w:iCs/>
        </w:rPr>
        <w:t>Leaders</w:t>
      </w:r>
      <w:proofErr w:type="spellEnd"/>
      <w:r w:rsidR="009E5818" w:rsidRPr="009E5818">
        <w:rPr>
          <w:i/>
          <w:iCs/>
        </w:rPr>
        <w:t xml:space="preserve"> Summit</w:t>
      </w:r>
      <w:r w:rsidR="009E5818">
        <w:t>.</w:t>
      </w:r>
      <w:r w:rsidR="009E5818">
        <w:t xml:space="preserve"> </w:t>
      </w:r>
      <w:r>
        <w:t xml:space="preserve">White House Briefing Room. (2023). </w:t>
      </w:r>
    </w:p>
  </w:footnote>
  <w:footnote w:id="135">
    <w:p w14:paraId="062C1F87" w14:textId="27A36C63" w:rsidR="008A4B41" w:rsidRDefault="008A4B41" w:rsidP="008A4B41">
      <w:pPr>
        <w:pStyle w:val="FootnoteText"/>
      </w:pPr>
      <w:r>
        <w:rPr>
          <w:rStyle w:val="FootnoteReference"/>
        </w:rPr>
        <w:footnoteRef/>
      </w:r>
      <w:r>
        <w:t xml:space="preserve"> US Department of State. (2024). </w:t>
      </w:r>
      <w:r w:rsidRPr="009E5818">
        <w:rPr>
          <w:i/>
          <w:iCs/>
        </w:rPr>
        <w:t>The Minerals Security Partnership Announces Collaboration between GECAMINES and JOGMEC</w:t>
      </w:r>
      <w:r>
        <w:t xml:space="preserve">. Office of the Spokesperson. </w:t>
      </w:r>
    </w:p>
  </w:footnote>
  <w:footnote w:id="136">
    <w:p w14:paraId="65C22754" w14:textId="671853D9" w:rsidR="008A4B41" w:rsidRDefault="008A4B41" w:rsidP="008A4B41">
      <w:pPr>
        <w:pStyle w:val="FootnoteText"/>
      </w:pPr>
      <w:r>
        <w:rPr>
          <w:rStyle w:val="FootnoteReference"/>
        </w:rPr>
        <w:footnoteRef/>
      </w:r>
      <w:r>
        <w:t xml:space="preserve"> Appiah-Nyamekye Sanny, J. and Selormey, E. (2021). </w:t>
      </w:r>
      <w:r w:rsidRPr="009E5818">
        <w:rPr>
          <w:i/>
          <w:iCs/>
        </w:rPr>
        <w:t>Africans welcome China's influence but maintain democratic aspirations</w:t>
      </w:r>
      <w:r>
        <w:t>. Afrobarometer.</w:t>
      </w:r>
    </w:p>
  </w:footnote>
  <w:footnote w:id="137">
    <w:p w14:paraId="646B9E93" w14:textId="34CA102E" w:rsidR="008A4B41" w:rsidRDefault="008A4B41" w:rsidP="008A4B41">
      <w:pPr>
        <w:pStyle w:val="FootnoteText"/>
      </w:pPr>
      <w:r>
        <w:rPr>
          <w:rStyle w:val="FootnoteReference"/>
        </w:rPr>
        <w:footnoteRef/>
      </w:r>
      <w:r>
        <w:t xml:space="preserve"> </w:t>
      </w:r>
      <w:r w:rsidR="009E5818">
        <w:t>Appiah-Nyamekye Sanny and Selormey, Ibid.</w:t>
      </w:r>
    </w:p>
  </w:footnote>
  <w:footnote w:id="138">
    <w:p w14:paraId="5A7B4481" w14:textId="6C04B66A" w:rsidR="00354631" w:rsidRDefault="00354631" w:rsidP="00354631">
      <w:pPr>
        <w:pStyle w:val="FootnoteText"/>
      </w:pPr>
      <w:r>
        <w:rPr>
          <w:rStyle w:val="FootnoteReference"/>
        </w:rPr>
        <w:footnoteRef/>
      </w:r>
      <w:r w:rsidRPr="00354631">
        <w:t xml:space="preserve"> Buckley, C. (2021). </w:t>
      </w:r>
      <w:r w:rsidRPr="009E5818">
        <w:rPr>
          <w:i/>
          <w:iCs/>
        </w:rPr>
        <w:t>‘The East Is Rising’: Xi Maps Out China’s Post-Covid Ascent</w:t>
      </w:r>
      <w:r>
        <w:t xml:space="preserve">. The New York Times. </w:t>
      </w:r>
    </w:p>
  </w:footnote>
  <w:footnote w:id="139">
    <w:p w14:paraId="45FFE433" w14:textId="511DE50E" w:rsidR="00354631" w:rsidRPr="009E5818" w:rsidRDefault="00354631" w:rsidP="00354631">
      <w:pPr>
        <w:pStyle w:val="FootnoteText"/>
      </w:pPr>
      <w:r>
        <w:rPr>
          <w:rStyle w:val="FootnoteReference"/>
        </w:rPr>
        <w:footnoteRef/>
      </w:r>
      <w:r>
        <w:t xml:space="preserve"> Kasongo, A. A. (2024). </w:t>
      </w:r>
      <w:r w:rsidRPr="009E5818">
        <w:rPr>
          <w:i/>
          <w:iCs/>
        </w:rPr>
        <w:t>Congo protesters burn US and Belgian flags, target Western embassies</w:t>
      </w:r>
      <w:r>
        <w:t xml:space="preserve">. </w:t>
      </w:r>
      <w:r w:rsidRPr="009E5818">
        <w:t xml:space="preserve">Reuters. </w:t>
      </w:r>
    </w:p>
  </w:footnote>
  <w:footnote w:id="140">
    <w:p w14:paraId="04E2627B" w14:textId="7AA4461B" w:rsidR="00354631" w:rsidRDefault="00354631" w:rsidP="00354631">
      <w:pPr>
        <w:pStyle w:val="FootnoteText"/>
      </w:pPr>
      <w:r>
        <w:rPr>
          <w:rStyle w:val="FootnoteReference"/>
        </w:rPr>
        <w:footnoteRef/>
      </w:r>
      <w:r>
        <w:t xml:space="preserve"> </w:t>
      </w:r>
      <w:r w:rsidR="009E5818" w:rsidRPr="009E5818">
        <w:rPr>
          <w:i/>
          <w:iCs/>
        </w:rPr>
        <w:t>Cobalt DRC Case</w:t>
      </w:r>
      <w:r w:rsidR="009E5818">
        <w:t xml:space="preserve">. </w:t>
      </w:r>
      <w:r>
        <w:t xml:space="preserve">International Rights Advocates. (2019).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38959936"/>
      <w:docPartObj>
        <w:docPartGallery w:val="Page Numbers (Top of Page)"/>
        <w:docPartUnique/>
      </w:docPartObj>
    </w:sdtPr>
    <w:sdtEndPr>
      <w:rPr>
        <w:noProof/>
      </w:rPr>
    </w:sdtEndPr>
    <w:sdtContent>
      <w:p w14:paraId="29730C4C" w14:textId="5A507902" w:rsidR="00D34258" w:rsidRDefault="00E103FB">
        <w:pPr>
          <w:pStyle w:val="Header"/>
          <w:jc w:val="right"/>
        </w:pPr>
        <w:r>
          <w:t xml:space="preserve">Maxwell </w:t>
        </w:r>
        <w:r w:rsidR="00D34258">
          <w:fldChar w:fldCharType="begin"/>
        </w:r>
        <w:r w:rsidR="00D34258">
          <w:instrText xml:space="preserve"> PAGE   \* MERGEFORMAT </w:instrText>
        </w:r>
        <w:r w:rsidR="00D34258">
          <w:fldChar w:fldCharType="separate"/>
        </w:r>
        <w:r w:rsidR="00D34258">
          <w:rPr>
            <w:noProof/>
          </w:rPr>
          <w:t>2</w:t>
        </w:r>
        <w:r w:rsidR="00D34258">
          <w:rPr>
            <w:noProof/>
          </w:rPr>
          <w:fldChar w:fldCharType="end"/>
        </w:r>
      </w:p>
    </w:sdtContent>
  </w:sdt>
  <w:p w14:paraId="00ACA1A1" w14:textId="77777777" w:rsidR="00D34258" w:rsidRDefault="00D34258">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3978"/>
    <w:rsid w:val="00104535"/>
    <w:rsid w:val="0010632F"/>
    <w:rsid w:val="00142FD2"/>
    <w:rsid w:val="0018632C"/>
    <w:rsid w:val="001C3C9C"/>
    <w:rsid w:val="001D4276"/>
    <w:rsid w:val="001F541A"/>
    <w:rsid w:val="00246A8E"/>
    <w:rsid w:val="0028352F"/>
    <w:rsid w:val="002E53EF"/>
    <w:rsid w:val="0032310E"/>
    <w:rsid w:val="00354631"/>
    <w:rsid w:val="00383599"/>
    <w:rsid w:val="003C1DDC"/>
    <w:rsid w:val="00404551"/>
    <w:rsid w:val="00406892"/>
    <w:rsid w:val="004760B7"/>
    <w:rsid w:val="00486847"/>
    <w:rsid w:val="00492863"/>
    <w:rsid w:val="004A3470"/>
    <w:rsid w:val="004F4CD5"/>
    <w:rsid w:val="005015DB"/>
    <w:rsid w:val="00552CB9"/>
    <w:rsid w:val="00606BC4"/>
    <w:rsid w:val="0067462D"/>
    <w:rsid w:val="00683459"/>
    <w:rsid w:val="006D59A7"/>
    <w:rsid w:val="006D5C0A"/>
    <w:rsid w:val="00713AF3"/>
    <w:rsid w:val="007917E8"/>
    <w:rsid w:val="007B4084"/>
    <w:rsid w:val="007B4909"/>
    <w:rsid w:val="00870C9A"/>
    <w:rsid w:val="00891793"/>
    <w:rsid w:val="008A4B41"/>
    <w:rsid w:val="00987C21"/>
    <w:rsid w:val="009D1147"/>
    <w:rsid w:val="009E5818"/>
    <w:rsid w:val="00A81463"/>
    <w:rsid w:val="00AC3726"/>
    <w:rsid w:val="00B778A6"/>
    <w:rsid w:val="00BF1201"/>
    <w:rsid w:val="00C10D27"/>
    <w:rsid w:val="00C23683"/>
    <w:rsid w:val="00C66DD3"/>
    <w:rsid w:val="00C74058"/>
    <w:rsid w:val="00D34258"/>
    <w:rsid w:val="00D356F0"/>
    <w:rsid w:val="00D858B7"/>
    <w:rsid w:val="00DD1E04"/>
    <w:rsid w:val="00E103FB"/>
    <w:rsid w:val="00E670E9"/>
    <w:rsid w:val="00FA3978"/>
    <w:rsid w:val="00FC43AA"/>
    <w:rsid w:val="00FE22F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9A3ABA"/>
  <w15:chartTrackingRefBased/>
  <w15:docId w15:val="{1C6D5B05-7824-4C1B-B718-E581C7D672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3978"/>
    <w:pPr>
      <w:spacing w:line="256" w:lineRule="auto"/>
    </w:pPr>
  </w:style>
  <w:style w:type="paragraph" w:styleId="Heading1">
    <w:name w:val="heading 1"/>
    <w:basedOn w:val="Normal"/>
    <w:next w:val="Normal"/>
    <w:link w:val="Heading1Char"/>
    <w:uiPriority w:val="9"/>
    <w:qFormat/>
    <w:rsid w:val="00FA3978"/>
    <w:pPr>
      <w:keepNext/>
      <w:keepLines/>
      <w:spacing w:before="360" w:after="80" w:line="259" w:lineRule="auto"/>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A3978"/>
    <w:pPr>
      <w:keepNext/>
      <w:keepLines/>
      <w:spacing w:before="160" w:after="80" w:line="259" w:lineRule="auto"/>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A3978"/>
    <w:pPr>
      <w:keepNext/>
      <w:keepLines/>
      <w:spacing w:before="160" w:after="80" w:line="259" w:lineRule="auto"/>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A3978"/>
    <w:pPr>
      <w:keepNext/>
      <w:keepLines/>
      <w:spacing w:before="80" w:after="40" w:line="259" w:lineRule="auto"/>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A3978"/>
    <w:pPr>
      <w:keepNext/>
      <w:keepLines/>
      <w:spacing w:before="80" w:after="40" w:line="259" w:lineRule="auto"/>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A3978"/>
    <w:pPr>
      <w:keepNext/>
      <w:keepLines/>
      <w:spacing w:before="40" w:after="0" w:line="259" w:lineRule="auto"/>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A3978"/>
    <w:pPr>
      <w:keepNext/>
      <w:keepLines/>
      <w:spacing w:before="40" w:after="0" w:line="259" w:lineRule="auto"/>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A3978"/>
    <w:pPr>
      <w:keepNext/>
      <w:keepLines/>
      <w:spacing w:after="0" w:line="259" w:lineRule="auto"/>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A3978"/>
    <w:pPr>
      <w:keepNext/>
      <w:keepLines/>
      <w:spacing w:after="0" w:line="259" w:lineRule="auto"/>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A397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A397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A397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A397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A397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A397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A397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A397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A3978"/>
    <w:rPr>
      <w:rFonts w:eastAsiaTheme="majorEastAsia" w:cstheme="majorBidi"/>
      <w:color w:val="272727" w:themeColor="text1" w:themeTint="D8"/>
    </w:rPr>
  </w:style>
  <w:style w:type="paragraph" w:styleId="Title">
    <w:name w:val="Title"/>
    <w:basedOn w:val="Normal"/>
    <w:next w:val="Normal"/>
    <w:link w:val="TitleChar"/>
    <w:uiPriority w:val="10"/>
    <w:qFormat/>
    <w:rsid w:val="00FA397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A397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A3978"/>
    <w:pPr>
      <w:numPr>
        <w:ilvl w:val="1"/>
      </w:numPr>
      <w:spacing w:line="259" w:lineRule="auto"/>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A397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A3978"/>
    <w:pPr>
      <w:spacing w:before="160" w:line="259" w:lineRule="auto"/>
      <w:jc w:val="center"/>
    </w:pPr>
    <w:rPr>
      <w:i/>
      <w:iCs/>
      <w:color w:val="404040" w:themeColor="text1" w:themeTint="BF"/>
    </w:rPr>
  </w:style>
  <w:style w:type="character" w:customStyle="1" w:styleId="QuoteChar">
    <w:name w:val="Quote Char"/>
    <w:basedOn w:val="DefaultParagraphFont"/>
    <w:link w:val="Quote"/>
    <w:uiPriority w:val="29"/>
    <w:rsid w:val="00FA3978"/>
    <w:rPr>
      <w:i/>
      <w:iCs/>
      <w:color w:val="404040" w:themeColor="text1" w:themeTint="BF"/>
    </w:rPr>
  </w:style>
  <w:style w:type="paragraph" w:styleId="ListParagraph">
    <w:name w:val="List Paragraph"/>
    <w:basedOn w:val="Normal"/>
    <w:uiPriority w:val="34"/>
    <w:qFormat/>
    <w:rsid w:val="00FA3978"/>
    <w:pPr>
      <w:spacing w:line="259" w:lineRule="auto"/>
      <w:ind w:left="720"/>
      <w:contextualSpacing/>
    </w:pPr>
  </w:style>
  <w:style w:type="character" w:styleId="IntenseEmphasis">
    <w:name w:val="Intense Emphasis"/>
    <w:basedOn w:val="DefaultParagraphFont"/>
    <w:uiPriority w:val="21"/>
    <w:qFormat/>
    <w:rsid w:val="00FA3978"/>
    <w:rPr>
      <w:i/>
      <w:iCs/>
      <w:color w:val="0F4761" w:themeColor="accent1" w:themeShade="BF"/>
    </w:rPr>
  </w:style>
  <w:style w:type="paragraph" w:styleId="IntenseQuote">
    <w:name w:val="Intense Quote"/>
    <w:basedOn w:val="Normal"/>
    <w:next w:val="Normal"/>
    <w:link w:val="IntenseQuoteChar"/>
    <w:uiPriority w:val="30"/>
    <w:qFormat/>
    <w:rsid w:val="00FA3978"/>
    <w:pPr>
      <w:pBdr>
        <w:top w:val="single" w:sz="4" w:space="10" w:color="0F4761" w:themeColor="accent1" w:themeShade="BF"/>
        <w:bottom w:val="single" w:sz="4" w:space="10" w:color="0F4761" w:themeColor="accent1" w:themeShade="BF"/>
      </w:pBdr>
      <w:spacing w:before="360" w:after="360" w:line="259" w:lineRule="auto"/>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A3978"/>
    <w:rPr>
      <w:i/>
      <w:iCs/>
      <w:color w:val="0F4761" w:themeColor="accent1" w:themeShade="BF"/>
    </w:rPr>
  </w:style>
  <w:style w:type="character" w:styleId="IntenseReference">
    <w:name w:val="Intense Reference"/>
    <w:basedOn w:val="DefaultParagraphFont"/>
    <w:uiPriority w:val="32"/>
    <w:qFormat/>
    <w:rsid w:val="00FA3978"/>
    <w:rPr>
      <w:b/>
      <w:bCs/>
      <w:smallCaps/>
      <w:color w:val="0F4761" w:themeColor="accent1" w:themeShade="BF"/>
      <w:spacing w:val="5"/>
    </w:rPr>
  </w:style>
  <w:style w:type="character" w:styleId="Hyperlink">
    <w:name w:val="Hyperlink"/>
    <w:basedOn w:val="DefaultParagraphFont"/>
    <w:uiPriority w:val="99"/>
    <w:unhideWhenUsed/>
    <w:rsid w:val="00FA3978"/>
    <w:rPr>
      <w:color w:val="467886" w:themeColor="hyperlink"/>
      <w:u w:val="single"/>
    </w:rPr>
  </w:style>
  <w:style w:type="paragraph" w:styleId="FootnoteText">
    <w:name w:val="footnote text"/>
    <w:basedOn w:val="Normal"/>
    <w:link w:val="FootnoteTextChar"/>
    <w:uiPriority w:val="99"/>
    <w:unhideWhenUsed/>
    <w:rsid w:val="00FA3978"/>
    <w:pPr>
      <w:spacing w:after="0" w:line="240" w:lineRule="auto"/>
    </w:pPr>
    <w:rPr>
      <w:sz w:val="20"/>
      <w:szCs w:val="20"/>
    </w:rPr>
  </w:style>
  <w:style w:type="character" w:customStyle="1" w:styleId="FootnoteTextChar">
    <w:name w:val="Footnote Text Char"/>
    <w:basedOn w:val="DefaultParagraphFont"/>
    <w:link w:val="FootnoteText"/>
    <w:uiPriority w:val="99"/>
    <w:rsid w:val="00FA3978"/>
    <w:rPr>
      <w:sz w:val="20"/>
      <w:szCs w:val="20"/>
    </w:rPr>
  </w:style>
  <w:style w:type="character" w:styleId="FootnoteReference">
    <w:name w:val="footnote reference"/>
    <w:basedOn w:val="DefaultParagraphFont"/>
    <w:uiPriority w:val="99"/>
    <w:semiHidden/>
    <w:unhideWhenUsed/>
    <w:rsid w:val="00FA3978"/>
    <w:rPr>
      <w:vertAlign w:val="superscript"/>
    </w:rPr>
  </w:style>
  <w:style w:type="character" w:styleId="Emphasis">
    <w:name w:val="Emphasis"/>
    <w:basedOn w:val="DefaultParagraphFont"/>
    <w:uiPriority w:val="20"/>
    <w:qFormat/>
    <w:rsid w:val="008A4B41"/>
    <w:rPr>
      <w:i/>
      <w:iCs/>
    </w:rPr>
  </w:style>
  <w:style w:type="character" w:styleId="UnresolvedMention">
    <w:name w:val="Unresolved Mention"/>
    <w:basedOn w:val="DefaultParagraphFont"/>
    <w:uiPriority w:val="99"/>
    <w:semiHidden/>
    <w:unhideWhenUsed/>
    <w:rsid w:val="00104535"/>
    <w:rPr>
      <w:color w:val="605E5C"/>
      <w:shd w:val="clear" w:color="auto" w:fill="E1DFDD"/>
    </w:rPr>
  </w:style>
  <w:style w:type="character" w:styleId="FollowedHyperlink">
    <w:name w:val="FollowedHyperlink"/>
    <w:basedOn w:val="DefaultParagraphFont"/>
    <w:uiPriority w:val="99"/>
    <w:semiHidden/>
    <w:unhideWhenUsed/>
    <w:rsid w:val="00AC3726"/>
    <w:rPr>
      <w:color w:val="96607D" w:themeColor="followedHyperlink"/>
      <w:u w:val="single"/>
    </w:rPr>
  </w:style>
  <w:style w:type="paragraph" w:styleId="Header">
    <w:name w:val="header"/>
    <w:basedOn w:val="Normal"/>
    <w:link w:val="HeaderChar"/>
    <w:uiPriority w:val="99"/>
    <w:unhideWhenUsed/>
    <w:rsid w:val="00D34258"/>
    <w:pPr>
      <w:tabs>
        <w:tab w:val="center" w:pos="4680"/>
        <w:tab w:val="right" w:pos="9360"/>
      </w:tabs>
      <w:spacing w:after="0" w:line="240" w:lineRule="auto"/>
    </w:pPr>
  </w:style>
  <w:style w:type="character" w:customStyle="1" w:styleId="HeaderChar">
    <w:name w:val="Header Char"/>
    <w:basedOn w:val="DefaultParagraphFont"/>
    <w:link w:val="Header"/>
    <w:uiPriority w:val="99"/>
    <w:rsid w:val="00D34258"/>
  </w:style>
  <w:style w:type="paragraph" w:styleId="Footer">
    <w:name w:val="footer"/>
    <w:basedOn w:val="Normal"/>
    <w:link w:val="FooterChar"/>
    <w:uiPriority w:val="99"/>
    <w:unhideWhenUsed/>
    <w:rsid w:val="00D34258"/>
    <w:pPr>
      <w:tabs>
        <w:tab w:val="center" w:pos="4680"/>
        <w:tab w:val="right" w:pos="9360"/>
      </w:tabs>
      <w:spacing w:after="0" w:line="240" w:lineRule="auto"/>
    </w:pPr>
  </w:style>
  <w:style w:type="character" w:customStyle="1" w:styleId="FooterChar">
    <w:name w:val="Footer Char"/>
    <w:basedOn w:val="DefaultParagraphFont"/>
    <w:link w:val="Footer"/>
    <w:uiPriority w:val="99"/>
    <w:rsid w:val="00D34258"/>
  </w:style>
  <w:style w:type="paragraph" w:styleId="TOCHeading">
    <w:name w:val="TOC Heading"/>
    <w:basedOn w:val="Heading1"/>
    <w:next w:val="Normal"/>
    <w:uiPriority w:val="39"/>
    <w:unhideWhenUsed/>
    <w:qFormat/>
    <w:rsid w:val="0067462D"/>
    <w:pPr>
      <w:spacing w:before="240" w:after="0"/>
      <w:outlineLvl w:val="9"/>
    </w:pPr>
    <w:rPr>
      <w:sz w:val="32"/>
      <w:szCs w:val="32"/>
    </w:rPr>
  </w:style>
  <w:style w:type="paragraph" w:styleId="TOC2">
    <w:name w:val="toc 2"/>
    <w:basedOn w:val="Normal"/>
    <w:next w:val="Normal"/>
    <w:autoRedefine/>
    <w:uiPriority w:val="39"/>
    <w:unhideWhenUsed/>
    <w:rsid w:val="0067462D"/>
    <w:pPr>
      <w:spacing w:after="100" w:line="259" w:lineRule="auto"/>
      <w:ind w:left="220"/>
    </w:pPr>
    <w:rPr>
      <w:rFonts w:eastAsiaTheme="minorEastAsia" w:cs="Times New Roman"/>
    </w:rPr>
  </w:style>
  <w:style w:type="paragraph" w:styleId="TOC1">
    <w:name w:val="toc 1"/>
    <w:basedOn w:val="Normal"/>
    <w:next w:val="Normal"/>
    <w:autoRedefine/>
    <w:uiPriority w:val="39"/>
    <w:unhideWhenUsed/>
    <w:rsid w:val="0067462D"/>
    <w:pPr>
      <w:spacing w:after="100" w:line="259" w:lineRule="auto"/>
    </w:pPr>
    <w:rPr>
      <w:rFonts w:eastAsiaTheme="minorEastAsia" w:cs="Times New Roman"/>
    </w:rPr>
  </w:style>
  <w:style w:type="paragraph" w:styleId="TOC3">
    <w:name w:val="toc 3"/>
    <w:basedOn w:val="Normal"/>
    <w:next w:val="Normal"/>
    <w:autoRedefine/>
    <w:uiPriority w:val="39"/>
    <w:unhideWhenUsed/>
    <w:rsid w:val="0067462D"/>
    <w:pPr>
      <w:spacing w:after="100" w:line="259" w:lineRule="auto"/>
      <w:ind w:left="440"/>
    </w:pPr>
    <w:rPr>
      <w:rFonts w:eastAsiaTheme="minorEastAsia" w:cs="Times New Roman"/>
    </w:rPr>
  </w:style>
  <w:style w:type="paragraph" w:styleId="NormalWeb">
    <w:name w:val="Normal (Web)"/>
    <w:basedOn w:val="Normal"/>
    <w:uiPriority w:val="99"/>
    <w:semiHidden/>
    <w:unhideWhenUsed/>
    <w:rsid w:val="00683459"/>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6076872">
      <w:bodyDiv w:val="1"/>
      <w:marLeft w:val="0"/>
      <w:marRight w:val="0"/>
      <w:marTop w:val="0"/>
      <w:marBottom w:val="0"/>
      <w:divBdr>
        <w:top w:val="none" w:sz="0" w:space="0" w:color="auto"/>
        <w:left w:val="none" w:sz="0" w:space="0" w:color="auto"/>
        <w:bottom w:val="none" w:sz="0" w:space="0" w:color="auto"/>
        <w:right w:val="none" w:sz="0" w:space="0" w:color="auto"/>
      </w:divBdr>
    </w:div>
    <w:div w:id="135296976">
      <w:bodyDiv w:val="1"/>
      <w:marLeft w:val="0"/>
      <w:marRight w:val="0"/>
      <w:marTop w:val="0"/>
      <w:marBottom w:val="0"/>
      <w:divBdr>
        <w:top w:val="none" w:sz="0" w:space="0" w:color="auto"/>
        <w:left w:val="none" w:sz="0" w:space="0" w:color="auto"/>
        <w:bottom w:val="none" w:sz="0" w:space="0" w:color="auto"/>
        <w:right w:val="none" w:sz="0" w:space="0" w:color="auto"/>
      </w:divBdr>
    </w:div>
    <w:div w:id="180780248">
      <w:bodyDiv w:val="1"/>
      <w:marLeft w:val="0"/>
      <w:marRight w:val="0"/>
      <w:marTop w:val="0"/>
      <w:marBottom w:val="0"/>
      <w:divBdr>
        <w:top w:val="none" w:sz="0" w:space="0" w:color="auto"/>
        <w:left w:val="none" w:sz="0" w:space="0" w:color="auto"/>
        <w:bottom w:val="none" w:sz="0" w:space="0" w:color="auto"/>
        <w:right w:val="none" w:sz="0" w:space="0" w:color="auto"/>
      </w:divBdr>
    </w:div>
    <w:div w:id="241718692">
      <w:bodyDiv w:val="1"/>
      <w:marLeft w:val="0"/>
      <w:marRight w:val="0"/>
      <w:marTop w:val="0"/>
      <w:marBottom w:val="0"/>
      <w:divBdr>
        <w:top w:val="none" w:sz="0" w:space="0" w:color="auto"/>
        <w:left w:val="none" w:sz="0" w:space="0" w:color="auto"/>
        <w:bottom w:val="none" w:sz="0" w:space="0" w:color="auto"/>
        <w:right w:val="none" w:sz="0" w:space="0" w:color="auto"/>
      </w:divBdr>
    </w:div>
    <w:div w:id="574895669">
      <w:bodyDiv w:val="1"/>
      <w:marLeft w:val="0"/>
      <w:marRight w:val="0"/>
      <w:marTop w:val="0"/>
      <w:marBottom w:val="0"/>
      <w:divBdr>
        <w:top w:val="none" w:sz="0" w:space="0" w:color="auto"/>
        <w:left w:val="none" w:sz="0" w:space="0" w:color="auto"/>
        <w:bottom w:val="none" w:sz="0" w:space="0" w:color="auto"/>
        <w:right w:val="none" w:sz="0" w:space="0" w:color="auto"/>
      </w:divBdr>
    </w:div>
    <w:div w:id="638076991">
      <w:bodyDiv w:val="1"/>
      <w:marLeft w:val="0"/>
      <w:marRight w:val="0"/>
      <w:marTop w:val="0"/>
      <w:marBottom w:val="0"/>
      <w:divBdr>
        <w:top w:val="none" w:sz="0" w:space="0" w:color="auto"/>
        <w:left w:val="none" w:sz="0" w:space="0" w:color="auto"/>
        <w:bottom w:val="none" w:sz="0" w:space="0" w:color="auto"/>
        <w:right w:val="none" w:sz="0" w:space="0" w:color="auto"/>
      </w:divBdr>
    </w:div>
    <w:div w:id="646280313">
      <w:bodyDiv w:val="1"/>
      <w:marLeft w:val="0"/>
      <w:marRight w:val="0"/>
      <w:marTop w:val="0"/>
      <w:marBottom w:val="0"/>
      <w:divBdr>
        <w:top w:val="none" w:sz="0" w:space="0" w:color="auto"/>
        <w:left w:val="none" w:sz="0" w:space="0" w:color="auto"/>
        <w:bottom w:val="none" w:sz="0" w:space="0" w:color="auto"/>
        <w:right w:val="none" w:sz="0" w:space="0" w:color="auto"/>
      </w:divBdr>
    </w:div>
    <w:div w:id="708182369">
      <w:bodyDiv w:val="1"/>
      <w:marLeft w:val="0"/>
      <w:marRight w:val="0"/>
      <w:marTop w:val="0"/>
      <w:marBottom w:val="0"/>
      <w:divBdr>
        <w:top w:val="none" w:sz="0" w:space="0" w:color="auto"/>
        <w:left w:val="none" w:sz="0" w:space="0" w:color="auto"/>
        <w:bottom w:val="none" w:sz="0" w:space="0" w:color="auto"/>
        <w:right w:val="none" w:sz="0" w:space="0" w:color="auto"/>
      </w:divBdr>
    </w:div>
    <w:div w:id="722093781">
      <w:bodyDiv w:val="1"/>
      <w:marLeft w:val="0"/>
      <w:marRight w:val="0"/>
      <w:marTop w:val="0"/>
      <w:marBottom w:val="0"/>
      <w:divBdr>
        <w:top w:val="none" w:sz="0" w:space="0" w:color="auto"/>
        <w:left w:val="none" w:sz="0" w:space="0" w:color="auto"/>
        <w:bottom w:val="none" w:sz="0" w:space="0" w:color="auto"/>
        <w:right w:val="none" w:sz="0" w:space="0" w:color="auto"/>
      </w:divBdr>
    </w:div>
    <w:div w:id="751660863">
      <w:bodyDiv w:val="1"/>
      <w:marLeft w:val="0"/>
      <w:marRight w:val="0"/>
      <w:marTop w:val="0"/>
      <w:marBottom w:val="0"/>
      <w:divBdr>
        <w:top w:val="none" w:sz="0" w:space="0" w:color="auto"/>
        <w:left w:val="none" w:sz="0" w:space="0" w:color="auto"/>
        <w:bottom w:val="none" w:sz="0" w:space="0" w:color="auto"/>
        <w:right w:val="none" w:sz="0" w:space="0" w:color="auto"/>
      </w:divBdr>
    </w:div>
    <w:div w:id="873813126">
      <w:bodyDiv w:val="1"/>
      <w:marLeft w:val="0"/>
      <w:marRight w:val="0"/>
      <w:marTop w:val="0"/>
      <w:marBottom w:val="0"/>
      <w:divBdr>
        <w:top w:val="none" w:sz="0" w:space="0" w:color="auto"/>
        <w:left w:val="none" w:sz="0" w:space="0" w:color="auto"/>
        <w:bottom w:val="none" w:sz="0" w:space="0" w:color="auto"/>
        <w:right w:val="none" w:sz="0" w:space="0" w:color="auto"/>
      </w:divBdr>
    </w:div>
    <w:div w:id="937567621">
      <w:bodyDiv w:val="1"/>
      <w:marLeft w:val="0"/>
      <w:marRight w:val="0"/>
      <w:marTop w:val="0"/>
      <w:marBottom w:val="0"/>
      <w:divBdr>
        <w:top w:val="none" w:sz="0" w:space="0" w:color="auto"/>
        <w:left w:val="none" w:sz="0" w:space="0" w:color="auto"/>
        <w:bottom w:val="none" w:sz="0" w:space="0" w:color="auto"/>
        <w:right w:val="none" w:sz="0" w:space="0" w:color="auto"/>
      </w:divBdr>
    </w:div>
    <w:div w:id="1013646215">
      <w:bodyDiv w:val="1"/>
      <w:marLeft w:val="0"/>
      <w:marRight w:val="0"/>
      <w:marTop w:val="0"/>
      <w:marBottom w:val="0"/>
      <w:divBdr>
        <w:top w:val="none" w:sz="0" w:space="0" w:color="auto"/>
        <w:left w:val="none" w:sz="0" w:space="0" w:color="auto"/>
        <w:bottom w:val="none" w:sz="0" w:space="0" w:color="auto"/>
        <w:right w:val="none" w:sz="0" w:space="0" w:color="auto"/>
      </w:divBdr>
    </w:div>
    <w:div w:id="1259825908">
      <w:bodyDiv w:val="1"/>
      <w:marLeft w:val="0"/>
      <w:marRight w:val="0"/>
      <w:marTop w:val="0"/>
      <w:marBottom w:val="0"/>
      <w:divBdr>
        <w:top w:val="none" w:sz="0" w:space="0" w:color="auto"/>
        <w:left w:val="none" w:sz="0" w:space="0" w:color="auto"/>
        <w:bottom w:val="none" w:sz="0" w:space="0" w:color="auto"/>
        <w:right w:val="none" w:sz="0" w:space="0" w:color="auto"/>
      </w:divBdr>
    </w:div>
    <w:div w:id="1371879289">
      <w:bodyDiv w:val="1"/>
      <w:marLeft w:val="0"/>
      <w:marRight w:val="0"/>
      <w:marTop w:val="0"/>
      <w:marBottom w:val="0"/>
      <w:divBdr>
        <w:top w:val="none" w:sz="0" w:space="0" w:color="auto"/>
        <w:left w:val="none" w:sz="0" w:space="0" w:color="auto"/>
        <w:bottom w:val="none" w:sz="0" w:space="0" w:color="auto"/>
        <w:right w:val="none" w:sz="0" w:space="0" w:color="auto"/>
      </w:divBdr>
    </w:div>
    <w:div w:id="1496265528">
      <w:bodyDiv w:val="1"/>
      <w:marLeft w:val="0"/>
      <w:marRight w:val="0"/>
      <w:marTop w:val="0"/>
      <w:marBottom w:val="0"/>
      <w:divBdr>
        <w:top w:val="none" w:sz="0" w:space="0" w:color="auto"/>
        <w:left w:val="none" w:sz="0" w:space="0" w:color="auto"/>
        <w:bottom w:val="none" w:sz="0" w:space="0" w:color="auto"/>
        <w:right w:val="none" w:sz="0" w:space="0" w:color="auto"/>
      </w:divBdr>
    </w:div>
    <w:div w:id="1508062273">
      <w:bodyDiv w:val="1"/>
      <w:marLeft w:val="0"/>
      <w:marRight w:val="0"/>
      <w:marTop w:val="0"/>
      <w:marBottom w:val="0"/>
      <w:divBdr>
        <w:top w:val="none" w:sz="0" w:space="0" w:color="auto"/>
        <w:left w:val="none" w:sz="0" w:space="0" w:color="auto"/>
        <w:bottom w:val="none" w:sz="0" w:space="0" w:color="auto"/>
        <w:right w:val="none" w:sz="0" w:space="0" w:color="auto"/>
      </w:divBdr>
    </w:div>
    <w:div w:id="1595240594">
      <w:bodyDiv w:val="1"/>
      <w:marLeft w:val="0"/>
      <w:marRight w:val="0"/>
      <w:marTop w:val="0"/>
      <w:marBottom w:val="0"/>
      <w:divBdr>
        <w:top w:val="none" w:sz="0" w:space="0" w:color="auto"/>
        <w:left w:val="none" w:sz="0" w:space="0" w:color="auto"/>
        <w:bottom w:val="none" w:sz="0" w:space="0" w:color="auto"/>
        <w:right w:val="none" w:sz="0" w:space="0" w:color="auto"/>
      </w:divBdr>
    </w:div>
    <w:div w:id="1603027684">
      <w:bodyDiv w:val="1"/>
      <w:marLeft w:val="0"/>
      <w:marRight w:val="0"/>
      <w:marTop w:val="0"/>
      <w:marBottom w:val="0"/>
      <w:divBdr>
        <w:top w:val="none" w:sz="0" w:space="0" w:color="auto"/>
        <w:left w:val="none" w:sz="0" w:space="0" w:color="auto"/>
        <w:bottom w:val="none" w:sz="0" w:space="0" w:color="auto"/>
        <w:right w:val="none" w:sz="0" w:space="0" w:color="auto"/>
      </w:divBdr>
    </w:div>
    <w:div w:id="1634672044">
      <w:bodyDiv w:val="1"/>
      <w:marLeft w:val="0"/>
      <w:marRight w:val="0"/>
      <w:marTop w:val="0"/>
      <w:marBottom w:val="0"/>
      <w:divBdr>
        <w:top w:val="none" w:sz="0" w:space="0" w:color="auto"/>
        <w:left w:val="none" w:sz="0" w:space="0" w:color="auto"/>
        <w:bottom w:val="none" w:sz="0" w:space="0" w:color="auto"/>
        <w:right w:val="none" w:sz="0" w:space="0" w:color="auto"/>
      </w:divBdr>
    </w:div>
    <w:div w:id="1666014538">
      <w:bodyDiv w:val="1"/>
      <w:marLeft w:val="0"/>
      <w:marRight w:val="0"/>
      <w:marTop w:val="0"/>
      <w:marBottom w:val="0"/>
      <w:divBdr>
        <w:top w:val="none" w:sz="0" w:space="0" w:color="auto"/>
        <w:left w:val="none" w:sz="0" w:space="0" w:color="auto"/>
        <w:bottom w:val="none" w:sz="0" w:space="0" w:color="auto"/>
        <w:right w:val="none" w:sz="0" w:space="0" w:color="auto"/>
      </w:divBdr>
    </w:div>
    <w:div w:id="1745255788">
      <w:bodyDiv w:val="1"/>
      <w:marLeft w:val="0"/>
      <w:marRight w:val="0"/>
      <w:marTop w:val="0"/>
      <w:marBottom w:val="0"/>
      <w:divBdr>
        <w:top w:val="none" w:sz="0" w:space="0" w:color="auto"/>
        <w:left w:val="none" w:sz="0" w:space="0" w:color="auto"/>
        <w:bottom w:val="none" w:sz="0" w:space="0" w:color="auto"/>
        <w:right w:val="none" w:sz="0" w:space="0" w:color="auto"/>
      </w:divBdr>
    </w:div>
    <w:div w:id="1879776120">
      <w:bodyDiv w:val="1"/>
      <w:marLeft w:val="0"/>
      <w:marRight w:val="0"/>
      <w:marTop w:val="0"/>
      <w:marBottom w:val="0"/>
      <w:divBdr>
        <w:top w:val="none" w:sz="0" w:space="0" w:color="auto"/>
        <w:left w:val="none" w:sz="0" w:space="0" w:color="auto"/>
        <w:bottom w:val="none" w:sz="0" w:space="0" w:color="auto"/>
        <w:right w:val="none" w:sz="0" w:space="0" w:color="auto"/>
      </w:divBdr>
    </w:div>
    <w:div w:id="1950157677">
      <w:bodyDiv w:val="1"/>
      <w:marLeft w:val="0"/>
      <w:marRight w:val="0"/>
      <w:marTop w:val="0"/>
      <w:marBottom w:val="0"/>
      <w:divBdr>
        <w:top w:val="none" w:sz="0" w:space="0" w:color="auto"/>
        <w:left w:val="none" w:sz="0" w:space="0" w:color="auto"/>
        <w:bottom w:val="none" w:sz="0" w:space="0" w:color="auto"/>
        <w:right w:val="none" w:sz="0" w:space="0" w:color="auto"/>
      </w:divBdr>
    </w:div>
    <w:div w:id="1989044344">
      <w:bodyDiv w:val="1"/>
      <w:marLeft w:val="0"/>
      <w:marRight w:val="0"/>
      <w:marTop w:val="0"/>
      <w:marBottom w:val="0"/>
      <w:divBdr>
        <w:top w:val="none" w:sz="0" w:space="0" w:color="auto"/>
        <w:left w:val="none" w:sz="0" w:space="0" w:color="auto"/>
        <w:bottom w:val="none" w:sz="0" w:space="0" w:color="auto"/>
        <w:right w:val="none" w:sz="0" w:space="0" w:color="auto"/>
      </w:divBdr>
    </w:div>
    <w:div w:id="2020891413">
      <w:bodyDiv w:val="1"/>
      <w:marLeft w:val="0"/>
      <w:marRight w:val="0"/>
      <w:marTop w:val="0"/>
      <w:marBottom w:val="0"/>
      <w:divBdr>
        <w:top w:val="none" w:sz="0" w:space="0" w:color="auto"/>
        <w:left w:val="none" w:sz="0" w:space="0" w:color="auto"/>
        <w:bottom w:val="none" w:sz="0" w:space="0" w:color="auto"/>
        <w:right w:val="none" w:sz="0" w:space="0" w:color="auto"/>
      </w:divBdr>
    </w:div>
    <w:div w:id="2099862528">
      <w:bodyDiv w:val="1"/>
      <w:marLeft w:val="0"/>
      <w:marRight w:val="0"/>
      <w:marTop w:val="0"/>
      <w:marBottom w:val="0"/>
      <w:divBdr>
        <w:top w:val="none" w:sz="0" w:space="0" w:color="auto"/>
        <w:left w:val="none" w:sz="0" w:space="0" w:color="auto"/>
        <w:bottom w:val="none" w:sz="0" w:space="0" w:color="auto"/>
        <w:right w:val="none" w:sz="0" w:space="0" w:color="auto"/>
      </w:divBdr>
    </w:div>
    <w:div w:id="2100713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ABBC1C-BD23-4F54-8083-228AEFC208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482</TotalTime>
  <Pages>84</Pages>
  <Words>23855</Words>
  <Characters>135977</Characters>
  <Application>Microsoft Office Word</Application>
  <DocSecurity>0</DocSecurity>
  <Lines>1133</Lines>
  <Paragraphs>319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mmaxwell0524@gmail.com</dc:creator>
  <cp:keywords/>
  <dc:description/>
  <cp:lastModifiedBy>Myles Maxwell</cp:lastModifiedBy>
  <cp:revision>24</cp:revision>
  <dcterms:created xsi:type="dcterms:W3CDTF">2024-04-10T23:26:00Z</dcterms:created>
  <dcterms:modified xsi:type="dcterms:W3CDTF">2024-05-13T18:29:00Z</dcterms:modified>
</cp:coreProperties>
</file>