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1C6336"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6F16DC9D"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5B1A769C"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21451704"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7290ADD8"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0DAFCA2F"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2BEC1324"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1AA70A0C" w14:textId="20EB31F2" w:rsidR="00DF1C71" w:rsidRPr="009341AA" w:rsidRDefault="00DF1C71" w:rsidP="00274E07">
      <w:pPr>
        <w:widowControl w:val="0"/>
        <w:tabs>
          <w:tab w:val="left" w:pos="360"/>
        </w:tabs>
        <w:autoSpaceDE w:val="0"/>
        <w:autoSpaceDN w:val="0"/>
        <w:adjustRightInd w:val="0"/>
        <w:spacing w:line="480" w:lineRule="auto"/>
        <w:jc w:val="center"/>
        <w:rPr>
          <w:rFonts w:ascii="Times New Roman" w:hAnsi="Times New Roman" w:cs="Times New Roman"/>
          <w:b/>
          <w:sz w:val="36"/>
          <w:szCs w:val="36"/>
        </w:rPr>
      </w:pPr>
      <w:r w:rsidRPr="009341AA">
        <w:rPr>
          <w:rFonts w:ascii="Times New Roman" w:hAnsi="Times New Roman" w:cs="Times New Roman"/>
          <w:b/>
          <w:sz w:val="36"/>
          <w:szCs w:val="36"/>
        </w:rPr>
        <w:t xml:space="preserve">A </w:t>
      </w:r>
      <w:r w:rsidR="004C1FDE" w:rsidRPr="009341AA">
        <w:rPr>
          <w:rFonts w:ascii="Times New Roman" w:hAnsi="Times New Roman" w:cs="Times New Roman"/>
          <w:b/>
          <w:sz w:val="36"/>
          <w:szCs w:val="36"/>
        </w:rPr>
        <w:t>Religious</w:t>
      </w:r>
      <w:r w:rsidRPr="009341AA">
        <w:rPr>
          <w:rFonts w:ascii="Times New Roman" w:hAnsi="Times New Roman" w:cs="Times New Roman"/>
          <w:b/>
          <w:sz w:val="36"/>
          <w:szCs w:val="36"/>
        </w:rPr>
        <w:t xml:space="preserve"> America: An In Depth Look at the Free Exercise Clause</w:t>
      </w:r>
    </w:p>
    <w:p w14:paraId="15392A28" w14:textId="77777777" w:rsidR="00DF1C71" w:rsidRPr="009341AA" w:rsidRDefault="00DF1C71"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t>Rachel Kaseff</w:t>
      </w:r>
    </w:p>
    <w:p w14:paraId="7208027F" w14:textId="77777777" w:rsidR="00691B74" w:rsidRPr="009341AA" w:rsidRDefault="00DF1C71"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t>Senior Thesis</w:t>
      </w:r>
    </w:p>
    <w:p w14:paraId="08D1C1FA" w14:textId="6CBD5C03" w:rsidR="00691B74" w:rsidRPr="009341AA" w:rsidRDefault="00691B74"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t>Committee Members: Ann Duncan, Kelly Brown Douglas, Nina Kasniunas</w:t>
      </w:r>
    </w:p>
    <w:p w14:paraId="377FD208" w14:textId="3DA948F5" w:rsidR="00691B74" w:rsidRPr="009341AA" w:rsidRDefault="00691B74"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t>Religion Department</w:t>
      </w:r>
    </w:p>
    <w:p w14:paraId="4D12F20F" w14:textId="27B5E9A9" w:rsidR="00DF1C71" w:rsidRPr="009341AA" w:rsidRDefault="00691B74"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t xml:space="preserve">May </w:t>
      </w:r>
      <w:r w:rsidR="00DF1C71" w:rsidRPr="009341AA">
        <w:rPr>
          <w:rFonts w:ascii="Times New Roman" w:hAnsi="Times New Roman" w:cs="Times New Roman"/>
          <w:b/>
          <w:sz w:val="28"/>
          <w:szCs w:val="28"/>
        </w:rPr>
        <w:t>2017</w:t>
      </w:r>
    </w:p>
    <w:p w14:paraId="6ADD05C2" w14:textId="77777777" w:rsidR="00DF1C71" w:rsidRPr="009341AA" w:rsidRDefault="00DF1C71" w:rsidP="00274E07">
      <w:pPr>
        <w:widowControl w:val="0"/>
        <w:tabs>
          <w:tab w:val="left" w:pos="360"/>
        </w:tabs>
        <w:autoSpaceDE w:val="0"/>
        <w:autoSpaceDN w:val="0"/>
        <w:adjustRightInd w:val="0"/>
        <w:spacing w:line="480" w:lineRule="auto"/>
        <w:jc w:val="center"/>
        <w:rPr>
          <w:rFonts w:ascii="Times New Roman" w:hAnsi="Times New Roman" w:cs="Times New Roman"/>
          <w:b/>
        </w:rPr>
      </w:pPr>
    </w:p>
    <w:p w14:paraId="3C32DB4A"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06136A72"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31E7529C"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1258F12F"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792948A0"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2260C6DB" w14:textId="6AD48005" w:rsidR="00691B74" w:rsidRPr="009341AA" w:rsidRDefault="00691B74" w:rsidP="00274E07">
      <w:pPr>
        <w:widowControl w:val="0"/>
        <w:tabs>
          <w:tab w:val="left" w:pos="360"/>
        </w:tabs>
        <w:autoSpaceDE w:val="0"/>
        <w:autoSpaceDN w:val="0"/>
        <w:adjustRightInd w:val="0"/>
        <w:spacing w:line="480" w:lineRule="auto"/>
        <w:jc w:val="center"/>
        <w:rPr>
          <w:rFonts w:ascii="Times New Roman" w:hAnsi="Times New Roman" w:cs="Times New Roman"/>
          <w:b/>
          <w:sz w:val="32"/>
          <w:szCs w:val="32"/>
        </w:rPr>
      </w:pPr>
      <w:r w:rsidRPr="009341AA">
        <w:rPr>
          <w:rFonts w:ascii="Times New Roman" w:hAnsi="Times New Roman" w:cs="Times New Roman"/>
          <w:b/>
          <w:sz w:val="32"/>
          <w:szCs w:val="32"/>
        </w:rPr>
        <w:lastRenderedPageBreak/>
        <w:t>Table of Contents</w:t>
      </w:r>
    </w:p>
    <w:p w14:paraId="75B98FF4" w14:textId="4233E348"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Introduction…………………………………………………………</w:t>
      </w:r>
      <w:r w:rsidR="00204AFD" w:rsidRPr="009341AA">
        <w:rPr>
          <w:rFonts w:ascii="Times New Roman" w:hAnsi="Times New Roman" w:cs="Times New Roman"/>
          <w:b/>
        </w:rPr>
        <w:tab/>
      </w:r>
      <w:r w:rsidR="00AE1167">
        <w:rPr>
          <w:rFonts w:ascii="Times New Roman" w:hAnsi="Times New Roman" w:cs="Times New Roman"/>
          <w:b/>
        </w:rPr>
        <w:t>3-9</w:t>
      </w:r>
    </w:p>
    <w:p w14:paraId="6D2C2D46" w14:textId="273E78F6"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Chapter 1</w:t>
      </w:r>
      <w:r w:rsidR="008F3D69" w:rsidRPr="009341AA">
        <w:rPr>
          <w:rFonts w:ascii="Times New Roman" w:hAnsi="Times New Roman" w:cs="Times New Roman"/>
          <w:b/>
        </w:rPr>
        <w:t>: Historical Overview…..…………………………</w:t>
      </w:r>
      <w:r w:rsidRPr="009341AA">
        <w:rPr>
          <w:rFonts w:ascii="Times New Roman" w:hAnsi="Times New Roman" w:cs="Times New Roman"/>
          <w:b/>
        </w:rPr>
        <w:t>……</w:t>
      </w:r>
      <w:r w:rsidR="00AE1167">
        <w:rPr>
          <w:rFonts w:ascii="Times New Roman" w:hAnsi="Times New Roman" w:cs="Times New Roman"/>
          <w:b/>
        </w:rPr>
        <w:t>.</w:t>
      </w:r>
      <w:r w:rsidR="00AE1167">
        <w:rPr>
          <w:rFonts w:ascii="Times New Roman" w:hAnsi="Times New Roman" w:cs="Times New Roman"/>
          <w:b/>
        </w:rPr>
        <w:tab/>
        <w:t>10</w:t>
      </w:r>
      <w:r w:rsidR="000D22F9" w:rsidRPr="009341AA">
        <w:rPr>
          <w:rFonts w:ascii="Times New Roman" w:hAnsi="Times New Roman" w:cs="Times New Roman"/>
          <w:b/>
        </w:rPr>
        <w:t>-2</w:t>
      </w:r>
      <w:r w:rsidR="00AE1167">
        <w:rPr>
          <w:rFonts w:ascii="Times New Roman" w:hAnsi="Times New Roman" w:cs="Times New Roman"/>
          <w:b/>
        </w:rPr>
        <w:t>4</w:t>
      </w:r>
    </w:p>
    <w:p w14:paraId="3A672B4B" w14:textId="31A8ADF1"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Chapter 2</w:t>
      </w:r>
      <w:r w:rsidR="008F3D69" w:rsidRPr="009341AA">
        <w:rPr>
          <w:rFonts w:ascii="Times New Roman" w:hAnsi="Times New Roman" w:cs="Times New Roman"/>
          <w:b/>
        </w:rPr>
        <w:t>: The Belief/Action Dichotomy………………………</w:t>
      </w:r>
      <w:r w:rsidRPr="009341AA">
        <w:rPr>
          <w:rFonts w:ascii="Times New Roman" w:hAnsi="Times New Roman" w:cs="Times New Roman"/>
          <w:b/>
        </w:rPr>
        <w:t>…</w:t>
      </w:r>
      <w:r w:rsidR="00AE1167">
        <w:rPr>
          <w:rFonts w:ascii="Times New Roman" w:hAnsi="Times New Roman" w:cs="Times New Roman"/>
          <w:b/>
        </w:rPr>
        <w:t>.</w:t>
      </w:r>
      <w:r w:rsidR="00AE1167">
        <w:rPr>
          <w:rFonts w:ascii="Times New Roman" w:hAnsi="Times New Roman" w:cs="Times New Roman"/>
          <w:b/>
        </w:rPr>
        <w:tab/>
        <w:t>25-35</w:t>
      </w:r>
    </w:p>
    <w:p w14:paraId="1AD2D51A" w14:textId="1FC02CAC"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Chapter 3</w:t>
      </w:r>
      <w:r w:rsidR="008F3D69" w:rsidRPr="009341AA">
        <w:rPr>
          <w:rFonts w:ascii="Times New Roman" w:hAnsi="Times New Roman" w:cs="Times New Roman"/>
          <w:b/>
        </w:rPr>
        <w:t>: Government Interests Supersede Free Exercise…</w:t>
      </w:r>
      <w:r w:rsidR="00A94E32" w:rsidRPr="009341AA">
        <w:rPr>
          <w:rFonts w:ascii="Times New Roman" w:hAnsi="Times New Roman" w:cs="Times New Roman"/>
          <w:b/>
        </w:rPr>
        <w:t>.</w:t>
      </w:r>
      <w:r w:rsidRPr="009341AA">
        <w:rPr>
          <w:rFonts w:ascii="Times New Roman" w:hAnsi="Times New Roman" w:cs="Times New Roman"/>
          <w:b/>
        </w:rPr>
        <w:t>…</w:t>
      </w:r>
      <w:r w:rsidR="00AE1167">
        <w:rPr>
          <w:rFonts w:ascii="Times New Roman" w:hAnsi="Times New Roman" w:cs="Times New Roman"/>
          <w:b/>
        </w:rPr>
        <w:t>.</w:t>
      </w:r>
      <w:r w:rsidR="00AE1167">
        <w:rPr>
          <w:rFonts w:ascii="Times New Roman" w:hAnsi="Times New Roman" w:cs="Times New Roman"/>
          <w:b/>
        </w:rPr>
        <w:tab/>
        <w:t>36-50</w:t>
      </w:r>
    </w:p>
    <w:p w14:paraId="6DD5B26E" w14:textId="45C0FA3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Chapter 4</w:t>
      </w:r>
      <w:r w:rsidR="00A94E32" w:rsidRPr="009341AA">
        <w:rPr>
          <w:rFonts w:ascii="Times New Roman" w:hAnsi="Times New Roman" w:cs="Times New Roman"/>
          <w:b/>
        </w:rPr>
        <w:t>: Accommodation Turns to Discrimination………..</w:t>
      </w:r>
      <w:r w:rsidRPr="009341AA">
        <w:rPr>
          <w:rFonts w:ascii="Times New Roman" w:hAnsi="Times New Roman" w:cs="Times New Roman"/>
          <w:b/>
        </w:rPr>
        <w:t>…</w:t>
      </w:r>
      <w:r w:rsidR="00AE1167">
        <w:rPr>
          <w:rFonts w:ascii="Times New Roman" w:hAnsi="Times New Roman" w:cs="Times New Roman"/>
          <w:b/>
        </w:rPr>
        <w:t>.</w:t>
      </w:r>
      <w:r w:rsidR="00AE1167">
        <w:rPr>
          <w:rFonts w:ascii="Times New Roman" w:hAnsi="Times New Roman" w:cs="Times New Roman"/>
          <w:b/>
        </w:rPr>
        <w:tab/>
        <w:t>51-61</w:t>
      </w:r>
    </w:p>
    <w:p w14:paraId="12266EDD" w14:textId="69F57847" w:rsidR="00691B74" w:rsidRPr="009341AA" w:rsidRDefault="008F3D69"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Chapter 5: Final Remarks……………………………</w:t>
      </w:r>
      <w:r w:rsidR="00A94E32" w:rsidRPr="009341AA">
        <w:rPr>
          <w:rFonts w:ascii="Times New Roman" w:hAnsi="Times New Roman" w:cs="Times New Roman"/>
          <w:b/>
        </w:rPr>
        <w:t>………</w:t>
      </w:r>
      <w:r w:rsidR="00691B74" w:rsidRPr="009341AA">
        <w:rPr>
          <w:rFonts w:ascii="Times New Roman" w:hAnsi="Times New Roman" w:cs="Times New Roman"/>
          <w:b/>
        </w:rPr>
        <w:t>……</w:t>
      </w:r>
      <w:r w:rsidR="00AE1167">
        <w:rPr>
          <w:rFonts w:ascii="Times New Roman" w:hAnsi="Times New Roman" w:cs="Times New Roman"/>
          <w:b/>
        </w:rPr>
        <w:tab/>
        <w:t>62-64</w:t>
      </w:r>
    </w:p>
    <w:p w14:paraId="439FB491" w14:textId="1BA6072D" w:rsidR="006933A0" w:rsidRPr="009341AA" w:rsidRDefault="006933A0" w:rsidP="00274E07">
      <w:pPr>
        <w:widowControl w:val="0"/>
        <w:tabs>
          <w:tab w:val="left" w:pos="360"/>
        </w:tabs>
        <w:autoSpaceDE w:val="0"/>
        <w:autoSpaceDN w:val="0"/>
        <w:adjustRightInd w:val="0"/>
        <w:spacing w:line="480" w:lineRule="auto"/>
        <w:rPr>
          <w:rFonts w:ascii="Times New Roman" w:hAnsi="Times New Roman" w:cs="Times New Roman"/>
          <w:b/>
        </w:rPr>
      </w:pPr>
      <w:r w:rsidRPr="009341AA">
        <w:rPr>
          <w:rFonts w:ascii="Times New Roman" w:hAnsi="Times New Roman" w:cs="Times New Roman"/>
          <w:b/>
        </w:rPr>
        <w:t>Bibli</w:t>
      </w:r>
      <w:r w:rsidR="00AE1167">
        <w:rPr>
          <w:rFonts w:ascii="Times New Roman" w:hAnsi="Times New Roman" w:cs="Times New Roman"/>
          <w:b/>
        </w:rPr>
        <w:t>ography…………………………………………………………</w:t>
      </w:r>
      <w:r w:rsidR="00AE1167">
        <w:rPr>
          <w:rFonts w:ascii="Times New Roman" w:hAnsi="Times New Roman" w:cs="Times New Roman"/>
          <w:b/>
        </w:rPr>
        <w:tab/>
        <w:t>65-67</w:t>
      </w:r>
      <w:bookmarkStart w:id="0" w:name="_GoBack"/>
      <w:bookmarkEnd w:id="0"/>
    </w:p>
    <w:p w14:paraId="3FD416F0"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4680D5EB"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579B8551"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04565251"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561E2AF0"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5E621306"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7380C536"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2E1AA85F"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4FBA12D0"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30708849"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68292060"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0CCBE423"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04FBBD5A"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489BE6BC"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4D06D980" w14:textId="77777777" w:rsidR="00691B74" w:rsidRPr="009341AA" w:rsidRDefault="00691B74" w:rsidP="00274E07">
      <w:pPr>
        <w:widowControl w:val="0"/>
        <w:tabs>
          <w:tab w:val="left" w:pos="360"/>
        </w:tabs>
        <w:autoSpaceDE w:val="0"/>
        <w:autoSpaceDN w:val="0"/>
        <w:adjustRightInd w:val="0"/>
        <w:spacing w:line="480" w:lineRule="auto"/>
        <w:rPr>
          <w:rFonts w:ascii="Times New Roman" w:hAnsi="Times New Roman" w:cs="Times New Roman"/>
          <w:b/>
        </w:rPr>
      </w:pPr>
    </w:p>
    <w:p w14:paraId="7EA09163" w14:textId="77777777" w:rsidR="00DF1C71" w:rsidRPr="009341AA" w:rsidRDefault="00DF1C71"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Introduction</w:t>
      </w:r>
    </w:p>
    <w:p w14:paraId="70F68A5C" w14:textId="77777777" w:rsidR="00857B93" w:rsidRPr="009341AA" w:rsidRDefault="00857B93" w:rsidP="00274E07">
      <w:pPr>
        <w:widowControl w:val="0"/>
        <w:tabs>
          <w:tab w:val="left" w:pos="360"/>
        </w:tabs>
        <w:autoSpaceDE w:val="0"/>
        <w:autoSpaceDN w:val="0"/>
        <w:adjustRightInd w:val="0"/>
        <w:spacing w:line="480" w:lineRule="auto"/>
        <w:jc w:val="center"/>
        <w:rPr>
          <w:rFonts w:ascii="Times New Roman" w:hAnsi="Times New Roman" w:cs="Times New Roman"/>
          <w:b/>
          <w:sz w:val="28"/>
          <w:szCs w:val="28"/>
        </w:rPr>
      </w:pPr>
    </w:p>
    <w:p w14:paraId="541F2C05" w14:textId="151E6FC9" w:rsidR="00FD614E" w:rsidRPr="009341AA" w:rsidRDefault="00870B6F" w:rsidP="00274E07">
      <w:pPr>
        <w:widowControl w:val="0"/>
        <w:tabs>
          <w:tab w:val="left" w:pos="360"/>
        </w:tabs>
        <w:autoSpaceDE w:val="0"/>
        <w:autoSpaceDN w:val="0"/>
        <w:adjustRightInd w:val="0"/>
        <w:spacing w:line="480" w:lineRule="auto"/>
        <w:jc w:val="center"/>
        <w:rPr>
          <w:rFonts w:ascii="Times New Roman" w:hAnsi="Times New Roman" w:cs="Times New Roman"/>
          <w:b/>
        </w:rPr>
      </w:pPr>
      <w:r w:rsidRPr="009341AA">
        <w:rPr>
          <w:rFonts w:ascii="Times New Roman" w:hAnsi="Times New Roman" w:cs="Times New Roman"/>
          <w:b/>
        </w:rPr>
        <w:t xml:space="preserve">A. </w:t>
      </w:r>
      <w:r w:rsidR="002746E1" w:rsidRPr="009341AA">
        <w:rPr>
          <w:rFonts w:ascii="Times New Roman" w:hAnsi="Times New Roman" w:cs="Times New Roman"/>
          <w:b/>
        </w:rPr>
        <w:t>Arlene’s Flowers</w:t>
      </w:r>
    </w:p>
    <w:p w14:paraId="585C8EC9" w14:textId="5F8A9FD1" w:rsidR="00FD614E" w:rsidRPr="009341AA" w:rsidRDefault="00FD614E" w:rsidP="00274E07">
      <w:pPr>
        <w:widowControl w:val="0"/>
        <w:tabs>
          <w:tab w:val="left" w:pos="36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t xml:space="preserve">Robert Ingersoll’s wedding was fast approaching. There were so many things to plan and schedule that he never thought making the flower arrangements would become his biggest problem. He called up his friend and florist, Barronelle Stutzman, who owned Arlene’s Flowers. He had been a long time customer and it only seemed right to remain loyal during this joyous occasion. Rob told her the good news: he was marrying the love of his life, Curt Freed. </w:t>
      </w:r>
      <w:r w:rsidR="002746E1" w:rsidRPr="009341AA">
        <w:rPr>
          <w:rFonts w:ascii="Times New Roman" w:hAnsi="Times New Roman" w:cs="Times New Roman"/>
        </w:rPr>
        <w:t>Barronelle knew that Rob was dating a man and Rob knew that Barronelle was Christian but they had been friends for some time and those two facts had never been a problem. Rob asked Barronelle to make a special arrangement for his wedding and it was then that Barronelle’s religious beliefs came into conflict with her professional life. Unable to support something that went against her religious beliefs, Barronelle refused. Barronelle was sued by the Washington State attorney general in November of 2016 and lost.</w:t>
      </w:r>
      <w:r w:rsidR="00A53B4D" w:rsidRPr="009341AA">
        <w:rPr>
          <w:rStyle w:val="FootnoteReference"/>
          <w:rFonts w:ascii="Times New Roman" w:hAnsi="Times New Roman" w:cs="Times New Roman"/>
        </w:rPr>
        <w:footnoteReference w:id="1"/>
      </w:r>
    </w:p>
    <w:p w14:paraId="0D821CC8" w14:textId="77777777" w:rsidR="00031084" w:rsidRPr="009341AA" w:rsidRDefault="00031084" w:rsidP="00274E07">
      <w:pPr>
        <w:widowControl w:val="0"/>
        <w:tabs>
          <w:tab w:val="left" w:pos="360"/>
        </w:tabs>
        <w:autoSpaceDE w:val="0"/>
        <w:autoSpaceDN w:val="0"/>
        <w:adjustRightInd w:val="0"/>
        <w:spacing w:line="480" w:lineRule="auto"/>
        <w:rPr>
          <w:rFonts w:ascii="Times New Roman" w:hAnsi="Times New Roman" w:cs="Times New Roman"/>
        </w:rPr>
      </w:pPr>
    </w:p>
    <w:p w14:paraId="6CCFC0AA" w14:textId="3173392A" w:rsidR="003D5864" w:rsidRPr="009341AA" w:rsidRDefault="00870B6F" w:rsidP="00274E07">
      <w:pPr>
        <w:widowControl w:val="0"/>
        <w:tabs>
          <w:tab w:val="left" w:pos="360"/>
        </w:tabs>
        <w:autoSpaceDE w:val="0"/>
        <w:autoSpaceDN w:val="0"/>
        <w:adjustRightInd w:val="0"/>
        <w:spacing w:line="480" w:lineRule="auto"/>
        <w:jc w:val="center"/>
        <w:rPr>
          <w:rFonts w:ascii="Times New Roman" w:hAnsi="Times New Roman" w:cs="Times New Roman"/>
          <w:b/>
        </w:rPr>
      </w:pPr>
      <w:r w:rsidRPr="009341AA">
        <w:rPr>
          <w:rFonts w:ascii="Times New Roman" w:hAnsi="Times New Roman" w:cs="Times New Roman"/>
          <w:b/>
        </w:rPr>
        <w:t xml:space="preserve">B. </w:t>
      </w:r>
      <w:r w:rsidR="002746E1" w:rsidRPr="009341AA">
        <w:rPr>
          <w:rFonts w:ascii="Times New Roman" w:hAnsi="Times New Roman" w:cs="Times New Roman"/>
          <w:b/>
        </w:rPr>
        <w:t>Religious Freedom</w:t>
      </w:r>
    </w:p>
    <w:p w14:paraId="0092B33D" w14:textId="51DAC907" w:rsidR="00AB7352"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r>
      <w:r w:rsidR="00557ABF" w:rsidRPr="009341AA">
        <w:rPr>
          <w:rFonts w:ascii="Times New Roman" w:hAnsi="Times New Roman" w:cs="Times New Roman"/>
        </w:rPr>
        <w:t>Much has been written on the subject of religious freedom and the ways</w:t>
      </w:r>
      <w:r w:rsidR="00204AFD" w:rsidRPr="009341AA">
        <w:rPr>
          <w:rFonts w:ascii="Times New Roman" w:hAnsi="Times New Roman" w:cs="Times New Roman"/>
        </w:rPr>
        <w:t xml:space="preserve"> in which</w:t>
      </w:r>
      <w:r w:rsidR="00557ABF" w:rsidRPr="009341AA">
        <w:rPr>
          <w:rFonts w:ascii="Times New Roman" w:hAnsi="Times New Roman" w:cs="Times New Roman"/>
        </w:rPr>
        <w:t xml:space="preserve"> it has changed since it was adopted into the </w:t>
      </w:r>
      <w:r w:rsidR="00204AFD" w:rsidRPr="009341AA">
        <w:rPr>
          <w:rFonts w:ascii="Times New Roman" w:hAnsi="Times New Roman" w:cs="Times New Roman"/>
        </w:rPr>
        <w:t xml:space="preserve">First Amendment of the </w:t>
      </w:r>
      <w:r w:rsidR="00557ABF" w:rsidRPr="009341AA">
        <w:rPr>
          <w:rFonts w:ascii="Times New Roman" w:hAnsi="Times New Roman" w:cs="Times New Roman"/>
        </w:rPr>
        <w:t xml:space="preserve">Constitution. </w:t>
      </w:r>
      <w:r w:rsidR="0073317A" w:rsidRPr="009341AA">
        <w:rPr>
          <w:rFonts w:ascii="Times New Roman" w:hAnsi="Times New Roman" w:cs="Times New Roman"/>
        </w:rPr>
        <w:t>One such scholar, Kathleen A. Brady, a Senior Fellow at the Center for the Study of Law and Religion at Emory University, writes on the disappearance of religion from</w:t>
      </w:r>
      <w:r w:rsidR="00204AFD" w:rsidRPr="009341AA">
        <w:rPr>
          <w:rFonts w:ascii="Times New Roman" w:hAnsi="Times New Roman" w:cs="Times New Roman"/>
        </w:rPr>
        <w:t xml:space="preserve"> discussions </w:t>
      </w:r>
      <w:r w:rsidR="00204AFD" w:rsidRPr="009341AA">
        <w:rPr>
          <w:rFonts w:ascii="Times New Roman" w:hAnsi="Times New Roman" w:cs="Times New Roman"/>
        </w:rPr>
        <w:lastRenderedPageBreak/>
        <w:t>about</w:t>
      </w:r>
      <w:r w:rsidR="0073317A" w:rsidRPr="009341AA">
        <w:rPr>
          <w:rFonts w:ascii="Times New Roman" w:hAnsi="Times New Roman" w:cs="Times New Roman"/>
        </w:rPr>
        <w:t xml:space="preserve"> religious accommodations.</w:t>
      </w:r>
      <w:r w:rsidR="0073317A" w:rsidRPr="009341AA">
        <w:rPr>
          <w:rStyle w:val="FootnoteReference"/>
          <w:rFonts w:ascii="Times New Roman" w:hAnsi="Times New Roman" w:cs="Times New Roman"/>
        </w:rPr>
        <w:footnoteReference w:id="2"/>
      </w:r>
      <w:r w:rsidR="0073317A" w:rsidRPr="009341AA">
        <w:rPr>
          <w:rFonts w:ascii="Times New Roman" w:hAnsi="Times New Roman" w:cs="Times New Roman"/>
        </w:rPr>
        <w:t xml:space="preserve"> She divides the history of religious Supreme Court cases into two parts. She begins the first part with the case of </w:t>
      </w:r>
      <w:r w:rsidR="0073317A" w:rsidRPr="009341AA">
        <w:rPr>
          <w:rFonts w:ascii="Times New Roman" w:hAnsi="Times New Roman" w:cs="Times New Roman"/>
          <w:i/>
        </w:rPr>
        <w:t>Reynolds v. United States</w:t>
      </w:r>
      <w:r w:rsidR="0073317A" w:rsidRPr="009341AA">
        <w:rPr>
          <w:rFonts w:ascii="Times New Roman" w:hAnsi="Times New Roman" w:cs="Times New Roman"/>
        </w:rPr>
        <w:t xml:space="preserve"> (1879). Brady claims that </w:t>
      </w:r>
      <w:r w:rsidR="00204AFD" w:rsidRPr="009341AA">
        <w:rPr>
          <w:rFonts w:ascii="Times New Roman" w:hAnsi="Times New Roman" w:cs="Times New Roman"/>
        </w:rPr>
        <w:t>during this case,</w:t>
      </w:r>
      <w:r w:rsidR="0073317A" w:rsidRPr="009341AA">
        <w:rPr>
          <w:rFonts w:ascii="Times New Roman" w:hAnsi="Times New Roman" w:cs="Times New Roman"/>
        </w:rPr>
        <w:t xml:space="preserve"> the Supreme Court first </w:t>
      </w:r>
      <w:r w:rsidR="00380F7C" w:rsidRPr="009341AA">
        <w:rPr>
          <w:rFonts w:ascii="Times New Roman" w:hAnsi="Times New Roman" w:cs="Times New Roman"/>
        </w:rPr>
        <w:t>outlined the difference between religious action and religious belief.</w:t>
      </w:r>
      <w:r w:rsidR="00380F7C" w:rsidRPr="009341AA">
        <w:rPr>
          <w:rStyle w:val="FootnoteReference"/>
          <w:rFonts w:ascii="Times New Roman" w:hAnsi="Times New Roman" w:cs="Times New Roman"/>
        </w:rPr>
        <w:footnoteReference w:id="3"/>
      </w:r>
      <w:r w:rsidR="00380F7C" w:rsidRPr="009341AA">
        <w:rPr>
          <w:rFonts w:ascii="Times New Roman" w:hAnsi="Times New Roman" w:cs="Times New Roman"/>
        </w:rPr>
        <w:t xml:space="preserve"> The second part, she explains, started in the 1940’s when the Supreme Court recognized the protection of religious actions that were burdened by neutral laws that were not specifically aimed at religion.</w:t>
      </w:r>
      <w:r w:rsidR="00380F7C" w:rsidRPr="009341AA">
        <w:rPr>
          <w:rStyle w:val="FootnoteReference"/>
          <w:rFonts w:ascii="Times New Roman" w:hAnsi="Times New Roman" w:cs="Times New Roman"/>
        </w:rPr>
        <w:footnoteReference w:id="4"/>
      </w:r>
      <w:r w:rsidR="00380F7C" w:rsidRPr="009341AA">
        <w:rPr>
          <w:rFonts w:ascii="Times New Roman" w:hAnsi="Times New Roman" w:cs="Times New Roman"/>
        </w:rPr>
        <w:t xml:space="preserve"> Brady admits that the Court has gone back and forth between these two views of the law since the 1940’s. She points out that the</w:t>
      </w:r>
      <w:r w:rsidR="00204AFD" w:rsidRPr="009341AA">
        <w:rPr>
          <w:rFonts w:ascii="Times New Roman" w:hAnsi="Times New Roman" w:cs="Times New Roman"/>
        </w:rPr>
        <w:t xml:space="preserve"> Court rejected the right for a religious</w:t>
      </w:r>
      <w:r w:rsidR="00380F7C" w:rsidRPr="009341AA">
        <w:rPr>
          <w:rFonts w:ascii="Times New Roman" w:hAnsi="Times New Roman" w:cs="Times New Roman"/>
        </w:rPr>
        <w:t xml:space="preserve"> exemption in the case of </w:t>
      </w:r>
      <w:r w:rsidR="00380F7C" w:rsidRPr="009341AA">
        <w:rPr>
          <w:rFonts w:ascii="Times New Roman" w:hAnsi="Times New Roman" w:cs="Times New Roman"/>
          <w:i/>
        </w:rPr>
        <w:t>Employment Division v. Smith</w:t>
      </w:r>
      <w:r w:rsidR="00380F7C" w:rsidRPr="009341AA">
        <w:rPr>
          <w:rFonts w:ascii="Times New Roman" w:hAnsi="Times New Roman" w:cs="Times New Roman"/>
        </w:rPr>
        <w:t xml:space="preserve"> (1990) but a law was later put into place to protect such accommodations.</w:t>
      </w:r>
      <w:r w:rsidR="00380F7C" w:rsidRPr="009341AA">
        <w:rPr>
          <w:rStyle w:val="FootnoteReference"/>
          <w:rFonts w:ascii="Times New Roman" w:hAnsi="Times New Roman" w:cs="Times New Roman"/>
        </w:rPr>
        <w:footnoteReference w:id="5"/>
      </w:r>
      <w:r w:rsidR="00380F7C" w:rsidRPr="009341AA">
        <w:rPr>
          <w:rFonts w:ascii="Times New Roman" w:hAnsi="Times New Roman" w:cs="Times New Roman"/>
        </w:rPr>
        <w:t xml:space="preserve"> While the law only applies on the federal level, many states have adopted similar statues on their own.</w:t>
      </w:r>
      <w:r w:rsidR="00380F7C" w:rsidRPr="009341AA">
        <w:rPr>
          <w:rStyle w:val="FootnoteReference"/>
          <w:rFonts w:ascii="Times New Roman" w:hAnsi="Times New Roman" w:cs="Times New Roman"/>
        </w:rPr>
        <w:footnoteReference w:id="6"/>
      </w:r>
      <w:r w:rsidR="00380F7C" w:rsidRPr="009341AA">
        <w:rPr>
          <w:rFonts w:ascii="Times New Roman" w:hAnsi="Times New Roman" w:cs="Times New Roman"/>
        </w:rPr>
        <w:t xml:space="preserve"> Brady believes that, “The bitterest battles over religious accommodation have been in the context of same-sex marriage</w:t>
      </w:r>
      <w:r w:rsidR="005F61B8" w:rsidRPr="009341AA">
        <w:rPr>
          <w:rFonts w:ascii="Times New Roman" w:hAnsi="Times New Roman" w:cs="Times New Roman"/>
        </w:rPr>
        <w:t>.</w:t>
      </w:r>
      <w:r w:rsidR="00380F7C" w:rsidRPr="009341AA">
        <w:rPr>
          <w:rFonts w:ascii="Times New Roman" w:hAnsi="Times New Roman" w:cs="Times New Roman"/>
        </w:rPr>
        <w:t>”</w:t>
      </w:r>
      <w:r w:rsidR="00380F7C" w:rsidRPr="009341AA">
        <w:rPr>
          <w:rStyle w:val="FootnoteReference"/>
          <w:rFonts w:ascii="Times New Roman" w:hAnsi="Times New Roman" w:cs="Times New Roman"/>
        </w:rPr>
        <w:footnoteReference w:id="7"/>
      </w:r>
      <w:r w:rsidR="00380F7C" w:rsidRPr="009341AA">
        <w:rPr>
          <w:rFonts w:ascii="Times New Roman" w:hAnsi="Times New Roman" w:cs="Times New Roman"/>
        </w:rPr>
        <w:t xml:space="preserve"> This is an interesting observation of religious court cases because marriage </w:t>
      </w:r>
      <w:r w:rsidR="00AB7352" w:rsidRPr="009341AA">
        <w:rPr>
          <w:rFonts w:ascii="Times New Roman" w:hAnsi="Times New Roman" w:cs="Times New Roman"/>
        </w:rPr>
        <w:t xml:space="preserve">is a very sacred ceremony in most monotheistic and some polytheistic religions. </w:t>
      </w:r>
      <w:r w:rsidR="00204AFD" w:rsidRPr="009341AA">
        <w:rPr>
          <w:rFonts w:ascii="Times New Roman" w:hAnsi="Times New Roman" w:cs="Times New Roman"/>
        </w:rPr>
        <w:t>In America, marriage is a practice that necessitates the presence of government while (most of the time) also incorporating religion.</w:t>
      </w:r>
    </w:p>
    <w:p w14:paraId="3E72D274" w14:textId="18E16BBE" w:rsidR="0073317A" w:rsidRPr="009341AA" w:rsidRDefault="00AB7352" w:rsidP="00274E07">
      <w:pPr>
        <w:widowControl w:val="0"/>
        <w:tabs>
          <w:tab w:val="left" w:pos="36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t xml:space="preserve">Brady makes the distinction early on in her paper of religious exemption and religious accommodation. A religious exemption is to be pardoned from something whereas a religious accommodation is an allowance. She argues that support for religious </w:t>
      </w:r>
      <w:r w:rsidRPr="009341AA">
        <w:rPr>
          <w:rFonts w:ascii="Times New Roman" w:hAnsi="Times New Roman" w:cs="Times New Roman"/>
        </w:rPr>
        <w:lastRenderedPageBreak/>
        <w:t>accommodation has faded and support for religious exemption is on the rise.</w:t>
      </w:r>
      <w:r w:rsidRPr="009341AA">
        <w:rPr>
          <w:rStyle w:val="FootnoteReference"/>
          <w:rFonts w:ascii="Times New Roman" w:hAnsi="Times New Roman" w:cs="Times New Roman"/>
        </w:rPr>
        <w:footnoteReference w:id="8"/>
      </w:r>
      <w:r w:rsidRPr="009341AA">
        <w:rPr>
          <w:rFonts w:ascii="Times New Roman" w:hAnsi="Times New Roman" w:cs="Times New Roman"/>
        </w:rPr>
        <w:t xml:space="preserve"> The support for religious exemption can be seen in cases such as </w:t>
      </w:r>
      <w:r w:rsidRPr="009341AA">
        <w:rPr>
          <w:rFonts w:ascii="Times New Roman" w:hAnsi="Times New Roman" w:cs="Times New Roman"/>
          <w:i/>
        </w:rPr>
        <w:t>Burwell v. Hobby Lobby Stores</w:t>
      </w:r>
      <w:r w:rsidRPr="009341AA">
        <w:rPr>
          <w:rFonts w:ascii="Times New Roman" w:hAnsi="Times New Roman" w:cs="Times New Roman"/>
        </w:rPr>
        <w:t xml:space="preserve"> (2014) and the case detailed above involving Arlene’s Flowers. Brady also points out that religious and law scholars have seen a rise in religious exemptions that involve third parties either directly or indirectly.</w:t>
      </w:r>
      <w:r w:rsidRPr="009341AA">
        <w:rPr>
          <w:rStyle w:val="FootnoteReference"/>
          <w:rFonts w:ascii="Times New Roman" w:hAnsi="Times New Roman" w:cs="Times New Roman"/>
        </w:rPr>
        <w:footnoteReference w:id="9"/>
      </w:r>
      <w:r w:rsidRPr="009341AA">
        <w:rPr>
          <w:rFonts w:ascii="Times New Roman" w:hAnsi="Times New Roman" w:cs="Times New Roman"/>
        </w:rPr>
        <w:t xml:space="preserve"> Such involvement can also been seen in </w:t>
      </w:r>
      <w:r w:rsidRPr="009341AA">
        <w:rPr>
          <w:rFonts w:ascii="Times New Roman" w:hAnsi="Times New Roman" w:cs="Times New Roman"/>
          <w:i/>
        </w:rPr>
        <w:t>Hobby Lobby</w:t>
      </w:r>
      <w:r w:rsidRPr="009341AA">
        <w:rPr>
          <w:rFonts w:ascii="Times New Roman" w:hAnsi="Times New Roman" w:cs="Times New Roman"/>
        </w:rPr>
        <w:t xml:space="preserve"> and the case involving Arlene’s Flowers. In </w:t>
      </w:r>
      <w:r w:rsidRPr="009341AA">
        <w:rPr>
          <w:rFonts w:ascii="Times New Roman" w:hAnsi="Times New Roman" w:cs="Times New Roman"/>
          <w:i/>
        </w:rPr>
        <w:t>Hobby Lobby</w:t>
      </w:r>
      <w:r w:rsidRPr="009341AA">
        <w:rPr>
          <w:rFonts w:ascii="Times New Roman" w:hAnsi="Times New Roman" w:cs="Times New Roman"/>
        </w:rPr>
        <w:t>, the third party was the employees receiving the health care benefits and in the Arlene’s Flowers situation, the third p</w:t>
      </w:r>
      <w:r w:rsidR="006B65F0" w:rsidRPr="009341AA">
        <w:rPr>
          <w:rFonts w:ascii="Times New Roman" w:hAnsi="Times New Roman" w:cs="Times New Roman"/>
        </w:rPr>
        <w:t>arty was the store’s customers. Overall, Brady believes that religious exemptions have been woven into American laws since her founding and only recently have such laws been met with resistance.</w:t>
      </w:r>
      <w:r w:rsidR="006B65F0" w:rsidRPr="009341AA">
        <w:rPr>
          <w:rStyle w:val="FootnoteReference"/>
          <w:rFonts w:ascii="Times New Roman" w:hAnsi="Times New Roman" w:cs="Times New Roman"/>
        </w:rPr>
        <w:footnoteReference w:id="10"/>
      </w:r>
    </w:p>
    <w:p w14:paraId="791F2F51" w14:textId="36BFECEE" w:rsidR="003D5864" w:rsidRPr="009341AA" w:rsidRDefault="0073317A" w:rsidP="00274E07">
      <w:pPr>
        <w:widowControl w:val="0"/>
        <w:tabs>
          <w:tab w:val="left" w:pos="36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r>
      <w:r w:rsidR="00557ABF" w:rsidRPr="009341AA">
        <w:rPr>
          <w:rFonts w:ascii="Times New Roman" w:hAnsi="Times New Roman" w:cs="Times New Roman"/>
        </w:rPr>
        <w:t xml:space="preserve">Joseph D. Kearney, a Dean and Professor of Law at Marquette University Law School and pervious clerk for the late Justice Scalia, </w:t>
      </w:r>
      <w:r w:rsidR="006B65F0" w:rsidRPr="009341AA">
        <w:rPr>
          <w:rFonts w:ascii="Times New Roman" w:hAnsi="Times New Roman" w:cs="Times New Roman"/>
        </w:rPr>
        <w:t xml:space="preserve">very much disagrees with Brady. He first </w:t>
      </w:r>
      <w:r w:rsidR="00557ABF" w:rsidRPr="009341AA">
        <w:rPr>
          <w:rFonts w:ascii="Times New Roman" w:hAnsi="Times New Roman" w:cs="Times New Roman"/>
        </w:rPr>
        <w:t>divides the history of religious freedom into three eras.</w:t>
      </w:r>
      <w:r w:rsidR="00557ABF" w:rsidRPr="009341AA">
        <w:rPr>
          <w:rStyle w:val="FootnoteReference"/>
          <w:rFonts w:ascii="Times New Roman" w:hAnsi="Times New Roman" w:cs="Times New Roman"/>
        </w:rPr>
        <w:footnoteReference w:id="11"/>
      </w:r>
      <w:r w:rsidR="00557ABF" w:rsidRPr="009341AA">
        <w:rPr>
          <w:rFonts w:ascii="Times New Roman" w:hAnsi="Times New Roman" w:cs="Times New Roman"/>
        </w:rPr>
        <w:t xml:space="preserve"> The first era was from the adoption of religious freedom through the 1960’s. The first era is framed around the idea that the Free Exercise Clause does not allow for “exemptions from laws of general applicability</w:t>
      </w:r>
      <w:r w:rsidR="005F61B8" w:rsidRPr="009341AA">
        <w:rPr>
          <w:rFonts w:ascii="Times New Roman" w:hAnsi="Times New Roman" w:cs="Times New Roman"/>
        </w:rPr>
        <w:t>.</w:t>
      </w:r>
      <w:r w:rsidR="00557ABF" w:rsidRPr="009341AA">
        <w:rPr>
          <w:rFonts w:ascii="Times New Roman" w:hAnsi="Times New Roman" w:cs="Times New Roman"/>
        </w:rPr>
        <w:t>”</w:t>
      </w:r>
      <w:r w:rsidR="00557ABF" w:rsidRPr="009341AA">
        <w:rPr>
          <w:rStyle w:val="FootnoteReference"/>
          <w:rFonts w:ascii="Times New Roman" w:hAnsi="Times New Roman" w:cs="Times New Roman"/>
        </w:rPr>
        <w:footnoteReference w:id="12"/>
      </w:r>
      <w:r w:rsidR="00204AFD" w:rsidRPr="009341AA">
        <w:rPr>
          <w:rFonts w:ascii="Times New Roman" w:hAnsi="Times New Roman" w:cs="Times New Roman"/>
        </w:rPr>
        <w:t xml:space="preserve"> A</w:t>
      </w:r>
      <w:r w:rsidR="00557ABF" w:rsidRPr="009341AA">
        <w:rPr>
          <w:rFonts w:ascii="Times New Roman" w:hAnsi="Times New Roman" w:cs="Times New Roman"/>
        </w:rPr>
        <w:t xml:space="preserve"> lot of the cases that came to the Supreme Court in the first era could have been considered religious freedom cases but were instead treated as free speech cases.</w:t>
      </w:r>
      <w:r w:rsidR="00E15D65" w:rsidRPr="009341AA">
        <w:rPr>
          <w:rStyle w:val="FootnoteReference"/>
          <w:rFonts w:ascii="Times New Roman" w:hAnsi="Times New Roman" w:cs="Times New Roman"/>
        </w:rPr>
        <w:footnoteReference w:id="13"/>
      </w:r>
      <w:r w:rsidR="00E15D65" w:rsidRPr="009341AA">
        <w:rPr>
          <w:rFonts w:ascii="Times New Roman" w:hAnsi="Times New Roman" w:cs="Times New Roman"/>
        </w:rPr>
        <w:t xml:space="preserve"> The second era that Kearney points to begins around 1963 with the case of </w:t>
      </w:r>
      <w:r w:rsidR="00E15D65" w:rsidRPr="009341AA">
        <w:rPr>
          <w:rFonts w:ascii="Times New Roman" w:hAnsi="Times New Roman" w:cs="Times New Roman"/>
          <w:i/>
        </w:rPr>
        <w:lastRenderedPageBreak/>
        <w:t>Sherbert v. Verner</w:t>
      </w:r>
      <w:r w:rsidR="001F719E" w:rsidRPr="009341AA">
        <w:rPr>
          <w:rFonts w:ascii="Times New Roman" w:hAnsi="Times New Roman" w:cs="Times New Roman"/>
        </w:rPr>
        <w:t xml:space="preserve"> (1963)</w:t>
      </w:r>
      <w:r w:rsidR="0043304D" w:rsidRPr="009341AA">
        <w:rPr>
          <w:rStyle w:val="FootnoteReference"/>
          <w:rFonts w:ascii="Times New Roman" w:hAnsi="Times New Roman" w:cs="Times New Roman"/>
        </w:rPr>
        <w:footnoteReference w:id="14"/>
      </w:r>
      <w:r w:rsidR="00E15D65" w:rsidRPr="009341AA">
        <w:rPr>
          <w:rFonts w:ascii="Times New Roman" w:hAnsi="Times New Roman" w:cs="Times New Roman"/>
        </w:rPr>
        <w:t xml:space="preserve"> and ended around the 1970’s.</w:t>
      </w:r>
      <w:r w:rsidR="00E15D65" w:rsidRPr="009341AA">
        <w:rPr>
          <w:rStyle w:val="FootnoteReference"/>
          <w:rFonts w:ascii="Times New Roman" w:hAnsi="Times New Roman" w:cs="Times New Roman"/>
        </w:rPr>
        <w:footnoteReference w:id="15"/>
      </w:r>
      <w:r w:rsidR="00E15D65" w:rsidRPr="009341AA">
        <w:rPr>
          <w:rFonts w:ascii="Times New Roman" w:hAnsi="Times New Roman" w:cs="Times New Roman"/>
        </w:rPr>
        <w:t xml:space="preserve"> This era would be defined by</w:t>
      </w:r>
      <w:r w:rsidR="00E15D65" w:rsidRPr="009341AA">
        <w:rPr>
          <w:rFonts w:ascii="Times New Roman" w:hAnsi="Times New Roman" w:cs="Times New Roman"/>
          <w:i/>
        </w:rPr>
        <w:t xml:space="preserve"> Sherbert</w:t>
      </w:r>
      <w:r w:rsidR="00E15D65" w:rsidRPr="009341AA">
        <w:rPr>
          <w:rFonts w:ascii="Times New Roman" w:hAnsi="Times New Roman" w:cs="Times New Roman"/>
        </w:rPr>
        <w:t xml:space="preserve"> given that an exemption was made for religious purposes from a law of general applicability.</w:t>
      </w:r>
      <w:r w:rsidR="008C7779" w:rsidRPr="009341AA">
        <w:rPr>
          <w:rFonts w:ascii="Times New Roman" w:hAnsi="Times New Roman" w:cs="Times New Roman"/>
        </w:rPr>
        <w:t xml:space="preserve"> The third </w:t>
      </w:r>
      <w:r w:rsidR="00204AFD" w:rsidRPr="009341AA">
        <w:rPr>
          <w:rFonts w:ascii="Times New Roman" w:hAnsi="Times New Roman" w:cs="Times New Roman"/>
        </w:rPr>
        <w:t xml:space="preserve">era </w:t>
      </w:r>
      <w:r w:rsidR="0043304D" w:rsidRPr="009341AA">
        <w:rPr>
          <w:rFonts w:ascii="Times New Roman" w:hAnsi="Times New Roman" w:cs="Times New Roman"/>
        </w:rPr>
        <w:t>of the Supreme Court’s handling of religious freedom cases began in the 1980’s.</w:t>
      </w:r>
      <w:r w:rsidR="0043304D" w:rsidRPr="009341AA">
        <w:rPr>
          <w:rStyle w:val="FootnoteReference"/>
          <w:rFonts w:ascii="Times New Roman" w:hAnsi="Times New Roman" w:cs="Times New Roman"/>
        </w:rPr>
        <w:footnoteReference w:id="16"/>
      </w:r>
      <w:r w:rsidR="0043304D" w:rsidRPr="009341AA">
        <w:rPr>
          <w:rFonts w:ascii="Times New Roman" w:hAnsi="Times New Roman" w:cs="Times New Roman"/>
        </w:rPr>
        <w:t xml:space="preserve"> According to Kearney, the defining case of this era was </w:t>
      </w:r>
      <w:r w:rsidR="0043304D" w:rsidRPr="009341AA">
        <w:rPr>
          <w:rFonts w:ascii="Times New Roman" w:hAnsi="Times New Roman" w:cs="Times New Roman"/>
          <w:i/>
        </w:rPr>
        <w:t>Employment Division v. Smith</w:t>
      </w:r>
      <w:r w:rsidR="00A53B4D" w:rsidRPr="009341AA">
        <w:rPr>
          <w:rFonts w:ascii="Times New Roman" w:hAnsi="Times New Roman" w:cs="Times New Roman"/>
        </w:rPr>
        <w:t xml:space="preserve"> (1960)</w:t>
      </w:r>
      <w:r w:rsidR="0043304D" w:rsidRPr="009341AA">
        <w:rPr>
          <w:rFonts w:ascii="Times New Roman" w:hAnsi="Times New Roman" w:cs="Times New Roman"/>
        </w:rPr>
        <w:t>.</w:t>
      </w:r>
      <w:r w:rsidR="0043304D" w:rsidRPr="009341AA">
        <w:rPr>
          <w:rStyle w:val="FootnoteReference"/>
          <w:rFonts w:ascii="Times New Roman" w:hAnsi="Times New Roman" w:cs="Times New Roman"/>
        </w:rPr>
        <w:footnoteReference w:id="17"/>
      </w:r>
      <w:r w:rsidR="0043304D" w:rsidRPr="009341AA">
        <w:rPr>
          <w:rFonts w:ascii="Times New Roman" w:hAnsi="Times New Roman" w:cs="Times New Roman"/>
        </w:rPr>
        <w:t xml:space="preserve"> In the case of </w:t>
      </w:r>
      <w:r w:rsidR="0043304D" w:rsidRPr="009341AA">
        <w:rPr>
          <w:rFonts w:ascii="Times New Roman" w:hAnsi="Times New Roman" w:cs="Times New Roman"/>
          <w:i/>
        </w:rPr>
        <w:t>Smith</w:t>
      </w:r>
      <w:r w:rsidR="0043304D" w:rsidRPr="009341AA">
        <w:rPr>
          <w:rFonts w:ascii="Times New Roman" w:hAnsi="Times New Roman" w:cs="Times New Roman"/>
        </w:rPr>
        <w:t>, two Native Americans were fired for the use of illegal drugs during a religious ceremony. They requested unemployment compensation but were refused because their termination was for “misconduct</w:t>
      </w:r>
      <w:r w:rsidR="005F61B8" w:rsidRPr="009341AA">
        <w:rPr>
          <w:rFonts w:ascii="Times New Roman" w:hAnsi="Times New Roman" w:cs="Times New Roman"/>
        </w:rPr>
        <w:t>.</w:t>
      </w:r>
      <w:r w:rsidR="0043304D" w:rsidRPr="009341AA">
        <w:rPr>
          <w:rFonts w:ascii="Times New Roman" w:hAnsi="Times New Roman" w:cs="Times New Roman"/>
        </w:rPr>
        <w:t>”</w:t>
      </w:r>
      <w:r w:rsidR="0043304D" w:rsidRPr="009341AA">
        <w:rPr>
          <w:rStyle w:val="FootnoteReference"/>
          <w:rFonts w:ascii="Times New Roman" w:hAnsi="Times New Roman" w:cs="Times New Roman"/>
        </w:rPr>
        <w:footnoteReference w:id="18"/>
      </w:r>
      <w:r w:rsidR="0043304D" w:rsidRPr="009341AA">
        <w:rPr>
          <w:rFonts w:ascii="Times New Roman" w:hAnsi="Times New Roman" w:cs="Times New Roman"/>
        </w:rPr>
        <w:t xml:space="preserve"> </w:t>
      </w:r>
      <w:r w:rsidR="00B9274B" w:rsidRPr="009341AA">
        <w:rPr>
          <w:rFonts w:ascii="Times New Roman" w:hAnsi="Times New Roman" w:cs="Times New Roman"/>
        </w:rPr>
        <w:t>When taken to the Supreme Court, it was decided that no religious freedom rights were violated in the refusal of unemployment compensation.</w:t>
      </w:r>
      <w:r w:rsidR="008C7779" w:rsidRPr="009341AA">
        <w:rPr>
          <w:rFonts w:ascii="Times New Roman" w:hAnsi="Times New Roman" w:cs="Times New Roman"/>
        </w:rPr>
        <w:t xml:space="preserve"> Kearney explains that this era runs along the same ideology as the first</w:t>
      </w:r>
      <w:r w:rsidR="00204AFD" w:rsidRPr="009341AA">
        <w:rPr>
          <w:rFonts w:ascii="Times New Roman" w:hAnsi="Times New Roman" w:cs="Times New Roman"/>
        </w:rPr>
        <w:t xml:space="preserve"> era</w:t>
      </w:r>
      <w:r w:rsidR="008C7779" w:rsidRPr="009341AA">
        <w:rPr>
          <w:rFonts w:ascii="Times New Roman" w:hAnsi="Times New Roman" w:cs="Times New Roman"/>
        </w:rPr>
        <w:t xml:space="preserve">. He says, “The constitutional decisions that follow </w:t>
      </w:r>
      <w:r w:rsidR="008C7779" w:rsidRPr="009341AA">
        <w:rPr>
          <w:rFonts w:ascii="Times New Roman" w:hAnsi="Times New Roman" w:cs="Times New Roman"/>
          <w:i/>
        </w:rPr>
        <w:t>Smith</w:t>
      </w:r>
      <w:r w:rsidR="008C7779" w:rsidRPr="009341AA">
        <w:rPr>
          <w:rFonts w:ascii="Times New Roman" w:hAnsi="Times New Roman" w:cs="Times New Roman"/>
        </w:rPr>
        <w:t>, even where they have ruled for the citizen’s free exercise rights, have not involved some balancing test</w:t>
      </w:r>
      <w:r w:rsidR="005F61B8" w:rsidRPr="009341AA">
        <w:rPr>
          <w:rFonts w:ascii="Times New Roman" w:hAnsi="Times New Roman" w:cs="Times New Roman"/>
        </w:rPr>
        <w:t>.</w:t>
      </w:r>
      <w:r w:rsidR="008C7779" w:rsidRPr="009341AA">
        <w:rPr>
          <w:rFonts w:ascii="Times New Roman" w:hAnsi="Times New Roman" w:cs="Times New Roman"/>
        </w:rPr>
        <w:t>”</w:t>
      </w:r>
      <w:r w:rsidR="008C7779" w:rsidRPr="009341AA">
        <w:rPr>
          <w:rStyle w:val="FootnoteReference"/>
          <w:rFonts w:ascii="Times New Roman" w:hAnsi="Times New Roman" w:cs="Times New Roman"/>
        </w:rPr>
        <w:footnoteReference w:id="19"/>
      </w:r>
      <w:r w:rsidR="008C7779" w:rsidRPr="009341AA">
        <w:rPr>
          <w:rFonts w:ascii="Times New Roman" w:hAnsi="Times New Roman" w:cs="Times New Roman"/>
        </w:rPr>
        <w:t xml:space="preserve"> Kearney believes that we are now entering into a fourth era that is more or less like the second</w:t>
      </w:r>
      <w:r w:rsidR="00204AFD" w:rsidRPr="009341AA">
        <w:rPr>
          <w:rFonts w:ascii="Times New Roman" w:hAnsi="Times New Roman" w:cs="Times New Roman"/>
        </w:rPr>
        <w:t xml:space="preserve"> era</w:t>
      </w:r>
      <w:r w:rsidR="008C7779" w:rsidRPr="009341AA">
        <w:rPr>
          <w:rFonts w:ascii="Times New Roman" w:hAnsi="Times New Roman" w:cs="Times New Roman"/>
        </w:rPr>
        <w:t>. He comments that there is a willingness to grant exemptions based on neutral or generally applicable laws, like before, but now there is a broader definition of what constitutes religion in America.</w:t>
      </w:r>
      <w:r w:rsidR="008C7779" w:rsidRPr="009341AA">
        <w:rPr>
          <w:rStyle w:val="FootnoteReference"/>
          <w:rFonts w:ascii="Times New Roman" w:hAnsi="Times New Roman" w:cs="Times New Roman"/>
        </w:rPr>
        <w:footnoteReference w:id="20"/>
      </w:r>
      <w:r w:rsidR="008C7779" w:rsidRPr="009341AA">
        <w:rPr>
          <w:rFonts w:ascii="Times New Roman" w:hAnsi="Times New Roman" w:cs="Times New Roman"/>
        </w:rPr>
        <w:t xml:space="preserve"> Kearney concludes his piece by saying that it is incorrect </w:t>
      </w:r>
      <w:r w:rsidR="00870B6F" w:rsidRPr="009341AA">
        <w:rPr>
          <w:rFonts w:ascii="Times New Roman" w:hAnsi="Times New Roman" w:cs="Times New Roman"/>
        </w:rPr>
        <w:t>to think</w:t>
      </w:r>
      <w:r w:rsidR="008C7779" w:rsidRPr="009341AA">
        <w:rPr>
          <w:rFonts w:ascii="Times New Roman" w:hAnsi="Times New Roman" w:cs="Times New Roman"/>
        </w:rPr>
        <w:t xml:space="preserve"> the Supreme Court has protected religious liberties since the beginning of religious freedom</w:t>
      </w:r>
      <w:r w:rsidR="00870B6F" w:rsidRPr="009341AA">
        <w:rPr>
          <w:rFonts w:ascii="Times New Roman" w:hAnsi="Times New Roman" w:cs="Times New Roman"/>
        </w:rPr>
        <w:t>.</w:t>
      </w:r>
      <w:r w:rsidR="00870B6F" w:rsidRPr="009341AA">
        <w:rPr>
          <w:rStyle w:val="FootnoteReference"/>
          <w:rFonts w:ascii="Times New Roman" w:hAnsi="Times New Roman" w:cs="Times New Roman"/>
        </w:rPr>
        <w:footnoteReference w:id="21"/>
      </w:r>
    </w:p>
    <w:p w14:paraId="0D335D9A" w14:textId="6CC315B9" w:rsidR="00870B6F" w:rsidRPr="009341AA" w:rsidRDefault="00870B6F" w:rsidP="00274E07">
      <w:pPr>
        <w:widowControl w:val="0"/>
        <w:tabs>
          <w:tab w:val="left" w:pos="36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lastRenderedPageBreak/>
        <w:tab/>
        <w:t>A main question that remains to be answered is, do</w:t>
      </w:r>
      <w:r w:rsidR="00204AFD" w:rsidRPr="009341AA">
        <w:rPr>
          <w:rFonts w:ascii="Times New Roman" w:hAnsi="Times New Roman" w:cs="Times New Roman"/>
        </w:rPr>
        <w:t xml:space="preserve">es the Supreme Court and </w:t>
      </w:r>
      <w:r w:rsidRPr="009341AA">
        <w:rPr>
          <w:rFonts w:ascii="Times New Roman" w:hAnsi="Times New Roman" w:cs="Times New Roman"/>
        </w:rPr>
        <w:t xml:space="preserve">American </w:t>
      </w:r>
      <w:r w:rsidR="00204AFD" w:rsidRPr="009341AA">
        <w:rPr>
          <w:rFonts w:ascii="Times New Roman" w:hAnsi="Times New Roman" w:cs="Times New Roman"/>
        </w:rPr>
        <w:t xml:space="preserve">culture </w:t>
      </w:r>
      <w:r w:rsidRPr="009341AA">
        <w:rPr>
          <w:rFonts w:ascii="Times New Roman" w:hAnsi="Times New Roman" w:cs="Times New Roman"/>
        </w:rPr>
        <w:t>base its opinions off a particular religious paradigm? I argue that yes, America and specifically, the Supreme Court, runs on a Christian paradigm. As Kearney points out, Supreme Court rulings have changed in waves over the past two hundred years but I argue that we continue to come back to this idea of Christianity as the norm.</w:t>
      </w:r>
    </w:p>
    <w:p w14:paraId="3C67367B" w14:textId="77777777" w:rsidR="00DF1C71" w:rsidRPr="009341AA" w:rsidRDefault="00DF1C71" w:rsidP="00274E07">
      <w:pPr>
        <w:widowControl w:val="0"/>
        <w:tabs>
          <w:tab w:val="left" w:pos="360"/>
        </w:tabs>
        <w:autoSpaceDE w:val="0"/>
        <w:autoSpaceDN w:val="0"/>
        <w:adjustRightInd w:val="0"/>
        <w:spacing w:line="480" w:lineRule="auto"/>
        <w:rPr>
          <w:rFonts w:ascii="Times New Roman" w:hAnsi="Times New Roman" w:cs="Times New Roman"/>
          <w:b/>
        </w:rPr>
      </w:pPr>
    </w:p>
    <w:p w14:paraId="213FDE3B" w14:textId="2C64D6BA" w:rsidR="00DF1C71" w:rsidRPr="009341AA" w:rsidRDefault="00870B6F" w:rsidP="00274E07">
      <w:pPr>
        <w:spacing w:line="480" w:lineRule="auto"/>
        <w:ind w:firstLine="360"/>
        <w:jc w:val="center"/>
        <w:rPr>
          <w:rFonts w:ascii="Times New Roman" w:hAnsi="Times New Roman" w:cs="Times New Roman"/>
          <w:b/>
        </w:rPr>
      </w:pPr>
      <w:r w:rsidRPr="009341AA">
        <w:rPr>
          <w:rFonts w:ascii="Times New Roman" w:hAnsi="Times New Roman" w:cs="Times New Roman"/>
          <w:b/>
        </w:rPr>
        <w:t>C. My Argument</w:t>
      </w:r>
    </w:p>
    <w:p w14:paraId="12014A2E" w14:textId="26C12629" w:rsidR="00154255" w:rsidRPr="009341AA" w:rsidRDefault="006B65F0" w:rsidP="00274E07">
      <w:pPr>
        <w:spacing w:line="480" w:lineRule="auto"/>
        <w:ind w:firstLine="360"/>
        <w:rPr>
          <w:rFonts w:ascii="Times New Roman" w:hAnsi="Times New Roman" w:cs="Times New Roman"/>
        </w:rPr>
      </w:pPr>
      <w:r w:rsidRPr="009341AA">
        <w:rPr>
          <w:rFonts w:ascii="Times New Roman" w:hAnsi="Times New Roman" w:cs="Times New Roman"/>
        </w:rPr>
        <w:t>In this paper, I will argue that America and the United States Supreme Court have made decisions based on a Christian paradigm</w:t>
      </w:r>
      <w:r w:rsidR="00154255" w:rsidRPr="009341AA">
        <w:rPr>
          <w:rFonts w:ascii="Times New Roman" w:hAnsi="Times New Roman" w:cs="Times New Roman"/>
        </w:rPr>
        <w:t xml:space="preserve"> that is resistant to progress. In order to define Christian paradigm, I would first like to point out some statistics. In a survey conducted by the Pew Research Center in 2014, 70% of Americans identified as Christian. Of those, 25.4% identified as Evangelical Protestant, 14.7% identified as Mainline Protestant, and 6.5% identified as Historically Black Protestant. Other Christian based faiths that were included in the survey were Catholics, which made up 20.8% of the Christian identifiers, Mormons, which made up 1.6%, Orthodox Christian, which made up 0.5% and Jehovah’s Witness, which made up 0.8%. The rest of America that identifies with non-Christian faiths made up 5.9% of the population.</w:t>
      </w:r>
      <w:r w:rsidR="00154255" w:rsidRPr="009341AA">
        <w:rPr>
          <w:rStyle w:val="FootnoteReference"/>
          <w:rFonts w:ascii="Times New Roman" w:hAnsi="Times New Roman" w:cs="Times New Roman"/>
        </w:rPr>
        <w:footnoteReference w:id="22"/>
      </w:r>
      <w:r w:rsidR="00154255" w:rsidRPr="009341AA">
        <w:rPr>
          <w:rFonts w:ascii="Times New Roman" w:hAnsi="Times New Roman" w:cs="Times New Roman"/>
        </w:rPr>
        <w:t xml:space="preserve"> About 245 million adults were surveyed, including 173 million Christians. From these statistics, it is quite evident that Christianity is the majority religion in America. To put these numbers to scale, Pew Research Center organized the statistics as if the U.S. were made up of only 100 people. In such an America, there would be one Muslim, two Jews, and 71 </w:t>
      </w:r>
      <w:r w:rsidR="00154255" w:rsidRPr="009341AA">
        <w:rPr>
          <w:rFonts w:ascii="Times New Roman" w:hAnsi="Times New Roman" w:cs="Times New Roman"/>
        </w:rPr>
        <w:lastRenderedPageBreak/>
        <w:t>Christians. Of those 71 Christians, 47 of them would be white.</w:t>
      </w:r>
      <w:r w:rsidR="00154255" w:rsidRPr="009341AA">
        <w:rPr>
          <w:rStyle w:val="FootnoteReference"/>
          <w:rFonts w:ascii="Times New Roman" w:hAnsi="Times New Roman" w:cs="Times New Roman"/>
        </w:rPr>
        <w:footnoteReference w:id="23"/>
      </w:r>
      <w:r w:rsidR="00154255" w:rsidRPr="009341AA">
        <w:rPr>
          <w:rFonts w:ascii="Times New Roman" w:hAnsi="Times New Roman" w:cs="Times New Roman"/>
        </w:rPr>
        <w:t xml:space="preserve"> According to a Gallup poll taken in December of 2015, 75% of Americans identify with the Christian religion, which has decreased since 2008 when the percent was 80%. In the survey report, it is mentioned that although Christian identification numbers have decreased, the only population to increase in size is those that do not identify with any particular religion. But, of those that identify with a particular religion, 94% say they are Christians. Christians, in this survey, included Catholics, Protestants, Mormons, and non-denominational Christians.</w:t>
      </w:r>
      <w:r w:rsidR="00154255" w:rsidRPr="009341AA">
        <w:rPr>
          <w:rStyle w:val="FootnoteReference"/>
          <w:rFonts w:ascii="Times New Roman" w:hAnsi="Times New Roman" w:cs="Times New Roman"/>
        </w:rPr>
        <w:footnoteReference w:id="24"/>
      </w:r>
      <w:r w:rsidR="00832C34" w:rsidRPr="009341AA">
        <w:rPr>
          <w:rFonts w:ascii="Times New Roman" w:hAnsi="Times New Roman" w:cs="Times New Roman"/>
        </w:rPr>
        <w:t xml:space="preserve"> Another Gallup survey concluded that in the years close to the cases I will be discussing, the percent that identified as Protestant in America was 58% in 1986 (</w:t>
      </w:r>
      <w:r w:rsidR="00832C34" w:rsidRPr="009341AA">
        <w:rPr>
          <w:rFonts w:ascii="Times New Roman" w:hAnsi="Times New Roman" w:cs="Times New Roman"/>
          <w:i/>
        </w:rPr>
        <w:t>Goldman</w:t>
      </w:r>
      <w:r w:rsidR="00832C34" w:rsidRPr="009341AA">
        <w:rPr>
          <w:rFonts w:ascii="Times New Roman" w:hAnsi="Times New Roman" w:cs="Times New Roman"/>
        </w:rPr>
        <w:t>) and 69% in 1948.</w:t>
      </w:r>
      <w:r w:rsidR="00832C34" w:rsidRPr="009341AA">
        <w:rPr>
          <w:rStyle w:val="FootnoteReference"/>
          <w:rFonts w:ascii="Times New Roman" w:hAnsi="Times New Roman" w:cs="Times New Roman"/>
        </w:rPr>
        <w:footnoteReference w:id="25"/>
      </w:r>
      <w:r w:rsidR="00832C34" w:rsidRPr="009341AA">
        <w:rPr>
          <w:rFonts w:ascii="Times New Roman" w:hAnsi="Times New Roman" w:cs="Times New Roman"/>
        </w:rPr>
        <w:t xml:space="preserve"> After looking at these statistics, I will use the term Christian to represent Evangelical Protestants and Mainline Protestants. In the last case, the term is broadened to include Catholics, as they have become a large percentage of the Christian population, according to the numbers above.</w:t>
      </w:r>
    </w:p>
    <w:p w14:paraId="769B0A83" w14:textId="5687747E" w:rsidR="006B65F0" w:rsidRPr="009341AA" w:rsidRDefault="006B65F0" w:rsidP="00274E07">
      <w:pPr>
        <w:spacing w:line="480" w:lineRule="auto"/>
        <w:ind w:firstLine="360"/>
        <w:rPr>
          <w:rFonts w:ascii="Times New Roman" w:hAnsi="Times New Roman" w:cs="Times New Roman"/>
        </w:rPr>
      </w:pPr>
      <w:r w:rsidRPr="009341AA">
        <w:rPr>
          <w:rFonts w:ascii="Times New Roman" w:hAnsi="Times New Roman" w:cs="Times New Roman"/>
        </w:rPr>
        <w:t xml:space="preserve">Chapter one is an historical overview of the Free Exercise Clause and religious freedom in America. In order to show this, I have detailed many Supreme Court cases that show an evolution of the Free Exercise Clause and the different ways in which religious freedom has been interpreted over the years. While not all of the religious freedom cases are represented, the ones that have been chosen work to </w:t>
      </w:r>
      <w:r w:rsidR="0089130A" w:rsidRPr="009341AA">
        <w:rPr>
          <w:rFonts w:ascii="Times New Roman" w:hAnsi="Times New Roman" w:cs="Times New Roman"/>
        </w:rPr>
        <w:t>specifically highli</w:t>
      </w:r>
      <w:r w:rsidR="00204AFD" w:rsidRPr="009341AA">
        <w:rPr>
          <w:rFonts w:ascii="Times New Roman" w:hAnsi="Times New Roman" w:cs="Times New Roman"/>
        </w:rPr>
        <w:t>ght the Supreme Court’s bias towards a</w:t>
      </w:r>
      <w:r w:rsidR="0089130A" w:rsidRPr="009341AA">
        <w:rPr>
          <w:rFonts w:ascii="Times New Roman" w:hAnsi="Times New Roman" w:cs="Times New Roman"/>
        </w:rPr>
        <w:t xml:space="preserve"> Christian ideology.</w:t>
      </w:r>
    </w:p>
    <w:p w14:paraId="4C246F66" w14:textId="6F322D69" w:rsidR="0089130A" w:rsidRPr="009341AA" w:rsidRDefault="0089130A" w:rsidP="00274E07">
      <w:pPr>
        <w:spacing w:line="480" w:lineRule="auto"/>
        <w:ind w:firstLine="360"/>
        <w:rPr>
          <w:rFonts w:ascii="Times New Roman" w:hAnsi="Times New Roman" w:cs="Times New Roman"/>
        </w:rPr>
      </w:pPr>
      <w:r w:rsidRPr="009341AA">
        <w:rPr>
          <w:rFonts w:ascii="Times New Roman" w:hAnsi="Times New Roman" w:cs="Times New Roman"/>
        </w:rPr>
        <w:lastRenderedPageBreak/>
        <w:t xml:space="preserve">Chapter two focuses on the case of </w:t>
      </w:r>
      <w:r w:rsidRPr="009341AA">
        <w:rPr>
          <w:rFonts w:ascii="Times New Roman" w:hAnsi="Times New Roman" w:cs="Times New Roman"/>
          <w:i/>
        </w:rPr>
        <w:t>Reynolds v. United States</w:t>
      </w:r>
      <w:r w:rsidRPr="009341AA">
        <w:rPr>
          <w:rFonts w:ascii="Times New Roman" w:hAnsi="Times New Roman" w:cs="Times New Roman"/>
        </w:rPr>
        <w:t xml:space="preserve"> (1879), in which a Mormon man practicin</w:t>
      </w:r>
      <w:r w:rsidR="00204AFD" w:rsidRPr="009341AA">
        <w:rPr>
          <w:rFonts w:ascii="Times New Roman" w:hAnsi="Times New Roman" w:cs="Times New Roman"/>
        </w:rPr>
        <w:t>g polygamy was on trial for said</w:t>
      </w:r>
      <w:r w:rsidRPr="009341AA">
        <w:rPr>
          <w:rFonts w:ascii="Times New Roman" w:hAnsi="Times New Roman" w:cs="Times New Roman"/>
        </w:rPr>
        <w:t xml:space="preserve"> religious practice. This chapter will detail not only the case but also the decision of the Supreme Court as well as the consequences that arose from their decision. I will also explain where the Supreme Court’s Christian ideology and anti-Mormon sentiment can be seen throughout the case and in their decision.</w:t>
      </w:r>
    </w:p>
    <w:p w14:paraId="4270F174" w14:textId="730501A3" w:rsidR="001C204B" w:rsidRPr="009341AA" w:rsidRDefault="0089130A" w:rsidP="00274E07">
      <w:pPr>
        <w:spacing w:line="480" w:lineRule="auto"/>
        <w:ind w:firstLine="360"/>
        <w:rPr>
          <w:rFonts w:ascii="Times New Roman" w:hAnsi="Times New Roman" w:cs="Times New Roman"/>
        </w:rPr>
      </w:pPr>
      <w:r w:rsidRPr="009341AA">
        <w:rPr>
          <w:rFonts w:ascii="Times New Roman" w:hAnsi="Times New Roman" w:cs="Times New Roman"/>
        </w:rPr>
        <w:t xml:space="preserve">Similarly, chapters three and four will focus on the cases of </w:t>
      </w:r>
      <w:r w:rsidRPr="009341AA">
        <w:rPr>
          <w:rFonts w:ascii="Times New Roman" w:hAnsi="Times New Roman" w:cs="Times New Roman"/>
          <w:i/>
        </w:rPr>
        <w:t>Goldman v. Weinberger</w:t>
      </w:r>
      <w:r w:rsidRPr="009341AA">
        <w:rPr>
          <w:rFonts w:ascii="Times New Roman" w:hAnsi="Times New Roman" w:cs="Times New Roman"/>
        </w:rPr>
        <w:t xml:space="preserve"> (1986) and </w:t>
      </w:r>
      <w:r w:rsidRPr="009341AA">
        <w:rPr>
          <w:rFonts w:ascii="Times New Roman" w:hAnsi="Times New Roman" w:cs="Times New Roman"/>
          <w:i/>
        </w:rPr>
        <w:t>Burwell v. Hobby Lobby Stores</w:t>
      </w:r>
      <w:r w:rsidRPr="009341AA">
        <w:rPr>
          <w:rFonts w:ascii="Times New Roman" w:hAnsi="Times New Roman" w:cs="Times New Roman"/>
        </w:rPr>
        <w:t xml:space="preserve"> (2014), respectively. In addition to detailing both cases, I will also explain how the decisions of the Supreme Court and the consequences that came about after the decision work to support my argument that both America</w:t>
      </w:r>
      <w:r w:rsidR="00204AFD" w:rsidRPr="009341AA">
        <w:rPr>
          <w:rFonts w:ascii="Times New Roman" w:hAnsi="Times New Roman" w:cs="Times New Roman"/>
        </w:rPr>
        <w:t>n culture</w:t>
      </w:r>
      <w:r w:rsidRPr="009341AA">
        <w:rPr>
          <w:rFonts w:ascii="Times New Roman" w:hAnsi="Times New Roman" w:cs="Times New Roman"/>
        </w:rPr>
        <w:t xml:space="preserve"> and the Supreme Court view religious freedom laws through a Christian lens.</w:t>
      </w:r>
    </w:p>
    <w:p w14:paraId="2A3D509B" w14:textId="013B4196" w:rsidR="00DF1C71" w:rsidRPr="009341AA" w:rsidRDefault="0089130A" w:rsidP="00274E07">
      <w:pPr>
        <w:spacing w:line="480" w:lineRule="auto"/>
        <w:ind w:firstLine="360"/>
        <w:rPr>
          <w:rFonts w:ascii="Times New Roman" w:hAnsi="Times New Roman" w:cs="Times New Roman"/>
        </w:rPr>
      </w:pPr>
      <w:r w:rsidRPr="009341AA">
        <w:rPr>
          <w:rFonts w:ascii="Times New Roman" w:hAnsi="Times New Roman" w:cs="Times New Roman"/>
        </w:rPr>
        <w:t>Chapter five will be a concluding chapter that wraps up all three case studies and attempts to predict wher</w:t>
      </w:r>
      <w:r w:rsidR="001C204B" w:rsidRPr="009341AA">
        <w:rPr>
          <w:rFonts w:ascii="Times New Roman" w:hAnsi="Times New Roman" w:cs="Times New Roman"/>
        </w:rPr>
        <w:t>e I think</w:t>
      </w:r>
      <w:r w:rsidRPr="009341AA">
        <w:rPr>
          <w:rFonts w:ascii="Times New Roman" w:hAnsi="Times New Roman" w:cs="Times New Roman"/>
        </w:rPr>
        <w:t xml:space="preserve"> </w:t>
      </w:r>
      <w:r w:rsidR="001C204B" w:rsidRPr="009341AA">
        <w:rPr>
          <w:rFonts w:ascii="Times New Roman" w:hAnsi="Times New Roman" w:cs="Times New Roman"/>
        </w:rPr>
        <w:t>religious freedom laws are headed in the future based on my research.</w:t>
      </w:r>
    </w:p>
    <w:p w14:paraId="0471DEC9" w14:textId="77777777" w:rsidR="00DF1C71" w:rsidRPr="009341AA" w:rsidRDefault="00DF1C71" w:rsidP="00274E07">
      <w:pPr>
        <w:spacing w:line="480" w:lineRule="auto"/>
        <w:rPr>
          <w:rFonts w:ascii="Times New Roman" w:hAnsi="Times New Roman" w:cs="Times New Roman"/>
        </w:rPr>
      </w:pPr>
    </w:p>
    <w:p w14:paraId="1761A684" w14:textId="77777777" w:rsidR="004A74E7" w:rsidRPr="009341AA" w:rsidRDefault="004A74E7" w:rsidP="00274E07">
      <w:pPr>
        <w:spacing w:line="480" w:lineRule="auto"/>
        <w:rPr>
          <w:rFonts w:ascii="Times New Roman" w:hAnsi="Times New Roman" w:cs="Times New Roman"/>
        </w:rPr>
      </w:pPr>
    </w:p>
    <w:p w14:paraId="183DC5FC" w14:textId="77777777" w:rsidR="004A74E7" w:rsidRPr="009341AA" w:rsidRDefault="004A74E7" w:rsidP="00274E07">
      <w:pPr>
        <w:spacing w:line="480" w:lineRule="auto"/>
        <w:rPr>
          <w:rFonts w:ascii="Times New Roman" w:hAnsi="Times New Roman" w:cs="Times New Roman"/>
        </w:rPr>
      </w:pPr>
    </w:p>
    <w:p w14:paraId="14E11896" w14:textId="77777777" w:rsidR="004A74E7" w:rsidRPr="009341AA" w:rsidRDefault="004A74E7" w:rsidP="00274E07">
      <w:pPr>
        <w:spacing w:line="480" w:lineRule="auto"/>
        <w:rPr>
          <w:rFonts w:ascii="Times New Roman" w:hAnsi="Times New Roman" w:cs="Times New Roman"/>
        </w:rPr>
      </w:pPr>
    </w:p>
    <w:p w14:paraId="1A78E346" w14:textId="77777777" w:rsidR="004A74E7" w:rsidRDefault="004A74E7" w:rsidP="00274E07">
      <w:pPr>
        <w:spacing w:line="480" w:lineRule="auto"/>
        <w:rPr>
          <w:rFonts w:ascii="Times New Roman" w:hAnsi="Times New Roman" w:cs="Times New Roman"/>
        </w:rPr>
      </w:pPr>
    </w:p>
    <w:p w14:paraId="40529D86" w14:textId="77777777" w:rsidR="00AE1167" w:rsidRDefault="00AE1167" w:rsidP="00274E07">
      <w:pPr>
        <w:spacing w:line="480" w:lineRule="auto"/>
        <w:rPr>
          <w:rFonts w:ascii="Times New Roman" w:hAnsi="Times New Roman" w:cs="Times New Roman"/>
        </w:rPr>
      </w:pPr>
    </w:p>
    <w:p w14:paraId="3C71F20D" w14:textId="77777777" w:rsidR="00AE1167" w:rsidRPr="009341AA" w:rsidRDefault="00AE1167" w:rsidP="00274E07">
      <w:pPr>
        <w:spacing w:line="480" w:lineRule="auto"/>
        <w:rPr>
          <w:rFonts w:ascii="Times New Roman" w:hAnsi="Times New Roman" w:cs="Times New Roman"/>
        </w:rPr>
      </w:pPr>
    </w:p>
    <w:p w14:paraId="08D1F930" w14:textId="77777777" w:rsidR="004A74E7" w:rsidRPr="009341AA" w:rsidRDefault="004A74E7" w:rsidP="00274E07">
      <w:pPr>
        <w:spacing w:line="480" w:lineRule="auto"/>
        <w:rPr>
          <w:rFonts w:ascii="Times New Roman" w:hAnsi="Times New Roman" w:cs="Times New Roman"/>
        </w:rPr>
      </w:pPr>
    </w:p>
    <w:p w14:paraId="1F7C6C22" w14:textId="4696E9DB" w:rsidR="00DF1C71"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 xml:space="preserve">Chapter I: </w:t>
      </w:r>
      <w:r w:rsidR="001C204B" w:rsidRPr="009341AA">
        <w:rPr>
          <w:rFonts w:ascii="Times New Roman" w:hAnsi="Times New Roman" w:cs="Times New Roman"/>
          <w:b/>
          <w:sz w:val="28"/>
          <w:szCs w:val="28"/>
        </w:rPr>
        <w:t>A</w:t>
      </w:r>
      <w:r w:rsidR="00DF1C71" w:rsidRPr="009341AA">
        <w:rPr>
          <w:rFonts w:ascii="Times New Roman" w:hAnsi="Times New Roman" w:cs="Times New Roman"/>
          <w:b/>
          <w:sz w:val="28"/>
          <w:szCs w:val="28"/>
        </w:rPr>
        <w:t xml:space="preserve"> Historical Overview</w:t>
      </w:r>
    </w:p>
    <w:p w14:paraId="034D2727" w14:textId="26965558"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rPr>
      </w:pPr>
      <w:r w:rsidRPr="009341AA">
        <w:rPr>
          <w:rFonts w:ascii="Times New Roman" w:hAnsi="Times New Roman" w:cs="Times New Roman"/>
          <w:i/>
        </w:rPr>
        <w:t>“It is only because the Constitution can be interpreted and reinterpreted to meet the needs of contemporary generations that it has been able to remain viable and vigorous for the century and three-quarters of its existence. The Constitution is dynamic and evolutionary, not fixed and static.” ~Leo Pfeffer</w:t>
      </w:r>
      <w:r w:rsidR="001C204B" w:rsidRPr="009341AA">
        <w:rPr>
          <w:rStyle w:val="FootnoteReference"/>
          <w:rFonts w:ascii="Times New Roman" w:hAnsi="Times New Roman" w:cs="Times New Roman"/>
          <w:i/>
        </w:rPr>
        <w:footnoteReference w:id="26"/>
      </w:r>
    </w:p>
    <w:p w14:paraId="41E3ABA1"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563C1CA0" w14:textId="15BB0C65"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United States of America was founded on religious freedom. English immigrants left their countries seeking refuge from religious persecution from the Crown. At the time of the country’s founding, Americans were mostly of the Christian faith and it has been through that lens that the religious freedom laws have been created. In the centuries since America’s independence from Britain, the laws of religious freedom have been challenge</w:t>
      </w:r>
      <w:r w:rsidR="007F783B" w:rsidRPr="009341AA">
        <w:rPr>
          <w:rFonts w:ascii="Times New Roman" w:hAnsi="Times New Roman" w:cs="Times New Roman"/>
        </w:rPr>
        <w:t>d</w:t>
      </w:r>
      <w:r w:rsidR="00204AFD" w:rsidRPr="009341AA">
        <w:rPr>
          <w:rFonts w:ascii="Times New Roman" w:hAnsi="Times New Roman" w:cs="Times New Roman"/>
        </w:rPr>
        <w:t xml:space="preserve"> from every angle. Time and</w:t>
      </w:r>
      <w:r w:rsidRPr="009341AA">
        <w:rPr>
          <w:rFonts w:ascii="Times New Roman" w:hAnsi="Times New Roman" w:cs="Times New Roman"/>
        </w:rPr>
        <w:t xml:space="preserve"> again, we can see just how much the Christian fait</w:t>
      </w:r>
      <w:r w:rsidR="00204AFD" w:rsidRPr="009341AA">
        <w:rPr>
          <w:rFonts w:ascii="Times New Roman" w:hAnsi="Times New Roman" w:cs="Times New Roman"/>
        </w:rPr>
        <w:t>h has shaped the ideology of</w:t>
      </w:r>
      <w:r w:rsidRPr="009341AA">
        <w:rPr>
          <w:rFonts w:ascii="Times New Roman" w:hAnsi="Times New Roman" w:cs="Times New Roman"/>
        </w:rPr>
        <w:t xml:space="preserve"> religious freedom of this country.</w:t>
      </w:r>
      <w:r w:rsidR="001C204B" w:rsidRPr="009341AA">
        <w:rPr>
          <w:rFonts w:ascii="Times New Roman" w:hAnsi="Times New Roman" w:cs="Times New Roman"/>
        </w:rPr>
        <w:t xml:space="preserve"> Scholars like Robert Bellah detail how America has a civil religion that looks very similar to Christianity. He defines a civil religion as different from religion itself because civil religion is public whereas other religions like Christianity are private.</w:t>
      </w:r>
      <w:r w:rsidR="001C204B" w:rsidRPr="009341AA">
        <w:rPr>
          <w:rStyle w:val="FootnoteReference"/>
          <w:rFonts w:ascii="Times New Roman" w:hAnsi="Times New Roman" w:cs="Times New Roman"/>
        </w:rPr>
        <w:footnoteReference w:id="27"/>
      </w:r>
      <w:r w:rsidRPr="009341AA">
        <w:rPr>
          <w:rFonts w:ascii="Times New Roman" w:hAnsi="Times New Roman" w:cs="Times New Roman"/>
        </w:rPr>
        <w:t xml:space="preserve"> </w:t>
      </w:r>
      <w:r w:rsidR="001C204B" w:rsidRPr="009341AA">
        <w:rPr>
          <w:rFonts w:ascii="Times New Roman" w:hAnsi="Times New Roman" w:cs="Times New Roman"/>
        </w:rPr>
        <w:t>It would make sense for a country whose civil religion is loosely based on the popular religion</w:t>
      </w:r>
      <w:r w:rsidR="00204AFD" w:rsidRPr="009341AA">
        <w:rPr>
          <w:rFonts w:ascii="Times New Roman" w:hAnsi="Times New Roman" w:cs="Times New Roman"/>
        </w:rPr>
        <w:t xml:space="preserve"> of its citizens</w:t>
      </w:r>
      <w:r w:rsidR="001C204B" w:rsidRPr="009341AA">
        <w:rPr>
          <w:rFonts w:ascii="Times New Roman" w:hAnsi="Times New Roman" w:cs="Times New Roman"/>
        </w:rPr>
        <w:t xml:space="preserve"> to base its laws and values of off said religion. </w:t>
      </w:r>
      <w:r w:rsidRPr="009341AA">
        <w:rPr>
          <w:rFonts w:ascii="Times New Roman" w:hAnsi="Times New Roman" w:cs="Times New Roman"/>
        </w:rPr>
        <w:t>It is rarely questioned whether a man can believe and adhere to any religious values he desires but when his beliefs and values turn into religious actions that do not coincide with Christian beliefs and values, problems arise.</w:t>
      </w:r>
    </w:p>
    <w:p w14:paraId="5B230E80" w14:textId="43D73F6E"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When religious leaders of the newly founded American states were asked if they </w:t>
      </w:r>
      <w:r w:rsidRPr="009341AA">
        <w:rPr>
          <w:rFonts w:ascii="Times New Roman" w:hAnsi="Times New Roman" w:cs="Times New Roman"/>
        </w:rPr>
        <w:lastRenderedPageBreak/>
        <w:t>wanted government support for their respective religions in 1791, they refused</w:t>
      </w:r>
      <w:r w:rsidR="00A53B4D" w:rsidRPr="009341AA">
        <w:rPr>
          <w:rFonts w:ascii="Times New Roman" w:hAnsi="Times New Roman" w:cs="Times New Roman"/>
        </w:rPr>
        <w:t>.</w:t>
      </w:r>
      <w:r w:rsidR="00B12306" w:rsidRPr="009341AA">
        <w:rPr>
          <w:rStyle w:val="FootnoteReference"/>
          <w:rFonts w:ascii="Times New Roman" w:hAnsi="Times New Roman" w:cs="Times New Roman"/>
        </w:rPr>
        <w:footnoteReference w:id="28"/>
      </w:r>
      <w:r w:rsidRPr="009341AA">
        <w:rPr>
          <w:rFonts w:ascii="Times New Roman" w:hAnsi="Times New Roman" w:cs="Times New Roman"/>
        </w:rPr>
        <w:t xml:space="preserve"> This refusal is likely due to the persecution they had previously faced</w:t>
      </w:r>
      <w:r w:rsidR="00204AFD" w:rsidRPr="009341AA">
        <w:rPr>
          <w:rFonts w:ascii="Times New Roman" w:hAnsi="Times New Roman" w:cs="Times New Roman"/>
        </w:rPr>
        <w:t xml:space="preserve"> in Britain</w:t>
      </w:r>
      <w:r w:rsidRPr="009341AA">
        <w:rPr>
          <w:rFonts w:ascii="Times New Roman" w:hAnsi="Times New Roman" w:cs="Times New Roman"/>
        </w:rPr>
        <w:t>. In order to maintain the freedom they sought, the government was kept out of the religious realm. The first part of the First Amendment reads: “Congress shall make no law respecting an establishment of religion, or prohibiting the free exercise thereof…” The dual aspect of this part is thought of by Leo Pfeffer as “separation and freedom</w:t>
      </w:r>
      <w:r w:rsidR="005F61B8" w:rsidRPr="009341AA">
        <w:rPr>
          <w:rFonts w:ascii="Times New Roman" w:hAnsi="Times New Roman" w:cs="Times New Roman"/>
        </w:rPr>
        <w:t>.</w:t>
      </w:r>
      <w:r w:rsidRPr="009341AA">
        <w:rPr>
          <w:rFonts w:ascii="Times New Roman" w:hAnsi="Times New Roman" w:cs="Times New Roman"/>
        </w:rPr>
        <w:t>”</w:t>
      </w:r>
      <w:r w:rsidR="00B12306" w:rsidRPr="009341AA">
        <w:rPr>
          <w:rStyle w:val="FootnoteReference"/>
          <w:rFonts w:ascii="Times New Roman" w:hAnsi="Times New Roman" w:cs="Times New Roman"/>
        </w:rPr>
        <w:footnoteReference w:id="29"/>
      </w:r>
      <w:r w:rsidRPr="009341AA">
        <w:rPr>
          <w:rFonts w:ascii="Times New Roman" w:hAnsi="Times New Roman" w:cs="Times New Roman"/>
        </w:rPr>
        <w:t xml:space="preserve"> He explains that they work in relation to each other in a way similar to checks and balances, “that separation guaranteed freedom and freedom required separation</w:t>
      </w:r>
      <w:r w:rsidR="005F61B8" w:rsidRPr="009341AA">
        <w:rPr>
          <w:rFonts w:ascii="Times New Roman" w:hAnsi="Times New Roman" w:cs="Times New Roman"/>
        </w:rPr>
        <w:t>.</w:t>
      </w:r>
      <w:r w:rsidRPr="009341AA">
        <w:rPr>
          <w:rFonts w:ascii="Times New Roman" w:hAnsi="Times New Roman" w:cs="Times New Roman"/>
        </w:rPr>
        <w:t>”</w:t>
      </w:r>
      <w:r w:rsidR="00B12306" w:rsidRPr="009341AA">
        <w:rPr>
          <w:rStyle w:val="FootnoteReference"/>
          <w:rFonts w:ascii="Times New Roman" w:hAnsi="Times New Roman" w:cs="Times New Roman"/>
        </w:rPr>
        <w:footnoteReference w:id="30"/>
      </w:r>
      <w:r w:rsidR="00B12306" w:rsidRPr="009341AA">
        <w:rPr>
          <w:rFonts w:ascii="Times New Roman" w:hAnsi="Times New Roman" w:cs="Times New Roman"/>
        </w:rPr>
        <w:t xml:space="preserve"> </w:t>
      </w:r>
      <w:r w:rsidRPr="009341AA">
        <w:rPr>
          <w:rFonts w:ascii="Times New Roman" w:hAnsi="Times New Roman" w:cs="Times New Roman"/>
        </w:rPr>
        <w:t>As Pfeffer also points out, the need for separation of church and state mostly came about from devoutly religious Christians who believed that allowing government power over religion was overthrowing God’s power over everything</w:t>
      </w:r>
      <w:r w:rsidR="00A53B4D" w:rsidRPr="009341AA">
        <w:rPr>
          <w:rFonts w:ascii="Times New Roman" w:hAnsi="Times New Roman" w:cs="Times New Roman"/>
        </w:rPr>
        <w:t>.</w:t>
      </w:r>
      <w:r w:rsidR="00B12306" w:rsidRPr="009341AA">
        <w:rPr>
          <w:rStyle w:val="FootnoteReference"/>
          <w:rFonts w:ascii="Times New Roman" w:hAnsi="Times New Roman" w:cs="Times New Roman"/>
        </w:rPr>
        <w:footnoteReference w:id="31"/>
      </w:r>
      <w:r w:rsidRPr="009341AA">
        <w:rPr>
          <w:rFonts w:ascii="Times New Roman" w:hAnsi="Times New Roman" w:cs="Times New Roman"/>
        </w:rPr>
        <w:t xml:space="preserve"> Another group to argue the need of religious freedom was the secular humanists. They believed that according to the social contract theory, which outlined that the government only has as much power as it is given by those being governed, religion was out of government jurisdiction because belief is of the mind</w:t>
      </w:r>
      <w:r w:rsidR="00A53B4D" w:rsidRPr="009341AA">
        <w:rPr>
          <w:rFonts w:ascii="Times New Roman" w:hAnsi="Times New Roman" w:cs="Times New Roman"/>
        </w:rPr>
        <w:t>.</w:t>
      </w:r>
      <w:r w:rsidR="00B12306" w:rsidRPr="009341AA">
        <w:rPr>
          <w:rStyle w:val="FootnoteReference"/>
          <w:rFonts w:ascii="Times New Roman" w:hAnsi="Times New Roman" w:cs="Times New Roman"/>
        </w:rPr>
        <w:footnoteReference w:id="32"/>
      </w:r>
    </w:p>
    <w:p w14:paraId="5DFA643B" w14:textId="16C7398A" w:rsidR="002249FC"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Before the First Amendment was drafted, freedom of religion was a hot topic amongst the colonies. In Virginia, a statute was adopted in 1</w:t>
      </w:r>
      <w:r w:rsidR="002249FC" w:rsidRPr="009341AA">
        <w:rPr>
          <w:rFonts w:ascii="Times New Roman" w:hAnsi="Times New Roman" w:cs="Times New Roman"/>
        </w:rPr>
        <w:t>768 stating,</w:t>
      </w:r>
    </w:p>
    <w:p w14:paraId="1078A348" w14:textId="2E7EE931" w:rsidR="002249FC" w:rsidRPr="009341AA" w:rsidRDefault="002249FC"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T</w:t>
      </w:r>
      <w:r w:rsidR="003D5864" w:rsidRPr="009341AA">
        <w:rPr>
          <w:rFonts w:ascii="Times New Roman" w:hAnsi="Times New Roman" w:cs="Times New Roman"/>
        </w:rPr>
        <w:t xml:space="preserve">hat no man shall be compelled to frequent or support any religious worship, place, or ministry whatsoever, nor shall be enforced, restrained, molested, or burdened in his body or goods, nor shall otherwise suffer on account of his religious opinions or belief; but that all men shall be free to profess, and by </w:t>
      </w:r>
      <w:r w:rsidR="003D5864" w:rsidRPr="009341AA">
        <w:rPr>
          <w:rFonts w:ascii="Times New Roman" w:hAnsi="Times New Roman" w:cs="Times New Roman"/>
        </w:rPr>
        <w:lastRenderedPageBreak/>
        <w:t>argument to maintain, their opinion in matters of religion, and that the same shall in no wise diminish enlarge, or affect their civil capacities</w:t>
      </w:r>
      <w:r w:rsidRPr="009341AA">
        <w:rPr>
          <w:rFonts w:ascii="Times New Roman" w:hAnsi="Times New Roman" w:cs="Times New Roman"/>
        </w:rPr>
        <w:t>.</w:t>
      </w:r>
      <w:r w:rsidR="00B12306" w:rsidRPr="009341AA">
        <w:rPr>
          <w:rStyle w:val="FootnoteReference"/>
          <w:rFonts w:ascii="Times New Roman" w:hAnsi="Times New Roman" w:cs="Times New Roman"/>
        </w:rPr>
        <w:footnoteReference w:id="33"/>
      </w:r>
      <w:r w:rsidR="003D5864" w:rsidRPr="009341AA">
        <w:rPr>
          <w:rFonts w:ascii="Times New Roman" w:hAnsi="Times New Roman" w:cs="Times New Roman"/>
        </w:rPr>
        <w:t xml:space="preserve"> </w:t>
      </w:r>
    </w:p>
    <w:p w14:paraId="6AF01F50" w14:textId="10487932" w:rsidR="003D5864" w:rsidRPr="009341AA" w:rsidRDefault="002249FC"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r>
      <w:r w:rsidR="003D5864" w:rsidRPr="009341AA">
        <w:rPr>
          <w:rFonts w:ascii="Times New Roman" w:hAnsi="Times New Roman" w:cs="Times New Roman"/>
        </w:rPr>
        <w:t>At the time, in order to take a government position, a man needed to be of a certain religion but Thomas Jefferson explained that to make a man profess one religion or another corrupts not only the man but religion itself. To bribe someone to confess believing in a religion takes away from the integrity of the religion</w:t>
      </w:r>
      <w:r w:rsidR="00A53B4D" w:rsidRPr="009341AA">
        <w:rPr>
          <w:rFonts w:ascii="Times New Roman" w:hAnsi="Times New Roman" w:cs="Times New Roman"/>
        </w:rPr>
        <w:t>.</w:t>
      </w:r>
      <w:r w:rsidR="00B12306" w:rsidRPr="009341AA">
        <w:rPr>
          <w:rStyle w:val="FootnoteReference"/>
          <w:rFonts w:ascii="Times New Roman" w:hAnsi="Times New Roman" w:cs="Times New Roman"/>
        </w:rPr>
        <w:footnoteReference w:id="34"/>
      </w:r>
      <w:r w:rsidR="003D5864" w:rsidRPr="009341AA">
        <w:rPr>
          <w:rFonts w:ascii="Times New Roman" w:hAnsi="Times New Roman" w:cs="Times New Roman"/>
        </w:rPr>
        <w:t xml:space="preserve"> This being generally understood in Virginia, it only made sense that such a statute finds its way into all the other colonies’ Assemblies and eventually the entire nation’s Constitution.</w:t>
      </w:r>
      <w:r w:rsidR="00204AFD" w:rsidRPr="009341AA">
        <w:rPr>
          <w:rFonts w:ascii="Times New Roman" w:hAnsi="Times New Roman" w:cs="Times New Roman"/>
        </w:rPr>
        <w:t xml:space="preserve"> We can start to see that even from the beginning, religion has been an important aspect of America culture.</w:t>
      </w:r>
    </w:p>
    <w:p w14:paraId="18EE1F99" w14:textId="6DCAC3D2" w:rsidR="003D5864" w:rsidRPr="009341AA" w:rsidRDefault="00E054AB"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H</w:t>
      </w:r>
      <w:r w:rsidR="003D5864" w:rsidRPr="009341AA">
        <w:rPr>
          <w:rFonts w:ascii="Times New Roman" w:hAnsi="Times New Roman" w:cs="Times New Roman"/>
        </w:rPr>
        <w:t>istorian</w:t>
      </w:r>
      <w:r w:rsidRPr="009341AA">
        <w:rPr>
          <w:rFonts w:ascii="Times New Roman" w:hAnsi="Times New Roman" w:cs="Times New Roman"/>
        </w:rPr>
        <w:t xml:space="preserve"> Leo Pfeffer, who</w:t>
      </w:r>
      <w:r w:rsidR="003D5864" w:rsidRPr="009341AA">
        <w:rPr>
          <w:rFonts w:ascii="Times New Roman" w:hAnsi="Times New Roman" w:cs="Times New Roman"/>
        </w:rPr>
        <w:t xml:space="preserve"> focused mainly on the Constitution</w:t>
      </w:r>
      <w:r w:rsidRPr="009341AA">
        <w:rPr>
          <w:rFonts w:ascii="Times New Roman" w:hAnsi="Times New Roman" w:cs="Times New Roman"/>
        </w:rPr>
        <w:t>,</w:t>
      </w:r>
      <w:r w:rsidR="003D5864" w:rsidRPr="009341AA">
        <w:rPr>
          <w:rFonts w:ascii="Times New Roman" w:hAnsi="Times New Roman" w:cs="Times New Roman"/>
        </w:rPr>
        <w:t xml:space="preserve"> pointed out</w:t>
      </w:r>
      <w:r w:rsidR="00A92D89" w:rsidRPr="009341AA">
        <w:rPr>
          <w:rFonts w:ascii="Times New Roman" w:hAnsi="Times New Roman" w:cs="Times New Roman"/>
        </w:rPr>
        <w:t xml:space="preserve"> that there is a particular relationship between religious freedom in the Free Exercise Clause and the Constitution itself</w:t>
      </w:r>
      <w:r w:rsidR="003D5864" w:rsidRPr="009341AA">
        <w:rPr>
          <w:rFonts w:ascii="Times New Roman" w:hAnsi="Times New Roman" w:cs="Times New Roman"/>
        </w:rPr>
        <w:t>. He reminds us that the Constitution is a secular document and the religion clause in the First Amendment is further pledging that characteristic.</w:t>
      </w:r>
      <w:r w:rsidR="00A92D89" w:rsidRPr="009341AA">
        <w:rPr>
          <w:rStyle w:val="FootnoteReference"/>
          <w:rFonts w:ascii="Times New Roman" w:hAnsi="Times New Roman" w:cs="Times New Roman"/>
        </w:rPr>
        <w:footnoteReference w:id="35"/>
      </w:r>
      <w:r w:rsidR="003D5864" w:rsidRPr="009341AA">
        <w:rPr>
          <w:rFonts w:ascii="Times New Roman" w:hAnsi="Times New Roman" w:cs="Times New Roman"/>
        </w:rPr>
        <w:t xml:space="preserve"> The founding fathers that wrote the First Amendment in the Bill of Rights of the Constitution wrote the religion clause with the intention of making the exercise of religion free and removing all government from said realm</w:t>
      </w:r>
      <w:r w:rsidR="00A53B4D" w:rsidRPr="009341AA">
        <w:rPr>
          <w:rFonts w:ascii="Times New Roman" w:hAnsi="Times New Roman" w:cs="Times New Roman"/>
        </w:rPr>
        <w:t>.</w:t>
      </w:r>
      <w:r w:rsidR="00B12306" w:rsidRPr="009341AA">
        <w:rPr>
          <w:rStyle w:val="FootnoteReference"/>
          <w:rFonts w:ascii="Times New Roman" w:hAnsi="Times New Roman" w:cs="Times New Roman"/>
        </w:rPr>
        <w:footnoteReference w:id="36"/>
      </w:r>
      <w:r w:rsidR="003D5864" w:rsidRPr="009341AA">
        <w:rPr>
          <w:rFonts w:ascii="Times New Roman" w:hAnsi="Times New Roman" w:cs="Times New Roman"/>
        </w:rPr>
        <w:t xml:space="preserve"> The idea of religious freedom works well in theory but not so in practice. What happens when someone’s religious actions break the law of the land? Is it the place of the government and the Court to say a religious act, which the government relinquished jurisdiction over, is not allowed?</w:t>
      </w:r>
    </w:p>
    <w:p w14:paraId="023EFAD7" w14:textId="37164E68"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lastRenderedPageBreak/>
        <w:t xml:space="preserve">The Constitution vows to protect religious freedom but the question that has been brought to </w:t>
      </w:r>
      <w:r w:rsidR="00D91D76" w:rsidRPr="009341AA">
        <w:rPr>
          <w:rFonts w:ascii="Times New Roman" w:hAnsi="Times New Roman" w:cs="Times New Roman"/>
        </w:rPr>
        <w:t xml:space="preserve">the Supreme Court time and </w:t>
      </w:r>
      <w:r w:rsidRPr="009341AA">
        <w:rPr>
          <w:rFonts w:ascii="Times New Roman" w:hAnsi="Times New Roman" w:cs="Times New Roman"/>
        </w:rPr>
        <w:t>again is</w:t>
      </w:r>
      <w:r w:rsidR="00747182" w:rsidRPr="009341AA">
        <w:rPr>
          <w:rFonts w:ascii="Times New Roman" w:hAnsi="Times New Roman" w:cs="Times New Roman"/>
        </w:rPr>
        <w:t xml:space="preserve">: </w:t>
      </w:r>
      <w:r w:rsidRPr="009341AA">
        <w:rPr>
          <w:rFonts w:ascii="Times New Roman" w:hAnsi="Times New Roman" w:cs="Times New Roman"/>
        </w:rPr>
        <w:t xml:space="preserve">What religious paradigms are protected? It would seem that </w:t>
      </w:r>
      <w:r w:rsidR="00A92D89" w:rsidRPr="009341AA">
        <w:rPr>
          <w:rFonts w:ascii="Times New Roman" w:hAnsi="Times New Roman" w:cs="Times New Roman"/>
        </w:rPr>
        <w:t xml:space="preserve">monotheism with </w:t>
      </w:r>
      <w:r w:rsidRPr="009341AA">
        <w:rPr>
          <w:rFonts w:ascii="Times New Roman" w:hAnsi="Times New Roman" w:cs="Times New Roman"/>
        </w:rPr>
        <w:t>Christian</w:t>
      </w:r>
      <w:r w:rsidR="00A92D89" w:rsidRPr="009341AA">
        <w:rPr>
          <w:rFonts w:ascii="Times New Roman" w:hAnsi="Times New Roman" w:cs="Times New Roman"/>
        </w:rPr>
        <w:t xml:space="preserve"> values </w:t>
      </w:r>
      <w:r w:rsidRPr="009341AA">
        <w:rPr>
          <w:rFonts w:ascii="Times New Roman" w:hAnsi="Times New Roman" w:cs="Times New Roman"/>
        </w:rPr>
        <w:t>has been the default religion that the Court seeks to make its decisions based upon</w:t>
      </w:r>
      <w:r w:rsidR="00A92D89" w:rsidRPr="009341AA">
        <w:rPr>
          <w:rFonts w:ascii="Times New Roman" w:hAnsi="Times New Roman" w:cs="Times New Roman"/>
        </w:rPr>
        <w:t>; it is the norm that most religion claims are compared to</w:t>
      </w:r>
      <w:r w:rsidRPr="009341AA">
        <w:rPr>
          <w:rFonts w:ascii="Times New Roman" w:hAnsi="Times New Roman" w:cs="Times New Roman"/>
        </w:rPr>
        <w:t>. Over the years, many Supreme Court cases have shaped and evolved this idea of religious freedom in a progressive manner but overall, the Court continues to rule based on a Christian worldview. Below are just a few of the impactful cases that have been brought to the Supreme Court for resolution.</w:t>
      </w:r>
    </w:p>
    <w:p w14:paraId="18BA5990" w14:textId="7EE1CA2E" w:rsidR="002249FC"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One of the first cases dealing with religious freedom was brought to the Supreme Court in 1844. In the case of </w:t>
      </w:r>
      <w:r w:rsidRPr="009341AA">
        <w:rPr>
          <w:rFonts w:ascii="Times New Roman" w:hAnsi="Times New Roman" w:cs="Times New Roman"/>
          <w:i/>
          <w:iCs/>
        </w:rPr>
        <w:t>Vidal v. Girard’s Executors</w:t>
      </w:r>
      <w:r w:rsidRPr="009341AA">
        <w:rPr>
          <w:rFonts w:ascii="Times New Roman" w:hAnsi="Times New Roman" w:cs="Times New Roman"/>
        </w:rPr>
        <w:t>, a man by the name of Stephen Girard died in 1831, leaving in his will the establishment of a college for orphans. He required that they be taught all subjects except religion. There was to be no religious affiliation whatsoever, including no clergymen on staff or even on the premises</w:t>
      </w:r>
      <w:r w:rsidR="00BC5399" w:rsidRPr="009341AA">
        <w:rPr>
          <w:rFonts w:ascii="Times New Roman" w:hAnsi="Times New Roman" w:cs="Times New Roman"/>
        </w:rPr>
        <w:t>.</w:t>
      </w:r>
      <w:r w:rsidR="00B12306" w:rsidRPr="009341AA">
        <w:rPr>
          <w:rStyle w:val="FootnoteReference"/>
          <w:rFonts w:ascii="Times New Roman" w:hAnsi="Times New Roman" w:cs="Times New Roman"/>
        </w:rPr>
        <w:footnoteReference w:id="37"/>
      </w:r>
      <w:r w:rsidRPr="009341AA">
        <w:rPr>
          <w:rFonts w:ascii="Times New Roman" w:hAnsi="Times New Roman" w:cs="Times New Roman"/>
        </w:rPr>
        <w:t xml:space="preserve"> The Court decided that this exclusion of religion in the college was against Pennsylvania law because it was hostile to the Christi</w:t>
      </w:r>
      <w:r w:rsidR="002249FC" w:rsidRPr="009341AA">
        <w:rPr>
          <w:rFonts w:ascii="Times New Roman" w:hAnsi="Times New Roman" w:cs="Times New Roman"/>
        </w:rPr>
        <w:t>an religion. The Court stated,</w:t>
      </w:r>
    </w:p>
    <w:p w14:paraId="4529BDCE" w14:textId="72925E87" w:rsidR="003D5864" w:rsidRPr="009341AA" w:rsidRDefault="003D5864" w:rsidP="00274E07">
      <w:pPr>
        <w:widowControl w:val="0"/>
        <w:tabs>
          <w:tab w:val="left" w:pos="180"/>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First, because of the exclusion of all ecclesiastics, missionaries, and ministers of any sect from holding or exercising any station or duty in the college, or even visiting the same, and second, because it limits the instruction to be given to the scholars to pure morality, and general benevolence, and a love of truth, sobriety, and industry, thereby excluding, by implication, all instruction in the Christian religion</w:t>
      </w:r>
      <w:r w:rsidR="00BC5399" w:rsidRPr="009341AA">
        <w:rPr>
          <w:rFonts w:ascii="Times New Roman" w:hAnsi="Times New Roman" w:cs="Times New Roman"/>
        </w:rPr>
        <w:t>.</w:t>
      </w:r>
      <w:r w:rsidR="00B12306" w:rsidRPr="009341AA">
        <w:rPr>
          <w:rStyle w:val="FootnoteReference"/>
          <w:rFonts w:ascii="Times New Roman" w:hAnsi="Times New Roman" w:cs="Times New Roman"/>
        </w:rPr>
        <w:footnoteReference w:id="38"/>
      </w:r>
    </w:p>
    <w:p w14:paraId="339D799C" w14:textId="58DBAF52" w:rsidR="002249FC" w:rsidRPr="009341AA" w:rsidRDefault="001F719E" w:rsidP="00274E07">
      <w:pPr>
        <w:widowControl w:val="0"/>
        <w:tabs>
          <w:tab w:val="left" w:pos="27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lastRenderedPageBreak/>
        <w:t>The Court saw discrimination against the Christian religion in this case and therefore decided that religion could not be excluded completely from the institution.</w:t>
      </w:r>
    </w:p>
    <w:p w14:paraId="6D636E6A" w14:textId="5EAAC886"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w:t>
      </w:r>
      <w:r w:rsidRPr="009341AA">
        <w:rPr>
          <w:rFonts w:ascii="Times New Roman" w:hAnsi="Times New Roman" w:cs="Times New Roman"/>
          <w:i/>
          <w:iCs/>
        </w:rPr>
        <w:t>Vidal</w:t>
      </w:r>
      <w:r w:rsidR="00A92D89" w:rsidRPr="009341AA">
        <w:rPr>
          <w:rFonts w:ascii="Times New Roman" w:hAnsi="Times New Roman" w:cs="Times New Roman"/>
        </w:rPr>
        <w:t>, it might</w:t>
      </w:r>
      <w:r w:rsidRPr="009341AA">
        <w:rPr>
          <w:rFonts w:ascii="Times New Roman" w:hAnsi="Times New Roman" w:cs="Times New Roman"/>
        </w:rPr>
        <w:t xml:space="preserve"> b</w:t>
      </w:r>
      <w:r w:rsidR="001F719E" w:rsidRPr="009341AA">
        <w:rPr>
          <w:rFonts w:ascii="Times New Roman" w:hAnsi="Times New Roman" w:cs="Times New Roman"/>
        </w:rPr>
        <w:t>e assumed</w:t>
      </w:r>
      <w:r w:rsidR="00A92D89" w:rsidRPr="009341AA">
        <w:rPr>
          <w:rFonts w:ascii="Times New Roman" w:hAnsi="Times New Roman" w:cs="Times New Roman"/>
        </w:rPr>
        <w:t xml:space="preserve"> today,</w:t>
      </w:r>
      <w:r w:rsidR="001F719E" w:rsidRPr="009341AA">
        <w:rPr>
          <w:rFonts w:ascii="Times New Roman" w:hAnsi="Times New Roman" w:cs="Times New Roman"/>
        </w:rPr>
        <w:t xml:space="preserve"> that the C</w:t>
      </w:r>
      <w:r w:rsidRPr="009341AA">
        <w:rPr>
          <w:rFonts w:ascii="Times New Roman" w:hAnsi="Times New Roman" w:cs="Times New Roman"/>
        </w:rPr>
        <w:t>ourt would encourage the lack of religion in a place of education</w:t>
      </w:r>
      <w:r w:rsidR="00A92D89" w:rsidRPr="009341AA">
        <w:rPr>
          <w:rFonts w:ascii="Times New Roman" w:hAnsi="Times New Roman" w:cs="Times New Roman"/>
        </w:rPr>
        <w:t xml:space="preserve"> but back when this case was being seen, religion in an educational institution was common.</w:t>
      </w:r>
      <w:r w:rsidR="001F719E" w:rsidRPr="009341AA">
        <w:rPr>
          <w:rStyle w:val="FootnoteReference"/>
          <w:rFonts w:ascii="Times New Roman" w:hAnsi="Times New Roman" w:cs="Times New Roman"/>
        </w:rPr>
        <w:footnoteReference w:id="39"/>
      </w:r>
      <w:r w:rsidR="00A92D89" w:rsidRPr="009341AA">
        <w:rPr>
          <w:rFonts w:ascii="Times New Roman" w:hAnsi="Times New Roman" w:cs="Times New Roman"/>
        </w:rPr>
        <w:t xml:space="preserve"> The Court</w:t>
      </w:r>
      <w:r w:rsidRPr="009341AA">
        <w:rPr>
          <w:rFonts w:ascii="Times New Roman" w:hAnsi="Times New Roman" w:cs="Times New Roman"/>
        </w:rPr>
        <w:t xml:space="preserve"> decided against the banning of religion in such an institution because it would actually be discrimination against religion, specifically, Christianity. It can be seen from this case that the Court and the Constitution favored balance, not just the expulsion of religion all together. Though, it is also important to remember that this case </w:t>
      </w:r>
      <w:r w:rsidR="002249FC" w:rsidRPr="009341AA">
        <w:rPr>
          <w:rFonts w:ascii="Times New Roman" w:hAnsi="Times New Roman" w:cs="Times New Roman"/>
        </w:rPr>
        <w:t xml:space="preserve">discussed </w:t>
      </w:r>
      <w:r w:rsidRPr="009341AA">
        <w:rPr>
          <w:rFonts w:ascii="Times New Roman" w:hAnsi="Times New Roman" w:cs="Times New Roman"/>
        </w:rPr>
        <w:t>discriminated against Christianity</w:t>
      </w:r>
      <w:r w:rsidR="002249FC" w:rsidRPr="009341AA">
        <w:rPr>
          <w:rFonts w:ascii="Times New Roman" w:hAnsi="Times New Roman" w:cs="Times New Roman"/>
        </w:rPr>
        <w:t xml:space="preserve"> that was supposedly taking place at the institution</w:t>
      </w:r>
      <w:r w:rsidRPr="009341AA">
        <w:rPr>
          <w:rFonts w:ascii="Times New Roman" w:hAnsi="Times New Roman" w:cs="Times New Roman"/>
        </w:rPr>
        <w:t>, which may have allowed for biased opinions. Again, the country was founded on Christian principles so discrimination against such a highly regarded religion was bound to ruffle feathers.</w:t>
      </w:r>
    </w:p>
    <w:p w14:paraId="1A8FBC8A" w14:textId="4A312B9D" w:rsidR="003D5864" w:rsidRPr="009341AA" w:rsidRDefault="00DA1FF0" w:rsidP="00274E07">
      <w:pPr>
        <w:widowControl w:val="0"/>
        <w:tabs>
          <w:tab w:val="left" w:pos="36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r>
      <w:r w:rsidR="003D5864" w:rsidRPr="009341AA">
        <w:rPr>
          <w:rFonts w:ascii="Times New Roman" w:hAnsi="Times New Roman" w:cs="Times New Roman"/>
        </w:rPr>
        <w:t>The f</w:t>
      </w:r>
      <w:r w:rsidR="00A92D89" w:rsidRPr="009341AA">
        <w:rPr>
          <w:rFonts w:ascii="Times New Roman" w:hAnsi="Times New Roman" w:cs="Times New Roman"/>
        </w:rPr>
        <w:t xml:space="preserve">irst </w:t>
      </w:r>
      <w:r w:rsidR="00204AFD" w:rsidRPr="009341AA">
        <w:rPr>
          <w:rFonts w:ascii="Times New Roman" w:hAnsi="Times New Roman" w:cs="Times New Roman"/>
        </w:rPr>
        <w:t xml:space="preserve">major </w:t>
      </w:r>
      <w:r w:rsidR="00A92D89" w:rsidRPr="009341AA">
        <w:rPr>
          <w:rFonts w:ascii="Times New Roman" w:hAnsi="Times New Roman" w:cs="Times New Roman"/>
        </w:rPr>
        <w:t xml:space="preserve">case that allowed the Supreme Court to begin shaping religious freedom </w:t>
      </w:r>
      <w:r w:rsidR="003D5864" w:rsidRPr="009341AA">
        <w:rPr>
          <w:rFonts w:ascii="Times New Roman" w:hAnsi="Times New Roman" w:cs="Times New Roman"/>
        </w:rPr>
        <w:t xml:space="preserve">happened in 1879. In the case of </w:t>
      </w:r>
      <w:r w:rsidR="003D5864" w:rsidRPr="009341AA">
        <w:rPr>
          <w:rFonts w:ascii="Times New Roman" w:hAnsi="Times New Roman" w:cs="Times New Roman"/>
          <w:i/>
          <w:iCs/>
        </w:rPr>
        <w:t>Reynolds v. United States</w:t>
      </w:r>
      <w:r w:rsidR="00A53B4D" w:rsidRPr="009341AA">
        <w:rPr>
          <w:rFonts w:ascii="Times New Roman" w:hAnsi="Times New Roman" w:cs="Times New Roman"/>
          <w:i/>
          <w:iCs/>
        </w:rPr>
        <w:t xml:space="preserve"> </w:t>
      </w:r>
      <w:r w:rsidR="00A53B4D" w:rsidRPr="009341AA">
        <w:rPr>
          <w:rFonts w:ascii="Times New Roman" w:hAnsi="Times New Roman" w:cs="Times New Roman"/>
          <w:iCs/>
        </w:rPr>
        <w:t>(1879)</w:t>
      </w:r>
      <w:r w:rsidR="003D5864" w:rsidRPr="009341AA">
        <w:rPr>
          <w:rFonts w:ascii="Times New Roman" w:hAnsi="Times New Roman" w:cs="Times New Roman"/>
        </w:rPr>
        <w:t>,</w:t>
      </w:r>
      <w:r w:rsidR="00A53B4D" w:rsidRPr="009341AA">
        <w:rPr>
          <w:rStyle w:val="FootnoteReference"/>
          <w:rFonts w:ascii="Times New Roman" w:hAnsi="Times New Roman" w:cs="Times New Roman"/>
        </w:rPr>
        <w:footnoteReference w:id="40"/>
      </w:r>
      <w:r w:rsidR="003D5864" w:rsidRPr="009341AA">
        <w:rPr>
          <w:rFonts w:ascii="Times New Roman" w:hAnsi="Times New Roman" w:cs="Times New Roman"/>
        </w:rPr>
        <w:t xml:space="preserve"> George Reynolds was accused of bigamy,</w:t>
      </w:r>
      <w:r w:rsidR="00204AFD" w:rsidRPr="009341AA">
        <w:rPr>
          <w:rStyle w:val="FootnoteReference"/>
          <w:rFonts w:ascii="Times New Roman" w:hAnsi="Times New Roman" w:cs="Times New Roman"/>
        </w:rPr>
        <w:footnoteReference w:id="41"/>
      </w:r>
      <w:r w:rsidR="003D5864" w:rsidRPr="009341AA">
        <w:rPr>
          <w:rFonts w:ascii="Times New Roman" w:hAnsi="Times New Roman" w:cs="Times New Roman"/>
        </w:rPr>
        <w:t xml:space="preserve"> which is against the law. The Court held that although Reynolds was a practicing member of the Church of Jesus Christ of Latter Day Saints and polygamy was part of his religious tradition, Reynolds married a second woman with intention knowing full well that his first wife was alive and still under a marriage contract with him and</w:t>
      </w:r>
      <w:r w:rsidR="00204AFD" w:rsidRPr="009341AA">
        <w:rPr>
          <w:rFonts w:ascii="Times New Roman" w:hAnsi="Times New Roman" w:cs="Times New Roman"/>
        </w:rPr>
        <w:t xml:space="preserve"> that</w:t>
      </w:r>
      <w:r w:rsidR="003D5864" w:rsidRPr="009341AA">
        <w:rPr>
          <w:rFonts w:ascii="Times New Roman" w:hAnsi="Times New Roman" w:cs="Times New Roman"/>
        </w:rPr>
        <w:t xml:space="preserve"> this was against the law. Being that Reynolds’ actions broke the law, the Court ruled that there was criminal intent even though his </w:t>
      </w:r>
      <w:r w:rsidR="003D5864" w:rsidRPr="009341AA">
        <w:rPr>
          <w:rFonts w:ascii="Times New Roman" w:hAnsi="Times New Roman" w:cs="Times New Roman"/>
        </w:rPr>
        <w:lastRenderedPageBreak/>
        <w:t>beliefs in doing so were</w:t>
      </w:r>
      <w:r w:rsidR="00204AFD" w:rsidRPr="009341AA">
        <w:rPr>
          <w:rFonts w:ascii="Times New Roman" w:hAnsi="Times New Roman" w:cs="Times New Roman"/>
        </w:rPr>
        <w:t xml:space="preserve"> strictly</w:t>
      </w:r>
      <w:r w:rsidR="003D5864" w:rsidRPr="009341AA">
        <w:rPr>
          <w:rFonts w:ascii="Times New Roman" w:hAnsi="Times New Roman" w:cs="Times New Roman"/>
        </w:rPr>
        <w:t xml:space="preserve"> religious</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42"/>
      </w:r>
      <w:r w:rsidR="003D5864" w:rsidRPr="009341AA">
        <w:rPr>
          <w:rFonts w:ascii="Times New Roman" w:hAnsi="Times New Roman" w:cs="Times New Roman"/>
        </w:rPr>
        <w:t xml:space="preserve"> In the words of Chief Justice Waite, “To permit [bigamy] would be to make the professed doctrines of religious belief superior to the law of the land, and in effect to permit every citizen to become a law unto himself. Government could exist only in name under such circumstances</w:t>
      </w:r>
      <w:r w:rsidR="0095782A" w:rsidRPr="009341AA">
        <w:rPr>
          <w:rFonts w:ascii="Times New Roman" w:hAnsi="Times New Roman" w:cs="Times New Roman"/>
        </w:rPr>
        <w:t>.</w:t>
      </w:r>
      <w:r w:rsidR="003D5864" w:rsidRPr="009341AA">
        <w:rPr>
          <w:rFonts w:ascii="Times New Roman" w:hAnsi="Times New Roman" w:cs="Times New Roman"/>
        </w:rPr>
        <w:t>”</w:t>
      </w:r>
      <w:r w:rsidR="003B3117" w:rsidRPr="009341AA">
        <w:rPr>
          <w:rStyle w:val="FootnoteReference"/>
          <w:rFonts w:ascii="Times New Roman" w:hAnsi="Times New Roman" w:cs="Times New Roman"/>
        </w:rPr>
        <w:footnoteReference w:id="43"/>
      </w:r>
    </w:p>
    <w:p w14:paraId="1740C07E" w14:textId="685BF76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While the same decision may not be made by the Supreme Court today</w:t>
      </w:r>
      <w:r w:rsidR="00176CF7" w:rsidRPr="009341AA">
        <w:rPr>
          <w:rFonts w:ascii="Times New Roman" w:hAnsi="Times New Roman" w:cs="Times New Roman"/>
        </w:rPr>
        <w:t xml:space="preserve"> because the anti-Mormon sentiment that was present back then is not present today</w:t>
      </w:r>
      <w:r w:rsidRPr="009341AA">
        <w:rPr>
          <w:rFonts w:ascii="Times New Roman" w:hAnsi="Times New Roman" w:cs="Times New Roman"/>
        </w:rPr>
        <w:t>, it is important to note</w:t>
      </w:r>
      <w:r w:rsidR="00176CF7" w:rsidRPr="009341AA">
        <w:rPr>
          <w:rFonts w:ascii="Times New Roman" w:hAnsi="Times New Roman" w:cs="Times New Roman"/>
        </w:rPr>
        <w:t>, this was the first Mormon case to be seen by the Supreme Court. It was also the case in which Thomas Jefferson’s phrase, “a wall of separation between Church and State,”</w:t>
      </w:r>
      <w:r w:rsidR="003B3117" w:rsidRPr="009341AA">
        <w:rPr>
          <w:rStyle w:val="FootnoteReference"/>
          <w:rFonts w:ascii="Times New Roman" w:hAnsi="Times New Roman" w:cs="Times New Roman"/>
        </w:rPr>
        <w:footnoteReference w:id="44"/>
      </w:r>
      <w:r w:rsidR="00176CF7" w:rsidRPr="009341AA">
        <w:rPr>
          <w:rFonts w:ascii="Times New Roman" w:hAnsi="Times New Roman" w:cs="Times New Roman"/>
        </w:rPr>
        <w:t xml:space="preserve"> makes its way into our judicial system. The separation that Jefferson was referring to was between belief and action. Congress was able to make legislation on actions, not beliefs. B</w:t>
      </w:r>
      <w:r w:rsidRPr="009341AA">
        <w:rPr>
          <w:rFonts w:ascii="Times New Roman" w:hAnsi="Times New Roman" w:cs="Times New Roman"/>
        </w:rPr>
        <w:t>etter explained, the beliefs of a man are of no concern to the Court but when a crime is committed due to ignorance, it becomes criminal. The ignorance is not ignorance of the law but the belief that the law should not exist in the first place, such as Reynolds believed. Even if</w:t>
      </w:r>
      <w:r w:rsidR="00204AFD" w:rsidRPr="009341AA">
        <w:rPr>
          <w:rFonts w:ascii="Times New Roman" w:hAnsi="Times New Roman" w:cs="Times New Roman"/>
        </w:rPr>
        <w:t xml:space="preserve"> Reynolds argued that he</w:t>
      </w:r>
      <w:r w:rsidRPr="009341AA">
        <w:rPr>
          <w:rFonts w:ascii="Times New Roman" w:hAnsi="Times New Roman" w:cs="Times New Roman"/>
        </w:rPr>
        <w:t xml:space="preserve"> believe</w:t>
      </w:r>
      <w:r w:rsidR="00204AFD" w:rsidRPr="009341AA">
        <w:rPr>
          <w:rFonts w:ascii="Times New Roman" w:hAnsi="Times New Roman" w:cs="Times New Roman"/>
        </w:rPr>
        <w:t>d the law should</w:t>
      </w:r>
      <w:r w:rsidRPr="009341AA">
        <w:rPr>
          <w:rFonts w:ascii="Times New Roman" w:hAnsi="Times New Roman" w:cs="Times New Roman"/>
        </w:rPr>
        <w:t xml:space="preserve"> exist, by breaking the law with intention, his actions suggested otherwise.</w:t>
      </w:r>
    </w:p>
    <w:p w14:paraId="2A256AC1" w14:textId="40A94B54"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It is here that we begin to see the Christian lens take hold in the Supreme Court</w:t>
      </w:r>
      <w:r w:rsidR="009644D9" w:rsidRPr="009341AA">
        <w:rPr>
          <w:rFonts w:ascii="Times New Roman" w:hAnsi="Times New Roman" w:cs="Times New Roman"/>
        </w:rPr>
        <w:t>. According to Dereck Daschke and other religious scholars, t</w:t>
      </w:r>
      <w:r w:rsidRPr="009341AA">
        <w:rPr>
          <w:rFonts w:ascii="Times New Roman" w:hAnsi="Times New Roman" w:cs="Times New Roman"/>
        </w:rPr>
        <w:t>he Mormon religion is considered a New Religious Movement, even today.</w:t>
      </w:r>
      <w:r w:rsidR="009644D9" w:rsidRPr="009341AA">
        <w:rPr>
          <w:rStyle w:val="FootnoteReference"/>
          <w:rFonts w:ascii="Times New Roman" w:hAnsi="Times New Roman" w:cs="Times New Roman"/>
        </w:rPr>
        <w:footnoteReference w:id="45"/>
      </w:r>
      <w:r w:rsidRPr="009341AA">
        <w:rPr>
          <w:rFonts w:ascii="Times New Roman" w:hAnsi="Times New Roman" w:cs="Times New Roman"/>
        </w:rPr>
        <w:t xml:space="preserve"> Not being a religion that was around when the country was founded made it new and somewhat unknown by the general public. Being different from mainstream Christianity, on which the country was </w:t>
      </w:r>
      <w:r w:rsidRPr="009341AA">
        <w:rPr>
          <w:rFonts w:ascii="Times New Roman" w:hAnsi="Times New Roman" w:cs="Times New Roman"/>
        </w:rPr>
        <w:lastRenderedPageBreak/>
        <w:t>founded, put the Mormon Church under much suspicion and scrutiny. The Mormon Church in particular gave the Supreme Court a chance to continue defining the First Amendment for many years to come.</w:t>
      </w:r>
    </w:p>
    <w:p w14:paraId="787D44CD" w14:textId="47B75325"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Only eleven years after </w:t>
      </w:r>
      <w:r w:rsidRPr="009341AA">
        <w:rPr>
          <w:rFonts w:ascii="Times New Roman" w:hAnsi="Times New Roman" w:cs="Times New Roman"/>
          <w:i/>
          <w:iCs/>
        </w:rPr>
        <w:t>Reynolds</w:t>
      </w:r>
      <w:r w:rsidR="00811AD3" w:rsidRPr="009341AA">
        <w:rPr>
          <w:rFonts w:ascii="Times New Roman" w:hAnsi="Times New Roman" w:cs="Times New Roman"/>
          <w:iCs/>
        </w:rPr>
        <w:t xml:space="preserve">, the Court still seemed to hold the anti-Mormon </w:t>
      </w:r>
      <w:r w:rsidR="009644D9" w:rsidRPr="009341AA">
        <w:rPr>
          <w:rFonts w:ascii="Times New Roman" w:hAnsi="Times New Roman" w:cs="Times New Roman"/>
          <w:iCs/>
        </w:rPr>
        <w:t xml:space="preserve">and pro-Christian </w:t>
      </w:r>
      <w:r w:rsidR="00811AD3" w:rsidRPr="009341AA">
        <w:rPr>
          <w:rFonts w:ascii="Times New Roman" w:hAnsi="Times New Roman" w:cs="Times New Roman"/>
          <w:iCs/>
        </w:rPr>
        <w:t>sentiment</w:t>
      </w:r>
      <w:r w:rsidR="009644D9" w:rsidRPr="009341AA">
        <w:rPr>
          <w:rStyle w:val="FootnoteReference"/>
          <w:rFonts w:ascii="Times New Roman" w:hAnsi="Times New Roman" w:cs="Times New Roman"/>
          <w:iCs/>
        </w:rPr>
        <w:footnoteReference w:id="46"/>
      </w:r>
      <w:r w:rsidR="00811AD3" w:rsidRPr="009341AA">
        <w:rPr>
          <w:rFonts w:ascii="Times New Roman" w:hAnsi="Times New Roman" w:cs="Times New Roman"/>
          <w:iCs/>
        </w:rPr>
        <w:t xml:space="preserve"> </w:t>
      </w:r>
      <w:r w:rsidR="00811AD3" w:rsidRPr="009341AA">
        <w:rPr>
          <w:rFonts w:ascii="Times New Roman" w:hAnsi="Times New Roman" w:cs="Times New Roman"/>
        </w:rPr>
        <w:t>when seeing</w:t>
      </w:r>
      <w:r w:rsidRPr="009341AA">
        <w:rPr>
          <w:rFonts w:ascii="Times New Roman" w:hAnsi="Times New Roman" w:cs="Times New Roman"/>
        </w:rPr>
        <w:t xml:space="preserve"> the case of </w:t>
      </w:r>
      <w:r w:rsidRPr="009341AA">
        <w:rPr>
          <w:rFonts w:ascii="Times New Roman" w:hAnsi="Times New Roman" w:cs="Times New Roman"/>
          <w:i/>
          <w:iCs/>
        </w:rPr>
        <w:t>Davis v. Beason</w:t>
      </w:r>
      <w:r w:rsidR="005F61B8" w:rsidRPr="009341AA">
        <w:rPr>
          <w:rFonts w:ascii="Times New Roman" w:hAnsi="Times New Roman" w:cs="Times New Roman"/>
          <w:iCs/>
        </w:rPr>
        <w:t xml:space="preserve"> (1890)</w:t>
      </w:r>
      <w:r w:rsidRPr="009341AA">
        <w:rPr>
          <w:rFonts w:ascii="Times New Roman" w:hAnsi="Times New Roman" w:cs="Times New Roman"/>
        </w:rPr>
        <w:t>.</w:t>
      </w:r>
      <w:r w:rsidR="005F61B8" w:rsidRPr="009341AA">
        <w:rPr>
          <w:rStyle w:val="FootnoteReference"/>
          <w:rFonts w:ascii="Times New Roman" w:hAnsi="Times New Roman" w:cs="Times New Roman"/>
        </w:rPr>
        <w:footnoteReference w:id="47"/>
      </w:r>
      <w:r w:rsidRPr="009341AA">
        <w:rPr>
          <w:rFonts w:ascii="Times New Roman" w:hAnsi="Times New Roman" w:cs="Times New Roman"/>
        </w:rPr>
        <w:t xml:space="preserve"> Samuel Davis, a Mormon, wanted to v</w:t>
      </w:r>
      <w:r w:rsidR="00204AFD" w:rsidRPr="009341AA">
        <w:rPr>
          <w:rFonts w:ascii="Times New Roman" w:hAnsi="Times New Roman" w:cs="Times New Roman"/>
        </w:rPr>
        <w:t>ote in the Territory of Idaho. In order t</w:t>
      </w:r>
      <w:r w:rsidRPr="009341AA">
        <w:rPr>
          <w:rFonts w:ascii="Times New Roman" w:hAnsi="Times New Roman" w:cs="Times New Roman"/>
        </w:rPr>
        <w:t>o do so, he was forced to take an oath stating that he did not affiliate with a religion or school of thought that practiced or taught polygamy. Even though he was part of the Mormon Church, he took the oath anyway. The Court decided that it was unconstitutional for a Territory or State to prohibit someone from voting because they are involved in or associated with people who practice polygamy.</w:t>
      </w:r>
    </w:p>
    <w:p w14:paraId="3D35C26E" w14:textId="0FE8D975" w:rsidR="009644D9"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w:t>
      </w:r>
      <w:r w:rsidR="009644D9" w:rsidRPr="009341AA">
        <w:rPr>
          <w:rFonts w:ascii="Times New Roman" w:hAnsi="Times New Roman" w:cs="Times New Roman"/>
        </w:rPr>
        <w:t xml:space="preserve"> Court stated,</w:t>
      </w:r>
    </w:p>
    <w:p w14:paraId="78C572BE" w14:textId="3F6F6C48" w:rsidR="003D5864" w:rsidRPr="009341AA" w:rsidRDefault="003D5864" w:rsidP="00274E07">
      <w:pPr>
        <w:widowControl w:val="0"/>
        <w:tabs>
          <w:tab w:val="left" w:pos="360"/>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The oppressive measures adopted, and the cruelties and punishments inflicted by the governments of Europe for many ages, to compel parties to conform in the religious beliefs and modes of worship to the views of the most numerous sect, and the folly of attempting in that way to control the mental operations of persons and enforce an outward conformity to a prescribed standard, let to the adoption of the Amendment in question. It was never intended or supposed that the Amendment could be </w:t>
      </w:r>
      <w:r w:rsidR="00572858" w:rsidRPr="009341AA">
        <w:rPr>
          <w:rFonts w:ascii="Times New Roman" w:hAnsi="Times New Roman" w:cs="Times New Roman"/>
        </w:rPr>
        <w:t>invoked,</w:t>
      </w:r>
      <w:r w:rsidRPr="009341AA">
        <w:rPr>
          <w:rFonts w:ascii="Times New Roman" w:hAnsi="Times New Roman" w:cs="Times New Roman"/>
        </w:rPr>
        <w:t xml:space="preserve"> as a protection against legislation for the punishment of acts inimical to the peace, good order and morals of society</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48"/>
      </w:r>
    </w:p>
    <w:p w14:paraId="49CFD00B" w14:textId="08CBDCF8"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Here, we see that the government </w:t>
      </w:r>
      <w:r w:rsidR="003B3117" w:rsidRPr="009341AA">
        <w:rPr>
          <w:rFonts w:ascii="Times New Roman" w:hAnsi="Times New Roman" w:cs="Times New Roman"/>
        </w:rPr>
        <w:t>reinforced</w:t>
      </w:r>
      <w:r w:rsidR="009644D9" w:rsidRPr="009341AA">
        <w:rPr>
          <w:rFonts w:ascii="Times New Roman" w:hAnsi="Times New Roman" w:cs="Times New Roman"/>
        </w:rPr>
        <w:t xml:space="preserve"> the protection</w:t>
      </w:r>
      <w:r w:rsidRPr="009341AA">
        <w:rPr>
          <w:rFonts w:ascii="Times New Roman" w:hAnsi="Times New Roman" w:cs="Times New Roman"/>
        </w:rPr>
        <w:t xml:space="preserve"> of one’s civil liberties</w:t>
      </w:r>
      <w:r w:rsidR="009644D9" w:rsidRPr="009341AA">
        <w:rPr>
          <w:rFonts w:ascii="Times New Roman" w:hAnsi="Times New Roman" w:cs="Times New Roman"/>
        </w:rPr>
        <w:t xml:space="preserve"> </w:t>
      </w:r>
      <w:r w:rsidR="009644D9" w:rsidRPr="009341AA">
        <w:rPr>
          <w:rFonts w:ascii="Times New Roman" w:hAnsi="Times New Roman" w:cs="Times New Roman"/>
        </w:rPr>
        <w:lastRenderedPageBreak/>
        <w:t>such as voting</w:t>
      </w:r>
      <w:r w:rsidRPr="009341AA">
        <w:rPr>
          <w:rFonts w:ascii="Times New Roman" w:hAnsi="Times New Roman" w:cs="Times New Roman"/>
        </w:rPr>
        <w:t xml:space="preserve"> over the state’s discrimination</w:t>
      </w:r>
      <w:r w:rsidR="009644D9" w:rsidRPr="009341AA">
        <w:rPr>
          <w:rFonts w:ascii="Times New Roman" w:hAnsi="Times New Roman" w:cs="Times New Roman"/>
        </w:rPr>
        <w:t xml:space="preserve"> of one’s religious beliefs and in doing so, also protected Davis’s religious freedom</w:t>
      </w:r>
      <w:r w:rsidRPr="009341AA">
        <w:rPr>
          <w:rFonts w:ascii="Times New Roman" w:hAnsi="Times New Roman" w:cs="Times New Roman"/>
        </w:rPr>
        <w:t>. The country was founded because of the oppression of a religiously driven monarchy. Seeing that the Territory of Idaho was acting as the monarchy had in restricting participation due to religious beliefs, the Court realized the importance of civil liberties over all else, including a religion, which appeared outside of the norm. A step in the right direction from the Court gives hope to religions that stray from mainstream Christianity but it was not the religion that the Court was protecting, it was the civil liberties of the individual.</w:t>
      </w:r>
    </w:p>
    <w:p w14:paraId="446D1AED" w14:textId="3B60D7D4"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We see further struggles between the Court and the Mormon Church in the case of </w:t>
      </w:r>
      <w:r w:rsidRPr="009341AA">
        <w:rPr>
          <w:rFonts w:ascii="Times New Roman" w:hAnsi="Times New Roman" w:cs="Times New Roman"/>
          <w:i/>
          <w:iCs/>
        </w:rPr>
        <w:t>The Late Corporation of the Church of Jesus Christ of Latter-Day Saints v. United States</w:t>
      </w:r>
      <w:r w:rsidR="002249FC" w:rsidRPr="009341AA">
        <w:rPr>
          <w:rFonts w:ascii="Times New Roman" w:hAnsi="Times New Roman" w:cs="Times New Roman"/>
          <w:i/>
          <w:iCs/>
        </w:rPr>
        <w:t xml:space="preserve"> </w:t>
      </w:r>
      <w:r w:rsidR="002249FC" w:rsidRPr="009341AA">
        <w:rPr>
          <w:rFonts w:ascii="Times New Roman" w:hAnsi="Times New Roman" w:cs="Times New Roman"/>
          <w:iCs/>
        </w:rPr>
        <w:t>(1890)</w:t>
      </w:r>
      <w:r w:rsidRPr="009341AA">
        <w:rPr>
          <w:rFonts w:ascii="Times New Roman" w:hAnsi="Times New Roman" w:cs="Times New Roman"/>
        </w:rPr>
        <w:t>.</w:t>
      </w:r>
      <w:r w:rsidR="005F61B8" w:rsidRPr="009341AA">
        <w:rPr>
          <w:rStyle w:val="FootnoteReference"/>
          <w:rFonts w:ascii="Times New Roman" w:hAnsi="Times New Roman" w:cs="Times New Roman"/>
        </w:rPr>
        <w:footnoteReference w:id="49"/>
      </w:r>
      <w:r w:rsidR="00204AFD" w:rsidRPr="009341AA">
        <w:rPr>
          <w:rFonts w:ascii="Times New Roman" w:hAnsi="Times New Roman" w:cs="Times New Roman"/>
        </w:rPr>
        <w:t xml:space="preserve"> The case was heard</w:t>
      </w:r>
      <w:r w:rsidRPr="009341AA">
        <w:rPr>
          <w:rFonts w:ascii="Times New Roman" w:hAnsi="Times New Roman" w:cs="Times New Roman"/>
        </w:rPr>
        <w:t xml:space="preserve"> by the Supreme</w:t>
      </w:r>
      <w:r w:rsidR="00204AFD" w:rsidRPr="009341AA">
        <w:rPr>
          <w:rFonts w:ascii="Times New Roman" w:hAnsi="Times New Roman" w:cs="Times New Roman"/>
        </w:rPr>
        <w:t xml:space="preserve"> Court the same year that it heard</w:t>
      </w:r>
      <w:r w:rsidRPr="009341AA">
        <w:rPr>
          <w:rFonts w:ascii="Times New Roman" w:hAnsi="Times New Roman" w:cs="Times New Roman"/>
        </w:rPr>
        <w:t xml:space="preserve"> </w:t>
      </w:r>
      <w:r w:rsidRPr="009341AA">
        <w:rPr>
          <w:rFonts w:ascii="Times New Roman" w:hAnsi="Times New Roman" w:cs="Times New Roman"/>
          <w:i/>
          <w:iCs/>
        </w:rPr>
        <w:t>Davis</w:t>
      </w:r>
      <w:r w:rsidRPr="009341AA">
        <w:rPr>
          <w:rFonts w:ascii="Times New Roman" w:hAnsi="Times New Roman" w:cs="Times New Roman"/>
        </w:rPr>
        <w:t xml:space="preserve">. Both of these cases involved the Mormon Church but had very different outcomes. In </w:t>
      </w:r>
      <w:r w:rsidRPr="009341AA">
        <w:rPr>
          <w:rFonts w:ascii="Times New Roman" w:hAnsi="Times New Roman" w:cs="Times New Roman"/>
          <w:i/>
          <w:iCs/>
        </w:rPr>
        <w:t>LDS</w:t>
      </w:r>
      <w:r w:rsidRPr="009341AA">
        <w:rPr>
          <w:rFonts w:ascii="Times New Roman" w:hAnsi="Times New Roman" w:cs="Times New Roman"/>
        </w:rPr>
        <w:t>, the government wanted to stop supporting the Mormon Church because it did not follow Christian ways and the laws of the U.S., specifically in terms of polygamy. The Court stated:</w:t>
      </w:r>
    </w:p>
    <w:p w14:paraId="28AEC347" w14:textId="49728423"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One pretense for this obstinate course is, that their belief in the practice of polygamy, or in the right to indulge in it, is a religious belief, and therefore under the protection of the constitutional guaranty of religious freedom. This is altogether a sophistical plea. No doubt the Thugs of India imagined that their belief in the right of assassination was a religious belief; but their thinking so did not make it so. The practice of suttee by the Hindu widows may have sprung from a supposed religious conviction. The offering of human sacrifices by our own </w:t>
      </w:r>
      <w:r w:rsidRPr="009341AA">
        <w:rPr>
          <w:rFonts w:ascii="Times New Roman" w:hAnsi="Times New Roman" w:cs="Times New Roman"/>
        </w:rPr>
        <w:lastRenderedPageBreak/>
        <w:t>ancestors in Britain was no doubt sanctioned by an equally conscientious impulse. But no one, on that account, would hesitate to brand these practices, now, as crimes against society, and obnoxious to condemnation and punishment by the civil authority</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50"/>
      </w:r>
    </w:p>
    <w:p w14:paraId="538631B7" w14:textId="0EC7DB60"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the end, the Court ruled in favor of the government and the church’s funding and property were taken away due to misuse</w:t>
      </w:r>
      <w:r w:rsidR="000A5574" w:rsidRPr="009341AA">
        <w:rPr>
          <w:rFonts w:ascii="Times New Roman" w:hAnsi="Times New Roman" w:cs="Times New Roman"/>
        </w:rPr>
        <w:t>.</w:t>
      </w:r>
      <w:r w:rsidR="003B3117" w:rsidRPr="009341AA">
        <w:rPr>
          <w:rStyle w:val="FootnoteReference"/>
          <w:rFonts w:ascii="Times New Roman" w:hAnsi="Times New Roman" w:cs="Times New Roman"/>
        </w:rPr>
        <w:footnoteReference w:id="51"/>
      </w:r>
      <w:r w:rsidRPr="009341AA">
        <w:rPr>
          <w:rFonts w:ascii="Times New Roman" w:hAnsi="Times New Roman" w:cs="Times New Roman"/>
        </w:rPr>
        <w:t xml:space="preserve"> In the above excerpt, it can be seen that the limits of the free exercise clause are only that which coincide with common law. Meaning, if something is against the law but required by one’s religion, the act cannot take place but one can still believe in the act as religious.</w:t>
      </w:r>
      <w:r w:rsidR="009644D9" w:rsidRPr="009341AA">
        <w:rPr>
          <w:rFonts w:ascii="Times New Roman" w:hAnsi="Times New Roman" w:cs="Times New Roman"/>
        </w:rPr>
        <w:t xml:space="preserve"> This simplified explanation of free exercise lasted</w:t>
      </w:r>
      <w:r w:rsidR="00C968CA" w:rsidRPr="009341AA">
        <w:rPr>
          <w:rFonts w:ascii="Times New Roman" w:hAnsi="Times New Roman" w:cs="Times New Roman"/>
        </w:rPr>
        <w:t xml:space="preserve"> for some time in the American judicial system. It was not until later in American history that issues of state interest came into the conversation.</w:t>
      </w:r>
      <w:r w:rsidRPr="009341AA">
        <w:rPr>
          <w:rFonts w:ascii="Times New Roman" w:hAnsi="Times New Roman" w:cs="Times New Roman"/>
        </w:rPr>
        <w:t xml:space="preserve"> It is also interesting to compare how the Court handles a case involving civic duties such as voting and civic liberties such as the free exercise clause. One directly impacts the government (civic duty) and the other does not. The Court ruled in favor of the Mormon when ruling against would infringe on his civic duty but ruled against the Mormon Church when ruling in favor would essentially mean allowing polygamy.</w:t>
      </w:r>
    </w:p>
    <w:p w14:paraId="5E2E18CA" w14:textId="2542CD39"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We can see in these cases involving the Mormon religion that the Court heavily pushed its Christian agenda that is hidden in the Free Exercise Clause of the First Amendment</w:t>
      </w:r>
      <w:r w:rsidR="00C968CA" w:rsidRPr="009341AA">
        <w:rPr>
          <w:rFonts w:ascii="Times New Roman" w:hAnsi="Times New Roman" w:cs="Times New Roman"/>
        </w:rPr>
        <w:t xml:space="preserve"> and passed judgment based on the underlying anti-Mormon sentiment that was incorporated in American ideology at the time</w:t>
      </w:r>
      <w:r w:rsidRPr="009341AA">
        <w:rPr>
          <w:rFonts w:ascii="Times New Roman" w:hAnsi="Times New Roman" w:cs="Times New Roman"/>
        </w:rPr>
        <w:t xml:space="preserve">. The only case in which the Court sided with the Mormon religion was when American civic duties were being questioned. In the case of </w:t>
      </w:r>
      <w:r w:rsidRPr="009341AA">
        <w:rPr>
          <w:rFonts w:ascii="Times New Roman" w:hAnsi="Times New Roman" w:cs="Times New Roman"/>
          <w:i/>
          <w:iCs/>
        </w:rPr>
        <w:t>LDS</w:t>
      </w:r>
      <w:r w:rsidRPr="009341AA">
        <w:rPr>
          <w:rFonts w:ascii="Times New Roman" w:hAnsi="Times New Roman" w:cs="Times New Roman"/>
        </w:rPr>
        <w:t xml:space="preserve">, it is obvious that religious practices that go against Christian values </w:t>
      </w:r>
      <w:r w:rsidRPr="009341AA">
        <w:rPr>
          <w:rFonts w:ascii="Times New Roman" w:hAnsi="Times New Roman" w:cs="Times New Roman"/>
        </w:rPr>
        <w:lastRenderedPageBreak/>
        <w:t xml:space="preserve">were not acceptable practices in America. The Mormon Church was not the only church that was discriminated against for going against the norm. In the case of </w:t>
      </w:r>
      <w:r w:rsidRPr="009341AA">
        <w:rPr>
          <w:rFonts w:ascii="Times New Roman" w:hAnsi="Times New Roman" w:cs="Times New Roman"/>
          <w:i/>
          <w:iCs/>
        </w:rPr>
        <w:t>Hamilton v. Regents of University of California</w:t>
      </w:r>
      <w:r w:rsidRPr="009341AA">
        <w:rPr>
          <w:rFonts w:ascii="Times New Roman" w:hAnsi="Times New Roman" w:cs="Times New Roman"/>
        </w:rPr>
        <w:t>,</w:t>
      </w:r>
      <w:r w:rsidR="005F61B8" w:rsidRPr="009341AA">
        <w:rPr>
          <w:rStyle w:val="FootnoteReference"/>
          <w:rFonts w:ascii="Times New Roman" w:hAnsi="Times New Roman" w:cs="Times New Roman"/>
        </w:rPr>
        <w:footnoteReference w:id="52"/>
      </w:r>
      <w:r w:rsidRPr="009341AA">
        <w:rPr>
          <w:rFonts w:ascii="Times New Roman" w:hAnsi="Times New Roman" w:cs="Times New Roman"/>
        </w:rPr>
        <w:t xml:space="preserve"> seen by the Court in 1934, two boys applied to the University of California but refused to fulfill the requirement of ROTC because they were a part of the Methodist Episcopal Church, which belie</w:t>
      </w:r>
      <w:r w:rsidR="000A5574" w:rsidRPr="009341AA">
        <w:rPr>
          <w:rFonts w:ascii="Times New Roman" w:hAnsi="Times New Roman" w:cs="Times New Roman"/>
        </w:rPr>
        <w:t>ve</w:t>
      </w:r>
      <w:r w:rsidRPr="009341AA">
        <w:rPr>
          <w:rFonts w:ascii="Times New Roman" w:hAnsi="Times New Roman" w:cs="Times New Roman"/>
        </w:rPr>
        <w:t>s in pacifism</w:t>
      </w:r>
      <w:r w:rsidR="000A5574" w:rsidRPr="009341AA">
        <w:rPr>
          <w:rFonts w:ascii="Times New Roman" w:hAnsi="Times New Roman" w:cs="Times New Roman"/>
        </w:rPr>
        <w:t>.</w:t>
      </w:r>
      <w:r w:rsidR="003B3117" w:rsidRPr="009341AA">
        <w:rPr>
          <w:rStyle w:val="FootnoteReference"/>
          <w:rFonts w:ascii="Times New Roman" w:hAnsi="Times New Roman" w:cs="Times New Roman"/>
        </w:rPr>
        <w:footnoteReference w:id="53"/>
      </w:r>
      <w:r w:rsidRPr="009341AA">
        <w:rPr>
          <w:rFonts w:ascii="Times New Roman" w:hAnsi="Times New Roman" w:cs="Times New Roman"/>
        </w:rPr>
        <w:t xml:space="preserve"> The students first applied to be exempt from the ROTC courses but were denied. They then petitioned the regents asking that the military requirements be made optional for all students and were again rejected. Shortly after, the students were notified that they were suspended from the university and may only be readmitted once they agreed to take the military courses</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54"/>
      </w:r>
    </w:p>
    <w:p w14:paraId="6995ADBD" w14:textId="04FAD179" w:rsidR="002249FC"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It was up to the Court to decide if the students’ liberties had been infringed upo</w:t>
      </w:r>
      <w:r w:rsidR="002249FC" w:rsidRPr="009341AA">
        <w:rPr>
          <w:rFonts w:ascii="Times New Roman" w:hAnsi="Times New Roman" w:cs="Times New Roman"/>
        </w:rPr>
        <w:t>n. The Court responded saying,</w:t>
      </w:r>
    </w:p>
    <w:p w14:paraId="34E5F7F1" w14:textId="596558E7" w:rsidR="002249FC"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The First Amendment, if it be read into the Fourteenth, makes invalid any state law ‘respecting an establishment of religion, or prohibiting the free exercise thereof.’ Instruction in military science is not instruction in the practice or tenets of a religion. Neither directly nor indirectly is government establishing a state religion when it insists upon such training. Instruction in military science, unaccompanied here by any pledge of military service, is not an interference by the state with the free exercise of religion when the liberties of the Constitution are read in the light of a century and a half of history during days of peace and </w:t>
      </w:r>
      <w:r w:rsidRPr="009341AA">
        <w:rPr>
          <w:rFonts w:ascii="Times New Roman" w:hAnsi="Times New Roman" w:cs="Times New Roman"/>
        </w:rPr>
        <w:lastRenderedPageBreak/>
        <w:t>war</w:t>
      </w:r>
      <w:r w:rsidR="000A5574" w:rsidRPr="009341AA">
        <w:rPr>
          <w:rFonts w:ascii="Times New Roman" w:hAnsi="Times New Roman" w:cs="Times New Roman"/>
        </w:rPr>
        <w:t>.</w:t>
      </w:r>
      <w:r w:rsidR="003B3117" w:rsidRPr="009341AA">
        <w:rPr>
          <w:rStyle w:val="FootnoteReference"/>
          <w:rFonts w:ascii="Times New Roman" w:hAnsi="Times New Roman" w:cs="Times New Roman"/>
        </w:rPr>
        <w:footnoteReference w:id="55"/>
      </w:r>
    </w:p>
    <w:p w14:paraId="2979D906" w14:textId="67781642"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Court’s decision in favor of the university was due to the noncommittal nature of the military courses. They were not asking the students to use weapons but merely to learn how to use them. Again we see the Court’s intolerance for what isn’t considered the norm.</w:t>
      </w:r>
    </w:p>
    <w:p w14:paraId="61848B00" w14:textId="2ACFFC19"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The first in a series of Jehovah’s Witnesses cases </w:t>
      </w:r>
      <w:r w:rsidR="00204AFD" w:rsidRPr="009341AA">
        <w:rPr>
          <w:rFonts w:ascii="Times New Roman" w:hAnsi="Times New Roman" w:cs="Times New Roman"/>
        </w:rPr>
        <w:t xml:space="preserve">that are further examples of the Court’s biases </w:t>
      </w:r>
      <w:r w:rsidRPr="009341AA">
        <w:rPr>
          <w:rFonts w:ascii="Times New Roman" w:hAnsi="Times New Roman" w:cs="Times New Roman"/>
        </w:rPr>
        <w:t>occurred in 1940</w:t>
      </w:r>
      <w:r w:rsidR="000A5574" w:rsidRPr="009341AA">
        <w:rPr>
          <w:rFonts w:ascii="Times New Roman" w:hAnsi="Times New Roman" w:cs="Times New Roman"/>
        </w:rPr>
        <w:t>.</w:t>
      </w:r>
      <w:r w:rsidR="003B3117" w:rsidRPr="009341AA">
        <w:rPr>
          <w:rStyle w:val="FootnoteReference"/>
          <w:rFonts w:ascii="Times New Roman" w:hAnsi="Times New Roman" w:cs="Times New Roman"/>
        </w:rPr>
        <w:footnoteReference w:id="56"/>
      </w:r>
      <w:r w:rsidRPr="009341AA">
        <w:rPr>
          <w:rFonts w:ascii="Times New Roman" w:hAnsi="Times New Roman" w:cs="Times New Roman"/>
        </w:rPr>
        <w:t xml:space="preserve"> </w:t>
      </w:r>
      <w:r w:rsidR="00EE3923" w:rsidRPr="009341AA">
        <w:rPr>
          <w:rFonts w:ascii="Times New Roman" w:hAnsi="Times New Roman" w:cs="Times New Roman"/>
        </w:rPr>
        <w:t xml:space="preserve">This case is an example of how the Court worked to protect all religions not just Christianity as it does in waves throughout American history. </w:t>
      </w:r>
      <w:r w:rsidRPr="009341AA">
        <w:rPr>
          <w:rFonts w:ascii="Times New Roman" w:hAnsi="Times New Roman" w:cs="Times New Roman"/>
        </w:rPr>
        <w:t xml:space="preserve">The case of </w:t>
      </w:r>
      <w:r w:rsidRPr="009341AA">
        <w:rPr>
          <w:rFonts w:ascii="Times New Roman" w:hAnsi="Times New Roman" w:cs="Times New Roman"/>
          <w:i/>
          <w:iCs/>
        </w:rPr>
        <w:t>Cantwell v. Connecticut</w:t>
      </w:r>
      <w:r w:rsidR="005F61B8" w:rsidRPr="009341AA">
        <w:rPr>
          <w:rFonts w:ascii="Times New Roman" w:hAnsi="Times New Roman" w:cs="Times New Roman"/>
          <w:iCs/>
        </w:rPr>
        <w:t xml:space="preserve"> (1940)</w:t>
      </w:r>
      <w:r w:rsidR="005F61B8" w:rsidRPr="009341AA">
        <w:rPr>
          <w:rStyle w:val="FootnoteReference"/>
          <w:rFonts w:ascii="Times New Roman" w:hAnsi="Times New Roman" w:cs="Times New Roman"/>
          <w:iCs/>
        </w:rPr>
        <w:footnoteReference w:id="57"/>
      </w:r>
      <w:r w:rsidRPr="009341AA">
        <w:rPr>
          <w:rFonts w:ascii="Times New Roman" w:hAnsi="Times New Roman" w:cs="Times New Roman"/>
        </w:rPr>
        <w:t xml:space="preserve"> was brought to the Supreme Court when Newton Cantwell and his sons, Jesse and Russell were proselytizing, giving out pamphlets and allowing people to listen to a message on a portable phonograph. After upsetting two pedestrians, all three were arrested on the grounds that they did not have a solicitation permit and that they were disturbing the peace</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58"/>
      </w:r>
      <w:r w:rsidRPr="009341AA">
        <w:rPr>
          <w:rFonts w:ascii="Times New Roman" w:hAnsi="Times New Roman" w:cs="Times New Roman"/>
        </w:rPr>
        <w:t xml:space="preserve"> The Court found that these charges were unconstitutional</w:t>
      </w:r>
      <w:r w:rsidR="005F61B8" w:rsidRPr="009341AA">
        <w:rPr>
          <w:rFonts w:ascii="Times New Roman" w:hAnsi="Times New Roman" w:cs="Times New Roman"/>
        </w:rPr>
        <w:t>.</w:t>
      </w:r>
      <w:r w:rsidR="003B3117" w:rsidRPr="009341AA">
        <w:rPr>
          <w:rStyle w:val="FootnoteReference"/>
          <w:rFonts w:ascii="Times New Roman" w:hAnsi="Times New Roman" w:cs="Times New Roman"/>
        </w:rPr>
        <w:footnoteReference w:id="59"/>
      </w:r>
      <w:r w:rsidRPr="009341AA">
        <w:rPr>
          <w:rFonts w:ascii="Times New Roman" w:hAnsi="Times New Roman" w:cs="Times New Roman"/>
        </w:rPr>
        <w:t xml:space="preserve"> The first problem to be solved was that the Cantwells did not have permits. It was proposed that a state official grant permits to those he believes are soliciting for religious causes but that gives the state authority to determine what is and is not a religious cause, which is unconstitutional</w:t>
      </w:r>
      <w:r w:rsidR="00A5355F" w:rsidRPr="009341AA">
        <w:rPr>
          <w:rFonts w:ascii="Times New Roman" w:hAnsi="Times New Roman" w:cs="Times New Roman"/>
        </w:rPr>
        <w:t>.</w:t>
      </w:r>
      <w:r w:rsidR="003B3117" w:rsidRPr="009341AA">
        <w:rPr>
          <w:rStyle w:val="FootnoteReference"/>
          <w:rFonts w:ascii="Times New Roman" w:hAnsi="Times New Roman" w:cs="Times New Roman"/>
        </w:rPr>
        <w:footnoteReference w:id="60"/>
      </w:r>
      <w:r w:rsidRPr="009341AA">
        <w:rPr>
          <w:rFonts w:ascii="Times New Roman" w:hAnsi="Times New Roman" w:cs="Times New Roman"/>
        </w:rPr>
        <w:t xml:space="preserve"> The second problem to be solved was that the Cantwells were said to be disturbing the peace. The state has a right to protect against peace disturbers. The Court found that after interviewing the upset men that listened to the phonograph, there was no violence or peace disturbance of any kind </w:t>
      </w:r>
      <w:r w:rsidRPr="009341AA">
        <w:rPr>
          <w:rFonts w:ascii="Times New Roman" w:hAnsi="Times New Roman" w:cs="Times New Roman"/>
        </w:rPr>
        <w:lastRenderedPageBreak/>
        <w:t>nor was there going to be. In the opinion of the Co</w:t>
      </w:r>
      <w:r w:rsidR="00204AFD" w:rsidRPr="009341AA">
        <w:rPr>
          <w:rFonts w:ascii="Times New Roman" w:hAnsi="Times New Roman" w:cs="Times New Roman"/>
        </w:rPr>
        <w:t>urt,</w:t>
      </w:r>
      <w:r w:rsidR="009106A2" w:rsidRPr="009341AA">
        <w:rPr>
          <w:rFonts w:ascii="Times New Roman" w:hAnsi="Times New Roman" w:cs="Times New Roman"/>
        </w:rPr>
        <w:t xml:space="preserve"> Justice Roberts stated that Cantwell did not pose a threat to the peace, order, or safety of the public because he was expressing his right to free speech. Cantwell had the right to peacefully express his views to others, which he did with their permission. Therefore, “</w:t>
      </w:r>
      <w:r w:rsidRPr="009341AA">
        <w:rPr>
          <w:rFonts w:ascii="Times New Roman" w:hAnsi="Times New Roman" w:cs="Times New Roman"/>
        </w:rPr>
        <w:t>he had invaded no right or interest of the public or of the men accosted…Cantwell’s conduct, in the view of the court below, considered apart from the effect of his communication upon his hearers, did not amount to a breach of the peace</w:t>
      </w:r>
      <w:r w:rsidR="005F61B8" w:rsidRPr="009341AA">
        <w:rPr>
          <w:rFonts w:ascii="Times New Roman" w:hAnsi="Times New Roman" w:cs="Times New Roman"/>
        </w:rPr>
        <w:t>.</w:t>
      </w:r>
      <w:r w:rsidR="009106A2" w:rsidRPr="009341AA">
        <w:rPr>
          <w:rFonts w:ascii="Times New Roman" w:hAnsi="Times New Roman" w:cs="Times New Roman"/>
        </w:rPr>
        <w:t>”</w:t>
      </w:r>
      <w:r w:rsidR="003B3117" w:rsidRPr="009341AA">
        <w:rPr>
          <w:rStyle w:val="FootnoteReference"/>
          <w:rFonts w:ascii="Times New Roman" w:hAnsi="Times New Roman" w:cs="Times New Roman"/>
        </w:rPr>
        <w:footnoteReference w:id="61"/>
      </w:r>
    </w:p>
    <w:p w14:paraId="7D192416" w14:textId="078FA064"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Here, the Court has narrowed down the definition of the First Amendment by saying</w:t>
      </w:r>
      <w:r w:rsidR="00A5355F" w:rsidRPr="009341AA">
        <w:rPr>
          <w:rFonts w:ascii="Times New Roman" w:hAnsi="Times New Roman" w:cs="Times New Roman"/>
        </w:rPr>
        <w:t xml:space="preserve"> that </w:t>
      </w:r>
      <w:r w:rsidRPr="009341AA">
        <w:rPr>
          <w:rFonts w:ascii="Times New Roman" w:hAnsi="Times New Roman" w:cs="Times New Roman"/>
        </w:rPr>
        <w:t>“the [First] Amendment embraces two concepts,</w:t>
      </w:r>
      <w:r w:rsidR="00A5355F" w:rsidRPr="009341AA">
        <w:rPr>
          <w:rFonts w:ascii="Times New Roman" w:hAnsi="Times New Roman" w:cs="Times New Roman"/>
        </w:rPr>
        <w:t xml:space="preserve"> </w:t>
      </w:r>
      <w:r w:rsidRPr="009341AA">
        <w:rPr>
          <w:rFonts w:ascii="Times New Roman" w:hAnsi="Times New Roman" w:cs="Times New Roman"/>
        </w:rPr>
        <w:t>—freedom to believe and freedom to act. The first is absolute but, in the nature of things, the second cannot be. Conduct remains subject to regulation for the protection of society. The freedom to act must have appropriate definition to preserve the enforcement of that protection</w:t>
      </w:r>
      <w:r w:rsidR="00A5355F" w:rsidRPr="009341AA">
        <w:rPr>
          <w:rFonts w:ascii="Times New Roman" w:hAnsi="Times New Roman" w:cs="Times New Roman"/>
        </w:rPr>
        <w:t>.</w:t>
      </w:r>
      <w:r w:rsidRPr="009341AA">
        <w:rPr>
          <w:rFonts w:ascii="Times New Roman" w:hAnsi="Times New Roman" w:cs="Times New Roman"/>
        </w:rPr>
        <w:t>”</w:t>
      </w:r>
      <w:r w:rsidR="003B3117" w:rsidRPr="009341AA">
        <w:rPr>
          <w:rStyle w:val="FootnoteReference"/>
          <w:rFonts w:ascii="Times New Roman" w:hAnsi="Times New Roman" w:cs="Times New Roman"/>
        </w:rPr>
        <w:footnoteReference w:id="62"/>
      </w:r>
      <w:r w:rsidR="00A5355F" w:rsidRPr="009341AA">
        <w:rPr>
          <w:rFonts w:ascii="Times New Roman" w:hAnsi="Times New Roman" w:cs="Times New Roman"/>
        </w:rPr>
        <w:t xml:space="preserve"> </w:t>
      </w:r>
      <w:r w:rsidRPr="009341AA">
        <w:rPr>
          <w:rFonts w:ascii="Times New Roman" w:hAnsi="Times New Roman" w:cs="Times New Roman"/>
        </w:rPr>
        <w:t>Speaking directly to the problem on the protection of belief and the protection of action, this case is the perfect example of a Court that sees the need for the protection of all religions, not just Christianity. In this case, the actions taken were not in conjunction with Christian values but the Court sided with the Jehovah’s Witnesses because, according to the Constitution, they were acting upon their religious freedoms.</w:t>
      </w:r>
      <w:r w:rsidR="00EE3923" w:rsidRPr="009341AA">
        <w:rPr>
          <w:rFonts w:ascii="Times New Roman" w:hAnsi="Times New Roman" w:cs="Times New Roman"/>
        </w:rPr>
        <w:t xml:space="preserve"> It is important to include this case in the historical overview because it was a turning point for the </w:t>
      </w:r>
    </w:p>
    <w:p w14:paraId="488A5687" w14:textId="3D13FB3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Another </w:t>
      </w:r>
      <w:r w:rsidR="00B57697" w:rsidRPr="009341AA">
        <w:rPr>
          <w:rFonts w:ascii="Times New Roman" w:hAnsi="Times New Roman" w:cs="Times New Roman"/>
        </w:rPr>
        <w:t xml:space="preserve">Jehovah’s Witnesses </w:t>
      </w:r>
      <w:r w:rsidRPr="009341AA">
        <w:rPr>
          <w:rFonts w:ascii="Times New Roman" w:hAnsi="Times New Roman" w:cs="Times New Roman"/>
        </w:rPr>
        <w:t>case  was brought to the Court in 1940</w:t>
      </w:r>
      <w:r w:rsidR="00B57697" w:rsidRPr="009341AA">
        <w:rPr>
          <w:rFonts w:ascii="Times New Roman" w:hAnsi="Times New Roman" w:cs="Times New Roman"/>
        </w:rPr>
        <w:t xml:space="preserve"> that focused on the necessity of children saluting the American flag in school</w:t>
      </w:r>
      <w:r w:rsidRPr="009341AA">
        <w:rPr>
          <w:rFonts w:ascii="Times New Roman" w:hAnsi="Times New Roman" w:cs="Times New Roman"/>
        </w:rPr>
        <w:t xml:space="preserve">. </w:t>
      </w:r>
      <w:r w:rsidRPr="009341AA">
        <w:rPr>
          <w:rFonts w:ascii="Times New Roman" w:hAnsi="Times New Roman" w:cs="Times New Roman"/>
          <w:i/>
          <w:iCs/>
        </w:rPr>
        <w:t>Minersville School District v. Gobitis</w:t>
      </w:r>
      <w:r w:rsidR="005F61B8" w:rsidRPr="009341AA">
        <w:rPr>
          <w:rFonts w:ascii="Times New Roman" w:hAnsi="Times New Roman" w:cs="Times New Roman"/>
          <w:i/>
          <w:iCs/>
        </w:rPr>
        <w:t xml:space="preserve"> </w:t>
      </w:r>
      <w:r w:rsidR="005F61B8" w:rsidRPr="009341AA">
        <w:rPr>
          <w:rFonts w:ascii="Times New Roman" w:hAnsi="Times New Roman" w:cs="Times New Roman"/>
          <w:iCs/>
        </w:rPr>
        <w:t>(1940)</w:t>
      </w:r>
      <w:r w:rsidR="005F61B8" w:rsidRPr="009341AA">
        <w:rPr>
          <w:rStyle w:val="FootnoteReference"/>
          <w:rFonts w:ascii="Times New Roman" w:hAnsi="Times New Roman" w:cs="Times New Roman"/>
          <w:iCs/>
        </w:rPr>
        <w:footnoteReference w:id="63"/>
      </w:r>
      <w:r w:rsidRPr="009341AA">
        <w:rPr>
          <w:rFonts w:ascii="Times New Roman" w:hAnsi="Times New Roman" w:cs="Times New Roman"/>
        </w:rPr>
        <w:t xml:space="preserve"> was concerning two children in public school who refused to salute </w:t>
      </w:r>
      <w:r w:rsidRPr="009341AA">
        <w:rPr>
          <w:rFonts w:ascii="Times New Roman" w:hAnsi="Times New Roman" w:cs="Times New Roman"/>
        </w:rPr>
        <w:lastRenderedPageBreak/>
        <w:t xml:space="preserve">the American flag due to their religious beliefs. The Gobitis children were then expelled for insubordination. The Court decided that the mandatory saluting of the flag did not infringe on the children’s rights according to the First and Fourteenth Amendments because the flag was an important symbol for children to associate with </w:t>
      </w:r>
      <w:r w:rsidR="003B3117" w:rsidRPr="009341AA">
        <w:rPr>
          <w:rFonts w:ascii="Times New Roman" w:hAnsi="Times New Roman" w:cs="Times New Roman"/>
        </w:rPr>
        <w:t>their country</w:t>
      </w:r>
      <w:r w:rsidR="00B57697" w:rsidRPr="009341AA">
        <w:rPr>
          <w:rFonts w:ascii="Times New Roman" w:hAnsi="Times New Roman" w:cs="Times New Roman"/>
        </w:rPr>
        <w:t>.</w:t>
      </w:r>
      <w:r w:rsidR="003B3117" w:rsidRPr="009341AA">
        <w:rPr>
          <w:rStyle w:val="FootnoteReference"/>
          <w:rFonts w:ascii="Times New Roman" w:hAnsi="Times New Roman" w:cs="Times New Roman"/>
        </w:rPr>
        <w:footnoteReference w:id="64"/>
      </w:r>
      <w:r w:rsidRPr="009341AA">
        <w:rPr>
          <w:rFonts w:ascii="Times New Roman" w:hAnsi="Times New Roman" w:cs="Times New Roman"/>
        </w:rPr>
        <w:t xml:space="preserve"> In the same year, the Court reversed its decision in the case, </w:t>
      </w:r>
      <w:r w:rsidRPr="009341AA">
        <w:rPr>
          <w:rFonts w:ascii="Times New Roman" w:hAnsi="Times New Roman" w:cs="Times New Roman"/>
          <w:i/>
          <w:iCs/>
        </w:rPr>
        <w:t>West Virginia State Board of Education v. Barnette</w:t>
      </w:r>
      <w:r w:rsidR="00785829" w:rsidRPr="009341AA">
        <w:rPr>
          <w:rFonts w:ascii="Times New Roman" w:hAnsi="Times New Roman" w:cs="Times New Roman"/>
          <w:i/>
          <w:iCs/>
        </w:rPr>
        <w:t xml:space="preserve"> </w:t>
      </w:r>
      <w:r w:rsidR="00785829" w:rsidRPr="009341AA">
        <w:rPr>
          <w:rFonts w:ascii="Times New Roman" w:hAnsi="Times New Roman" w:cs="Times New Roman"/>
          <w:iCs/>
        </w:rPr>
        <w:t>(1943).</w:t>
      </w:r>
      <w:r w:rsidR="00785829" w:rsidRPr="009341AA">
        <w:rPr>
          <w:rStyle w:val="FootnoteReference"/>
          <w:rFonts w:ascii="Times New Roman" w:hAnsi="Times New Roman" w:cs="Times New Roman"/>
          <w:iCs/>
        </w:rPr>
        <w:footnoteReference w:id="65"/>
      </w:r>
      <w:r w:rsidRPr="009341AA">
        <w:rPr>
          <w:rFonts w:ascii="Times New Roman" w:hAnsi="Times New Roman" w:cs="Times New Roman"/>
        </w:rPr>
        <w:t xml:space="preserve"> Again, children adhering to the beliefs of Jehovah’s Witnesses refused to salute the flag. This time, the Court found that it was unconstitutional to force a belief on anyone and the salute was deemed an act or means of communication and was therefore protected by the First Amendment. We can see from these two cases </w:t>
      </w:r>
      <w:r w:rsidR="00061063" w:rsidRPr="009341AA">
        <w:rPr>
          <w:rFonts w:ascii="Times New Roman" w:hAnsi="Times New Roman" w:cs="Times New Roman"/>
        </w:rPr>
        <w:t>that the struggle between what was Christian and what wa</w:t>
      </w:r>
      <w:r w:rsidRPr="009341AA">
        <w:rPr>
          <w:rFonts w:ascii="Times New Roman" w:hAnsi="Times New Roman" w:cs="Times New Roman"/>
        </w:rPr>
        <w:t>s constitutional was increa</w:t>
      </w:r>
      <w:r w:rsidR="00061063" w:rsidRPr="009341AA">
        <w:rPr>
          <w:rFonts w:ascii="Times New Roman" w:hAnsi="Times New Roman" w:cs="Times New Roman"/>
        </w:rPr>
        <w:t>sing rapidly. Determining what wa</w:t>
      </w:r>
      <w:r w:rsidRPr="009341AA">
        <w:rPr>
          <w:rFonts w:ascii="Times New Roman" w:hAnsi="Times New Roman" w:cs="Times New Roman"/>
        </w:rPr>
        <w:t>s constitutional seemed to be beating the need for a “Christian” America.</w:t>
      </w:r>
    </w:p>
    <w:p w14:paraId="7E2660AA" w14:textId="3B9A8389"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later years, it was the Jewish faith that gave the Court much to think about when a case was determined involving an Orthodox Jewish man in Pennsylvania. The case of </w:t>
      </w:r>
      <w:r w:rsidRPr="009341AA">
        <w:rPr>
          <w:rFonts w:ascii="Times New Roman" w:hAnsi="Times New Roman" w:cs="Times New Roman"/>
          <w:i/>
          <w:iCs/>
        </w:rPr>
        <w:t>Braunfeld v. Brown</w:t>
      </w:r>
      <w:r w:rsidR="00785829" w:rsidRPr="009341AA">
        <w:rPr>
          <w:rFonts w:ascii="Times New Roman" w:hAnsi="Times New Roman" w:cs="Times New Roman"/>
          <w:iCs/>
        </w:rPr>
        <w:t xml:space="preserve"> (1961)</w:t>
      </w:r>
      <w:r w:rsidR="00785829" w:rsidRPr="009341AA">
        <w:rPr>
          <w:rStyle w:val="FootnoteReference"/>
          <w:rFonts w:ascii="Times New Roman" w:hAnsi="Times New Roman" w:cs="Times New Roman"/>
          <w:iCs/>
        </w:rPr>
        <w:footnoteReference w:id="66"/>
      </w:r>
      <w:r w:rsidRPr="009341AA">
        <w:rPr>
          <w:rFonts w:ascii="Times New Roman" w:hAnsi="Times New Roman" w:cs="Times New Roman"/>
        </w:rPr>
        <w:t xml:space="preserve"> was about Abraham Braunfeld who owned a shop and according to his religious beliefs, he was unable to open the shop on Saturdays. Pennsylvania blue law only let certain stores remain open on Sundays, meaning Braunfeld could only keep his shop open five days a week. In order to financially sustain himself, Braunfeld needed to keep his shop open six days a week but the combination of </w:t>
      </w:r>
      <w:r w:rsidRPr="009341AA">
        <w:rPr>
          <w:rFonts w:ascii="Times New Roman" w:hAnsi="Times New Roman" w:cs="Times New Roman"/>
        </w:rPr>
        <w:lastRenderedPageBreak/>
        <w:t>the blue law and his faith prohibited him from doing so</w:t>
      </w:r>
      <w:r w:rsidR="003B3117" w:rsidRPr="009341AA">
        <w:rPr>
          <w:rStyle w:val="FootnoteReference"/>
          <w:rFonts w:ascii="Times New Roman" w:hAnsi="Times New Roman" w:cs="Times New Roman"/>
        </w:rPr>
        <w:footnoteReference w:id="67"/>
      </w:r>
      <w:r w:rsidRPr="009341AA">
        <w:rPr>
          <w:rFonts w:ascii="Times New Roman" w:hAnsi="Times New Roman" w:cs="Times New Roman"/>
        </w:rPr>
        <w:t>.</w:t>
      </w:r>
    </w:p>
    <w:p w14:paraId="215761FB" w14:textId="50DEDEAC" w:rsidR="003D5864" w:rsidRPr="009341AA" w:rsidRDefault="003426A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question at hand was</w:t>
      </w:r>
      <w:r w:rsidR="003D5864" w:rsidRPr="009341AA">
        <w:rPr>
          <w:rFonts w:ascii="Times New Roman" w:hAnsi="Times New Roman" w:cs="Times New Roman"/>
        </w:rPr>
        <w:t xml:space="preserve"> </w:t>
      </w:r>
      <w:r w:rsidRPr="009341AA">
        <w:rPr>
          <w:rFonts w:ascii="Times New Roman" w:hAnsi="Times New Roman" w:cs="Times New Roman"/>
        </w:rPr>
        <w:t>whether or not blue laws in Pennsylvania violated the protection of free exercise in the First Amendment.</w:t>
      </w:r>
      <w:r w:rsidR="003D5864" w:rsidRPr="009341AA">
        <w:rPr>
          <w:rFonts w:ascii="Times New Roman" w:hAnsi="Times New Roman" w:cs="Times New Roman"/>
        </w:rPr>
        <w:t xml:space="preserve"> The </w:t>
      </w:r>
      <w:r w:rsidR="00BB0D1D" w:rsidRPr="009341AA">
        <w:rPr>
          <w:rFonts w:ascii="Times New Roman" w:hAnsi="Times New Roman" w:cs="Times New Roman"/>
        </w:rPr>
        <w:t xml:space="preserve">Opinion of the </w:t>
      </w:r>
      <w:r w:rsidR="003D5864" w:rsidRPr="009341AA">
        <w:rPr>
          <w:rFonts w:ascii="Times New Roman" w:hAnsi="Times New Roman" w:cs="Times New Roman"/>
        </w:rPr>
        <w:t>Court</w:t>
      </w:r>
      <w:r w:rsidR="00BB0D1D" w:rsidRPr="009341AA">
        <w:rPr>
          <w:rFonts w:ascii="Times New Roman" w:hAnsi="Times New Roman" w:cs="Times New Roman"/>
        </w:rPr>
        <w:t>, written by Chief Justice Warren,</w:t>
      </w:r>
      <w:r w:rsidR="003D5864" w:rsidRPr="009341AA">
        <w:rPr>
          <w:rFonts w:ascii="Times New Roman" w:hAnsi="Times New Roman" w:cs="Times New Roman"/>
        </w:rPr>
        <w:t xml:space="preserve"> decided that the blue law was not in violation. </w:t>
      </w:r>
      <w:r w:rsidR="000D22F9" w:rsidRPr="009341AA">
        <w:rPr>
          <w:rFonts w:ascii="Times New Roman" w:hAnsi="Times New Roman" w:cs="Times New Roman"/>
        </w:rPr>
        <w:t xml:space="preserve">He stated, </w:t>
      </w:r>
      <w:r w:rsidR="003D5864" w:rsidRPr="009341AA">
        <w:rPr>
          <w:rFonts w:ascii="Times New Roman" w:hAnsi="Times New Roman" w:cs="Times New Roman"/>
        </w:rPr>
        <w:t>“The freedom to hold religious be</w:t>
      </w:r>
      <w:r w:rsidR="00BB0D1D" w:rsidRPr="009341AA">
        <w:rPr>
          <w:rFonts w:ascii="Times New Roman" w:hAnsi="Times New Roman" w:cs="Times New Roman"/>
        </w:rPr>
        <w:t>liefs and opinions is absolute…However, the freedom to act, even when the action is in accord with one’s religious convictions,</w:t>
      </w:r>
      <w:r w:rsidR="003D5864" w:rsidRPr="009341AA">
        <w:rPr>
          <w:rFonts w:ascii="Times New Roman" w:hAnsi="Times New Roman" w:cs="Times New Roman"/>
        </w:rPr>
        <w:t xml:space="preserve"> is not totally free from government restrictions…That an indirect burden, such as economic sacrifice, may be a result of the statute, does not make the blue law unconstitutional</w:t>
      </w:r>
      <w:r w:rsidR="00785829" w:rsidRPr="009341AA">
        <w:rPr>
          <w:rFonts w:ascii="Times New Roman" w:hAnsi="Times New Roman" w:cs="Times New Roman"/>
        </w:rPr>
        <w:t>.</w:t>
      </w:r>
      <w:r w:rsidR="003D5864" w:rsidRPr="009341AA">
        <w:rPr>
          <w:rFonts w:ascii="Times New Roman" w:hAnsi="Times New Roman" w:cs="Times New Roman"/>
        </w:rPr>
        <w:t>”</w:t>
      </w:r>
      <w:r w:rsidR="003B3117" w:rsidRPr="009341AA">
        <w:rPr>
          <w:rStyle w:val="FootnoteReference"/>
          <w:rFonts w:ascii="Times New Roman" w:hAnsi="Times New Roman" w:cs="Times New Roman"/>
        </w:rPr>
        <w:footnoteReference w:id="68"/>
      </w:r>
    </w:p>
    <w:p w14:paraId="3056965A" w14:textId="20579508"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Interestingly, blue laws in the United States originate from a religious background. They were put into place to allow for religious observances, Christian religious observances, to be specific. Th</w:t>
      </w:r>
      <w:r w:rsidR="00BB0D1D" w:rsidRPr="009341AA">
        <w:rPr>
          <w:rFonts w:ascii="Times New Roman" w:hAnsi="Times New Roman" w:cs="Times New Roman"/>
        </w:rPr>
        <w:t xml:space="preserve">e origin of the blue law </w:t>
      </w:r>
      <w:r w:rsidRPr="009341AA">
        <w:rPr>
          <w:rFonts w:ascii="Times New Roman" w:hAnsi="Times New Roman" w:cs="Times New Roman"/>
        </w:rPr>
        <w:t xml:space="preserve">can be seen as </w:t>
      </w:r>
      <w:r w:rsidR="00BB0D1D" w:rsidRPr="009341AA">
        <w:rPr>
          <w:rFonts w:ascii="Times New Roman" w:hAnsi="Times New Roman" w:cs="Times New Roman"/>
        </w:rPr>
        <w:t xml:space="preserve">a way in which America has integrated Christian values like the Sabbath on Sunday into the culture. </w:t>
      </w:r>
      <w:r w:rsidRPr="009341AA">
        <w:rPr>
          <w:rFonts w:ascii="Times New Roman" w:hAnsi="Times New Roman" w:cs="Times New Roman"/>
        </w:rPr>
        <w:t>We see here how the Court is inconsistent when ruling a case involving a religion other than Christianity.</w:t>
      </w:r>
    </w:p>
    <w:p w14:paraId="04D2CF12" w14:textId="77C629DC"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Another case concerning an Orthodox Jewish man </w:t>
      </w:r>
      <w:r w:rsidR="00BB0D1D" w:rsidRPr="009341AA">
        <w:rPr>
          <w:rFonts w:ascii="Times New Roman" w:hAnsi="Times New Roman" w:cs="Times New Roman"/>
        </w:rPr>
        <w:t xml:space="preserve">in which the Court resisted to grant accommodations for a religion that did not adhere to Christian values </w:t>
      </w:r>
      <w:r w:rsidRPr="009341AA">
        <w:rPr>
          <w:rFonts w:ascii="Times New Roman" w:hAnsi="Times New Roman" w:cs="Times New Roman"/>
        </w:rPr>
        <w:t xml:space="preserve">happened in 1985. In </w:t>
      </w:r>
      <w:r w:rsidRPr="009341AA">
        <w:rPr>
          <w:rFonts w:ascii="Times New Roman" w:hAnsi="Times New Roman" w:cs="Times New Roman"/>
          <w:i/>
          <w:iCs/>
        </w:rPr>
        <w:t>Goldman v. Weinberger</w:t>
      </w:r>
      <w:r w:rsidR="00785829" w:rsidRPr="009341AA">
        <w:rPr>
          <w:rFonts w:ascii="Times New Roman" w:hAnsi="Times New Roman" w:cs="Times New Roman"/>
          <w:iCs/>
        </w:rPr>
        <w:t xml:space="preserve"> (1986)</w:t>
      </w:r>
      <w:r w:rsidRPr="009341AA">
        <w:rPr>
          <w:rFonts w:ascii="Times New Roman" w:hAnsi="Times New Roman" w:cs="Times New Roman"/>
        </w:rPr>
        <w:t>,</w:t>
      </w:r>
      <w:r w:rsidR="00785829" w:rsidRPr="009341AA">
        <w:rPr>
          <w:rStyle w:val="FootnoteReference"/>
          <w:rFonts w:ascii="Times New Roman" w:hAnsi="Times New Roman" w:cs="Times New Roman"/>
        </w:rPr>
        <w:footnoteReference w:id="69"/>
      </w:r>
      <w:r w:rsidRPr="009341AA">
        <w:rPr>
          <w:rFonts w:ascii="Times New Roman" w:hAnsi="Times New Roman" w:cs="Times New Roman"/>
        </w:rPr>
        <w:t xml:space="preserve"> S. Simcha Goldman was an Air Force officer who wished to wear a yarmulke as required by his Jewish faith. An Air Force regulation prohibited him from doing so while on duty or in Air Force uniform. The question the </w:t>
      </w:r>
      <w:r w:rsidR="005F4ECC" w:rsidRPr="009341AA">
        <w:rPr>
          <w:rFonts w:ascii="Times New Roman" w:hAnsi="Times New Roman" w:cs="Times New Roman"/>
        </w:rPr>
        <w:t>Supreme Court had to answer was if the Air Force Regulation and uniform requirements violated Goldman’s right to free exercise.</w:t>
      </w:r>
      <w:r w:rsidRPr="009341AA">
        <w:rPr>
          <w:rFonts w:ascii="Times New Roman" w:hAnsi="Times New Roman" w:cs="Times New Roman"/>
        </w:rPr>
        <w:t xml:space="preserve"> T</w:t>
      </w:r>
      <w:r w:rsidR="000D22F9" w:rsidRPr="009341AA">
        <w:rPr>
          <w:rFonts w:ascii="Times New Roman" w:hAnsi="Times New Roman" w:cs="Times New Roman"/>
        </w:rPr>
        <w:t>he Court concluded</w:t>
      </w:r>
      <w:r w:rsidRPr="009341AA">
        <w:rPr>
          <w:rFonts w:ascii="Times New Roman" w:hAnsi="Times New Roman" w:cs="Times New Roman"/>
        </w:rPr>
        <w:t xml:space="preserve"> the regulation was not in </w:t>
      </w:r>
      <w:r w:rsidRPr="009341AA">
        <w:rPr>
          <w:rFonts w:ascii="Times New Roman" w:hAnsi="Times New Roman" w:cs="Times New Roman"/>
        </w:rPr>
        <w:lastRenderedPageBreak/>
        <w:t>violat</w:t>
      </w:r>
      <w:r w:rsidR="000D22F9" w:rsidRPr="009341AA">
        <w:rPr>
          <w:rFonts w:ascii="Times New Roman" w:hAnsi="Times New Roman" w:cs="Times New Roman"/>
        </w:rPr>
        <w:t>ion of the Free Exercise Clause</w:t>
      </w:r>
      <w:r w:rsidR="005F4ECC" w:rsidRPr="009341AA">
        <w:rPr>
          <w:rFonts w:ascii="Times New Roman" w:hAnsi="Times New Roman" w:cs="Times New Roman"/>
        </w:rPr>
        <w:t xml:space="preserve"> because religious apparel such as a yarmulke, “would detract from the uniformity sought by dress regulations,”</w:t>
      </w:r>
      <w:r w:rsidR="005F4ECC" w:rsidRPr="009341AA">
        <w:rPr>
          <w:rStyle w:val="FootnoteReference"/>
          <w:rFonts w:ascii="Times New Roman" w:hAnsi="Times New Roman" w:cs="Times New Roman"/>
        </w:rPr>
        <w:footnoteReference w:id="70"/>
      </w:r>
      <w:r w:rsidR="005F4ECC" w:rsidRPr="009341AA">
        <w:rPr>
          <w:rFonts w:ascii="Times New Roman" w:hAnsi="Times New Roman" w:cs="Times New Roman"/>
        </w:rPr>
        <w:t xml:space="preserve"> and was therefore necessary</w:t>
      </w:r>
      <w:r w:rsidR="000D22F9" w:rsidRPr="009341AA">
        <w:rPr>
          <w:rFonts w:ascii="Times New Roman" w:hAnsi="Times New Roman" w:cs="Times New Roman"/>
        </w:rPr>
        <w:t>.</w:t>
      </w:r>
      <w:r w:rsidRPr="009341AA">
        <w:rPr>
          <w:rFonts w:ascii="Times New Roman" w:hAnsi="Times New Roman" w:cs="Times New Roman"/>
        </w:rPr>
        <w:t xml:space="preserve"> Two years later, the Court reversed its decision, allowing religious apparel in a “neat and conservative” manner. We can see that the original regulations of the Air Force do not impede on Christian practices in appearance but does interfere with most other religious doctrines and appearance requirements. One might think that an institution such as the military, which is so crucial to American ideology, would not allow any unconstitutional regulations in its charter but the military actually adheres to its own set of rules and allowances. More will be said on this in chapter 4.</w:t>
      </w:r>
    </w:p>
    <w:p w14:paraId="265E86E2" w14:textId="6671129F"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To sum up, throughout the history of religious freedom, it can be seen that Christian undertones and biases </w:t>
      </w:r>
      <w:r w:rsidR="00061063" w:rsidRPr="009341AA">
        <w:rPr>
          <w:rFonts w:ascii="Times New Roman" w:hAnsi="Times New Roman" w:cs="Times New Roman"/>
        </w:rPr>
        <w:t xml:space="preserve">have </w:t>
      </w:r>
      <w:r w:rsidRPr="009341AA">
        <w:rPr>
          <w:rFonts w:ascii="Times New Roman" w:hAnsi="Times New Roman" w:cs="Times New Roman"/>
        </w:rPr>
        <w:t>heavily influence</w:t>
      </w:r>
      <w:r w:rsidR="00061063" w:rsidRPr="009341AA">
        <w:rPr>
          <w:rFonts w:ascii="Times New Roman" w:hAnsi="Times New Roman" w:cs="Times New Roman"/>
        </w:rPr>
        <w:t>d</w:t>
      </w:r>
      <w:r w:rsidRPr="009341AA">
        <w:rPr>
          <w:rFonts w:ascii="Times New Roman" w:hAnsi="Times New Roman" w:cs="Times New Roman"/>
        </w:rPr>
        <w:t xml:space="preserve"> the Supreme Court’s decisions. Though there have been small wins for religious minorities, there continues to be a backwards slide towards discrimination amongst the Supreme Court.</w:t>
      </w:r>
      <w:r w:rsidR="00061063" w:rsidRPr="009341AA">
        <w:rPr>
          <w:rFonts w:ascii="Times New Roman" w:hAnsi="Times New Roman" w:cs="Times New Roman"/>
        </w:rPr>
        <w:t xml:space="preserve"> The next three chapters will focus on specific case studies that I believe exemplify the Christian bias of the Supreme Court. These three cases will also show the ways in which the Court has used the Constitution to further push a Christian ideology into the American judicial system.</w:t>
      </w:r>
    </w:p>
    <w:p w14:paraId="13695F6D"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4C7E8B79"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2DB9879C"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674FDF67"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65ACF740" w14:textId="77777777" w:rsidR="000D22F9" w:rsidRPr="009341AA" w:rsidRDefault="000D22F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20577C23" w14:textId="77777777" w:rsidR="004A74E7" w:rsidRPr="009341AA" w:rsidRDefault="004A74E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2E09581D" w14:textId="77777777" w:rsidR="008410E8"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Chapter II:</w:t>
      </w:r>
      <w:r w:rsidR="008410E8" w:rsidRPr="009341AA">
        <w:rPr>
          <w:rFonts w:ascii="Times New Roman" w:hAnsi="Times New Roman" w:cs="Times New Roman"/>
          <w:b/>
          <w:sz w:val="28"/>
          <w:szCs w:val="28"/>
        </w:rPr>
        <w:t xml:space="preserve"> The Belief/Action Dichotomy:</w:t>
      </w:r>
    </w:p>
    <w:p w14:paraId="7E3A6787" w14:textId="37862222"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r w:rsidRPr="009341AA">
        <w:rPr>
          <w:rFonts w:ascii="Times New Roman" w:hAnsi="Times New Roman" w:cs="Times New Roman"/>
          <w:b/>
          <w:i/>
          <w:sz w:val="28"/>
          <w:szCs w:val="28"/>
        </w:rPr>
        <w:t>Reynolds v. United States (1879)</w:t>
      </w:r>
    </w:p>
    <w:p w14:paraId="21A2A293" w14:textId="77777777"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p>
    <w:p w14:paraId="2FD844C6" w14:textId="684B21B7" w:rsidR="008410E8" w:rsidRPr="009341AA" w:rsidRDefault="008410E8"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As the first major Supreme Court case to shape the Free Exercise Clause, </w:t>
      </w:r>
      <w:r w:rsidRPr="009341AA">
        <w:rPr>
          <w:rFonts w:ascii="Times New Roman" w:hAnsi="Times New Roman" w:cs="Times New Roman"/>
          <w:i/>
        </w:rPr>
        <w:t>Reynolds</w:t>
      </w:r>
      <w:r w:rsidRPr="009341AA">
        <w:rPr>
          <w:rFonts w:ascii="Times New Roman" w:hAnsi="Times New Roman" w:cs="Times New Roman"/>
        </w:rPr>
        <w:t xml:space="preserve"> is an important case to cover in detail. Not only is it the first case to shape religious freedom, it is also the first major example of the Supreme Court’s bias towards mainline Christianity and the ways in which Christianity was (and still is) heavily int</w:t>
      </w:r>
      <w:r w:rsidR="00C22DB3" w:rsidRPr="009341AA">
        <w:rPr>
          <w:rFonts w:ascii="Times New Roman" w:hAnsi="Times New Roman" w:cs="Times New Roman"/>
        </w:rPr>
        <w:t>ert</w:t>
      </w:r>
      <w:r w:rsidRPr="009341AA">
        <w:rPr>
          <w:rFonts w:ascii="Times New Roman" w:hAnsi="Times New Roman" w:cs="Times New Roman"/>
        </w:rPr>
        <w:t xml:space="preserve">wined with American culture. In this chapter, I will set the scene for this case, look at it in detail, and then analyze the aftermath and consequences of </w:t>
      </w:r>
      <w:r w:rsidRPr="009341AA">
        <w:rPr>
          <w:rFonts w:ascii="Times New Roman" w:hAnsi="Times New Roman" w:cs="Times New Roman"/>
          <w:i/>
        </w:rPr>
        <w:t>Reynolds v. United States</w:t>
      </w:r>
      <w:r w:rsidRPr="009341AA">
        <w:rPr>
          <w:rFonts w:ascii="Times New Roman" w:hAnsi="Times New Roman" w:cs="Times New Roman"/>
        </w:rPr>
        <w:t xml:space="preserve"> (1879).</w:t>
      </w:r>
    </w:p>
    <w:p w14:paraId="5396CDDE"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1B839D68" w14:textId="1182B660"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Background</w:t>
      </w:r>
    </w:p>
    <w:p w14:paraId="233A60CC" w14:textId="2559565A"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the 1800’s, it was generally understood that religion was attempting to merely coexist with the state. </w:t>
      </w:r>
      <w:r w:rsidR="00476A29" w:rsidRPr="009341AA">
        <w:rPr>
          <w:rFonts w:ascii="Times New Roman" w:hAnsi="Times New Roman" w:cs="Times New Roman"/>
        </w:rPr>
        <w:t xml:space="preserve">The reason religion was able to coexist with the state was because the majority religion was Christianity and America was built by Christians so their accommodations were built into the culture and society. </w:t>
      </w:r>
      <w:r w:rsidRPr="009341AA">
        <w:rPr>
          <w:rFonts w:ascii="Times New Roman" w:hAnsi="Times New Roman" w:cs="Times New Roman"/>
        </w:rPr>
        <w:t>Most religions were attempting this except the Mormon Church</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71"/>
      </w:r>
      <w:r w:rsidRPr="009341AA">
        <w:rPr>
          <w:rFonts w:ascii="Times New Roman" w:hAnsi="Times New Roman" w:cs="Times New Roman"/>
        </w:rPr>
        <w:t xml:space="preserve"> Part of the Mormon doctrine is that the Constitution was divinely inspired so their adherence to it was to be expected. This was true in most Mormon practices except polygamy</w:t>
      </w:r>
      <w:r w:rsidR="00C22DB3" w:rsidRPr="009341AA">
        <w:rPr>
          <w:rFonts w:ascii="Times New Roman" w:hAnsi="Times New Roman" w:cs="Times New Roman"/>
        </w:rPr>
        <w:t>,</w:t>
      </w:r>
      <w:r w:rsidRPr="009341AA">
        <w:rPr>
          <w:rFonts w:ascii="Times New Roman" w:hAnsi="Times New Roman" w:cs="Times New Roman"/>
        </w:rPr>
        <w:t xml:space="preserve"> or the marriage of one man to multiple women, which was and continues to be illegal in the United States and (at the time) the Territories. Due to their belief in the Constitution, it was understood that although the practice of polygamy was outlawed, it was protected by the Free Exercise Clause in the </w:t>
      </w:r>
      <w:r w:rsidRPr="009341AA">
        <w:rPr>
          <w:rFonts w:ascii="Times New Roman" w:hAnsi="Times New Roman" w:cs="Times New Roman"/>
        </w:rPr>
        <w:lastRenderedPageBreak/>
        <w:t>First Amendment</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72"/>
      </w:r>
      <w:r w:rsidRPr="009341AA">
        <w:rPr>
          <w:rFonts w:ascii="Times New Roman" w:hAnsi="Times New Roman" w:cs="Times New Roman"/>
        </w:rPr>
        <w:t xml:space="preserve"> As James L. Clayton says,</w:t>
      </w:r>
    </w:p>
    <w:p w14:paraId="11A02690" w14:textId="3BD1C79E" w:rsidR="009C0A80" w:rsidRPr="009341AA" w:rsidRDefault="009C0A80" w:rsidP="00274E07">
      <w:pPr>
        <w:widowControl w:val="0"/>
        <w:tabs>
          <w:tab w:val="left" w:pos="360"/>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The </w:t>
      </w:r>
      <w:r w:rsidR="00476A29" w:rsidRPr="009341AA">
        <w:rPr>
          <w:rFonts w:ascii="Times New Roman" w:hAnsi="Times New Roman" w:cs="Times New Roman"/>
        </w:rPr>
        <w:t xml:space="preserve">[Mormon] </w:t>
      </w:r>
      <w:r w:rsidRPr="009341AA">
        <w:rPr>
          <w:rFonts w:ascii="Times New Roman" w:hAnsi="Times New Roman" w:cs="Times New Roman"/>
        </w:rPr>
        <w:t>church leaders never questioned the right of Congress to regulate the morals of its constituents, and the Mormon view of the Supreme Court, despite numerous negative judicial experiences…was one of general respect and trust</w:t>
      </w:r>
      <w:r w:rsidR="005473B8" w:rsidRPr="009341AA">
        <w:rPr>
          <w:rFonts w:ascii="Times New Roman" w:hAnsi="Times New Roman" w:cs="Times New Roman"/>
        </w:rPr>
        <w:t>.</w:t>
      </w:r>
      <w:r w:rsidRPr="009341AA">
        <w:rPr>
          <w:rStyle w:val="FootnoteReference"/>
          <w:rFonts w:ascii="Times New Roman" w:hAnsi="Times New Roman" w:cs="Times New Roman"/>
        </w:rPr>
        <w:footnoteReference w:id="73"/>
      </w:r>
    </w:p>
    <w:p w14:paraId="47F41B7C" w14:textId="4DA9027C"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Though it was understood that polygamy was against the law, </w:t>
      </w:r>
      <w:r w:rsidR="00C22DB3" w:rsidRPr="009341AA">
        <w:rPr>
          <w:rFonts w:ascii="Times New Roman" w:hAnsi="Times New Roman" w:cs="Times New Roman"/>
        </w:rPr>
        <w:t>the Mormon community believed themselves</w:t>
      </w:r>
      <w:r w:rsidRPr="009341AA">
        <w:rPr>
          <w:rFonts w:ascii="Times New Roman" w:hAnsi="Times New Roman" w:cs="Times New Roman"/>
        </w:rPr>
        <w:t xml:space="preserve"> </w:t>
      </w:r>
      <w:r w:rsidR="005473B8" w:rsidRPr="009341AA">
        <w:rPr>
          <w:rFonts w:ascii="Times New Roman" w:hAnsi="Times New Roman" w:cs="Times New Roman"/>
        </w:rPr>
        <w:t xml:space="preserve">to be </w:t>
      </w:r>
      <w:r w:rsidRPr="009341AA">
        <w:rPr>
          <w:rFonts w:ascii="Times New Roman" w:hAnsi="Times New Roman" w:cs="Times New Roman"/>
        </w:rPr>
        <w:t xml:space="preserve">exempt due to their religious </w:t>
      </w:r>
      <w:r w:rsidR="005473B8" w:rsidRPr="009341AA">
        <w:rPr>
          <w:rFonts w:ascii="Times New Roman" w:hAnsi="Times New Roman" w:cs="Times New Roman"/>
        </w:rPr>
        <w:t>commitments to</w:t>
      </w:r>
      <w:r w:rsidRPr="009341AA">
        <w:rPr>
          <w:rFonts w:ascii="Times New Roman" w:hAnsi="Times New Roman" w:cs="Times New Roman"/>
        </w:rPr>
        <w:t xml:space="preserve"> the practice.</w:t>
      </w:r>
    </w:p>
    <w:p w14:paraId="7ACF2E39" w14:textId="55E84C0B"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It is important to note that part of the reason polygamy was outlawed in America was because it had been outla</w:t>
      </w:r>
      <w:r w:rsidR="00C22DB3" w:rsidRPr="009341AA">
        <w:rPr>
          <w:rFonts w:ascii="Times New Roman" w:hAnsi="Times New Roman" w:cs="Times New Roman"/>
        </w:rPr>
        <w:t>wed in England and Wales.</w:t>
      </w:r>
      <w:r w:rsidRPr="009341AA">
        <w:rPr>
          <w:rFonts w:ascii="Times New Roman" w:hAnsi="Times New Roman" w:cs="Times New Roman"/>
        </w:rPr>
        <w:t xml:space="preserve"> Christianity was the law </w:t>
      </w:r>
      <w:r w:rsidR="00C22DB3" w:rsidRPr="009341AA">
        <w:rPr>
          <w:rFonts w:ascii="Times New Roman" w:hAnsi="Times New Roman" w:cs="Times New Roman"/>
        </w:rPr>
        <w:t xml:space="preserve">of the land </w:t>
      </w:r>
      <w:r w:rsidRPr="009341AA">
        <w:rPr>
          <w:rFonts w:ascii="Times New Roman" w:hAnsi="Times New Roman" w:cs="Times New Roman"/>
        </w:rPr>
        <w:t>and polygamy goes against Christianity</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74"/>
      </w:r>
      <w:r w:rsidRPr="009341AA">
        <w:rPr>
          <w:rFonts w:ascii="Times New Roman" w:hAnsi="Times New Roman" w:cs="Times New Roman"/>
        </w:rPr>
        <w:t xml:space="preserve"> This having been the law of the land when America gained her independence, it seemed to make ideological sense that such a law be carried over. At the time, polygamy was only practiced in places like Asia and Africa</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75"/>
      </w:r>
      <w:r w:rsidRPr="009341AA">
        <w:rPr>
          <w:rFonts w:ascii="Times New Roman" w:hAnsi="Times New Roman" w:cs="Times New Roman"/>
        </w:rPr>
        <w:t xml:space="preserve"> Coincidentally, these were also places where Christianity was not the majority religion of the land.</w:t>
      </w:r>
      <w:r w:rsidR="00EB2FB5" w:rsidRPr="009341AA">
        <w:rPr>
          <w:rFonts w:ascii="Times New Roman" w:hAnsi="Times New Roman" w:cs="Times New Roman"/>
        </w:rPr>
        <w:t xml:space="preserve"> The law that was put into place to outlaw polygamy was the</w:t>
      </w:r>
      <w:r w:rsidR="00404CE4" w:rsidRPr="009341AA">
        <w:rPr>
          <w:rFonts w:ascii="Times New Roman" w:hAnsi="Times New Roman" w:cs="Times New Roman"/>
        </w:rPr>
        <w:t xml:space="preserve"> Morrill</w:t>
      </w:r>
      <w:r w:rsidR="00EB2FB5" w:rsidRPr="009341AA">
        <w:rPr>
          <w:rFonts w:ascii="Times New Roman" w:hAnsi="Times New Roman" w:cs="Times New Roman"/>
        </w:rPr>
        <w:t xml:space="preserve"> Anti-Bigamy Act signed in by President Abraham Lincoln in 1862</w:t>
      </w:r>
      <w:r w:rsidR="00404CE4" w:rsidRPr="009341AA">
        <w:rPr>
          <w:rFonts w:ascii="Times New Roman" w:hAnsi="Times New Roman" w:cs="Times New Roman"/>
        </w:rPr>
        <w:t>. The Act stated that, “every person having a husband or wife living, who shall marry any other person…in a Territory of the United States…shall be punished by a fine…”</w:t>
      </w:r>
      <w:r w:rsidR="00404CE4" w:rsidRPr="009341AA">
        <w:rPr>
          <w:rStyle w:val="FootnoteReference"/>
          <w:rFonts w:ascii="Times New Roman" w:hAnsi="Times New Roman" w:cs="Times New Roman"/>
        </w:rPr>
        <w:footnoteReference w:id="76"/>
      </w:r>
      <w:r w:rsidR="00404CE4" w:rsidRPr="009341AA">
        <w:rPr>
          <w:rFonts w:ascii="Times New Roman" w:hAnsi="Times New Roman" w:cs="Times New Roman"/>
        </w:rPr>
        <w:t xml:space="preserve"> While this law was applicable to everyone, the only people it effected in a religious context was the Mormons. This act just further shows the lengths at which the Mormons were not tolerated in both a cultural </w:t>
      </w:r>
      <w:r w:rsidR="00404CE4" w:rsidRPr="009341AA">
        <w:rPr>
          <w:rFonts w:ascii="Times New Roman" w:hAnsi="Times New Roman" w:cs="Times New Roman"/>
        </w:rPr>
        <w:lastRenderedPageBreak/>
        <w:t>and judicial sense.</w:t>
      </w:r>
    </w:p>
    <w:p w14:paraId="79E3BD8E" w14:textId="2EE75673" w:rsidR="00476A29" w:rsidRPr="009341AA" w:rsidRDefault="00476A2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key issues at hand were that the Mormon church believed in both their practice of polygamy and in the sacredness of the Constitution, which protected their right to practice polygamy. There was underlying anti-Mormon sentiment within the government and American society that recognized polygamy as illegal, even as a religious practice. It was up to the Court to decide if the practice was protected or not.</w:t>
      </w:r>
    </w:p>
    <w:p w14:paraId="792D3A2A" w14:textId="7777777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571D4808" w14:textId="7946277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Case</w:t>
      </w:r>
    </w:p>
    <w:p w14:paraId="19612E9B" w14:textId="385A4BD5"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Polygamy is a practice that </w:t>
      </w:r>
      <w:r w:rsidR="00345756" w:rsidRPr="009341AA">
        <w:rPr>
          <w:rFonts w:ascii="Times New Roman" w:hAnsi="Times New Roman" w:cs="Times New Roman"/>
        </w:rPr>
        <w:t>wa</w:t>
      </w:r>
      <w:r w:rsidRPr="009341AA">
        <w:rPr>
          <w:rFonts w:ascii="Times New Roman" w:hAnsi="Times New Roman" w:cs="Times New Roman"/>
        </w:rPr>
        <w:t xml:space="preserve">s required of the male members of the Church of Jesus Christ of Latter Day Saints, or the Mormon Church. To not practice polygamy </w:t>
      </w:r>
      <w:r w:rsidR="005473B8" w:rsidRPr="009341AA">
        <w:rPr>
          <w:rFonts w:ascii="Times New Roman" w:hAnsi="Times New Roman" w:cs="Times New Roman"/>
        </w:rPr>
        <w:t>would mean</w:t>
      </w:r>
      <w:r w:rsidRPr="009341AA">
        <w:rPr>
          <w:rFonts w:ascii="Times New Roman" w:hAnsi="Times New Roman" w:cs="Times New Roman"/>
        </w:rPr>
        <w:t xml:space="preserve"> </w:t>
      </w:r>
      <w:r w:rsidR="005473B8" w:rsidRPr="009341AA">
        <w:rPr>
          <w:rFonts w:ascii="Times New Roman" w:hAnsi="Times New Roman" w:cs="Times New Roman"/>
        </w:rPr>
        <w:t>“</w:t>
      </w:r>
      <w:r w:rsidRPr="009341AA">
        <w:rPr>
          <w:rFonts w:ascii="Times New Roman" w:hAnsi="Times New Roman" w:cs="Times New Roman"/>
        </w:rPr>
        <w:t>damnation in the life to come</w:t>
      </w:r>
      <w:r w:rsidR="005473B8"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77"/>
      </w:r>
      <w:r w:rsidRPr="009341AA">
        <w:rPr>
          <w:rFonts w:ascii="Times New Roman" w:hAnsi="Times New Roman" w:cs="Times New Roman"/>
        </w:rPr>
        <w:t xml:space="preserve"> In contrast, polygamy was and continues to be outlawed in the United States. In 1874, leaders of the Mormon Church and the United States Attorney agreed to test the constitutionality of the </w:t>
      </w:r>
      <w:r w:rsidR="00404CE4" w:rsidRPr="009341AA">
        <w:rPr>
          <w:rFonts w:ascii="Times New Roman" w:hAnsi="Times New Roman" w:cs="Times New Roman"/>
        </w:rPr>
        <w:t xml:space="preserve">Morrill </w:t>
      </w:r>
      <w:r w:rsidR="00345756" w:rsidRPr="009341AA">
        <w:rPr>
          <w:rFonts w:ascii="Times New Roman" w:hAnsi="Times New Roman" w:cs="Times New Roman"/>
        </w:rPr>
        <w:t>A</w:t>
      </w:r>
      <w:r w:rsidRPr="009341AA">
        <w:rPr>
          <w:rFonts w:ascii="Times New Roman" w:hAnsi="Times New Roman" w:cs="Times New Roman"/>
        </w:rPr>
        <w:t>n</w:t>
      </w:r>
      <w:r w:rsidR="00404CE4" w:rsidRPr="009341AA">
        <w:rPr>
          <w:rFonts w:ascii="Times New Roman" w:hAnsi="Times New Roman" w:cs="Times New Roman"/>
        </w:rPr>
        <w:t>ti-Bigamy</w:t>
      </w:r>
      <w:r w:rsidR="00345756" w:rsidRPr="009341AA">
        <w:rPr>
          <w:rFonts w:ascii="Times New Roman" w:hAnsi="Times New Roman" w:cs="Times New Roman"/>
        </w:rPr>
        <w:t xml:space="preserve"> A</w:t>
      </w:r>
      <w:r w:rsidRPr="009341AA">
        <w:rPr>
          <w:rFonts w:ascii="Times New Roman" w:hAnsi="Times New Roman" w:cs="Times New Roman"/>
        </w:rPr>
        <w:t>ct, which solely affected them as a religious community</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78"/>
      </w:r>
      <w:r w:rsidRPr="009341AA">
        <w:rPr>
          <w:rFonts w:ascii="Times New Roman" w:hAnsi="Times New Roman" w:cs="Times New Roman"/>
        </w:rPr>
        <w:t xml:space="preserve"> George Reynolds, a member of the Mormon Church and personal secretary to Brigham Young, who lived in the Utah Territory where the banning of polygamy was enforced, was picked for the case. Reynolds was married to two women in accordance with his religious beliefs. Reynolds had not known that he would be put on trial in order to test the law but nonetheless, “Reynolds was indicted for bigamy in October 1874 by a grand jury empaneled according to the provisions of the act of 1862 and on the basis of testimony from witnesses he himself supplied</w:t>
      </w:r>
      <w:r w:rsidR="00785829"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79"/>
      </w:r>
      <w:r w:rsidRPr="009341AA">
        <w:rPr>
          <w:rFonts w:ascii="Times New Roman" w:hAnsi="Times New Roman" w:cs="Times New Roman"/>
        </w:rPr>
        <w:t xml:space="preserve"> The jury, made up of seven Mormons and five non-</w:t>
      </w:r>
      <w:r w:rsidRPr="009341AA">
        <w:rPr>
          <w:rFonts w:ascii="Times New Roman" w:hAnsi="Times New Roman" w:cs="Times New Roman"/>
        </w:rPr>
        <w:lastRenderedPageBreak/>
        <w:t>Mormons, found Reynolds guilty of bigamy but the charge was overturned due to an inadequate assembly of the jury. Based on his second wife’s testimony at the first trial, Reynolds was again convicted a year later.</w:t>
      </w:r>
    </w:p>
    <w:p w14:paraId="40459FAA" w14:textId="32A9D4ED"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question posed to the jury was not whether Cong</w:t>
      </w:r>
      <w:r w:rsidR="00404CE4" w:rsidRPr="009341AA">
        <w:rPr>
          <w:rFonts w:ascii="Times New Roman" w:hAnsi="Times New Roman" w:cs="Times New Roman"/>
        </w:rPr>
        <w:t>ress could enforce the anti-bi</w:t>
      </w:r>
      <w:r w:rsidRPr="009341AA">
        <w:rPr>
          <w:rFonts w:ascii="Times New Roman" w:hAnsi="Times New Roman" w:cs="Times New Roman"/>
        </w:rPr>
        <w:t>gamy act in the Territories but</w:t>
      </w:r>
      <w:r w:rsidR="00404CE4" w:rsidRPr="009341AA">
        <w:rPr>
          <w:rFonts w:ascii="Times New Roman" w:hAnsi="Times New Roman" w:cs="Times New Roman"/>
        </w:rPr>
        <w:t xml:space="preserve"> rather, if a criminal act can be committed without</w:t>
      </w:r>
      <w:r w:rsidRPr="009341AA">
        <w:rPr>
          <w:rFonts w:ascii="Times New Roman" w:hAnsi="Times New Roman" w:cs="Times New Roman"/>
        </w:rPr>
        <w:t xml:space="preserve"> criminal intent </w:t>
      </w:r>
      <w:r w:rsidR="00404CE4" w:rsidRPr="009341AA">
        <w:rPr>
          <w:rFonts w:ascii="Times New Roman" w:hAnsi="Times New Roman" w:cs="Times New Roman"/>
        </w:rPr>
        <w:t>and still</w:t>
      </w:r>
      <w:r w:rsidRPr="009341AA">
        <w:rPr>
          <w:rFonts w:ascii="Times New Roman" w:hAnsi="Times New Roman" w:cs="Times New Roman"/>
        </w:rPr>
        <w:t xml:space="preserve"> be tried as a crime. To narrow down this question, it could be posed in two questions: Is outlawing polygamy against the Free Exercise Clause? and, Are those that practice polygamy religiously exempt and protected by the Free Exercise Clause?</w:t>
      </w:r>
    </w:p>
    <w:p w14:paraId="4A0B0ECE" w14:textId="7777777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2543CAB5" w14:textId="234D456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Decision</w:t>
      </w:r>
    </w:p>
    <w:p w14:paraId="34C43B60" w14:textId="61DB3C6C"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order for the Court to make an informed decision, it first had to be decided if Congress even had the power to dictate marriage laws. As Chief Justice Waite said in his opinion of the Court, “Marriage, while from its very nature a sacred obligation, is nevertheless, in most civilized nations, a civil contract, and usually regulated by law</w:t>
      </w:r>
      <w:r w:rsidR="00785829"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80"/>
      </w:r>
      <w:r w:rsidRPr="009341AA">
        <w:rPr>
          <w:rFonts w:ascii="Times New Roman" w:hAnsi="Times New Roman" w:cs="Times New Roman"/>
        </w:rPr>
        <w:t xml:space="preserve"> By using the words “sacred obligation,” Justice Waite is admitting that marriage is inherently a religious act but he then explains that the concept of marriage also spills over into the civil realm, of which Congress has jurisdiction. It was therefore decided that yes, Congress had legislative power over such laws.</w:t>
      </w:r>
    </w:p>
    <w:p w14:paraId="67269F80" w14:textId="151BAD7C"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order to fully understand what a religious obligation is and exactly which rights were protected by religious freedom, the Court had to determine the meaning of the word “religion.” During the case, it was acknowledged that, “the word ‘religion’ is not defined </w:t>
      </w:r>
      <w:r w:rsidRPr="009341AA">
        <w:rPr>
          <w:rFonts w:ascii="Times New Roman" w:hAnsi="Times New Roman" w:cs="Times New Roman"/>
        </w:rPr>
        <w:lastRenderedPageBreak/>
        <w:t>in the Constitution,” so they had to look for the meaning in the times that religious freedom was created</w:t>
      </w:r>
      <w:r w:rsidR="00504D89" w:rsidRPr="009341AA">
        <w:rPr>
          <w:rFonts w:ascii="Times New Roman" w:hAnsi="Times New Roman" w:cs="Times New Roman"/>
        </w:rPr>
        <w:t>.</w:t>
      </w:r>
      <w:r w:rsidRPr="009341AA">
        <w:rPr>
          <w:rStyle w:val="FootnoteReference"/>
          <w:rFonts w:ascii="Times New Roman" w:hAnsi="Times New Roman" w:cs="Times New Roman"/>
        </w:rPr>
        <w:footnoteReference w:id="81"/>
      </w:r>
      <w:r w:rsidRPr="009341AA">
        <w:rPr>
          <w:rFonts w:ascii="Times New Roman" w:hAnsi="Times New Roman" w:cs="Times New Roman"/>
        </w:rPr>
        <w:t xml:space="preserve"> The case then goes on to give a brief history of religious freedom in America detailing which states added such provisions in their drafts of the Constitution and which figure heads believed it had a place in the document</w:t>
      </w:r>
      <w:r w:rsidR="00504D89" w:rsidRPr="009341AA">
        <w:rPr>
          <w:rFonts w:ascii="Times New Roman" w:hAnsi="Times New Roman" w:cs="Times New Roman"/>
        </w:rPr>
        <w:t>.</w:t>
      </w:r>
      <w:r w:rsidRPr="009341AA">
        <w:rPr>
          <w:rStyle w:val="FootnoteReference"/>
          <w:rFonts w:ascii="Times New Roman" w:hAnsi="Times New Roman" w:cs="Times New Roman"/>
        </w:rPr>
        <w:footnoteReference w:id="82"/>
      </w:r>
      <w:r w:rsidRPr="009341AA">
        <w:rPr>
          <w:rFonts w:ascii="Times New Roman" w:hAnsi="Times New Roman" w:cs="Times New Roman"/>
        </w:rPr>
        <w:t xml:space="preserve"> A quote from Thomas Jefferson stands out as an answer to their inquiries:</w:t>
      </w:r>
    </w:p>
    <w:p w14:paraId="4FC1D23B" w14:textId="02B39B82"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Believing with you that religion is a matter which lies solely between man and his God; that he owes account to none other for his faith or his worship; </w:t>
      </w:r>
      <w:r w:rsidRPr="009341AA">
        <w:rPr>
          <w:rFonts w:ascii="Times New Roman" w:hAnsi="Times New Roman" w:cs="Times New Roman"/>
          <w:i/>
          <w:iCs/>
        </w:rPr>
        <w:t>that the legislative powers of the government reach actions only, and not opinions</w:t>
      </w:r>
      <w:r w:rsidRPr="009341AA">
        <w:rPr>
          <w:rFonts w:ascii="Times New Roman" w:hAnsi="Times New Roman" w:cs="Times New Roman"/>
        </w:rPr>
        <w:t>,— I contemplate with sovereign reverence that act of the whole American people which declared that their legislature should ‘make no law respecting an establishment of religion or prohibiting the free exercise thereof,’ thus building a wall of separation between church and State</w:t>
      </w:r>
      <w:r w:rsidR="00504D89" w:rsidRPr="009341AA">
        <w:rPr>
          <w:rFonts w:ascii="Times New Roman" w:hAnsi="Times New Roman" w:cs="Times New Roman"/>
        </w:rPr>
        <w:t>.</w:t>
      </w:r>
      <w:r w:rsidRPr="009341AA">
        <w:rPr>
          <w:rStyle w:val="FootnoteReference"/>
          <w:rFonts w:ascii="Times New Roman" w:hAnsi="Times New Roman" w:cs="Times New Roman"/>
        </w:rPr>
        <w:footnoteReference w:id="83"/>
      </w:r>
    </w:p>
    <w:p w14:paraId="59AB0E61" w14:textId="14B594D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Here, it can be seen that belief is protected by the Free Exercise Clause, not action</w:t>
      </w:r>
      <w:r w:rsidR="00504D89" w:rsidRPr="009341AA">
        <w:rPr>
          <w:rFonts w:ascii="Times New Roman" w:hAnsi="Times New Roman" w:cs="Times New Roman"/>
        </w:rPr>
        <w:t>,</w:t>
      </w:r>
      <w:r w:rsidRPr="009341AA">
        <w:rPr>
          <w:rFonts w:ascii="Times New Roman" w:hAnsi="Times New Roman" w:cs="Times New Roman"/>
        </w:rPr>
        <w:t xml:space="preserve"> and that the </w:t>
      </w:r>
      <w:r w:rsidR="005E363C" w:rsidRPr="009341AA">
        <w:rPr>
          <w:rFonts w:ascii="Times New Roman" w:hAnsi="Times New Roman" w:cs="Times New Roman"/>
        </w:rPr>
        <w:t>laws, which Congress creates,</w:t>
      </w:r>
      <w:r w:rsidRPr="009341AA">
        <w:rPr>
          <w:rFonts w:ascii="Times New Roman" w:hAnsi="Times New Roman" w:cs="Times New Roman"/>
        </w:rPr>
        <w:t xml:space="preserve"> stand even against religious obligations. Does this mean the law of the land is higher than God? Clayton would say no. Being that Justice Waite gave his </w:t>
      </w:r>
      <w:r w:rsidR="005E363C" w:rsidRPr="009341AA">
        <w:rPr>
          <w:rFonts w:ascii="Times New Roman" w:hAnsi="Times New Roman" w:cs="Times New Roman"/>
        </w:rPr>
        <w:t>reasoning</w:t>
      </w:r>
      <w:r w:rsidRPr="009341AA">
        <w:rPr>
          <w:rFonts w:ascii="Times New Roman" w:hAnsi="Times New Roman" w:cs="Times New Roman"/>
        </w:rPr>
        <w:t xml:space="preserve"> for convicting Reynolds in a secular manner, it would stand to reason that the Supreme Court simply did not recognize a higher authority</w:t>
      </w:r>
      <w:r w:rsidR="00785829" w:rsidRPr="009341AA">
        <w:rPr>
          <w:rFonts w:ascii="Times New Roman" w:hAnsi="Times New Roman" w:cs="Times New Roman"/>
        </w:rPr>
        <w:t>.</w:t>
      </w:r>
      <w:r w:rsidRPr="009341AA">
        <w:rPr>
          <w:rStyle w:val="FootnoteReference"/>
          <w:rFonts w:ascii="Times New Roman" w:hAnsi="Times New Roman" w:cs="Times New Roman"/>
        </w:rPr>
        <w:footnoteReference w:id="84"/>
      </w:r>
      <w:r w:rsidRPr="009341AA">
        <w:rPr>
          <w:rFonts w:ascii="Times New Roman" w:hAnsi="Times New Roman" w:cs="Times New Roman"/>
        </w:rPr>
        <w:t xml:space="preserve"> As Clayton explains, “Since the Constitution does not recognize a higher authority than itself, neither would the Court</w:t>
      </w:r>
      <w:r w:rsidR="00504D89"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85"/>
      </w:r>
    </w:p>
    <w:p w14:paraId="457114DF" w14:textId="41376AF8" w:rsidR="00DC1131"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Justice Waite gave three main points in his opinion of the Court as to why they found </w:t>
      </w:r>
      <w:r w:rsidRPr="009341AA">
        <w:rPr>
          <w:rFonts w:ascii="Times New Roman" w:hAnsi="Times New Roman" w:cs="Times New Roman"/>
        </w:rPr>
        <w:lastRenderedPageBreak/>
        <w:t>Reynolds guilty. The first point was that polygamy disturbed “peace and good order</w:t>
      </w:r>
      <w:r w:rsidR="00504D89"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86"/>
      </w:r>
      <w:r w:rsidRPr="009341AA">
        <w:rPr>
          <w:rFonts w:ascii="Times New Roman" w:hAnsi="Times New Roman" w:cs="Times New Roman"/>
        </w:rPr>
        <w:t xml:space="preserve"> It is important to remember that this trial began on an agreement, not because a complaint was brought up against Reynolds. The Chief Justice is assuming that polygamy is disruptive because it was not </w:t>
      </w:r>
      <w:r w:rsidR="005E363C" w:rsidRPr="009341AA">
        <w:rPr>
          <w:rFonts w:ascii="Times New Roman" w:hAnsi="Times New Roman" w:cs="Times New Roman"/>
        </w:rPr>
        <w:t>accepted</w:t>
      </w:r>
      <w:r w:rsidRPr="009341AA">
        <w:rPr>
          <w:rFonts w:ascii="Times New Roman" w:hAnsi="Times New Roman" w:cs="Times New Roman"/>
        </w:rPr>
        <w:t xml:space="preserve"> anywhere else in Western society. </w:t>
      </w:r>
      <w:r w:rsidR="00404CE4" w:rsidRPr="009341AA">
        <w:rPr>
          <w:rFonts w:ascii="Times New Roman" w:hAnsi="Times New Roman" w:cs="Times New Roman"/>
        </w:rPr>
        <w:t>Polygamy was practiced in places that were perceived to be uncivilized so he drew a correlation between an uncivilized culture and the practice of polygamy. If polygamy was associated with an uncivilized people, it would not be a far reach for the Chief Justice to assume Mor</w:t>
      </w:r>
      <w:r w:rsidR="00C22DB3" w:rsidRPr="009341AA">
        <w:rPr>
          <w:rFonts w:ascii="Times New Roman" w:hAnsi="Times New Roman" w:cs="Times New Roman"/>
        </w:rPr>
        <w:t>mons were an uncivilized people as well.</w:t>
      </w:r>
    </w:p>
    <w:p w14:paraId="70548824" w14:textId="1D4B9E02" w:rsidR="00DD5C4D"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Justice Waite’s second point was that democracy was built on monogamy. He finds this to be so by running through the following logic: “Since polygamy leads to patriarchy, and patriarchy leads to despotism, monogamy is the very foundation of the democratic state</w:t>
      </w:r>
      <w:r w:rsidR="00DD5C4D"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87"/>
      </w:r>
      <w:r w:rsidRPr="009341AA">
        <w:rPr>
          <w:rFonts w:ascii="Times New Roman" w:hAnsi="Times New Roman" w:cs="Times New Roman"/>
        </w:rPr>
        <w:t xml:space="preserve"> Using polygamy as the complete opposite of monogamy, Justice Waite understood polygamy to essentially be the enemy of democracy. </w:t>
      </w:r>
      <w:r w:rsidR="00745420" w:rsidRPr="009341AA">
        <w:rPr>
          <w:rFonts w:ascii="Times New Roman" w:hAnsi="Times New Roman" w:cs="Times New Roman"/>
        </w:rPr>
        <w:t>The lines drawn between polygamy leading to the end of democracy only added to the discrimination of the Mormon church for their polygamist practices.</w:t>
      </w:r>
    </w:p>
    <w:p w14:paraId="27F3FEF5" w14:textId="68B5B0C6"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Justice Waite’s third point in convicting Reynolds was that polygamy should not have protection under the Free Exercise Clause. He backs up this argument using extreme examples like religious human sacrifice or a wife believing it religiously necessary to burn with her husband in the funeral pyre. Clayton speaks to this saying, “Finally, having declared that polygamy was like wife-burning, so odious as to have been everywhere prohibited in America, that such nefarious marriages led to patriarchy and consequently ought to be prohibited under the ‘bad tendency’ rubric, that polygamy was as barbaric as </w:t>
      </w:r>
      <w:r w:rsidRPr="009341AA">
        <w:rPr>
          <w:rFonts w:ascii="Times New Roman" w:hAnsi="Times New Roman" w:cs="Times New Roman"/>
        </w:rPr>
        <w:lastRenderedPageBreak/>
        <w:t>the worst offense imaginable,</w:t>
      </w:r>
      <w:r w:rsidR="00745420" w:rsidRPr="009341AA">
        <w:rPr>
          <w:rFonts w:ascii="Times New Roman" w:hAnsi="Times New Roman" w:cs="Times New Roman"/>
        </w:rPr>
        <w:t>”</w:t>
      </w:r>
      <w:r w:rsidRPr="009341AA">
        <w:rPr>
          <w:rStyle w:val="FootnoteReference"/>
          <w:rFonts w:ascii="Times New Roman" w:hAnsi="Times New Roman" w:cs="Times New Roman"/>
        </w:rPr>
        <w:footnoteReference w:id="88"/>
      </w:r>
      <w:r w:rsidRPr="009341AA">
        <w:rPr>
          <w:rFonts w:ascii="Times New Roman" w:hAnsi="Times New Roman" w:cs="Times New Roman"/>
        </w:rPr>
        <w:t xml:space="preserve"> </w:t>
      </w:r>
      <w:r w:rsidR="00745420" w:rsidRPr="009341AA">
        <w:rPr>
          <w:rFonts w:ascii="Times New Roman" w:hAnsi="Times New Roman" w:cs="Times New Roman"/>
        </w:rPr>
        <w:t xml:space="preserve">Justice Waite concluded that the Constitution protected religious beliefs, not religious actions. </w:t>
      </w:r>
      <w:r w:rsidRPr="009341AA">
        <w:rPr>
          <w:rFonts w:ascii="Times New Roman" w:hAnsi="Times New Roman" w:cs="Times New Roman"/>
        </w:rPr>
        <w:t>In his final statements, Waite went so far as to say, “To permit [polygamy] would be to make the professed doctrines of religious belief superior to the law of the land, and in effect to permit every citizen to become a law unto himself. Government could exist only in name under such circumstances</w:t>
      </w:r>
      <w:r w:rsidR="00785829" w:rsidRPr="009341AA">
        <w:rPr>
          <w:rFonts w:ascii="Times New Roman" w:hAnsi="Times New Roman" w:cs="Times New Roman"/>
        </w:rPr>
        <w:t>.</w:t>
      </w:r>
      <w:r w:rsidRPr="009341AA">
        <w:rPr>
          <w:rFonts w:ascii="Times New Roman" w:hAnsi="Times New Roman" w:cs="Times New Roman"/>
        </w:rPr>
        <w:t>”</w:t>
      </w:r>
      <w:r w:rsidRPr="009341AA">
        <w:rPr>
          <w:rStyle w:val="FootnoteReference"/>
          <w:rFonts w:ascii="Times New Roman" w:hAnsi="Times New Roman" w:cs="Times New Roman"/>
        </w:rPr>
        <w:footnoteReference w:id="89"/>
      </w:r>
      <w:r w:rsidR="00DD5C4D" w:rsidRPr="009341AA">
        <w:rPr>
          <w:rFonts w:ascii="Times New Roman" w:hAnsi="Times New Roman" w:cs="Times New Roman"/>
        </w:rPr>
        <w:t xml:space="preserve"> </w:t>
      </w:r>
      <w:r w:rsidRPr="009341AA">
        <w:rPr>
          <w:rFonts w:ascii="Times New Roman" w:hAnsi="Times New Roman" w:cs="Times New Roman"/>
        </w:rPr>
        <w:t xml:space="preserve">The Court ruled that there was criminal intent in the act of polygamy because he purposefully married a second woman with full knowledge of the law of the land. </w:t>
      </w:r>
    </w:p>
    <w:p w14:paraId="5688B7AC" w14:textId="350700C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Being one of the first Mormon cases to be brought to the Supreme Court, “it is the Court’s first discussion of the ‘free exercise’ clause of the First Amendment and it is here that Jefferson’s phrase, “a wall of separation between Church and State” makes its initial appearance in judicial literature. Congress, said the Court, was deprived of all legislative power over ‘mere opinion,’ but it was left free to deal with ‘actions’ in violation of social duties or subversive of good order. The ‘wall’ thus seems to separate the realms of belief and action</w:t>
      </w:r>
      <w:r w:rsidR="00DD5C4D" w:rsidRPr="009341AA">
        <w:rPr>
          <w:rFonts w:ascii="Times New Roman" w:hAnsi="Times New Roman" w:cs="Times New Roman"/>
        </w:rPr>
        <w:t>.</w:t>
      </w:r>
      <w:r w:rsidRPr="009341AA">
        <w:rPr>
          <w:rFonts w:ascii="Times New Roman" w:hAnsi="Times New Roman" w:cs="Times New Roman"/>
        </w:rPr>
        <w:t>”</w:t>
      </w:r>
      <w:r w:rsidR="00C05F2C" w:rsidRPr="009341AA">
        <w:rPr>
          <w:rStyle w:val="FootnoteReference"/>
          <w:rFonts w:ascii="Times New Roman" w:hAnsi="Times New Roman" w:cs="Times New Roman"/>
        </w:rPr>
        <w:footnoteReference w:id="90"/>
      </w:r>
      <w:r w:rsidRPr="009341AA">
        <w:rPr>
          <w:rFonts w:ascii="Times New Roman" w:hAnsi="Times New Roman" w:cs="Times New Roman"/>
        </w:rPr>
        <w:t xml:space="preserve"> It was not a question of Congress’s power to create and enforce laws in the Territories but, “as to the guilt of one who knowingly violates a law which has been properly enacted, if he entertains a religious belief that the law is wrong</w:t>
      </w:r>
      <w:r w:rsidR="00DD5C4D" w:rsidRPr="009341AA">
        <w:rPr>
          <w:rFonts w:ascii="Times New Roman" w:hAnsi="Times New Roman" w:cs="Times New Roman"/>
        </w:rPr>
        <w:t>.</w:t>
      </w:r>
      <w:r w:rsidRPr="009341AA">
        <w:rPr>
          <w:rFonts w:ascii="Times New Roman" w:hAnsi="Times New Roman" w:cs="Times New Roman"/>
        </w:rPr>
        <w:t>”</w:t>
      </w:r>
      <w:r w:rsidR="00C05F2C" w:rsidRPr="009341AA">
        <w:rPr>
          <w:rStyle w:val="FootnoteReference"/>
          <w:rFonts w:ascii="Times New Roman" w:hAnsi="Times New Roman" w:cs="Times New Roman"/>
        </w:rPr>
        <w:footnoteReference w:id="91"/>
      </w:r>
      <w:r w:rsidRPr="009341AA">
        <w:rPr>
          <w:rFonts w:ascii="Times New Roman" w:hAnsi="Times New Roman" w:cs="Times New Roman"/>
        </w:rPr>
        <w:t xml:space="preserve"> The beliefs of a man are of no concern to the Court but when a crime is committed due to ignorance, it becomes criminal. The ignorance is not ignorance of the law but the belief that the law should not exist in the first place.</w:t>
      </w:r>
    </w:p>
    <w:p w14:paraId="55FB23F0" w14:textId="77777777"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1E9EA1F4" w14:textId="40192B8E" w:rsidR="009C0A80" w:rsidRPr="009341AA" w:rsidRDefault="009C0A80"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Consequences</w:t>
      </w:r>
    </w:p>
    <w:p w14:paraId="22FCD4EF" w14:textId="060F8E8E" w:rsidR="00046951" w:rsidRPr="009341AA" w:rsidRDefault="0004695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lastRenderedPageBreak/>
        <w:t xml:space="preserve">The </w:t>
      </w:r>
      <w:r w:rsidR="00DD5C4D" w:rsidRPr="009341AA">
        <w:rPr>
          <w:rFonts w:ascii="Times New Roman" w:hAnsi="Times New Roman" w:cs="Times New Roman"/>
        </w:rPr>
        <w:t xml:space="preserve">impact </w:t>
      </w:r>
      <w:r w:rsidRPr="009341AA">
        <w:rPr>
          <w:rFonts w:ascii="Times New Roman" w:hAnsi="Times New Roman" w:cs="Times New Roman"/>
        </w:rPr>
        <w:t xml:space="preserve">of the </w:t>
      </w:r>
      <w:r w:rsidRPr="009341AA">
        <w:rPr>
          <w:rFonts w:ascii="Times New Roman" w:hAnsi="Times New Roman" w:cs="Times New Roman"/>
          <w:i/>
          <w:iCs/>
        </w:rPr>
        <w:t>Reynolds</w:t>
      </w:r>
      <w:r w:rsidRPr="009341AA">
        <w:rPr>
          <w:rFonts w:ascii="Times New Roman" w:hAnsi="Times New Roman" w:cs="Times New Roman"/>
        </w:rPr>
        <w:t xml:space="preserve"> case was immediate and </w:t>
      </w:r>
      <w:r w:rsidR="00DD5C4D" w:rsidRPr="009341AA">
        <w:rPr>
          <w:rFonts w:ascii="Times New Roman" w:hAnsi="Times New Roman" w:cs="Times New Roman"/>
        </w:rPr>
        <w:t>lasting</w:t>
      </w:r>
      <w:r w:rsidRPr="009341AA">
        <w:rPr>
          <w:rFonts w:ascii="Times New Roman" w:hAnsi="Times New Roman" w:cs="Times New Roman"/>
        </w:rPr>
        <w:t xml:space="preserve">. This case began </w:t>
      </w:r>
      <w:r w:rsidR="00C22DB3" w:rsidRPr="009341AA">
        <w:rPr>
          <w:rFonts w:ascii="Times New Roman" w:hAnsi="Times New Roman" w:cs="Times New Roman"/>
        </w:rPr>
        <w:t xml:space="preserve">as </w:t>
      </w:r>
      <w:r w:rsidRPr="009341AA">
        <w:rPr>
          <w:rFonts w:ascii="Times New Roman" w:hAnsi="Times New Roman" w:cs="Times New Roman"/>
        </w:rPr>
        <w:t xml:space="preserve">a legal crusade aimed at the Mormon community in an effort to eradicate them. </w:t>
      </w:r>
      <w:r w:rsidR="00745420" w:rsidRPr="009341AA">
        <w:rPr>
          <w:rFonts w:ascii="Times New Roman" w:hAnsi="Times New Roman" w:cs="Times New Roman"/>
        </w:rPr>
        <w:t xml:space="preserve">Clayton describes the </w:t>
      </w:r>
      <w:r w:rsidRPr="009341AA">
        <w:rPr>
          <w:rFonts w:ascii="Times New Roman" w:hAnsi="Times New Roman" w:cs="Times New Roman"/>
        </w:rPr>
        <w:t>hardships that not just po</w:t>
      </w:r>
      <w:r w:rsidR="00745420" w:rsidRPr="009341AA">
        <w:rPr>
          <w:rFonts w:ascii="Times New Roman" w:hAnsi="Times New Roman" w:cs="Times New Roman"/>
        </w:rPr>
        <w:t>lygamists faced but all Mormons. Mormons, whether they practiced polygamy or not, were denied the right to vote, the government was able to confiscate their property without compensation, and polygamists were prohibited from providing financial support to plural wives they no longer lived with. “</w:t>
      </w:r>
      <w:r w:rsidR="00745420" w:rsidRPr="009341AA">
        <w:rPr>
          <w:rFonts w:ascii="Times New Roman" w:hAnsi="Times New Roman" w:cs="Times New Roman"/>
          <w:i/>
        </w:rPr>
        <w:t>R</w:t>
      </w:r>
      <w:r w:rsidRPr="009341AA">
        <w:rPr>
          <w:rFonts w:ascii="Times New Roman" w:hAnsi="Times New Roman" w:cs="Times New Roman"/>
          <w:i/>
          <w:iCs/>
        </w:rPr>
        <w:t>eynolds</w:t>
      </w:r>
      <w:r w:rsidRPr="009341AA">
        <w:rPr>
          <w:rFonts w:ascii="Times New Roman" w:hAnsi="Times New Roman" w:cs="Times New Roman"/>
        </w:rPr>
        <w:t xml:space="preserve"> laid the legal groundwork f</w:t>
      </w:r>
      <w:r w:rsidR="00D214DF" w:rsidRPr="009341AA">
        <w:rPr>
          <w:rFonts w:ascii="Times New Roman" w:hAnsi="Times New Roman" w:cs="Times New Roman"/>
        </w:rPr>
        <w:t xml:space="preserve">or a national crusade not just against polygamy, </w:t>
      </w:r>
      <w:r w:rsidRPr="009341AA">
        <w:rPr>
          <w:rFonts w:ascii="Times New Roman" w:hAnsi="Times New Roman" w:cs="Times New Roman"/>
        </w:rPr>
        <w:t>but against the Mormon</w:t>
      </w:r>
      <w:r w:rsidR="00745420" w:rsidRPr="009341AA">
        <w:rPr>
          <w:rFonts w:ascii="Times New Roman" w:hAnsi="Times New Roman" w:cs="Times New Roman"/>
        </w:rPr>
        <w:t xml:space="preserve"> religion itself,” and speaking towards a future case, Clayton said,</w:t>
      </w:r>
      <w:r w:rsidR="00D214DF" w:rsidRPr="009341AA">
        <w:rPr>
          <w:rFonts w:ascii="Times New Roman" w:hAnsi="Times New Roman" w:cs="Times New Roman"/>
        </w:rPr>
        <w:t xml:space="preserve"> </w:t>
      </w:r>
      <w:r w:rsidR="00745420" w:rsidRPr="009341AA">
        <w:rPr>
          <w:rFonts w:ascii="Times New Roman" w:hAnsi="Times New Roman" w:cs="Times New Roman"/>
        </w:rPr>
        <w:t>“</w:t>
      </w:r>
      <w:r w:rsidR="00D214DF" w:rsidRPr="009341AA">
        <w:rPr>
          <w:rFonts w:ascii="Times New Roman" w:hAnsi="Times New Roman" w:cs="Times New Roman"/>
        </w:rPr>
        <w:t xml:space="preserve">The effect of </w:t>
      </w:r>
      <w:r w:rsidRPr="009341AA">
        <w:rPr>
          <w:rFonts w:ascii="Times New Roman" w:hAnsi="Times New Roman" w:cs="Times New Roman"/>
        </w:rPr>
        <w:t xml:space="preserve">the </w:t>
      </w:r>
      <w:r w:rsidRPr="009341AA">
        <w:rPr>
          <w:rFonts w:ascii="Times New Roman" w:hAnsi="Times New Roman" w:cs="Times New Roman"/>
          <w:i/>
          <w:iCs/>
        </w:rPr>
        <w:t>Late Church</w:t>
      </w:r>
      <w:r w:rsidR="00D214DF" w:rsidRPr="009341AA">
        <w:rPr>
          <w:rStyle w:val="FootnoteReference"/>
          <w:rFonts w:ascii="Times New Roman" w:hAnsi="Times New Roman" w:cs="Times New Roman"/>
          <w:i/>
          <w:iCs/>
        </w:rPr>
        <w:footnoteReference w:id="92"/>
      </w:r>
      <w:r w:rsidRPr="009341AA">
        <w:rPr>
          <w:rFonts w:ascii="Times New Roman" w:hAnsi="Times New Roman" w:cs="Times New Roman"/>
        </w:rPr>
        <w:t xml:space="preserve"> decision was to declare all Mormons beyo</w:t>
      </w:r>
      <w:r w:rsidR="00D214DF" w:rsidRPr="009341AA">
        <w:rPr>
          <w:rFonts w:ascii="Times New Roman" w:hAnsi="Times New Roman" w:cs="Times New Roman"/>
        </w:rPr>
        <w:t xml:space="preserve">nd the protection of the First </w:t>
      </w:r>
      <w:r w:rsidRPr="009341AA">
        <w:rPr>
          <w:rFonts w:ascii="Times New Roman" w:hAnsi="Times New Roman" w:cs="Times New Roman"/>
        </w:rPr>
        <w:t>Amendment whether they practiced polygamy or not</w:t>
      </w:r>
      <w:r w:rsidR="00785829" w:rsidRPr="009341AA">
        <w:rPr>
          <w:rFonts w:ascii="Times New Roman" w:hAnsi="Times New Roman" w:cs="Times New Roman"/>
        </w:rPr>
        <w:t>.</w:t>
      </w:r>
      <w:r w:rsidR="00745420" w:rsidRPr="009341AA">
        <w:rPr>
          <w:rFonts w:ascii="Times New Roman" w:hAnsi="Times New Roman" w:cs="Times New Roman"/>
        </w:rPr>
        <w:t>”</w:t>
      </w:r>
      <w:r w:rsidR="00D214DF" w:rsidRPr="009341AA">
        <w:rPr>
          <w:rStyle w:val="FootnoteReference"/>
          <w:rFonts w:ascii="Times New Roman" w:hAnsi="Times New Roman" w:cs="Times New Roman"/>
        </w:rPr>
        <w:footnoteReference w:id="93"/>
      </w:r>
    </w:p>
    <w:p w14:paraId="5881A0CD" w14:textId="048AA569" w:rsidR="00046951" w:rsidRPr="009341AA" w:rsidRDefault="0004695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fact that these legal struggles were aimed at all Mormons and not just those that practiced polygamy shows that these government actions were a form of religious persecution, not an effort to uphold the law. Another pro</w:t>
      </w:r>
      <w:r w:rsidR="00745420" w:rsidRPr="009341AA">
        <w:rPr>
          <w:rFonts w:ascii="Times New Roman" w:hAnsi="Times New Roman" w:cs="Times New Roman"/>
        </w:rPr>
        <w:t xml:space="preserve">blem that arose from this case </w:t>
      </w:r>
      <w:r w:rsidRPr="009341AA">
        <w:rPr>
          <w:rFonts w:ascii="Times New Roman" w:hAnsi="Times New Roman" w:cs="Times New Roman"/>
        </w:rPr>
        <w:t>was the belief/conduct dichotomy</w:t>
      </w:r>
      <w:r w:rsidR="00745420" w:rsidRPr="009341AA">
        <w:rPr>
          <w:rFonts w:ascii="Times New Roman" w:hAnsi="Times New Roman" w:cs="Times New Roman"/>
        </w:rPr>
        <w:t>. In Clayton’s</w:t>
      </w:r>
      <w:r w:rsidRPr="009341AA">
        <w:rPr>
          <w:rFonts w:ascii="Times New Roman" w:hAnsi="Times New Roman" w:cs="Times New Roman"/>
        </w:rPr>
        <w:t xml:space="preserve"> opinion, the distinction between the two is a, “gross oversimplification of these complex issues</w:t>
      </w:r>
      <w:r w:rsidR="00785829" w:rsidRPr="009341AA">
        <w:rPr>
          <w:rFonts w:ascii="Times New Roman" w:hAnsi="Times New Roman" w:cs="Times New Roman"/>
        </w:rPr>
        <w:t>.</w:t>
      </w:r>
      <w:r w:rsidRPr="009341AA">
        <w:rPr>
          <w:rFonts w:ascii="Times New Roman" w:hAnsi="Times New Roman" w:cs="Times New Roman"/>
        </w:rPr>
        <w:t>”</w:t>
      </w:r>
      <w:r w:rsidR="00D214DF" w:rsidRPr="009341AA">
        <w:rPr>
          <w:rStyle w:val="FootnoteReference"/>
          <w:rFonts w:ascii="Times New Roman" w:hAnsi="Times New Roman" w:cs="Times New Roman"/>
        </w:rPr>
        <w:footnoteReference w:id="94"/>
      </w:r>
      <w:r w:rsidRPr="009341AA">
        <w:rPr>
          <w:rFonts w:ascii="Times New Roman" w:hAnsi="Times New Roman" w:cs="Times New Roman"/>
        </w:rPr>
        <w:t xml:space="preserve"> Where does belief stop and conduct start? He uses the examples of going to mass, praying, and taking the sacrament to show that these are actions as well, not just beliefs. Though he makes a good point that his examples as well as the act of polygamy are forms of conduct that should all be protected, what he failed to recognize is that going to mass, praying, and taking the sacrament are not illegal in the United States but practicing polygamy is. He then asks, </w:t>
      </w:r>
      <w:r w:rsidRPr="009341AA">
        <w:rPr>
          <w:rFonts w:ascii="Times New Roman" w:hAnsi="Times New Roman" w:cs="Times New Roman"/>
        </w:rPr>
        <w:lastRenderedPageBreak/>
        <w:t>“if religious conduct can be proscribed, can it also be required?”</w:t>
      </w:r>
      <w:r w:rsidR="00D214DF" w:rsidRPr="009341AA">
        <w:rPr>
          <w:rStyle w:val="FootnoteReference"/>
          <w:rFonts w:ascii="Times New Roman" w:hAnsi="Times New Roman" w:cs="Times New Roman"/>
        </w:rPr>
        <w:footnoteReference w:id="95"/>
      </w:r>
      <w:r w:rsidRPr="009341AA">
        <w:rPr>
          <w:rFonts w:ascii="Times New Roman" w:hAnsi="Times New Roman" w:cs="Times New Roman"/>
        </w:rPr>
        <w:t xml:space="preserve"> He uses examples like being required to attend ROTC even if one’s religion forbids such actions, being required to salute the flag, and requiring an o</w:t>
      </w:r>
      <w:r w:rsidR="00D214DF" w:rsidRPr="009341AA">
        <w:rPr>
          <w:rFonts w:ascii="Times New Roman" w:hAnsi="Times New Roman" w:cs="Times New Roman"/>
        </w:rPr>
        <w:t>ffice holder to believe in God</w:t>
      </w:r>
      <w:r w:rsidR="004B246A" w:rsidRPr="009341AA">
        <w:rPr>
          <w:rFonts w:ascii="Times New Roman" w:hAnsi="Times New Roman" w:cs="Times New Roman"/>
        </w:rPr>
        <w:t>.</w:t>
      </w:r>
      <w:r w:rsidR="00D214DF" w:rsidRPr="009341AA">
        <w:rPr>
          <w:rStyle w:val="FootnoteReference"/>
          <w:rFonts w:ascii="Times New Roman" w:hAnsi="Times New Roman" w:cs="Times New Roman"/>
        </w:rPr>
        <w:footnoteReference w:id="96"/>
      </w:r>
      <w:r w:rsidRPr="009341AA">
        <w:rPr>
          <w:rFonts w:ascii="Times New Roman" w:hAnsi="Times New Roman" w:cs="Times New Roman"/>
        </w:rPr>
        <w:t xml:space="preserve"> While his first examples of proscribing conduct do</w:t>
      </w:r>
      <w:r w:rsidR="004B246A" w:rsidRPr="009341AA">
        <w:rPr>
          <w:rFonts w:ascii="Times New Roman" w:hAnsi="Times New Roman" w:cs="Times New Roman"/>
        </w:rPr>
        <w:t xml:space="preserve"> </w:t>
      </w:r>
      <w:r w:rsidRPr="009341AA">
        <w:rPr>
          <w:rFonts w:ascii="Times New Roman" w:hAnsi="Times New Roman" w:cs="Times New Roman"/>
        </w:rPr>
        <w:t>n</w:t>
      </w:r>
      <w:r w:rsidR="004B246A" w:rsidRPr="009341AA">
        <w:rPr>
          <w:rFonts w:ascii="Times New Roman" w:hAnsi="Times New Roman" w:cs="Times New Roman"/>
        </w:rPr>
        <w:t>o</w:t>
      </w:r>
      <w:r w:rsidRPr="009341AA">
        <w:rPr>
          <w:rFonts w:ascii="Times New Roman" w:hAnsi="Times New Roman" w:cs="Times New Roman"/>
        </w:rPr>
        <w:t>t hold much water in the polygamy conversation, his latter examples of requirement bring up some interesting questions. The dichotomy of belief and conduct are too intertwined for one court case to decide them all. The reason there have been so many Supreme Court cases about this dichotomy is because the decisions need to be on a case-by-case basis. The case-by-case system would work better if the Court were more consistent with its decisions but in the few that Clayton brings up, the Court seems to err on the side of Christian values.</w:t>
      </w:r>
    </w:p>
    <w:p w14:paraId="2FD8B9F4" w14:textId="77777777" w:rsidR="00C22DB3" w:rsidRPr="009341AA" w:rsidRDefault="0004695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Possibly the most detrimental outcome of the </w:t>
      </w:r>
      <w:r w:rsidRPr="009341AA">
        <w:rPr>
          <w:rFonts w:ascii="Times New Roman" w:hAnsi="Times New Roman" w:cs="Times New Roman"/>
          <w:i/>
          <w:iCs/>
        </w:rPr>
        <w:t>Reynolds</w:t>
      </w:r>
      <w:r w:rsidRPr="009341AA">
        <w:rPr>
          <w:rFonts w:ascii="Times New Roman" w:hAnsi="Times New Roman" w:cs="Times New Roman"/>
        </w:rPr>
        <w:t xml:space="preserve"> case was the toll it took on the Mormon community. Clayton points out that the M</w:t>
      </w:r>
      <w:r w:rsidR="004A74E7" w:rsidRPr="009341AA">
        <w:rPr>
          <w:rFonts w:ascii="Times New Roman" w:hAnsi="Times New Roman" w:cs="Times New Roman"/>
        </w:rPr>
        <w:t xml:space="preserve">ormons did not seem as though the Court’s decision would change their practicing of polygamy in any way </w:t>
      </w:r>
      <w:r w:rsidRPr="009341AA">
        <w:rPr>
          <w:rFonts w:ascii="Times New Roman" w:hAnsi="Times New Roman" w:cs="Times New Roman"/>
        </w:rPr>
        <w:t xml:space="preserve">but that was not the case. Both in the short term and the long term, the </w:t>
      </w:r>
      <w:r w:rsidRPr="009341AA">
        <w:rPr>
          <w:rFonts w:ascii="Times New Roman" w:hAnsi="Times New Roman" w:cs="Times New Roman"/>
          <w:i/>
          <w:iCs/>
        </w:rPr>
        <w:t>Reynolds</w:t>
      </w:r>
      <w:r w:rsidRPr="009341AA">
        <w:rPr>
          <w:rFonts w:ascii="Times New Roman" w:hAnsi="Times New Roman" w:cs="Times New Roman"/>
        </w:rPr>
        <w:t xml:space="preserve"> case changed the Mor</w:t>
      </w:r>
      <w:r w:rsidR="00C22DB3" w:rsidRPr="009341AA">
        <w:rPr>
          <w:rFonts w:ascii="Times New Roman" w:hAnsi="Times New Roman" w:cs="Times New Roman"/>
        </w:rPr>
        <w:t>mon culture. Clayton explains,</w:t>
      </w:r>
    </w:p>
    <w:p w14:paraId="49A1E27C" w14:textId="77777777" w:rsidR="00C22DB3" w:rsidRPr="009341AA" w:rsidRDefault="00C22DB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T</w:t>
      </w:r>
      <w:r w:rsidR="00046951" w:rsidRPr="009341AA">
        <w:rPr>
          <w:rFonts w:ascii="Times New Roman" w:hAnsi="Times New Roman" w:cs="Times New Roman"/>
        </w:rPr>
        <w:t xml:space="preserve">he Mormons [were not] especially tolerant of their own deviants. Mormon bishops who refused to practice polygamy because it was illegal after 1879 were </w:t>
      </w:r>
      <w:r w:rsidR="00046951" w:rsidRPr="009341AA">
        <w:rPr>
          <w:rFonts w:ascii="Times New Roman" w:hAnsi="Times New Roman" w:cs="Times New Roman"/>
        </w:rPr>
        <w:lastRenderedPageBreak/>
        <w:t>frequently released from their offices, and those who openly criticized church leadership were usually excommunicated. Finally, the Mormons seemed unimpressed with the idea that states, too, have compelling interests and that ‘a wall of separation’ which protects religious freedom sometimes requires religious compromise</w:t>
      </w:r>
      <w:r w:rsidR="00785829" w:rsidRPr="009341AA">
        <w:rPr>
          <w:rFonts w:ascii="Times New Roman" w:hAnsi="Times New Roman" w:cs="Times New Roman"/>
        </w:rPr>
        <w:t>.</w:t>
      </w:r>
      <w:r w:rsidR="00D214DF" w:rsidRPr="009341AA">
        <w:rPr>
          <w:rStyle w:val="FootnoteReference"/>
          <w:rFonts w:ascii="Times New Roman" w:hAnsi="Times New Roman" w:cs="Times New Roman"/>
        </w:rPr>
        <w:footnoteReference w:id="97"/>
      </w:r>
    </w:p>
    <w:p w14:paraId="0002B95C" w14:textId="101C1293" w:rsidR="00046951" w:rsidRPr="009341AA" w:rsidRDefault="00C22DB3" w:rsidP="00274E07">
      <w:pPr>
        <w:widowControl w:val="0"/>
        <w:tabs>
          <w:tab w:val="left" w:pos="36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rPr>
        <w:tab/>
      </w:r>
      <w:r w:rsidR="00046951" w:rsidRPr="009341AA">
        <w:rPr>
          <w:rFonts w:ascii="Times New Roman" w:hAnsi="Times New Roman" w:cs="Times New Roman"/>
        </w:rPr>
        <w:t>In the time period right after the case, the Mormon community took an arguably extreme approach when told their religious practice was illegal but today, the Mormons have a very different view on the subject. Ironically, today’s Mormons have come to internalize what the earlier generations worked to repel in their communities. To this point, Clayton says, “The point is that Mormons now willingly conform to the ideals of monogamy. The idea of returning to their earlier ways is as abhorrent to them as it once was to their detractors</w:t>
      </w:r>
      <w:r w:rsidR="009A0621" w:rsidRPr="009341AA">
        <w:rPr>
          <w:rFonts w:ascii="Times New Roman" w:hAnsi="Times New Roman" w:cs="Times New Roman"/>
        </w:rPr>
        <w:t>.</w:t>
      </w:r>
      <w:r w:rsidR="00046951" w:rsidRPr="009341AA">
        <w:rPr>
          <w:rFonts w:ascii="Times New Roman" w:hAnsi="Times New Roman" w:cs="Times New Roman"/>
        </w:rPr>
        <w:t>”</w:t>
      </w:r>
      <w:r w:rsidR="00D214DF" w:rsidRPr="009341AA">
        <w:rPr>
          <w:rStyle w:val="FootnoteReference"/>
          <w:rFonts w:ascii="Times New Roman" w:hAnsi="Times New Roman" w:cs="Times New Roman"/>
        </w:rPr>
        <w:footnoteReference w:id="98"/>
      </w:r>
    </w:p>
    <w:p w14:paraId="0025C8D0" w14:textId="120C78B9" w:rsidR="003D5864" w:rsidRPr="009341AA" w:rsidRDefault="0004695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This case is the perfect example of how the religious majority can indirectly force an ideology onto religious minorities. Being that marriage is considered a “sacred obligation” in America, polygamy was a threat to not only the Christian religious values of the country but also the values of the entire society. American society is made up of Christian values</w:t>
      </w:r>
      <w:r w:rsidR="004A74E7" w:rsidRPr="009341AA">
        <w:rPr>
          <w:rFonts w:ascii="Times New Roman" w:hAnsi="Times New Roman" w:cs="Times New Roman"/>
        </w:rPr>
        <w:t xml:space="preserve"> that struggle to stray too far from mainstream without some sort of resistance</w:t>
      </w:r>
      <w:r w:rsidRPr="009341AA">
        <w:rPr>
          <w:rFonts w:ascii="Times New Roman" w:hAnsi="Times New Roman" w:cs="Times New Roman"/>
        </w:rPr>
        <w:t xml:space="preserve">, hence why marriage is </w:t>
      </w:r>
      <w:r w:rsidR="00C22DB3" w:rsidRPr="009341AA">
        <w:rPr>
          <w:rFonts w:ascii="Times New Roman" w:hAnsi="Times New Roman" w:cs="Times New Roman"/>
        </w:rPr>
        <w:t>considered a “sacred obligation</w:t>
      </w:r>
      <w:r w:rsidRPr="009341AA">
        <w:rPr>
          <w:rFonts w:ascii="Times New Roman" w:hAnsi="Times New Roman" w:cs="Times New Roman"/>
        </w:rPr>
        <w:t>”</w:t>
      </w:r>
      <w:r w:rsidR="00C22DB3" w:rsidRPr="009341AA">
        <w:rPr>
          <w:rFonts w:ascii="Times New Roman" w:hAnsi="Times New Roman" w:cs="Times New Roman"/>
        </w:rPr>
        <w:t xml:space="preserve"> and not a civil obligation.</w:t>
      </w:r>
      <w:r w:rsidRPr="009341AA">
        <w:rPr>
          <w:rFonts w:ascii="Times New Roman" w:hAnsi="Times New Roman" w:cs="Times New Roman"/>
        </w:rPr>
        <w:t xml:space="preserve"> The idea of marriage being sacred is especially present in Catholic rhetoric. Matrimony is one of the seven sacraments and each union is thought to come from God and therefore, cannot be broken or undone. It is no wonder the American people would be so offended by polygamy when such holy significance is put on the sanctity of </w:t>
      </w:r>
      <w:r w:rsidRPr="009341AA">
        <w:rPr>
          <w:rFonts w:ascii="Times New Roman" w:hAnsi="Times New Roman" w:cs="Times New Roman"/>
        </w:rPr>
        <w:lastRenderedPageBreak/>
        <w:t>marriage</w:t>
      </w:r>
      <w:r w:rsidR="005461FD" w:rsidRPr="009341AA">
        <w:rPr>
          <w:rFonts w:ascii="Times New Roman" w:hAnsi="Times New Roman" w:cs="Times New Roman"/>
        </w:rPr>
        <w:t>.</w:t>
      </w:r>
    </w:p>
    <w:p w14:paraId="6507CEF6" w14:textId="06B13283"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i/>
        </w:rPr>
        <w:t>Reynolds</w:t>
      </w:r>
      <w:r w:rsidRPr="009341AA">
        <w:rPr>
          <w:rFonts w:ascii="Times New Roman" w:hAnsi="Times New Roman" w:cs="Times New Roman"/>
        </w:rPr>
        <w:t xml:space="preserve"> is an example of the belief/action dichotomy that the Supreme Court used to limit the Free Exercise Clause. The limitation did little to limit Christian practices because any other laws of the land did not outlaw Christian religious </w:t>
      </w:r>
      <w:r w:rsidR="00C22DB3" w:rsidRPr="009341AA">
        <w:rPr>
          <w:rFonts w:ascii="Times New Roman" w:hAnsi="Times New Roman" w:cs="Times New Roman"/>
        </w:rPr>
        <w:t>practices. This limitation did a</w:t>
      </w:r>
      <w:r w:rsidRPr="009341AA">
        <w:rPr>
          <w:rFonts w:ascii="Times New Roman" w:hAnsi="Times New Roman" w:cs="Times New Roman"/>
        </w:rPr>
        <w:t>ffect religions</w:t>
      </w:r>
      <w:r w:rsidR="00F5292E" w:rsidRPr="009341AA">
        <w:rPr>
          <w:rFonts w:ascii="Times New Roman" w:hAnsi="Times New Roman" w:cs="Times New Roman"/>
        </w:rPr>
        <w:t>,</w:t>
      </w:r>
      <w:r w:rsidRPr="009341AA">
        <w:rPr>
          <w:rFonts w:ascii="Times New Roman" w:hAnsi="Times New Roman" w:cs="Times New Roman"/>
        </w:rPr>
        <w:t xml:space="preserve"> which had different practices than those of mainline Christianity, such as Mormonism. If such a limitation is put in place, how much freedom can the Free Exercise Clause protect? In the next chapter, we will see how even without the belief/action dichotomy, the Supreme Court still finds ways to resist reinterpretation of the Free Exercise Clause to allow</w:t>
      </w:r>
      <w:r w:rsidR="00C22DB3" w:rsidRPr="009341AA">
        <w:rPr>
          <w:rFonts w:ascii="Times New Roman" w:hAnsi="Times New Roman" w:cs="Times New Roman"/>
        </w:rPr>
        <w:t xml:space="preserve"> non-Christian religions</w:t>
      </w:r>
      <w:r w:rsidRPr="009341AA">
        <w:rPr>
          <w:rFonts w:ascii="Times New Roman" w:hAnsi="Times New Roman" w:cs="Times New Roman"/>
        </w:rPr>
        <w:t xml:space="preserve"> to practice (not just believe) freely.</w:t>
      </w:r>
    </w:p>
    <w:p w14:paraId="05BADE22" w14:textId="77777777" w:rsidR="00C05F2C" w:rsidRPr="009341AA" w:rsidRDefault="00C05F2C"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989A3DD" w14:textId="77777777"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C955F08"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596B66E8"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857CA8B"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2B01FE6E"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68A83D4"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AF00288"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49DDCD2"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272D2DB8"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B3FC5FC"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289B1BBB"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A1D87A5" w14:textId="77777777" w:rsidR="005461FD" w:rsidRPr="009341AA" w:rsidRDefault="005461F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70603172" w14:textId="43E4CC30"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Chapter III:</w:t>
      </w:r>
      <w:r w:rsidR="004A74E7" w:rsidRPr="009341AA">
        <w:rPr>
          <w:rFonts w:ascii="Times New Roman" w:hAnsi="Times New Roman" w:cs="Times New Roman"/>
          <w:b/>
          <w:sz w:val="28"/>
          <w:szCs w:val="28"/>
        </w:rPr>
        <w:t xml:space="preserve"> Government Interests Supersede Free Exercise</w:t>
      </w:r>
      <w:r w:rsidRPr="009341AA">
        <w:rPr>
          <w:rFonts w:ascii="Times New Roman" w:hAnsi="Times New Roman" w:cs="Times New Roman"/>
          <w:b/>
          <w:sz w:val="28"/>
          <w:szCs w:val="28"/>
        </w:rPr>
        <w:t xml:space="preserve"> </w:t>
      </w:r>
      <w:r w:rsidRPr="009341AA">
        <w:rPr>
          <w:rFonts w:ascii="Times New Roman" w:hAnsi="Times New Roman" w:cs="Times New Roman"/>
          <w:b/>
          <w:i/>
          <w:sz w:val="28"/>
          <w:szCs w:val="28"/>
        </w:rPr>
        <w:t>Goldman v. Weinberger</w:t>
      </w:r>
      <w:r w:rsidR="004A74E7" w:rsidRPr="009341AA">
        <w:rPr>
          <w:rFonts w:ascii="Times New Roman" w:hAnsi="Times New Roman" w:cs="Times New Roman"/>
          <w:b/>
          <w:i/>
          <w:sz w:val="28"/>
          <w:szCs w:val="28"/>
        </w:rPr>
        <w:t xml:space="preserve"> (1986)</w:t>
      </w:r>
    </w:p>
    <w:p w14:paraId="3555CC4A" w14:textId="77777777"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p>
    <w:p w14:paraId="3B7A3810" w14:textId="56FD0CB9" w:rsidR="004A74E7" w:rsidRPr="009341AA" w:rsidRDefault="004A74E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the previous chapter, we learned that the Supreme Court understood the Free Exercise Clause to </w:t>
      </w:r>
      <w:r w:rsidR="005461FD" w:rsidRPr="009341AA">
        <w:rPr>
          <w:rFonts w:ascii="Times New Roman" w:hAnsi="Times New Roman" w:cs="Times New Roman"/>
        </w:rPr>
        <w:t xml:space="preserve">be limited by the belief/action dichotomy in which belief is protected while action is not. In this chapter, we will be exploring how new limitations on religious freedom, that replaced the belief/action dichotomy, still allow for religious discrimination by the Supreme Court. </w:t>
      </w:r>
      <w:r w:rsidR="005461FD" w:rsidRPr="009341AA">
        <w:rPr>
          <w:rFonts w:ascii="Times New Roman" w:hAnsi="Times New Roman" w:cs="Times New Roman"/>
          <w:i/>
        </w:rPr>
        <w:t>Goldman</w:t>
      </w:r>
      <w:r w:rsidR="005461FD" w:rsidRPr="009341AA">
        <w:rPr>
          <w:rFonts w:ascii="Times New Roman" w:hAnsi="Times New Roman" w:cs="Times New Roman"/>
        </w:rPr>
        <w:t xml:space="preserve"> details the ways in which the government and the Supreme Court can use government interests to prohibit the free exercise of religious actions that do not coincide with Christian practices.</w:t>
      </w:r>
    </w:p>
    <w:p w14:paraId="5B6493BD"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78AFFAF"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Background</w:t>
      </w:r>
    </w:p>
    <w:p w14:paraId="41912627" w14:textId="114F3853" w:rsidR="003D5864"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military is one of the staples of this country and a symbol of its freedom. As such, one would believe that it should be held to the same constitutional standards as civilians but this does not seem to be the case. Being a unique community, the military has its own regulations</w:t>
      </w:r>
      <w:r w:rsidR="001A655B" w:rsidRPr="009341AA">
        <w:rPr>
          <w:rFonts w:ascii="Times New Roman" w:hAnsi="Times New Roman" w:cs="Times New Roman"/>
        </w:rPr>
        <w:t xml:space="preserve"> set out by the Department of Defense (DoD)</w:t>
      </w:r>
      <w:r w:rsidRPr="009341AA">
        <w:rPr>
          <w:rFonts w:ascii="Times New Roman" w:hAnsi="Times New Roman" w:cs="Times New Roman"/>
        </w:rPr>
        <w:t xml:space="preserve"> for religious matters that seem to go against the Constitution at times. As one retired Air Force Colonel relayed, when in the military, duty comes before all else, even religious obligations.</w:t>
      </w:r>
      <w:r w:rsidR="00CA357F" w:rsidRPr="009341AA">
        <w:rPr>
          <w:rStyle w:val="FootnoteReference"/>
          <w:rFonts w:ascii="Times New Roman" w:hAnsi="Times New Roman" w:cs="Times New Roman"/>
        </w:rPr>
        <w:footnoteReference w:id="99"/>
      </w:r>
    </w:p>
    <w:p w14:paraId="78717FEE"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545BE87"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Case</w:t>
      </w:r>
    </w:p>
    <w:p w14:paraId="08B3FE20" w14:textId="77777777" w:rsidR="00300B67"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Simcha Goldman was an Air Force officer in the US military. An observant Jew and an ordained rabbi, Goldman wished to wear a yarmulke or religious skullcap. During his </w:t>
      </w:r>
      <w:r w:rsidR="00300B67" w:rsidRPr="009341AA">
        <w:rPr>
          <w:rFonts w:ascii="Times New Roman" w:hAnsi="Times New Roman" w:cs="Times New Roman"/>
        </w:rPr>
        <w:lastRenderedPageBreak/>
        <w:t>case Goldman argued that,</w:t>
      </w:r>
    </w:p>
    <w:p w14:paraId="7059CF80" w14:textId="05C6383B" w:rsidR="00300B67" w:rsidRPr="009341AA" w:rsidRDefault="00300B6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T</w:t>
      </w:r>
      <w:r w:rsidR="00D214DF" w:rsidRPr="009341AA">
        <w:rPr>
          <w:rFonts w:ascii="Times New Roman" w:hAnsi="Times New Roman" w:cs="Times New Roman"/>
        </w:rPr>
        <w:t>he Free Exercise Clause of the First Amendment requires the Air Force to make an exception to its uniform dress requirements for religious apparel unless the accouterments create a ‘clear danger’ of undermining discipline and esprit de corps. He asserts that in general, visible but ‘unobtrusive’ apparel will not create such a danger and must therefore be accommodated</w:t>
      </w:r>
      <w:r w:rsidR="004E7F35" w:rsidRPr="009341AA">
        <w:rPr>
          <w:rFonts w:ascii="Times New Roman" w:hAnsi="Times New Roman" w:cs="Times New Roman"/>
        </w:rPr>
        <w:t>.</w:t>
      </w:r>
      <w:r w:rsidR="004C61A9" w:rsidRPr="009341AA">
        <w:rPr>
          <w:rStyle w:val="FootnoteReference"/>
          <w:rFonts w:ascii="Times New Roman" w:hAnsi="Times New Roman" w:cs="Times New Roman"/>
        </w:rPr>
        <w:footnoteReference w:id="100"/>
      </w:r>
    </w:p>
    <w:p w14:paraId="29FA24F0" w14:textId="77777777" w:rsidR="00300B67" w:rsidRPr="009341AA" w:rsidRDefault="00300B6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ab/>
      </w:r>
      <w:r w:rsidR="00D214DF" w:rsidRPr="009341AA">
        <w:rPr>
          <w:rFonts w:ascii="Times New Roman" w:hAnsi="Times New Roman" w:cs="Times New Roman"/>
        </w:rPr>
        <w:t>On March 25, 1986, the Court decided that regulations prohibiting Goldman from wearing his religious garb did not infringe upon his right to freely exercise his religion</w:t>
      </w:r>
      <w:r w:rsidR="004E7F35" w:rsidRPr="009341AA">
        <w:rPr>
          <w:rFonts w:ascii="Times New Roman" w:hAnsi="Times New Roman" w:cs="Times New Roman"/>
        </w:rPr>
        <w:t>.</w:t>
      </w:r>
      <w:r w:rsidR="004C61A9" w:rsidRPr="009341AA">
        <w:rPr>
          <w:rStyle w:val="FootnoteReference"/>
          <w:rFonts w:ascii="Times New Roman" w:hAnsi="Times New Roman" w:cs="Times New Roman"/>
        </w:rPr>
        <w:footnoteReference w:id="101"/>
      </w:r>
      <w:r w:rsidR="00D214DF" w:rsidRPr="009341AA">
        <w:rPr>
          <w:rFonts w:ascii="Times New Roman" w:hAnsi="Times New Roman" w:cs="Times New Roman"/>
        </w:rPr>
        <w:t xml:space="preserve"> Goldman had worked in many different positions in the military over the years of his service including serving as chaplain in the Navy from 1970-1972, and clinical psychologist in the Air Force starting in 1977. At no point during his service, until May of 1981, did Goldman have any issues wearing his yarmulke while on duty</w:t>
      </w:r>
      <w:r w:rsidR="002076A6" w:rsidRPr="009341AA">
        <w:rPr>
          <w:rFonts w:ascii="Times New Roman" w:hAnsi="Times New Roman" w:cs="Times New Roman"/>
        </w:rPr>
        <w:t>.</w:t>
      </w:r>
      <w:r w:rsidR="004C61A9" w:rsidRPr="009341AA">
        <w:rPr>
          <w:rStyle w:val="FootnoteReference"/>
          <w:rFonts w:ascii="Times New Roman" w:hAnsi="Times New Roman" w:cs="Times New Roman"/>
        </w:rPr>
        <w:footnoteReference w:id="102"/>
      </w:r>
    </w:p>
    <w:p w14:paraId="173E681C" w14:textId="7C67E519" w:rsidR="002076A6" w:rsidRPr="009341AA" w:rsidRDefault="00300B6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sz w:val="28"/>
          <w:szCs w:val="28"/>
        </w:rPr>
      </w:pPr>
      <w:r w:rsidRPr="009341AA">
        <w:rPr>
          <w:rFonts w:ascii="Times New Roman" w:hAnsi="Times New Roman" w:cs="Times New Roman"/>
        </w:rPr>
        <w:t>Goldman was never reprimanded for wearing his religious skullcap before 1981 so it made sense for him to continue wearing it when he served at March Air Force Base in 1977. Attention to Goldman wearing his yarmulke came in April 1981 when he testified as a defense witness at a court martial.</w:t>
      </w:r>
      <w:r w:rsidRPr="009341AA">
        <w:rPr>
          <w:rStyle w:val="FootnoteReference"/>
          <w:rFonts w:ascii="Times New Roman" w:hAnsi="Times New Roman" w:cs="Times New Roman"/>
        </w:rPr>
        <w:footnoteReference w:id="103"/>
      </w:r>
      <w:r w:rsidRPr="009341AA">
        <w:rPr>
          <w:rFonts w:ascii="Times New Roman" w:hAnsi="Times New Roman" w:cs="Times New Roman"/>
        </w:rPr>
        <w:t xml:space="preserve"> Goldman had also testified in a court martial the year before and was cross-examined by the same military prosecutor, Captain Bouchard. During both courts martial, Goldman wore his yarmulke but in the court martial of 1981, Goldman accused Bouchard of asking irrelevant questions with both frustrated and </w:t>
      </w:r>
      <w:r w:rsidRPr="009341AA">
        <w:rPr>
          <w:rFonts w:ascii="Times New Roman" w:hAnsi="Times New Roman" w:cs="Times New Roman"/>
        </w:rPr>
        <w:lastRenderedPageBreak/>
        <w:t>embarrassed Bouchard.</w:t>
      </w:r>
      <w:r w:rsidRPr="009341AA">
        <w:rPr>
          <w:rStyle w:val="FootnoteReference"/>
          <w:rFonts w:ascii="Times New Roman" w:hAnsi="Times New Roman" w:cs="Times New Roman"/>
        </w:rPr>
        <w:footnoteReference w:id="104"/>
      </w:r>
      <w:r w:rsidRPr="009341AA">
        <w:rPr>
          <w:rFonts w:ascii="Times New Roman" w:hAnsi="Times New Roman" w:cs="Times New Roman"/>
        </w:rPr>
        <w:t xml:space="preserve"> It was after the second court martial that Bouchard filed the complaint against Goldman.</w:t>
      </w:r>
    </w:p>
    <w:p w14:paraId="0CBAA866" w14:textId="222DF5D4" w:rsidR="00D214D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On May 8, 1981, the commander of the hospital where Goldman worked, Colonel Joseph Gregory, called Goldman into his office to inform him that by wearing his yarmulke, he was in violation of the Air Force dress code. Colonel Gregory instructed Goldman to remove his yarmulke while both outside and inside the hospital. When Goldman refused to comply, he was sent a letter of reprimand informing him that he could be court-martialed</w:t>
      </w:r>
      <w:r w:rsidR="00300B67" w:rsidRPr="009341AA">
        <w:rPr>
          <w:rFonts w:ascii="Times New Roman" w:hAnsi="Times New Roman" w:cs="Times New Roman"/>
        </w:rPr>
        <w:t>.</w:t>
      </w:r>
      <w:r w:rsidR="004C61A9" w:rsidRPr="009341AA">
        <w:rPr>
          <w:rStyle w:val="FootnoteReference"/>
          <w:rFonts w:ascii="Times New Roman" w:hAnsi="Times New Roman" w:cs="Times New Roman"/>
        </w:rPr>
        <w:footnoteReference w:id="105"/>
      </w:r>
      <w:r w:rsidRPr="009341AA">
        <w:rPr>
          <w:rFonts w:ascii="Times New Roman" w:hAnsi="Times New Roman" w:cs="Times New Roman"/>
        </w:rPr>
        <w:t xml:space="preserve"> It was then that, “Goldman filed suit on the grounds that the orders violated his First Amendment rights to free exercise of religion</w:t>
      </w:r>
      <w:r w:rsidR="002076A6"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06"/>
      </w:r>
      <w:r w:rsidRPr="009341AA">
        <w:rPr>
          <w:rFonts w:ascii="Times New Roman" w:hAnsi="Times New Roman" w:cs="Times New Roman"/>
        </w:rPr>
        <w:t xml:space="preserve"> He filed for a Temporary Restraining Order (TRO) enjoining the Air Force to no longer prohibit him from wearing his yarmulke</w:t>
      </w:r>
      <w:r w:rsidR="002076A6" w:rsidRPr="009341AA">
        <w:rPr>
          <w:rFonts w:ascii="Times New Roman" w:hAnsi="Times New Roman" w:cs="Times New Roman"/>
        </w:rPr>
        <w:t>.</w:t>
      </w:r>
      <w:r w:rsidR="004C61A9" w:rsidRPr="009341AA">
        <w:rPr>
          <w:rStyle w:val="FootnoteReference"/>
          <w:rFonts w:ascii="Times New Roman" w:hAnsi="Times New Roman" w:cs="Times New Roman"/>
        </w:rPr>
        <w:footnoteReference w:id="107"/>
      </w:r>
    </w:p>
    <w:p w14:paraId="6FDB08E0" w14:textId="0F39E668" w:rsidR="00D214D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order to proceed with the case, Colonel Gregory had to discern to what extent Goldman’s religion required him to wear his yarmulke.</w:t>
      </w:r>
      <w:r w:rsidR="00DD130B" w:rsidRPr="009341AA">
        <w:rPr>
          <w:rFonts w:ascii="Times New Roman" w:hAnsi="Times New Roman" w:cs="Times New Roman"/>
        </w:rPr>
        <w:t xml:space="preserve"> Even today, in order to receive religious accommodations in the military, there is a long “background check” like process to decide if the person requesting the accommodation is sincere in their request. This </w:t>
      </w:r>
      <w:r w:rsidR="00300B67" w:rsidRPr="009341AA">
        <w:rPr>
          <w:rFonts w:ascii="Times New Roman" w:hAnsi="Times New Roman" w:cs="Times New Roman"/>
        </w:rPr>
        <w:t xml:space="preserve">process includes questioning the person’s friends on </w:t>
      </w:r>
      <w:r w:rsidR="00DD130B" w:rsidRPr="009341AA">
        <w:rPr>
          <w:rFonts w:ascii="Times New Roman" w:hAnsi="Times New Roman" w:cs="Times New Roman"/>
        </w:rPr>
        <w:t>base as well as their commanding officer and even family members.</w:t>
      </w:r>
      <w:r w:rsidR="00DD130B" w:rsidRPr="009341AA">
        <w:rPr>
          <w:rStyle w:val="FootnoteReference"/>
          <w:rFonts w:ascii="Times New Roman" w:hAnsi="Times New Roman" w:cs="Times New Roman"/>
        </w:rPr>
        <w:footnoteReference w:id="108"/>
      </w:r>
      <w:r w:rsidRPr="009341AA">
        <w:rPr>
          <w:rFonts w:ascii="Times New Roman" w:hAnsi="Times New Roman" w:cs="Times New Roman"/>
        </w:rPr>
        <w:t xml:space="preserve"> The base chaplain at March Air Force Base was not Jewish so he was asked to inquire the necessity of a yarmulke to the Jewish religion. Instead of asking Goldman himself, an ordained orthodox rabbi and former Navy chaplain, the base chaplain contacted the “Jewish Welfare Board, an organization </w:t>
      </w:r>
      <w:r w:rsidRPr="009341AA">
        <w:rPr>
          <w:rFonts w:ascii="Times New Roman" w:hAnsi="Times New Roman" w:cs="Times New Roman"/>
        </w:rPr>
        <w:lastRenderedPageBreak/>
        <w:t>that acted as the ecclesiastical liaison for the military regarding matters of Jewish faith</w:t>
      </w:r>
      <w:r w:rsidR="002076A6"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09"/>
      </w:r>
      <w:r w:rsidRPr="009341AA">
        <w:rPr>
          <w:rFonts w:ascii="Times New Roman" w:hAnsi="Times New Roman" w:cs="Times New Roman"/>
        </w:rPr>
        <w:t xml:space="preserve"> Instead of speaking to a rabbi at the organization, the base chaplain consulted Dr. Diana Coran</w:t>
      </w:r>
      <w:r w:rsidR="00DD130B" w:rsidRPr="009341AA">
        <w:rPr>
          <w:rFonts w:ascii="Times New Roman" w:hAnsi="Times New Roman" w:cs="Times New Roman"/>
        </w:rPr>
        <w:t>, an employee of the organization</w:t>
      </w:r>
      <w:r w:rsidRPr="009341AA">
        <w:rPr>
          <w:rFonts w:ascii="Times New Roman" w:hAnsi="Times New Roman" w:cs="Times New Roman"/>
        </w:rPr>
        <w:t>. The base chaplain claimed that Dr. Coran told him that, “wearing a yarmulke was not a religious obligation</w:t>
      </w:r>
      <w:r w:rsidR="002076A6"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10"/>
      </w:r>
      <w:r w:rsidRPr="009341AA">
        <w:rPr>
          <w:rFonts w:ascii="Times New Roman" w:hAnsi="Times New Roman" w:cs="Times New Roman"/>
        </w:rPr>
        <w:t xml:space="preserve"> There were a few problems with this series of events and the outcomes that resulted. As Levine explains it, “Disturbingly, in the process of consulting with Dr. Coran, the commanders not only deferred to the purported position of an individual who was not a rabbi, but they either misunderstood or intentionally misstated Dr. Coran’s response</w:t>
      </w:r>
      <w:r w:rsidR="00785829"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11"/>
      </w:r>
      <w:r w:rsidRPr="009341AA">
        <w:rPr>
          <w:rFonts w:ascii="Times New Roman" w:hAnsi="Times New Roman" w:cs="Times New Roman"/>
        </w:rPr>
        <w:t xml:space="preserve"> It was later discovered that Dr. Coran had actually told the base chaplain that there was an obligation for a Jewish male to cover his head at all times but it was up to the individual as to what that covering would be. He could use a traditional yarmulke, a baseball cap, or even a military cap. Due to uniform regulations, Goldman could not wear his military cap </w:t>
      </w:r>
      <w:r w:rsidR="00DD130B" w:rsidRPr="009341AA">
        <w:rPr>
          <w:rFonts w:ascii="Times New Roman" w:hAnsi="Times New Roman" w:cs="Times New Roman"/>
        </w:rPr>
        <w:t>indoors so it made</w:t>
      </w:r>
      <w:r w:rsidRPr="009341AA">
        <w:rPr>
          <w:rFonts w:ascii="Times New Roman" w:hAnsi="Times New Roman" w:cs="Times New Roman"/>
        </w:rPr>
        <w:t xml:space="preserve"> </w:t>
      </w:r>
      <w:r w:rsidR="00DD130B" w:rsidRPr="009341AA">
        <w:rPr>
          <w:rFonts w:ascii="Times New Roman" w:hAnsi="Times New Roman" w:cs="Times New Roman"/>
        </w:rPr>
        <w:t>Jewish sense</w:t>
      </w:r>
      <w:r w:rsidRPr="009341AA">
        <w:rPr>
          <w:rFonts w:ascii="Times New Roman" w:hAnsi="Times New Roman" w:cs="Times New Roman"/>
        </w:rPr>
        <w:t xml:space="preserve"> to wear a traditional yarmulke</w:t>
      </w:r>
      <w:r w:rsidR="00300B67" w:rsidRPr="009341AA">
        <w:rPr>
          <w:rFonts w:ascii="Times New Roman" w:hAnsi="Times New Roman" w:cs="Times New Roman"/>
        </w:rPr>
        <w:t xml:space="preserve"> instead</w:t>
      </w:r>
      <w:r w:rsidR="002076A6" w:rsidRPr="009341AA">
        <w:rPr>
          <w:rFonts w:ascii="Times New Roman" w:hAnsi="Times New Roman" w:cs="Times New Roman"/>
        </w:rPr>
        <w:t>.</w:t>
      </w:r>
      <w:r w:rsidR="004C61A9" w:rsidRPr="009341AA">
        <w:rPr>
          <w:rStyle w:val="FootnoteReference"/>
          <w:rFonts w:ascii="Times New Roman" w:hAnsi="Times New Roman" w:cs="Times New Roman"/>
        </w:rPr>
        <w:footnoteReference w:id="112"/>
      </w:r>
    </w:p>
    <w:p w14:paraId="40F05F94" w14:textId="3AF81190" w:rsidR="00D214D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Unfortunately, this was not the last time in the proceedings of this case that Goldman was met with discrimination from his superiors. During one of Goldman’s therapy sessions that he was conducting, he was interrupted by a knock at the door. He was told by the interrupter that the base commander needed to speak with him. When Goldman asked if he could finish the therapy session first, he was told </w:t>
      </w:r>
      <w:r w:rsidR="002076A6" w:rsidRPr="009341AA">
        <w:rPr>
          <w:rFonts w:ascii="Times New Roman" w:hAnsi="Times New Roman" w:cs="Times New Roman"/>
        </w:rPr>
        <w:t>he could not.</w:t>
      </w:r>
      <w:r w:rsidRPr="009341AA">
        <w:rPr>
          <w:rFonts w:ascii="Times New Roman" w:hAnsi="Times New Roman" w:cs="Times New Roman"/>
        </w:rPr>
        <w:t xml:space="preserve"> The base commander asked to meet with Goldman so he could tell him to remove his yarmulke. Immediately after receiving the order, Goldman attempted to meet with the Vice Wing Commander but </w:t>
      </w:r>
      <w:r w:rsidR="00B917A3" w:rsidRPr="009341AA">
        <w:rPr>
          <w:rFonts w:ascii="Times New Roman" w:hAnsi="Times New Roman" w:cs="Times New Roman"/>
        </w:rPr>
        <w:t>this</w:t>
      </w:r>
      <w:r w:rsidRPr="009341AA">
        <w:rPr>
          <w:rFonts w:ascii="Times New Roman" w:hAnsi="Times New Roman" w:cs="Times New Roman"/>
        </w:rPr>
        <w:t xml:space="preserve"> Commander who also acted as the Inspector General refused to meet </w:t>
      </w:r>
      <w:r w:rsidRPr="009341AA">
        <w:rPr>
          <w:rFonts w:ascii="Times New Roman" w:hAnsi="Times New Roman" w:cs="Times New Roman"/>
        </w:rPr>
        <w:lastRenderedPageBreak/>
        <w:t xml:space="preserve">with Goldman because he was out of uniform due to his yarmulke. Of course, this was the very matter that Goldman wanted to speak with the Inspector General about. Trying to find a </w:t>
      </w:r>
      <w:r w:rsidR="005E363C" w:rsidRPr="009341AA">
        <w:rPr>
          <w:rFonts w:ascii="Times New Roman" w:hAnsi="Times New Roman" w:cs="Times New Roman"/>
        </w:rPr>
        <w:t>loophole</w:t>
      </w:r>
      <w:r w:rsidRPr="009341AA">
        <w:rPr>
          <w:rFonts w:ascii="Times New Roman" w:hAnsi="Times New Roman" w:cs="Times New Roman"/>
        </w:rPr>
        <w:t>, Goldman suggested they meet outdoors so he could wear his military cap but again, the Inspector General refused. It was at this point that Goldman filed for the TRO</w:t>
      </w:r>
      <w:r w:rsidR="00785829" w:rsidRPr="009341AA">
        <w:rPr>
          <w:rFonts w:ascii="Times New Roman" w:hAnsi="Times New Roman" w:cs="Times New Roman"/>
        </w:rPr>
        <w:t>.</w:t>
      </w:r>
      <w:r w:rsidR="004C61A9" w:rsidRPr="009341AA">
        <w:rPr>
          <w:rStyle w:val="FootnoteReference"/>
          <w:rFonts w:ascii="Times New Roman" w:hAnsi="Times New Roman" w:cs="Times New Roman"/>
        </w:rPr>
        <w:footnoteReference w:id="113"/>
      </w:r>
    </w:p>
    <w:p w14:paraId="7592EB1D" w14:textId="5862729E" w:rsidR="00300B67"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TRO came before Judge Aubrey Robinson Jr., on July 2, 1981. Judge Robinson granted Goldman’s motion</w:t>
      </w:r>
      <w:r w:rsidR="00B917A3" w:rsidRPr="009341AA">
        <w:rPr>
          <w:rFonts w:ascii="Times New Roman" w:hAnsi="Times New Roman" w:cs="Times New Roman"/>
        </w:rPr>
        <w:t>,</w:t>
      </w:r>
      <w:r w:rsidRPr="009341AA">
        <w:rPr>
          <w:rFonts w:ascii="Times New Roman" w:hAnsi="Times New Roman" w:cs="Times New Roman"/>
        </w:rPr>
        <w:t xml:space="preserve"> arguing that, “‘consistent with the requirements of Orthodox Jewish practice, Goldman wears a skull cap, or yarmulke, at all times.’ Accordingly, he forcefully explained, ‘there can be no doubt [that] Goldman’s insistence on wearing a yarmulke is motivated by religious convictions, and is therefore entitled to First Amendment protections</w:t>
      </w:r>
      <w:r w:rsidR="00B917A3"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14"/>
      </w:r>
      <w:r w:rsidRPr="009341AA">
        <w:rPr>
          <w:rFonts w:ascii="Times New Roman" w:hAnsi="Times New Roman" w:cs="Times New Roman"/>
        </w:rPr>
        <w:t xml:space="preserve"> Judge Robinson disagreed with the opinion of Major General Herbert L. Emanuel who submitted an affidavit saying that, “permitting [Goldman] to wear his yarmulke will crush the spirit of uniformity, which in turn will weaken the will and fighting ability of the Air Force</w:t>
      </w:r>
      <w:r w:rsidR="00B917A3"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15"/>
      </w:r>
      <w:r w:rsidRPr="009341AA">
        <w:rPr>
          <w:rFonts w:ascii="Times New Roman" w:hAnsi="Times New Roman" w:cs="Times New Roman"/>
        </w:rPr>
        <w:t xml:space="preserve"> Ruling in favor of Goldman, Judge Robinson explained that the concerns of the Air Force were “unlikely” and that the concern of the military does not keep a court from doing its civic duty of protecting the right to free exercise</w:t>
      </w:r>
      <w:r w:rsidR="00785829" w:rsidRPr="009341AA">
        <w:rPr>
          <w:rFonts w:ascii="Times New Roman" w:hAnsi="Times New Roman" w:cs="Times New Roman"/>
        </w:rPr>
        <w:t>.</w:t>
      </w:r>
      <w:r w:rsidR="004C61A9" w:rsidRPr="009341AA">
        <w:rPr>
          <w:rStyle w:val="FootnoteReference"/>
          <w:rFonts w:ascii="Times New Roman" w:hAnsi="Times New Roman" w:cs="Times New Roman"/>
        </w:rPr>
        <w:footnoteReference w:id="116"/>
      </w:r>
      <w:r w:rsidRPr="009341AA">
        <w:rPr>
          <w:rFonts w:ascii="Times New Roman" w:hAnsi="Times New Roman" w:cs="Times New Roman"/>
        </w:rPr>
        <w:t xml:space="preserve"> To finalize the g</w:t>
      </w:r>
      <w:r w:rsidR="00300B67" w:rsidRPr="009341AA">
        <w:rPr>
          <w:rFonts w:ascii="Times New Roman" w:hAnsi="Times New Roman" w:cs="Times New Roman"/>
        </w:rPr>
        <w:t>ranting of the motion,</w:t>
      </w:r>
    </w:p>
    <w:p w14:paraId="608F8150" w14:textId="53D3F761" w:rsidR="00D214D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 xml:space="preserve">Judge Robinson observed, these conclusions [of the Air Force] were not the result of empirical or psychological studies. Instead, he found, they were based on ‘the personal beliefs and assumptions of Air Force officials’ and were therefore ‘inadequate to withstand constitutional scrutiny.’ Thus, Judge Robinson </w:t>
      </w:r>
      <w:r w:rsidRPr="009341AA">
        <w:rPr>
          <w:rFonts w:ascii="Times New Roman" w:hAnsi="Times New Roman" w:cs="Times New Roman"/>
        </w:rPr>
        <w:lastRenderedPageBreak/>
        <w:t>permanently enjoined the Air Force from enforcing the order banning Goldman from wearing a yarmulke while in uniform</w:t>
      </w:r>
      <w:r w:rsidR="00B917A3" w:rsidRPr="009341AA">
        <w:rPr>
          <w:rFonts w:ascii="Times New Roman" w:hAnsi="Times New Roman" w:cs="Times New Roman"/>
        </w:rPr>
        <w:t>.</w:t>
      </w:r>
      <w:r w:rsidR="004C61A9" w:rsidRPr="009341AA">
        <w:rPr>
          <w:rStyle w:val="FootnoteReference"/>
          <w:rFonts w:ascii="Times New Roman" w:hAnsi="Times New Roman" w:cs="Times New Roman"/>
        </w:rPr>
        <w:footnoteReference w:id="117"/>
      </w:r>
    </w:p>
    <w:p w14:paraId="1F87BF79" w14:textId="1942FD95" w:rsidR="00B60E4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government appealed the ruling in 1983, which was seen in front of the United States Court of Appeals for the District of Columbia Circuit. A year later, the three-judge panel reversed Judge Robinson’s decision. Interestingly, the court agreed with Judge Robinson that Goldman’s free exercise was not at stake and rejected the Air Force’s claim that not all Orthodox Jews feel a religious obligation to cover their heads at all times</w:t>
      </w:r>
      <w:r w:rsidR="006504D2" w:rsidRPr="009341AA">
        <w:rPr>
          <w:rFonts w:ascii="Times New Roman" w:hAnsi="Times New Roman" w:cs="Times New Roman"/>
        </w:rPr>
        <w:t>.</w:t>
      </w:r>
      <w:r w:rsidR="004C61A9" w:rsidRPr="009341AA">
        <w:rPr>
          <w:rStyle w:val="FootnoteReference"/>
          <w:rFonts w:ascii="Times New Roman" w:hAnsi="Times New Roman" w:cs="Times New Roman"/>
        </w:rPr>
        <w:footnoteReference w:id="118"/>
      </w:r>
      <w:r w:rsidRPr="009341AA">
        <w:rPr>
          <w:rFonts w:ascii="Times New Roman" w:hAnsi="Times New Roman" w:cs="Times New Roman"/>
        </w:rPr>
        <w:t xml:space="preserve"> It was understood that Goldman’s wearing of his </w:t>
      </w:r>
      <w:r w:rsidR="00785829" w:rsidRPr="009341AA">
        <w:rPr>
          <w:rFonts w:ascii="Times New Roman" w:hAnsi="Times New Roman" w:cs="Times New Roman"/>
        </w:rPr>
        <w:t>yarmulke,</w:t>
      </w:r>
      <w:r w:rsidRPr="009341AA">
        <w:rPr>
          <w:rFonts w:ascii="Times New Roman" w:hAnsi="Times New Roman" w:cs="Times New Roman"/>
        </w:rPr>
        <w:t xml:space="preserve"> as an Orthodox Jew was a protected religious practice. The court continued to categorize the Air Force’s argument as “weak” when they made the claim that Goldman’s yarmulke posed a safety hazard</w:t>
      </w:r>
      <w:r w:rsidR="00737AE7" w:rsidRPr="009341AA">
        <w:rPr>
          <w:rFonts w:ascii="Times New Roman" w:hAnsi="Times New Roman" w:cs="Times New Roman"/>
        </w:rPr>
        <w:t>.</w:t>
      </w:r>
      <w:r w:rsidR="004C61A9" w:rsidRPr="009341AA">
        <w:rPr>
          <w:rStyle w:val="FootnoteReference"/>
          <w:rFonts w:ascii="Times New Roman" w:hAnsi="Times New Roman" w:cs="Times New Roman"/>
        </w:rPr>
        <w:footnoteReference w:id="119"/>
      </w:r>
      <w:r w:rsidRPr="009341AA">
        <w:rPr>
          <w:rFonts w:ascii="Times New Roman" w:hAnsi="Times New Roman" w:cs="Times New Roman"/>
        </w:rPr>
        <w:t xml:space="preserve"> The court stated that, “there is no indication that safety within the Metal Health Clinic was threatened</w:t>
      </w:r>
      <w:r w:rsidR="00737AE7" w:rsidRPr="009341AA">
        <w:rPr>
          <w:rFonts w:ascii="Times New Roman" w:hAnsi="Times New Roman" w:cs="Times New Roman"/>
        </w:rPr>
        <w:t>.</w:t>
      </w:r>
      <w:r w:rsidRPr="009341AA">
        <w:rPr>
          <w:rFonts w:ascii="Times New Roman" w:hAnsi="Times New Roman" w:cs="Times New Roman"/>
        </w:rPr>
        <w:t>”</w:t>
      </w:r>
      <w:r w:rsidR="004C61A9" w:rsidRPr="009341AA">
        <w:rPr>
          <w:rStyle w:val="FootnoteReference"/>
          <w:rFonts w:ascii="Times New Roman" w:hAnsi="Times New Roman" w:cs="Times New Roman"/>
        </w:rPr>
        <w:footnoteReference w:id="120"/>
      </w:r>
      <w:r w:rsidRPr="009341AA">
        <w:rPr>
          <w:rFonts w:ascii="Times New Roman" w:hAnsi="Times New Roman" w:cs="Times New Roman"/>
        </w:rPr>
        <w:t xml:space="preserve"> The Air Force also claimed that if they make allowances for one religion, they have to make allowances for all but the court also dismissed this allegation</w:t>
      </w:r>
      <w:r w:rsidR="00175A47" w:rsidRPr="009341AA">
        <w:rPr>
          <w:rFonts w:ascii="Times New Roman" w:hAnsi="Times New Roman" w:cs="Times New Roman"/>
        </w:rPr>
        <w:t>.</w:t>
      </w:r>
      <w:r w:rsidR="004C61A9" w:rsidRPr="009341AA">
        <w:rPr>
          <w:rStyle w:val="FootnoteReference"/>
          <w:rFonts w:ascii="Times New Roman" w:hAnsi="Times New Roman" w:cs="Times New Roman"/>
        </w:rPr>
        <w:footnoteReference w:id="121"/>
      </w:r>
      <w:r w:rsidRPr="009341AA">
        <w:rPr>
          <w:rFonts w:ascii="Times New Roman" w:hAnsi="Times New Roman" w:cs="Times New Roman"/>
        </w:rPr>
        <w:t xml:space="preserve"> </w:t>
      </w:r>
    </w:p>
    <w:p w14:paraId="26668522" w14:textId="3D5FA4D3" w:rsidR="00D214DF" w:rsidRPr="009341AA" w:rsidRDefault="00D214DF"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the end, the court sided with the Air Force. Their argument stated that, “any exceptions for religious practice would ‘incur resentment from those who are compelled to adhere t</w:t>
      </w:r>
      <w:r w:rsidR="004C61A9" w:rsidRPr="009341AA">
        <w:rPr>
          <w:rFonts w:ascii="Times New Roman" w:hAnsi="Times New Roman" w:cs="Times New Roman"/>
        </w:rPr>
        <w:t>o the rules strictly</w:t>
      </w:r>
      <w:r w:rsidRPr="009341AA">
        <w:rPr>
          <w:rFonts w:ascii="Times New Roman" w:hAnsi="Times New Roman" w:cs="Times New Roman"/>
        </w:rPr>
        <w:t>,</w:t>
      </w:r>
      <w:r w:rsidR="004C61A9" w:rsidRPr="009341AA">
        <w:rPr>
          <w:rFonts w:ascii="Times New Roman" w:hAnsi="Times New Roman" w:cs="Times New Roman"/>
        </w:rPr>
        <w:t xml:space="preserve"> </w:t>
      </w:r>
      <w:r w:rsidRPr="009341AA">
        <w:rPr>
          <w:rFonts w:ascii="Times New Roman" w:hAnsi="Times New Roman" w:cs="Times New Roman"/>
        </w:rPr>
        <w:t>thereby undermining the goals of teamwork, motivation, discipline, and the like…’”</w:t>
      </w:r>
      <w:r w:rsidR="004C61A9" w:rsidRPr="009341AA">
        <w:rPr>
          <w:rStyle w:val="FootnoteReference"/>
          <w:rFonts w:ascii="Times New Roman" w:hAnsi="Times New Roman" w:cs="Times New Roman"/>
        </w:rPr>
        <w:footnoteReference w:id="122"/>
      </w:r>
      <w:r w:rsidRPr="009341AA">
        <w:rPr>
          <w:rFonts w:ascii="Times New Roman" w:hAnsi="Times New Roman" w:cs="Times New Roman"/>
        </w:rPr>
        <w:t xml:space="preserve"> Due to the nature of the claim, the court decided it was out of their line of expertise to decide what does and does not diminish the Air Force’s goal </w:t>
      </w:r>
      <w:r w:rsidRPr="009341AA">
        <w:rPr>
          <w:rFonts w:ascii="Times New Roman" w:hAnsi="Times New Roman" w:cs="Times New Roman"/>
        </w:rPr>
        <w:lastRenderedPageBreak/>
        <w:t>of uniformity and teamwork and therefore, reversed Judge Robinson’s decision. It was early in 1986 that Goldman appealed his case to the Supreme Court.</w:t>
      </w:r>
    </w:p>
    <w:p w14:paraId="005D4B99"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1629DFFC"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Decision</w:t>
      </w:r>
    </w:p>
    <w:p w14:paraId="6815624F" w14:textId="7410C8C1"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decision handed down by the Court, which sided with the government that prohibiting Goldman from wearing a yarmulke was not an infringement on his First Amendment rights, was decided based on the military’s need for uniformity</w:t>
      </w:r>
      <w:r w:rsidR="00091994" w:rsidRPr="009341AA">
        <w:rPr>
          <w:rFonts w:ascii="Times New Roman" w:hAnsi="Times New Roman" w:cs="Times New Roman"/>
        </w:rPr>
        <w:t>.</w:t>
      </w:r>
      <w:r w:rsidR="000C2366" w:rsidRPr="009341AA">
        <w:rPr>
          <w:rStyle w:val="FootnoteReference"/>
          <w:rFonts w:ascii="Times New Roman" w:hAnsi="Times New Roman" w:cs="Times New Roman"/>
        </w:rPr>
        <w:footnoteReference w:id="123"/>
      </w:r>
      <w:r w:rsidR="00300B67" w:rsidRPr="009341AA">
        <w:rPr>
          <w:rFonts w:ascii="Times New Roman" w:hAnsi="Times New Roman" w:cs="Times New Roman"/>
        </w:rPr>
        <w:t xml:space="preserve"> The Air Force believed</w:t>
      </w:r>
      <w:r w:rsidRPr="009341AA">
        <w:rPr>
          <w:rFonts w:ascii="Times New Roman" w:hAnsi="Times New Roman" w:cs="Times New Roman"/>
        </w:rPr>
        <w:t xml:space="preserve"> uniforms encourage</w:t>
      </w:r>
      <w:r w:rsidR="00300B67" w:rsidRPr="009341AA">
        <w:rPr>
          <w:rFonts w:ascii="Times New Roman" w:hAnsi="Times New Roman" w:cs="Times New Roman"/>
        </w:rPr>
        <w:t>d</w:t>
      </w:r>
      <w:r w:rsidRPr="009341AA">
        <w:rPr>
          <w:rFonts w:ascii="Times New Roman" w:hAnsi="Times New Roman" w:cs="Times New Roman"/>
        </w:rPr>
        <w:t>,</w:t>
      </w:r>
      <w:r w:rsidR="00811AD3" w:rsidRPr="009341AA">
        <w:rPr>
          <w:rFonts w:ascii="Times New Roman" w:hAnsi="Times New Roman" w:cs="Times New Roman"/>
        </w:rPr>
        <w:t xml:space="preserve"> </w:t>
      </w:r>
      <w:r w:rsidRPr="009341AA">
        <w:rPr>
          <w:rFonts w:ascii="Times New Roman" w:hAnsi="Times New Roman" w:cs="Times New Roman"/>
        </w:rPr>
        <w:t>“the subordination of personal preferences and identities in favor of the overall group mission</w:t>
      </w:r>
      <w:r w:rsidR="001F4F46" w:rsidRPr="009341AA">
        <w:rPr>
          <w:rFonts w:ascii="Times New Roman" w:hAnsi="Times New Roman" w:cs="Times New Roman"/>
        </w:rPr>
        <w:t>.</w:t>
      </w:r>
      <w:r w:rsidRPr="009341AA">
        <w:rPr>
          <w:rFonts w:ascii="Times New Roman" w:hAnsi="Times New Roman" w:cs="Times New Roman"/>
        </w:rPr>
        <w:t>”</w:t>
      </w:r>
      <w:r w:rsidR="000C2366" w:rsidRPr="009341AA">
        <w:rPr>
          <w:rStyle w:val="FootnoteReference"/>
          <w:rFonts w:ascii="Times New Roman" w:hAnsi="Times New Roman" w:cs="Times New Roman"/>
        </w:rPr>
        <w:footnoteReference w:id="124"/>
      </w:r>
      <w:r w:rsidRPr="009341AA">
        <w:rPr>
          <w:rFonts w:ascii="Times New Roman" w:hAnsi="Times New Roman" w:cs="Times New Roman"/>
        </w:rPr>
        <w:t xml:space="preserve"> In contradiction, Justice Brennan</w:t>
      </w:r>
      <w:r w:rsidR="00DD130B" w:rsidRPr="009341AA">
        <w:rPr>
          <w:rFonts w:ascii="Times New Roman" w:hAnsi="Times New Roman" w:cs="Times New Roman"/>
        </w:rPr>
        <w:t>’s dissent</w:t>
      </w:r>
      <w:r w:rsidRPr="009341AA">
        <w:rPr>
          <w:rFonts w:ascii="Times New Roman" w:hAnsi="Times New Roman" w:cs="Times New Roman"/>
        </w:rPr>
        <w:t xml:space="preserve"> stated:</w:t>
      </w:r>
    </w:p>
    <w:p w14:paraId="17696225" w14:textId="351C423C"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Mere personal preferences in dress are not constitutionally protected. The First Amendment, however, restrains the Government’s ability to prevent an Orthodox Jewish serviceman from, or punish him for, wearing a yarmulke…The fact that ‘the regulations do not permit the wearing of…a yarmulke,’ does not simply render military life for observant Orthodox Jews ‘objectionable.’ It sets up an almost absolute bar to the fulfillment of a religious duty. Dr. Goldman spent most of his time in uniform indoors, where the dress code forbade him even to cover his head with his service cap. Consequently, he was asked to violate the tenets of his faith virtually every minute of every workday</w:t>
      </w:r>
      <w:r w:rsidR="00811AD3" w:rsidRPr="009341AA">
        <w:rPr>
          <w:rFonts w:ascii="Times New Roman" w:hAnsi="Times New Roman" w:cs="Times New Roman"/>
        </w:rPr>
        <w:t>.</w:t>
      </w:r>
      <w:r w:rsidR="000C2366" w:rsidRPr="009341AA">
        <w:rPr>
          <w:rStyle w:val="FootnoteReference"/>
          <w:rFonts w:ascii="Times New Roman" w:hAnsi="Times New Roman" w:cs="Times New Roman"/>
        </w:rPr>
        <w:footnoteReference w:id="125"/>
      </w:r>
    </w:p>
    <w:p w14:paraId="40E6D911" w14:textId="4D640588"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Justice Brennan finds it so absurd that not only does the Air Force make the claim that Goldman’s uniformity is such a threat but that the Court just accepts this claim </w:t>
      </w:r>
      <w:r w:rsidRPr="009341AA">
        <w:rPr>
          <w:rFonts w:ascii="Times New Roman" w:hAnsi="Times New Roman" w:cs="Times New Roman"/>
        </w:rPr>
        <w:lastRenderedPageBreak/>
        <w:t>without question. Brennan goes on to mock the Air Force by saying, “Non-Jewish personnel will perceive the wearing of a yarmulke by an Orthodox Jew as an unauthorized departure from the rules and will begin to question the principle of unswerving obedience. Thus shall our fighting forces slip down the treacherous slope toward unkempt appearances, anarchy, and, ultimately, defeat at the hands of our enemies</w:t>
      </w:r>
      <w:r w:rsidR="00811AD3" w:rsidRPr="009341AA">
        <w:rPr>
          <w:rFonts w:ascii="Times New Roman" w:hAnsi="Times New Roman" w:cs="Times New Roman"/>
        </w:rPr>
        <w:t>.</w:t>
      </w:r>
      <w:r w:rsidRPr="009341AA">
        <w:rPr>
          <w:rFonts w:ascii="Times New Roman" w:hAnsi="Times New Roman" w:cs="Times New Roman"/>
        </w:rPr>
        <w:t>”</w:t>
      </w:r>
      <w:r w:rsidR="000C2366" w:rsidRPr="009341AA">
        <w:rPr>
          <w:rStyle w:val="FootnoteReference"/>
          <w:rFonts w:ascii="Times New Roman" w:hAnsi="Times New Roman" w:cs="Times New Roman"/>
        </w:rPr>
        <w:footnoteReference w:id="126"/>
      </w:r>
      <w:r w:rsidRPr="009341AA">
        <w:rPr>
          <w:rFonts w:ascii="Times New Roman" w:hAnsi="Times New Roman" w:cs="Times New Roman"/>
        </w:rPr>
        <w:t xml:space="preserve"> Brennan is so baffled by the Air Force’s claim and the Court</w:t>
      </w:r>
      <w:r w:rsidR="00100A19" w:rsidRPr="009341AA">
        <w:rPr>
          <w:rFonts w:ascii="Times New Roman" w:hAnsi="Times New Roman" w:cs="Times New Roman"/>
        </w:rPr>
        <w:t>’</w:t>
      </w:r>
      <w:r w:rsidRPr="009341AA">
        <w:rPr>
          <w:rFonts w:ascii="Times New Roman" w:hAnsi="Times New Roman" w:cs="Times New Roman"/>
        </w:rPr>
        <w:t>s acceptance that he continues to disprove such an argument by recounting the Air Forces rules on jewelry. The Air Force allows jewelry when it is neat and conservative. Brennan argues that yarmulkes cannot be so out of the ordinary that they shouldn’t be treated in the same fashion. He then goes on to explain how this so called “uniformity” is an illusion because in attempting to not accommodate anyone and treating all religions the same, the military is actually just accommodating the majority.</w:t>
      </w:r>
    </w:p>
    <w:p w14:paraId="732240C8" w14:textId="062B7CEB"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his dissent, Brennan goes on to explain how this way of regulating faith based clothing puts people into two categories, “those with visible dress and grooming requirements and those without</w:t>
      </w:r>
      <w:r w:rsidR="00B632B5" w:rsidRPr="009341AA">
        <w:rPr>
          <w:rFonts w:ascii="Times New Roman" w:hAnsi="Times New Roman" w:cs="Times New Roman"/>
        </w:rPr>
        <w:t>.</w:t>
      </w:r>
      <w:r w:rsidRPr="009341AA">
        <w:rPr>
          <w:rFonts w:ascii="Times New Roman" w:hAnsi="Times New Roman" w:cs="Times New Roman"/>
        </w:rPr>
        <w:t>”</w:t>
      </w:r>
      <w:r w:rsidR="000C2366" w:rsidRPr="009341AA">
        <w:rPr>
          <w:rStyle w:val="FootnoteReference"/>
          <w:rFonts w:ascii="Times New Roman" w:hAnsi="Times New Roman" w:cs="Times New Roman"/>
        </w:rPr>
        <w:footnoteReference w:id="127"/>
      </w:r>
      <w:r w:rsidRPr="009341AA">
        <w:rPr>
          <w:rFonts w:ascii="Times New Roman" w:hAnsi="Times New Roman" w:cs="Times New Roman"/>
        </w:rPr>
        <w:t xml:space="preserve"> Categorizing religions in this way poses a problem that the First Amendment was intended to fix. The neutrality of no one getting accommodations ends up discriminating against the minority faiths </w:t>
      </w:r>
      <w:r w:rsidR="005E363C" w:rsidRPr="009341AA">
        <w:rPr>
          <w:rFonts w:ascii="Times New Roman" w:hAnsi="Times New Roman" w:cs="Times New Roman"/>
        </w:rPr>
        <w:t>that</w:t>
      </w:r>
      <w:r w:rsidRPr="009341AA">
        <w:rPr>
          <w:rFonts w:ascii="Times New Roman" w:hAnsi="Times New Roman" w:cs="Times New Roman"/>
        </w:rPr>
        <w:t xml:space="preserve"> need religious accommodations.</w:t>
      </w:r>
    </w:p>
    <w:p w14:paraId="041C302C" w14:textId="58C484E7"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When this country was first founded and the rules of the military were being formed, it made sense to allow Christian soldiers to be faithful participants of their religion. No military rules prohibit Christians from being faithful Christians. One could make a comparison to the Israeli Defense Force (IDF). Because Israel is a predominately Jewish </w:t>
      </w:r>
      <w:r w:rsidRPr="009341AA">
        <w:rPr>
          <w:rFonts w:ascii="Times New Roman" w:hAnsi="Times New Roman" w:cs="Times New Roman"/>
        </w:rPr>
        <w:lastRenderedPageBreak/>
        <w:t>state, its military (which is a requirement for all citizens at the age of 18) accommodates the Jewish faith. Jews that serve in the IDF have no problems being faithful Jews because the military is set up to accommodate. Similarly, Christians have no problems being faithful Christians in the US military because it is more or less set up to accommodate in the same way the American culture accommodates Christians. Understandably, issues have arisen over the years concerning the US military and soldiers that adhere to religions other than Christianity.</w:t>
      </w:r>
    </w:p>
    <w:p w14:paraId="4870B0AC" w14:textId="15E3A1D7" w:rsidR="004C61A9" w:rsidRPr="009341AA" w:rsidRDefault="00980B78"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ways in whic</w:t>
      </w:r>
      <w:r w:rsidR="00787B6B" w:rsidRPr="009341AA">
        <w:rPr>
          <w:rFonts w:ascii="Times New Roman" w:hAnsi="Times New Roman" w:cs="Times New Roman"/>
        </w:rPr>
        <w:t>h the military was</w:t>
      </w:r>
      <w:r w:rsidRPr="009341AA">
        <w:rPr>
          <w:rFonts w:ascii="Times New Roman" w:hAnsi="Times New Roman" w:cs="Times New Roman"/>
        </w:rPr>
        <w:t xml:space="preserve"> set up </w:t>
      </w:r>
      <w:r w:rsidR="00787B6B" w:rsidRPr="009341AA">
        <w:rPr>
          <w:rFonts w:ascii="Times New Roman" w:hAnsi="Times New Roman" w:cs="Times New Roman"/>
        </w:rPr>
        <w:t>seems to be</w:t>
      </w:r>
      <w:r w:rsidRPr="009341AA">
        <w:rPr>
          <w:rFonts w:ascii="Times New Roman" w:hAnsi="Times New Roman" w:cs="Times New Roman"/>
        </w:rPr>
        <w:t xml:space="preserve"> largely based on the kind of </w:t>
      </w:r>
      <w:r w:rsidR="00787B6B" w:rsidRPr="009341AA">
        <w:rPr>
          <w:rFonts w:ascii="Times New Roman" w:hAnsi="Times New Roman" w:cs="Times New Roman"/>
        </w:rPr>
        <w:t xml:space="preserve"> country America was at the time of its founding, meaning with an ideology that focuses around monotheistic, mainly Christian, values. With that in mind, it does not seem a far stretch to assume that all Christian practices have already been accommodated in the regulations set out. Another point to be made is that the accommodation that Goldman was asking for did not seem to put a huge strain on anyone other than Goldman. The yarmulke he was asking to wear was probably modest in color and size.  In</w:t>
      </w:r>
      <w:r w:rsidR="004C61A9" w:rsidRPr="009341AA">
        <w:rPr>
          <w:rFonts w:ascii="Times New Roman" w:hAnsi="Times New Roman" w:cs="Times New Roman"/>
        </w:rPr>
        <w:t xml:space="preserve"> Brennan’s dissent, he brought up the fact that the Air Force allows jewelry that is considered neat and conservative so a yarmulke should be judged by the same criteria</w:t>
      </w:r>
      <w:r w:rsidR="004A2826" w:rsidRPr="009341AA">
        <w:rPr>
          <w:rFonts w:ascii="Times New Roman" w:hAnsi="Times New Roman" w:cs="Times New Roman"/>
        </w:rPr>
        <w:t>.</w:t>
      </w:r>
      <w:r w:rsidR="000C2366" w:rsidRPr="009341AA">
        <w:rPr>
          <w:rStyle w:val="FootnoteReference"/>
          <w:rFonts w:ascii="Times New Roman" w:hAnsi="Times New Roman" w:cs="Times New Roman"/>
        </w:rPr>
        <w:footnoteReference w:id="128"/>
      </w:r>
      <w:r w:rsidR="004C61A9" w:rsidRPr="009341AA">
        <w:rPr>
          <w:rFonts w:ascii="Times New Roman" w:hAnsi="Times New Roman" w:cs="Times New Roman"/>
        </w:rPr>
        <w:t xml:space="preserve"> Brennan pointed out that Justice Stevens thought it best to apply the “visibility test” to this case but the visibility test clearly favors Christians as Christians are not required to wear anything visible as a sign of piety. To the rest of Stevens’ point, Brennan had this to say:</w:t>
      </w:r>
    </w:p>
    <w:p w14:paraId="2636822A" w14:textId="2500E84F" w:rsidR="004C61A9" w:rsidRPr="009341AA" w:rsidRDefault="004C61A9"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Implicit in Justice Stevens’ concurrence, and in the Government’s arguments, is what might be characterized a</w:t>
      </w:r>
      <w:r w:rsidR="000C2366" w:rsidRPr="009341AA">
        <w:rPr>
          <w:rFonts w:ascii="Times New Roman" w:hAnsi="Times New Roman" w:cs="Times New Roman"/>
        </w:rPr>
        <w:t xml:space="preserve">s a fairness concern. It would </w:t>
      </w:r>
      <w:r w:rsidRPr="009341AA">
        <w:rPr>
          <w:rFonts w:ascii="Times New Roman" w:hAnsi="Times New Roman" w:cs="Times New Roman"/>
        </w:rPr>
        <w:t xml:space="preserve">be unfair to allow Orthodox Jews to wear yarmulkes, while prohibiting members of other minority </w:t>
      </w:r>
      <w:r w:rsidRPr="009341AA">
        <w:rPr>
          <w:rFonts w:ascii="Times New Roman" w:hAnsi="Times New Roman" w:cs="Times New Roman"/>
        </w:rPr>
        <w:lastRenderedPageBreak/>
        <w:t>faiths w</w:t>
      </w:r>
      <w:r w:rsidR="000C2366" w:rsidRPr="009341AA">
        <w:rPr>
          <w:rFonts w:ascii="Times New Roman" w:hAnsi="Times New Roman" w:cs="Times New Roman"/>
        </w:rPr>
        <w:t xml:space="preserve">ith visible dress and grooming </w:t>
      </w:r>
      <w:r w:rsidRPr="009341AA">
        <w:rPr>
          <w:rFonts w:ascii="Times New Roman" w:hAnsi="Times New Roman" w:cs="Times New Roman"/>
        </w:rPr>
        <w:t xml:space="preserve">requirements from wearing their saffron robes, dreadlocks, turbans, and so forth. While I appreciate and share this concern for </w:t>
      </w:r>
      <w:r w:rsidR="000C2366" w:rsidRPr="009341AA">
        <w:rPr>
          <w:rFonts w:ascii="Times New Roman" w:hAnsi="Times New Roman" w:cs="Times New Roman"/>
        </w:rPr>
        <w:t xml:space="preserve">the feelings and the free </w:t>
      </w:r>
      <w:r w:rsidRPr="009341AA">
        <w:rPr>
          <w:rFonts w:ascii="Times New Roman" w:hAnsi="Times New Roman" w:cs="Times New Roman"/>
        </w:rPr>
        <w:t>exercise rights of members of these other faiths, I am baffled by this formulation of the problem. What</w:t>
      </w:r>
      <w:r w:rsidR="000C2366" w:rsidRPr="009341AA">
        <w:rPr>
          <w:rFonts w:ascii="Times New Roman" w:hAnsi="Times New Roman" w:cs="Times New Roman"/>
        </w:rPr>
        <w:t xml:space="preserve"> puzzles me is the implication </w:t>
      </w:r>
      <w:r w:rsidRPr="009341AA">
        <w:rPr>
          <w:rFonts w:ascii="Times New Roman" w:hAnsi="Times New Roman" w:cs="Times New Roman"/>
        </w:rPr>
        <w:t xml:space="preserve">that a neutral standard that could result in the disparate treatment of Orthodox Jews and, for example, Sikhs is </w:t>
      </w:r>
      <w:r w:rsidRPr="009341AA">
        <w:rPr>
          <w:rFonts w:ascii="Times New Roman" w:hAnsi="Times New Roman" w:cs="Times New Roman"/>
          <w:i/>
          <w:iCs/>
        </w:rPr>
        <w:t>more</w:t>
      </w:r>
      <w:r w:rsidR="000C2366" w:rsidRPr="009341AA">
        <w:rPr>
          <w:rFonts w:ascii="Times New Roman" w:hAnsi="Times New Roman" w:cs="Times New Roman"/>
        </w:rPr>
        <w:t xml:space="preserve"> troublesome or unfair </w:t>
      </w:r>
      <w:r w:rsidRPr="009341AA">
        <w:rPr>
          <w:rFonts w:ascii="Times New Roman" w:hAnsi="Times New Roman" w:cs="Times New Roman"/>
        </w:rPr>
        <w:t xml:space="preserve">than the existing neutral standard that does result in the different treatment of Christians, on the one hand, </w:t>
      </w:r>
      <w:r w:rsidR="000C2366" w:rsidRPr="009341AA">
        <w:rPr>
          <w:rFonts w:ascii="Times New Roman" w:hAnsi="Times New Roman" w:cs="Times New Roman"/>
        </w:rPr>
        <w:t xml:space="preserve">and Orthodox Jews and Sikhs on </w:t>
      </w:r>
      <w:r w:rsidRPr="009341AA">
        <w:rPr>
          <w:rFonts w:ascii="Times New Roman" w:hAnsi="Times New Roman" w:cs="Times New Roman"/>
        </w:rPr>
        <w:t>the other</w:t>
      </w:r>
      <w:r w:rsidR="004A2826" w:rsidRPr="009341AA">
        <w:rPr>
          <w:rFonts w:ascii="Times New Roman" w:hAnsi="Times New Roman" w:cs="Times New Roman"/>
        </w:rPr>
        <w:t>.</w:t>
      </w:r>
      <w:r w:rsidR="000C2366" w:rsidRPr="009341AA">
        <w:rPr>
          <w:rStyle w:val="FootnoteReference"/>
          <w:rFonts w:ascii="Times New Roman" w:hAnsi="Times New Roman" w:cs="Times New Roman"/>
        </w:rPr>
        <w:footnoteReference w:id="129"/>
      </w:r>
    </w:p>
    <w:p w14:paraId="58C0F7EA" w14:textId="5DCA2909" w:rsidR="005874CA" w:rsidRPr="009341AA" w:rsidRDefault="00DD130B"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sz w:val="28"/>
          <w:szCs w:val="28"/>
        </w:rPr>
      </w:pPr>
      <w:r w:rsidRPr="009341AA">
        <w:rPr>
          <w:rFonts w:ascii="Times New Roman" w:hAnsi="Times New Roman" w:cs="Times New Roman"/>
        </w:rPr>
        <w:t xml:space="preserve">In order to understand the discrimination that was present during this case, it must be noted that </w:t>
      </w:r>
      <w:r w:rsidR="004C61A9" w:rsidRPr="009341AA">
        <w:rPr>
          <w:rFonts w:ascii="Times New Roman" w:hAnsi="Times New Roman" w:cs="Times New Roman"/>
        </w:rPr>
        <w:t>Goldman had worn his yarmulke while on duty on the Marine Corps Recruit Depot, Parris Island, South Carolina (a Naval base) for two years</w:t>
      </w:r>
      <w:r w:rsidRPr="009341AA">
        <w:rPr>
          <w:rFonts w:ascii="Times New Roman" w:hAnsi="Times New Roman" w:cs="Times New Roman"/>
        </w:rPr>
        <w:t xml:space="preserve"> without a problem</w:t>
      </w:r>
      <w:r w:rsidR="004C61A9" w:rsidRPr="009341AA">
        <w:rPr>
          <w:rFonts w:ascii="Times New Roman" w:hAnsi="Times New Roman" w:cs="Times New Roman"/>
        </w:rPr>
        <w:t>. During his time there, he was, “photographed in uniform and wearing his yarmulke standing alongside the Secretary of Defense, Melvin Laird…and two other individuals…including the major general commanding the base</w:t>
      </w:r>
      <w:r w:rsidR="00BE2ABD" w:rsidRPr="009341AA">
        <w:rPr>
          <w:rFonts w:ascii="Times New Roman" w:hAnsi="Times New Roman" w:cs="Times New Roman"/>
        </w:rPr>
        <w:t>.</w:t>
      </w:r>
      <w:r w:rsidR="004C61A9" w:rsidRPr="009341AA">
        <w:rPr>
          <w:rFonts w:ascii="Times New Roman" w:hAnsi="Times New Roman" w:cs="Times New Roman"/>
        </w:rPr>
        <w:t>”</w:t>
      </w:r>
      <w:r w:rsidR="000C2366" w:rsidRPr="009341AA">
        <w:rPr>
          <w:rStyle w:val="FootnoteReference"/>
          <w:rFonts w:ascii="Times New Roman" w:hAnsi="Times New Roman" w:cs="Times New Roman"/>
        </w:rPr>
        <w:footnoteReference w:id="130"/>
      </w:r>
      <w:r w:rsidR="004C61A9" w:rsidRPr="009341AA">
        <w:rPr>
          <w:rFonts w:ascii="Times New Roman" w:hAnsi="Times New Roman" w:cs="Times New Roman"/>
        </w:rPr>
        <w:t xml:space="preserve"> </w:t>
      </w:r>
    </w:p>
    <w:p w14:paraId="2AD89A1D" w14:textId="50B53772" w:rsidR="00BE3F86"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During the case that was brought to the Supreme Court, the justices took no notice of the religious significance of Goldman’s practice of wearing a yarmulke. The only burden that the justices discussed was what would be placed on the Air Force if they allowed Goldman the accommodation</w:t>
      </w:r>
      <w:r w:rsidR="00F00643" w:rsidRPr="009341AA">
        <w:rPr>
          <w:rFonts w:ascii="Times New Roman" w:hAnsi="Times New Roman" w:cs="Times New Roman"/>
        </w:rPr>
        <w:t>.</w:t>
      </w:r>
      <w:r w:rsidR="007E7772" w:rsidRPr="009341AA">
        <w:rPr>
          <w:rStyle w:val="FootnoteReference"/>
          <w:rFonts w:ascii="Times New Roman" w:hAnsi="Times New Roman" w:cs="Times New Roman"/>
        </w:rPr>
        <w:footnoteReference w:id="131"/>
      </w:r>
      <w:r w:rsidRPr="009341AA">
        <w:rPr>
          <w:rFonts w:ascii="Times New Roman" w:hAnsi="Times New Roman" w:cs="Times New Roman"/>
        </w:rPr>
        <w:t xml:space="preserve"> They probably disregarded the religious significance of Goldman’s practice because it was touched on in the court of appeals. Though it was discussed in the lower courts, their discussions were inadequate to say the least. According to the free exercise jurisprudence, “the court [must] accept the plaintiff’s </w:t>
      </w:r>
      <w:r w:rsidRPr="009341AA">
        <w:rPr>
          <w:rFonts w:ascii="Times New Roman" w:hAnsi="Times New Roman" w:cs="Times New Roman"/>
        </w:rPr>
        <w:lastRenderedPageBreak/>
        <w:t>understanding of religious practice</w:t>
      </w:r>
      <w:r w:rsidR="00F00643"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32"/>
      </w:r>
      <w:r w:rsidRPr="009341AA">
        <w:rPr>
          <w:rFonts w:ascii="Times New Roman" w:hAnsi="Times New Roman" w:cs="Times New Roman"/>
        </w:rPr>
        <w:t xml:space="preserve"> In her oral argument in front of the Supreme Court, the Solicitor General, Kathryn Oberly, said, “although it is a strong, well-established practice and tradition of devout Orthodox Jewish males to wear a yarmulke, it is not a requirement of Jewish law</w:t>
      </w:r>
      <w:r w:rsidR="00F00643"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33"/>
      </w:r>
      <w:r w:rsidRPr="009341AA">
        <w:rPr>
          <w:rFonts w:ascii="Times New Roman" w:hAnsi="Times New Roman" w:cs="Times New Roman"/>
        </w:rPr>
        <w:t xml:space="preserve"> Technically, wearing a yarmulke is not a requirement in the Jewish tradition but Goldman recognized the practice as a necessary part of his faith and as Oberly continued, she admitted that they recognized the sincerity of Goldman’s religious belief. Still, she remained steadfast that Goldman’s religious opinions did not matter because the fact was that yarmulkes were not required. The court is</w:t>
      </w:r>
      <w:r w:rsidR="00F00643" w:rsidRPr="009341AA">
        <w:rPr>
          <w:rFonts w:ascii="Times New Roman" w:hAnsi="Times New Roman" w:cs="Times New Roman"/>
        </w:rPr>
        <w:t xml:space="preserve"> </w:t>
      </w:r>
      <w:r w:rsidRPr="009341AA">
        <w:rPr>
          <w:rFonts w:ascii="Times New Roman" w:hAnsi="Times New Roman" w:cs="Times New Roman"/>
        </w:rPr>
        <w:t>n</w:t>
      </w:r>
      <w:r w:rsidR="00F00643" w:rsidRPr="009341AA">
        <w:rPr>
          <w:rFonts w:ascii="Times New Roman" w:hAnsi="Times New Roman" w:cs="Times New Roman"/>
        </w:rPr>
        <w:t>o</w:t>
      </w:r>
      <w:r w:rsidRPr="009341AA">
        <w:rPr>
          <w:rFonts w:ascii="Times New Roman" w:hAnsi="Times New Roman" w:cs="Times New Roman"/>
        </w:rPr>
        <w:t xml:space="preserve">t supposed to take into consideration the religious validity of the actual practice but rather the religious views of the petitioner. </w:t>
      </w:r>
    </w:p>
    <w:p w14:paraId="2F0B3021" w14:textId="1330B399" w:rsidR="003D5864"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When questioned about the court’s decision years later, Judge Abner Mikva told Goldman’s representation that,</w:t>
      </w:r>
      <w:r w:rsidR="00300B67" w:rsidRPr="009341AA">
        <w:rPr>
          <w:rFonts w:ascii="Times New Roman" w:hAnsi="Times New Roman" w:cs="Times New Roman"/>
        </w:rPr>
        <w:t xml:space="preserve"> because he was Jewish, the significance of his yarmulke was questioned.</w:t>
      </w:r>
      <w:r w:rsidRPr="009341AA">
        <w:rPr>
          <w:rFonts w:ascii="Times New Roman" w:hAnsi="Times New Roman" w:cs="Times New Roman"/>
        </w:rPr>
        <w:t xml:space="preserve"> “Mikva responded that the yarmulke was ‘not that important,’ thus contributing to an attitude among the panel that minimizing the value of Goldman’s religious claim</w:t>
      </w:r>
      <w:r w:rsidR="00D5506E"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34"/>
      </w:r>
      <w:r w:rsidRPr="009341AA">
        <w:rPr>
          <w:rFonts w:ascii="Times New Roman" w:hAnsi="Times New Roman" w:cs="Times New Roman"/>
        </w:rPr>
        <w:t xml:space="preserve"> When the case was brought before the Supreme Court, this idea that Goldman’s religious views of the practice did not matter was kept. Unlike in the </w:t>
      </w:r>
      <w:r w:rsidRPr="009341AA">
        <w:rPr>
          <w:rFonts w:ascii="Times New Roman" w:hAnsi="Times New Roman" w:cs="Times New Roman"/>
          <w:i/>
          <w:iCs/>
        </w:rPr>
        <w:t>Reynolds</w:t>
      </w:r>
      <w:r w:rsidRPr="009341AA">
        <w:rPr>
          <w:rFonts w:ascii="Times New Roman" w:hAnsi="Times New Roman" w:cs="Times New Roman"/>
        </w:rPr>
        <w:t xml:space="preserve"> case, where the Court questioned the legality of the religious practice instead of the religious significance of the practice, the government questioned the constitutionality of the practice itself</w:t>
      </w:r>
      <w:r w:rsidR="00233618" w:rsidRPr="009341AA">
        <w:rPr>
          <w:rFonts w:ascii="Times New Roman" w:hAnsi="Times New Roman" w:cs="Times New Roman"/>
        </w:rPr>
        <w:t>.</w:t>
      </w:r>
      <w:r w:rsidR="007E7772" w:rsidRPr="009341AA">
        <w:rPr>
          <w:rStyle w:val="FootnoteReference"/>
          <w:rFonts w:ascii="Times New Roman" w:hAnsi="Times New Roman" w:cs="Times New Roman"/>
        </w:rPr>
        <w:footnoteReference w:id="135"/>
      </w:r>
      <w:r w:rsidRPr="009341AA">
        <w:rPr>
          <w:rFonts w:ascii="Times New Roman" w:hAnsi="Times New Roman" w:cs="Times New Roman"/>
        </w:rPr>
        <w:t xml:space="preserve"> The treatment of the religious practice makes it seem as though Jewish religious practices were even less tolerable than the Mormons practice of polygamy. Again, this is speaking to the Christian ideology of America in which the </w:t>
      </w:r>
      <w:r w:rsidR="00787B6B" w:rsidRPr="009341AA">
        <w:rPr>
          <w:rFonts w:ascii="Times New Roman" w:hAnsi="Times New Roman" w:cs="Times New Roman"/>
        </w:rPr>
        <w:lastRenderedPageBreak/>
        <w:t xml:space="preserve">mainstream </w:t>
      </w:r>
      <w:r w:rsidRPr="009341AA">
        <w:rPr>
          <w:rFonts w:ascii="Times New Roman" w:hAnsi="Times New Roman" w:cs="Times New Roman"/>
        </w:rPr>
        <w:t xml:space="preserve">Christian way of life is considered the norm. Their overall decision could also be categorized as </w:t>
      </w:r>
      <w:r w:rsidR="005E363C" w:rsidRPr="009341AA">
        <w:rPr>
          <w:rFonts w:ascii="Times New Roman" w:hAnsi="Times New Roman" w:cs="Times New Roman"/>
        </w:rPr>
        <w:t>anti-Semitism</w:t>
      </w:r>
      <w:r w:rsidRPr="009341AA">
        <w:rPr>
          <w:rFonts w:ascii="Times New Roman" w:hAnsi="Times New Roman" w:cs="Times New Roman"/>
        </w:rPr>
        <w:t xml:space="preserve"> or at least a complete disregard for religion itself.</w:t>
      </w:r>
    </w:p>
    <w:p w14:paraId="5B4232E9"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15A7F515"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Consequences</w:t>
      </w:r>
    </w:p>
    <w:p w14:paraId="7372AAC5" w14:textId="7C5F9503"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What started as an admittedly personal vendetta was blown out of proportion and made its way up to the Supreme Court. The effects of this case did not last long as Congress essentially overturned the decision just a couple years later</w:t>
      </w:r>
      <w:r w:rsidR="00811AD3" w:rsidRPr="009341AA">
        <w:rPr>
          <w:rFonts w:ascii="Times New Roman" w:hAnsi="Times New Roman" w:cs="Times New Roman"/>
        </w:rPr>
        <w:t>.</w:t>
      </w:r>
      <w:r w:rsidR="007E7772" w:rsidRPr="009341AA">
        <w:rPr>
          <w:rStyle w:val="FootnoteReference"/>
          <w:rFonts w:ascii="Times New Roman" w:hAnsi="Times New Roman" w:cs="Times New Roman"/>
        </w:rPr>
        <w:footnoteReference w:id="136"/>
      </w:r>
      <w:r w:rsidRPr="009341AA">
        <w:rPr>
          <w:rFonts w:ascii="Times New Roman" w:hAnsi="Times New Roman" w:cs="Times New Roman"/>
        </w:rPr>
        <w:t xml:space="preserve"> Even so, the decision did affect Goldman in the time immediately after the case. As Levine points out, “the Court conceded that not allowing such exceptions would likely render military life more ‘objectionable’ to some religious adherents,” but that may be putting it lightly</w:t>
      </w:r>
      <w:r w:rsidR="00185114" w:rsidRPr="009341AA">
        <w:rPr>
          <w:rFonts w:ascii="Times New Roman" w:hAnsi="Times New Roman" w:cs="Times New Roman"/>
        </w:rPr>
        <w:t>.</w:t>
      </w:r>
      <w:r w:rsidR="007E7772" w:rsidRPr="009341AA">
        <w:rPr>
          <w:rStyle w:val="FootnoteReference"/>
          <w:rFonts w:ascii="Times New Roman" w:hAnsi="Times New Roman" w:cs="Times New Roman"/>
        </w:rPr>
        <w:footnoteReference w:id="137"/>
      </w:r>
      <w:r w:rsidRPr="009341AA">
        <w:rPr>
          <w:rFonts w:ascii="Times New Roman" w:hAnsi="Times New Roman" w:cs="Times New Roman"/>
        </w:rPr>
        <w:t xml:space="preserve"> Not allowing for religious accommodations makes the military seem unappealing to possible future servicemen who wish to remain faithful to a religion that may require going against regulations. </w:t>
      </w:r>
      <w:r w:rsidR="00787B6B" w:rsidRPr="009341AA">
        <w:rPr>
          <w:rFonts w:ascii="Times New Roman" w:hAnsi="Times New Roman" w:cs="Times New Roman"/>
        </w:rPr>
        <w:t xml:space="preserve">This could be considered different than a case involving employee uniforms that do not allow for religious garb because the military argued for government interest but in reality, that scenario and Goldman’s situation are similar. </w:t>
      </w:r>
      <w:r w:rsidRPr="009341AA">
        <w:rPr>
          <w:rFonts w:ascii="Times New Roman" w:hAnsi="Times New Roman" w:cs="Times New Roman"/>
        </w:rPr>
        <w:t>Understandably, Goldman was surprised at the outcome of the case. What puzzled him more was that other servicemen had gotten away with regulation violations in more public manners and were not being reprimanded. An unofficial newspaper at the base where Goldman served printed an article detailing a mission in which a Master Sergeant wore his “lucky green and white garter [on his] left arm for every launch</w:t>
      </w:r>
      <w:r w:rsidR="00811AD3"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38"/>
      </w:r>
      <w:r w:rsidRPr="009341AA">
        <w:rPr>
          <w:rFonts w:ascii="Times New Roman" w:hAnsi="Times New Roman" w:cs="Times New Roman"/>
        </w:rPr>
        <w:t xml:space="preserve"> This kind of discrimination between an assumed Christian Master Sergeant and Jewish Captain who </w:t>
      </w:r>
      <w:r w:rsidRPr="009341AA">
        <w:rPr>
          <w:rFonts w:ascii="Times New Roman" w:hAnsi="Times New Roman" w:cs="Times New Roman"/>
        </w:rPr>
        <w:lastRenderedPageBreak/>
        <w:t>wishes to adhere to the tenets of his religion is perplexing.</w:t>
      </w:r>
    </w:p>
    <w:p w14:paraId="110E3843" w14:textId="536FA025"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As Justice Stevens pointed out in his concurring, “The Air Force has no business drawing distinctions between such persons when it is enforcing commands of universal application</w:t>
      </w:r>
      <w:r w:rsidR="00185114"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39"/>
      </w:r>
      <w:r w:rsidRPr="009341AA">
        <w:rPr>
          <w:rFonts w:ascii="Times New Roman" w:hAnsi="Times New Roman" w:cs="Times New Roman"/>
        </w:rPr>
        <w:t xml:space="preserve"> And yet, servicemen who wear garters for luck are not reprimanded while a pious serviceman is. Stevens also mentions the ramifications this case would have on future religious personnel in the military. He believed this decision should be held against any religious personnel whose religion dictates something that goes against military commands</w:t>
      </w:r>
      <w:r w:rsidR="00811AD3" w:rsidRPr="009341AA">
        <w:rPr>
          <w:rFonts w:ascii="Times New Roman" w:hAnsi="Times New Roman" w:cs="Times New Roman"/>
        </w:rPr>
        <w:t>.</w:t>
      </w:r>
      <w:r w:rsidR="007E7772" w:rsidRPr="009341AA">
        <w:rPr>
          <w:rStyle w:val="FootnoteReference"/>
          <w:rFonts w:ascii="Times New Roman" w:hAnsi="Times New Roman" w:cs="Times New Roman"/>
        </w:rPr>
        <w:footnoteReference w:id="140"/>
      </w:r>
    </w:p>
    <w:p w14:paraId="69911D02" w14:textId="374DCA7E"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While it would seem that the military’s main interest in this case, as they stated in their argument, was to keep uniformity, the treatment of Goldman could still be considered </w:t>
      </w:r>
      <w:r w:rsidR="005E363C" w:rsidRPr="009341AA">
        <w:rPr>
          <w:rFonts w:ascii="Times New Roman" w:hAnsi="Times New Roman" w:cs="Times New Roman"/>
        </w:rPr>
        <w:t>anti-Semitism</w:t>
      </w:r>
      <w:r w:rsidRPr="009341AA">
        <w:rPr>
          <w:rFonts w:ascii="Times New Roman" w:hAnsi="Times New Roman" w:cs="Times New Roman"/>
        </w:rPr>
        <w:t>. Christian soldiers automatically have their religious needs met as the military, and the country as a whole, is set up to accommodate the Christian religion and Christian values</w:t>
      </w:r>
      <w:r w:rsidR="00300B67" w:rsidRPr="009341AA">
        <w:rPr>
          <w:rFonts w:ascii="Times New Roman" w:hAnsi="Times New Roman" w:cs="Times New Roman"/>
        </w:rPr>
        <w:t>. A</w:t>
      </w:r>
      <w:r w:rsidR="00787B6B" w:rsidRPr="009341AA">
        <w:rPr>
          <w:rFonts w:ascii="Times New Roman" w:hAnsi="Times New Roman" w:cs="Times New Roman"/>
        </w:rPr>
        <w:t>s a result, there are no restrictions in place that</w:t>
      </w:r>
      <w:r w:rsidR="00300B67" w:rsidRPr="009341AA">
        <w:rPr>
          <w:rFonts w:ascii="Times New Roman" w:hAnsi="Times New Roman" w:cs="Times New Roman"/>
        </w:rPr>
        <w:t xml:space="preserve"> prohibit </w:t>
      </w:r>
      <w:r w:rsidR="00787B6B" w:rsidRPr="009341AA">
        <w:rPr>
          <w:rFonts w:ascii="Times New Roman" w:hAnsi="Times New Roman" w:cs="Times New Roman"/>
        </w:rPr>
        <w:t>Christians to practice their religious actions</w:t>
      </w:r>
      <w:r w:rsidR="00185114" w:rsidRPr="009341AA">
        <w:rPr>
          <w:rFonts w:ascii="Times New Roman" w:hAnsi="Times New Roman" w:cs="Times New Roman"/>
        </w:rPr>
        <w:t>.</w:t>
      </w:r>
      <w:r w:rsidR="007E7772" w:rsidRPr="009341AA">
        <w:rPr>
          <w:rStyle w:val="FootnoteReference"/>
          <w:rFonts w:ascii="Times New Roman" w:hAnsi="Times New Roman" w:cs="Times New Roman"/>
        </w:rPr>
        <w:footnoteReference w:id="141"/>
      </w:r>
      <w:r w:rsidRPr="009341AA">
        <w:rPr>
          <w:rFonts w:ascii="Times New Roman" w:hAnsi="Times New Roman" w:cs="Times New Roman"/>
        </w:rPr>
        <w:t xml:space="preserve"> Christian men do not need to cover their heads at all times so when rules and regulations were made about the uniform of a soldier, that accommodation was not considered. Allowing Goldman to wear his yarmulke while in doors was not only going to be a change in regulation but it was also going to be an acknowledgment of the diversity of the military. As was stated in the case, if allowances are to be made for one religious obligation, they would need to be made for all. At the time of this case, the idea of allowing all or even most religious accommodations probably seemed incredibly progressive and unrealistic for an </w:t>
      </w:r>
      <w:r w:rsidRPr="009341AA">
        <w:rPr>
          <w:rFonts w:ascii="Times New Roman" w:hAnsi="Times New Roman" w:cs="Times New Roman"/>
        </w:rPr>
        <w:lastRenderedPageBreak/>
        <w:t>institution like the military. Now, America has become much more pluralistic in most aspects of society. In January of this year, the military announced it would allow soldiers to wear head coverings and grow out their facial hair if their religion required it. This allowance includes not only yarmulkes for Jewish soldiers but also turbans and beards for Sikh soldiers and hijabs for Muslim soldiers</w:t>
      </w:r>
      <w:r w:rsidR="00811AD3" w:rsidRPr="009341AA">
        <w:rPr>
          <w:rFonts w:ascii="Times New Roman" w:hAnsi="Times New Roman" w:cs="Times New Roman"/>
        </w:rPr>
        <w:t>.</w:t>
      </w:r>
    </w:p>
    <w:p w14:paraId="7F12B82E" w14:textId="199EDBBB"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By allowing religious accommodations for soldiers, the military can further diversify its personnel and increase overall moral throughout all branches. By diversifying its personnel, the military can increase its positive outreach throughout the world. Using soldiers’ cultural and ethnic experiences to connect with the global community could put the American military ahead of the other super powers of the world.</w:t>
      </w:r>
    </w:p>
    <w:p w14:paraId="0C30B07B" w14:textId="68B8EE67"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It was relayed by one retired veteran that once you make the decision to commit to the military, no matter the branch, you sign away your personal and individual rights</w:t>
      </w:r>
      <w:r w:rsidR="00D73D06" w:rsidRPr="009341AA">
        <w:rPr>
          <w:rFonts w:ascii="Times New Roman" w:hAnsi="Times New Roman" w:cs="Times New Roman"/>
        </w:rPr>
        <w:t>.</w:t>
      </w:r>
      <w:r w:rsidR="007E7772" w:rsidRPr="009341AA">
        <w:rPr>
          <w:rStyle w:val="FootnoteReference"/>
          <w:rFonts w:ascii="Times New Roman" w:hAnsi="Times New Roman" w:cs="Times New Roman"/>
        </w:rPr>
        <w:footnoteReference w:id="142"/>
      </w:r>
      <w:r w:rsidR="007E7772" w:rsidRPr="009341AA">
        <w:rPr>
          <w:rFonts w:ascii="Times New Roman" w:hAnsi="Times New Roman" w:cs="Times New Roman"/>
        </w:rPr>
        <w:t xml:space="preserve"> </w:t>
      </w:r>
      <w:r w:rsidRPr="009341AA">
        <w:rPr>
          <w:rFonts w:ascii="Times New Roman" w:hAnsi="Times New Roman" w:cs="Times New Roman"/>
        </w:rPr>
        <w:t xml:space="preserve">Though this may be an extreme way of looking at it, there is some truth to the sentiment. That being said, the military is not exempt from abiding by the Constitution; the military is not above the law it fights to protect. When asked if the he felt the military was tolerant of religions other than Christianity, the same veteran who is Jewish responded that yes, the military has been getting more tolerant over time. He recalled a time when he requested time off for Yom Kippur and was not given permission by his squadron commander. He believes the reason his squadron commander denied his request was because, at the time, there were many servicemen from </w:t>
      </w:r>
      <w:r w:rsidR="005E363C" w:rsidRPr="009341AA">
        <w:rPr>
          <w:rFonts w:ascii="Times New Roman" w:hAnsi="Times New Roman" w:cs="Times New Roman"/>
        </w:rPr>
        <w:t>Arabic</w:t>
      </w:r>
      <w:r w:rsidRPr="009341AA">
        <w:rPr>
          <w:rFonts w:ascii="Times New Roman" w:hAnsi="Times New Roman" w:cs="Times New Roman"/>
        </w:rPr>
        <w:t xml:space="preserve"> countries in his squadron as part of an exchange program and they needed accommodations for many holidays that were coming up. Using the same argument that was used in Goldman’s case, he believed </w:t>
      </w:r>
      <w:r w:rsidRPr="009341AA">
        <w:rPr>
          <w:rFonts w:ascii="Times New Roman" w:hAnsi="Times New Roman" w:cs="Times New Roman"/>
        </w:rPr>
        <w:lastRenderedPageBreak/>
        <w:t>the reasoning was that if the squadron commander granted permission for one, he had to grant permission for all</w:t>
      </w:r>
      <w:r w:rsidR="00811AD3" w:rsidRPr="009341AA">
        <w:rPr>
          <w:rFonts w:ascii="Times New Roman" w:hAnsi="Times New Roman" w:cs="Times New Roman"/>
        </w:rPr>
        <w:t>.</w:t>
      </w:r>
      <w:r w:rsidR="007E7772" w:rsidRPr="009341AA">
        <w:rPr>
          <w:rStyle w:val="FootnoteReference"/>
          <w:rFonts w:ascii="Times New Roman" w:hAnsi="Times New Roman" w:cs="Times New Roman"/>
        </w:rPr>
        <w:footnoteReference w:id="143"/>
      </w:r>
    </w:p>
    <w:p w14:paraId="31371432" w14:textId="511D364C" w:rsidR="00857B93"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Interestingly, when asked about the military’s religious tolerance, another retired serviceman, a Christian Army Colonel, said he believed the military was quite tolerant. He said, “Military has become very tolerant and they don’t sweat that [religious] stuff anymore…They definitely want the soldiers to know that [the military] is a safe haven. ‘We’re not going to stomp on any of your religious or spiritual needs’…We know the benefit of being able to embrace those [differences]</w:t>
      </w:r>
      <w:r w:rsidR="00811AD3" w:rsidRPr="009341AA">
        <w:rPr>
          <w:rFonts w:ascii="Times New Roman" w:hAnsi="Times New Roman" w:cs="Times New Roman"/>
        </w:rPr>
        <w:t>.</w:t>
      </w:r>
      <w:r w:rsidRPr="009341AA">
        <w:rPr>
          <w:rFonts w:ascii="Times New Roman" w:hAnsi="Times New Roman" w:cs="Times New Roman"/>
        </w:rPr>
        <w:t>”</w:t>
      </w:r>
      <w:r w:rsidR="007E7772" w:rsidRPr="009341AA">
        <w:rPr>
          <w:rStyle w:val="FootnoteReference"/>
          <w:rFonts w:ascii="Times New Roman" w:hAnsi="Times New Roman" w:cs="Times New Roman"/>
        </w:rPr>
        <w:footnoteReference w:id="144"/>
      </w:r>
      <w:r w:rsidRPr="009341AA">
        <w:rPr>
          <w:rFonts w:ascii="Times New Roman" w:hAnsi="Times New Roman" w:cs="Times New Roman"/>
        </w:rPr>
        <w:t xml:space="preserve"> Clearly, the non-Jewish colonel, who does not need special accommodations to satisfy his religious needs, does not need to notice if the military is tolerant of different religions whereas the Jewish colonel, who does need accommodations.</w:t>
      </w:r>
    </w:p>
    <w:p w14:paraId="1E602467" w14:textId="759E1495" w:rsidR="005874CA" w:rsidRPr="009341AA" w:rsidRDefault="00F7766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this chapter, we see how the Supreme Court moved from the belief/action dichotomy to allowing for compelling government interest to prohibit religious freedom. In both cases, the Supreme Court is able to proscribe religious acts that stray far from the Christian norm that is intertwined throughout American culture. In the next chapter, we will discuss how the Free Exercise Clause and other religious freedom protection laws can be used to exempt those that wish to discriminate based on their personal religious beliefs.</w:t>
      </w:r>
    </w:p>
    <w:p w14:paraId="362CBDE2" w14:textId="77777777" w:rsidR="005874CA"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4C888FF0" w14:textId="77777777" w:rsidR="00F77661" w:rsidRPr="009341AA" w:rsidRDefault="00F7766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E5E1E83" w14:textId="77777777" w:rsidR="00300B67" w:rsidRPr="009341AA" w:rsidRDefault="00300B6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12CCF072" w14:textId="77777777" w:rsidR="00F77661" w:rsidRPr="009341AA" w:rsidRDefault="00F7766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5B30F5F7" w14:textId="77777777" w:rsidR="00F77661"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 xml:space="preserve">Chapter IV: </w:t>
      </w:r>
      <w:r w:rsidR="00F77661" w:rsidRPr="009341AA">
        <w:rPr>
          <w:rFonts w:ascii="Times New Roman" w:hAnsi="Times New Roman" w:cs="Times New Roman"/>
          <w:b/>
          <w:sz w:val="28"/>
          <w:szCs w:val="28"/>
        </w:rPr>
        <w:t>Accommodation Turns to Discrimination</w:t>
      </w:r>
    </w:p>
    <w:p w14:paraId="290E9A0F" w14:textId="706A2A27"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jc w:val="center"/>
        <w:rPr>
          <w:rFonts w:ascii="Times New Roman" w:hAnsi="Times New Roman" w:cs="Times New Roman"/>
          <w:b/>
          <w:i/>
          <w:sz w:val="28"/>
          <w:szCs w:val="28"/>
        </w:rPr>
      </w:pPr>
      <w:r w:rsidRPr="009341AA">
        <w:rPr>
          <w:rFonts w:ascii="Times New Roman" w:hAnsi="Times New Roman" w:cs="Times New Roman"/>
          <w:b/>
          <w:i/>
          <w:sz w:val="28"/>
          <w:szCs w:val="28"/>
        </w:rPr>
        <w:t>Burwell v. Hobby Lobby Stores Inc.</w:t>
      </w:r>
      <w:r w:rsidR="00F77661" w:rsidRPr="009341AA">
        <w:rPr>
          <w:rFonts w:ascii="Times New Roman" w:hAnsi="Times New Roman" w:cs="Times New Roman"/>
          <w:b/>
          <w:i/>
          <w:sz w:val="28"/>
          <w:szCs w:val="28"/>
        </w:rPr>
        <w:t xml:space="preserve"> (2014)</w:t>
      </w:r>
    </w:p>
    <w:p w14:paraId="3038E766" w14:textId="77777777" w:rsidR="00857B93"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3E00026" w14:textId="01204BBB" w:rsidR="00F77661" w:rsidRPr="009341AA" w:rsidRDefault="00F77661"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the previous chapters, we saw how the Supreme Court started interpreting the Free Exercise Clause based on compelling government interest instead of on a belief/action dichotomy as it had before. Switching perspectives, we will now discuss the ways in which those religious protection laws start to protect those who discriminate </w:t>
      </w:r>
      <w:r w:rsidR="00832C34" w:rsidRPr="009341AA">
        <w:rPr>
          <w:rFonts w:ascii="Times New Roman" w:hAnsi="Times New Roman" w:cs="Times New Roman"/>
        </w:rPr>
        <w:t xml:space="preserve">against third parties </w:t>
      </w:r>
      <w:r w:rsidRPr="009341AA">
        <w:rPr>
          <w:rFonts w:ascii="Times New Roman" w:hAnsi="Times New Roman" w:cs="Times New Roman"/>
        </w:rPr>
        <w:t xml:space="preserve">based on their </w:t>
      </w:r>
      <w:r w:rsidR="00832C34" w:rsidRPr="009341AA">
        <w:rPr>
          <w:rFonts w:ascii="Times New Roman" w:hAnsi="Times New Roman" w:cs="Times New Roman"/>
        </w:rPr>
        <w:t xml:space="preserve">own </w:t>
      </w:r>
      <w:r w:rsidRPr="009341AA">
        <w:rPr>
          <w:rFonts w:ascii="Times New Roman" w:hAnsi="Times New Roman" w:cs="Times New Roman"/>
        </w:rPr>
        <w:t xml:space="preserve">religious beliefs. In </w:t>
      </w:r>
      <w:r w:rsidRPr="009341AA">
        <w:rPr>
          <w:rFonts w:ascii="Times New Roman" w:hAnsi="Times New Roman" w:cs="Times New Roman"/>
          <w:i/>
        </w:rPr>
        <w:t>Hobby Lobby</w:t>
      </w:r>
      <w:r w:rsidRPr="009341AA">
        <w:rPr>
          <w:rFonts w:ascii="Times New Roman" w:hAnsi="Times New Roman" w:cs="Times New Roman"/>
        </w:rPr>
        <w:t>, not only is a for-profit corporation given the status of a person who can claim its own religious beliefs but those religious beliefs start to affect third parties, their employees</w:t>
      </w:r>
      <w:r w:rsidR="00832C34" w:rsidRPr="009341AA">
        <w:rPr>
          <w:rFonts w:ascii="Times New Roman" w:hAnsi="Times New Roman" w:cs="Times New Roman"/>
        </w:rPr>
        <w:t>, which is a new phenomenon in the religious freedom realm of the American judicial system</w:t>
      </w:r>
      <w:r w:rsidRPr="009341AA">
        <w:rPr>
          <w:rFonts w:ascii="Times New Roman" w:hAnsi="Times New Roman" w:cs="Times New Roman"/>
        </w:rPr>
        <w:t>. Interestingly, the religion that Hobby Lobby identifies as is Christian and based on the previous cases, it is not hard to believe that the Supreme Court upheld</w:t>
      </w:r>
      <w:r w:rsidR="00031084" w:rsidRPr="009341AA">
        <w:rPr>
          <w:rFonts w:ascii="Times New Roman" w:hAnsi="Times New Roman" w:cs="Times New Roman"/>
        </w:rPr>
        <w:t xml:space="preserve"> their right to express their Christianity.</w:t>
      </w:r>
    </w:p>
    <w:p w14:paraId="115BE58D"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12120581"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Background</w:t>
      </w:r>
    </w:p>
    <w:p w14:paraId="725032EB" w14:textId="6F8B6B16" w:rsidR="003D5864" w:rsidRPr="009341AA" w:rsidRDefault="005874CA"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order to understand the following case, it is important to first understand the Religious Freedom Restoration Act of 1993 (RFRA). RFRA came about after the case of </w:t>
      </w:r>
      <w:r w:rsidRPr="009341AA">
        <w:rPr>
          <w:rFonts w:ascii="Times New Roman" w:hAnsi="Times New Roman" w:cs="Times New Roman"/>
          <w:i/>
          <w:iCs/>
        </w:rPr>
        <w:t>Employment Division, Department of Human Resources of Oregon v. Smith</w:t>
      </w:r>
      <w:r w:rsidR="00811AD3" w:rsidRPr="009341AA">
        <w:rPr>
          <w:rFonts w:ascii="Times New Roman" w:hAnsi="Times New Roman" w:cs="Times New Roman"/>
          <w:iCs/>
        </w:rPr>
        <w:t xml:space="preserve"> (1990)</w:t>
      </w:r>
      <w:r w:rsidR="00811AD3" w:rsidRPr="009341AA">
        <w:rPr>
          <w:rStyle w:val="FootnoteReference"/>
          <w:rFonts w:ascii="Times New Roman" w:hAnsi="Times New Roman" w:cs="Times New Roman"/>
          <w:iCs/>
        </w:rPr>
        <w:footnoteReference w:id="145"/>
      </w:r>
      <w:r w:rsidRPr="009341AA">
        <w:rPr>
          <w:rFonts w:ascii="Times New Roman" w:hAnsi="Times New Roman" w:cs="Times New Roman"/>
        </w:rPr>
        <w:t xml:space="preserve"> in which two terminated employees were trying to get unemployment compensation. They were terminated due to their use of an illegal drug that they claimed was req</w:t>
      </w:r>
      <w:r w:rsidR="002172BD" w:rsidRPr="009341AA">
        <w:rPr>
          <w:rFonts w:ascii="Times New Roman" w:hAnsi="Times New Roman" w:cs="Times New Roman"/>
        </w:rPr>
        <w:t>uired of their religious practices</w:t>
      </w:r>
      <w:r w:rsidRPr="009341AA">
        <w:rPr>
          <w:rFonts w:ascii="Times New Roman" w:hAnsi="Times New Roman" w:cs="Times New Roman"/>
        </w:rPr>
        <w:t xml:space="preserve">. The Supreme Court decided that the state was not required to compensate them for being fired for the illegal use of drugs even though it was based on </w:t>
      </w:r>
      <w:r w:rsidRPr="009341AA">
        <w:rPr>
          <w:rFonts w:ascii="Times New Roman" w:hAnsi="Times New Roman" w:cs="Times New Roman"/>
        </w:rPr>
        <w:lastRenderedPageBreak/>
        <w:t>religious beliefs. There was outrage after the case from many different religious and non-religious organizations. Three years later, RFRA was passed. RFRA prohibits the, “‘Government from substantially burdening a person’s exercise of religion even if the burden results from a rule of general applicability’ unless the Government ‘demonstrates that application of the burden to the person—(1) is in furtherance of a compelling governmental interest; and (2) is the least restrictive means of furthering that compelling governmental interest</w:t>
      </w:r>
      <w:r w:rsidR="008B49DF" w:rsidRPr="009341AA">
        <w:rPr>
          <w:rFonts w:ascii="Times New Roman" w:hAnsi="Times New Roman" w:cs="Times New Roman"/>
        </w:rPr>
        <w:t>.</w:t>
      </w:r>
      <w:r w:rsidRPr="009341AA">
        <w:rPr>
          <w:rFonts w:ascii="Times New Roman" w:hAnsi="Times New Roman" w:cs="Times New Roman"/>
        </w:rPr>
        <w:t>”</w:t>
      </w:r>
      <w:r w:rsidR="00FF4F2D" w:rsidRPr="009341AA">
        <w:rPr>
          <w:rStyle w:val="FootnoteReference"/>
          <w:rFonts w:ascii="Times New Roman" w:hAnsi="Times New Roman" w:cs="Times New Roman"/>
        </w:rPr>
        <w:footnoteReference w:id="146"/>
      </w:r>
      <w:r w:rsidRPr="009341AA">
        <w:rPr>
          <w:rFonts w:ascii="Times New Roman" w:hAnsi="Times New Roman" w:cs="Times New Roman"/>
        </w:rPr>
        <w:t xml:space="preserve"> Under RFRA, it is important to note that, “for-profit corporations, at least closely held ones, have ‘rights</w:t>
      </w:r>
      <w:r w:rsidR="008B49DF" w:rsidRPr="009341AA">
        <w:rPr>
          <w:rFonts w:ascii="Times New Roman" w:hAnsi="Times New Roman" w:cs="Times New Roman"/>
        </w:rPr>
        <w:t>.</w:t>
      </w:r>
      <w:r w:rsidRPr="009341AA">
        <w:rPr>
          <w:rFonts w:ascii="Times New Roman" w:hAnsi="Times New Roman" w:cs="Times New Roman"/>
        </w:rPr>
        <w:t>’”</w:t>
      </w:r>
      <w:r w:rsidR="00FF4F2D" w:rsidRPr="009341AA">
        <w:rPr>
          <w:rStyle w:val="FootnoteReference"/>
          <w:rFonts w:ascii="Times New Roman" w:hAnsi="Times New Roman" w:cs="Times New Roman"/>
        </w:rPr>
        <w:footnoteReference w:id="147"/>
      </w:r>
    </w:p>
    <w:p w14:paraId="1992F141" w14:textId="0CEC86FE"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2010, President Obama passed the Patient Protection and Affordable Care Act (ACA), which required employment based health care plans. As stated above, RFRA does consider for-profit corporations such as Hobby Lobby to have religious rights so when Hobby Lobby refused to provide certain contraceptive methods to their female employees based on its religious beliefs, the width of RFRA’s reach came into question. More will be said on this in the following section.</w:t>
      </w:r>
    </w:p>
    <w:p w14:paraId="09BE525E"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656A9053"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Case</w:t>
      </w:r>
    </w:p>
    <w:p w14:paraId="1C4D4BD7" w14:textId="1540BC7B" w:rsidR="000260FC"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On Sep. 12, 2012, the Green family, owners of Hobby Lobby Stores, Inc., sued Kathleen Sebelius, the Secretary of the Department of Health and Human Services (HHS). David and Barbara Green started Hobby Lobby in Oklahoma City, Oklahoma in 1972 in just a 300 square foot store. Hobby Lobby now has approximately 750 stores and 32,000 employees making it the “largest privately owned arts-and-crafts retailer in the </w:t>
      </w:r>
      <w:r w:rsidRPr="009341AA">
        <w:rPr>
          <w:rFonts w:ascii="Times New Roman" w:hAnsi="Times New Roman" w:cs="Times New Roman"/>
        </w:rPr>
        <w:lastRenderedPageBreak/>
        <w:t>world</w:t>
      </w:r>
      <w:r w:rsidR="00811AD3" w:rsidRPr="009341AA">
        <w:rPr>
          <w:rFonts w:ascii="Times New Roman" w:hAnsi="Times New Roman" w:cs="Times New Roman"/>
        </w:rPr>
        <w:t>.</w:t>
      </w:r>
      <w:r w:rsidRPr="009341AA">
        <w:rPr>
          <w:rFonts w:ascii="Times New Roman" w:hAnsi="Times New Roman" w:cs="Times New Roman"/>
        </w:rPr>
        <w:t>”</w:t>
      </w:r>
      <w:r w:rsidR="002F1F04" w:rsidRPr="009341AA">
        <w:rPr>
          <w:rStyle w:val="FootnoteReference"/>
          <w:rFonts w:ascii="Times New Roman" w:hAnsi="Times New Roman" w:cs="Times New Roman"/>
        </w:rPr>
        <w:footnoteReference w:id="148"/>
      </w:r>
      <w:r w:rsidRPr="009341AA">
        <w:rPr>
          <w:rFonts w:ascii="Times New Roman" w:hAnsi="Times New Roman" w:cs="Times New Roman"/>
        </w:rPr>
        <w:t xml:space="preserve"> As a company, Hobby Lobby commits to, “Honoring the Lord in all we do by operating the company in a manner consistent with Biblical principles” and, “Providing a return to the family’s investment, sharing the Lord’s blessings with our employees, and investing in our community</w:t>
      </w:r>
      <w:r w:rsidR="000260FC" w:rsidRPr="009341AA">
        <w:rPr>
          <w:rFonts w:ascii="Times New Roman" w:hAnsi="Times New Roman" w:cs="Times New Roman"/>
        </w:rPr>
        <w:t>.</w:t>
      </w:r>
      <w:r w:rsidRPr="009341AA">
        <w:rPr>
          <w:rFonts w:ascii="Times New Roman" w:hAnsi="Times New Roman" w:cs="Times New Roman"/>
        </w:rPr>
        <w:t>”</w:t>
      </w:r>
      <w:r w:rsidR="002F1F04" w:rsidRPr="009341AA">
        <w:rPr>
          <w:rStyle w:val="FootnoteReference"/>
          <w:rFonts w:ascii="Times New Roman" w:hAnsi="Times New Roman" w:cs="Times New Roman"/>
        </w:rPr>
        <w:footnoteReference w:id="149"/>
      </w:r>
      <w:r w:rsidRPr="009341AA">
        <w:rPr>
          <w:rFonts w:ascii="Times New Roman" w:hAnsi="Times New Roman" w:cs="Times New Roman"/>
        </w:rPr>
        <w:t xml:space="preserve"> </w:t>
      </w:r>
    </w:p>
    <w:p w14:paraId="442FB87D" w14:textId="1FB59C7A"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i/>
          <w:iCs/>
        </w:rPr>
      </w:pPr>
      <w:r w:rsidRPr="009341AA">
        <w:rPr>
          <w:rFonts w:ascii="Times New Roman" w:hAnsi="Times New Roman" w:cs="Times New Roman"/>
        </w:rPr>
        <w:t>The Green family’s Christian values came into conflict</w:t>
      </w:r>
      <w:r w:rsidR="00031084" w:rsidRPr="009341AA">
        <w:rPr>
          <w:rFonts w:ascii="Times New Roman" w:hAnsi="Times New Roman" w:cs="Times New Roman"/>
        </w:rPr>
        <w:t xml:space="preserve"> with the HHS</w:t>
      </w:r>
      <w:r w:rsidRPr="009341AA">
        <w:rPr>
          <w:rFonts w:ascii="Times New Roman" w:hAnsi="Times New Roman" w:cs="Times New Roman"/>
        </w:rPr>
        <w:t xml:space="preserve"> in 2010 when Preside</w:t>
      </w:r>
      <w:r w:rsidR="00031084" w:rsidRPr="009341AA">
        <w:rPr>
          <w:rFonts w:ascii="Times New Roman" w:hAnsi="Times New Roman" w:cs="Times New Roman"/>
        </w:rPr>
        <w:t>nt Obama signed the ACA</w:t>
      </w:r>
      <w:r w:rsidRPr="009341AA">
        <w:rPr>
          <w:rFonts w:ascii="Times New Roman" w:hAnsi="Times New Roman" w:cs="Times New Roman"/>
        </w:rPr>
        <w:t xml:space="preserve">, which required employment-based group health care plans. One common Christian belief that Hobby Lobby adheres to is that </w:t>
      </w:r>
      <w:r w:rsidR="00031084" w:rsidRPr="009341AA">
        <w:rPr>
          <w:rFonts w:ascii="Times New Roman" w:hAnsi="Times New Roman" w:cs="Times New Roman"/>
        </w:rPr>
        <w:t xml:space="preserve">certain types of contraception are immoral because they </w:t>
      </w:r>
      <w:r w:rsidR="00BF33AE" w:rsidRPr="009341AA">
        <w:rPr>
          <w:rFonts w:ascii="Times New Roman" w:hAnsi="Times New Roman" w:cs="Times New Roman"/>
        </w:rPr>
        <w:t xml:space="preserve">have been proven to </w:t>
      </w:r>
      <w:r w:rsidRPr="009341AA">
        <w:rPr>
          <w:rFonts w:ascii="Times New Roman" w:hAnsi="Times New Roman" w:cs="Times New Roman"/>
        </w:rPr>
        <w:t>cause abortion</w:t>
      </w:r>
      <w:r w:rsidR="00466C50" w:rsidRPr="009341AA">
        <w:rPr>
          <w:rFonts w:ascii="Times New Roman" w:hAnsi="Times New Roman" w:cs="Times New Roman"/>
        </w:rPr>
        <w:t>.</w:t>
      </w:r>
      <w:r w:rsidR="002F1F04" w:rsidRPr="009341AA">
        <w:rPr>
          <w:rStyle w:val="FootnoteReference"/>
          <w:rFonts w:ascii="Times New Roman" w:hAnsi="Times New Roman" w:cs="Times New Roman"/>
        </w:rPr>
        <w:footnoteReference w:id="150"/>
      </w:r>
      <w:r w:rsidRPr="009341AA">
        <w:rPr>
          <w:rFonts w:ascii="Times New Roman" w:hAnsi="Times New Roman" w:cs="Times New Roman"/>
        </w:rPr>
        <w:t xml:space="preserve"> But p</w:t>
      </w:r>
      <w:r w:rsidR="00A300E5" w:rsidRPr="009341AA">
        <w:rPr>
          <w:rFonts w:ascii="Times New Roman" w:hAnsi="Times New Roman" w:cs="Times New Roman"/>
        </w:rPr>
        <w:t xml:space="preserve">art of the ACA health care plan provides </w:t>
      </w:r>
      <w:r w:rsidRPr="009341AA">
        <w:rPr>
          <w:rFonts w:ascii="Times New Roman" w:hAnsi="Times New Roman" w:cs="Times New Roman"/>
        </w:rPr>
        <w:t>preventative care, such as FDA-approved contraceptive methods</w:t>
      </w:r>
      <w:r w:rsidR="00466C50" w:rsidRPr="009341AA">
        <w:rPr>
          <w:rFonts w:ascii="Times New Roman" w:hAnsi="Times New Roman" w:cs="Times New Roman"/>
        </w:rPr>
        <w:t>.</w:t>
      </w:r>
      <w:r w:rsidRPr="009341AA">
        <w:rPr>
          <w:rFonts w:ascii="Times New Roman" w:hAnsi="Times New Roman" w:cs="Times New Roman"/>
        </w:rPr>
        <w:t xml:space="preserve"> Exemptions from this part of ACA health care plans was put into place for religious employees and non-profit religious institutions but no exceptions were made for for-profit institutions such as Hobby Lobby. The Green family’s </w:t>
      </w:r>
      <w:r w:rsidR="005E363C" w:rsidRPr="009341AA">
        <w:rPr>
          <w:rFonts w:ascii="Times New Roman" w:hAnsi="Times New Roman" w:cs="Times New Roman"/>
        </w:rPr>
        <w:t>lawsuit</w:t>
      </w:r>
      <w:r w:rsidRPr="009341AA">
        <w:rPr>
          <w:rFonts w:ascii="Times New Roman" w:hAnsi="Times New Roman" w:cs="Times New Roman"/>
        </w:rPr>
        <w:t xml:space="preserve"> against Kathleen Sebelius</w:t>
      </w:r>
      <w:r w:rsidR="00BF33AE" w:rsidRPr="009341AA">
        <w:rPr>
          <w:rFonts w:ascii="Times New Roman" w:hAnsi="Times New Roman" w:cs="Times New Roman"/>
        </w:rPr>
        <w:t>, the secretary of HHS at the time,</w:t>
      </w:r>
      <w:r w:rsidRPr="009341AA">
        <w:rPr>
          <w:rFonts w:ascii="Times New Roman" w:hAnsi="Times New Roman" w:cs="Times New Roman"/>
        </w:rPr>
        <w:t xml:space="preserve"> challenged the contraception requir</w:t>
      </w:r>
      <w:r w:rsidR="002172BD" w:rsidRPr="009341AA">
        <w:rPr>
          <w:rFonts w:ascii="Times New Roman" w:hAnsi="Times New Roman" w:cs="Times New Roman"/>
        </w:rPr>
        <w:t>ement using provisions from RFRA</w:t>
      </w:r>
      <w:r w:rsidRPr="009341AA">
        <w:rPr>
          <w:rFonts w:ascii="Times New Roman" w:hAnsi="Times New Roman" w:cs="Times New Roman"/>
        </w:rPr>
        <w:t xml:space="preserve">. The Green family claimed that providing contraceptives to female employees was in violation of their rights to religious freedom. In 2014, President Obama appointed Sylvia Burwell as a replacement for Kathleen Sebelius, at which time the case name was changed to </w:t>
      </w:r>
      <w:r w:rsidRPr="009341AA">
        <w:rPr>
          <w:rFonts w:ascii="Times New Roman" w:hAnsi="Times New Roman" w:cs="Times New Roman"/>
          <w:i/>
          <w:iCs/>
        </w:rPr>
        <w:t>Burwell v. Hobby Lobby Stores Inc.</w:t>
      </w:r>
    </w:p>
    <w:p w14:paraId="75C5624F"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05954CE"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i/>
          <w:iCs/>
        </w:rPr>
      </w:pPr>
      <w:r w:rsidRPr="009341AA">
        <w:rPr>
          <w:rFonts w:ascii="Times New Roman" w:hAnsi="Times New Roman" w:cs="Times New Roman"/>
          <w:b/>
        </w:rPr>
        <w:t>The Decision</w:t>
      </w:r>
    </w:p>
    <w:p w14:paraId="0A9CA040" w14:textId="1641DDB5"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order to come to an informed conclusion of the </w:t>
      </w:r>
      <w:r w:rsidRPr="009341AA">
        <w:rPr>
          <w:rFonts w:ascii="Times New Roman" w:hAnsi="Times New Roman" w:cs="Times New Roman"/>
          <w:i/>
          <w:iCs/>
        </w:rPr>
        <w:t>Burwell</w:t>
      </w:r>
      <w:r w:rsidRPr="009341AA">
        <w:rPr>
          <w:rFonts w:ascii="Times New Roman" w:hAnsi="Times New Roman" w:cs="Times New Roman"/>
        </w:rPr>
        <w:t xml:space="preserve"> case, two professors from </w:t>
      </w:r>
      <w:r w:rsidRPr="009341AA">
        <w:rPr>
          <w:rFonts w:ascii="Times New Roman" w:hAnsi="Times New Roman" w:cs="Times New Roman"/>
        </w:rPr>
        <w:lastRenderedPageBreak/>
        <w:t xml:space="preserve">Rowan University, W. </w:t>
      </w:r>
      <w:r w:rsidR="00572858" w:rsidRPr="009341AA">
        <w:rPr>
          <w:rFonts w:ascii="Times New Roman" w:hAnsi="Times New Roman" w:cs="Times New Roman"/>
        </w:rPr>
        <w:t>Cameron</w:t>
      </w:r>
      <w:r w:rsidRPr="009341AA">
        <w:rPr>
          <w:rFonts w:ascii="Times New Roman" w:hAnsi="Times New Roman" w:cs="Times New Roman"/>
        </w:rPr>
        <w:t xml:space="preserve"> Casper and Edward J. Schoen,</w:t>
      </w:r>
      <w:r w:rsidR="00BF33AE" w:rsidRPr="009341AA">
        <w:rPr>
          <w:rFonts w:ascii="Times New Roman" w:hAnsi="Times New Roman" w:cs="Times New Roman"/>
        </w:rPr>
        <w:t xml:space="preserve"> who wrote about the case</w:t>
      </w:r>
      <w:r w:rsidR="002172BD" w:rsidRPr="009341AA">
        <w:rPr>
          <w:rFonts w:ascii="Times New Roman" w:hAnsi="Times New Roman" w:cs="Times New Roman"/>
        </w:rPr>
        <w:t xml:space="preserve"> after the fact</w:t>
      </w:r>
      <w:r w:rsidR="00BF33AE" w:rsidRPr="009341AA">
        <w:rPr>
          <w:rFonts w:ascii="Times New Roman" w:hAnsi="Times New Roman" w:cs="Times New Roman"/>
        </w:rPr>
        <w:t>,</w:t>
      </w:r>
      <w:r w:rsidRPr="009341AA">
        <w:rPr>
          <w:rFonts w:ascii="Times New Roman" w:hAnsi="Times New Roman" w:cs="Times New Roman"/>
        </w:rPr>
        <w:t xml:space="preserve"> break down the Court’s process into five steps:</w:t>
      </w:r>
      <w:r w:rsidR="002172BD" w:rsidRPr="009341AA">
        <w:rPr>
          <w:rFonts w:ascii="Times New Roman" w:hAnsi="Times New Roman" w:cs="Times New Roman"/>
        </w:rPr>
        <w:t xml:space="preserve"> 1. The Court took a close look at the history of RFRA, specifically at the parts of the Act, which were being used to make the claims in this case. 2. The Court examined the sincerity of the religious claims of the owners of the corporation. 3. The Court applied RFRA to the corporation. 4. The Court decided if the ACA placed a substantial burden on the owners in their efforts to exercise their religious freedom. 5. The Court decided if the ACA used the least restrictive means to achieve its goals.</w:t>
      </w:r>
      <w:r w:rsidR="002F1F04" w:rsidRPr="009341AA">
        <w:rPr>
          <w:rStyle w:val="FootnoteReference"/>
          <w:rFonts w:ascii="Times New Roman" w:hAnsi="Times New Roman" w:cs="Times New Roman"/>
        </w:rPr>
        <w:footnoteReference w:id="151"/>
      </w:r>
    </w:p>
    <w:p w14:paraId="01D5F0BB" w14:textId="618307EA"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The question being asked in </w:t>
      </w:r>
      <w:r w:rsidRPr="009341AA">
        <w:rPr>
          <w:rFonts w:ascii="Times New Roman" w:hAnsi="Times New Roman" w:cs="Times New Roman"/>
          <w:i/>
          <w:iCs/>
        </w:rPr>
        <w:t>Burwell</w:t>
      </w:r>
      <w:r w:rsidRPr="009341AA">
        <w:rPr>
          <w:rFonts w:ascii="Times New Roman" w:hAnsi="Times New Roman" w:cs="Times New Roman"/>
        </w:rPr>
        <w:t xml:space="preserve"> was, </w:t>
      </w:r>
      <w:r w:rsidR="00A300E5" w:rsidRPr="009341AA">
        <w:rPr>
          <w:rFonts w:ascii="Times New Roman" w:hAnsi="Times New Roman" w:cs="Times New Roman"/>
        </w:rPr>
        <w:t>Does RFRA allow for-profit companies to hold religious beliefs that may impact third parties such as refusing to provide contraception in their health care plan, to which the employees may otherwise be entitled?</w:t>
      </w:r>
      <w:r w:rsidR="00AC22B5" w:rsidRPr="009341AA">
        <w:rPr>
          <w:rFonts w:ascii="Times New Roman" w:hAnsi="Times New Roman" w:cs="Times New Roman"/>
        </w:rPr>
        <w:t xml:space="preserve"> </w:t>
      </w:r>
      <w:r w:rsidRPr="009341AA">
        <w:rPr>
          <w:rFonts w:ascii="Times New Roman" w:hAnsi="Times New Roman" w:cs="Times New Roman"/>
        </w:rPr>
        <w:t xml:space="preserve">Many lower courts found the Act </w:t>
      </w:r>
      <w:r w:rsidR="00AC22B5" w:rsidRPr="009341AA">
        <w:rPr>
          <w:rFonts w:ascii="Times New Roman" w:hAnsi="Times New Roman" w:cs="Times New Roman"/>
        </w:rPr>
        <w:t>itself was unconstitutional because it violated the separation of church and state. “</w:t>
      </w:r>
      <w:r w:rsidRPr="009341AA">
        <w:rPr>
          <w:rFonts w:ascii="Times New Roman" w:hAnsi="Times New Roman" w:cs="Times New Roman"/>
        </w:rPr>
        <w:t>In short, Congress had no business telling courts, including the Supreme Court, how they were to decide cases</w:t>
      </w:r>
      <w:r w:rsidR="00466C50" w:rsidRPr="009341AA">
        <w:rPr>
          <w:rFonts w:ascii="Times New Roman" w:hAnsi="Times New Roman" w:cs="Times New Roman"/>
        </w:rPr>
        <w:t>.</w:t>
      </w:r>
      <w:r w:rsidRPr="009341AA">
        <w:rPr>
          <w:rFonts w:ascii="Times New Roman" w:hAnsi="Times New Roman" w:cs="Times New Roman"/>
        </w:rPr>
        <w:t>”</w:t>
      </w:r>
      <w:r w:rsidR="002F1F04" w:rsidRPr="009341AA">
        <w:rPr>
          <w:rStyle w:val="FootnoteReference"/>
          <w:rFonts w:ascii="Times New Roman" w:hAnsi="Times New Roman" w:cs="Times New Roman"/>
        </w:rPr>
        <w:footnoteReference w:id="152"/>
      </w:r>
      <w:r w:rsidRPr="009341AA">
        <w:rPr>
          <w:rFonts w:ascii="Times New Roman" w:hAnsi="Times New Roman" w:cs="Times New Roman"/>
        </w:rPr>
        <w:t xml:space="preserve"> Though it was arguably unconstitutional </w:t>
      </w:r>
      <w:r w:rsidR="00AC22B5" w:rsidRPr="009341AA">
        <w:rPr>
          <w:rFonts w:ascii="Times New Roman" w:hAnsi="Times New Roman" w:cs="Times New Roman"/>
        </w:rPr>
        <w:t>for Congress to create such an a</w:t>
      </w:r>
      <w:r w:rsidRPr="009341AA">
        <w:rPr>
          <w:rFonts w:ascii="Times New Roman" w:hAnsi="Times New Roman" w:cs="Times New Roman"/>
        </w:rPr>
        <w:t>ct, many states have enacted their own versions of RFRA. The Green family used RFRA to protect against having to pay for contraceptives for its female employees. HHS already exempted religious based non-profit organizations from paying for such health care benefits on the grounds of religious belief but there was no exemption in place for companies such as Hobby Lobby</w:t>
      </w:r>
      <w:r w:rsidR="00466C50" w:rsidRPr="009341AA">
        <w:rPr>
          <w:rFonts w:ascii="Times New Roman" w:hAnsi="Times New Roman" w:cs="Times New Roman"/>
        </w:rPr>
        <w:t>.</w:t>
      </w:r>
      <w:r w:rsidR="002F1F04" w:rsidRPr="009341AA">
        <w:rPr>
          <w:rStyle w:val="FootnoteReference"/>
          <w:rFonts w:ascii="Times New Roman" w:hAnsi="Times New Roman" w:cs="Times New Roman"/>
        </w:rPr>
        <w:footnoteReference w:id="153"/>
      </w:r>
      <w:r w:rsidR="007E7772" w:rsidRPr="009341AA">
        <w:rPr>
          <w:rFonts w:ascii="Times New Roman" w:hAnsi="Times New Roman" w:cs="Times New Roman"/>
          <w:sz w:val="28"/>
          <w:szCs w:val="28"/>
        </w:rPr>
        <w:t xml:space="preserve"> </w:t>
      </w:r>
      <w:r w:rsidR="007E7772" w:rsidRPr="009341AA">
        <w:rPr>
          <w:rFonts w:ascii="Times New Roman" w:hAnsi="Times New Roman" w:cs="Times New Roman"/>
        </w:rPr>
        <w:t>As RFRA requires a compelling government interest in order to allow a substantial burden to be placed on a religious exercise, it wo</w:t>
      </w:r>
      <w:r w:rsidR="00AC22B5" w:rsidRPr="009341AA">
        <w:rPr>
          <w:rFonts w:ascii="Times New Roman" w:hAnsi="Times New Roman" w:cs="Times New Roman"/>
        </w:rPr>
        <w:t>uld seem that the HHS mandate fell</w:t>
      </w:r>
      <w:r w:rsidR="007E7772" w:rsidRPr="009341AA">
        <w:rPr>
          <w:rFonts w:ascii="Times New Roman" w:hAnsi="Times New Roman" w:cs="Times New Roman"/>
        </w:rPr>
        <w:t xml:space="preserve"> into that </w:t>
      </w:r>
      <w:r w:rsidR="007E7772" w:rsidRPr="009341AA">
        <w:rPr>
          <w:rFonts w:ascii="Times New Roman" w:hAnsi="Times New Roman" w:cs="Times New Roman"/>
        </w:rPr>
        <w:lastRenderedPageBreak/>
        <w:t>cat</w:t>
      </w:r>
      <w:r w:rsidR="00AC22B5" w:rsidRPr="009341AA">
        <w:rPr>
          <w:rFonts w:ascii="Times New Roman" w:hAnsi="Times New Roman" w:cs="Times New Roman"/>
        </w:rPr>
        <w:t>egory but in doing so, HHS needed</w:t>
      </w:r>
      <w:r w:rsidR="007E7772" w:rsidRPr="009341AA">
        <w:rPr>
          <w:rFonts w:ascii="Times New Roman" w:hAnsi="Times New Roman" w:cs="Times New Roman"/>
        </w:rPr>
        <w:t xml:space="preserve"> to provide a least restrictive way of getting the job done</w:t>
      </w:r>
      <w:r w:rsidR="00466C50" w:rsidRPr="009341AA">
        <w:rPr>
          <w:rFonts w:ascii="Times New Roman" w:hAnsi="Times New Roman" w:cs="Times New Roman"/>
        </w:rPr>
        <w:t>.</w:t>
      </w:r>
      <w:r w:rsidR="00FF4F2D" w:rsidRPr="009341AA">
        <w:rPr>
          <w:rStyle w:val="FootnoteReference"/>
          <w:rFonts w:ascii="Times New Roman" w:hAnsi="Times New Roman" w:cs="Times New Roman"/>
        </w:rPr>
        <w:footnoteReference w:id="154"/>
      </w:r>
    </w:p>
    <w:p w14:paraId="0780E54B" w14:textId="4AACC80A"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Next, the Court had to better understand the religious obligations of Hobby Lobby and the Green family. According to Casper and Schoen, the Green family operates its business “in accordance with Biblical principles</w:t>
      </w:r>
      <w:r w:rsidR="00466C50" w:rsidRPr="009341AA">
        <w:rPr>
          <w:rFonts w:ascii="Times New Roman" w:hAnsi="Times New Roman" w:cs="Times New Roman"/>
        </w:rPr>
        <w:t>.</w:t>
      </w:r>
      <w:r w:rsidRPr="009341AA">
        <w:rPr>
          <w:rFonts w:ascii="Times New Roman" w:hAnsi="Times New Roman" w:cs="Times New Roman"/>
        </w:rPr>
        <w:t>”</w:t>
      </w:r>
      <w:r w:rsidR="00925085" w:rsidRPr="009341AA">
        <w:rPr>
          <w:rStyle w:val="FootnoteReference"/>
          <w:rFonts w:ascii="Times New Roman" w:hAnsi="Times New Roman" w:cs="Times New Roman"/>
        </w:rPr>
        <w:footnoteReference w:id="155"/>
      </w:r>
      <w:r w:rsidRPr="009341AA">
        <w:rPr>
          <w:rFonts w:ascii="Times New Roman" w:hAnsi="Times New Roman" w:cs="Times New Roman"/>
        </w:rPr>
        <w:t xml:space="preserve"> Hobby Lobby Stores are closed on Sundays and they purchase newspaper ads promoting “Jesus as Lord and Savior</w:t>
      </w:r>
      <w:r w:rsidR="00466C50" w:rsidRPr="009341AA">
        <w:rPr>
          <w:rFonts w:ascii="Times New Roman" w:hAnsi="Times New Roman" w:cs="Times New Roman"/>
        </w:rPr>
        <w:t>.</w:t>
      </w:r>
      <w:r w:rsidRPr="009341AA">
        <w:rPr>
          <w:rFonts w:ascii="Times New Roman" w:hAnsi="Times New Roman" w:cs="Times New Roman"/>
        </w:rPr>
        <w:t>”</w:t>
      </w:r>
      <w:r w:rsidR="00925085" w:rsidRPr="009341AA">
        <w:rPr>
          <w:rStyle w:val="FootnoteReference"/>
          <w:rFonts w:ascii="Times New Roman" w:hAnsi="Times New Roman" w:cs="Times New Roman"/>
        </w:rPr>
        <w:footnoteReference w:id="156"/>
      </w:r>
      <w:r w:rsidRPr="009341AA">
        <w:rPr>
          <w:rFonts w:ascii="Times New Roman" w:hAnsi="Times New Roman" w:cs="Times New Roman"/>
        </w:rPr>
        <w:t xml:space="preserve"> Finding that David, Barbara, and their three children who act as president, vice president, and vice CEO to the company, do uphold Christian values in their daily lives, it was time to decide if RFRA was applicable to individuals as it had been previously or if it could also be applied to corporations</w:t>
      </w:r>
      <w:r w:rsidR="00466C50" w:rsidRPr="009341AA">
        <w:rPr>
          <w:rFonts w:ascii="Times New Roman" w:hAnsi="Times New Roman" w:cs="Times New Roman"/>
        </w:rPr>
        <w:t>.</w:t>
      </w:r>
      <w:r w:rsidR="00925085" w:rsidRPr="009341AA">
        <w:rPr>
          <w:rStyle w:val="FootnoteReference"/>
          <w:rFonts w:ascii="Times New Roman" w:hAnsi="Times New Roman" w:cs="Times New Roman"/>
        </w:rPr>
        <w:footnoteReference w:id="157"/>
      </w:r>
    </w:p>
    <w:p w14:paraId="76E919EE" w14:textId="43F263C8"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order to decide whether RFRA could be applied to corporations, the Court had to take a closer look at RFRA itself. The Court firstly noted that RFRA does not define the word “person” but, using the Dictionary Act, it could be conclu</w:t>
      </w:r>
      <w:r w:rsidR="00832C34" w:rsidRPr="009341AA">
        <w:rPr>
          <w:rFonts w:ascii="Times New Roman" w:hAnsi="Times New Roman" w:cs="Times New Roman"/>
        </w:rPr>
        <w:t>ded that the word “person”</w:t>
      </w:r>
      <w:r w:rsidRPr="009341AA">
        <w:rPr>
          <w:rFonts w:ascii="Times New Roman" w:hAnsi="Times New Roman" w:cs="Times New Roman"/>
        </w:rPr>
        <w:t xml:space="preserve"> include</w:t>
      </w:r>
      <w:r w:rsidR="00832C34" w:rsidRPr="009341AA">
        <w:rPr>
          <w:rFonts w:ascii="Times New Roman" w:hAnsi="Times New Roman" w:cs="Times New Roman"/>
        </w:rPr>
        <w:t>d</w:t>
      </w:r>
      <w:r w:rsidRPr="009341AA">
        <w:rPr>
          <w:rFonts w:ascii="Times New Roman" w:hAnsi="Times New Roman" w:cs="Times New Roman"/>
        </w:rPr>
        <w:t xml:space="preserve"> corporations</w:t>
      </w:r>
      <w:r w:rsidR="003071EE" w:rsidRPr="009341AA">
        <w:rPr>
          <w:rFonts w:ascii="Times New Roman" w:hAnsi="Times New Roman" w:cs="Times New Roman"/>
        </w:rPr>
        <w:t>.</w:t>
      </w:r>
      <w:r w:rsidR="00925085" w:rsidRPr="009341AA">
        <w:rPr>
          <w:rStyle w:val="FootnoteReference"/>
          <w:rFonts w:ascii="Times New Roman" w:hAnsi="Times New Roman" w:cs="Times New Roman"/>
        </w:rPr>
        <w:footnoteReference w:id="158"/>
      </w:r>
      <w:r w:rsidRPr="009341AA">
        <w:rPr>
          <w:rFonts w:ascii="Times New Roman" w:hAnsi="Times New Roman" w:cs="Times New Roman"/>
        </w:rPr>
        <w:t xml:space="preserve"> The Court further concluded that there was no reason why the religious freedom benefits that non-profits receive from HHS should not be extended to for-profits as well</w:t>
      </w:r>
      <w:r w:rsidR="003071EE" w:rsidRPr="009341AA">
        <w:rPr>
          <w:rFonts w:ascii="Times New Roman" w:hAnsi="Times New Roman" w:cs="Times New Roman"/>
        </w:rPr>
        <w:t>.</w:t>
      </w:r>
      <w:r w:rsidR="00925085" w:rsidRPr="009341AA">
        <w:rPr>
          <w:rStyle w:val="FootnoteReference"/>
          <w:rFonts w:ascii="Times New Roman" w:hAnsi="Times New Roman" w:cs="Times New Roman"/>
        </w:rPr>
        <w:footnoteReference w:id="159"/>
      </w:r>
      <w:r w:rsidRPr="009341AA">
        <w:rPr>
          <w:rFonts w:ascii="Times New Roman" w:hAnsi="Times New Roman" w:cs="Times New Roman"/>
        </w:rPr>
        <w:t xml:space="preserve"> HHS was concerned that the decision to allow Hobby Lobby to be protected un</w:t>
      </w:r>
      <w:r w:rsidR="00832C34" w:rsidRPr="009341AA">
        <w:rPr>
          <w:rFonts w:ascii="Times New Roman" w:hAnsi="Times New Roman" w:cs="Times New Roman"/>
        </w:rPr>
        <w:t>der RFRA would open the doors for</w:t>
      </w:r>
      <w:r w:rsidRPr="009341AA">
        <w:rPr>
          <w:rFonts w:ascii="Times New Roman" w:hAnsi="Times New Roman" w:cs="Times New Roman"/>
        </w:rPr>
        <w:t xml:space="preserve"> other larger corporations to do the same. The Court came back saying there had been no cases of larger corporations claiming religious freedom in the past. The size of a corporation such as Hobby Lobby is a contributing factor as to why the claim arose in the first place. Larger corporations with </w:t>
      </w:r>
      <w:r w:rsidRPr="009341AA">
        <w:rPr>
          <w:rFonts w:ascii="Times New Roman" w:hAnsi="Times New Roman" w:cs="Times New Roman"/>
        </w:rPr>
        <w:lastRenderedPageBreak/>
        <w:t>public shareholders will not be concerned as to the values with which that particular cooperation is run. If other corporations with a few close shareholders have a dispute as to the religious values of the corporation, that can be handled by state corporation law. With these findings, the Court concluded that the Greens could claim religious freedom for their corporation and were able to be protected under RFRA</w:t>
      </w:r>
      <w:r w:rsidR="003071EE" w:rsidRPr="009341AA">
        <w:rPr>
          <w:rFonts w:ascii="Times New Roman" w:hAnsi="Times New Roman" w:cs="Times New Roman"/>
        </w:rPr>
        <w:t>.</w:t>
      </w:r>
      <w:r w:rsidR="00925085" w:rsidRPr="009341AA">
        <w:rPr>
          <w:rStyle w:val="FootnoteReference"/>
          <w:rFonts w:ascii="Times New Roman" w:hAnsi="Times New Roman" w:cs="Times New Roman"/>
        </w:rPr>
        <w:footnoteReference w:id="160"/>
      </w:r>
    </w:p>
    <w:p w14:paraId="6794AC52" w14:textId="2EBADB29"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The Court then needed to decide if the HHS mandate caused a substantial burden on the Greens’ exercise of religion. Through a winding road of reasoning, the Court was able to conclude that there was</w:t>
      </w:r>
      <w:r w:rsidR="003071EE" w:rsidRPr="009341AA">
        <w:rPr>
          <w:rFonts w:ascii="Times New Roman" w:hAnsi="Times New Roman" w:cs="Times New Roman"/>
        </w:rPr>
        <w:t>,</w:t>
      </w:r>
      <w:r w:rsidRPr="009341AA">
        <w:rPr>
          <w:rFonts w:ascii="Times New Roman" w:hAnsi="Times New Roman" w:cs="Times New Roman"/>
        </w:rPr>
        <w:t xml:space="preserve"> in fact</w:t>
      </w:r>
      <w:r w:rsidR="003071EE" w:rsidRPr="009341AA">
        <w:rPr>
          <w:rFonts w:ascii="Times New Roman" w:hAnsi="Times New Roman" w:cs="Times New Roman"/>
        </w:rPr>
        <w:t>,</w:t>
      </w:r>
      <w:r w:rsidRPr="009341AA">
        <w:rPr>
          <w:rFonts w:ascii="Times New Roman" w:hAnsi="Times New Roman" w:cs="Times New Roman"/>
        </w:rPr>
        <w:t xml:space="preserve"> a substantial burden on the Greens’ exercise of religion. The reasoning went as follows: in order to adhere to HHS’s mandate to purchase ACA for their employees, the Greens would be paying a substantial amount of money. Part of that money would go towards contraceptives for their female employees. Four of the FDA-approved contraceptives have been known to cause abortions at the embryonic stage of pregnancy. Abortions at any stage of a pregnancy goes against the religious beliefs of the Greens. Though the specific family members are not the ones using the contraceptives, it becomes a question of being an enabler to the act. To sum up, the Greens would be forced to pay a large sum of money to support an </w:t>
      </w:r>
      <w:r w:rsidR="005E363C" w:rsidRPr="009341AA">
        <w:rPr>
          <w:rFonts w:ascii="Times New Roman" w:hAnsi="Times New Roman" w:cs="Times New Roman"/>
        </w:rPr>
        <w:t>act, which</w:t>
      </w:r>
      <w:r w:rsidRPr="009341AA">
        <w:rPr>
          <w:rFonts w:ascii="Times New Roman" w:hAnsi="Times New Roman" w:cs="Times New Roman"/>
        </w:rPr>
        <w:t xml:space="preserve"> goes against their religious beliefs. Therefore, the Court found that the mandate caused a substantial burden on the Greens’ exercise of religion</w:t>
      </w:r>
      <w:r w:rsidR="003071EE" w:rsidRPr="009341AA">
        <w:rPr>
          <w:rFonts w:ascii="Times New Roman" w:hAnsi="Times New Roman" w:cs="Times New Roman"/>
        </w:rPr>
        <w:t>.</w:t>
      </w:r>
      <w:r w:rsidR="00925085" w:rsidRPr="009341AA">
        <w:rPr>
          <w:rStyle w:val="FootnoteReference"/>
          <w:rFonts w:ascii="Times New Roman" w:hAnsi="Times New Roman" w:cs="Times New Roman"/>
        </w:rPr>
        <w:footnoteReference w:id="161"/>
      </w:r>
    </w:p>
    <w:p w14:paraId="1975054A" w14:textId="22F86802" w:rsidR="007E7772"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sz w:val="28"/>
          <w:szCs w:val="28"/>
        </w:rPr>
      </w:pPr>
      <w:r w:rsidRPr="009341AA">
        <w:rPr>
          <w:rFonts w:ascii="Times New Roman" w:hAnsi="Times New Roman" w:cs="Times New Roman"/>
        </w:rPr>
        <w:t xml:space="preserve">The next question the Court had to ask in order to make an informed decision was whether ACA utilized the least restrictive means to achieve the government interest. The Court found two alternative ways in which ACA could accommodate those with religious objections and therefore concluded that ACA was not utilizing the least restrictive </w:t>
      </w:r>
      <w:r w:rsidRPr="009341AA">
        <w:rPr>
          <w:rFonts w:ascii="Times New Roman" w:hAnsi="Times New Roman" w:cs="Times New Roman"/>
        </w:rPr>
        <w:lastRenderedPageBreak/>
        <w:t>means</w:t>
      </w:r>
      <w:r w:rsidR="003071EE" w:rsidRPr="009341AA">
        <w:rPr>
          <w:rFonts w:ascii="Times New Roman" w:hAnsi="Times New Roman" w:cs="Times New Roman"/>
        </w:rPr>
        <w:t>.</w:t>
      </w:r>
      <w:r w:rsidR="00925085" w:rsidRPr="009341AA">
        <w:rPr>
          <w:rStyle w:val="FootnoteReference"/>
          <w:rFonts w:ascii="Times New Roman" w:hAnsi="Times New Roman" w:cs="Times New Roman"/>
        </w:rPr>
        <w:footnoteReference w:id="162"/>
      </w:r>
      <w:r w:rsidRPr="009341AA">
        <w:rPr>
          <w:rFonts w:ascii="Times New Roman" w:hAnsi="Times New Roman" w:cs="Times New Roman"/>
        </w:rPr>
        <w:t xml:space="preserve"> All these questions allowed the Court to decide that RFRA did apply to corporations including Hobby Lobby Stores Inc. meaning they were able to claim religious freedom from keeping with HHS’s mandate of ACA and did not have to provide their female employees with contraceptives.</w:t>
      </w:r>
    </w:p>
    <w:p w14:paraId="124A5805" w14:textId="58ED4EE4" w:rsidR="00AC22B5"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In response to the dissent’s worry about impending employment discrimination, the Opinion o</w:t>
      </w:r>
      <w:r w:rsidR="00AC22B5" w:rsidRPr="009341AA">
        <w:rPr>
          <w:rFonts w:ascii="Times New Roman" w:hAnsi="Times New Roman" w:cs="Times New Roman"/>
        </w:rPr>
        <w:t>f the Court reassuringly said,</w:t>
      </w:r>
    </w:p>
    <w:p w14:paraId="20D90358" w14:textId="77777777" w:rsidR="00AC22B5"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The principal dissent raises the possibility that discrimination in hiring, for example on the basis of race, might be cloaked as religious practice to escape legal sanction. Our decision today provides no such shield. The Government has a compelling interest in providing an equal opportunity to participate in the workforce without regard to race, and prohibitions on racial discrimination are precisely tailored to achieve that critical goal</w:t>
      </w:r>
      <w:r w:rsidR="003071EE" w:rsidRPr="009341AA">
        <w:rPr>
          <w:rFonts w:ascii="Times New Roman" w:hAnsi="Times New Roman" w:cs="Times New Roman"/>
        </w:rPr>
        <w:t>.</w:t>
      </w:r>
      <w:r w:rsidRPr="009341AA">
        <w:rPr>
          <w:rFonts w:ascii="Times New Roman" w:hAnsi="Times New Roman" w:cs="Times New Roman"/>
        </w:rPr>
        <w:t>”</w:t>
      </w:r>
      <w:r w:rsidR="00FF4F2D" w:rsidRPr="009341AA">
        <w:rPr>
          <w:rStyle w:val="FootnoteReference"/>
          <w:rFonts w:ascii="Times New Roman" w:hAnsi="Times New Roman" w:cs="Times New Roman"/>
        </w:rPr>
        <w:footnoteReference w:id="163"/>
      </w:r>
    </w:p>
    <w:p w14:paraId="4DA3B3DC" w14:textId="3629A7EE" w:rsidR="003D5864"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The problem with this reasoning is that it is not so much issues of race that would result from the outcome of this case, it was more </w:t>
      </w:r>
      <w:r w:rsidR="0093449F" w:rsidRPr="009341AA">
        <w:rPr>
          <w:rFonts w:ascii="Times New Roman" w:hAnsi="Times New Roman" w:cs="Times New Roman"/>
        </w:rPr>
        <w:t xml:space="preserve">a concern of </w:t>
      </w:r>
      <w:r w:rsidRPr="009341AA">
        <w:rPr>
          <w:rFonts w:ascii="Times New Roman" w:hAnsi="Times New Roman" w:cs="Times New Roman"/>
        </w:rPr>
        <w:t>discrimination based on sexual orientation. Another worry that Justice Ginsburg detailed in her dissent was that this case would open up the flood gates for those that don’t want to follow any laws</w:t>
      </w:r>
      <w:r w:rsidR="00FF4F2D" w:rsidRPr="009341AA">
        <w:rPr>
          <w:rStyle w:val="FootnoteReference"/>
          <w:rFonts w:ascii="Times New Roman" w:hAnsi="Times New Roman" w:cs="Times New Roman"/>
        </w:rPr>
        <w:footnoteReference w:id="164"/>
      </w:r>
      <w:r w:rsidRPr="009341AA">
        <w:rPr>
          <w:rFonts w:ascii="Times New Roman" w:hAnsi="Times New Roman" w:cs="Times New Roman"/>
        </w:rPr>
        <w:t xml:space="preserve"> to be able to blame their religious views</w:t>
      </w:r>
      <w:r w:rsidR="00030AEB" w:rsidRPr="009341AA">
        <w:rPr>
          <w:rFonts w:ascii="Times New Roman" w:hAnsi="Times New Roman" w:cs="Times New Roman"/>
        </w:rPr>
        <w:t>.</w:t>
      </w:r>
      <w:r w:rsidR="00FF4F2D" w:rsidRPr="009341AA">
        <w:rPr>
          <w:rStyle w:val="FootnoteReference"/>
          <w:rFonts w:ascii="Times New Roman" w:hAnsi="Times New Roman" w:cs="Times New Roman"/>
        </w:rPr>
        <w:footnoteReference w:id="165"/>
      </w:r>
      <w:r w:rsidR="0093449F" w:rsidRPr="009341AA">
        <w:rPr>
          <w:rFonts w:ascii="Times New Roman" w:hAnsi="Times New Roman" w:cs="Times New Roman"/>
        </w:rPr>
        <w:t xml:space="preserve"> More will be said on Ginsburg’s dissent in the following section.</w:t>
      </w:r>
    </w:p>
    <w:p w14:paraId="1C37D23F" w14:textId="77777777"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24896DC4" w14:textId="77777777" w:rsidR="003D5864" w:rsidRPr="009341AA" w:rsidRDefault="00857B9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rPr>
      </w:pPr>
      <w:r w:rsidRPr="009341AA">
        <w:rPr>
          <w:rFonts w:ascii="Times New Roman" w:hAnsi="Times New Roman" w:cs="Times New Roman"/>
          <w:b/>
        </w:rPr>
        <w:t>The Consequences</w:t>
      </w:r>
    </w:p>
    <w:p w14:paraId="4744B87E" w14:textId="004E5A5D"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The impacts of </w:t>
      </w:r>
      <w:r w:rsidRPr="009341AA">
        <w:rPr>
          <w:rFonts w:ascii="Times New Roman" w:hAnsi="Times New Roman" w:cs="Times New Roman"/>
          <w:i/>
          <w:iCs/>
        </w:rPr>
        <w:t>Hobby Lobby</w:t>
      </w:r>
      <w:r w:rsidRPr="009341AA">
        <w:rPr>
          <w:rFonts w:ascii="Times New Roman" w:hAnsi="Times New Roman" w:cs="Times New Roman"/>
        </w:rPr>
        <w:t xml:space="preserve"> are still being debated. </w:t>
      </w:r>
      <w:r w:rsidR="00BF33AE" w:rsidRPr="009341AA">
        <w:rPr>
          <w:rFonts w:ascii="Times New Roman" w:hAnsi="Times New Roman" w:cs="Times New Roman"/>
        </w:rPr>
        <w:t>Casper and Schoen</w:t>
      </w:r>
      <w:r w:rsidRPr="009341AA">
        <w:rPr>
          <w:rFonts w:ascii="Times New Roman" w:hAnsi="Times New Roman" w:cs="Times New Roman"/>
        </w:rPr>
        <w:t xml:space="preserve"> </w:t>
      </w:r>
      <w:r w:rsidR="00BF33AE" w:rsidRPr="009341AA">
        <w:rPr>
          <w:rFonts w:ascii="Times New Roman" w:hAnsi="Times New Roman" w:cs="Times New Roman"/>
        </w:rPr>
        <w:t>state</w:t>
      </w:r>
      <w:r w:rsidRPr="009341AA">
        <w:rPr>
          <w:rFonts w:ascii="Times New Roman" w:hAnsi="Times New Roman" w:cs="Times New Roman"/>
        </w:rPr>
        <w:t xml:space="preserve"> that, </w:t>
      </w:r>
      <w:r w:rsidRPr="009341AA">
        <w:rPr>
          <w:rFonts w:ascii="Times New Roman" w:hAnsi="Times New Roman" w:cs="Times New Roman"/>
        </w:rPr>
        <w:lastRenderedPageBreak/>
        <w:t>“</w:t>
      </w:r>
      <w:r w:rsidRPr="009341AA">
        <w:rPr>
          <w:rFonts w:ascii="Times New Roman" w:hAnsi="Times New Roman" w:cs="Times New Roman"/>
          <w:i/>
          <w:iCs/>
        </w:rPr>
        <w:t>Hobby Lobby</w:t>
      </w:r>
      <w:r w:rsidRPr="009341AA">
        <w:rPr>
          <w:rFonts w:ascii="Times New Roman" w:hAnsi="Times New Roman" w:cs="Times New Roman"/>
        </w:rPr>
        <w:t xml:space="preserve"> is not likely to have a significant impact in expanding the free exercise rights</w:t>
      </w:r>
      <w:r w:rsidR="00030AEB" w:rsidRPr="009341AA">
        <w:rPr>
          <w:rFonts w:ascii="Times New Roman" w:hAnsi="Times New Roman" w:cs="Times New Roman"/>
        </w:rPr>
        <w:t>.</w:t>
      </w:r>
      <w:r w:rsidRPr="009341AA">
        <w:rPr>
          <w:rFonts w:ascii="Times New Roman" w:hAnsi="Times New Roman" w:cs="Times New Roman"/>
        </w:rPr>
        <w:t>”</w:t>
      </w:r>
      <w:r w:rsidR="00925085" w:rsidRPr="009341AA">
        <w:rPr>
          <w:rStyle w:val="FootnoteReference"/>
          <w:rFonts w:ascii="Times New Roman" w:hAnsi="Times New Roman" w:cs="Times New Roman"/>
        </w:rPr>
        <w:footnoteReference w:id="166"/>
      </w:r>
      <w:r w:rsidRPr="009341AA">
        <w:rPr>
          <w:rFonts w:ascii="Times New Roman" w:hAnsi="Times New Roman" w:cs="Times New Roman"/>
        </w:rPr>
        <w:t xml:space="preserve"> The authors also mentioned that, on a human resources level, the case would have no significance as well. After stating this, </w:t>
      </w:r>
      <w:r w:rsidR="00AC22B5" w:rsidRPr="009341AA">
        <w:rPr>
          <w:rFonts w:ascii="Times New Roman" w:hAnsi="Times New Roman" w:cs="Times New Roman"/>
        </w:rPr>
        <w:t xml:space="preserve">I feel it is important to bring up Justice Ginsburg’s dissent. </w:t>
      </w:r>
      <w:r w:rsidRPr="009341AA">
        <w:rPr>
          <w:rFonts w:ascii="Times New Roman" w:hAnsi="Times New Roman" w:cs="Times New Roman"/>
        </w:rPr>
        <w:t>She said,</w:t>
      </w:r>
    </w:p>
    <w:p w14:paraId="32668DC5" w14:textId="7C7C9DAE" w:rsidR="003D5864"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In a decision of startling breadth, the Court holds that commercial enterprises, including corporations, along with partnerships and sole proprietorships, can opt out of any law (saving only tax laws) they judge incompatible with their sincerely held religious beliefs. Compelling governmental interests in uniform compliance with the law, and disadvantages that religion-based opt-outs impose on others, hold no sway, the Court decides, at least when there is a “less restrictive alternative.” And such an alternative, the Court suggests, there always will be whenever, in lieu of tolling an enterprise claiming a religion-based exemption, the government, i.e., the general public, can pick up the tab</w:t>
      </w:r>
      <w:r w:rsidR="00030AEB" w:rsidRPr="009341AA">
        <w:rPr>
          <w:rFonts w:ascii="Times New Roman" w:hAnsi="Times New Roman" w:cs="Times New Roman"/>
        </w:rPr>
        <w:t>.</w:t>
      </w:r>
      <w:r w:rsidR="00925085" w:rsidRPr="009341AA">
        <w:rPr>
          <w:rStyle w:val="FootnoteReference"/>
          <w:rFonts w:ascii="Times New Roman" w:hAnsi="Times New Roman" w:cs="Times New Roman"/>
        </w:rPr>
        <w:footnoteReference w:id="167"/>
      </w:r>
    </w:p>
    <w:p w14:paraId="0EF372C9" w14:textId="77777777" w:rsidR="0093449F" w:rsidRPr="009341AA" w:rsidRDefault="003D586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Though Casper</w:t>
      </w:r>
      <w:r w:rsidR="00FF4F2D" w:rsidRPr="009341AA">
        <w:rPr>
          <w:rFonts w:ascii="Times New Roman" w:hAnsi="Times New Roman" w:cs="Times New Roman"/>
        </w:rPr>
        <w:t xml:space="preserve"> and Schoen disagree with Ginsbu</w:t>
      </w:r>
      <w:r w:rsidRPr="009341AA">
        <w:rPr>
          <w:rFonts w:ascii="Times New Roman" w:hAnsi="Times New Roman" w:cs="Times New Roman"/>
        </w:rPr>
        <w:t>rg and those that feel the case works to limit the rights of women and expand on religious liberty, as author Alex J. Luchenitser pointed out, Hobby Lobby allows a few people’s religious beliefs to be forced on others</w:t>
      </w:r>
      <w:r w:rsidR="005A654F" w:rsidRPr="009341AA">
        <w:rPr>
          <w:rFonts w:ascii="Times New Roman" w:hAnsi="Times New Roman" w:cs="Times New Roman"/>
        </w:rPr>
        <w:t>.</w:t>
      </w:r>
      <w:r w:rsidR="00925085" w:rsidRPr="009341AA">
        <w:rPr>
          <w:rStyle w:val="FootnoteReference"/>
          <w:rFonts w:ascii="Times New Roman" w:hAnsi="Times New Roman" w:cs="Times New Roman"/>
        </w:rPr>
        <w:footnoteReference w:id="168"/>
      </w:r>
      <w:r w:rsidR="007E7772" w:rsidRPr="009341AA">
        <w:rPr>
          <w:rFonts w:ascii="Times New Roman" w:hAnsi="Times New Roman" w:cs="Times New Roman"/>
        </w:rPr>
        <w:t xml:space="preserve"> Therefore, </w:t>
      </w:r>
      <w:r w:rsidR="007E7772" w:rsidRPr="009341AA">
        <w:rPr>
          <w:rFonts w:ascii="Times New Roman" w:hAnsi="Times New Roman" w:cs="Times New Roman"/>
          <w:i/>
          <w:iCs/>
        </w:rPr>
        <w:t>Hobby Lobby</w:t>
      </w:r>
      <w:r w:rsidR="007E7772" w:rsidRPr="009341AA">
        <w:rPr>
          <w:rFonts w:ascii="Times New Roman" w:hAnsi="Times New Roman" w:cs="Times New Roman"/>
        </w:rPr>
        <w:t xml:space="preserve"> lends itself to more religious freedom claims in the future</w:t>
      </w:r>
      <w:r w:rsidR="00AC22B5" w:rsidRPr="009341AA">
        <w:rPr>
          <w:rFonts w:ascii="Times New Roman" w:hAnsi="Times New Roman" w:cs="Times New Roman"/>
        </w:rPr>
        <w:t xml:space="preserve"> that involve people who require religious exemptions</w:t>
      </w:r>
      <w:r w:rsidR="007E7772" w:rsidRPr="009341AA">
        <w:rPr>
          <w:rFonts w:ascii="Times New Roman" w:hAnsi="Times New Roman" w:cs="Times New Roman"/>
        </w:rPr>
        <w:t xml:space="preserve">. As Luchenitser puts it, “A principal concern about the impact of </w:t>
      </w:r>
      <w:r w:rsidR="007E7772" w:rsidRPr="009341AA">
        <w:rPr>
          <w:rFonts w:ascii="Times New Roman" w:hAnsi="Times New Roman" w:cs="Times New Roman"/>
          <w:i/>
          <w:iCs/>
        </w:rPr>
        <w:t>Hobby Lobby</w:t>
      </w:r>
      <w:r w:rsidR="007E7772" w:rsidRPr="009341AA">
        <w:rPr>
          <w:rFonts w:ascii="Times New Roman" w:hAnsi="Times New Roman" w:cs="Times New Roman"/>
        </w:rPr>
        <w:t xml:space="preserve"> is whether the decision will open the door for religious objections to override laws that prohibit discrimination in </w:t>
      </w:r>
      <w:r w:rsidR="007E7772" w:rsidRPr="009341AA">
        <w:rPr>
          <w:rFonts w:ascii="Times New Roman" w:hAnsi="Times New Roman" w:cs="Times New Roman"/>
        </w:rPr>
        <w:lastRenderedPageBreak/>
        <w:t>employment and other arenas</w:t>
      </w:r>
      <w:r w:rsidR="00811AD3" w:rsidRPr="009341AA">
        <w:rPr>
          <w:rFonts w:ascii="Times New Roman" w:hAnsi="Times New Roman" w:cs="Times New Roman"/>
        </w:rPr>
        <w:t>.</w:t>
      </w:r>
      <w:r w:rsidR="007E7772" w:rsidRPr="009341AA">
        <w:rPr>
          <w:rFonts w:ascii="Times New Roman" w:hAnsi="Times New Roman" w:cs="Times New Roman"/>
        </w:rPr>
        <w:t>”</w:t>
      </w:r>
      <w:r w:rsidR="00FF4F2D" w:rsidRPr="009341AA">
        <w:rPr>
          <w:rStyle w:val="FootnoteReference"/>
          <w:rFonts w:ascii="Times New Roman" w:hAnsi="Times New Roman" w:cs="Times New Roman"/>
        </w:rPr>
        <w:footnoteReference w:id="169"/>
      </w:r>
      <w:r w:rsidR="007E7772" w:rsidRPr="009341AA">
        <w:rPr>
          <w:rFonts w:ascii="Times New Roman" w:hAnsi="Times New Roman" w:cs="Times New Roman"/>
        </w:rPr>
        <w:t xml:space="preserve"> Later on in his article, Luchenitser gives a few examples of claims that had already been made since the </w:t>
      </w:r>
      <w:r w:rsidR="007E7772" w:rsidRPr="009341AA">
        <w:rPr>
          <w:rFonts w:ascii="Times New Roman" w:hAnsi="Times New Roman" w:cs="Times New Roman"/>
          <w:i/>
          <w:iCs/>
        </w:rPr>
        <w:t xml:space="preserve">Hobby Lobby </w:t>
      </w:r>
      <w:r w:rsidR="007E7772" w:rsidRPr="009341AA">
        <w:rPr>
          <w:rFonts w:ascii="Times New Roman" w:hAnsi="Times New Roman" w:cs="Times New Roman"/>
        </w:rPr>
        <w:t xml:space="preserve">case had been decided. One example he gave was of an inn in Vermont that claimed their religious views trumped public-accommodation laws that prohibit discrimination based on </w:t>
      </w:r>
      <w:r w:rsidR="005E363C" w:rsidRPr="009341AA">
        <w:rPr>
          <w:rFonts w:ascii="Times New Roman" w:hAnsi="Times New Roman" w:cs="Times New Roman"/>
        </w:rPr>
        <w:t>sexual orientation</w:t>
      </w:r>
      <w:r w:rsidR="005A654F" w:rsidRPr="009341AA">
        <w:rPr>
          <w:rFonts w:ascii="Times New Roman" w:hAnsi="Times New Roman" w:cs="Times New Roman"/>
        </w:rPr>
        <w:t>.</w:t>
      </w:r>
      <w:r w:rsidR="00FF4F2D" w:rsidRPr="009341AA">
        <w:rPr>
          <w:rStyle w:val="FootnoteReference"/>
          <w:rFonts w:ascii="Times New Roman" w:hAnsi="Times New Roman" w:cs="Times New Roman"/>
        </w:rPr>
        <w:footnoteReference w:id="170"/>
      </w:r>
      <w:r w:rsidR="007E7772" w:rsidRPr="009341AA">
        <w:rPr>
          <w:rFonts w:ascii="Times New Roman" w:hAnsi="Times New Roman" w:cs="Times New Roman"/>
        </w:rPr>
        <w:t xml:space="preserve"> It is cases like these that Justice Ginsburg was worried about. </w:t>
      </w:r>
      <w:r w:rsidR="007E7772" w:rsidRPr="009341AA">
        <w:rPr>
          <w:rFonts w:ascii="Times New Roman" w:hAnsi="Times New Roman" w:cs="Times New Roman"/>
          <w:i/>
          <w:iCs/>
        </w:rPr>
        <w:t>Hobby Lobby</w:t>
      </w:r>
      <w:r w:rsidR="007E7772" w:rsidRPr="009341AA">
        <w:rPr>
          <w:rFonts w:ascii="Times New Roman" w:hAnsi="Times New Roman" w:cs="Times New Roman"/>
        </w:rPr>
        <w:t xml:space="preserve"> has paved the way for companies to discriminate against both employees and clients. Lu</w:t>
      </w:r>
      <w:r w:rsidR="0093449F" w:rsidRPr="009341AA">
        <w:rPr>
          <w:rFonts w:ascii="Times New Roman" w:hAnsi="Times New Roman" w:cs="Times New Roman"/>
        </w:rPr>
        <w:t>chenitser also brings up that,</w:t>
      </w:r>
    </w:p>
    <w:p w14:paraId="7C2FB9FF" w14:textId="77777777" w:rsidR="0093449F" w:rsidRPr="009341AA" w:rsidRDefault="0093449F" w:rsidP="0093449F">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rPr>
          <w:rFonts w:ascii="Times New Roman" w:hAnsi="Times New Roman" w:cs="Times New Roman"/>
        </w:rPr>
      </w:pPr>
      <w:r w:rsidRPr="009341AA">
        <w:rPr>
          <w:rFonts w:ascii="Times New Roman" w:hAnsi="Times New Roman" w:cs="Times New Roman"/>
        </w:rPr>
        <w:t>I</w:t>
      </w:r>
      <w:r w:rsidR="007E7772" w:rsidRPr="009341AA">
        <w:rPr>
          <w:rFonts w:ascii="Times New Roman" w:hAnsi="Times New Roman" w:cs="Times New Roman"/>
        </w:rPr>
        <w:t xml:space="preserve">f an employer has a sincere belief that associating with certain categories of people is contrary to the employer’s religion, or that the religion prohibits facilitating or supporting in any manner (such as by paying wages) conduct proscribed by the religion (such as becoming pregnant outside of marriage), courts may well conclude that laws prohibiting adverse employment actions against disfavored categories of people or conduct impose a ‘substantial burden’ under </w:t>
      </w:r>
      <w:r w:rsidR="007E7772" w:rsidRPr="009341AA">
        <w:rPr>
          <w:rFonts w:ascii="Times New Roman" w:hAnsi="Times New Roman" w:cs="Times New Roman"/>
          <w:i/>
          <w:iCs/>
        </w:rPr>
        <w:t>Hobby Lobby</w:t>
      </w:r>
      <w:r w:rsidR="00F376B3" w:rsidRPr="009341AA">
        <w:rPr>
          <w:rFonts w:ascii="Times New Roman" w:hAnsi="Times New Roman" w:cs="Times New Roman"/>
          <w:i/>
          <w:iCs/>
        </w:rPr>
        <w:t>.</w:t>
      </w:r>
      <w:r w:rsidR="00FF4F2D" w:rsidRPr="009341AA">
        <w:rPr>
          <w:rStyle w:val="FootnoteReference"/>
          <w:rFonts w:ascii="Times New Roman" w:hAnsi="Times New Roman" w:cs="Times New Roman"/>
        </w:rPr>
        <w:footnoteReference w:id="171"/>
      </w:r>
    </w:p>
    <w:p w14:paraId="5FE57DC5" w14:textId="4DFF59A2" w:rsidR="00F376B3"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Unfortunately, some courts do not define “substantial burden” as anything more than putting pressure on someone’s beliefs and in the </w:t>
      </w:r>
      <w:r w:rsidRPr="009341AA">
        <w:rPr>
          <w:rFonts w:ascii="Times New Roman" w:hAnsi="Times New Roman" w:cs="Times New Roman"/>
          <w:i/>
          <w:iCs/>
        </w:rPr>
        <w:t>Hobby Lobby</w:t>
      </w:r>
      <w:r w:rsidRPr="009341AA">
        <w:rPr>
          <w:rFonts w:ascii="Times New Roman" w:hAnsi="Times New Roman" w:cs="Times New Roman"/>
        </w:rPr>
        <w:t xml:space="preserve"> case especially, the Supreme Court took this approach on the issue</w:t>
      </w:r>
      <w:r w:rsidR="00F376B3" w:rsidRPr="009341AA">
        <w:rPr>
          <w:rFonts w:ascii="Times New Roman" w:hAnsi="Times New Roman" w:cs="Times New Roman"/>
        </w:rPr>
        <w:t>.</w:t>
      </w:r>
      <w:r w:rsidR="00FF4F2D" w:rsidRPr="009341AA">
        <w:rPr>
          <w:rStyle w:val="FootnoteReference"/>
          <w:rFonts w:ascii="Times New Roman" w:hAnsi="Times New Roman" w:cs="Times New Roman"/>
        </w:rPr>
        <w:footnoteReference w:id="172"/>
      </w:r>
      <w:r w:rsidRPr="009341AA">
        <w:rPr>
          <w:rFonts w:ascii="Times New Roman" w:hAnsi="Times New Roman" w:cs="Times New Roman"/>
        </w:rPr>
        <w:t xml:space="preserve"> He then goes on to say that, “To meet the ‘substantial burden’ requirement, it appears that all a business’s owners need to do is truthfully assert that they believe that their faith calls on them not to employ persons who have certain characteristics or engage in certain conduct</w:t>
      </w:r>
      <w:r w:rsidR="00F376B3" w:rsidRPr="009341AA">
        <w:rPr>
          <w:rFonts w:ascii="Times New Roman" w:hAnsi="Times New Roman" w:cs="Times New Roman"/>
        </w:rPr>
        <w:t>.</w:t>
      </w:r>
      <w:r w:rsidRPr="009341AA">
        <w:rPr>
          <w:rFonts w:ascii="Times New Roman" w:hAnsi="Times New Roman" w:cs="Times New Roman"/>
        </w:rPr>
        <w:t>”</w:t>
      </w:r>
      <w:r w:rsidR="00FF4F2D" w:rsidRPr="009341AA">
        <w:rPr>
          <w:rStyle w:val="FootnoteReference"/>
          <w:rFonts w:ascii="Times New Roman" w:hAnsi="Times New Roman" w:cs="Times New Roman"/>
        </w:rPr>
        <w:footnoteReference w:id="173"/>
      </w:r>
      <w:r w:rsidRPr="009341AA">
        <w:rPr>
          <w:rFonts w:ascii="Times New Roman" w:hAnsi="Times New Roman" w:cs="Times New Roman"/>
        </w:rPr>
        <w:t xml:space="preserve"> </w:t>
      </w:r>
    </w:p>
    <w:p w14:paraId="6204675B" w14:textId="4AD11DF0" w:rsidR="007E7772"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i/>
          <w:iCs/>
        </w:rPr>
        <w:lastRenderedPageBreak/>
        <w:t>Hobby Lobby</w:t>
      </w:r>
      <w:r w:rsidRPr="009341AA">
        <w:rPr>
          <w:rFonts w:ascii="Times New Roman" w:hAnsi="Times New Roman" w:cs="Times New Roman"/>
        </w:rPr>
        <w:t xml:space="preserve"> has essentially rendered any employment anti-discrimination laws useless. There have been cases in which employers discriminate based on sexual orientation and the victim claims that they are protected by Title VII but their claims have been rejected because they are not being discriminated against for their religious beliefs</w:t>
      </w:r>
      <w:r w:rsidR="00F376B3" w:rsidRPr="009341AA">
        <w:rPr>
          <w:rFonts w:ascii="Times New Roman" w:hAnsi="Times New Roman" w:cs="Times New Roman"/>
        </w:rPr>
        <w:t>.</w:t>
      </w:r>
      <w:r w:rsidR="00FF4F2D" w:rsidRPr="009341AA">
        <w:rPr>
          <w:rStyle w:val="FootnoteReference"/>
          <w:rFonts w:ascii="Times New Roman" w:hAnsi="Times New Roman" w:cs="Times New Roman"/>
        </w:rPr>
        <w:footnoteReference w:id="174"/>
      </w:r>
      <w:r w:rsidRPr="009341AA">
        <w:rPr>
          <w:rFonts w:ascii="Times New Roman" w:hAnsi="Times New Roman" w:cs="Times New Roman"/>
        </w:rPr>
        <w:t xml:space="preserve"> Such cases beg the question, whose beliefs does RFRA protect? Not only are some people’s beliefs being protected over others but the line at which a religious exemption can no longer be considered is incredibly gray. If this line continues to be debated, it could pose large problems for religious exemptions in general</w:t>
      </w:r>
      <w:r w:rsidR="00F376B3" w:rsidRPr="009341AA">
        <w:rPr>
          <w:rFonts w:ascii="Times New Roman" w:hAnsi="Times New Roman" w:cs="Times New Roman"/>
        </w:rPr>
        <w:t>.</w:t>
      </w:r>
      <w:r w:rsidR="00FF4F2D" w:rsidRPr="009341AA">
        <w:rPr>
          <w:rStyle w:val="FootnoteReference"/>
          <w:rFonts w:ascii="Times New Roman" w:hAnsi="Times New Roman" w:cs="Times New Roman"/>
        </w:rPr>
        <w:footnoteReference w:id="175"/>
      </w:r>
    </w:p>
    <w:p w14:paraId="5DFDFB01" w14:textId="4A236471" w:rsidR="007E7772"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According to Luchenitser, the solution to the entire problem </w:t>
      </w:r>
      <w:r w:rsidRPr="009341AA">
        <w:rPr>
          <w:rFonts w:ascii="Times New Roman" w:hAnsi="Times New Roman" w:cs="Times New Roman"/>
          <w:i/>
          <w:iCs/>
        </w:rPr>
        <w:t xml:space="preserve">Hobby Lobby </w:t>
      </w:r>
      <w:r w:rsidRPr="009341AA">
        <w:rPr>
          <w:rFonts w:ascii="Times New Roman" w:hAnsi="Times New Roman" w:cs="Times New Roman"/>
        </w:rPr>
        <w:t>has created is to amend RFRA</w:t>
      </w:r>
      <w:r w:rsidR="00F376B3" w:rsidRPr="009341AA">
        <w:rPr>
          <w:rFonts w:ascii="Times New Roman" w:hAnsi="Times New Roman" w:cs="Times New Roman"/>
        </w:rPr>
        <w:t>.</w:t>
      </w:r>
      <w:r w:rsidR="00FF4F2D" w:rsidRPr="009341AA">
        <w:rPr>
          <w:rStyle w:val="FootnoteReference"/>
          <w:rFonts w:ascii="Times New Roman" w:hAnsi="Times New Roman" w:cs="Times New Roman"/>
        </w:rPr>
        <w:footnoteReference w:id="176"/>
      </w:r>
      <w:r w:rsidRPr="009341AA">
        <w:rPr>
          <w:rFonts w:ascii="Times New Roman" w:hAnsi="Times New Roman" w:cs="Times New Roman"/>
        </w:rPr>
        <w:t xml:space="preserve"> He claims, “Given the uncertainty of how courts may interpret RFRA in the future, amending RFRA would be the most effective way to prevent the statute from being used to justify discrimination based on religion, sexual orientation, or other grounds</w:t>
      </w:r>
      <w:r w:rsidR="00F376B3" w:rsidRPr="009341AA">
        <w:rPr>
          <w:rFonts w:ascii="Times New Roman" w:hAnsi="Times New Roman" w:cs="Times New Roman"/>
        </w:rPr>
        <w:t>.</w:t>
      </w:r>
      <w:r w:rsidRPr="009341AA">
        <w:rPr>
          <w:rFonts w:ascii="Times New Roman" w:hAnsi="Times New Roman" w:cs="Times New Roman"/>
        </w:rPr>
        <w:t>”</w:t>
      </w:r>
      <w:r w:rsidR="00FF4F2D" w:rsidRPr="009341AA">
        <w:rPr>
          <w:rStyle w:val="FootnoteReference"/>
          <w:rFonts w:ascii="Times New Roman" w:hAnsi="Times New Roman" w:cs="Times New Roman"/>
        </w:rPr>
        <w:footnoteReference w:id="177"/>
      </w:r>
      <w:r w:rsidRPr="009341AA">
        <w:rPr>
          <w:rFonts w:ascii="Times New Roman" w:hAnsi="Times New Roman" w:cs="Times New Roman"/>
        </w:rPr>
        <w:t xml:space="preserve"> In order to prevent justification of discrimination, RFRA needs to specify that, in granting a religious exemption, there should be no burden placed on third parties as a result such as the one that resulted from this case.</w:t>
      </w:r>
    </w:p>
    <w:p w14:paraId="7AA755D9" w14:textId="2ABA5A35" w:rsidR="003D5864" w:rsidRPr="009341AA" w:rsidRDefault="007E7772"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Seeing as this case involved Christians, it is hard to say whether the outcome would have been the same if the owners of the business were of another religion. That being said, it is easy to think how a claim that providing abortion-causing contraceptives goes against religious beliefs, clearly a Christian based belief, would be understood in a predominantly Christian country. The Court clearly saw it fitting to protect the beliefs of the Christian owners instead of taking into consideration the </w:t>
      </w:r>
      <w:r w:rsidR="00F376B3" w:rsidRPr="009341AA">
        <w:rPr>
          <w:rFonts w:ascii="Times New Roman" w:hAnsi="Times New Roman" w:cs="Times New Roman"/>
        </w:rPr>
        <w:t>third-party</w:t>
      </w:r>
      <w:r w:rsidRPr="009341AA">
        <w:rPr>
          <w:rFonts w:ascii="Times New Roman" w:hAnsi="Times New Roman" w:cs="Times New Roman"/>
        </w:rPr>
        <w:t xml:space="preserve"> employees who </w:t>
      </w:r>
      <w:r w:rsidRPr="009341AA">
        <w:rPr>
          <w:rFonts w:ascii="Times New Roman" w:hAnsi="Times New Roman" w:cs="Times New Roman"/>
        </w:rPr>
        <w:lastRenderedPageBreak/>
        <w:t>may not share their employers’ religious values.</w:t>
      </w:r>
    </w:p>
    <w:p w14:paraId="48800D2D" w14:textId="21907041" w:rsidR="00AC22B5" w:rsidRPr="009341AA" w:rsidRDefault="00AC22B5"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This chapter worked to show us how religious freedom evolved from discrimination against reli</w:t>
      </w:r>
      <w:r w:rsidR="0093449F" w:rsidRPr="009341AA">
        <w:rPr>
          <w:rFonts w:ascii="Times New Roman" w:hAnsi="Times New Roman" w:cs="Times New Roman"/>
        </w:rPr>
        <w:t>gions that were not Christian</w:t>
      </w:r>
      <w:r w:rsidRPr="009341AA">
        <w:rPr>
          <w:rFonts w:ascii="Times New Roman" w:hAnsi="Times New Roman" w:cs="Times New Roman"/>
        </w:rPr>
        <w:t xml:space="preserve"> to simply protecting the religious freedom of Christians. From the belief/action dichotom</w:t>
      </w:r>
      <w:r w:rsidR="000A590D" w:rsidRPr="009341AA">
        <w:rPr>
          <w:rFonts w:ascii="Times New Roman" w:hAnsi="Times New Roman" w:cs="Times New Roman"/>
        </w:rPr>
        <w:t>y to a government interest to just protecting the rights of the majority religion, the Supreme Court has worked every angle to keep the Christian ideology of America in place. In my concluding chapter, I will connect all three case studies and explain where I think the Supreme Court will be in future religious freedom cases.</w:t>
      </w:r>
    </w:p>
    <w:p w14:paraId="3E020F9A" w14:textId="77777777" w:rsidR="003E3C33" w:rsidRPr="009341AA" w:rsidRDefault="003E3C3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701D6880" w14:textId="77777777" w:rsidR="003E3C33" w:rsidRPr="009341AA" w:rsidRDefault="003E3C3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33EE35F" w14:textId="77777777" w:rsidR="003E3C33" w:rsidRPr="009341AA" w:rsidRDefault="003E3C3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1CCCC50" w14:textId="77777777" w:rsidR="001F719E" w:rsidRPr="009341AA" w:rsidRDefault="001F719E"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11BAA0C"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D574DE7"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69544B97"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61E4D44B"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7CEFA98F"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5D54CEEB" w14:textId="77777777" w:rsidR="00031084" w:rsidRPr="009341AA" w:rsidRDefault="00031084"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1148CAC3"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0975F67"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A33AD9D"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6B98268A"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3E1488A9"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68DE42B1" w14:textId="7B2A8413" w:rsidR="003E3C33" w:rsidRPr="009341AA" w:rsidRDefault="001F719E"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b/>
          <w:sz w:val="28"/>
          <w:szCs w:val="28"/>
        </w:rPr>
      </w:pPr>
      <w:r w:rsidRPr="009341AA">
        <w:rPr>
          <w:rFonts w:ascii="Times New Roman" w:hAnsi="Times New Roman" w:cs="Times New Roman"/>
          <w:b/>
          <w:sz w:val="28"/>
          <w:szCs w:val="28"/>
        </w:rPr>
        <w:lastRenderedPageBreak/>
        <w:t xml:space="preserve">Chapter V: </w:t>
      </w:r>
      <w:r w:rsidR="009313CA" w:rsidRPr="009341AA">
        <w:rPr>
          <w:rFonts w:ascii="Times New Roman" w:hAnsi="Times New Roman" w:cs="Times New Roman"/>
          <w:b/>
          <w:sz w:val="28"/>
          <w:szCs w:val="28"/>
        </w:rPr>
        <w:t>Final Remarks</w:t>
      </w:r>
    </w:p>
    <w:p w14:paraId="3C9D574A" w14:textId="77777777" w:rsidR="009313CA" w:rsidRPr="009341AA" w:rsidRDefault="009313CA" w:rsidP="009313CA">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sz w:val="28"/>
          <w:szCs w:val="28"/>
        </w:rPr>
      </w:pPr>
    </w:p>
    <w:p w14:paraId="44FFEA05" w14:textId="3DC2078C" w:rsidR="009313CA" w:rsidRPr="009341AA" w:rsidRDefault="009313CA" w:rsidP="009313CA">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All three cases discussed at length in this paper have worked to shape religious freedom in America in a significant way. I believe, during these cases, the Supreme Court worked to give the impression of progression but ultimately kept the Free Exercise Clause at a standstill in terms of its tolerance for religions that do not adhere to a Christian paradigm. </w:t>
      </w:r>
      <w:r w:rsidRPr="009341AA">
        <w:rPr>
          <w:rFonts w:ascii="Times New Roman" w:hAnsi="Times New Roman" w:cs="Times New Roman"/>
          <w:i/>
        </w:rPr>
        <w:t>Reynolds</w:t>
      </w:r>
      <w:r w:rsidRPr="009341AA">
        <w:rPr>
          <w:rFonts w:ascii="Times New Roman" w:hAnsi="Times New Roman" w:cs="Times New Roman"/>
        </w:rPr>
        <w:t xml:space="preserve"> started out as an effort to test the laws that were in place but, in the end, a man was punished for his religious practice. No one brought up a suit against Reynolds and yet, he was tried for a crime that was supposedly disruptive. The judicial system worked against him due to his Mormon beliefs. The Supreme Court used a shield of law to protect themselves against the threat of a religion that did not adhere to mainline Christianity.</w:t>
      </w:r>
    </w:p>
    <w:p w14:paraId="57ADB33D" w14:textId="5763DAB5" w:rsidR="009313CA" w:rsidRPr="009341AA" w:rsidRDefault="009313CA" w:rsidP="009313CA">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the case of </w:t>
      </w:r>
      <w:r w:rsidRPr="009341AA">
        <w:rPr>
          <w:rFonts w:ascii="Times New Roman" w:hAnsi="Times New Roman" w:cs="Times New Roman"/>
          <w:i/>
        </w:rPr>
        <w:t>Goldman</w:t>
      </w:r>
      <w:r w:rsidRPr="009341AA">
        <w:rPr>
          <w:rFonts w:ascii="Times New Roman" w:hAnsi="Times New Roman" w:cs="Times New Roman"/>
        </w:rPr>
        <w:t xml:space="preserve">, it would be unwise to forget the years of anti-Semitism that plagued the Western world in years prior. And yet, just forty years after the Holocaust, a Jewish man who voluntarily served his country was still fighting for the right to express his religion. Just as in </w:t>
      </w:r>
      <w:r w:rsidRPr="009341AA">
        <w:rPr>
          <w:rFonts w:ascii="Times New Roman" w:hAnsi="Times New Roman" w:cs="Times New Roman"/>
          <w:i/>
        </w:rPr>
        <w:t>Reynolds</w:t>
      </w:r>
      <w:r w:rsidRPr="009341AA">
        <w:rPr>
          <w:rFonts w:ascii="Times New Roman" w:hAnsi="Times New Roman" w:cs="Times New Roman"/>
        </w:rPr>
        <w:t xml:space="preserve">, the Supreme Court hid behind their interpretation of the law to justify their discrimination. The difference between </w:t>
      </w:r>
      <w:r w:rsidRPr="009341AA">
        <w:rPr>
          <w:rFonts w:ascii="Times New Roman" w:hAnsi="Times New Roman" w:cs="Times New Roman"/>
          <w:i/>
        </w:rPr>
        <w:t>Reynolds</w:t>
      </w:r>
      <w:r w:rsidRPr="009341AA">
        <w:rPr>
          <w:rFonts w:ascii="Times New Roman" w:hAnsi="Times New Roman" w:cs="Times New Roman"/>
        </w:rPr>
        <w:t xml:space="preserve"> and </w:t>
      </w:r>
      <w:r w:rsidRPr="009341AA">
        <w:rPr>
          <w:rFonts w:ascii="Times New Roman" w:hAnsi="Times New Roman" w:cs="Times New Roman"/>
          <w:i/>
        </w:rPr>
        <w:t>Goldman</w:t>
      </w:r>
      <w:r w:rsidRPr="009341AA">
        <w:rPr>
          <w:rFonts w:ascii="Times New Roman" w:hAnsi="Times New Roman" w:cs="Times New Roman"/>
        </w:rPr>
        <w:t xml:space="preserve"> was that during </w:t>
      </w:r>
      <w:r w:rsidRPr="009341AA">
        <w:rPr>
          <w:rFonts w:ascii="Times New Roman" w:hAnsi="Times New Roman" w:cs="Times New Roman"/>
          <w:i/>
        </w:rPr>
        <w:t>Goldman</w:t>
      </w:r>
      <w:r w:rsidRPr="009341AA">
        <w:rPr>
          <w:rFonts w:ascii="Times New Roman" w:hAnsi="Times New Roman" w:cs="Times New Roman"/>
        </w:rPr>
        <w:t>, the Supreme Court pawned their job off on the military. Instead of treating the case like the civil case it was meant to be, the Court treated it as though it was out of their expertise because the military comes with its own rule</w:t>
      </w:r>
      <w:r w:rsidR="0093449F" w:rsidRPr="009341AA">
        <w:rPr>
          <w:rFonts w:ascii="Times New Roman" w:hAnsi="Times New Roman" w:cs="Times New Roman"/>
        </w:rPr>
        <w:t xml:space="preserve">s and regulations. It was never thought that it was the </w:t>
      </w:r>
      <w:r w:rsidRPr="009341AA">
        <w:rPr>
          <w:rFonts w:ascii="Times New Roman" w:hAnsi="Times New Roman" w:cs="Times New Roman"/>
        </w:rPr>
        <w:t xml:space="preserve">military’s rules that were on trial, not the citizen who </w:t>
      </w:r>
      <w:r w:rsidR="002D46F5" w:rsidRPr="009341AA">
        <w:rPr>
          <w:rFonts w:ascii="Times New Roman" w:hAnsi="Times New Roman" w:cs="Times New Roman"/>
        </w:rPr>
        <w:t>had inherent rights.</w:t>
      </w:r>
    </w:p>
    <w:p w14:paraId="3523D7A6" w14:textId="653BDDC4" w:rsidR="002D46F5" w:rsidRPr="009341AA" w:rsidRDefault="002D46F5" w:rsidP="009313CA">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As for </w:t>
      </w:r>
      <w:r w:rsidRPr="009341AA">
        <w:rPr>
          <w:rFonts w:ascii="Times New Roman" w:hAnsi="Times New Roman" w:cs="Times New Roman"/>
          <w:i/>
        </w:rPr>
        <w:t>Hobby Lobby</w:t>
      </w:r>
      <w:r w:rsidRPr="009341AA">
        <w:rPr>
          <w:rFonts w:ascii="Times New Roman" w:hAnsi="Times New Roman" w:cs="Times New Roman"/>
        </w:rPr>
        <w:t xml:space="preserve">, this unique turn of events that seemed to spawn a new wave of </w:t>
      </w:r>
      <w:r w:rsidRPr="009341AA">
        <w:rPr>
          <w:rFonts w:ascii="Times New Roman" w:hAnsi="Times New Roman" w:cs="Times New Roman"/>
        </w:rPr>
        <w:lastRenderedPageBreak/>
        <w:t>discrimination is not surprising. Again, the Supreme Court disappeared under the blanket of the law in order to justify their ruling that clearly favored a Christian pa</w:t>
      </w:r>
      <w:r w:rsidR="0093449F" w:rsidRPr="009341AA">
        <w:rPr>
          <w:rFonts w:ascii="Times New Roman" w:hAnsi="Times New Roman" w:cs="Times New Roman"/>
        </w:rPr>
        <w:t>radigm. If a Jehovah’s Witness</w:t>
      </w:r>
      <w:r w:rsidRPr="009341AA">
        <w:rPr>
          <w:rFonts w:ascii="Times New Roman" w:hAnsi="Times New Roman" w:cs="Times New Roman"/>
        </w:rPr>
        <w:t xml:space="preserve"> practitioner owned a company and refused to provide health insurance that covered hospital bills because a hospital procedure might involve a blood transfusion,</w:t>
      </w:r>
      <w:r w:rsidRPr="009341AA">
        <w:rPr>
          <w:rStyle w:val="FootnoteReference"/>
          <w:rFonts w:ascii="Times New Roman" w:hAnsi="Times New Roman" w:cs="Times New Roman"/>
        </w:rPr>
        <w:footnoteReference w:id="178"/>
      </w:r>
      <w:r w:rsidRPr="009341AA">
        <w:rPr>
          <w:rFonts w:ascii="Times New Roman" w:hAnsi="Times New Roman" w:cs="Times New Roman"/>
        </w:rPr>
        <w:t xml:space="preserve"> it is doubtful that the Court would make room for such an allowance under ACA.</w:t>
      </w:r>
      <w:r w:rsidR="008F3D69" w:rsidRPr="009341AA">
        <w:rPr>
          <w:rFonts w:ascii="Times New Roman" w:hAnsi="Times New Roman" w:cs="Times New Roman"/>
        </w:rPr>
        <w:t xml:space="preserve"> This new interpretation of RFRA and the Free Exercise Clause will undoubtedly allow for more cases like the Arlene’s Flowers case to stand in court. Such cases that justify discrimination of a third party based on one person’s beliefs is a dangerous step in the wrong direction for the Supreme Court and America as a whole.</w:t>
      </w:r>
    </w:p>
    <w:p w14:paraId="715AD73B" w14:textId="50AE1E87" w:rsidR="009313CA" w:rsidRPr="009341AA" w:rsidRDefault="009313CA" w:rsidP="009313CA">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From </w:t>
      </w:r>
      <w:r w:rsidRPr="009341AA">
        <w:rPr>
          <w:rFonts w:ascii="Times New Roman" w:hAnsi="Times New Roman" w:cs="Times New Roman"/>
          <w:i/>
        </w:rPr>
        <w:t>Reynolds</w:t>
      </w:r>
      <w:r w:rsidRPr="009341AA">
        <w:rPr>
          <w:rFonts w:ascii="Times New Roman" w:hAnsi="Times New Roman" w:cs="Times New Roman"/>
        </w:rPr>
        <w:t xml:space="preserve">, in which the Court recognized a need for the belief/action dichotomy, to </w:t>
      </w:r>
      <w:r w:rsidRPr="009341AA">
        <w:rPr>
          <w:rFonts w:ascii="Times New Roman" w:hAnsi="Times New Roman" w:cs="Times New Roman"/>
          <w:i/>
        </w:rPr>
        <w:t>Goldman</w:t>
      </w:r>
      <w:r w:rsidRPr="009341AA">
        <w:rPr>
          <w:rFonts w:ascii="Times New Roman" w:hAnsi="Times New Roman" w:cs="Times New Roman"/>
        </w:rPr>
        <w:t xml:space="preserve">, which allowed the Court to realize compelling government interest has a place in the judicial system, to </w:t>
      </w:r>
      <w:r w:rsidRPr="009341AA">
        <w:rPr>
          <w:rFonts w:ascii="Times New Roman" w:hAnsi="Times New Roman" w:cs="Times New Roman"/>
          <w:i/>
        </w:rPr>
        <w:t>Hobby Lobby</w:t>
      </w:r>
      <w:r w:rsidRPr="009341AA">
        <w:rPr>
          <w:rFonts w:ascii="Times New Roman" w:hAnsi="Times New Roman" w:cs="Times New Roman"/>
        </w:rPr>
        <w:t>, which has opened the doors for potential religious discrimination and exemption from most laws based on religious bel</w:t>
      </w:r>
      <w:r w:rsidR="0093449F" w:rsidRPr="009341AA">
        <w:rPr>
          <w:rFonts w:ascii="Times New Roman" w:hAnsi="Times New Roman" w:cs="Times New Roman"/>
        </w:rPr>
        <w:t>iefs, our Supreme Court has taken</w:t>
      </w:r>
      <w:r w:rsidRPr="009341AA">
        <w:rPr>
          <w:rFonts w:ascii="Times New Roman" w:hAnsi="Times New Roman" w:cs="Times New Roman"/>
        </w:rPr>
        <w:t xml:space="preserve"> many twists and turns when interpreting the Free Exercise Clause. I think the Supreme Court is still learning but is only recently making an effort to be open-minded as far as what constitutes religion.</w:t>
      </w:r>
    </w:p>
    <w:p w14:paraId="02D0C072" w14:textId="53B70949" w:rsidR="003E3C33" w:rsidRPr="009341AA" w:rsidRDefault="003E3C33"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As can be seen from the three case studies in this paper, America has not come far from the religiously prejudice country she started as. Though the founders of this country came here to get away from religious persecution, once they became the majority, the</w:t>
      </w:r>
      <w:r w:rsidR="00233B93" w:rsidRPr="009341AA">
        <w:rPr>
          <w:rFonts w:ascii="Times New Roman" w:hAnsi="Times New Roman" w:cs="Times New Roman"/>
        </w:rPr>
        <w:t>y</w:t>
      </w:r>
      <w:r w:rsidRPr="009341AA">
        <w:rPr>
          <w:rFonts w:ascii="Times New Roman" w:hAnsi="Times New Roman" w:cs="Times New Roman"/>
        </w:rPr>
        <w:t xml:space="preserve"> internalized the behavior of their previous tormentors. The Free Exercise</w:t>
      </w:r>
      <w:r w:rsidR="009313CA" w:rsidRPr="009341AA">
        <w:rPr>
          <w:rFonts w:ascii="Times New Roman" w:hAnsi="Times New Roman" w:cs="Times New Roman"/>
        </w:rPr>
        <w:t xml:space="preserve"> Clause of the </w:t>
      </w:r>
      <w:r w:rsidR="009313CA" w:rsidRPr="009341AA">
        <w:rPr>
          <w:rFonts w:ascii="Times New Roman" w:hAnsi="Times New Roman" w:cs="Times New Roman"/>
        </w:rPr>
        <w:lastRenderedPageBreak/>
        <w:t>First Amendment wa</w:t>
      </w:r>
      <w:r w:rsidRPr="009341AA">
        <w:rPr>
          <w:rFonts w:ascii="Times New Roman" w:hAnsi="Times New Roman" w:cs="Times New Roman"/>
        </w:rPr>
        <w:t>s a large step in the direction of non-discrimination and overall religious freedom but in order for it to work, the Supreme Court must stop basing its decisions off a Christian paradigm. Only then can the American people be free to both believe and practice (to an extent) whatever religion they adhere to.</w:t>
      </w:r>
    </w:p>
    <w:p w14:paraId="7DBED305" w14:textId="788CBFFC" w:rsidR="003E3C33" w:rsidRPr="009341AA" w:rsidRDefault="00274E0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 xml:space="preserve">In this paper, I have discussed three main cases, which I think exemplify not only the Christian bias of the American justice system but also the resistance to progression from the norm. </w:t>
      </w:r>
      <w:r w:rsidR="003E3C33" w:rsidRPr="009341AA">
        <w:rPr>
          <w:rFonts w:ascii="Times New Roman" w:hAnsi="Times New Roman" w:cs="Times New Roman"/>
        </w:rPr>
        <w:t xml:space="preserve">Though the Free Exercise Clause will continue to be shaped on a case-by-case basis, I think one overarching change that can be made is that the Supreme Court </w:t>
      </w:r>
      <w:r w:rsidR="000A590D" w:rsidRPr="009341AA">
        <w:rPr>
          <w:rFonts w:ascii="Times New Roman" w:hAnsi="Times New Roman" w:cs="Times New Roman"/>
        </w:rPr>
        <w:t>stops</w:t>
      </w:r>
      <w:r w:rsidR="003E3C33" w:rsidRPr="009341AA">
        <w:rPr>
          <w:rFonts w:ascii="Times New Roman" w:hAnsi="Times New Roman" w:cs="Times New Roman"/>
        </w:rPr>
        <w:t xml:space="preserve"> thinking of religions other than Christianity as different and obscure.</w:t>
      </w:r>
    </w:p>
    <w:p w14:paraId="517CC69F" w14:textId="268ABBD4" w:rsidR="000A590D" w:rsidRPr="009341AA" w:rsidRDefault="00274E07"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r w:rsidRPr="009341AA">
        <w:rPr>
          <w:rFonts w:ascii="Times New Roman" w:hAnsi="Times New Roman" w:cs="Times New Roman"/>
        </w:rPr>
        <w:t>Based on my research, I think the Supreme Court and American culture is headed towards progression. I am basing this opinion off of the Supreme Court’s recent decision to legalize gay marriage and the positive feedback that received from the nation. Of course, there was some pushback from the far right but no matter what legislations or decisions are put into place, one side or the other will not be happy. While my hope is for a progressive America, I am not so naïve as to think that the Christian paradigm</w:t>
      </w:r>
      <w:r w:rsidR="008F3D69" w:rsidRPr="009341AA">
        <w:rPr>
          <w:rFonts w:ascii="Times New Roman" w:hAnsi="Times New Roman" w:cs="Times New Roman"/>
        </w:rPr>
        <w:t>,</w:t>
      </w:r>
      <w:r w:rsidRPr="009341AA">
        <w:rPr>
          <w:rFonts w:ascii="Times New Roman" w:hAnsi="Times New Roman" w:cs="Times New Roman"/>
        </w:rPr>
        <w:t xml:space="preserve"> through which our country runs</w:t>
      </w:r>
      <w:r w:rsidR="0093449F" w:rsidRPr="009341AA">
        <w:rPr>
          <w:rFonts w:ascii="Times New Roman" w:hAnsi="Times New Roman" w:cs="Times New Roman"/>
        </w:rPr>
        <w:t xml:space="preserve">, will disappear </w:t>
      </w:r>
      <w:r w:rsidR="008F3D69" w:rsidRPr="009341AA">
        <w:rPr>
          <w:rFonts w:ascii="Times New Roman" w:hAnsi="Times New Roman" w:cs="Times New Roman"/>
        </w:rPr>
        <w:t>with just one case decision. That being said, if America continues down the road of progression she seems to be headed on, there is no doubt in my mind that someday, this country will live up to its “Melting Pot” nickname, even in the judicial system.</w:t>
      </w:r>
    </w:p>
    <w:p w14:paraId="3ADCA977"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E5DFCB1"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36B3F090" w14:textId="77777777"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rPr>
          <w:rFonts w:ascii="Times New Roman" w:hAnsi="Times New Roman" w:cs="Times New Roman"/>
        </w:rPr>
      </w:pPr>
    </w:p>
    <w:p w14:paraId="5DB479B1" w14:textId="77777777" w:rsidR="007B55B2" w:rsidRPr="009341AA" w:rsidRDefault="007B55B2" w:rsidP="008F3D69">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p>
    <w:p w14:paraId="027AD31B" w14:textId="0E2BFC54" w:rsidR="000A590D" w:rsidRPr="009341AA" w:rsidRDefault="000A590D" w:rsidP="00274E07">
      <w:pPr>
        <w:widowControl w:val="0"/>
        <w:tabs>
          <w:tab w:val="left" w:pos="720"/>
          <w:tab w:val="left" w:pos="1440"/>
          <w:tab w:val="left" w:pos="2160"/>
          <w:tab w:val="left" w:pos="2880"/>
          <w:tab w:val="left" w:pos="3600"/>
          <w:tab w:val="left" w:pos="4320"/>
        </w:tabs>
        <w:autoSpaceDE w:val="0"/>
        <w:autoSpaceDN w:val="0"/>
        <w:adjustRightInd w:val="0"/>
        <w:spacing w:line="480" w:lineRule="auto"/>
        <w:ind w:firstLine="360"/>
        <w:jc w:val="center"/>
        <w:rPr>
          <w:rFonts w:ascii="Times New Roman" w:hAnsi="Times New Roman" w:cs="Times New Roman"/>
          <w:sz w:val="28"/>
          <w:szCs w:val="28"/>
        </w:rPr>
      </w:pPr>
      <w:r w:rsidRPr="009341AA">
        <w:rPr>
          <w:rFonts w:ascii="Times New Roman" w:hAnsi="Times New Roman" w:cs="Times New Roman"/>
          <w:b/>
          <w:sz w:val="28"/>
          <w:szCs w:val="28"/>
        </w:rPr>
        <w:lastRenderedPageBreak/>
        <w:t>Bibliography</w:t>
      </w:r>
    </w:p>
    <w:p w14:paraId="1E347C4A" w14:textId="67C2CA1A" w:rsidR="00A94E32" w:rsidRPr="009341AA" w:rsidRDefault="000A590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Bellah, Robert. “Civil Religion in America.” </w:t>
      </w:r>
      <w:r w:rsidRPr="009341AA">
        <w:rPr>
          <w:rFonts w:ascii="Times New Roman" w:hAnsi="Times New Roman" w:cs="Times New Roman"/>
          <w:i/>
        </w:rPr>
        <w:t xml:space="preserve">Daedalus </w:t>
      </w:r>
      <w:r w:rsidRPr="009341AA">
        <w:rPr>
          <w:rFonts w:ascii="Times New Roman" w:hAnsi="Times New Roman" w:cs="Times New Roman"/>
        </w:rPr>
        <w:t>134, no. 4 (2005): 1-16.</w:t>
      </w:r>
    </w:p>
    <w:p w14:paraId="5E90E112" w14:textId="016701F5" w:rsidR="00A94E32" w:rsidRPr="009341AA" w:rsidRDefault="000A590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Brady, Kathleen A. “The Disappearance of Religion from Debates About Religious Accommodation.” </w:t>
      </w:r>
      <w:r w:rsidRPr="009341AA">
        <w:rPr>
          <w:rFonts w:ascii="Times New Roman" w:hAnsi="Times New Roman" w:cs="Times New Roman"/>
          <w:i/>
        </w:rPr>
        <w:t>Lewis &amp; Clark Law Review</w:t>
      </w:r>
      <w:r w:rsidRPr="009341AA">
        <w:rPr>
          <w:rFonts w:ascii="Times New Roman" w:hAnsi="Times New Roman" w:cs="Times New Roman"/>
        </w:rPr>
        <w:t xml:space="preserve"> 20, no. 4 (December 2016): 1093-1125.</w:t>
      </w:r>
    </w:p>
    <w:p w14:paraId="77176699" w14:textId="38FDF32E" w:rsidR="00A94E32" w:rsidRPr="009341AA" w:rsidRDefault="000A590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Braunfeld v. Brown</w:t>
      </w:r>
      <w:r w:rsidRPr="009341AA">
        <w:rPr>
          <w:rFonts w:ascii="Times New Roman" w:hAnsi="Times New Roman" w:cs="Times New Roman"/>
        </w:rPr>
        <w:t xml:space="preserve"> (366 U.S. 599 (1961)).</w:t>
      </w:r>
    </w:p>
    <w:p w14:paraId="57C7ED79" w14:textId="2612C435" w:rsidR="00A94E32" w:rsidRPr="009341AA" w:rsidRDefault="000A590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Burwell v. Hobby Lobby Stores Inc. </w:t>
      </w:r>
      <w:r w:rsidRPr="009341AA">
        <w:rPr>
          <w:rFonts w:ascii="Times New Roman" w:hAnsi="Times New Roman" w:cs="Times New Roman"/>
        </w:rPr>
        <w:t>(573 U.S. ___ (2014)).</w:t>
      </w:r>
    </w:p>
    <w:p w14:paraId="2BEE1865" w14:textId="40696349" w:rsidR="00A94E32" w:rsidRPr="009341AA" w:rsidRDefault="00E80E2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Cantwell v. Connecticut</w:t>
      </w:r>
      <w:r w:rsidRPr="009341AA">
        <w:rPr>
          <w:rFonts w:ascii="Times New Roman" w:hAnsi="Times New Roman" w:cs="Times New Roman"/>
        </w:rPr>
        <w:t xml:space="preserve"> (310 U.S. 296 (1940)).</w:t>
      </w:r>
    </w:p>
    <w:p w14:paraId="682AA192" w14:textId="75545C64" w:rsidR="00A94E32" w:rsidRPr="009341AA" w:rsidRDefault="00E80E2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Casper, W. Cameron and Schoen, Edward J. “</w:t>
      </w:r>
      <w:r w:rsidRPr="009341AA">
        <w:rPr>
          <w:rFonts w:ascii="Times New Roman" w:hAnsi="Times New Roman" w:cs="Times New Roman"/>
          <w:i/>
        </w:rPr>
        <w:t>Burwell v. Hobby Lobby Stores, Inc.</w:t>
      </w:r>
      <w:r w:rsidRPr="009341AA">
        <w:rPr>
          <w:rFonts w:ascii="Times New Roman" w:hAnsi="Times New Roman" w:cs="Times New Roman"/>
        </w:rPr>
        <w:t xml:space="preserve">: Lots of Smoke, But No Fire,” </w:t>
      </w:r>
      <w:r w:rsidRPr="009341AA">
        <w:rPr>
          <w:rFonts w:ascii="Times New Roman" w:hAnsi="Times New Roman" w:cs="Times New Roman"/>
          <w:i/>
        </w:rPr>
        <w:t>Southern Law Journal</w:t>
      </w:r>
      <w:r w:rsidRPr="009341AA">
        <w:rPr>
          <w:rFonts w:ascii="Times New Roman" w:hAnsi="Times New Roman" w:cs="Times New Roman"/>
        </w:rPr>
        <w:t xml:space="preserve"> 26 (2016): 233-249.</w:t>
      </w:r>
    </w:p>
    <w:p w14:paraId="468557CC" w14:textId="46563C4E" w:rsidR="00A94E32" w:rsidRPr="009341AA" w:rsidRDefault="00E80E2D"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color w:val="1A1A1A"/>
        </w:rPr>
      </w:pPr>
      <w:r w:rsidRPr="009341AA">
        <w:rPr>
          <w:rFonts w:ascii="Times New Roman" w:hAnsi="Times New Roman" w:cs="Times New Roman"/>
          <w:color w:val="1A1A1A"/>
        </w:rPr>
        <w:t xml:space="preserve">Clayton, James L. "The Supreme Court, Polygamy and the Enforcement of Morals in Nineteenth Century America: An Analysis of Reynolds v. United States." </w:t>
      </w:r>
      <w:r w:rsidRPr="009341AA">
        <w:rPr>
          <w:rFonts w:ascii="Times New Roman" w:hAnsi="Times New Roman" w:cs="Times New Roman"/>
          <w:i/>
          <w:iCs/>
          <w:color w:val="1A1A1A"/>
        </w:rPr>
        <w:t>Dialogue: A Journal of Mormon Thought</w:t>
      </w:r>
      <w:r w:rsidRPr="009341AA">
        <w:rPr>
          <w:rFonts w:ascii="Times New Roman" w:hAnsi="Times New Roman" w:cs="Times New Roman"/>
          <w:color w:val="1A1A1A"/>
        </w:rPr>
        <w:t xml:space="preserve"> 12, no. 4 (1979): 46-61.</w:t>
      </w:r>
    </w:p>
    <w:p w14:paraId="04860D52" w14:textId="4647AA1F" w:rsidR="00A94E32" w:rsidRPr="009341AA" w:rsidRDefault="00274E07"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color w:val="262626"/>
        </w:rPr>
      </w:pPr>
      <w:r w:rsidRPr="009341AA">
        <w:rPr>
          <w:rFonts w:ascii="Times New Roman" w:hAnsi="Times New Roman" w:cs="Times New Roman"/>
          <w:color w:val="262626"/>
        </w:rPr>
        <w:t xml:space="preserve">Corbin, Caroline Mala. "Corporate Religious Liberty." </w:t>
      </w:r>
      <w:r w:rsidRPr="009341AA">
        <w:rPr>
          <w:rFonts w:ascii="Times New Roman" w:hAnsi="Times New Roman" w:cs="Times New Roman"/>
          <w:i/>
          <w:iCs/>
          <w:color w:val="262626"/>
        </w:rPr>
        <w:t>Constitutional Commentary</w:t>
      </w:r>
      <w:r w:rsidRPr="009341AA">
        <w:rPr>
          <w:rFonts w:ascii="Times New Roman" w:hAnsi="Times New Roman" w:cs="Times New Roman"/>
          <w:color w:val="262626"/>
        </w:rPr>
        <w:t xml:space="preserve"> 30.2 (2015): 277-308.</w:t>
      </w:r>
    </w:p>
    <w:p w14:paraId="25B9BEF5" w14:textId="3ABED6EA"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Davis v. Beason </w:t>
      </w:r>
      <w:r w:rsidRPr="009341AA">
        <w:rPr>
          <w:rFonts w:ascii="Times New Roman" w:hAnsi="Times New Roman" w:cs="Times New Roman"/>
        </w:rPr>
        <w:t>(133 U.S. 333 (1890)).</w:t>
      </w:r>
    </w:p>
    <w:p w14:paraId="61DF915F" w14:textId="62282FCE"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Employment Division, Department of Human Resources of Oregon v. Smith </w:t>
      </w:r>
      <w:r w:rsidRPr="009341AA">
        <w:rPr>
          <w:rFonts w:ascii="Times New Roman" w:hAnsi="Times New Roman" w:cs="Times New Roman"/>
        </w:rPr>
        <w:t>(494 U.S. 872 (1990)).</w:t>
      </w:r>
    </w:p>
    <w:p w14:paraId="58D8D795" w14:textId="5CE5422A"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Ronald B. Flowers. </w:t>
      </w:r>
      <w:r w:rsidRPr="009341AA">
        <w:rPr>
          <w:rFonts w:ascii="Times New Roman" w:hAnsi="Times New Roman" w:cs="Times New Roman"/>
          <w:i/>
        </w:rPr>
        <w:t>That Godless Court?</w:t>
      </w:r>
      <w:r w:rsidRPr="009341AA">
        <w:rPr>
          <w:rFonts w:ascii="Times New Roman" w:hAnsi="Times New Roman" w:cs="Times New Roman"/>
        </w:rPr>
        <w:t xml:space="preserve"> Kentucky: Westminster John Knox Press, 1994.</w:t>
      </w:r>
    </w:p>
    <w:p w14:paraId="11D34274" w14:textId="0A82F45D"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Goldman v. Weinberger </w:t>
      </w:r>
      <w:r w:rsidRPr="009341AA">
        <w:rPr>
          <w:rFonts w:ascii="Times New Roman" w:hAnsi="Times New Roman" w:cs="Times New Roman"/>
        </w:rPr>
        <w:t>(475 U.S. 503 (1986)).</w:t>
      </w:r>
    </w:p>
    <w:p w14:paraId="70A90F04" w14:textId="3088C88F"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Hamilton v. Regents of University of California </w:t>
      </w:r>
      <w:r w:rsidRPr="009341AA">
        <w:rPr>
          <w:rFonts w:ascii="Times New Roman" w:hAnsi="Times New Roman" w:cs="Times New Roman"/>
        </w:rPr>
        <w:t>(293 U.S. 245 (1934)).</w:t>
      </w:r>
    </w:p>
    <w:p w14:paraId="430B17C2" w14:textId="54CFA874" w:rsidR="0093449F" w:rsidRPr="009341AA" w:rsidRDefault="0093449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“If the U.S. had 100 people: Charting Americans’ religious affiliations.” </w:t>
      </w:r>
      <w:r w:rsidRPr="009341AA">
        <w:rPr>
          <w:rFonts w:ascii="Times New Roman" w:hAnsi="Times New Roman" w:cs="Times New Roman"/>
          <w:i/>
        </w:rPr>
        <w:t>Pew Research Center</w:t>
      </w:r>
      <w:r w:rsidRPr="009341AA">
        <w:rPr>
          <w:rFonts w:ascii="Times New Roman" w:hAnsi="Times New Roman" w:cs="Times New Roman"/>
        </w:rPr>
        <w:t>. n.d. http://www.pewresearch.org/fact-tank/2016/11/14/if-the-u-s-had-100-</w:t>
      </w:r>
      <w:r w:rsidRPr="009341AA">
        <w:rPr>
          <w:rFonts w:ascii="Times New Roman" w:hAnsi="Times New Roman" w:cs="Times New Roman"/>
        </w:rPr>
        <w:lastRenderedPageBreak/>
        <w:t>people-charting-americans-religious-affiliations/.</w:t>
      </w:r>
    </w:p>
    <w:p w14:paraId="20B1F31B" w14:textId="32FAE57A"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color w:val="262626"/>
        </w:rPr>
      </w:pPr>
      <w:r w:rsidRPr="009341AA">
        <w:rPr>
          <w:rFonts w:ascii="Times New Roman" w:hAnsi="Times New Roman" w:cs="Times New Roman"/>
          <w:color w:val="262626"/>
        </w:rPr>
        <w:t xml:space="preserve">Kearney, Joseph D. "The Supreme Court And Religious Liberty." </w:t>
      </w:r>
      <w:r w:rsidRPr="009341AA">
        <w:rPr>
          <w:rFonts w:ascii="Times New Roman" w:hAnsi="Times New Roman" w:cs="Times New Roman"/>
          <w:i/>
          <w:iCs/>
          <w:color w:val="262626"/>
        </w:rPr>
        <w:t>Marquette Law Review</w:t>
      </w:r>
      <w:r w:rsidRPr="009341AA">
        <w:rPr>
          <w:rFonts w:ascii="Times New Roman" w:hAnsi="Times New Roman" w:cs="Times New Roman"/>
          <w:color w:val="262626"/>
        </w:rPr>
        <w:t xml:space="preserve"> 99.2 (2015): 427-445.</w:t>
      </w:r>
    </w:p>
    <w:p w14:paraId="18EF55CC" w14:textId="5E424CCA" w:rsidR="00A94E32" w:rsidRPr="009341AA" w:rsidRDefault="000E3AAF" w:rsidP="009341AA">
      <w:pPr>
        <w:pStyle w:val="FootnoteText"/>
        <w:spacing w:line="480" w:lineRule="auto"/>
        <w:ind w:left="720" w:hanging="720"/>
        <w:rPr>
          <w:rFonts w:ascii="Times New Roman" w:hAnsi="Times New Roman" w:cs="Times New Roman"/>
        </w:rPr>
      </w:pPr>
      <w:r w:rsidRPr="009341AA">
        <w:rPr>
          <w:rFonts w:ascii="Times New Roman" w:hAnsi="Times New Roman" w:cs="Times New Roman"/>
        </w:rPr>
        <w:t xml:space="preserve">Konkoly, Toni. “Minersville School District v. Gobitis (1940).” </w:t>
      </w:r>
      <w:r w:rsidRPr="009341AA">
        <w:rPr>
          <w:rFonts w:ascii="Times New Roman" w:hAnsi="Times New Roman" w:cs="Times New Roman"/>
          <w:i/>
        </w:rPr>
        <w:t>Public Broadcasting Service</w:t>
      </w:r>
      <w:r w:rsidRPr="009341AA">
        <w:rPr>
          <w:rFonts w:ascii="Times New Roman" w:hAnsi="Times New Roman" w:cs="Times New Roman"/>
        </w:rPr>
        <w:t>. n.d.</w:t>
      </w:r>
      <w:r w:rsidR="00A94E32" w:rsidRPr="009341AA">
        <w:rPr>
          <w:rFonts w:ascii="Times New Roman" w:hAnsi="Times New Roman" w:cs="Times New Roman"/>
        </w:rPr>
        <w:t xml:space="preserve"> </w:t>
      </w:r>
      <w:hyperlink r:id="rId9" w:history="1">
        <w:r w:rsidR="00A94E32" w:rsidRPr="009341AA">
          <w:rPr>
            <w:rStyle w:val="Hyperlink"/>
            <w:rFonts w:ascii="Times New Roman" w:hAnsi="Times New Roman" w:cs="Times New Roman"/>
          </w:rPr>
          <w:t>http://www.pbs.org/wnet/supremecourt/personality/landmark_minersville.html</w:t>
        </w:r>
      </w:hyperlink>
      <w:r w:rsidR="00A94E32" w:rsidRPr="009341AA">
        <w:rPr>
          <w:rFonts w:ascii="Times New Roman" w:hAnsi="Times New Roman" w:cs="Times New Roman"/>
        </w:rPr>
        <w:t>.</w:t>
      </w:r>
    </w:p>
    <w:p w14:paraId="2508AFDB" w14:textId="62A8A88A"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color w:val="262626"/>
        </w:rPr>
      </w:pPr>
      <w:r w:rsidRPr="009341AA">
        <w:rPr>
          <w:rFonts w:ascii="Times New Roman" w:hAnsi="Times New Roman" w:cs="Times New Roman"/>
          <w:color w:val="262626"/>
        </w:rPr>
        <w:t xml:space="preserve">Levine, Samuel J. “Untold Stories of Goldman v. Weinberger: Religious Freedom Confronts Military Uniformity.” </w:t>
      </w:r>
      <w:r w:rsidRPr="009341AA">
        <w:rPr>
          <w:rFonts w:ascii="Times New Roman" w:hAnsi="Times New Roman" w:cs="Times New Roman"/>
          <w:i/>
          <w:iCs/>
          <w:color w:val="262626"/>
        </w:rPr>
        <w:t>Air Force Law Review</w:t>
      </w:r>
      <w:r w:rsidRPr="009341AA">
        <w:rPr>
          <w:rFonts w:ascii="Times New Roman" w:hAnsi="Times New Roman" w:cs="Times New Roman"/>
          <w:color w:val="262626"/>
        </w:rPr>
        <w:t xml:space="preserve"> 66, (June 2010): 205-224.</w:t>
      </w:r>
    </w:p>
    <w:p w14:paraId="594F1F14" w14:textId="72EF554F"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color w:val="262626"/>
        </w:rPr>
      </w:pPr>
      <w:r w:rsidRPr="009341AA">
        <w:rPr>
          <w:rFonts w:ascii="Times New Roman" w:hAnsi="Times New Roman" w:cs="Times New Roman"/>
          <w:color w:val="262626"/>
        </w:rPr>
        <w:t xml:space="preserve">Luchenitser, Alex J. "A New Era of Inequality? Hobby Lobby and Religious Exemptions from Anti-Discrimination Laws." </w:t>
      </w:r>
      <w:r w:rsidRPr="009341AA">
        <w:rPr>
          <w:rFonts w:ascii="Times New Roman" w:hAnsi="Times New Roman" w:cs="Times New Roman"/>
          <w:i/>
          <w:iCs/>
          <w:color w:val="262626"/>
        </w:rPr>
        <w:t>Harvard Law &amp; Policy Review</w:t>
      </w:r>
      <w:r w:rsidRPr="009341AA">
        <w:rPr>
          <w:rFonts w:ascii="Times New Roman" w:hAnsi="Times New Roman" w:cs="Times New Roman"/>
          <w:color w:val="262626"/>
        </w:rPr>
        <w:t xml:space="preserve"> 9, no. 1 (January 2015): 63-88.</w:t>
      </w:r>
    </w:p>
    <w:p w14:paraId="4B6816C9" w14:textId="30F6462F" w:rsidR="00A94E32" w:rsidRPr="009341AA" w:rsidRDefault="000E3AAF"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Minserville School District v. Gobitis </w:t>
      </w:r>
      <w:r w:rsidR="00CD6BC7" w:rsidRPr="009341AA">
        <w:rPr>
          <w:rFonts w:ascii="Times New Roman" w:hAnsi="Times New Roman" w:cs="Times New Roman"/>
        </w:rPr>
        <w:t>(310 U.S. 586 (1940))</w:t>
      </w:r>
      <w:r w:rsidRPr="009341AA">
        <w:rPr>
          <w:rFonts w:ascii="Times New Roman" w:hAnsi="Times New Roman" w:cs="Times New Roman"/>
        </w:rPr>
        <w:t>.</w:t>
      </w:r>
    </w:p>
    <w:p w14:paraId="733EF2A9" w14:textId="1A5E5BD9" w:rsidR="00A94E32" w:rsidRPr="009341AA" w:rsidRDefault="00CD6BC7"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Murray, Bruce. </w:t>
      </w:r>
      <w:r w:rsidRPr="009341AA">
        <w:rPr>
          <w:rFonts w:ascii="Times New Roman" w:hAnsi="Times New Roman" w:cs="Times New Roman"/>
          <w:i/>
        </w:rPr>
        <w:t>Religious Liberty in America</w:t>
      </w:r>
      <w:r w:rsidRPr="009341AA">
        <w:rPr>
          <w:rFonts w:ascii="Times New Roman" w:hAnsi="Times New Roman" w:cs="Times New Roman"/>
        </w:rPr>
        <w:t>. Amherst: University of Massachusetts Press, 2008.</w:t>
      </w:r>
    </w:p>
    <w:p w14:paraId="50F02ED6" w14:textId="3583BFB5" w:rsidR="00A94E32" w:rsidRPr="009341AA" w:rsidRDefault="00CD6BC7" w:rsidP="0093449F">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New Religious Movements: A Documentary Reader</w:t>
      </w:r>
      <w:r w:rsidRPr="009341AA">
        <w:rPr>
          <w:rFonts w:ascii="Times New Roman" w:hAnsi="Times New Roman" w:cs="Times New Roman"/>
        </w:rPr>
        <w:t>. ed. W. Michael Ashcraft. New York and London: New York University Press, 2005.</w:t>
      </w:r>
    </w:p>
    <w:p w14:paraId="247FDAB6" w14:textId="70452B90" w:rsidR="0093449F" w:rsidRPr="009341AA" w:rsidRDefault="0093449F" w:rsidP="0093449F">
      <w:pPr>
        <w:pStyle w:val="FootnoteText"/>
        <w:spacing w:line="480" w:lineRule="auto"/>
        <w:ind w:left="720" w:hanging="720"/>
        <w:rPr>
          <w:rFonts w:ascii="Times New Roman" w:hAnsi="Times New Roman" w:cs="Times New Roman"/>
        </w:rPr>
      </w:pPr>
      <w:r w:rsidRPr="009341AA">
        <w:rPr>
          <w:rFonts w:ascii="Times New Roman" w:hAnsi="Times New Roman" w:cs="Times New Roman"/>
        </w:rPr>
        <w:t xml:space="preserve">“Percentage of Christians in U.S. Drifting Down, but Still High.” </w:t>
      </w:r>
      <w:r w:rsidRPr="009341AA">
        <w:rPr>
          <w:rFonts w:ascii="Times New Roman" w:hAnsi="Times New Roman" w:cs="Times New Roman"/>
          <w:i/>
        </w:rPr>
        <w:t>Gallup</w:t>
      </w:r>
      <w:r w:rsidRPr="009341AA">
        <w:rPr>
          <w:rFonts w:ascii="Times New Roman" w:hAnsi="Times New Roman" w:cs="Times New Roman"/>
        </w:rPr>
        <w:t xml:space="preserve">. Dec. 24, 2014. </w:t>
      </w:r>
      <w:hyperlink r:id="rId10" w:history="1">
        <w:r w:rsidRPr="009341AA">
          <w:rPr>
            <w:rStyle w:val="Hyperlink"/>
            <w:rFonts w:ascii="Times New Roman" w:hAnsi="Times New Roman" w:cs="Times New Roman"/>
          </w:rPr>
          <w:t>http://www.gallup.com/poll/187955/percentage-christians-drifting-down-high.aspx</w:t>
        </w:r>
      </w:hyperlink>
      <w:r w:rsidRPr="009341AA">
        <w:rPr>
          <w:rFonts w:ascii="Times New Roman" w:hAnsi="Times New Roman" w:cs="Times New Roman"/>
        </w:rPr>
        <w:t>.</w:t>
      </w:r>
    </w:p>
    <w:p w14:paraId="2941A1E2" w14:textId="7066DEF1" w:rsidR="00A94E32" w:rsidRPr="009341AA" w:rsidRDefault="00CD6BC7" w:rsidP="0093449F">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Pfeffer, Leo. “The Case for Separation.” In </w:t>
      </w:r>
      <w:r w:rsidRPr="009341AA">
        <w:rPr>
          <w:rFonts w:ascii="Times New Roman" w:hAnsi="Times New Roman" w:cs="Times New Roman"/>
          <w:i/>
        </w:rPr>
        <w:t>Religion in America</w:t>
      </w:r>
      <w:r w:rsidRPr="009341AA">
        <w:rPr>
          <w:rFonts w:ascii="Times New Roman" w:hAnsi="Times New Roman" w:cs="Times New Roman"/>
        </w:rPr>
        <w:t>. Edited by John Cogley. New York: Meridian Books, Inc., 1958.</w:t>
      </w:r>
    </w:p>
    <w:p w14:paraId="31029A59" w14:textId="6AC50C90" w:rsidR="0093449F" w:rsidRPr="009341AA" w:rsidRDefault="0093449F" w:rsidP="0093449F">
      <w:pPr>
        <w:pStyle w:val="FootnoteText"/>
        <w:spacing w:line="480" w:lineRule="auto"/>
        <w:ind w:left="720" w:hanging="720"/>
        <w:rPr>
          <w:rFonts w:ascii="Times New Roman" w:hAnsi="Times New Roman" w:cs="Times New Roman"/>
        </w:rPr>
      </w:pPr>
      <w:r w:rsidRPr="009341AA">
        <w:rPr>
          <w:rFonts w:ascii="Times New Roman" w:hAnsi="Times New Roman" w:cs="Times New Roman"/>
        </w:rPr>
        <w:t xml:space="preserve">“Religion.” </w:t>
      </w:r>
      <w:r w:rsidRPr="009341AA">
        <w:rPr>
          <w:rFonts w:ascii="Times New Roman" w:hAnsi="Times New Roman" w:cs="Times New Roman"/>
          <w:i/>
        </w:rPr>
        <w:t>Gallup</w:t>
      </w:r>
      <w:r w:rsidRPr="009341AA">
        <w:rPr>
          <w:rFonts w:ascii="Times New Roman" w:hAnsi="Times New Roman" w:cs="Times New Roman"/>
        </w:rPr>
        <w:t xml:space="preserve">. n.d. </w:t>
      </w:r>
      <w:hyperlink r:id="rId11" w:history="1">
        <w:r w:rsidRPr="009341AA">
          <w:rPr>
            <w:rStyle w:val="Hyperlink"/>
            <w:rFonts w:ascii="Times New Roman" w:hAnsi="Times New Roman" w:cs="Times New Roman"/>
          </w:rPr>
          <w:t>http://www.gallup.com/poll/1690/religion.aspx</w:t>
        </w:r>
      </w:hyperlink>
      <w:r w:rsidRPr="009341AA">
        <w:rPr>
          <w:rFonts w:ascii="Times New Roman" w:hAnsi="Times New Roman" w:cs="Times New Roman"/>
        </w:rPr>
        <w:t>.</w:t>
      </w:r>
    </w:p>
    <w:p w14:paraId="4E07E752" w14:textId="00271CCB" w:rsidR="0093449F" w:rsidRPr="009341AA" w:rsidRDefault="0093449F" w:rsidP="0093449F">
      <w:pPr>
        <w:pStyle w:val="FootnoteText"/>
        <w:spacing w:line="480" w:lineRule="auto"/>
        <w:ind w:left="720" w:hanging="720"/>
        <w:rPr>
          <w:rFonts w:ascii="Times New Roman" w:hAnsi="Times New Roman" w:cs="Times New Roman"/>
        </w:rPr>
      </w:pPr>
      <w:r w:rsidRPr="009341AA">
        <w:rPr>
          <w:rFonts w:ascii="Times New Roman" w:hAnsi="Times New Roman" w:cs="Times New Roman"/>
        </w:rPr>
        <w:lastRenderedPageBreak/>
        <w:t xml:space="preserve">“Religious Landscape Study.” </w:t>
      </w:r>
      <w:r w:rsidRPr="009341AA">
        <w:rPr>
          <w:rFonts w:ascii="Times New Roman" w:hAnsi="Times New Roman" w:cs="Times New Roman"/>
          <w:i/>
        </w:rPr>
        <w:t>Pew Research Center</w:t>
      </w:r>
      <w:r w:rsidRPr="009341AA">
        <w:rPr>
          <w:rFonts w:ascii="Times New Roman" w:hAnsi="Times New Roman" w:cs="Times New Roman"/>
        </w:rPr>
        <w:t xml:space="preserve">. n.d. </w:t>
      </w:r>
      <w:hyperlink r:id="rId12" w:history="1">
        <w:r w:rsidRPr="009341AA">
          <w:rPr>
            <w:rStyle w:val="Hyperlink"/>
            <w:rFonts w:ascii="Times New Roman" w:hAnsi="Times New Roman" w:cs="Times New Roman"/>
          </w:rPr>
          <w:t>http://www.pewforum.org/religious-landscape-study/</w:t>
        </w:r>
      </w:hyperlink>
      <w:r w:rsidRPr="009341AA">
        <w:rPr>
          <w:rFonts w:ascii="Times New Roman" w:hAnsi="Times New Roman" w:cs="Times New Roman"/>
        </w:rPr>
        <w:t>.</w:t>
      </w:r>
    </w:p>
    <w:p w14:paraId="55EC2248" w14:textId="314CF52F" w:rsidR="00A94E32" w:rsidRPr="009341AA" w:rsidRDefault="00CD6BC7" w:rsidP="0093449F">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i/>
        </w:rPr>
        <w:t xml:space="preserve">Reynolds v. United States </w:t>
      </w:r>
      <w:r w:rsidRPr="009341AA">
        <w:rPr>
          <w:rFonts w:ascii="Times New Roman" w:hAnsi="Times New Roman" w:cs="Times New Roman"/>
        </w:rPr>
        <w:t>(98 U.S. 145 (1879)).</w:t>
      </w:r>
    </w:p>
    <w:p w14:paraId="5EEC136C" w14:textId="65EC3227" w:rsidR="00A94E32" w:rsidRPr="009341AA" w:rsidRDefault="00CD6BC7" w:rsidP="0093449F">
      <w:pPr>
        <w:widowControl w:val="0"/>
        <w:tabs>
          <w:tab w:val="left" w:pos="720"/>
          <w:tab w:val="left" w:pos="1440"/>
          <w:tab w:val="left" w:pos="2160"/>
          <w:tab w:val="left" w:pos="2880"/>
          <w:tab w:val="left" w:pos="3600"/>
          <w:tab w:val="left" w:pos="4320"/>
        </w:tabs>
        <w:autoSpaceDE w:val="0"/>
        <w:autoSpaceDN w:val="0"/>
        <w:adjustRightInd w:val="0"/>
        <w:spacing w:line="480" w:lineRule="auto"/>
        <w:rPr>
          <w:rFonts w:ascii="Times New Roman" w:hAnsi="Times New Roman" w:cs="Times New Roman"/>
        </w:rPr>
      </w:pPr>
      <w:r w:rsidRPr="009341AA">
        <w:rPr>
          <w:rFonts w:ascii="Times New Roman" w:hAnsi="Times New Roman" w:cs="Times New Roman"/>
          <w:i/>
        </w:rPr>
        <w:t xml:space="preserve">Sherbert v. Verner </w:t>
      </w:r>
      <w:r w:rsidRPr="009341AA">
        <w:rPr>
          <w:rFonts w:ascii="Times New Roman" w:hAnsi="Times New Roman" w:cs="Times New Roman"/>
        </w:rPr>
        <w:t>(374 U.S. 398 (1963)).</w:t>
      </w:r>
    </w:p>
    <w:p w14:paraId="21B20C53" w14:textId="253463FA" w:rsidR="00A94E32" w:rsidRPr="009341AA" w:rsidRDefault="00274E07"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“State of Washington v. Arlene’s Flowers</w:t>
      </w:r>
      <w:r w:rsidRPr="009341AA">
        <w:rPr>
          <w:rFonts w:ascii="Times New Roman" w:hAnsi="Times New Roman" w:cs="Times New Roman"/>
        </w:rPr>
        <w:sym w:font="Symbol" w:char="F0BD"/>
      </w:r>
      <w:r w:rsidRPr="009341AA">
        <w:rPr>
          <w:rFonts w:ascii="Times New Roman" w:hAnsi="Times New Roman" w:cs="Times New Roman"/>
        </w:rPr>
        <w:t xml:space="preserve">Ingersoll v. Arlene’s Flowers,” </w:t>
      </w:r>
      <w:r w:rsidRPr="009341AA">
        <w:rPr>
          <w:rFonts w:ascii="Times New Roman" w:hAnsi="Times New Roman" w:cs="Times New Roman"/>
          <w:i/>
        </w:rPr>
        <w:t>Alliance Defending Freedom</w:t>
      </w:r>
      <w:r w:rsidRPr="009341AA">
        <w:rPr>
          <w:rFonts w:ascii="Times New Roman" w:hAnsi="Times New Roman" w:cs="Times New Roman"/>
        </w:rPr>
        <w:t xml:space="preserve">, n.d., </w:t>
      </w:r>
      <w:hyperlink r:id="rId13" w:history="1">
        <w:r w:rsidRPr="009341AA">
          <w:rPr>
            <w:rStyle w:val="Hyperlink"/>
            <w:rFonts w:ascii="Times New Roman" w:hAnsi="Times New Roman" w:cs="Times New Roman"/>
          </w:rPr>
          <w:t>https://www.adflegal.org/detailspages/case-details/state-of-washington-v.-arlene-s-flowers-inc.-and-barronelle-stutzman</w:t>
        </w:r>
      </w:hyperlink>
      <w:r w:rsidRPr="009341AA">
        <w:rPr>
          <w:rFonts w:ascii="Times New Roman" w:hAnsi="Times New Roman" w:cs="Times New Roman"/>
        </w:rPr>
        <w:t>.</w:t>
      </w:r>
    </w:p>
    <w:p w14:paraId="468F89D1" w14:textId="28B0E455" w:rsidR="00A94E32" w:rsidRPr="009341AA" w:rsidRDefault="00274E07"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i/>
        </w:rPr>
        <w:t xml:space="preserve">The Late Corporation of the Church of Jesus Christ of Latter Day Saints v. United States </w:t>
      </w:r>
      <w:r w:rsidRPr="009341AA">
        <w:rPr>
          <w:rFonts w:ascii="Times New Roman" w:hAnsi="Times New Roman" w:cs="Times New Roman"/>
        </w:rPr>
        <w:t>(136 U.S. 1 (1890)).</w:t>
      </w:r>
    </w:p>
    <w:p w14:paraId="0BA70393" w14:textId="59E7B252" w:rsidR="00A94E32" w:rsidRPr="009341AA" w:rsidRDefault="00274E07" w:rsidP="00A94E32">
      <w:pPr>
        <w:widowControl w:val="0"/>
        <w:tabs>
          <w:tab w:val="left" w:pos="720"/>
          <w:tab w:val="left" w:pos="1440"/>
          <w:tab w:val="left" w:pos="2160"/>
          <w:tab w:val="left" w:pos="2880"/>
          <w:tab w:val="left" w:pos="3600"/>
          <w:tab w:val="left" w:pos="4320"/>
        </w:tabs>
        <w:autoSpaceDE w:val="0"/>
        <w:autoSpaceDN w:val="0"/>
        <w:adjustRightInd w:val="0"/>
        <w:spacing w:line="480" w:lineRule="auto"/>
        <w:ind w:left="720" w:hanging="720"/>
        <w:rPr>
          <w:rFonts w:ascii="Times New Roman" w:hAnsi="Times New Roman" w:cs="Times New Roman"/>
        </w:rPr>
      </w:pPr>
      <w:r w:rsidRPr="009341AA">
        <w:rPr>
          <w:rFonts w:ascii="Times New Roman" w:hAnsi="Times New Roman" w:cs="Times New Roman"/>
        </w:rPr>
        <w:t xml:space="preserve">Tussman, Joseph. </w:t>
      </w:r>
      <w:r w:rsidRPr="009341AA">
        <w:rPr>
          <w:rFonts w:ascii="Times New Roman" w:hAnsi="Times New Roman" w:cs="Times New Roman"/>
          <w:i/>
        </w:rPr>
        <w:t xml:space="preserve">The Supreme Court on Church &amp; State. </w:t>
      </w:r>
      <w:r w:rsidRPr="009341AA">
        <w:rPr>
          <w:rFonts w:ascii="Times New Roman" w:hAnsi="Times New Roman" w:cs="Times New Roman"/>
        </w:rPr>
        <w:t>New York: Oxford University Press, 1962.</w:t>
      </w:r>
    </w:p>
    <w:p w14:paraId="2140E06B" w14:textId="50EE1D52" w:rsidR="00A94E32" w:rsidRPr="009341AA" w:rsidRDefault="00274E07" w:rsidP="00274E07">
      <w:pPr>
        <w:pStyle w:val="FootnoteText"/>
        <w:spacing w:line="480" w:lineRule="auto"/>
        <w:rPr>
          <w:rFonts w:ascii="Times New Roman" w:hAnsi="Times New Roman" w:cs="Times New Roman"/>
        </w:rPr>
      </w:pPr>
      <w:r w:rsidRPr="009341AA">
        <w:rPr>
          <w:rFonts w:ascii="Times New Roman" w:hAnsi="Times New Roman" w:cs="Times New Roman"/>
          <w:i/>
        </w:rPr>
        <w:t xml:space="preserve">West Virginia State Board of Education v. Barnette </w:t>
      </w:r>
      <w:r w:rsidRPr="009341AA">
        <w:rPr>
          <w:rFonts w:ascii="Times New Roman" w:hAnsi="Times New Roman" w:cs="Times New Roman"/>
        </w:rPr>
        <w:t>(319 U.S. 624 (1943)).</w:t>
      </w:r>
    </w:p>
    <w:p w14:paraId="1B1B328C" w14:textId="7999A042" w:rsidR="00A94E32" w:rsidRPr="009341AA" w:rsidRDefault="00A94E32" w:rsidP="009341AA">
      <w:pPr>
        <w:pStyle w:val="FootnoteText"/>
        <w:spacing w:line="480" w:lineRule="auto"/>
        <w:ind w:left="720" w:hanging="720"/>
        <w:rPr>
          <w:rFonts w:ascii="Times New Roman" w:hAnsi="Times New Roman" w:cs="Times New Roman"/>
        </w:rPr>
      </w:pPr>
      <w:r w:rsidRPr="009341AA">
        <w:rPr>
          <w:rFonts w:ascii="Times New Roman" w:hAnsi="Times New Roman" w:cs="Times New Roman"/>
        </w:rPr>
        <w:t xml:space="preserve">“Why Don’t Jehovah’s Witnesses Accept Blood Transfusions?” </w:t>
      </w:r>
      <w:r w:rsidRPr="009341AA">
        <w:rPr>
          <w:rFonts w:ascii="Times New Roman" w:hAnsi="Times New Roman" w:cs="Times New Roman"/>
          <w:i/>
        </w:rPr>
        <w:t>Jehovah’s Witnesses</w:t>
      </w:r>
      <w:r w:rsidRPr="009341AA">
        <w:rPr>
          <w:rFonts w:ascii="Times New Roman" w:hAnsi="Times New Roman" w:cs="Times New Roman"/>
        </w:rPr>
        <w:t xml:space="preserve">. n.d. </w:t>
      </w:r>
      <w:hyperlink r:id="rId14" w:history="1">
        <w:r w:rsidRPr="009341AA">
          <w:rPr>
            <w:rStyle w:val="Hyperlink"/>
            <w:rFonts w:ascii="Times New Roman" w:hAnsi="Times New Roman" w:cs="Times New Roman"/>
          </w:rPr>
          <w:t>https://www.jw.org/en/jehovahs-witnesses/faq/jehovahs-witnesses-why-no-blood-transfusions/</w:t>
        </w:r>
      </w:hyperlink>
      <w:r w:rsidRPr="009341AA">
        <w:rPr>
          <w:rFonts w:ascii="Times New Roman" w:hAnsi="Times New Roman" w:cs="Times New Roman"/>
        </w:rPr>
        <w:t>.</w:t>
      </w:r>
    </w:p>
    <w:p w14:paraId="183D215D" w14:textId="77777777" w:rsidR="00A94E32" w:rsidRPr="009341AA" w:rsidRDefault="00A94E32" w:rsidP="00274E07">
      <w:pPr>
        <w:pStyle w:val="FootnoteText"/>
        <w:spacing w:line="480" w:lineRule="auto"/>
        <w:rPr>
          <w:rFonts w:ascii="Times New Roman" w:hAnsi="Times New Roman" w:cs="Times New Roman"/>
        </w:rPr>
      </w:pPr>
    </w:p>
    <w:sectPr w:rsidR="00A94E32" w:rsidRPr="009341AA" w:rsidSect="008C6DA7">
      <w:headerReference w:type="even" r:id="rId15"/>
      <w:headerReference w:type="default" r:id="rId16"/>
      <w:pgSz w:w="12240" w:h="15840"/>
      <w:pgMar w:top="1440" w:right="1800" w:bottom="1440" w:left="1800" w:header="720" w:footer="720" w:gutter="0"/>
      <w:cols w:space="720"/>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E6EE795" w15:done="0"/>
  <w15:commentEx w15:paraId="3241FCD8" w15:done="0"/>
  <w15:commentEx w15:paraId="5A9FE6C1" w15:done="0"/>
  <w15:commentEx w15:paraId="1654C5EC" w15:done="0"/>
  <w15:commentEx w15:paraId="4C47886E" w15:done="0"/>
  <w15:commentEx w15:paraId="5E041311" w15:done="0"/>
  <w15:commentEx w15:paraId="0ECBD8A1" w15:done="0"/>
  <w15:commentEx w15:paraId="3D34B810" w15:done="0"/>
  <w15:commentEx w15:paraId="68E5224D" w15:done="0"/>
  <w15:commentEx w15:paraId="16C85791" w15:done="0"/>
  <w15:commentEx w15:paraId="5995F335" w15:done="0"/>
  <w15:commentEx w15:paraId="4EEAF232" w15:done="0"/>
  <w15:commentEx w15:paraId="4C74CE3A" w15:done="0"/>
  <w15:commentEx w15:paraId="380BC400" w15:done="0"/>
  <w15:commentEx w15:paraId="2F2CE1CB" w15:done="0"/>
  <w15:commentEx w15:paraId="3C34FC98" w15:done="0"/>
  <w15:commentEx w15:paraId="5A0E5BFC" w15:done="0"/>
  <w15:commentEx w15:paraId="0CBACF2D" w15:done="0"/>
  <w15:commentEx w15:paraId="1D9FC908" w15:done="0"/>
  <w15:commentEx w15:paraId="3E358B07" w15:done="0"/>
  <w15:commentEx w15:paraId="6B215ADE" w15:done="0"/>
  <w15:commentEx w15:paraId="784D7F29" w15:done="0"/>
  <w15:commentEx w15:paraId="349E626F" w15:done="0"/>
  <w15:commentEx w15:paraId="05A875E5" w15:done="0"/>
  <w15:commentEx w15:paraId="02447905" w15:done="0"/>
  <w15:commentEx w15:paraId="1BEE8480" w15:done="0"/>
  <w15:commentEx w15:paraId="50558C64" w15:done="0"/>
  <w15:commentEx w15:paraId="11193C18" w15:done="0"/>
  <w15:commentEx w15:paraId="46318D84" w15:done="0"/>
  <w15:commentEx w15:paraId="668C4BEB" w15:done="0"/>
  <w15:commentEx w15:paraId="3F28EA66" w15:done="0"/>
  <w15:commentEx w15:paraId="06BDAB6A" w15:done="0"/>
  <w15:commentEx w15:paraId="15E41FAC" w15:done="0"/>
  <w15:commentEx w15:paraId="70633180" w15:done="0"/>
  <w15:commentEx w15:paraId="3EF1B95B" w15:done="0"/>
  <w15:commentEx w15:paraId="78703476" w15:done="0"/>
  <w15:commentEx w15:paraId="6BFEA728" w15:done="0"/>
  <w15:commentEx w15:paraId="437A79CB" w15:done="0"/>
  <w15:commentEx w15:paraId="2A6B4AB3" w15:done="0"/>
  <w15:commentEx w15:paraId="4A9F5FFD" w15:done="0"/>
  <w15:commentEx w15:paraId="17607744" w15:done="0"/>
  <w15:commentEx w15:paraId="25033F33" w15:done="0"/>
  <w15:commentEx w15:paraId="1926EF77" w15:done="0"/>
  <w15:commentEx w15:paraId="22C3A34F" w15:done="0"/>
  <w15:commentEx w15:paraId="691E084F" w15:done="0"/>
  <w15:commentEx w15:paraId="640DF39C" w15:done="0"/>
  <w15:commentEx w15:paraId="34CE2423" w15:done="0"/>
  <w15:commentEx w15:paraId="6DF63D63" w15:done="0"/>
  <w15:commentEx w15:paraId="48EB4A7C" w15:done="0"/>
  <w15:commentEx w15:paraId="4DF82E76" w15:done="0"/>
  <w15:commentEx w15:paraId="3AFBDDFA" w15:done="0"/>
  <w15:commentEx w15:paraId="2ACF2C17" w15:done="0"/>
  <w15:commentEx w15:paraId="7838818C" w15:done="0"/>
  <w15:commentEx w15:paraId="58AD962B" w15:done="0"/>
  <w15:commentEx w15:paraId="4A903320" w15:done="0"/>
  <w15:commentEx w15:paraId="5AD847B5" w15:done="0"/>
  <w15:commentEx w15:paraId="4C885504" w15:done="0"/>
  <w15:commentEx w15:paraId="20AD2082" w15:done="0"/>
  <w15:commentEx w15:paraId="3FF0DDF4" w15:done="0"/>
  <w15:commentEx w15:paraId="783657C8" w15:done="0"/>
  <w15:commentEx w15:paraId="35ACF51F" w15:done="0"/>
  <w15:commentEx w15:paraId="55160D79" w15:done="0"/>
  <w15:commentEx w15:paraId="29886AF3" w15:done="0"/>
  <w15:commentEx w15:paraId="1E9C98AB" w15:done="0"/>
  <w15:commentEx w15:paraId="4F598DCE" w15:done="0"/>
  <w15:commentEx w15:paraId="37267DAF" w15:done="0"/>
  <w15:commentEx w15:paraId="14FCF9E5" w15:done="0"/>
  <w15:commentEx w15:paraId="4FCDB490" w15:done="0"/>
  <w15:commentEx w15:paraId="6E29A583" w15:done="0"/>
  <w15:commentEx w15:paraId="265C45FA" w15:done="0"/>
  <w15:commentEx w15:paraId="6DE180FE" w15:done="0"/>
  <w15:commentEx w15:paraId="1454FD23" w15:done="0"/>
  <w15:commentEx w15:paraId="097540B3" w15:done="0"/>
  <w15:commentEx w15:paraId="758884FA" w15:done="0"/>
  <w15:commentEx w15:paraId="38B101FB" w15:done="0"/>
  <w15:commentEx w15:paraId="14D15EB4" w15:done="0"/>
  <w15:commentEx w15:paraId="40EB1630" w15:done="0"/>
  <w15:commentEx w15:paraId="26693631" w15:done="0"/>
  <w15:commentEx w15:paraId="40E96298" w15:done="0"/>
  <w15:commentEx w15:paraId="045DBEF7" w15:done="0"/>
  <w15:commentEx w15:paraId="0D9FDDC9" w15:done="0"/>
  <w15:commentEx w15:paraId="078DF40C" w15:done="0"/>
  <w15:commentEx w15:paraId="494C9109" w15:done="0"/>
  <w15:commentEx w15:paraId="547B5E8D" w15:done="0"/>
  <w15:commentEx w15:paraId="6DCA543C" w15:done="0"/>
  <w15:commentEx w15:paraId="70ED4918" w15:done="0"/>
  <w15:commentEx w15:paraId="218F04D2" w15:done="0"/>
  <w15:commentEx w15:paraId="66ADB73B" w15:done="0"/>
  <w15:commentEx w15:paraId="5EA171EF" w15:done="0"/>
  <w15:commentEx w15:paraId="7EA48B33" w15:done="0"/>
  <w15:commentEx w15:paraId="2E58869C" w15:done="0"/>
  <w15:commentEx w15:paraId="6405A4BA" w15:done="0"/>
  <w15:commentEx w15:paraId="5411F5E1" w15:done="0"/>
  <w15:commentEx w15:paraId="233158F7" w15:done="0"/>
  <w15:commentEx w15:paraId="7B5FB530" w15:done="0"/>
  <w15:commentEx w15:paraId="1394E09E"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52357F" w14:textId="77777777" w:rsidR="0093449F" w:rsidRDefault="0093449F" w:rsidP="00B12306">
      <w:r>
        <w:separator/>
      </w:r>
    </w:p>
  </w:endnote>
  <w:endnote w:type="continuationSeparator" w:id="0">
    <w:p w14:paraId="6885985A" w14:textId="77777777" w:rsidR="0093449F" w:rsidRDefault="0093449F" w:rsidP="00B123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51CE6E" w14:textId="77777777" w:rsidR="0093449F" w:rsidRDefault="0093449F" w:rsidP="00B12306">
      <w:r>
        <w:separator/>
      </w:r>
    </w:p>
  </w:footnote>
  <w:footnote w:type="continuationSeparator" w:id="0">
    <w:p w14:paraId="7543AED5" w14:textId="77777777" w:rsidR="0093449F" w:rsidRDefault="0093449F" w:rsidP="00B12306">
      <w:r>
        <w:continuationSeparator/>
      </w:r>
    </w:p>
  </w:footnote>
  <w:footnote w:id="1">
    <w:p w14:paraId="2CC6039C" w14:textId="6911927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“State of Washington v. Arlene’s Flowers</w:t>
      </w:r>
      <w:r w:rsidRPr="009341AA">
        <w:rPr>
          <w:rFonts w:ascii="Times New Roman" w:hAnsi="Times New Roman" w:cs="Times New Roman"/>
        </w:rPr>
        <w:sym w:font="Symbol" w:char="F0BD"/>
      </w:r>
      <w:r w:rsidRPr="009341AA">
        <w:rPr>
          <w:rFonts w:ascii="Times New Roman" w:hAnsi="Times New Roman" w:cs="Times New Roman"/>
        </w:rPr>
        <w:t xml:space="preserve">Ingersoll v. Arlene’s Flowers,” </w:t>
      </w:r>
      <w:r w:rsidRPr="009341AA">
        <w:rPr>
          <w:rFonts w:ascii="Times New Roman" w:hAnsi="Times New Roman" w:cs="Times New Roman"/>
          <w:i/>
        </w:rPr>
        <w:t>Alliance Defending Freedom</w:t>
      </w:r>
      <w:r w:rsidRPr="009341AA">
        <w:rPr>
          <w:rFonts w:ascii="Times New Roman" w:hAnsi="Times New Roman" w:cs="Times New Roman"/>
        </w:rPr>
        <w:t>, n.d., https://www.adflegal.org/detailspages/case-details/state-of-washington-v.-arlene-s-flowers-inc.-and-barronelle-stutzman.</w:t>
      </w:r>
    </w:p>
  </w:footnote>
  <w:footnote w:id="2">
    <w:p w14:paraId="40930B85" w14:textId="5C0B5F5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Kathleen A. Brady, “The Disappearance of Religion from Debates About Religious Accommodation,” </w:t>
      </w:r>
      <w:r w:rsidRPr="009341AA">
        <w:rPr>
          <w:rFonts w:ascii="Times New Roman" w:hAnsi="Times New Roman" w:cs="Times New Roman"/>
          <w:i/>
        </w:rPr>
        <w:t>Lewis &amp; Clark Law Review</w:t>
      </w:r>
      <w:r w:rsidRPr="009341AA">
        <w:rPr>
          <w:rFonts w:ascii="Times New Roman" w:hAnsi="Times New Roman" w:cs="Times New Roman"/>
        </w:rPr>
        <w:t xml:space="preserve"> 20, no. 4 (December 2016): 1093.</w:t>
      </w:r>
    </w:p>
  </w:footnote>
  <w:footnote w:id="3">
    <w:p w14:paraId="71DA0DD0" w14:textId="3B55457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1094.</w:t>
      </w:r>
    </w:p>
  </w:footnote>
  <w:footnote w:id="4">
    <w:p w14:paraId="4FC53065" w14:textId="51572DF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1094-1095.</w:t>
      </w:r>
    </w:p>
  </w:footnote>
  <w:footnote w:id="5">
    <w:p w14:paraId="57EDBE0C" w14:textId="00761C2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The law being referred to here is RFRA, which will be explained in detail in a later chapter.</w:t>
      </w:r>
    </w:p>
  </w:footnote>
  <w:footnote w:id="6">
    <w:p w14:paraId="57D93C2D" w14:textId="188C267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1095.</w:t>
      </w:r>
    </w:p>
  </w:footnote>
  <w:footnote w:id="7">
    <w:p w14:paraId="79615302" w14:textId="53AD729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1097.</w:t>
      </w:r>
    </w:p>
  </w:footnote>
  <w:footnote w:id="8">
    <w:p w14:paraId="0B882DE9" w14:textId="4012A56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1098-1099.</w:t>
      </w:r>
    </w:p>
  </w:footnote>
  <w:footnote w:id="9">
    <w:p w14:paraId="50C718EC" w14:textId="266085B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1100.</w:t>
      </w:r>
    </w:p>
  </w:footnote>
  <w:footnote w:id="10">
    <w:p w14:paraId="00D80E4B" w14:textId="5FF6656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1094.</w:t>
      </w:r>
    </w:p>
  </w:footnote>
  <w:footnote w:id="11">
    <w:p w14:paraId="33E77A66" w14:textId="375CD76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Joseph D. Kearney, “The Supreme Court and Religious Liberty,” </w:t>
      </w:r>
      <w:r w:rsidRPr="009341AA">
        <w:rPr>
          <w:rFonts w:ascii="Times New Roman" w:hAnsi="Times New Roman" w:cs="Times New Roman"/>
          <w:i/>
        </w:rPr>
        <w:t>Marquette Law Review</w:t>
      </w:r>
      <w:r w:rsidRPr="009341AA">
        <w:rPr>
          <w:rFonts w:ascii="Times New Roman" w:hAnsi="Times New Roman" w:cs="Times New Roman"/>
        </w:rPr>
        <w:t xml:space="preserve"> 99, no. 2 (2015): 428.</w:t>
      </w:r>
    </w:p>
  </w:footnote>
  <w:footnote w:id="12">
    <w:p w14:paraId="0B14EDA8" w14:textId="7FBF503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429.</w:t>
      </w:r>
    </w:p>
  </w:footnote>
  <w:footnote w:id="13">
    <w:p w14:paraId="504ACD7D" w14:textId="6975661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432.</w:t>
      </w:r>
    </w:p>
  </w:footnote>
  <w:footnote w:id="14">
    <w:p w14:paraId="6E481524" w14:textId="79F30B2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Sherbert v. Verner </w:t>
      </w:r>
      <w:r w:rsidRPr="009341AA">
        <w:rPr>
          <w:rFonts w:ascii="Times New Roman" w:hAnsi="Times New Roman" w:cs="Times New Roman"/>
        </w:rPr>
        <w:t>(374 U.S. 398 (1963)).</w:t>
      </w:r>
    </w:p>
  </w:footnote>
  <w:footnote w:id="15">
    <w:p w14:paraId="4FB16728" w14:textId="7C00E86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Kearney, 434.</w:t>
      </w:r>
    </w:p>
  </w:footnote>
  <w:footnote w:id="16">
    <w:p w14:paraId="2BFC1808" w14:textId="49E0D1F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435.</w:t>
      </w:r>
    </w:p>
  </w:footnote>
  <w:footnote w:id="17">
    <w:p w14:paraId="5B63600F" w14:textId="76EB6F2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Employment Division, Department of Human Resources of Oregon v. Smith </w:t>
      </w:r>
      <w:r w:rsidRPr="009341AA">
        <w:rPr>
          <w:rFonts w:ascii="Times New Roman" w:hAnsi="Times New Roman" w:cs="Times New Roman"/>
        </w:rPr>
        <w:t>(494 U.S. 872 (1990)).</w:t>
      </w:r>
    </w:p>
  </w:footnote>
  <w:footnote w:id="18">
    <w:p w14:paraId="24783042" w14:textId="2D0D76D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Kearney, 435-436.</w:t>
      </w:r>
    </w:p>
  </w:footnote>
  <w:footnote w:id="19">
    <w:p w14:paraId="5128AF6B" w14:textId="09906D8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437.</w:t>
      </w:r>
    </w:p>
  </w:footnote>
  <w:footnote w:id="20">
    <w:p w14:paraId="73A1B3C1" w14:textId="04C609F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443.</w:t>
      </w:r>
    </w:p>
  </w:footnote>
  <w:footnote w:id="21">
    <w:p w14:paraId="5F063369" w14:textId="3C7823B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444.</w:t>
      </w:r>
    </w:p>
  </w:footnote>
  <w:footnote w:id="22">
    <w:p w14:paraId="08179452" w14:textId="20BA2DD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“Religious Landscape Study,” </w:t>
      </w:r>
      <w:r w:rsidRPr="009341AA">
        <w:rPr>
          <w:rFonts w:ascii="Times New Roman" w:hAnsi="Times New Roman" w:cs="Times New Roman"/>
          <w:i/>
        </w:rPr>
        <w:t>Pew Research Center</w:t>
      </w:r>
      <w:r w:rsidRPr="009341AA">
        <w:rPr>
          <w:rFonts w:ascii="Times New Roman" w:hAnsi="Times New Roman" w:cs="Times New Roman"/>
        </w:rPr>
        <w:t>, n.d., http://www.pewforum.org/religious-landscape-study/.</w:t>
      </w:r>
    </w:p>
  </w:footnote>
  <w:footnote w:id="23">
    <w:p w14:paraId="5AAC2E2D" w14:textId="45E5127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“If the U.S. had 100 people,” </w:t>
      </w:r>
      <w:r w:rsidRPr="009341AA">
        <w:rPr>
          <w:rFonts w:ascii="Times New Roman" w:hAnsi="Times New Roman" w:cs="Times New Roman"/>
          <w:i/>
        </w:rPr>
        <w:t>Pew Research Center</w:t>
      </w:r>
      <w:r w:rsidRPr="009341AA">
        <w:rPr>
          <w:rFonts w:ascii="Times New Roman" w:hAnsi="Times New Roman" w:cs="Times New Roman"/>
        </w:rPr>
        <w:t>, n.d., http://www.pewresearch.org/fact-tank/2016/11/14/if-the-u-s-had-100-people-charting-americans-religious-affiliations/.</w:t>
      </w:r>
    </w:p>
  </w:footnote>
  <w:footnote w:id="24">
    <w:p w14:paraId="4D330BCC" w14:textId="1C1BF2D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“Percentage of Christians in U.S. Drifting Down, but Still High,” </w:t>
      </w:r>
      <w:r w:rsidRPr="009341AA">
        <w:rPr>
          <w:rFonts w:ascii="Times New Roman" w:hAnsi="Times New Roman" w:cs="Times New Roman"/>
          <w:i/>
        </w:rPr>
        <w:t>Gallup</w:t>
      </w:r>
      <w:r w:rsidRPr="009341AA">
        <w:rPr>
          <w:rFonts w:ascii="Times New Roman" w:hAnsi="Times New Roman" w:cs="Times New Roman"/>
        </w:rPr>
        <w:t>, Dec. 24, 2014, http://www.gallup.com/poll/187955/percentage-christians-drifting-down-high.aspx.</w:t>
      </w:r>
    </w:p>
  </w:footnote>
  <w:footnote w:id="25">
    <w:p w14:paraId="28A35873" w14:textId="608A7F1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“Religion,” </w:t>
      </w:r>
      <w:r w:rsidRPr="009341AA">
        <w:rPr>
          <w:rFonts w:ascii="Times New Roman" w:hAnsi="Times New Roman" w:cs="Times New Roman"/>
          <w:i/>
        </w:rPr>
        <w:t>Gallup</w:t>
      </w:r>
      <w:r w:rsidRPr="009341AA">
        <w:rPr>
          <w:rFonts w:ascii="Times New Roman" w:hAnsi="Times New Roman" w:cs="Times New Roman"/>
        </w:rPr>
        <w:t xml:space="preserve">, n.d., </w:t>
      </w:r>
      <w:hyperlink r:id="rId1" w:history="1">
        <w:r w:rsidRPr="009341AA">
          <w:rPr>
            <w:rStyle w:val="Hyperlink"/>
            <w:rFonts w:ascii="Times New Roman" w:hAnsi="Times New Roman" w:cs="Times New Roman"/>
          </w:rPr>
          <w:t>http://www.gallup.com/poll/1690/religion.aspx</w:t>
        </w:r>
      </w:hyperlink>
      <w:r w:rsidRPr="009341AA">
        <w:rPr>
          <w:rFonts w:ascii="Times New Roman" w:hAnsi="Times New Roman" w:cs="Times New Roman"/>
        </w:rPr>
        <w:t>.</w:t>
      </w:r>
    </w:p>
    <w:p w14:paraId="55042464" w14:textId="2540501C" w:rsidR="0093449F" w:rsidRPr="009341AA" w:rsidRDefault="0093449F">
      <w:pPr>
        <w:pStyle w:val="FootnoteText"/>
        <w:rPr>
          <w:rFonts w:ascii="Times New Roman" w:hAnsi="Times New Roman" w:cs="Times New Roman"/>
        </w:rPr>
      </w:pPr>
      <w:r w:rsidRPr="009341AA">
        <w:rPr>
          <w:rFonts w:ascii="Times New Roman" w:hAnsi="Times New Roman" w:cs="Times New Roman"/>
        </w:rPr>
        <w:t>The earliest survey was 1948 but it is assumed that the number of Christians in America did not decrease significantly from 1879 to 1948.</w:t>
      </w:r>
    </w:p>
  </w:footnote>
  <w:footnote w:id="26">
    <w:p w14:paraId="7054E230" w14:textId="19509E6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Leo Pfeffer, “The Case for Separation,” in </w:t>
      </w:r>
      <w:r w:rsidRPr="009341AA">
        <w:rPr>
          <w:rFonts w:ascii="Times New Roman" w:hAnsi="Times New Roman" w:cs="Times New Roman"/>
          <w:i/>
        </w:rPr>
        <w:t>Religion in America</w:t>
      </w:r>
      <w:r w:rsidRPr="009341AA">
        <w:rPr>
          <w:rFonts w:ascii="Times New Roman" w:hAnsi="Times New Roman" w:cs="Times New Roman"/>
        </w:rPr>
        <w:t>, ed. John Cogley (New York: Meridian Books, Inc., 1958), 54.</w:t>
      </w:r>
    </w:p>
  </w:footnote>
  <w:footnote w:id="27">
    <w:p w14:paraId="69289012" w14:textId="597C86E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Robert Bellah, “Civil Religion in America,” </w:t>
      </w:r>
      <w:r w:rsidRPr="009341AA">
        <w:rPr>
          <w:rFonts w:ascii="Times New Roman" w:hAnsi="Times New Roman" w:cs="Times New Roman"/>
          <w:i/>
        </w:rPr>
        <w:t xml:space="preserve">Daedalus </w:t>
      </w:r>
      <w:r w:rsidRPr="009341AA">
        <w:rPr>
          <w:rFonts w:ascii="Times New Roman" w:hAnsi="Times New Roman" w:cs="Times New Roman"/>
        </w:rPr>
        <w:t>134, no. 4 (2005):1.</w:t>
      </w:r>
    </w:p>
  </w:footnote>
  <w:footnote w:id="28">
    <w:p w14:paraId="0038FB82" w14:textId="02BEA82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Pfeffer, 59-60.</w:t>
      </w:r>
    </w:p>
  </w:footnote>
  <w:footnote w:id="29">
    <w:p w14:paraId="251547C0" w14:textId="674628F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60.</w:t>
      </w:r>
    </w:p>
  </w:footnote>
  <w:footnote w:id="30">
    <w:p w14:paraId="3C6E59F5" w14:textId="099ED0D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31">
    <w:p w14:paraId="707DDF9F" w14:textId="2CBFC18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63.</w:t>
      </w:r>
    </w:p>
  </w:footnote>
  <w:footnote w:id="32">
    <w:p w14:paraId="27F8CBE0" w14:textId="536FE23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65.</w:t>
      </w:r>
    </w:p>
  </w:footnote>
  <w:footnote w:id="33">
    <w:p w14:paraId="0EB2269F" w14:textId="71E4BBA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Bruce Murray, </w:t>
      </w:r>
      <w:r w:rsidRPr="009341AA">
        <w:rPr>
          <w:rFonts w:ascii="Times New Roman" w:hAnsi="Times New Roman" w:cs="Times New Roman"/>
          <w:i/>
        </w:rPr>
        <w:t>Religious Liberty in America</w:t>
      </w:r>
      <w:r w:rsidRPr="009341AA">
        <w:rPr>
          <w:rFonts w:ascii="Times New Roman" w:hAnsi="Times New Roman" w:cs="Times New Roman"/>
        </w:rPr>
        <w:t xml:space="preserve"> (Amherst: University of Massachusetts Press, 2008), 11.</w:t>
      </w:r>
    </w:p>
  </w:footnote>
  <w:footnote w:id="34">
    <w:p w14:paraId="638057DC" w14:textId="6EFF38C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12.</w:t>
      </w:r>
    </w:p>
  </w:footnote>
  <w:footnote w:id="35">
    <w:p w14:paraId="46E7DC43" w14:textId="7DF2CAE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Pfeffer, 72.</w:t>
      </w:r>
    </w:p>
  </w:footnote>
  <w:footnote w:id="36">
    <w:p w14:paraId="11A8FCF2" w14:textId="6660158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77.</w:t>
      </w:r>
    </w:p>
  </w:footnote>
  <w:footnote w:id="37">
    <w:p w14:paraId="1AFC84E4" w14:textId="5E1DC46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Joseph Tussman, </w:t>
      </w:r>
      <w:r w:rsidRPr="009341AA">
        <w:rPr>
          <w:rFonts w:ascii="Times New Roman" w:hAnsi="Times New Roman" w:cs="Times New Roman"/>
          <w:i/>
        </w:rPr>
        <w:t xml:space="preserve">The Supreme Court on Church &amp; State </w:t>
      </w:r>
      <w:r w:rsidRPr="009341AA">
        <w:rPr>
          <w:rFonts w:ascii="Times New Roman" w:hAnsi="Times New Roman" w:cs="Times New Roman"/>
        </w:rPr>
        <w:t>(New York: Oxford University Press, 1962), 5-6.</w:t>
      </w:r>
    </w:p>
  </w:footnote>
  <w:footnote w:id="38">
    <w:p w14:paraId="6482E269" w14:textId="3704999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w:t>
      </w:r>
    </w:p>
  </w:footnote>
  <w:footnote w:id="39">
    <w:p w14:paraId="62A66B8A" w14:textId="5129DDA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This can be assumed based on today’s standards of religion in the classroom. That being said, prayers in schools was still a common practice back then.</w:t>
      </w:r>
    </w:p>
  </w:footnote>
  <w:footnote w:id="40">
    <w:p w14:paraId="129576E8" w14:textId="6460ED7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Reynolds v. United States </w:t>
      </w:r>
      <w:r w:rsidRPr="009341AA">
        <w:rPr>
          <w:rFonts w:ascii="Times New Roman" w:hAnsi="Times New Roman" w:cs="Times New Roman"/>
        </w:rPr>
        <w:t>(98 U.S. 145 (1879)).</w:t>
      </w:r>
    </w:p>
  </w:footnote>
  <w:footnote w:id="41">
    <w:p w14:paraId="22FBD96B" w14:textId="5A4F27F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In this paper, I use bigamy and polygamy interchangeably, as both are used interchangeably throughout the case.</w:t>
      </w:r>
    </w:p>
  </w:footnote>
  <w:footnote w:id="42">
    <w:p w14:paraId="0C34D035" w14:textId="758371D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20-21.</w:t>
      </w:r>
    </w:p>
  </w:footnote>
  <w:footnote w:id="43">
    <w:p w14:paraId="6124309B" w14:textId="4EB3C72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20.</w:t>
      </w:r>
    </w:p>
  </w:footnote>
  <w:footnote w:id="44">
    <w:p w14:paraId="4469A2B8" w14:textId="61EC393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45">
    <w:p w14:paraId="2CA16FD2" w14:textId="19C49FA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New Religious Movements: A Documentary Reader</w:t>
      </w:r>
      <w:r w:rsidRPr="009341AA">
        <w:rPr>
          <w:rFonts w:ascii="Times New Roman" w:hAnsi="Times New Roman" w:cs="Times New Roman"/>
        </w:rPr>
        <w:t>, ed. W. Michael Ashcraft (New York and London: New York University Press, 2005).</w:t>
      </w:r>
    </w:p>
  </w:footnote>
  <w:footnote w:id="46">
    <w:p w14:paraId="7E1E622A" w14:textId="22F0D34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Anti-Mormon and pro-Christian sentiments are different but both apply in this situation.</w:t>
      </w:r>
    </w:p>
  </w:footnote>
  <w:footnote w:id="47">
    <w:p w14:paraId="5C324006" w14:textId="459AA2B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Davis v. Beason </w:t>
      </w:r>
      <w:r w:rsidRPr="009341AA">
        <w:rPr>
          <w:rFonts w:ascii="Times New Roman" w:hAnsi="Times New Roman" w:cs="Times New Roman"/>
        </w:rPr>
        <w:t>(133 U.S. 333 (1890)).</w:t>
      </w:r>
    </w:p>
  </w:footnote>
  <w:footnote w:id="48">
    <w:p w14:paraId="239442B7" w14:textId="5862482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29.</w:t>
      </w:r>
    </w:p>
  </w:footnote>
  <w:footnote w:id="49">
    <w:p w14:paraId="28DA7521" w14:textId="775A146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The Late Corporation of the Church of Jesus Christ of Latter Day Saints v. United States </w:t>
      </w:r>
      <w:r w:rsidRPr="009341AA">
        <w:rPr>
          <w:rFonts w:ascii="Times New Roman" w:hAnsi="Times New Roman" w:cs="Times New Roman"/>
        </w:rPr>
        <w:t>(136 U.S. 1 (1890)).</w:t>
      </w:r>
    </w:p>
  </w:footnote>
  <w:footnote w:id="50">
    <w:p w14:paraId="09D0201B" w14:textId="73A5AE4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34.</w:t>
      </w:r>
    </w:p>
  </w:footnote>
  <w:footnote w:id="51">
    <w:p w14:paraId="106C5313" w14:textId="361C05C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35.</w:t>
      </w:r>
    </w:p>
  </w:footnote>
  <w:footnote w:id="52">
    <w:p w14:paraId="55123931" w14:textId="3C92160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Hamilton v. Regents of University of California </w:t>
      </w:r>
      <w:r w:rsidRPr="009341AA">
        <w:rPr>
          <w:rFonts w:ascii="Times New Roman" w:hAnsi="Times New Roman" w:cs="Times New Roman"/>
        </w:rPr>
        <w:t>(293 U.S. 245 (1934)).</w:t>
      </w:r>
    </w:p>
  </w:footnote>
  <w:footnote w:id="53">
    <w:p w14:paraId="26BBBA46" w14:textId="4B64405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66.</w:t>
      </w:r>
    </w:p>
  </w:footnote>
  <w:footnote w:id="54">
    <w:p w14:paraId="0AE5D604" w14:textId="6004569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67.</w:t>
      </w:r>
    </w:p>
  </w:footnote>
  <w:footnote w:id="55">
    <w:p w14:paraId="2E500EFA" w14:textId="217ABFA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71.</w:t>
      </w:r>
    </w:p>
  </w:footnote>
  <w:footnote w:id="56">
    <w:p w14:paraId="505B5726" w14:textId="7D17AA4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72.</w:t>
      </w:r>
    </w:p>
  </w:footnote>
  <w:footnote w:id="57">
    <w:p w14:paraId="53B7192D" w14:textId="5D88B31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Cantwell v. Connecticut </w:t>
      </w:r>
      <w:r w:rsidRPr="009341AA">
        <w:rPr>
          <w:rFonts w:ascii="Times New Roman" w:hAnsi="Times New Roman" w:cs="Times New Roman"/>
        </w:rPr>
        <w:t>(310 U.S. 296 (1940)).</w:t>
      </w:r>
    </w:p>
  </w:footnote>
  <w:footnote w:id="58">
    <w:p w14:paraId="5B2B2DD6" w14:textId="604ACBD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73.</w:t>
      </w:r>
    </w:p>
  </w:footnote>
  <w:footnote w:id="59">
    <w:p w14:paraId="228A4D33" w14:textId="307C206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77.</w:t>
      </w:r>
    </w:p>
  </w:footnote>
  <w:footnote w:id="60">
    <w:p w14:paraId="2EC06AEE" w14:textId="24F3C29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61">
    <w:p w14:paraId="26D2F84A" w14:textId="0E55218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310 U.S. 269 (1940), Opinion of the Court.</w:t>
      </w:r>
    </w:p>
  </w:footnote>
  <w:footnote w:id="62">
    <w:p w14:paraId="068C01D5" w14:textId="367D1D6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75.</w:t>
      </w:r>
    </w:p>
  </w:footnote>
  <w:footnote w:id="63">
    <w:p w14:paraId="41BECFCF" w14:textId="0B5D312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Minserville School District v. Gobitis </w:t>
      </w:r>
      <w:r w:rsidRPr="009341AA">
        <w:rPr>
          <w:rFonts w:ascii="Times New Roman" w:hAnsi="Times New Roman" w:cs="Times New Roman"/>
        </w:rPr>
        <w:t>(310 U.S. 586 (1940)).</w:t>
      </w:r>
    </w:p>
  </w:footnote>
  <w:footnote w:id="64">
    <w:p w14:paraId="442EFEC7" w14:textId="0BDEA3D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Toni Konkoly, “Minersville School District v. Gobitis (1940),” </w:t>
      </w:r>
      <w:r w:rsidRPr="009341AA">
        <w:rPr>
          <w:rFonts w:ascii="Times New Roman" w:hAnsi="Times New Roman" w:cs="Times New Roman"/>
          <w:i/>
        </w:rPr>
        <w:t>Public Broadcasting Service</w:t>
      </w:r>
      <w:r w:rsidRPr="009341AA">
        <w:rPr>
          <w:rFonts w:ascii="Times New Roman" w:hAnsi="Times New Roman" w:cs="Times New Roman"/>
        </w:rPr>
        <w:t>, n.d., http://www.pbs.org/wnet/supremecourt/personality/landmark_minersville.html.</w:t>
      </w:r>
    </w:p>
  </w:footnote>
  <w:footnote w:id="65">
    <w:p w14:paraId="6BCE5097" w14:textId="1E1BFEE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West Virginia State Board of Education v. Barnette </w:t>
      </w:r>
      <w:r w:rsidRPr="009341AA">
        <w:rPr>
          <w:rFonts w:ascii="Times New Roman" w:hAnsi="Times New Roman" w:cs="Times New Roman"/>
        </w:rPr>
        <w:t>(319 U.S. 624 (1943)).</w:t>
      </w:r>
    </w:p>
  </w:footnote>
  <w:footnote w:id="66">
    <w:p w14:paraId="31822B8C" w14:textId="7A5767E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Braunfeld v. Brown </w:t>
      </w:r>
      <w:r w:rsidRPr="009341AA">
        <w:rPr>
          <w:rFonts w:ascii="Times New Roman" w:hAnsi="Times New Roman" w:cs="Times New Roman"/>
        </w:rPr>
        <w:t>(366 U.S. 599 (1961)).</w:t>
      </w:r>
    </w:p>
  </w:footnote>
  <w:footnote w:id="67">
    <w:p w14:paraId="59F0ED2F" w14:textId="4467070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Opinion of the Court.</w:t>
      </w:r>
    </w:p>
  </w:footnote>
  <w:footnote w:id="68">
    <w:p w14:paraId="39FC76C9" w14:textId="3977FE3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69">
    <w:p w14:paraId="105A261C" w14:textId="109E6E9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 xml:space="preserve">Goldman v. Weinberger </w:t>
      </w:r>
      <w:r w:rsidRPr="009341AA">
        <w:rPr>
          <w:rFonts w:ascii="Times New Roman" w:hAnsi="Times New Roman" w:cs="Times New Roman"/>
        </w:rPr>
        <w:t>(475 U.S. 503 (1986)).</w:t>
      </w:r>
    </w:p>
  </w:footnote>
  <w:footnote w:id="70">
    <w:p w14:paraId="3D6C154E" w14:textId="07752C2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Opinion of the Court.</w:t>
      </w:r>
    </w:p>
  </w:footnote>
  <w:footnote w:id="71">
    <w:p w14:paraId="6D479571" w14:textId="598CA71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James L. Clayton, “The Supreme Court, Polygamy and the Enforcement of Morals in Nineteenth Century America,” </w:t>
      </w:r>
      <w:r w:rsidRPr="009341AA">
        <w:rPr>
          <w:rFonts w:ascii="Times New Roman" w:hAnsi="Times New Roman" w:cs="Times New Roman"/>
          <w:i/>
        </w:rPr>
        <w:t>Dialogue: A Journal of Mormon Thought</w:t>
      </w:r>
      <w:r w:rsidRPr="009341AA">
        <w:rPr>
          <w:rFonts w:ascii="Times New Roman" w:hAnsi="Times New Roman" w:cs="Times New Roman"/>
        </w:rPr>
        <w:t xml:space="preserve"> 12, no. 4 (1979), 47.</w:t>
      </w:r>
    </w:p>
  </w:footnote>
  <w:footnote w:id="72">
    <w:p w14:paraId="7D2EA553" w14:textId="03F3D17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49.</w:t>
      </w:r>
    </w:p>
  </w:footnote>
  <w:footnote w:id="73">
    <w:p w14:paraId="010FFC57" w14:textId="3BB7721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74">
    <w:p w14:paraId="61E8B621" w14:textId="600F927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98 U.S. 145 (1879), Opinion of the Court: Section 5.</w:t>
      </w:r>
    </w:p>
  </w:footnote>
  <w:footnote w:id="75">
    <w:p w14:paraId="0FAEE372" w14:textId="647B3C1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76">
    <w:p w14:paraId="2515308C" w14:textId="4A23F23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Morrill Anti-Bigamy Act of 1862, 37</w:t>
      </w:r>
      <w:r w:rsidRPr="009341AA">
        <w:rPr>
          <w:rFonts w:ascii="Times New Roman" w:hAnsi="Times New Roman" w:cs="Times New Roman"/>
          <w:vertAlign w:val="superscript"/>
        </w:rPr>
        <w:t>th</w:t>
      </w:r>
      <w:r w:rsidRPr="009341AA">
        <w:rPr>
          <w:rFonts w:ascii="Times New Roman" w:hAnsi="Times New Roman" w:cs="Times New Roman"/>
        </w:rPr>
        <w:t xml:space="preserve"> Congress: 501.</w:t>
      </w:r>
    </w:p>
  </w:footnote>
  <w:footnote w:id="77">
    <w:p w14:paraId="79EB9C67" w14:textId="66BD495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78">
    <w:p w14:paraId="326AF48A" w14:textId="06B3B30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Clayton, 49.</w:t>
      </w:r>
    </w:p>
  </w:footnote>
  <w:footnote w:id="79">
    <w:p w14:paraId="33758B63" w14:textId="36E6CE6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80">
    <w:p w14:paraId="4AF88ACF" w14:textId="702915D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98 U.S. 145 (1879), Opinion of the Court: Section 5.</w:t>
      </w:r>
    </w:p>
  </w:footnote>
  <w:footnote w:id="81">
    <w:p w14:paraId="58B64EA7" w14:textId="733839D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82">
    <w:p w14:paraId="140C50FD" w14:textId="4F0ED6E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83">
    <w:p w14:paraId="5F1DB908" w14:textId="0756220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Emphasis added, Ibid.</w:t>
      </w:r>
    </w:p>
  </w:footnote>
  <w:footnote w:id="84">
    <w:p w14:paraId="6B1ACAE9" w14:textId="0E64011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Clayton, 50.</w:t>
      </w:r>
    </w:p>
  </w:footnote>
  <w:footnote w:id="85">
    <w:p w14:paraId="5B07C10D" w14:textId="2D89CE8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86">
    <w:p w14:paraId="3F5A3827" w14:textId="1AC5EE3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51.</w:t>
      </w:r>
    </w:p>
  </w:footnote>
  <w:footnote w:id="87">
    <w:p w14:paraId="48A6FB97" w14:textId="3650522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88">
    <w:p w14:paraId="61117D3B" w14:textId="426D69E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52.</w:t>
      </w:r>
    </w:p>
  </w:footnote>
  <w:footnote w:id="89">
    <w:p w14:paraId="5D829410" w14:textId="6637BC2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98 U.S. 145 (1879), Opinion of the Court: Section 5.</w:t>
      </w:r>
    </w:p>
  </w:footnote>
  <w:footnote w:id="90">
    <w:p w14:paraId="2DFBAC9B" w14:textId="033ACBE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Tussman, 20.</w:t>
      </w:r>
    </w:p>
  </w:footnote>
  <w:footnote w:id="91">
    <w:p w14:paraId="4B4F5BCF" w14:textId="70B4C97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98 U.S. 145 (1879), Opinion of the Court: Section 5.</w:t>
      </w:r>
    </w:p>
  </w:footnote>
  <w:footnote w:id="92">
    <w:p w14:paraId="326F684E" w14:textId="63072AF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The </w:t>
      </w:r>
      <w:r w:rsidRPr="009341AA">
        <w:rPr>
          <w:rFonts w:ascii="Times New Roman" w:hAnsi="Times New Roman" w:cs="Times New Roman"/>
          <w:i/>
          <w:iCs/>
        </w:rPr>
        <w:t xml:space="preserve">Late Church </w:t>
      </w:r>
      <w:r w:rsidRPr="009341AA">
        <w:rPr>
          <w:rFonts w:ascii="Times New Roman" w:hAnsi="Times New Roman" w:cs="Times New Roman"/>
        </w:rPr>
        <w:t>case involved the government wanting to stop supporting the Mormon Church because it did not follow Christian morals and values and the laws of the U.S. As a result, the government took away their funding and property because the government decided both were being misused.</w:t>
      </w:r>
    </w:p>
  </w:footnote>
  <w:footnote w:id="93">
    <w:p w14:paraId="718512FB" w14:textId="62A30D4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Clayton, 55.</w:t>
      </w:r>
    </w:p>
  </w:footnote>
  <w:footnote w:id="94">
    <w:p w14:paraId="72026BBF" w14:textId="2440B48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95">
    <w:p w14:paraId="7A5A9941" w14:textId="615B970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96">
    <w:p w14:paraId="5BFFF7F7" w14:textId="77777777" w:rsidR="0093449F" w:rsidRPr="009341AA" w:rsidRDefault="0093449F" w:rsidP="00785829">
      <w:pPr>
        <w:widowControl w:val="0"/>
        <w:tabs>
          <w:tab w:val="left" w:pos="720"/>
          <w:tab w:val="left" w:pos="1440"/>
          <w:tab w:val="left" w:pos="2160"/>
          <w:tab w:val="left" w:pos="2880"/>
          <w:tab w:val="left" w:pos="3600"/>
          <w:tab w:val="left" w:pos="4320"/>
        </w:tabs>
        <w:autoSpaceDE w:val="0"/>
        <w:autoSpaceDN w:val="0"/>
        <w:adjustRightInd w:val="0"/>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The three Supreme Court cases that Clayton is referring to are </w:t>
      </w:r>
      <w:r w:rsidRPr="009341AA">
        <w:rPr>
          <w:rFonts w:ascii="Times New Roman" w:hAnsi="Times New Roman" w:cs="Times New Roman"/>
          <w:i/>
          <w:iCs/>
        </w:rPr>
        <w:t>Hamilton v. Regents of University of California</w:t>
      </w:r>
      <w:r w:rsidRPr="009341AA">
        <w:rPr>
          <w:rFonts w:ascii="Times New Roman" w:hAnsi="Times New Roman" w:cs="Times New Roman"/>
        </w:rPr>
        <w:t xml:space="preserve">, </w:t>
      </w:r>
      <w:r w:rsidRPr="009341AA">
        <w:rPr>
          <w:rFonts w:ascii="Times New Roman" w:hAnsi="Times New Roman" w:cs="Times New Roman"/>
          <w:i/>
          <w:iCs/>
        </w:rPr>
        <w:t>Minersville v. Gobitis</w:t>
      </w:r>
      <w:r w:rsidRPr="009341AA">
        <w:rPr>
          <w:rFonts w:ascii="Times New Roman" w:hAnsi="Times New Roman" w:cs="Times New Roman"/>
        </w:rPr>
        <w:t xml:space="preserve">, and </w:t>
      </w:r>
      <w:r w:rsidRPr="009341AA">
        <w:rPr>
          <w:rFonts w:ascii="Times New Roman" w:hAnsi="Times New Roman" w:cs="Times New Roman"/>
          <w:i/>
          <w:iCs/>
        </w:rPr>
        <w:t>Tarcaso v. Watkins</w:t>
      </w:r>
      <w:r w:rsidRPr="009341AA">
        <w:rPr>
          <w:rFonts w:ascii="Times New Roman" w:hAnsi="Times New Roman" w:cs="Times New Roman"/>
        </w:rPr>
        <w:t xml:space="preserve">. In the </w:t>
      </w:r>
      <w:r w:rsidRPr="009341AA">
        <w:rPr>
          <w:rFonts w:ascii="Times New Roman" w:hAnsi="Times New Roman" w:cs="Times New Roman"/>
          <w:i/>
          <w:iCs/>
        </w:rPr>
        <w:t xml:space="preserve">Hamilton </w:t>
      </w:r>
      <w:r w:rsidRPr="009341AA">
        <w:rPr>
          <w:rFonts w:ascii="Times New Roman" w:hAnsi="Times New Roman" w:cs="Times New Roman"/>
        </w:rPr>
        <w:t xml:space="preserve">case, the Court decided that the state requiring ROTC in order to graduate from the university was not an infringement on one’s First Amendment rights even if one’s religion is one of pacifism. In the </w:t>
      </w:r>
      <w:r w:rsidRPr="009341AA">
        <w:rPr>
          <w:rFonts w:ascii="Times New Roman" w:hAnsi="Times New Roman" w:cs="Times New Roman"/>
          <w:i/>
          <w:iCs/>
        </w:rPr>
        <w:t>Minersville</w:t>
      </w:r>
      <w:r w:rsidRPr="009341AA">
        <w:rPr>
          <w:rFonts w:ascii="Times New Roman" w:hAnsi="Times New Roman" w:cs="Times New Roman"/>
        </w:rPr>
        <w:t xml:space="preserve"> case, the Court decided it was not unconstitutional to require a child to salute the American flag even if their religious beliefs forbid it. In the </w:t>
      </w:r>
      <w:r w:rsidRPr="009341AA">
        <w:rPr>
          <w:rFonts w:ascii="Times New Roman" w:hAnsi="Times New Roman" w:cs="Times New Roman"/>
          <w:i/>
          <w:iCs/>
        </w:rPr>
        <w:t>Tarcaso</w:t>
      </w:r>
      <w:r w:rsidRPr="009341AA">
        <w:rPr>
          <w:rFonts w:ascii="Times New Roman" w:hAnsi="Times New Roman" w:cs="Times New Roman"/>
        </w:rPr>
        <w:t xml:space="preserve"> case, the Court decided it was unconstitutional for the state of Maryland to force an office holder to admit belief in God in order to hold that position (Oyez). </w:t>
      </w:r>
    </w:p>
    <w:p w14:paraId="5C42FDE9" w14:textId="3AAB62F4" w:rsidR="0093449F" w:rsidRPr="009341AA" w:rsidRDefault="0093449F">
      <w:pPr>
        <w:pStyle w:val="FootnoteText"/>
        <w:rPr>
          <w:rFonts w:ascii="Times New Roman" w:hAnsi="Times New Roman" w:cs="Times New Roman"/>
        </w:rPr>
      </w:pPr>
    </w:p>
  </w:footnote>
  <w:footnote w:id="97">
    <w:p w14:paraId="63FCCCB5" w14:textId="11BDF9E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Clayton, 56.</w:t>
      </w:r>
    </w:p>
  </w:footnote>
  <w:footnote w:id="98">
    <w:p w14:paraId="28F02958" w14:textId="4027FCC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58.</w:t>
      </w:r>
    </w:p>
  </w:footnote>
  <w:footnote w:id="99">
    <w:p w14:paraId="27827F47" w14:textId="1773C8A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Air Force Col. Dave Cohen (retired), interviewed by author, January 2017.</w:t>
      </w:r>
    </w:p>
  </w:footnote>
  <w:footnote w:id="100">
    <w:p w14:paraId="7DA3634E" w14:textId="268CA1B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475 U.S. 503 (1986), Opinion of the Court.</w:t>
      </w:r>
    </w:p>
  </w:footnote>
  <w:footnote w:id="101">
    <w:p w14:paraId="6488C255" w14:textId="7BCDF06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Samuel J. Levine, “Untold Stories of Goldman v. Weinberger,” </w:t>
      </w:r>
      <w:r w:rsidRPr="009341AA">
        <w:rPr>
          <w:rFonts w:ascii="Times New Roman" w:hAnsi="Times New Roman" w:cs="Times New Roman"/>
          <w:i/>
        </w:rPr>
        <w:t>Air Force Law Review</w:t>
      </w:r>
      <w:r w:rsidRPr="009341AA">
        <w:rPr>
          <w:rFonts w:ascii="Times New Roman" w:hAnsi="Times New Roman" w:cs="Times New Roman"/>
        </w:rPr>
        <w:t xml:space="preserve"> 66 (June 2010), 207.</w:t>
      </w:r>
    </w:p>
  </w:footnote>
  <w:footnote w:id="102">
    <w:p w14:paraId="6CBCDADF" w14:textId="7C24E4E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208.</w:t>
      </w:r>
    </w:p>
  </w:footnote>
  <w:footnote w:id="103">
    <w:p w14:paraId="35AA7021" w14:textId="77777777" w:rsidR="0093449F" w:rsidRPr="009341AA" w:rsidRDefault="0093449F" w:rsidP="00300B67">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210.</w:t>
      </w:r>
    </w:p>
  </w:footnote>
  <w:footnote w:id="104">
    <w:p w14:paraId="669C832B" w14:textId="77777777" w:rsidR="0093449F" w:rsidRPr="009341AA" w:rsidRDefault="0093449F" w:rsidP="00300B67">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211.</w:t>
      </w:r>
    </w:p>
  </w:footnote>
  <w:footnote w:id="105">
    <w:p w14:paraId="61ADE24E" w14:textId="2E6DB88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06">
    <w:p w14:paraId="1FEE2F16" w14:textId="424CC16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07">
    <w:p w14:paraId="361D07E8" w14:textId="15A536C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213.</w:t>
      </w:r>
    </w:p>
  </w:footnote>
  <w:footnote w:id="108">
    <w:p w14:paraId="677ED5C8" w14:textId="783D449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Army Col. Mike Tetu (retired), interviewed by author, January 2017.</w:t>
      </w:r>
    </w:p>
  </w:footnote>
  <w:footnote w:id="109">
    <w:p w14:paraId="4025D04D" w14:textId="7E337BB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212.</w:t>
      </w:r>
    </w:p>
  </w:footnote>
  <w:footnote w:id="110">
    <w:p w14:paraId="74636C99" w14:textId="181EB66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1">
    <w:p w14:paraId="0DA940BB" w14:textId="6D48AF3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2">
    <w:p w14:paraId="2EE78CD4" w14:textId="1875A48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3">
    <w:p w14:paraId="67682D6F" w14:textId="743470E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213.</w:t>
      </w:r>
    </w:p>
  </w:footnote>
  <w:footnote w:id="114">
    <w:p w14:paraId="399C6EB5" w14:textId="1ADB524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214.</w:t>
      </w:r>
    </w:p>
  </w:footnote>
  <w:footnote w:id="115">
    <w:p w14:paraId="507327BF" w14:textId="6AF09FB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6">
    <w:p w14:paraId="3D5476BB" w14:textId="2C2D4B7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7">
    <w:p w14:paraId="32ACEA3C" w14:textId="60B3D4A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18">
    <w:p w14:paraId="7D8E9FE3" w14:textId="7AAC4BB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The Supreme Court decided, “practices based on religious conviction, even if not universally followed, are protected by the free exercise clause” (Levine, 215).</w:t>
      </w:r>
    </w:p>
  </w:footnote>
  <w:footnote w:id="119">
    <w:p w14:paraId="01AD9D12" w14:textId="4DDE1A4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The Air Force claimed, “an unauthorized hat worn on a flight line might fly into a jet engine and cause it to malfunction and explode” (Levine, 215).</w:t>
      </w:r>
    </w:p>
  </w:footnote>
  <w:footnote w:id="120">
    <w:p w14:paraId="3241ADCF" w14:textId="6DF15FF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Levine, 216.</w:t>
      </w:r>
    </w:p>
  </w:footnote>
  <w:footnote w:id="121">
    <w:p w14:paraId="6834AD0C" w14:textId="5FFB25A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22">
    <w:p w14:paraId="21BDBA84" w14:textId="40E1387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23">
    <w:p w14:paraId="7168DE0B" w14:textId="1B3EEB5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206.</w:t>
      </w:r>
    </w:p>
  </w:footnote>
  <w:footnote w:id="124">
    <w:p w14:paraId="76A77AD2" w14:textId="6222B8E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475 U.S. 503 (1986), Opinion of the Court.</w:t>
      </w:r>
    </w:p>
  </w:footnote>
  <w:footnote w:id="125">
    <w:p w14:paraId="34F4170E" w14:textId="691B9E2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Brennan, J., dissenting.</w:t>
      </w:r>
    </w:p>
  </w:footnote>
  <w:footnote w:id="126">
    <w:p w14:paraId="6EB2F75A" w14:textId="639009A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27">
    <w:p w14:paraId="73EF24BB" w14:textId="27CF1553"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28">
    <w:p w14:paraId="586EB8C9" w14:textId="4E71D9D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29">
    <w:p w14:paraId="48644350" w14:textId="00BEA19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30">
    <w:p w14:paraId="44FB473E" w14:textId="2C48DB5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Levine, 209.</w:t>
      </w:r>
    </w:p>
  </w:footnote>
  <w:footnote w:id="131">
    <w:p w14:paraId="70795EFB" w14:textId="1A486CB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222-223.</w:t>
      </w:r>
    </w:p>
  </w:footnote>
  <w:footnote w:id="132">
    <w:p w14:paraId="78E33946" w14:textId="67800CD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222.</w:t>
      </w:r>
    </w:p>
  </w:footnote>
  <w:footnote w:id="133">
    <w:p w14:paraId="417B9343" w14:textId="367A465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34">
    <w:p w14:paraId="671E0DFC" w14:textId="0BE9391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221-222.</w:t>
      </w:r>
    </w:p>
  </w:footnote>
  <w:footnote w:id="135">
    <w:p w14:paraId="06BCCFFF" w14:textId="0D401E1F"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221.</w:t>
      </w:r>
    </w:p>
  </w:footnote>
  <w:footnote w:id="136">
    <w:p w14:paraId="13A25156" w14:textId="6FD03AE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223.</w:t>
      </w:r>
    </w:p>
  </w:footnote>
  <w:footnote w:id="137">
    <w:p w14:paraId="2C6B5868" w14:textId="227110E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217.</w:t>
      </w:r>
    </w:p>
  </w:footnote>
  <w:footnote w:id="138">
    <w:p w14:paraId="2D4F6ECD" w14:textId="66A33FE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224.</w:t>
      </w:r>
    </w:p>
  </w:footnote>
  <w:footnote w:id="139">
    <w:p w14:paraId="5F19BE64" w14:textId="2ABF571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475 U.S. 503 (1986), Stevens, J., concurring.</w:t>
      </w:r>
    </w:p>
  </w:footnote>
  <w:footnote w:id="140">
    <w:p w14:paraId="10EBA9C3" w14:textId="097BC1B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41">
    <w:p w14:paraId="6BC51284" w14:textId="6BC2D56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Brennan, J., dissent.</w:t>
      </w:r>
    </w:p>
  </w:footnote>
  <w:footnote w:id="142">
    <w:p w14:paraId="7785B4C1" w14:textId="2C81C768"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Air Force Col. Dave Cohen (retired), interviewed by author, January 2017.</w:t>
      </w:r>
    </w:p>
  </w:footnote>
  <w:footnote w:id="143">
    <w:p w14:paraId="151A70F3" w14:textId="71A444C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44">
    <w:p w14:paraId="41016D4C" w14:textId="0759B75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Army Col. Mike Tetu (retired), interviewed by author, January 2017.</w:t>
      </w:r>
    </w:p>
  </w:footnote>
  <w:footnote w:id="145">
    <w:p w14:paraId="74A92EF9" w14:textId="6A7E4AB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494 U.S. 872 (1990).</w:t>
      </w:r>
    </w:p>
  </w:footnote>
  <w:footnote w:id="146">
    <w:p w14:paraId="3694C93C" w14:textId="3070B70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t>
      </w:r>
      <w:r w:rsidRPr="009341AA">
        <w:rPr>
          <w:rFonts w:ascii="Times New Roman" w:hAnsi="Times New Roman" w:cs="Times New Roman"/>
          <w:i/>
        </w:rPr>
        <w:t>Burwell v. Hobby Lobby Stores</w:t>
      </w:r>
      <w:r w:rsidRPr="009341AA">
        <w:rPr>
          <w:rFonts w:ascii="Times New Roman" w:hAnsi="Times New Roman" w:cs="Times New Roman"/>
        </w:rPr>
        <w:t xml:space="preserve"> (573 U.S. ___ (2014)), Opinion of the Court.</w:t>
      </w:r>
    </w:p>
  </w:footnote>
  <w:footnote w:id="147">
    <w:p w14:paraId="201F6816" w14:textId="5704D159"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Alex J. Luchenitser, “A New Era of Inequality?,” </w:t>
      </w:r>
      <w:r w:rsidRPr="009341AA">
        <w:rPr>
          <w:rFonts w:ascii="Times New Roman" w:hAnsi="Times New Roman" w:cs="Times New Roman"/>
          <w:i/>
        </w:rPr>
        <w:t xml:space="preserve">Harvard Law &amp; Policy Review </w:t>
      </w:r>
      <w:r w:rsidRPr="009341AA">
        <w:rPr>
          <w:rFonts w:ascii="Times New Roman" w:hAnsi="Times New Roman" w:cs="Times New Roman"/>
        </w:rPr>
        <w:t>9, no. 1 (January 2015), 63.</w:t>
      </w:r>
    </w:p>
  </w:footnote>
  <w:footnote w:id="148">
    <w:p w14:paraId="56187737" w14:textId="46D4C97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Quote taken from “About” page on the Hobby Lobby website.</w:t>
      </w:r>
    </w:p>
  </w:footnote>
  <w:footnote w:id="149">
    <w:p w14:paraId="03A26508" w14:textId="6C42A81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50">
    <w:p w14:paraId="080A948A" w14:textId="2E326A0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 Cameron Casper and Edward J. Schoen, “</w:t>
      </w:r>
      <w:r w:rsidRPr="009341AA">
        <w:rPr>
          <w:rFonts w:ascii="Times New Roman" w:hAnsi="Times New Roman" w:cs="Times New Roman"/>
          <w:i/>
        </w:rPr>
        <w:t>Burwell v. Hobby Lobby Stores, Inc.</w:t>
      </w:r>
      <w:r w:rsidRPr="009341AA">
        <w:rPr>
          <w:rFonts w:ascii="Times New Roman" w:hAnsi="Times New Roman" w:cs="Times New Roman"/>
        </w:rPr>
        <w:t xml:space="preserve">: Lots of Smoke, But No Fire,” </w:t>
      </w:r>
      <w:r w:rsidRPr="009341AA">
        <w:rPr>
          <w:rFonts w:ascii="Times New Roman" w:hAnsi="Times New Roman" w:cs="Times New Roman"/>
          <w:i/>
        </w:rPr>
        <w:t>Southern Law Journal</w:t>
      </w:r>
      <w:r w:rsidRPr="009341AA">
        <w:rPr>
          <w:rFonts w:ascii="Times New Roman" w:hAnsi="Times New Roman" w:cs="Times New Roman"/>
        </w:rPr>
        <w:t xml:space="preserve"> 26 (2016), 234.</w:t>
      </w:r>
    </w:p>
  </w:footnote>
  <w:footnote w:id="151">
    <w:p w14:paraId="75930AF9" w14:textId="77EA570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Casper and Schoen, 237.</w:t>
      </w:r>
    </w:p>
  </w:footnote>
  <w:footnote w:id="152">
    <w:p w14:paraId="653DBEBA" w14:textId="6475B2D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Ronald B. Flowers, </w:t>
      </w:r>
      <w:r w:rsidRPr="009341AA">
        <w:rPr>
          <w:rFonts w:ascii="Times New Roman" w:hAnsi="Times New Roman" w:cs="Times New Roman"/>
          <w:i/>
        </w:rPr>
        <w:t>That Godless Court?</w:t>
      </w:r>
      <w:r w:rsidRPr="009341AA">
        <w:rPr>
          <w:rFonts w:ascii="Times New Roman" w:hAnsi="Times New Roman" w:cs="Times New Roman"/>
        </w:rPr>
        <w:t xml:space="preserve"> (Kentucky: Westminster John Knox Press, 1994), 47.</w:t>
      </w:r>
    </w:p>
  </w:footnote>
  <w:footnote w:id="153">
    <w:p w14:paraId="0CCACBC7" w14:textId="35F2C67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Casper and Schoen, 239.</w:t>
      </w:r>
    </w:p>
  </w:footnote>
  <w:footnote w:id="154">
    <w:p w14:paraId="57539BB9" w14:textId="2F5A738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573 U.S. ___ (2014), Opinion of the Court.</w:t>
      </w:r>
    </w:p>
  </w:footnote>
  <w:footnote w:id="155">
    <w:p w14:paraId="5AF83B7A" w14:textId="4E97428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Casper and Schoen, 240.</w:t>
      </w:r>
    </w:p>
  </w:footnote>
  <w:footnote w:id="156">
    <w:p w14:paraId="000E9B47" w14:textId="45693C6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57">
    <w:p w14:paraId="4B67B21B" w14:textId="713F279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58">
    <w:p w14:paraId="6428A24E" w14:textId="1EDF96F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241.</w:t>
      </w:r>
    </w:p>
  </w:footnote>
  <w:footnote w:id="159">
    <w:p w14:paraId="05E7726A" w14:textId="02AF4EFC"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60">
    <w:p w14:paraId="1B1D0B73" w14:textId="1A75D77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242.</w:t>
      </w:r>
    </w:p>
  </w:footnote>
  <w:footnote w:id="161">
    <w:p w14:paraId="444D046F" w14:textId="35D6BEE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242-243.</w:t>
      </w:r>
    </w:p>
  </w:footnote>
  <w:footnote w:id="162">
    <w:p w14:paraId="59AFDF01" w14:textId="0A658A6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244.</w:t>
      </w:r>
    </w:p>
  </w:footnote>
  <w:footnote w:id="163">
    <w:p w14:paraId="2A932A95" w14:textId="58B717C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573 U.S. ___ (2014), Opinion of the Court.</w:t>
      </w:r>
    </w:p>
  </w:footnote>
  <w:footnote w:id="164">
    <w:p w14:paraId="04F6A21E" w14:textId="0316FF50"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Except tax laws.</w:t>
      </w:r>
    </w:p>
  </w:footnote>
  <w:footnote w:id="165">
    <w:p w14:paraId="1D05ED07" w14:textId="244D5C62"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Ginsburg dissent.</w:t>
      </w:r>
    </w:p>
  </w:footnote>
  <w:footnote w:id="166">
    <w:p w14:paraId="4B0B0A8C" w14:textId="6092D4B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Casper and Schoen, 248.</w:t>
      </w:r>
    </w:p>
  </w:footnote>
  <w:footnote w:id="167">
    <w:p w14:paraId="01A066E5" w14:textId="100C510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573 US_(2014), Ginsburg Dissent.</w:t>
      </w:r>
    </w:p>
  </w:footnote>
  <w:footnote w:id="168">
    <w:p w14:paraId="0197FDFE" w14:textId="438CBF2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Luchenitser, 63.</w:t>
      </w:r>
    </w:p>
  </w:footnote>
  <w:footnote w:id="169">
    <w:p w14:paraId="17D03AC2" w14:textId="098EE81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64.</w:t>
      </w:r>
    </w:p>
  </w:footnote>
  <w:footnote w:id="170">
    <w:p w14:paraId="2EEA5619" w14:textId="4A6A3316"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73.</w:t>
      </w:r>
    </w:p>
  </w:footnote>
  <w:footnote w:id="171">
    <w:p w14:paraId="367A165B" w14:textId="6736BB71"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68.</w:t>
      </w:r>
    </w:p>
  </w:footnote>
  <w:footnote w:id="172">
    <w:p w14:paraId="181EA4DF" w14:textId="39C1BFD5"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67-68.</w:t>
      </w:r>
    </w:p>
  </w:footnote>
  <w:footnote w:id="173">
    <w:p w14:paraId="4FA5FEBA" w14:textId="58E929CA"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71.</w:t>
      </w:r>
    </w:p>
  </w:footnote>
  <w:footnote w:id="174">
    <w:p w14:paraId="5A859C3B" w14:textId="03F51B4E"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80.</w:t>
      </w:r>
    </w:p>
  </w:footnote>
  <w:footnote w:id="175">
    <w:p w14:paraId="69A376FB" w14:textId="6D25288B"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82.</w:t>
      </w:r>
    </w:p>
  </w:footnote>
  <w:footnote w:id="176">
    <w:p w14:paraId="19EFA988" w14:textId="459158F4"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 83-84.</w:t>
      </w:r>
    </w:p>
  </w:footnote>
  <w:footnote w:id="177">
    <w:p w14:paraId="62FD7750" w14:textId="740E573D"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Ibid.</w:t>
      </w:r>
    </w:p>
  </w:footnote>
  <w:footnote w:id="178">
    <w:p w14:paraId="13C9E462" w14:textId="44963227" w:rsidR="0093449F" w:rsidRPr="009341AA" w:rsidRDefault="0093449F">
      <w:pPr>
        <w:pStyle w:val="FootnoteText"/>
        <w:rPr>
          <w:rFonts w:ascii="Times New Roman" w:hAnsi="Times New Roman" w:cs="Times New Roman"/>
        </w:rPr>
      </w:pPr>
      <w:r w:rsidRPr="009341AA">
        <w:rPr>
          <w:rStyle w:val="FootnoteReference"/>
          <w:rFonts w:ascii="Times New Roman" w:hAnsi="Times New Roman" w:cs="Times New Roman"/>
        </w:rPr>
        <w:footnoteRef/>
      </w:r>
      <w:r w:rsidRPr="009341AA">
        <w:rPr>
          <w:rFonts w:ascii="Times New Roman" w:hAnsi="Times New Roman" w:cs="Times New Roman"/>
        </w:rPr>
        <w:t xml:space="preserve"> “Why Don’t Jehovah’s Witnesses Accept Blood Transfusions?” </w:t>
      </w:r>
      <w:r w:rsidRPr="009341AA">
        <w:rPr>
          <w:rFonts w:ascii="Times New Roman" w:hAnsi="Times New Roman" w:cs="Times New Roman"/>
          <w:i/>
        </w:rPr>
        <w:t xml:space="preserve">Jehovah’s Witnesses, </w:t>
      </w:r>
      <w:r w:rsidRPr="009341AA">
        <w:rPr>
          <w:rFonts w:ascii="Times New Roman" w:hAnsi="Times New Roman" w:cs="Times New Roman"/>
        </w:rPr>
        <w:t xml:space="preserve">n.d. </w:t>
      </w:r>
      <w:hyperlink r:id="rId2" w:history="1">
        <w:r w:rsidRPr="009341AA">
          <w:rPr>
            <w:rStyle w:val="Hyperlink"/>
            <w:rFonts w:ascii="Times New Roman" w:hAnsi="Times New Roman" w:cs="Times New Roman"/>
          </w:rPr>
          <w:t>https://www.jw.org/en/jehovahs-witnesses/faq/jehovahs-witnesses-why-no-blood-transfusions/</w:t>
        </w:r>
      </w:hyperlink>
      <w:r w:rsidRPr="009341AA">
        <w:rPr>
          <w:rFonts w:ascii="Times New Roman" w:hAnsi="Times New Roman" w:cs="Times New Roman"/>
        </w:rPr>
        <w:t>.</w:t>
      </w:r>
    </w:p>
    <w:p w14:paraId="1AD85275" w14:textId="434B34E8" w:rsidR="0093449F" w:rsidRPr="009341AA" w:rsidRDefault="0093449F">
      <w:pPr>
        <w:pStyle w:val="FootnoteText"/>
        <w:rPr>
          <w:rFonts w:ascii="Times New Roman" w:hAnsi="Times New Roman" w:cs="Times New Roman"/>
        </w:rPr>
      </w:pPr>
      <w:r w:rsidRPr="009341AA">
        <w:rPr>
          <w:rFonts w:ascii="Times New Roman" w:hAnsi="Times New Roman" w:cs="Times New Roman"/>
        </w:rPr>
        <w:t>It is a belief in the Jehovah’s Witnesses tradition that procedures involving blood transfusions are not acceptable.</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E08" w14:textId="77777777" w:rsidR="0093449F" w:rsidRDefault="0093449F" w:rsidP="00B1230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9F5242" w14:textId="77777777" w:rsidR="0093449F" w:rsidRDefault="0093449F" w:rsidP="00B12306">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E17E5" w14:textId="77777777" w:rsidR="0093449F" w:rsidRPr="00A908F7" w:rsidRDefault="0093449F" w:rsidP="00B12306">
    <w:pPr>
      <w:pStyle w:val="Header"/>
      <w:framePr w:wrap="around" w:vAnchor="text" w:hAnchor="margin" w:xAlign="right" w:y="1"/>
      <w:rPr>
        <w:rStyle w:val="PageNumber"/>
        <w:rFonts w:ascii="Times New Roman" w:hAnsi="Times New Roman"/>
      </w:rPr>
    </w:pPr>
    <w:r w:rsidRPr="00A908F7">
      <w:rPr>
        <w:rStyle w:val="PageNumber"/>
        <w:rFonts w:ascii="Times New Roman" w:hAnsi="Times New Roman"/>
      </w:rPr>
      <w:t xml:space="preserve">Kaseff </w:t>
    </w:r>
    <w:r w:rsidRPr="00A908F7">
      <w:rPr>
        <w:rStyle w:val="PageNumber"/>
        <w:rFonts w:ascii="Times New Roman" w:hAnsi="Times New Roman"/>
      </w:rPr>
      <w:fldChar w:fldCharType="begin"/>
    </w:r>
    <w:r w:rsidRPr="00A908F7">
      <w:rPr>
        <w:rStyle w:val="PageNumber"/>
        <w:rFonts w:ascii="Times New Roman" w:hAnsi="Times New Roman"/>
      </w:rPr>
      <w:instrText xml:space="preserve">PAGE  </w:instrText>
    </w:r>
    <w:r w:rsidRPr="00A908F7">
      <w:rPr>
        <w:rStyle w:val="PageNumber"/>
        <w:rFonts w:ascii="Times New Roman" w:hAnsi="Times New Roman"/>
      </w:rPr>
      <w:fldChar w:fldCharType="separate"/>
    </w:r>
    <w:r w:rsidR="00AE1167">
      <w:rPr>
        <w:rStyle w:val="PageNumber"/>
        <w:rFonts w:ascii="Times New Roman" w:hAnsi="Times New Roman"/>
        <w:noProof/>
      </w:rPr>
      <w:t>2</w:t>
    </w:r>
    <w:r w:rsidRPr="00A908F7">
      <w:rPr>
        <w:rStyle w:val="PageNumber"/>
        <w:rFonts w:ascii="Times New Roman" w:hAnsi="Times New Roman"/>
      </w:rPr>
      <w:fldChar w:fldCharType="end"/>
    </w:r>
  </w:p>
  <w:p w14:paraId="3B4774CC" w14:textId="77777777" w:rsidR="0093449F" w:rsidRDefault="0093449F" w:rsidP="00B12306">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1533D7"/>
    <w:multiLevelType w:val="hybridMultilevel"/>
    <w:tmpl w:val="D2709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2365F31"/>
    <w:multiLevelType w:val="hybridMultilevel"/>
    <w:tmpl w:val="87BCD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n Duncan">
    <w15:presenceInfo w15:providerId="None" w15:userId="Ann Dunc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864"/>
    <w:rsid w:val="000260FC"/>
    <w:rsid w:val="00030AEB"/>
    <w:rsid w:val="00031084"/>
    <w:rsid w:val="00031C8E"/>
    <w:rsid w:val="00046951"/>
    <w:rsid w:val="00051BBB"/>
    <w:rsid w:val="00061063"/>
    <w:rsid w:val="000635A1"/>
    <w:rsid w:val="0007775B"/>
    <w:rsid w:val="00091994"/>
    <w:rsid w:val="000A5574"/>
    <w:rsid w:val="000A590D"/>
    <w:rsid w:val="000C2366"/>
    <w:rsid w:val="000D22F9"/>
    <w:rsid w:val="000E3AAF"/>
    <w:rsid w:val="000F6806"/>
    <w:rsid w:val="00100A19"/>
    <w:rsid w:val="00101D93"/>
    <w:rsid w:val="00113E2E"/>
    <w:rsid w:val="00154255"/>
    <w:rsid w:val="00175A47"/>
    <w:rsid w:val="00176CF7"/>
    <w:rsid w:val="00185114"/>
    <w:rsid w:val="001A193F"/>
    <w:rsid w:val="001A655B"/>
    <w:rsid w:val="001C204B"/>
    <w:rsid w:val="001D46E5"/>
    <w:rsid w:val="001F4F46"/>
    <w:rsid w:val="001F719E"/>
    <w:rsid w:val="00204AFD"/>
    <w:rsid w:val="002076A6"/>
    <w:rsid w:val="002107D6"/>
    <w:rsid w:val="002172BD"/>
    <w:rsid w:val="002249FC"/>
    <w:rsid w:val="00233618"/>
    <w:rsid w:val="00233B93"/>
    <w:rsid w:val="002746E1"/>
    <w:rsid w:val="00274E07"/>
    <w:rsid w:val="002D46F5"/>
    <w:rsid w:val="002F1F04"/>
    <w:rsid w:val="002F47B1"/>
    <w:rsid w:val="002F4D84"/>
    <w:rsid w:val="00300B67"/>
    <w:rsid w:val="003061C7"/>
    <w:rsid w:val="003071EE"/>
    <w:rsid w:val="00321527"/>
    <w:rsid w:val="003426A0"/>
    <w:rsid w:val="00345756"/>
    <w:rsid w:val="003508CA"/>
    <w:rsid w:val="00380F7C"/>
    <w:rsid w:val="0039275B"/>
    <w:rsid w:val="003964B7"/>
    <w:rsid w:val="003B3117"/>
    <w:rsid w:val="003D5864"/>
    <w:rsid w:val="003E3C33"/>
    <w:rsid w:val="00404CE4"/>
    <w:rsid w:val="0043304D"/>
    <w:rsid w:val="00440759"/>
    <w:rsid w:val="00466C50"/>
    <w:rsid w:val="00476A29"/>
    <w:rsid w:val="004A2826"/>
    <w:rsid w:val="004A74E7"/>
    <w:rsid w:val="004B246A"/>
    <w:rsid w:val="004C1FDE"/>
    <w:rsid w:val="004C61A9"/>
    <w:rsid w:val="004E7F35"/>
    <w:rsid w:val="0050280F"/>
    <w:rsid w:val="00504D89"/>
    <w:rsid w:val="00516479"/>
    <w:rsid w:val="005461FD"/>
    <w:rsid w:val="005473B8"/>
    <w:rsid w:val="00557ABF"/>
    <w:rsid w:val="00572858"/>
    <w:rsid w:val="0058518C"/>
    <w:rsid w:val="0058587F"/>
    <w:rsid w:val="005874CA"/>
    <w:rsid w:val="005A654F"/>
    <w:rsid w:val="005E363C"/>
    <w:rsid w:val="005F4ECC"/>
    <w:rsid w:val="005F61B8"/>
    <w:rsid w:val="00600DD0"/>
    <w:rsid w:val="00626978"/>
    <w:rsid w:val="006504D2"/>
    <w:rsid w:val="00650D20"/>
    <w:rsid w:val="0066782E"/>
    <w:rsid w:val="00691B74"/>
    <w:rsid w:val="006933A0"/>
    <w:rsid w:val="006B65F0"/>
    <w:rsid w:val="0073317A"/>
    <w:rsid w:val="00737AE7"/>
    <w:rsid w:val="00745420"/>
    <w:rsid w:val="00747182"/>
    <w:rsid w:val="00785829"/>
    <w:rsid w:val="00787B6B"/>
    <w:rsid w:val="007B55B2"/>
    <w:rsid w:val="007E7772"/>
    <w:rsid w:val="007F783B"/>
    <w:rsid w:val="00806D56"/>
    <w:rsid w:val="00811AD3"/>
    <w:rsid w:val="00832C34"/>
    <w:rsid w:val="008410E8"/>
    <w:rsid w:val="00857B93"/>
    <w:rsid w:val="00870B6F"/>
    <w:rsid w:val="0089130A"/>
    <w:rsid w:val="008B49DF"/>
    <w:rsid w:val="008C6DA7"/>
    <w:rsid w:val="008C7779"/>
    <w:rsid w:val="008D265D"/>
    <w:rsid w:val="008F3D69"/>
    <w:rsid w:val="009106A2"/>
    <w:rsid w:val="00925085"/>
    <w:rsid w:val="009313CA"/>
    <w:rsid w:val="009341AA"/>
    <w:rsid w:val="0093449F"/>
    <w:rsid w:val="0095782A"/>
    <w:rsid w:val="009644D9"/>
    <w:rsid w:val="00980B78"/>
    <w:rsid w:val="009A0621"/>
    <w:rsid w:val="009B05E2"/>
    <w:rsid w:val="009C0A80"/>
    <w:rsid w:val="009F32AC"/>
    <w:rsid w:val="00A300E5"/>
    <w:rsid w:val="00A5140E"/>
    <w:rsid w:val="00A5355F"/>
    <w:rsid w:val="00A53B4D"/>
    <w:rsid w:val="00A908F7"/>
    <w:rsid w:val="00A92D89"/>
    <w:rsid w:val="00A94E32"/>
    <w:rsid w:val="00AB7352"/>
    <w:rsid w:val="00AC22B5"/>
    <w:rsid w:val="00AD18CE"/>
    <w:rsid w:val="00AE1167"/>
    <w:rsid w:val="00B12306"/>
    <w:rsid w:val="00B40408"/>
    <w:rsid w:val="00B53EF8"/>
    <w:rsid w:val="00B57697"/>
    <w:rsid w:val="00B60E4F"/>
    <w:rsid w:val="00B632B5"/>
    <w:rsid w:val="00B6539E"/>
    <w:rsid w:val="00B917A3"/>
    <w:rsid w:val="00B9274B"/>
    <w:rsid w:val="00BA3FA0"/>
    <w:rsid w:val="00BB0D1D"/>
    <w:rsid w:val="00BC5399"/>
    <w:rsid w:val="00BE0BFD"/>
    <w:rsid w:val="00BE2ABD"/>
    <w:rsid w:val="00BE3F86"/>
    <w:rsid w:val="00BF33AE"/>
    <w:rsid w:val="00C05483"/>
    <w:rsid w:val="00C05F2C"/>
    <w:rsid w:val="00C22DB3"/>
    <w:rsid w:val="00C362EA"/>
    <w:rsid w:val="00C77E2F"/>
    <w:rsid w:val="00C865A4"/>
    <w:rsid w:val="00C968CA"/>
    <w:rsid w:val="00CA357F"/>
    <w:rsid w:val="00CA713B"/>
    <w:rsid w:val="00CB6492"/>
    <w:rsid w:val="00CD6BC7"/>
    <w:rsid w:val="00CE7E2E"/>
    <w:rsid w:val="00D214DF"/>
    <w:rsid w:val="00D5506E"/>
    <w:rsid w:val="00D65B1C"/>
    <w:rsid w:val="00D73D06"/>
    <w:rsid w:val="00D87DD0"/>
    <w:rsid w:val="00D91D76"/>
    <w:rsid w:val="00DA1722"/>
    <w:rsid w:val="00DA1FF0"/>
    <w:rsid w:val="00DC1131"/>
    <w:rsid w:val="00DD130B"/>
    <w:rsid w:val="00DD5C4D"/>
    <w:rsid w:val="00DF1C71"/>
    <w:rsid w:val="00E0089F"/>
    <w:rsid w:val="00E054AB"/>
    <w:rsid w:val="00E15D65"/>
    <w:rsid w:val="00E80E2D"/>
    <w:rsid w:val="00EB2FB5"/>
    <w:rsid w:val="00EE3923"/>
    <w:rsid w:val="00EE725F"/>
    <w:rsid w:val="00F00643"/>
    <w:rsid w:val="00F376B3"/>
    <w:rsid w:val="00F42DD6"/>
    <w:rsid w:val="00F5292E"/>
    <w:rsid w:val="00F77661"/>
    <w:rsid w:val="00F82110"/>
    <w:rsid w:val="00F964AC"/>
    <w:rsid w:val="00FB1B8E"/>
    <w:rsid w:val="00FB4AB5"/>
    <w:rsid w:val="00FD614E"/>
    <w:rsid w:val="00FF4F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1EDE2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2306"/>
    <w:pPr>
      <w:tabs>
        <w:tab w:val="center" w:pos="4320"/>
        <w:tab w:val="right" w:pos="8640"/>
      </w:tabs>
    </w:pPr>
  </w:style>
  <w:style w:type="character" w:customStyle="1" w:styleId="HeaderChar">
    <w:name w:val="Header Char"/>
    <w:basedOn w:val="DefaultParagraphFont"/>
    <w:link w:val="Header"/>
    <w:uiPriority w:val="99"/>
    <w:rsid w:val="00B12306"/>
  </w:style>
  <w:style w:type="paragraph" w:styleId="Footer">
    <w:name w:val="footer"/>
    <w:basedOn w:val="Normal"/>
    <w:link w:val="FooterChar"/>
    <w:uiPriority w:val="99"/>
    <w:unhideWhenUsed/>
    <w:rsid w:val="00B12306"/>
    <w:pPr>
      <w:tabs>
        <w:tab w:val="center" w:pos="4320"/>
        <w:tab w:val="right" w:pos="8640"/>
      </w:tabs>
    </w:pPr>
  </w:style>
  <w:style w:type="character" w:customStyle="1" w:styleId="FooterChar">
    <w:name w:val="Footer Char"/>
    <w:basedOn w:val="DefaultParagraphFont"/>
    <w:link w:val="Footer"/>
    <w:uiPriority w:val="99"/>
    <w:rsid w:val="00B12306"/>
  </w:style>
  <w:style w:type="character" w:styleId="PageNumber">
    <w:name w:val="page number"/>
    <w:basedOn w:val="DefaultParagraphFont"/>
    <w:uiPriority w:val="99"/>
    <w:semiHidden/>
    <w:unhideWhenUsed/>
    <w:rsid w:val="00B12306"/>
  </w:style>
  <w:style w:type="paragraph" w:styleId="FootnoteText">
    <w:name w:val="footnote text"/>
    <w:basedOn w:val="Normal"/>
    <w:link w:val="FootnoteTextChar"/>
    <w:uiPriority w:val="99"/>
    <w:unhideWhenUsed/>
    <w:rsid w:val="00B12306"/>
  </w:style>
  <w:style w:type="character" w:customStyle="1" w:styleId="FootnoteTextChar">
    <w:name w:val="Footnote Text Char"/>
    <w:basedOn w:val="DefaultParagraphFont"/>
    <w:link w:val="FootnoteText"/>
    <w:uiPriority w:val="99"/>
    <w:rsid w:val="00B12306"/>
  </w:style>
  <w:style w:type="character" w:styleId="FootnoteReference">
    <w:name w:val="footnote reference"/>
    <w:basedOn w:val="DefaultParagraphFont"/>
    <w:uiPriority w:val="99"/>
    <w:unhideWhenUsed/>
    <w:rsid w:val="00B12306"/>
    <w:rPr>
      <w:vertAlign w:val="superscript"/>
    </w:rPr>
  </w:style>
  <w:style w:type="character" w:styleId="CommentReference">
    <w:name w:val="annotation reference"/>
    <w:basedOn w:val="DefaultParagraphFont"/>
    <w:uiPriority w:val="99"/>
    <w:semiHidden/>
    <w:unhideWhenUsed/>
    <w:rsid w:val="00FB1B8E"/>
    <w:rPr>
      <w:sz w:val="18"/>
      <w:szCs w:val="18"/>
    </w:rPr>
  </w:style>
  <w:style w:type="paragraph" w:styleId="CommentText">
    <w:name w:val="annotation text"/>
    <w:basedOn w:val="Normal"/>
    <w:link w:val="CommentTextChar"/>
    <w:uiPriority w:val="99"/>
    <w:semiHidden/>
    <w:unhideWhenUsed/>
    <w:rsid w:val="00FB1B8E"/>
  </w:style>
  <w:style w:type="character" w:customStyle="1" w:styleId="CommentTextChar">
    <w:name w:val="Comment Text Char"/>
    <w:basedOn w:val="DefaultParagraphFont"/>
    <w:link w:val="CommentText"/>
    <w:uiPriority w:val="99"/>
    <w:semiHidden/>
    <w:rsid w:val="00FB1B8E"/>
  </w:style>
  <w:style w:type="paragraph" w:styleId="CommentSubject">
    <w:name w:val="annotation subject"/>
    <w:basedOn w:val="CommentText"/>
    <w:next w:val="CommentText"/>
    <w:link w:val="CommentSubjectChar"/>
    <w:uiPriority w:val="99"/>
    <w:semiHidden/>
    <w:unhideWhenUsed/>
    <w:rsid w:val="00FB1B8E"/>
    <w:rPr>
      <w:b/>
      <w:bCs/>
      <w:sz w:val="20"/>
      <w:szCs w:val="20"/>
    </w:rPr>
  </w:style>
  <w:style w:type="character" w:customStyle="1" w:styleId="CommentSubjectChar">
    <w:name w:val="Comment Subject Char"/>
    <w:basedOn w:val="CommentTextChar"/>
    <w:link w:val="CommentSubject"/>
    <w:uiPriority w:val="99"/>
    <w:semiHidden/>
    <w:rsid w:val="00FB1B8E"/>
    <w:rPr>
      <w:b/>
      <w:bCs/>
      <w:sz w:val="20"/>
      <w:szCs w:val="20"/>
    </w:rPr>
  </w:style>
  <w:style w:type="paragraph" w:styleId="BalloonText">
    <w:name w:val="Balloon Text"/>
    <w:basedOn w:val="Normal"/>
    <w:link w:val="BalloonTextChar"/>
    <w:uiPriority w:val="99"/>
    <w:semiHidden/>
    <w:unhideWhenUsed/>
    <w:rsid w:val="00FB1B8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B1B8E"/>
    <w:rPr>
      <w:rFonts w:ascii="Times New Roman" w:hAnsi="Times New Roman" w:cs="Times New Roman"/>
      <w:sz w:val="18"/>
      <w:szCs w:val="18"/>
    </w:rPr>
  </w:style>
  <w:style w:type="character" w:styleId="Hyperlink">
    <w:name w:val="Hyperlink"/>
    <w:basedOn w:val="DefaultParagraphFont"/>
    <w:uiPriority w:val="99"/>
    <w:unhideWhenUsed/>
    <w:rsid w:val="00274E07"/>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2306"/>
    <w:pPr>
      <w:tabs>
        <w:tab w:val="center" w:pos="4320"/>
        <w:tab w:val="right" w:pos="8640"/>
      </w:tabs>
    </w:pPr>
  </w:style>
  <w:style w:type="character" w:customStyle="1" w:styleId="HeaderChar">
    <w:name w:val="Header Char"/>
    <w:basedOn w:val="DefaultParagraphFont"/>
    <w:link w:val="Header"/>
    <w:uiPriority w:val="99"/>
    <w:rsid w:val="00B12306"/>
  </w:style>
  <w:style w:type="paragraph" w:styleId="Footer">
    <w:name w:val="footer"/>
    <w:basedOn w:val="Normal"/>
    <w:link w:val="FooterChar"/>
    <w:uiPriority w:val="99"/>
    <w:unhideWhenUsed/>
    <w:rsid w:val="00B12306"/>
    <w:pPr>
      <w:tabs>
        <w:tab w:val="center" w:pos="4320"/>
        <w:tab w:val="right" w:pos="8640"/>
      </w:tabs>
    </w:pPr>
  </w:style>
  <w:style w:type="character" w:customStyle="1" w:styleId="FooterChar">
    <w:name w:val="Footer Char"/>
    <w:basedOn w:val="DefaultParagraphFont"/>
    <w:link w:val="Footer"/>
    <w:uiPriority w:val="99"/>
    <w:rsid w:val="00B12306"/>
  </w:style>
  <w:style w:type="character" w:styleId="PageNumber">
    <w:name w:val="page number"/>
    <w:basedOn w:val="DefaultParagraphFont"/>
    <w:uiPriority w:val="99"/>
    <w:semiHidden/>
    <w:unhideWhenUsed/>
    <w:rsid w:val="00B12306"/>
  </w:style>
  <w:style w:type="paragraph" w:styleId="FootnoteText">
    <w:name w:val="footnote text"/>
    <w:basedOn w:val="Normal"/>
    <w:link w:val="FootnoteTextChar"/>
    <w:uiPriority w:val="99"/>
    <w:unhideWhenUsed/>
    <w:rsid w:val="00B12306"/>
  </w:style>
  <w:style w:type="character" w:customStyle="1" w:styleId="FootnoteTextChar">
    <w:name w:val="Footnote Text Char"/>
    <w:basedOn w:val="DefaultParagraphFont"/>
    <w:link w:val="FootnoteText"/>
    <w:uiPriority w:val="99"/>
    <w:rsid w:val="00B12306"/>
  </w:style>
  <w:style w:type="character" w:styleId="FootnoteReference">
    <w:name w:val="footnote reference"/>
    <w:basedOn w:val="DefaultParagraphFont"/>
    <w:uiPriority w:val="99"/>
    <w:unhideWhenUsed/>
    <w:rsid w:val="00B12306"/>
    <w:rPr>
      <w:vertAlign w:val="superscript"/>
    </w:rPr>
  </w:style>
  <w:style w:type="character" w:styleId="CommentReference">
    <w:name w:val="annotation reference"/>
    <w:basedOn w:val="DefaultParagraphFont"/>
    <w:uiPriority w:val="99"/>
    <w:semiHidden/>
    <w:unhideWhenUsed/>
    <w:rsid w:val="00FB1B8E"/>
    <w:rPr>
      <w:sz w:val="18"/>
      <w:szCs w:val="18"/>
    </w:rPr>
  </w:style>
  <w:style w:type="paragraph" w:styleId="CommentText">
    <w:name w:val="annotation text"/>
    <w:basedOn w:val="Normal"/>
    <w:link w:val="CommentTextChar"/>
    <w:uiPriority w:val="99"/>
    <w:semiHidden/>
    <w:unhideWhenUsed/>
    <w:rsid w:val="00FB1B8E"/>
  </w:style>
  <w:style w:type="character" w:customStyle="1" w:styleId="CommentTextChar">
    <w:name w:val="Comment Text Char"/>
    <w:basedOn w:val="DefaultParagraphFont"/>
    <w:link w:val="CommentText"/>
    <w:uiPriority w:val="99"/>
    <w:semiHidden/>
    <w:rsid w:val="00FB1B8E"/>
  </w:style>
  <w:style w:type="paragraph" w:styleId="CommentSubject">
    <w:name w:val="annotation subject"/>
    <w:basedOn w:val="CommentText"/>
    <w:next w:val="CommentText"/>
    <w:link w:val="CommentSubjectChar"/>
    <w:uiPriority w:val="99"/>
    <w:semiHidden/>
    <w:unhideWhenUsed/>
    <w:rsid w:val="00FB1B8E"/>
    <w:rPr>
      <w:b/>
      <w:bCs/>
      <w:sz w:val="20"/>
      <w:szCs w:val="20"/>
    </w:rPr>
  </w:style>
  <w:style w:type="character" w:customStyle="1" w:styleId="CommentSubjectChar">
    <w:name w:val="Comment Subject Char"/>
    <w:basedOn w:val="CommentTextChar"/>
    <w:link w:val="CommentSubject"/>
    <w:uiPriority w:val="99"/>
    <w:semiHidden/>
    <w:rsid w:val="00FB1B8E"/>
    <w:rPr>
      <w:b/>
      <w:bCs/>
      <w:sz w:val="20"/>
      <w:szCs w:val="20"/>
    </w:rPr>
  </w:style>
  <w:style w:type="paragraph" w:styleId="BalloonText">
    <w:name w:val="Balloon Text"/>
    <w:basedOn w:val="Normal"/>
    <w:link w:val="BalloonTextChar"/>
    <w:uiPriority w:val="99"/>
    <w:semiHidden/>
    <w:unhideWhenUsed/>
    <w:rsid w:val="00FB1B8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B1B8E"/>
    <w:rPr>
      <w:rFonts w:ascii="Times New Roman" w:hAnsi="Times New Roman" w:cs="Times New Roman"/>
      <w:sz w:val="18"/>
      <w:szCs w:val="18"/>
    </w:rPr>
  </w:style>
  <w:style w:type="character" w:styleId="Hyperlink">
    <w:name w:val="Hyperlink"/>
    <w:basedOn w:val="DefaultParagraphFont"/>
    <w:uiPriority w:val="99"/>
    <w:unhideWhenUsed/>
    <w:rsid w:val="00274E0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pbs.org/wnet/supremecourt/personality/landmark_minersville.html" TargetMode="External"/><Relationship Id="rId20" Type="http://schemas.microsoft.com/office/2011/relationships/commentsExtended" Target="commentsExtended.xml"/><Relationship Id="rId10" Type="http://schemas.openxmlformats.org/officeDocument/2006/relationships/hyperlink" Target="http://www.gallup.com/poll/187955/percentage-christians-drifting-down-high.aspx" TargetMode="External"/><Relationship Id="rId11" Type="http://schemas.openxmlformats.org/officeDocument/2006/relationships/hyperlink" Target="http://www.gallup.com/poll/1690/religion.aspx" TargetMode="External"/><Relationship Id="rId12" Type="http://schemas.openxmlformats.org/officeDocument/2006/relationships/hyperlink" Target="http://www.pewforum.org/religious-landscape-study/" TargetMode="External"/><Relationship Id="rId13" Type="http://schemas.openxmlformats.org/officeDocument/2006/relationships/hyperlink" Target="https://www.adflegal.org/detailspages/case-details/state-of-washington-v.-arlene-s-flowers-inc.-and-barronelle-stutzman" TargetMode="External"/><Relationship Id="rId14" Type="http://schemas.openxmlformats.org/officeDocument/2006/relationships/hyperlink" Target="https://www.jw.org/en/jehovahs-witnesses/faq/jehovahs-witnesses-why-no-blood-transfusions/" TargetMode="Externa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ntTable" Target="fontTable.xml"/><Relationship Id="rId18" Type="http://schemas.openxmlformats.org/officeDocument/2006/relationships/theme" Target="theme/theme1.xml"/><Relationship Id="rId19"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http://www.gallup.com/poll/1690/religion.aspx" TargetMode="External"/><Relationship Id="rId2" Type="http://schemas.openxmlformats.org/officeDocument/2006/relationships/hyperlink" Target="https://www.jw.org/en/jehovahs-witnesses/faq/jehovahs-witnesses-why-no-blood-transfus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3952B28-3FC4-834E-8B7A-02ABE67F1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67</Pages>
  <Words>15263</Words>
  <Characters>87004</Characters>
  <Application>Microsoft Macintosh Word</Application>
  <DocSecurity>0</DocSecurity>
  <Lines>725</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Kaseff</dc:creator>
  <cp:keywords/>
  <dc:description/>
  <cp:lastModifiedBy>Rachel Kaseff</cp:lastModifiedBy>
  <cp:revision>12</cp:revision>
  <cp:lastPrinted>2017-05-02T11:00:00Z</cp:lastPrinted>
  <dcterms:created xsi:type="dcterms:W3CDTF">2017-05-02T10:03:00Z</dcterms:created>
  <dcterms:modified xsi:type="dcterms:W3CDTF">2017-05-08T14:34:00Z</dcterms:modified>
</cp:coreProperties>
</file>