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8177D9" w:rsidRDefault="0031785B">
      <w:pPr>
        <w:spacing w:line="480" w:lineRule="auto"/>
        <w:jc w:val="center"/>
      </w:pPr>
      <w: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Study of the Efficacy of Leveled Literacy Intervention on Meeting Reading Achievement Goals for Targeted Title One Students in Grades 1 and 2</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sidR="005973DF">
        <w:rPr>
          <w:rFonts w:ascii="Times New Roman" w:eastAsia="Times New Roman" w:hAnsi="Times New Roman" w:cs="Times New Roman"/>
          <w:sz w:val="24"/>
          <w:szCs w:val="24"/>
        </w:rPr>
        <w:t>by</w:t>
      </w:r>
      <w:proofErr w:type="gramEnd"/>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Jennifer </w:t>
      </w:r>
      <w:proofErr w:type="spellStart"/>
      <w:r>
        <w:rPr>
          <w:rFonts w:ascii="Times New Roman" w:eastAsia="Times New Roman" w:hAnsi="Times New Roman" w:cs="Times New Roman"/>
          <w:sz w:val="24"/>
          <w:szCs w:val="24"/>
        </w:rPr>
        <w:t>Waldera</w:t>
      </w:r>
      <w:proofErr w:type="spellEnd"/>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Submitted in Partial Fulfillment of the Requirements for the</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Degree of Master of Education</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5973DF">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w:t>
      </w:r>
      <w:r w:rsidR="0031785B">
        <w:rPr>
          <w:rFonts w:ascii="Times New Roman" w:eastAsia="Times New Roman" w:hAnsi="Times New Roman" w:cs="Times New Roman"/>
          <w:sz w:val="24"/>
          <w:szCs w:val="24"/>
        </w:rPr>
        <w:t xml:space="preserve"> 2017</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Graduate Programs in Education</w:t>
      </w:r>
    </w:p>
    <w:p w:rsidR="008177D9" w:rsidRDefault="0031785B">
      <w:pPr>
        <w:spacing w:line="48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Goucher</w:t>
      </w:r>
      <w:proofErr w:type="spellEnd"/>
      <w:r>
        <w:rPr>
          <w:rFonts w:ascii="Times New Roman" w:eastAsia="Times New Roman" w:hAnsi="Times New Roman" w:cs="Times New Roman"/>
          <w:sz w:val="24"/>
          <w:szCs w:val="24"/>
        </w:rPr>
        <w:t xml:space="preserve"> College</w:t>
      </w:r>
    </w:p>
    <w:p w:rsidR="008177D9" w:rsidRDefault="0031785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177D9" w:rsidRDefault="008177D9">
      <w:pPr>
        <w:jc w:val="center"/>
        <w:rPr>
          <w:rFonts w:ascii="Times New Roman" w:eastAsia="Times New Roman" w:hAnsi="Times New Roman" w:cs="Times New Roman"/>
          <w:sz w:val="24"/>
          <w:szCs w:val="24"/>
        </w:rPr>
      </w:pPr>
    </w:p>
    <w:p w:rsidR="008177D9" w:rsidRDefault="008177D9">
      <w:pPr>
        <w:jc w:val="center"/>
        <w:rPr>
          <w:rFonts w:ascii="Times New Roman" w:eastAsia="Times New Roman" w:hAnsi="Times New Roman" w:cs="Times New Roman"/>
          <w:sz w:val="24"/>
          <w:szCs w:val="24"/>
        </w:rPr>
      </w:pPr>
    </w:p>
    <w:p w:rsidR="008177D9" w:rsidRDefault="008177D9">
      <w:pPr>
        <w:jc w:val="center"/>
        <w:rPr>
          <w:rFonts w:ascii="Times New Roman" w:eastAsia="Times New Roman" w:hAnsi="Times New Roman" w:cs="Times New Roman"/>
          <w:sz w:val="24"/>
          <w:szCs w:val="24"/>
        </w:rPr>
      </w:pPr>
    </w:p>
    <w:p w:rsidR="008177D9" w:rsidRDefault="008177D9">
      <w:pPr>
        <w:jc w:val="center"/>
        <w:rPr>
          <w:rFonts w:ascii="Times New Roman" w:eastAsia="Times New Roman" w:hAnsi="Times New Roman" w:cs="Times New Roman"/>
          <w:sz w:val="24"/>
          <w:szCs w:val="24"/>
        </w:rPr>
      </w:pPr>
    </w:p>
    <w:p w:rsidR="008177D9" w:rsidRDefault="008177D9">
      <w:pPr>
        <w:jc w:val="center"/>
        <w:rPr>
          <w:rFonts w:ascii="Times New Roman" w:eastAsia="Times New Roman" w:hAnsi="Times New Roman" w:cs="Times New Roman"/>
          <w:sz w:val="24"/>
          <w:szCs w:val="24"/>
        </w:rPr>
      </w:pPr>
    </w:p>
    <w:p w:rsidR="008177D9" w:rsidRDefault="008177D9">
      <w:pPr>
        <w:jc w:val="center"/>
        <w:rPr>
          <w:rFonts w:ascii="Times New Roman" w:eastAsia="Times New Roman" w:hAnsi="Times New Roman" w:cs="Times New Roman"/>
          <w:sz w:val="24"/>
          <w:szCs w:val="24"/>
        </w:rPr>
      </w:pPr>
    </w:p>
    <w:p w:rsidR="008177D9" w:rsidRDefault="008177D9">
      <w:pPr>
        <w:jc w:val="center"/>
        <w:rPr>
          <w:rFonts w:ascii="Times New Roman" w:eastAsia="Times New Roman" w:hAnsi="Times New Roman" w:cs="Times New Roman"/>
          <w:sz w:val="24"/>
          <w:szCs w:val="24"/>
        </w:rPr>
      </w:pPr>
    </w:p>
    <w:p w:rsidR="008177D9" w:rsidRDefault="008177D9">
      <w:pPr>
        <w:rPr>
          <w:rFonts w:ascii="Times New Roman" w:eastAsia="Times New Roman" w:hAnsi="Times New Roman" w:cs="Times New Roman"/>
          <w:sz w:val="24"/>
          <w:szCs w:val="24"/>
        </w:rPr>
      </w:pPr>
    </w:p>
    <w:p w:rsidR="008177D9" w:rsidRDefault="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of Contents</w:t>
      </w:r>
    </w:p>
    <w:p w:rsidR="00F559EF" w:rsidRPr="00F559EF" w:rsidRDefault="00F559EF">
      <w:pPr>
        <w:spacing w:line="480" w:lineRule="auto"/>
        <w:jc w:val="center"/>
        <w:rPr>
          <w:rFonts w:asciiTheme="majorBidi" w:eastAsia="Times New Roman" w:hAnsiTheme="majorBidi" w:cstheme="majorBidi"/>
          <w:sz w:val="24"/>
          <w:szCs w:val="24"/>
        </w:rPr>
      </w:pPr>
    </w:p>
    <w:p w:rsidR="00F559EF" w:rsidRPr="00F559EF" w:rsidRDefault="00F559EF" w:rsidP="00F559EF">
      <w:pPr>
        <w:spacing w:line="480" w:lineRule="auto"/>
        <w:jc w:val="center"/>
        <w:rPr>
          <w:rFonts w:asciiTheme="majorBidi" w:hAnsiTheme="majorBidi" w:cstheme="majorBidi"/>
          <w:sz w:val="24"/>
          <w:szCs w:val="24"/>
        </w:rPr>
      </w:pPr>
      <w:r w:rsidRPr="00F559EF">
        <w:rPr>
          <w:rFonts w:asciiTheme="majorBidi" w:hAnsiTheme="majorBidi" w:cstheme="majorBidi"/>
          <w:sz w:val="24"/>
          <w:szCs w:val="24"/>
        </w:rPr>
        <w:t>Table of Contents</w:t>
      </w:r>
    </w:p>
    <w:tbl>
      <w:tblPr>
        <w:tblW w:w="0" w:type="auto"/>
        <w:tblLook w:val="04A0" w:firstRow="1" w:lastRow="0" w:firstColumn="1" w:lastColumn="0" w:noHBand="0" w:noVBand="1"/>
      </w:tblPr>
      <w:tblGrid>
        <w:gridCol w:w="8634"/>
        <w:gridCol w:w="726"/>
      </w:tblGrid>
      <w:tr w:rsidR="00F559EF" w:rsidRPr="00F559EF" w:rsidTr="00E45D18">
        <w:trPr>
          <w:trHeight w:val="555"/>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List of Tables</w:t>
            </w:r>
          </w:p>
        </w:tc>
        <w:tc>
          <w:tcPr>
            <w:tcW w:w="726" w:type="dxa"/>
            <w:vAlign w:val="center"/>
          </w:tcPr>
          <w:p w:rsidR="00F559EF" w:rsidRPr="00F559EF" w:rsidRDefault="00F559EF" w:rsidP="00F64118">
            <w:pPr>
              <w:spacing w:line="480" w:lineRule="auto"/>
              <w:jc w:val="right"/>
              <w:rPr>
                <w:rFonts w:asciiTheme="majorBidi" w:hAnsiTheme="majorBidi" w:cstheme="majorBidi"/>
                <w:sz w:val="24"/>
                <w:szCs w:val="24"/>
              </w:rPr>
            </w:pPr>
            <w:proofErr w:type="spellStart"/>
            <w:r w:rsidRPr="00F559EF">
              <w:rPr>
                <w:rFonts w:asciiTheme="majorBidi" w:hAnsiTheme="majorBidi" w:cstheme="majorBidi"/>
                <w:sz w:val="24"/>
                <w:szCs w:val="24"/>
              </w:rPr>
              <w:t>i</w:t>
            </w:r>
            <w:proofErr w:type="spellEnd"/>
          </w:p>
        </w:tc>
      </w:tr>
      <w:tr w:rsidR="00F559EF" w:rsidRPr="00F559EF" w:rsidTr="00E45D18">
        <w:trPr>
          <w:trHeight w:val="555"/>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Abstract</w:t>
            </w:r>
          </w:p>
        </w:tc>
        <w:tc>
          <w:tcPr>
            <w:tcW w:w="726" w:type="dxa"/>
            <w:vAlign w:val="center"/>
          </w:tcPr>
          <w:p w:rsidR="00F559EF" w:rsidRPr="00F559EF" w:rsidRDefault="00F559EF" w:rsidP="00F64118">
            <w:pPr>
              <w:spacing w:line="480" w:lineRule="auto"/>
              <w:jc w:val="right"/>
              <w:rPr>
                <w:rFonts w:asciiTheme="majorBidi" w:hAnsiTheme="majorBidi" w:cstheme="majorBidi"/>
                <w:sz w:val="24"/>
                <w:szCs w:val="24"/>
              </w:rPr>
            </w:pPr>
            <w:r w:rsidRPr="00F559EF">
              <w:rPr>
                <w:rFonts w:asciiTheme="majorBidi" w:hAnsiTheme="majorBidi" w:cstheme="majorBidi"/>
                <w:sz w:val="24"/>
                <w:szCs w:val="24"/>
              </w:rPr>
              <w:t>ii</w:t>
            </w:r>
          </w:p>
        </w:tc>
      </w:tr>
      <w:tr w:rsidR="00F559EF" w:rsidRPr="00F559EF" w:rsidTr="00E45D18">
        <w:trPr>
          <w:trHeight w:val="540"/>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I. Introduction</w:t>
            </w:r>
          </w:p>
        </w:tc>
        <w:tc>
          <w:tcPr>
            <w:tcW w:w="726" w:type="dxa"/>
            <w:vAlign w:val="center"/>
          </w:tcPr>
          <w:p w:rsidR="00F559EF" w:rsidRPr="00F559EF" w:rsidRDefault="00F559EF" w:rsidP="00F64118">
            <w:pPr>
              <w:spacing w:line="480" w:lineRule="auto"/>
              <w:jc w:val="right"/>
              <w:rPr>
                <w:rFonts w:asciiTheme="majorBidi" w:hAnsiTheme="majorBidi" w:cstheme="majorBidi"/>
                <w:sz w:val="24"/>
                <w:szCs w:val="24"/>
              </w:rPr>
            </w:pPr>
            <w:r w:rsidRPr="00F559EF">
              <w:rPr>
                <w:rFonts w:asciiTheme="majorBidi" w:hAnsiTheme="majorBidi" w:cstheme="majorBidi"/>
                <w:sz w:val="24"/>
                <w:szCs w:val="24"/>
              </w:rPr>
              <w:t>1</w:t>
            </w:r>
          </w:p>
        </w:tc>
      </w:tr>
      <w:tr w:rsidR="00F559EF" w:rsidRPr="00F559EF" w:rsidTr="00E45D18">
        <w:trPr>
          <w:trHeight w:val="555"/>
        </w:trPr>
        <w:tc>
          <w:tcPr>
            <w:tcW w:w="8634" w:type="dxa"/>
            <w:vAlign w:val="center"/>
          </w:tcPr>
          <w:p w:rsidR="00F559EF" w:rsidRPr="00F559EF" w:rsidRDefault="00F559EF" w:rsidP="00F559EF">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Statement of The Problem</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2</w:t>
            </w:r>
          </w:p>
        </w:tc>
      </w:tr>
      <w:tr w:rsidR="00F559EF" w:rsidRPr="00F559EF" w:rsidTr="00E45D18">
        <w:trPr>
          <w:trHeight w:val="555"/>
        </w:trPr>
        <w:tc>
          <w:tcPr>
            <w:tcW w:w="8634" w:type="dxa"/>
            <w:vAlign w:val="center"/>
          </w:tcPr>
          <w:p w:rsidR="00F559EF" w:rsidRPr="00F559EF" w:rsidRDefault="00F559EF" w:rsidP="00F559EF">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Hypothesis</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2</w:t>
            </w:r>
          </w:p>
        </w:tc>
      </w:tr>
      <w:tr w:rsidR="00F559EF" w:rsidRPr="00F559EF" w:rsidTr="00E45D18">
        <w:trPr>
          <w:trHeight w:val="555"/>
        </w:trPr>
        <w:tc>
          <w:tcPr>
            <w:tcW w:w="8634" w:type="dxa"/>
            <w:vAlign w:val="center"/>
          </w:tcPr>
          <w:p w:rsidR="00F559EF" w:rsidRPr="00F559EF" w:rsidRDefault="00F559EF" w:rsidP="00F559EF">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Operational Definitions</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2</w:t>
            </w:r>
          </w:p>
        </w:tc>
      </w:tr>
      <w:tr w:rsidR="00F559EF" w:rsidRPr="00F559EF" w:rsidTr="00E45D18">
        <w:trPr>
          <w:trHeight w:val="555"/>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II. Review of the Literature</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4</w:t>
            </w:r>
          </w:p>
        </w:tc>
      </w:tr>
      <w:tr w:rsidR="00F559EF" w:rsidRPr="00F559EF" w:rsidTr="00E45D18">
        <w:trPr>
          <w:trHeight w:val="540"/>
        </w:trPr>
        <w:tc>
          <w:tcPr>
            <w:tcW w:w="8634" w:type="dxa"/>
            <w:vAlign w:val="center"/>
          </w:tcPr>
          <w:p w:rsidR="00F559EF" w:rsidRPr="00F559EF" w:rsidRDefault="00F559EF" w:rsidP="00F559EF">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Definition of Reading Intervention, Its Purpose, And Its Importance</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4</w:t>
            </w:r>
          </w:p>
        </w:tc>
      </w:tr>
      <w:tr w:rsidR="00F559EF" w:rsidRPr="00F559EF" w:rsidTr="00E45D18">
        <w:trPr>
          <w:trHeight w:val="555"/>
        </w:trPr>
        <w:tc>
          <w:tcPr>
            <w:tcW w:w="8634" w:type="dxa"/>
            <w:vAlign w:val="center"/>
          </w:tcPr>
          <w:p w:rsidR="00F559EF" w:rsidRPr="00F559EF" w:rsidRDefault="00F559EF" w:rsidP="00F559EF">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The Effects of Poverty on Academic Achievement/Reading</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5</w:t>
            </w:r>
          </w:p>
        </w:tc>
      </w:tr>
      <w:tr w:rsidR="00F559EF" w:rsidRPr="00F559EF" w:rsidTr="00E45D18">
        <w:trPr>
          <w:trHeight w:val="585"/>
        </w:trPr>
        <w:tc>
          <w:tcPr>
            <w:tcW w:w="8634" w:type="dxa"/>
            <w:vAlign w:val="center"/>
          </w:tcPr>
          <w:p w:rsidR="00F559EF" w:rsidRPr="00F559EF" w:rsidRDefault="00F559EF" w:rsidP="00F559EF">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Characteristics of Quality Reading Intervention</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6</w:t>
            </w:r>
          </w:p>
        </w:tc>
      </w:tr>
      <w:tr w:rsidR="00F559EF" w:rsidRPr="00F559EF" w:rsidTr="00E45D18">
        <w:trPr>
          <w:trHeight w:val="555"/>
        </w:trPr>
        <w:tc>
          <w:tcPr>
            <w:tcW w:w="8634" w:type="dxa"/>
            <w:vAlign w:val="center"/>
          </w:tcPr>
          <w:p w:rsidR="00F559EF" w:rsidRPr="00F559EF" w:rsidRDefault="00F559EF"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Description of LLI And Its Purpose</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7</w:t>
            </w:r>
          </w:p>
        </w:tc>
      </w:tr>
      <w:tr w:rsidR="00F559EF" w:rsidRPr="00F559EF" w:rsidTr="00E45D18">
        <w:trPr>
          <w:trHeight w:val="555"/>
        </w:trPr>
        <w:tc>
          <w:tcPr>
            <w:tcW w:w="8634" w:type="dxa"/>
            <w:vAlign w:val="center"/>
          </w:tcPr>
          <w:p w:rsidR="00F559EF" w:rsidRPr="00F559EF" w:rsidRDefault="00F559EF"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Previous Research Regarding Efficacy</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8</w:t>
            </w:r>
          </w:p>
        </w:tc>
      </w:tr>
      <w:tr w:rsidR="00F559EF" w:rsidRPr="00F559EF" w:rsidTr="00E45D18">
        <w:trPr>
          <w:trHeight w:val="555"/>
        </w:trPr>
        <w:tc>
          <w:tcPr>
            <w:tcW w:w="8634" w:type="dxa"/>
            <w:vAlign w:val="center"/>
          </w:tcPr>
          <w:p w:rsidR="00F559EF" w:rsidRPr="00F559EF" w:rsidRDefault="00F559EF"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Summary</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9</w:t>
            </w:r>
          </w:p>
        </w:tc>
      </w:tr>
      <w:tr w:rsidR="00F559EF" w:rsidRPr="00F559EF" w:rsidTr="00E45D18">
        <w:trPr>
          <w:trHeight w:val="540"/>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III. Methods</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10</w:t>
            </w:r>
          </w:p>
        </w:tc>
      </w:tr>
      <w:tr w:rsidR="00F559EF" w:rsidRPr="00F559EF" w:rsidTr="00E45D18">
        <w:trPr>
          <w:trHeight w:val="555"/>
        </w:trPr>
        <w:tc>
          <w:tcPr>
            <w:tcW w:w="8634" w:type="dxa"/>
            <w:vAlign w:val="center"/>
          </w:tcPr>
          <w:p w:rsidR="00F559EF" w:rsidRPr="00F559EF" w:rsidRDefault="00F559EF"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Design</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10</w:t>
            </w:r>
          </w:p>
        </w:tc>
      </w:tr>
      <w:tr w:rsidR="00F559EF" w:rsidRPr="00F559EF" w:rsidTr="00E45D18">
        <w:trPr>
          <w:trHeight w:val="555"/>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Participants</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11</w:t>
            </w:r>
          </w:p>
        </w:tc>
      </w:tr>
      <w:tr w:rsidR="00A1478A" w:rsidRPr="00F559EF" w:rsidTr="00E45D18">
        <w:trPr>
          <w:trHeight w:val="555"/>
        </w:trPr>
        <w:tc>
          <w:tcPr>
            <w:tcW w:w="8634" w:type="dxa"/>
            <w:vAlign w:val="center"/>
          </w:tcPr>
          <w:p w:rsidR="00A1478A" w:rsidRPr="00F559EF" w:rsidRDefault="00A1478A"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Instrumentation</w:t>
            </w:r>
          </w:p>
        </w:tc>
        <w:tc>
          <w:tcPr>
            <w:tcW w:w="726" w:type="dxa"/>
            <w:vAlign w:val="center"/>
          </w:tcPr>
          <w:p w:rsidR="00A1478A"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11</w:t>
            </w:r>
          </w:p>
        </w:tc>
      </w:tr>
      <w:tr w:rsidR="00F559EF" w:rsidRPr="00F559EF" w:rsidTr="00E45D18">
        <w:trPr>
          <w:trHeight w:val="555"/>
        </w:trPr>
        <w:tc>
          <w:tcPr>
            <w:tcW w:w="8634" w:type="dxa"/>
            <w:vAlign w:val="center"/>
          </w:tcPr>
          <w:p w:rsidR="00F559EF" w:rsidRPr="00F559EF" w:rsidRDefault="00F559EF"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Procedure</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11</w:t>
            </w:r>
          </w:p>
        </w:tc>
      </w:tr>
      <w:tr w:rsidR="00F559EF" w:rsidRPr="00F559EF" w:rsidTr="00E45D18">
        <w:trPr>
          <w:trHeight w:val="540"/>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IV. Results</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13</w:t>
            </w:r>
          </w:p>
        </w:tc>
      </w:tr>
      <w:tr w:rsidR="00F559EF" w:rsidRPr="00F559EF" w:rsidTr="00E45D18">
        <w:trPr>
          <w:trHeight w:val="555"/>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p>
        </w:tc>
        <w:tc>
          <w:tcPr>
            <w:tcW w:w="726" w:type="dxa"/>
            <w:vAlign w:val="center"/>
          </w:tcPr>
          <w:p w:rsidR="00F559EF" w:rsidRPr="00F559EF" w:rsidRDefault="00F559EF" w:rsidP="00F64118">
            <w:pPr>
              <w:spacing w:line="480" w:lineRule="auto"/>
              <w:jc w:val="right"/>
              <w:rPr>
                <w:rFonts w:asciiTheme="majorBidi" w:hAnsiTheme="majorBidi" w:cstheme="majorBidi"/>
                <w:sz w:val="24"/>
                <w:szCs w:val="24"/>
              </w:rPr>
            </w:pPr>
          </w:p>
        </w:tc>
      </w:tr>
      <w:tr w:rsidR="00F559EF" w:rsidRPr="00F559EF" w:rsidTr="00E45D18">
        <w:trPr>
          <w:trHeight w:val="555"/>
        </w:trPr>
        <w:tc>
          <w:tcPr>
            <w:tcW w:w="8634" w:type="dxa"/>
            <w:vAlign w:val="center"/>
          </w:tcPr>
          <w:p w:rsidR="00F559EF" w:rsidRPr="00F559EF" w:rsidRDefault="00F559EF" w:rsidP="00F64118">
            <w:pPr>
              <w:spacing w:line="480" w:lineRule="auto"/>
              <w:rPr>
                <w:rFonts w:asciiTheme="majorBidi" w:hAnsiTheme="majorBidi" w:cstheme="majorBidi"/>
                <w:sz w:val="24"/>
                <w:szCs w:val="24"/>
              </w:rPr>
            </w:pPr>
            <w:r w:rsidRPr="00F559EF">
              <w:rPr>
                <w:rFonts w:asciiTheme="majorBidi" w:hAnsiTheme="majorBidi" w:cstheme="majorBidi"/>
                <w:sz w:val="24"/>
                <w:szCs w:val="24"/>
              </w:rPr>
              <w:t>V. Discussion</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17</w:t>
            </w:r>
          </w:p>
        </w:tc>
      </w:tr>
      <w:tr w:rsidR="00F559EF" w:rsidRPr="00F559EF" w:rsidTr="00E45D18">
        <w:trPr>
          <w:trHeight w:val="555"/>
        </w:trPr>
        <w:tc>
          <w:tcPr>
            <w:tcW w:w="8634" w:type="dxa"/>
            <w:vAlign w:val="center"/>
          </w:tcPr>
          <w:p w:rsidR="00F559EF" w:rsidRPr="00F559EF" w:rsidRDefault="00F559EF"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sidR="00A1478A">
              <w:rPr>
                <w:rFonts w:asciiTheme="majorBidi" w:hAnsiTheme="majorBidi" w:cstheme="majorBidi"/>
                <w:sz w:val="24"/>
                <w:szCs w:val="24"/>
              </w:rPr>
              <w:t>Implications of Research</w:t>
            </w:r>
          </w:p>
        </w:tc>
        <w:tc>
          <w:tcPr>
            <w:tcW w:w="726" w:type="dxa"/>
            <w:vAlign w:val="center"/>
          </w:tcPr>
          <w:p w:rsidR="00F559EF" w:rsidRPr="00F559EF" w:rsidRDefault="00297124"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18</w:t>
            </w:r>
          </w:p>
        </w:tc>
      </w:tr>
      <w:tr w:rsidR="00A1478A" w:rsidRPr="00F559EF" w:rsidTr="00E45D18">
        <w:trPr>
          <w:trHeight w:val="540"/>
        </w:trPr>
        <w:tc>
          <w:tcPr>
            <w:tcW w:w="8634" w:type="dxa"/>
            <w:vAlign w:val="center"/>
          </w:tcPr>
          <w:p w:rsidR="00A1478A" w:rsidRPr="00F559EF" w:rsidRDefault="00A1478A"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Threats to Validity</w:t>
            </w:r>
          </w:p>
        </w:tc>
        <w:tc>
          <w:tcPr>
            <w:tcW w:w="726" w:type="dxa"/>
            <w:vAlign w:val="center"/>
          </w:tcPr>
          <w:p w:rsidR="00A1478A" w:rsidRPr="00F559EF" w:rsidRDefault="00297124" w:rsidP="00A1478A">
            <w:pPr>
              <w:spacing w:line="480" w:lineRule="auto"/>
              <w:jc w:val="right"/>
              <w:rPr>
                <w:rFonts w:asciiTheme="majorBidi" w:hAnsiTheme="majorBidi" w:cstheme="majorBidi"/>
                <w:sz w:val="24"/>
                <w:szCs w:val="24"/>
              </w:rPr>
            </w:pPr>
            <w:r>
              <w:rPr>
                <w:rFonts w:asciiTheme="majorBidi" w:hAnsiTheme="majorBidi" w:cstheme="majorBidi"/>
                <w:sz w:val="24"/>
                <w:szCs w:val="24"/>
              </w:rPr>
              <w:t>19</w:t>
            </w:r>
          </w:p>
        </w:tc>
      </w:tr>
      <w:tr w:rsidR="00A1478A" w:rsidRPr="00F559EF" w:rsidTr="00E45D18">
        <w:trPr>
          <w:trHeight w:val="555"/>
        </w:trPr>
        <w:tc>
          <w:tcPr>
            <w:tcW w:w="8634" w:type="dxa"/>
            <w:vAlign w:val="center"/>
          </w:tcPr>
          <w:p w:rsidR="00A1478A" w:rsidRPr="00F559EF" w:rsidRDefault="00A1478A"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Similar Research</w:t>
            </w:r>
          </w:p>
        </w:tc>
        <w:tc>
          <w:tcPr>
            <w:tcW w:w="726" w:type="dxa"/>
            <w:vAlign w:val="center"/>
          </w:tcPr>
          <w:p w:rsidR="00A1478A" w:rsidRPr="00F559EF" w:rsidRDefault="00297124" w:rsidP="00A1478A">
            <w:pPr>
              <w:spacing w:line="480" w:lineRule="auto"/>
              <w:jc w:val="right"/>
              <w:rPr>
                <w:rFonts w:asciiTheme="majorBidi" w:hAnsiTheme="majorBidi" w:cstheme="majorBidi"/>
                <w:sz w:val="24"/>
                <w:szCs w:val="24"/>
              </w:rPr>
            </w:pPr>
            <w:r>
              <w:rPr>
                <w:rFonts w:asciiTheme="majorBidi" w:hAnsiTheme="majorBidi" w:cstheme="majorBidi"/>
                <w:sz w:val="24"/>
                <w:szCs w:val="24"/>
              </w:rPr>
              <w:t>21</w:t>
            </w:r>
          </w:p>
        </w:tc>
      </w:tr>
      <w:tr w:rsidR="00A1478A" w:rsidRPr="00F559EF" w:rsidTr="00E45D18">
        <w:trPr>
          <w:trHeight w:val="555"/>
        </w:trPr>
        <w:tc>
          <w:tcPr>
            <w:tcW w:w="8634" w:type="dxa"/>
            <w:vAlign w:val="center"/>
          </w:tcPr>
          <w:p w:rsidR="00A1478A" w:rsidRPr="00F559EF" w:rsidRDefault="00A1478A" w:rsidP="00A1478A">
            <w:pPr>
              <w:spacing w:line="480" w:lineRule="auto"/>
              <w:rPr>
                <w:rFonts w:asciiTheme="majorBidi" w:hAnsiTheme="majorBidi" w:cstheme="majorBidi"/>
                <w:sz w:val="24"/>
                <w:szCs w:val="24"/>
              </w:rPr>
            </w:pPr>
            <w:r w:rsidRPr="00F559EF">
              <w:rPr>
                <w:rFonts w:asciiTheme="majorBidi" w:hAnsiTheme="majorBidi" w:cstheme="majorBidi"/>
                <w:sz w:val="24"/>
                <w:szCs w:val="24"/>
              </w:rPr>
              <w:tab/>
            </w:r>
            <w:r>
              <w:rPr>
                <w:rFonts w:asciiTheme="majorBidi" w:hAnsiTheme="majorBidi" w:cstheme="majorBidi"/>
                <w:sz w:val="24"/>
                <w:szCs w:val="24"/>
              </w:rPr>
              <w:t>Implications on Future Research</w:t>
            </w:r>
          </w:p>
        </w:tc>
        <w:tc>
          <w:tcPr>
            <w:tcW w:w="726" w:type="dxa"/>
            <w:vAlign w:val="center"/>
          </w:tcPr>
          <w:p w:rsidR="00A1478A" w:rsidRPr="00F559EF" w:rsidRDefault="00297124" w:rsidP="00A1478A">
            <w:pPr>
              <w:spacing w:line="480" w:lineRule="auto"/>
              <w:jc w:val="right"/>
              <w:rPr>
                <w:rFonts w:asciiTheme="majorBidi" w:hAnsiTheme="majorBidi" w:cstheme="majorBidi"/>
                <w:sz w:val="24"/>
                <w:szCs w:val="24"/>
              </w:rPr>
            </w:pPr>
            <w:r>
              <w:rPr>
                <w:rFonts w:asciiTheme="majorBidi" w:hAnsiTheme="majorBidi" w:cstheme="majorBidi"/>
                <w:sz w:val="24"/>
                <w:szCs w:val="24"/>
              </w:rPr>
              <w:t>21</w:t>
            </w: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r>
              <w:rPr>
                <w:rFonts w:asciiTheme="majorBidi" w:hAnsiTheme="majorBidi" w:cstheme="majorBidi"/>
                <w:sz w:val="24"/>
                <w:szCs w:val="24"/>
              </w:rPr>
              <w:t>References</w:t>
            </w:r>
          </w:p>
        </w:tc>
        <w:tc>
          <w:tcPr>
            <w:tcW w:w="726" w:type="dxa"/>
            <w:vAlign w:val="center"/>
          </w:tcPr>
          <w:p w:rsidR="00E45D18" w:rsidRDefault="00297124" w:rsidP="00A1478A">
            <w:pPr>
              <w:spacing w:line="480" w:lineRule="auto"/>
              <w:jc w:val="right"/>
              <w:rPr>
                <w:rFonts w:asciiTheme="majorBidi" w:hAnsiTheme="majorBidi" w:cstheme="majorBidi"/>
                <w:sz w:val="24"/>
                <w:szCs w:val="24"/>
              </w:rPr>
            </w:pPr>
            <w:r>
              <w:rPr>
                <w:rFonts w:asciiTheme="majorBidi" w:hAnsiTheme="majorBidi" w:cstheme="majorBidi"/>
                <w:sz w:val="24"/>
                <w:szCs w:val="24"/>
              </w:rPr>
              <w:t>22</w:t>
            </w:r>
            <w:bookmarkStart w:id="0" w:name="_GoBack"/>
            <w:bookmarkEnd w:id="0"/>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r w:rsidR="00E45D18" w:rsidRPr="00F559EF" w:rsidTr="00E45D18">
        <w:trPr>
          <w:trHeight w:val="555"/>
        </w:trPr>
        <w:tc>
          <w:tcPr>
            <w:tcW w:w="8634" w:type="dxa"/>
            <w:vAlign w:val="center"/>
          </w:tcPr>
          <w:p w:rsidR="00E45D18" w:rsidRPr="00F559EF" w:rsidRDefault="00E45D18" w:rsidP="00A1478A">
            <w:pPr>
              <w:spacing w:line="480" w:lineRule="auto"/>
              <w:rPr>
                <w:rFonts w:asciiTheme="majorBidi" w:hAnsiTheme="majorBidi" w:cstheme="majorBidi"/>
                <w:sz w:val="24"/>
                <w:szCs w:val="24"/>
              </w:rPr>
            </w:pPr>
          </w:p>
        </w:tc>
        <w:tc>
          <w:tcPr>
            <w:tcW w:w="726" w:type="dxa"/>
            <w:vAlign w:val="center"/>
          </w:tcPr>
          <w:p w:rsidR="00E45D18" w:rsidRDefault="00E45D18" w:rsidP="00A1478A">
            <w:pPr>
              <w:spacing w:line="480" w:lineRule="auto"/>
              <w:jc w:val="right"/>
              <w:rPr>
                <w:rFonts w:asciiTheme="majorBidi" w:hAnsiTheme="majorBidi" w:cstheme="majorBidi"/>
                <w:sz w:val="24"/>
                <w:szCs w:val="24"/>
              </w:rPr>
            </w:pPr>
          </w:p>
        </w:tc>
      </w:tr>
    </w:tbl>
    <w:p w:rsidR="00F559EF" w:rsidRPr="00F559EF" w:rsidRDefault="00F559EF" w:rsidP="00F559EF">
      <w:pPr>
        <w:rPr>
          <w:rFonts w:asciiTheme="majorBidi" w:hAnsiTheme="majorBidi" w:cstheme="majorBidi"/>
          <w:sz w:val="24"/>
          <w:szCs w:val="24"/>
        </w:rPr>
        <w:sectPr w:rsidR="00F559EF" w:rsidRPr="00F559EF" w:rsidSect="00F64118">
          <w:footerReference w:type="default" r:id="rId7"/>
          <w:pgSz w:w="12240" w:h="15840" w:code="1"/>
          <w:pgMar w:top="1440" w:right="1440" w:bottom="1440" w:left="1440" w:header="720" w:footer="720" w:gutter="0"/>
          <w:pgNumType w:fmt="lowerRoman" w:start="1"/>
          <w:cols w:space="720"/>
          <w:docGrid w:linePitch="360"/>
        </w:sectPr>
      </w:pPr>
    </w:p>
    <w:p w:rsidR="00F559EF" w:rsidRPr="00F559EF" w:rsidRDefault="00F559EF" w:rsidP="00F559EF">
      <w:pPr>
        <w:spacing w:line="480" w:lineRule="auto"/>
        <w:jc w:val="center"/>
        <w:rPr>
          <w:rFonts w:asciiTheme="majorBidi" w:hAnsiTheme="majorBidi" w:cstheme="majorBidi"/>
          <w:sz w:val="24"/>
          <w:szCs w:val="24"/>
        </w:rPr>
      </w:pPr>
      <w:r w:rsidRPr="00F559EF">
        <w:rPr>
          <w:rFonts w:asciiTheme="majorBidi" w:hAnsiTheme="majorBidi" w:cstheme="majorBidi"/>
          <w:sz w:val="24"/>
          <w:szCs w:val="24"/>
        </w:rPr>
        <w:t>List of Tables</w:t>
      </w:r>
    </w:p>
    <w:tbl>
      <w:tblPr>
        <w:tblW w:w="0" w:type="auto"/>
        <w:tblInd w:w="108" w:type="dxa"/>
        <w:tblLook w:val="04A0" w:firstRow="1" w:lastRow="0" w:firstColumn="1" w:lastColumn="0" w:noHBand="0" w:noVBand="1"/>
      </w:tblPr>
      <w:tblGrid>
        <w:gridCol w:w="8118"/>
        <w:gridCol w:w="738"/>
      </w:tblGrid>
      <w:tr w:rsidR="00F559EF" w:rsidRPr="00F559EF" w:rsidTr="00F64118">
        <w:tc>
          <w:tcPr>
            <w:tcW w:w="8118" w:type="dxa"/>
            <w:vAlign w:val="center"/>
          </w:tcPr>
          <w:p w:rsidR="00F559EF" w:rsidRPr="00F559EF" w:rsidRDefault="00F559EF" w:rsidP="008E15D3">
            <w:pPr>
              <w:spacing w:line="480" w:lineRule="auto"/>
              <w:rPr>
                <w:rFonts w:asciiTheme="majorBidi" w:hAnsiTheme="majorBidi" w:cstheme="majorBidi"/>
                <w:sz w:val="24"/>
                <w:szCs w:val="24"/>
              </w:rPr>
            </w:pPr>
            <w:r w:rsidRPr="00F559EF">
              <w:rPr>
                <w:rFonts w:asciiTheme="majorBidi" w:hAnsiTheme="majorBidi" w:cstheme="majorBidi"/>
                <w:sz w:val="24"/>
                <w:szCs w:val="24"/>
              </w:rPr>
              <w:t xml:space="preserve">1. </w:t>
            </w:r>
            <w:r w:rsidR="008E15D3">
              <w:rPr>
                <w:rFonts w:asciiTheme="majorBidi" w:hAnsiTheme="majorBidi" w:cstheme="majorBidi"/>
                <w:sz w:val="24"/>
                <w:szCs w:val="24"/>
              </w:rPr>
              <w:t>Letter and Numerical Score Conversion Table</w:t>
            </w:r>
          </w:p>
        </w:tc>
        <w:tc>
          <w:tcPr>
            <w:tcW w:w="738" w:type="dxa"/>
            <w:vAlign w:val="center"/>
          </w:tcPr>
          <w:p w:rsidR="00F559EF" w:rsidRPr="00F559EF" w:rsidRDefault="008E15D3"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16</w:t>
            </w:r>
          </w:p>
        </w:tc>
      </w:tr>
      <w:tr w:rsidR="008E15D3" w:rsidRPr="00F559EF" w:rsidTr="00F64118">
        <w:tc>
          <w:tcPr>
            <w:tcW w:w="8118" w:type="dxa"/>
            <w:vAlign w:val="center"/>
          </w:tcPr>
          <w:p w:rsidR="008E15D3" w:rsidRPr="00F559EF" w:rsidRDefault="008E15D3" w:rsidP="00F64118">
            <w:pPr>
              <w:spacing w:line="480" w:lineRule="auto"/>
              <w:rPr>
                <w:rFonts w:asciiTheme="majorBidi" w:hAnsiTheme="majorBidi" w:cstheme="majorBidi"/>
                <w:sz w:val="24"/>
                <w:szCs w:val="24"/>
              </w:rPr>
            </w:pPr>
            <w:r>
              <w:rPr>
                <w:rFonts w:asciiTheme="majorBidi" w:hAnsiTheme="majorBidi" w:cstheme="majorBidi"/>
                <w:sz w:val="24"/>
                <w:szCs w:val="24"/>
              </w:rPr>
              <w:t>2. Group Statistics</w:t>
            </w:r>
          </w:p>
        </w:tc>
        <w:tc>
          <w:tcPr>
            <w:tcW w:w="738" w:type="dxa"/>
            <w:vAlign w:val="center"/>
          </w:tcPr>
          <w:p w:rsidR="008E15D3" w:rsidRPr="00F559EF" w:rsidRDefault="008E15D3"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17</w:t>
            </w:r>
          </w:p>
        </w:tc>
      </w:tr>
      <w:tr w:rsidR="00F559EF" w:rsidRPr="00F559EF" w:rsidTr="00F64118">
        <w:tc>
          <w:tcPr>
            <w:tcW w:w="8118" w:type="dxa"/>
            <w:vAlign w:val="center"/>
          </w:tcPr>
          <w:p w:rsidR="00F559EF" w:rsidRPr="00F559EF" w:rsidRDefault="008E15D3" w:rsidP="008E15D3">
            <w:pPr>
              <w:spacing w:line="480" w:lineRule="auto"/>
              <w:rPr>
                <w:rFonts w:asciiTheme="majorBidi" w:hAnsiTheme="majorBidi" w:cstheme="majorBidi"/>
                <w:sz w:val="24"/>
                <w:szCs w:val="24"/>
              </w:rPr>
            </w:pPr>
            <w:r>
              <w:rPr>
                <w:rFonts w:asciiTheme="majorBidi" w:hAnsiTheme="majorBidi" w:cstheme="majorBidi"/>
                <w:sz w:val="24"/>
                <w:szCs w:val="24"/>
              </w:rPr>
              <w:t>3</w:t>
            </w:r>
            <w:r w:rsidR="00F559EF" w:rsidRPr="00F559EF">
              <w:rPr>
                <w:rFonts w:asciiTheme="majorBidi" w:hAnsiTheme="majorBidi" w:cstheme="majorBidi"/>
                <w:sz w:val="24"/>
                <w:szCs w:val="24"/>
              </w:rPr>
              <w:t xml:space="preserve">. </w:t>
            </w:r>
            <w:r>
              <w:rPr>
                <w:rFonts w:asciiTheme="majorBidi" w:hAnsiTheme="majorBidi" w:cstheme="majorBidi"/>
                <w:sz w:val="24"/>
                <w:szCs w:val="24"/>
              </w:rPr>
              <w:t>Independent Samples Test</w:t>
            </w:r>
          </w:p>
        </w:tc>
        <w:tc>
          <w:tcPr>
            <w:tcW w:w="738" w:type="dxa"/>
            <w:vAlign w:val="center"/>
          </w:tcPr>
          <w:p w:rsidR="00F559EF" w:rsidRPr="00F559EF" w:rsidRDefault="008E15D3"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17</w:t>
            </w:r>
          </w:p>
        </w:tc>
      </w:tr>
      <w:tr w:rsidR="008E15D3" w:rsidRPr="00F559EF" w:rsidTr="00F64118">
        <w:tc>
          <w:tcPr>
            <w:tcW w:w="8118" w:type="dxa"/>
            <w:vAlign w:val="center"/>
          </w:tcPr>
          <w:p w:rsidR="008E15D3" w:rsidRDefault="008E15D3" w:rsidP="008E15D3">
            <w:pPr>
              <w:spacing w:line="480" w:lineRule="auto"/>
              <w:rPr>
                <w:rFonts w:asciiTheme="majorBidi" w:hAnsiTheme="majorBidi" w:cstheme="majorBidi"/>
                <w:sz w:val="24"/>
                <w:szCs w:val="24"/>
              </w:rPr>
            </w:pPr>
            <w:r>
              <w:rPr>
                <w:rFonts w:asciiTheme="majorBidi" w:hAnsiTheme="majorBidi" w:cstheme="majorBidi"/>
                <w:sz w:val="24"/>
                <w:szCs w:val="24"/>
              </w:rPr>
              <w:t>4. Comparing percentages of students with improvement on reading level between treatment vs. control groups</w:t>
            </w:r>
          </w:p>
        </w:tc>
        <w:tc>
          <w:tcPr>
            <w:tcW w:w="738" w:type="dxa"/>
            <w:vAlign w:val="center"/>
          </w:tcPr>
          <w:p w:rsidR="008E15D3" w:rsidRDefault="008E15D3"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18</w:t>
            </w:r>
          </w:p>
        </w:tc>
      </w:tr>
      <w:tr w:rsidR="008E15D3" w:rsidRPr="00F559EF" w:rsidTr="00F64118">
        <w:tc>
          <w:tcPr>
            <w:tcW w:w="8118" w:type="dxa"/>
            <w:vAlign w:val="center"/>
          </w:tcPr>
          <w:p w:rsidR="008E15D3" w:rsidRDefault="008E15D3" w:rsidP="008E15D3">
            <w:pPr>
              <w:spacing w:line="480" w:lineRule="auto"/>
              <w:rPr>
                <w:rFonts w:asciiTheme="majorBidi" w:hAnsiTheme="majorBidi" w:cstheme="majorBidi"/>
                <w:sz w:val="24"/>
                <w:szCs w:val="24"/>
              </w:rPr>
            </w:pPr>
            <w:r>
              <w:rPr>
                <w:rFonts w:asciiTheme="majorBidi" w:hAnsiTheme="majorBidi" w:cstheme="majorBidi"/>
                <w:sz w:val="24"/>
                <w:szCs w:val="24"/>
              </w:rPr>
              <w:t>5. Comparing treatment v. non=treatment student growth on F&amp;P from beginning of year to middle of year by student subgroup</w:t>
            </w:r>
          </w:p>
        </w:tc>
        <w:tc>
          <w:tcPr>
            <w:tcW w:w="738" w:type="dxa"/>
            <w:vAlign w:val="center"/>
          </w:tcPr>
          <w:p w:rsidR="008E15D3" w:rsidRDefault="008E15D3" w:rsidP="00F64118">
            <w:pPr>
              <w:spacing w:line="480" w:lineRule="auto"/>
              <w:jc w:val="right"/>
              <w:rPr>
                <w:rFonts w:asciiTheme="majorBidi" w:hAnsiTheme="majorBidi" w:cstheme="majorBidi"/>
                <w:sz w:val="24"/>
                <w:szCs w:val="24"/>
              </w:rPr>
            </w:pPr>
            <w:r>
              <w:rPr>
                <w:rFonts w:asciiTheme="majorBidi" w:hAnsiTheme="majorBidi" w:cstheme="majorBidi"/>
                <w:sz w:val="24"/>
                <w:szCs w:val="24"/>
              </w:rPr>
              <w:t>19</w:t>
            </w:r>
          </w:p>
        </w:tc>
      </w:tr>
      <w:tr w:rsidR="008E15D3" w:rsidRPr="00F559EF" w:rsidTr="00F64118">
        <w:tc>
          <w:tcPr>
            <w:tcW w:w="8118" w:type="dxa"/>
            <w:vAlign w:val="center"/>
          </w:tcPr>
          <w:p w:rsidR="008E15D3" w:rsidRPr="00F559EF" w:rsidRDefault="008E15D3" w:rsidP="00F64118">
            <w:pPr>
              <w:spacing w:line="480" w:lineRule="auto"/>
              <w:rPr>
                <w:rFonts w:asciiTheme="majorBidi" w:hAnsiTheme="majorBidi" w:cstheme="majorBidi"/>
                <w:sz w:val="24"/>
                <w:szCs w:val="24"/>
              </w:rPr>
            </w:pPr>
          </w:p>
        </w:tc>
        <w:tc>
          <w:tcPr>
            <w:tcW w:w="738" w:type="dxa"/>
            <w:vAlign w:val="center"/>
          </w:tcPr>
          <w:p w:rsidR="008E15D3" w:rsidRPr="00F559EF" w:rsidRDefault="008E15D3" w:rsidP="00F64118">
            <w:pPr>
              <w:spacing w:line="480" w:lineRule="auto"/>
              <w:jc w:val="right"/>
              <w:rPr>
                <w:rFonts w:asciiTheme="majorBidi" w:hAnsiTheme="majorBidi" w:cstheme="majorBidi"/>
                <w:sz w:val="24"/>
                <w:szCs w:val="24"/>
              </w:rPr>
            </w:pPr>
          </w:p>
        </w:tc>
      </w:tr>
      <w:tr w:rsidR="008E15D3" w:rsidRPr="00F559EF" w:rsidTr="00F64118">
        <w:tc>
          <w:tcPr>
            <w:tcW w:w="8118" w:type="dxa"/>
            <w:vAlign w:val="center"/>
          </w:tcPr>
          <w:p w:rsidR="008E15D3" w:rsidRPr="00F559EF" w:rsidRDefault="008E15D3" w:rsidP="00F64118">
            <w:pPr>
              <w:spacing w:line="480" w:lineRule="auto"/>
              <w:rPr>
                <w:rFonts w:asciiTheme="majorBidi" w:hAnsiTheme="majorBidi" w:cstheme="majorBidi"/>
                <w:sz w:val="24"/>
                <w:szCs w:val="24"/>
              </w:rPr>
            </w:pPr>
          </w:p>
        </w:tc>
        <w:tc>
          <w:tcPr>
            <w:tcW w:w="738" w:type="dxa"/>
            <w:vAlign w:val="center"/>
          </w:tcPr>
          <w:p w:rsidR="008E15D3" w:rsidRPr="00F559EF" w:rsidRDefault="008E15D3" w:rsidP="00F64118">
            <w:pPr>
              <w:spacing w:line="480" w:lineRule="auto"/>
              <w:jc w:val="right"/>
              <w:rPr>
                <w:rFonts w:asciiTheme="majorBidi" w:hAnsiTheme="majorBidi" w:cstheme="majorBidi"/>
                <w:sz w:val="24"/>
                <w:szCs w:val="24"/>
              </w:rPr>
            </w:pPr>
          </w:p>
        </w:tc>
      </w:tr>
      <w:tr w:rsidR="008E15D3" w:rsidRPr="00F559EF" w:rsidTr="00F64118">
        <w:tc>
          <w:tcPr>
            <w:tcW w:w="8118" w:type="dxa"/>
            <w:vAlign w:val="center"/>
          </w:tcPr>
          <w:p w:rsidR="008E15D3" w:rsidRPr="00F559EF" w:rsidRDefault="008E15D3" w:rsidP="00F64118">
            <w:pPr>
              <w:spacing w:line="480" w:lineRule="auto"/>
              <w:rPr>
                <w:rFonts w:asciiTheme="majorBidi" w:hAnsiTheme="majorBidi" w:cstheme="majorBidi"/>
                <w:sz w:val="24"/>
                <w:szCs w:val="24"/>
              </w:rPr>
            </w:pPr>
          </w:p>
        </w:tc>
        <w:tc>
          <w:tcPr>
            <w:tcW w:w="738" w:type="dxa"/>
            <w:vAlign w:val="center"/>
          </w:tcPr>
          <w:p w:rsidR="008E15D3" w:rsidRPr="00F559EF" w:rsidRDefault="008E15D3" w:rsidP="00F64118">
            <w:pPr>
              <w:spacing w:line="480" w:lineRule="auto"/>
              <w:jc w:val="right"/>
              <w:rPr>
                <w:rFonts w:asciiTheme="majorBidi" w:hAnsiTheme="majorBidi" w:cstheme="majorBidi"/>
                <w:sz w:val="24"/>
                <w:szCs w:val="24"/>
              </w:rPr>
            </w:pPr>
          </w:p>
        </w:tc>
      </w:tr>
    </w:tbl>
    <w:p w:rsidR="00F559EF" w:rsidRPr="00F559EF" w:rsidRDefault="00F559EF">
      <w:pPr>
        <w:spacing w:line="480" w:lineRule="auto"/>
        <w:jc w:val="cente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EF15B4" w:rsidRPr="00F559EF" w:rsidRDefault="00EF15B4">
      <w:pPr>
        <w:rPr>
          <w:rFonts w:asciiTheme="majorBidi" w:eastAsia="Times New Roman" w:hAnsiTheme="majorBidi" w:cstheme="majorBidi"/>
          <w:sz w:val="24"/>
          <w:szCs w:val="24"/>
        </w:rPr>
      </w:pPr>
    </w:p>
    <w:p w:rsidR="00EF15B4" w:rsidRPr="00F559EF" w:rsidRDefault="00EF15B4">
      <w:pPr>
        <w:rPr>
          <w:rFonts w:asciiTheme="majorBidi" w:eastAsia="Times New Roman" w:hAnsiTheme="majorBidi" w:cstheme="majorBidi"/>
          <w:sz w:val="24"/>
          <w:szCs w:val="24"/>
        </w:rPr>
      </w:pPr>
    </w:p>
    <w:p w:rsidR="00EF15B4" w:rsidRPr="00F559EF" w:rsidRDefault="00EF15B4">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rPr>
          <w:rFonts w:asciiTheme="majorBidi" w:eastAsia="Times New Roman" w:hAnsiTheme="majorBidi" w:cstheme="majorBidi"/>
          <w:sz w:val="24"/>
          <w:szCs w:val="24"/>
        </w:rPr>
      </w:pPr>
    </w:p>
    <w:p w:rsidR="008177D9" w:rsidRPr="00F559EF" w:rsidRDefault="008177D9">
      <w:pPr>
        <w:spacing w:line="480" w:lineRule="auto"/>
        <w:rPr>
          <w:rFonts w:asciiTheme="majorBidi" w:eastAsia="Times New Roman" w:hAnsiTheme="majorBidi" w:cstheme="majorBidi"/>
          <w:sz w:val="24"/>
          <w:szCs w:val="24"/>
        </w:rPr>
      </w:pPr>
    </w:p>
    <w:p w:rsidR="008177D9" w:rsidRPr="00F559EF" w:rsidRDefault="008177D9">
      <w:pPr>
        <w:spacing w:line="480" w:lineRule="auto"/>
        <w:rPr>
          <w:rFonts w:asciiTheme="majorBidi" w:eastAsia="Times New Roman" w:hAnsiTheme="majorBidi" w:cstheme="majorBidi"/>
          <w:sz w:val="24"/>
          <w:szCs w:val="24"/>
        </w:rPr>
      </w:pPr>
    </w:p>
    <w:tbl>
      <w:tblPr>
        <w:tblStyle w:val="a0"/>
        <w:bidiVisual/>
        <w:tblW w:w="8760" w:type="dxa"/>
        <w:tblInd w:w="-300" w:type="dxa"/>
        <w:tblBorders>
          <w:top w:val="nil"/>
          <w:left w:val="nil"/>
          <w:bottom w:val="nil"/>
          <w:right w:val="nil"/>
          <w:insideH w:val="nil"/>
          <w:insideV w:val="nil"/>
        </w:tblBorders>
        <w:tblLayout w:type="fixed"/>
        <w:tblLook w:val="0600" w:firstRow="0" w:lastRow="0" w:firstColumn="0" w:lastColumn="0" w:noHBand="1" w:noVBand="1"/>
      </w:tblPr>
      <w:tblGrid>
        <w:gridCol w:w="7845"/>
        <w:gridCol w:w="915"/>
      </w:tblGrid>
      <w:tr w:rsidR="008177D9" w:rsidRPr="00F559EF">
        <w:tc>
          <w:tcPr>
            <w:tcW w:w="7845" w:type="dxa"/>
            <w:tcMar>
              <w:top w:w="100" w:type="dxa"/>
              <w:left w:w="100" w:type="dxa"/>
              <w:bottom w:w="100" w:type="dxa"/>
              <w:right w:w="100" w:type="dxa"/>
            </w:tcMar>
          </w:tcPr>
          <w:p w:rsidR="008177D9" w:rsidRPr="00F559EF" w:rsidRDefault="008177D9" w:rsidP="00F559EF">
            <w:pPr>
              <w:rPr>
                <w:rFonts w:asciiTheme="majorBidi" w:eastAsia="Times New Roman" w:hAnsiTheme="majorBidi" w:cstheme="majorBidi"/>
                <w:sz w:val="24"/>
                <w:szCs w:val="24"/>
              </w:rPr>
            </w:pPr>
          </w:p>
        </w:tc>
        <w:tc>
          <w:tcPr>
            <w:tcW w:w="915" w:type="dxa"/>
            <w:tcMar>
              <w:top w:w="100" w:type="dxa"/>
              <w:left w:w="100" w:type="dxa"/>
              <w:bottom w:w="100" w:type="dxa"/>
              <w:right w:w="100" w:type="dxa"/>
            </w:tcMar>
          </w:tcPr>
          <w:p w:rsidR="008177D9" w:rsidRPr="00F559EF" w:rsidRDefault="008177D9">
            <w:pPr>
              <w:spacing w:line="480" w:lineRule="auto"/>
              <w:ind w:left="100"/>
              <w:contextualSpacing w:val="0"/>
              <w:jc w:val="right"/>
              <w:rPr>
                <w:rFonts w:asciiTheme="majorBidi" w:eastAsia="Times New Roman" w:hAnsiTheme="majorBidi" w:cstheme="majorBidi"/>
                <w:sz w:val="24"/>
                <w:szCs w:val="24"/>
              </w:rPr>
            </w:pPr>
          </w:p>
        </w:tc>
      </w:tr>
    </w:tbl>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EF15B4" w:rsidRDefault="00EF15B4">
      <w:pPr>
        <w:spacing w:line="480" w:lineRule="auto"/>
        <w:rPr>
          <w:rFonts w:ascii="Times New Roman" w:eastAsia="Times New Roman" w:hAnsi="Times New Roman" w:cs="Times New Roman"/>
          <w:sz w:val="24"/>
          <w:szCs w:val="24"/>
        </w:rPr>
      </w:pPr>
    </w:p>
    <w:p w:rsidR="00EF15B4" w:rsidRDefault="00EF15B4">
      <w:pPr>
        <w:spacing w:line="480" w:lineRule="auto"/>
        <w:rPr>
          <w:rFonts w:ascii="Times New Roman" w:eastAsia="Times New Roman" w:hAnsi="Times New Roman" w:cs="Times New Roman"/>
          <w:sz w:val="24"/>
          <w:szCs w:val="24"/>
        </w:rPr>
      </w:pPr>
    </w:p>
    <w:p w:rsidR="00EF15B4" w:rsidRDefault="00EF15B4">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EF15B4" w:rsidRDefault="00EF15B4">
      <w:pPr>
        <w:spacing w:line="480" w:lineRule="auto"/>
        <w:rPr>
          <w:rFonts w:ascii="Times New Roman" w:eastAsia="Times New Roman" w:hAnsi="Times New Roman" w:cs="Times New Roman"/>
          <w:sz w:val="24"/>
          <w:szCs w:val="24"/>
        </w:rPr>
        <w:sectPr w:rsidR="00EF15B4">
          <w:pgSz w:w="12240" w:h="15840"/>
          <w:pgMar w:top="1440" w:right="1440" w:bottom="1440" w:left="1440" w:header="0" w:footer="720" w:gutter="0"/>
          <w:pgNumType w:start="1"/>
          <w:cols w:space="720"/>
        </w:sectPr>
      </w:pP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rsidR="008177D9" w:rsidRDefault="0031785B" w:rsidP="00B62555">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study was to determine whether the use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with Targeted Title One students in grades 1 and 2 is effective in increasing students’ reading levels. The study used a quasi-experimental design. The population was chosen using convenience sampling and the instrument utilized for both assessments was 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system. The results of the study showed that there was not a significant difference in achievement of increased reading levels between Targeted Title One students who participated in the intervention and students who were reading below grade level bu</w:t>
      </w:r>
      <w:r w:rsidR="00B62555">
        <w:rPr>
          <w:rFonts w:ascii="Times New Roman" w:eastAsia="Times New Roman" w:hAnsi="Times New Roman" w:cs="Times New Roman"/>
          <w:sz w:val="24"/>
          <w:szCs w:val="24"/>
        </w:rPr>
        <w:t>t who did not participate in Leveled Literacy Intervention</w:t>
      </w:r>
      <w:r>
        <w:rPr>
          <w:rFonts w:ascii="Times New Roman" w:eastAsia="Times New Roman" w:hAnsi="Times New Roman" w:cs="Times New Roman"/>
          <w:sz w:val="24"/>
          <w:szCs w:val="24"/>
        </w:rPr>
        <w:t xml:space="preserve">. Significant threats to validity are discussed as well as implications for future research. </w:t>
      </w: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EF15B4" w:rsidRDefault="00EF15B4" w:rsidP="00EF15B4">
      <w:pPr>
        <w:spacing w:line="480" w:lineRule="auto"/>
        <w:jc w:val="center"/>
        <w:rPr>
          <w:rFonts w:ascii="Times New Roman" w:eastAsia="Times New Roman" w:hAnsi="Times New Roman" w:cs="Times New Roman"/>
          <w:sz w:val="24"/>
          <w:szCs w:val="24"/>
        </w:rPr>
      </w:pPr>
    </w:p>
    <w:p w:rsidR="008177D9" w:rsidRDefault="0031785B" w:rsidP="00EF15B4">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F15B4" w:rsidRDefault="00EF15B4">
      <w:pPr>
        <w:spacing w:line="480" w:lineRule="auto"/>
        <w:rPr>
          <w:rFonts w:ascii="Times New Roman" w:eastAsia="Times New Roman" w:hAnsi="Times New Roman" w:cs="Times New Roman"/>
          <w:sz w:val="24"/>
          <w:szCs w:val="24"/>
        </w:rPr>
        <w:sectPr w:rsidR="00EF15B4" w:rsidSect="00EF15B4">
          <w:footerReference w:type="default" r:id="rId8"/>
          <w:pgSz w:w="12240" w:h="15840"/>
          <w:pgMar w:top="1440" w:right="1440" w:bottom="1440" w:left="1440" w:header="0" w:footer="720" w:gutter="0"/>
          <w:cols w:space="720"/>
        </w:sectPr>
      </w:pPr>
    </w:p>
    <w:p w:rsidR="008177D9" w:rsidRDefault="0031785B" w:rsidP="00EF15B4">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I</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problem investigated in this study was whether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is effective at improving the reading levels of students in grades 1 and 2 who are identified as Targeted Title One students. The study was conducted in a Targeted Title One elementary school serving students in Pre-K through Grade 5 in Glen Burnie, Maryland, a suburb located south of Baltimore City, in the public school district of Anne Arundel County. </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investigator, who was a Student Instructional Support Teacher in the identified elementary school, taught the Leveled Literacy Intervention to students in grades 1 and 2. There was one other teacher in the same role who also taught the same intervention to students in the same grade levels.</w:t>
      </w:r>
    </w:p>
    <w:p w:rsidR="008177D9" w:rsidRDefault="0031785B" w:rsidP="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Educators and researchers increasingly acknowledge the importance of ensuring that students become fluent readers by the completion of primary grades. Research suggests that children with poor early reading skills continue to struggle with reading and writing in the later grades, and are more likely to drop ou</w:t>
      </w:r>
      <w:r w:rsidR="00B62555">
        <w:rPr>
          <w:rFonts w:ascii="Times New Roman" w:eastAsia="Times New Roman" w:hAnsi="Times New Roman" w:cs="Times New Roman"/>
          <w:sz w:val="24"/>
          <w:szCs w:val="24"/>
        </w:rPr>
        <w:t>t of school (</w:t>
      </w:r>
      <w:proofErr w:type="spellStart"/>
      <w:r w:rsidR="00B62555">
        <w:rPr>
          <w:rFonts w:ascii="Times New Roman" w:eastAsia="Times New Roman" w:hAnsi="Times New Roman" w:cs="Times New Roman"/>
          <w:sz w:val="24"/>
          <w:szCs w:val="24"/>
        </w:rPr>
        <w:t>Ransford-Kaldon</w:t>
      </w:r>
      <w:proofErr w:type="spellEnd"/>
      <w:proofErr w:type="gramStart"/>
      <w:r w:rsidR="00B62555">
        <w:rPr>
          <w:rFonts w:ascii="Times New Roman" w:eastAsia="Times New Roman" w:hAnsi="Times New Roman" w:cs="Times New Roman"/>
          <w:sz w:val="24"/>
          <w:szCs w:val="24"/>
        </w:rPr>
        <w:t>,,</w:t>
      </w:r>
      <w:proofErr w:type="gramEnd"/>
      <w:r w:rsidR="00B62555">
        <w:rPr>
          <w:rFonts w:ascii="Times New Roman" w:eastAsia="Times New Roman" w:hAnsi="Times New Roman" w:cs="Times New Roman"/>
          <w:sz w:val="24"/>
          <w:szCs w:val="24"/>
        </w:rPr>
        <w:t xml:space="preserve"> Flynt, Ross, </w:t>
      </w:r>
      <w:proofErr w:type="spellStart"/>
      <w:r w:rsidR="00B62555">
        <w:rPr>
          <w:rFonts w:ascii="Times New Roman" w:eastAsia="Times New Roman" w:hAnsi="Times New Roman" w:cs="Times New Roman"/>
          <w:sz w:val="24"/>
          <w:szCs w:val="24"/>
        </w:rPr>
        <w:t>Franceschini</w:t>
      </w:r>
      <w:proofErr w:type="spellEnd"/>
      <w:r w:rsidR="00B62555">
        <w:rPr>
          <w:rFonts w:ascii="Times New Roman" w:eastAsia="Times New Roman" w:hAnsi="Times New Roman" w:cs="Times New Roman"/>
          <w:sz w:val="24"/>
          <w:szCs w:val="24"/>
        </w:rPr>
        <w:t xml:space="preserve">, </w:t>
      </w:r>
      <w:proofErr w:type="spellStart"/>
      <w:r w:rsidR="00B62555">
        <w:rPr>
          <w:rFonts w:ascii="Times New Roman" w:eastAsia="Times New Roman" w:hAnsi="Times New Roman" w:cs="Times New Roman"/>
          <w:sz w:val="24"/>
          <w:szCs w:val="24"/>
        </w:rPr>
        <w:t>Zoblotsky</w:t>
      </w:r>
      <w:proofErr w:type="spellEnd"/>
      <w:r w:rsidR="00B62555">
        <w:rPr>
          <w:rFonts w:ascii="Times New Roman" w:eastAsia="Times New Roman" w:hAnsi="Times New Roman" w:cs="Times New Roman"/>
          <w:sz w:val="24"/>
          <w:szCs w:val="24"/>
        </w:rPr>
        <w:t>, Huang</w:t>
      </w:r>
      <w:r>
        <w:rPr>
          <w:rFonts w:ascii="Times New Roman" w:eastAsia="Times New Roman" w:hAnsi="Times New Roman" w:cs="Times New Roman"/>
          <w:sz w:val="24"/>
          <w:szCs w:val="24"/>
        </w:rPr>
        <w:t>, 2010). Educators recognize that students who are disadvantaged for a multitude of reasons are often not achieving the same academic results as their more advantaged peers, a te</w:t>
      </w:r>
      <w:r w:rsidR="00B62555">
        <w:rPr>
          <w:rFonts w:ascii="Times New Roman" w:eastAsia="Times New Roman" w:hAnsi="Times New Roman" w:cs="Times New Roman"/>
          <w:sz w:val="24"/>
          <w:szCs w:val="24"/>
        </w:rPr>
        <w:t>rm colloquially referred to as the achievement gap</w:t>
      </w:r>
      <w:r>
        <w:rPr>
          <w:rFonts w:ascii="Times New Roman" w:eastAsia="Times New Roman" w:hAnsi="Times New Roman" w:cs="Times New Roman"/>
          <w:sz w:val="24"/>
          <w:szCs w:val="24"/>
        </w:rPr>
        <w:t>.  Research supports this assertion, with a growing number of literacy researchers and educators expressing concern that effective programs have not always been comparably successful for all at-risk readers, especially for those children who come from ethnically diverse and economically disadvantaged backgrounds (</w:t>
      </w:r>
      <w:proofErr w:type="spellStart"/>
      <w:r>
        <w:rPr>
          <w:rFonts w:ascii="Times New Roman" w:eastAsia="Times New Roman" w:hAnsi="Times New Roman" w:cs="Times New Roman"/>
          <w:sz w:val="24"/>
          <w:szCs w:val="24"/>
        </w:rPr>
        <w:t>Mokhtari</w:t>
      </w:r>
      <w:proofErr w:type="spellEnd"/>
      <w:r>
        <w:rPr>
          <w:rFonts w:ascii="Times New Roman" w:eastAsia="Times New Roman" w:hAnsi="Times New Roman" w:cs="Times New Roman"/>
          <w:sz w:val="24"/>
          <w:szCs w:val="24"/>
        </w:rPr>
        <w:t>, K., Neel, J. L., Kaiser, F., &amp; Le, H., 2015).</w:t>
      </w:r>
    </w:p>
    <w:p w:rsidR="00085C9A" w:rsidRDefault="00085C9A" w:rsidP="00085C9A">
      <w:pPr>
        <w:spacing w:line="480" w:lineRule="auto"/>
        <w:rPr>
          <w:rFonts w:ascii="Times New Roman" w:eastAsia="Times New Roman" w:hAnsi="Times New Roman" w:cs="Times New Roman"/>
          <w:sz w:val="24"/>
          <w:szCs w:val="24"/>
        </w:rPr>
      </w:pP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Statement of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Problem</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purpose of the study was to determine the effects of using the Leveled Literacy Intervention to improve reading levels of those students who are identified as a) Targeted Title One students and b) students who are reading at least one level below grade level as determined by using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data.</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Hypothesis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The null hypothesis for this study was that there would be no significant difference in the reading achievements of Targeted Title One students in the Leveled Literacy Intervention, as compared to students in the same grades who are reading below grade level and not identified as Targeted Title One students.</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Operational Definitions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The independent variable was the implementation of Leveled Literacy Intervention and the dependent variable was students’ growth on the F&amp;P benchmark assessment from fall to winter.</w:t>
      </w:r>
    </w:p>
    <w:p w:rsidR="008177D9" w:rsidRDefault="008177D9">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Implementation of LLI</w:t>
      </w:r>
    </w:p>
    <w:p w:rsidR="008177D9" w:rsidRDefault="0031785B" w:rsidP="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operational definition of the grouping variable was the execution of Leveled Literacy Intervention, with fidelity, between the end of Anne Arundel County’s beginning-of-year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assessment window in October, and the beginning of the middle-of-year assessment window in February.</w:t>
      </w:r>
    </w:p>
    <w:p w:rsidR="008177D9" w:rsidRDefault="0031785B">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Fidelity</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Fidelity of the execution of the Leveled Literacy Intervention is the administration of the intervention on a daily basis for thirty minutes with no more than three students per group.</w:t>
      </w:r>
    </w:p>
    <w:p w:rsidR="008177D9" w:rsidRDefault="0031785B">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Achievement of Reading Goals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operational definition of the achievement of reading goals is defined as students meeting or exceeding the grade level goal for the time of year that the middle-of-year assessment is administered. (</w:t>
      </w:r>
      <w:proofErr w:type="spellStart"/>
      <w:proofErr w:type="gramStart"/>
      <w:r>
        <w:rPr>
          <w:rFonts w:ascii="Times New Roman" w:eastAsia="Times New Roman" w:hAnsi="Times New Roman" w:cs="Times New Roman"/>
          <w:sz w:val="24"/>
          <w:szCs w:val="24"/>
        </w:rPr>
        <w:t>eg</w:t>
      </w:r>
      <w:proofErr w:type="spellEnd"/>
      <w:proofErr w:type="gramEnd"/>
      <w:r>
        <w:rPr>
          <w:rFonts w:ascii="Times New Roman" w:eastAsia="Times New Roman" w:hAnsi="Times New Roman" w:cs="Times New Roman"/>
          <w:sz w:val="24"/>
          <w:szCs w:val="24"/>
        </w:rPr>
        <w:t>, a level G in the third marking period of Grade 1).</w:t>
      </w:r>
    </w:p>
    <w:p w:rsidR="008177D9" w:rsidRDefault="0031785B">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Targeted Title One Students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Students who are Targeted Title One students are those who are identified as part of the 20% of students in a Targeted Title One school. The methodology for identifying those students is a rating system based on performance assessments and other factors including Free and Reduced Meals (FARMS) status, previous retention, previous participation in interventions (including Pre-K), and qualifications for speech and other special education services.</w:t>
      </w: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rsidP="00085C9A">
      <w:pPr>
        <w:spacing w:line="480" w:lineRule="auto"/>
        <w:rPr>
          <w:rFonts w:ascii="Times New Roman" w:eastAsia="Times New Roman" w:hAnsi="Times New Roman" w:cs="Times New Roman"/>
          <w:sz w:val="24"/>
          <w:szCs w:val="24"/>
        </w:rPr>
      </w:pPr>
    </w:p>
    <w:p w:rsidR="00085C9A" w:rsidRDefault="00085C9A" w:rsidP="00085C9A">
      <w:pPr>
        <w:spacing w:line="480" w:lineRule="auto"/>
        <w:rPr>
          <w:rFonts w:ascii="Times New Roman" w:eastAsia="Times New Roman" w:hAnsi="Times New Roman" w:cs="Times New Roman"/>
          <w:b/>
          <w:sz w:val="24"/>
          <w:szCs w:val="24"/>
        </w:rPr>
      </w:pPr>
    </w:p>
    <w:p w:rsidR="00085C9A" w:rsidRDefault="00085C9A" w:rsidP="00085C9A">
      <w:pPr>
        <w:spacing w:line="480" w:lineRule="auto"/>
        <w:rPr>
          <w:rFonts w:ascii="Times New Roman" w:eastAsia="Times New Roman" w:hAnsi="Times New Roman" w:cs="Times New Roman"/>
          <w:b/>
          <w:sz w:val="24"/>
          <w:szCs w:val="24"/>
        </w:rPr>
      </w:pPr>
    </w:p>
    <w:p w:rsidR="00085C9A" w:rsidRDefault="00085C9A" w:rsidP="00085C9A">
      <w:pPr>
        <w:spacing w:line="480" w:lineRule="auto"/>
        <w:rPr>
          <w:rFonts w:ascii="Times New Roman" w:eastAsia="Times New Roman" w:hAnsi="Times New Roman" w:cs="Times New Roman"/>
          <w:b/>
          <w:sz w:val="24"/>
          <w:szCs w:val="24"/>
        </w:rPr>
      </w:pPr>
    </w:p>
    <w:p w:rsidR="00085C9A" w:rsidRDefault="00085C9A" w:rsidP="00085C9A">
      <w:pPr>
        <w:spacing w:line="480" w:lineRule="auto"/>
        <w:rPr>
          <w:rFonts w:ascii="Times New Roman" w:eastAsia="Times New Roman" w:hAnsi="Times New Roman" w:cs="Times New Roman"/>
          <w:b/>
          <w:sz w:val="24"/>
          <w:szCs w:val="24"/>
        </w:rPr>
      </w:pPr>
    </w:p>
    <w:p w:rsidR="00085C9A" w:rsidRDefault="00085C9A" w:rsidP="00085C9A">
      <w:pPr>
        <w:spacing w:line="480" w:lineRule="auto"/>
        <w:rPr>
          <w:rFonts w:ascii="Times New Roman" w:eastAsia="Times New Roman" w:hAnsi="Times New Roman" w:cs="Times New Roman"/>
          <w:b/>
          <w:sz w:val="24"/>
          <w:szCs w:val="24"/>
        </w:rPr>
      </w:pPr>
    </w:p>
    <w:p w:rsidR="00085C9A" w:rsidRDefault="00085C9A" w:rsidP="00085C9A">
      <w:pPr>
        <w:spacing w:line="480" w:lineRule="auto"/>
        <w:rPr>
          <w:rFonts w:ascii="Times New Roman" w:eastAsia="Times New Roman" w:hAnsi="Times New Roman" w:cs="Times New Roman"/>
          <w:b/>
          <w:sz w:val="24"/>
          <w:szCs w:val="24"/>
        </w:rPr>
      </w:pPr>
    </w:p>
    <w:p w:rsidR="00085C9A" w:rsidRDefault="00085C9A" w:rsidP="00085C9A">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II</w:t>
      </w:r>
    </w:p>
    <w:p w:rsidR="008177D9" w:rsidRDefault="0031785B">
      <w:pPr>
        <w:spacing w:line="480" w:lineRule="auto"/>
        <w:jc w:val="center"/>
        <w:rPr>
          <w:smallCaps/>
        </w:rPr>
      </w:pPr>
      <w:r>
        <w:rPr>
          <w:rFonts w:ascii="Times New Roman" w:eastAsia="Times New Roman" w:hAnsi="Times New Roman" w:cs="Times New Roman"/>
          <w:b/>
          <w:sz w:val="24"/>
          <w:szCs w:val="24"/>
        </w:rPr>
        <w:t>REVIEW OF THE LITERATURE</w:t>
      </w:r>
    </w:p>
    <w:p w:rsidR="008177D9" w:rsidRPr="00085C9A"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literature review discusses reading intervention in primary grades, with a concentration on the use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as well as exploring the effects of poverty on reading achievement. The first section defines reading intervention and supports its purpose and importance with data. Section two focuses on the effects of poverty on academic achievement, specifically in relation to reading. In section three the perspective of researchers on what constitutes quality reading instruction and the characteristics of effective intervention programs are discussed. Section four explains LLI and its specific purpose, outlining the goals and components of the intervention and ways in which it is intended to be implemented with fidelity. </w:t>
      </w:r>
      <w:r>
        <w:rPr>
          <w:rFonts w:ascii="Times New Roman" w:eastAsia="Times New Roman" w:hAnsi="Times New Roman" w:cs="Times New Roman"/>
          <w:sz w:val="24"/>
          <w:szCs w:val="24"/>
          <w:highlight w:val="white"/>
        </w:rPr>
        <w:t>Section five presents information from the body of research that is already available regarding efficacy of LLI in previous studies. This information is helpful in order to understand prior work completed to test the program’s effectiveness.</w:t>
      </w:r>
      <w:r>
        <w:rPr>
          <w:rFonts w:ascii="Times New Roman" w:eastAsia="Times New Roman" w:hAnsi="Times New Roman" w:cs="Times New Roman"/>
          <w:sz w:val="24"/>
          <w:szCs w:val="24"/>
        </w:rPr>
        <w:t xml:space="preserve"> </w:t>
      </w:r>
    </w:p>
    <w:p w:rsidR="008177D9" w:rsidRDefault="0031785B">
      <w:pPr>
        <w:spacing w:line="240" w:lineRule="auto"/>
        <w:jc w:val="center"/>
      </w:pPr>
      <w:r>
        <w:rPr>
          <w:rFonts w:ascii="Times New Roman" w:eastAsia="Times New Roman" w:hAnsi="Times New Roman" w:cs="Times New Roman"/>
          <w:b/>
          <w:sz w:val="24"/>
          <w:szCs w:val="24"/>
        </w:rPr>
        <w:t xml:space="preserve">Definition of Reading Intervention, Its Purpose, </w:t>
      </w:r>
      <w:proofErr w:type="gramStart"/>
      <w:r>
        <w:rPr>
          <w:rFonts w:ascii="Times New Roman" w:eastAsia="Times New Roman" w:hAnsi="Times New Roman" w:cs="Times New Roman"/>
          <w:b/>
          <w:sz w:val="24"/>
          <w:szCs w:val="24"/>
        </w:rPr>
        <w:t>And</w:t>
      </w:r>
      <w:proofErr w:type="gramEnd"/>
      <w:r>
        <w:rPr>
          <w:rFonts w:ascii="Times New Roman" w:eastAsia="Times New Roman" w:hAnsi="Times New Roman" w:cs="Times New Roman"/>
          <w:b/>
          <w:sz w:val="24"/>
          <w:szCs w:val="24"/>
        </w:rPr>
        <w:t xml:space="preserve"> Its Importance</w:t>
      </w:r>
    </w:p>
    <w:p w:rsidR="008177D9" w:rsidRDefault="008177D9">
      <w:pPr>
        <w:spacing w:line="240" w:lineRule="auto"/>
        <w:jc w:val="center"/>
      </w:pPr>
    </w:p>
    <w:p w:rsidR="008177D9" w:rsidRDefault="0031785B">
      <w:pPr>
        <w:spacing w:line="480" w:lineRule="auto"/>
        <w:ind w:firstLine="720"/>
      </w:pPr>
      <w:r>
        <w:rPr>
          <w:rFonts w:ascii="Times New Roman" w:eastAsia="Times New Roman" w:hAnsi="Times New Roman" w:cs="Times New Roman"/>
          <w:sz w:val="24"/>
          <w:szCs w:val="24"/>
        </w:rPr>
        <w:t>Providing early interventions for struggling readers is critical for their future academic success (Harrison, L., Peterman, R., Grehan, A., Ross, S., &amp; Dexter, E., 2008). Research suggests that children with poor early reading skills continue to struggle with reading and writing in the later grades and are more likely to drop out of school (</w:t>
      </w:r>
      <w:proofErr w:type="spellStart"/>
      <w:r>
        <w:rPr>
          <w:rFonts w:ascii="Times New Roman" w:eastAsia="Times New Roman" w:hAnsi="Times New Roman" w:cs="Times New Roman"/>
          <w:sz w:val="24"/>
          <w:szCs w:val="24"/>
          <w:highlight w:val="white"/>
        </w:rPr>
        <w:t>Ransford-Kaldon</w:t>
      </w:r>
      <w:proofErr w:type="spellEnd"/>
      <w:r>
        <w:rPr>
          <w:rFonts w:ascii="Times New Roman" w:eastAsia="Times New Roman" w:hAnsi="Times New Roman" w:cs="Times New Roman"/>
          <w:sz w:val="24"/>
          <w:szCs w:val="24"/>
          <w:highlight w:val="white"/>
        </w:rPr>
        <w:t xml:space="preserve">, et al., 2010). </w:t>
      </w:r>
      <w:r>
        <w:rPr>
          <w:rFonts w:ascii="Times New Roman" w:eastAsia="Times New Roman" w:hAnsi="Times New Roman" w:cs="Times New Roman"/>
          <w:sz w:val="24"/>
          <w:szCs w:val="24"/>
        </w:rPr>
        <w:t xml:space="preserve"> </w:t>
      </w:r>
    </w:p>
    <w:p w:rsidR="008177D9" w:rsidRPr="00085C9A"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Further, educators and researchers long recognized the importance of mastering reading by the end of third grade. (Hernandez, 2011). Students who fail to reach this critical milestone often falter in the later grades and drop out before earning a high school diploma. Now, researchers have confirmed this link in the first national study to calculate high school graduation rates for children at different reading skill levels and with different poverty rates. Results of a longitudinal study of nearly 4,000 students find that those who don’t read proficiently by third grade are four times more likely to leave school without a diploma than proficient readers (Hernandez, p. 3). However, there is some evidence that through quality early intervention programs, students’ beginning reading difficulties can be prevented from becoming long-term reading deficiencies (Harrison, et al., 2008). Literacy researchers and practitioners generally agree that it is possible to prevent reading problems for most children when they are provided with supplementary instructional support in the form of effective early and intensive literacy interventions (</w:t>
      </w:r>
      <w:proofErr w:type="spellStart"/>
      <w:r>
        <w:rPr>
          <w:rFonts w:ascii="Times New Roman" w:eastAsia="Times New Roman" w:hAnsi="Times New Roman" w:cs="Times New Roman"/>
          <w:sz w:val="24"/>
          <w:szCs w:val="24"/>
          <w:highlight w:val="white"/>
        </w:rPr>
        <w:t>Mokhtari</w:t>
      </w:r>
      <w:proofErr w:type="spellEnd"/>
      <w:r>
        <w:rPr>
          <w:rFonts w:ascii="Times New Roman" w:eastAsia="Times New Roman" w:hAnsi="Times New Roman" w:cs="Times New Roman"/>
          <w:sz w:val="24"/>
          <w:szCs w:val="24"/>
          <w:highlight w:val="white"/>
        </w:rPr>
        <w:t>, et al., 2015).</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this reason, the provision of effective early intervention for struggling readers is imperative to student success. In 2014, the </w:t>
      </w:r>
      <w:r>
        <w:rPr>
          <w:rFonts w:ascii="Times New Roman" w:eastAsia="Times New Roman" w:hAnsi="Times New Roman" w:cs="Times New Roman"/>
          <w:sz w:val="24"/>
          <w:szCs w:val="24"/>
          <w:highlight w:val="white"/>
        </w:rPr>
        <w:t>National Center for Special Education Research</w:t>
      </w:r>
      <w:r>
        <w:rPr>
          <w:rFonts w:ascii="Times New Roman" w:eastAsia="Times New Roman" w:hAnsi="Times New Roman" w:cs="Times New Roman"/>
          <w:color w:val="FF0000"/>
          <w:sz w:val="24"/>
          <w:szCs w:val="24"/>
          <w:highlight w:val="white"/>
        </w:rPr>
        <w:t xml:space="preserve"> </w:t>
      </w:r>
      <w:r>
        <w:rPr>
          <w:rFonts w:ascii="Times New Roman" w:eastAsia="Times New Roman" w:hAnsi="Times New Roman" w:cs="Times New Roman"/>
          <w:sz w:val="24"/>
          <w:szCs w:val="24"/>
          <w:highlight w:val="white"/>
        </w:rPr>
        <w:t xml:space="preserve">stated that </w:t>
      </w:r>
      <w:r>
        <w:rPr>
          <w:rFonts w:ascii="Times New Roman" w:eastAsia="Times New Roman" w:hAnsi="Times New Roman" w:cs="Times New Roman"/>
          <w:sz w:val="24"/>
          <w:szCs w:val="24"/>
        </w:rPr>
        <w:t xml:space="preserve">fluency interventions that focus on repeated reading of text, opportunities to practice reading in the classroom, and reading a range of texts can generally improve students’ fluency </w:t>
      </w:r>
      <w:r w:rsidR="00F64118">
        <w:rPr>
          <w:rFonts w:ascii="Times New Roman" w:eastAsia="Times New Roman" w:hAnsi="Times New Roman" w:cs="Times New Roman"/>
          <w:sz w:val="24"/>
          <w:szCs w:val="24"/>
        </w:rPr>
        <w:t>and comprehension (Alberto</w:t>
      </w:r>
      <w:r>
        <w:rPr>
          <w:rFonts w:ascii="Times New Roman" w:eastAsia="Times New Roman" w:hAnsi="Times New Roman" w:cs="Times New Roman"/>
          <w:sz w:val="24"/>
          <w:szCs w:val="24"/>
        </w:rPr>
        <w:t>, Con</w:t>
      </w:r>
      <w:r w:rsidR="00F64118">
        <w:rPr>
          <w:rFonts w:ascii="Times New Roman" w:eastAsia="Times New Roman" w:hAnsi="Times New Roman" w:cs="Times New Roman"/>
          <w:sz w:val="24"/>
          <w:szCs w:val="24"/>
        </w:rPr>
        <w:t>nor, Compton, O’Connor</w:t>
      </w:r>
      <w:r>
        <w:rPr>
          <w:rFonts w:ascii="Times New Roman" w:eastAsia="Times New Roman" w:hAnsi="Times New Roman" w:cs="Times New Roman"/>
          <w:sz w:val="24"/>
          <w:szCs w:val="24"/>
        </w:rPr>
        <w:t>, 2014). Further, language outcomes for many preschool children at risk for language disabilities can improve if they are provided extensive opportunities to hear and use complex oral language. Peer-assisted or cooperative learning is a promising method to increase the intensity of instruction for students and improve their reading outcomes. They added that interventions that are differentiated to target an individual student’s profile of component skills are effective in improving students’ reading development (Alberto, et al</w:t>
      </w:r>
      <w:r w:rsidR="00F64118">
        <w:rPr>
          <w:rFonts w:ascii="Times New Roman" w:eastAsia="Times New Roman" w:hAnsi="Times New Roman" w:cs="Times New Roman"/>
          <w:sz w:val="24"/>
          <w:szCs w:val="24"/>
        </w:rPr>
        <w:t>.</w:t>
      </w:r>
      <w:r>
        <w:rPr>
          <w:rFonts w:ascii="Times New Roman" w:eastAsia="Times New Roman" w:hAnsi="Times New Roman" w:cs="Times New Roman"/>
          <w:sz w:val="24"/>
          <w:szCs w:val="24"/>
        </w:rPr>
        <w:t>, p. 32)</w:t>
      </w:r>
    </w:p>
    <w:p w:rsidR="008177D9" w:rsidRPr="00085C9A" w:rsidRDefault="0031785B" w:rsidP="00085C9A">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The Effects of Poverty on Academic Achievement/Reading</w:t>
      </w:r>
    </w:p>
    <w:p w:rsidR="008177D9" w:rsidRDefault="008177D9">
      <w:pPr>
        <w:spacing w:line="240" w:lineRule="auto"/>
        <w:jc w:val="center"/>
      </w:pP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Cunningham (2006), poverty is the largest correlate of reading achievement. If it is known how many children in a U.S. school qualify for free or reduced-price lunch, a fairly accurate guess can be made about their test scores. Schools with large numbers of poor children seldom achieve </w:t>
      </w:r>
    </w:p>
    <w:p w:rsidR="008177D9" w:rsidRDefault="0031785B">
      <w:pPr>
        <w:spacing w:line="480" w:lineRule="auto"/>
      </w:pPr>
      <w:proofErr w:type="gramStart"/>
      <w:r>
        <w:rPr>
          <w:rFonts w:ascii="Times New Roman" w:eastAsia="Times New Roman" w:hAnsi="Times New Roman" w:cs="Times New Roman"/>
          <w:sz w:val="24"/>
          <w:szCs w:val="24"/>
        </w:rPr>
        <w:t>their</w:t>
      </w:r>
      <w:proofErr w:type="gramEnd"/>
      <w:r>
        <w:rPr>
          <w:rFonts w:ascii="Times New Roman" w:eastAsia="Times New Roman" w:hAnsi="Times New Roman" w:cs="Times New Roman"/>
          <w:sz w:val="24"/>
          <w:szCs w:val="24"/>
        </w:rPr>
        <w:t xml:space="preserve"> goals for end-of-grade literacy tests. </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Hernandez (2011) found that overall, 22% of children who lived in poverty do not graduate from high school, compared to 6 percent of those who have never been poor. This rises to 32% for students spending more than half of their childhood in poverty. For children who were poor for at least a year and were not reading proficiently in third grade, the proportion that doesn’t finish school rose to 26%. That’s more than six times the rate for all proficient readers. The rate was highest for poor Black and Hispanic students, at 31% and 33% respectively—or about eight times the rate for all proficient readers. Even among poor children who were proficient readers in third grade, 11% still didn’t finish high school. That compares to 9% of subpar third grade readers who have never been poor. Among children who never lived in poverty, all but 2% of the best third grade readers graduated from high </w:t>
      </w:r>
      <w:r w:rsidR="00F64118">
        <w:rPr>
          <w:rFonts w:ascii="Times New Roman" w:eastAsia="Times New Roman" w:hAnsi="Times New Roman" w:cs="Times New Roman"/>
          <w:sz w:val="24"/>
          <w:szCs w:val="24"/>
        </w:rPr>
        <w:t>school on time</w:t>
      </w:r>
      <w:r>
        <w:rPr>
          <w:rFonts w:ascii="Times New Roman" w:eastAsia="Times New Roman" w:hAnsi="Times New Roman" w:cs="Times New Roman"/>
          <w:sz w:val="24"/>
          <w:szCs w:val="24"/>
        </w:rPr>
        <w:t xml:space="preserve">. </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Using eligibility for the National School Lunch Program to classify children as living in low-income families, results of the NAEP</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show that nationwide 55% of fourth graders in moderate- and high-income families demonstrate reading skills below the proficient mark (Hernandez, 2011). This jumps to 83 percent for children in low-</w:t>
      </w:r>
      <w:r w:rsidR="00F64118">
        <w:rPr>
          <w:rFonts w:ascii="Times New Roman" w:eastAsia="Times New Roman" w:hAnsi="Times New Roman" w:cs="Times New Roman"/>
          <w:sz w:val="24"/>
          <w:szCs w:val="24"/>
        </w:rPr>
        <w:t>income families (Hernandez</w:t>
      </w:r>
      <w:r>
        <w:rPr>
          <w:rFonts w:ascii="Times New Roman" w:eastAsia="Times New Roman" w:hAnsi="Times New Roman" w:cs="Times New Roman"/>
          <w:sz w:val="24"/>
          <w:szCs w:val="24"/>
        </w:rPr>
        <w:t>).</w:t>
      </w:r>
    </w:p>
    <w:p w:rsidR="008177D9" w:rsidRPr="00085C9A"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Viewing these statistics, a strong potential correlation between poverty and school achievement is drawn. It is fair to suggest that Title 1, and Targeted Title 1, student populations would benefit greatly from effective reading intervention services. </w:t>
      </w:r>
    </w:p>
    <w:p w:rsidR="008177D9" w:rsidRDefault="0031785B">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Characteristics of Quality Reading Intervention</w:t>
      </w:r>
    </w:p>
    <w:p w:rsidR="008177D9" w:rsidRDefault="008177D9">
      <w:pPr>
        <w:spacing w:line="240" w:lineRule="auto"/>
        <w:jc w:val="center"/>
      </w:pPr>
    </w:p>
    <w:p w:rsidR="008177D9" w:rsidRPr="00085C9A"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 is not necessarily enough to just provide additional reading opportunities to students. Instead it is important to provide research-based quality reading intervention that focuses on the basic tenets of effective reading instruction.</w:t>
      </w:r>
    </w:p>
    <w:p w:rsidR="008177D9" w:rsidRDefault="0031785B">
      <w:pPr>
        <w:spacing w:line="480" w:lineRule="auto"/>
        <w:ind w:firstLine="720"/>
      </w:pPr>
      <w:proofErr w:type="spellStart"/>
      <w:r>
        <w:rPr>
          <w:rFonts w:ascii="Times New Roman" w:eastAsia="Times New Roman" w:hAnsi="Times New Roman" w:cs="Times New Roman"/>
          <w:sz w:val="24"/>
          <w:szCs w:val="24"/>
        </w:rPr>
        <w:t>Rasinski</w:t>
      </w:r>
      <w:proofErr w:type="spellEnd"/>
      <w:r>
        <w:rPr>
          <w:rFonts w:ascii="Times New Roman" w:eastAsia="Times New Roman" w:hAnsi="Times New Roman" w:cs="Times New Roman"/>
          <w:sz w:val="24"/>
          <w:szCs w:val="24"/>
        </w:rPr>
        <w:t xml:space="preserve"> (2016) asserts that in order for struggling readers to develop fluency, they need to be provided with opportunities to read connected text at their independent/instructional level, first under the direct guidance of a teacher, and then independently with the teacher monitoring at appropriate intervals. Additionally, in an IES-funded study, Simmons, et al., (2011) examined the impact of instruction that takes advantage of current understandings on best practice for literacy instruction in kindergarten and how these practices might affect reading development for students with and without behavior problems (Alberto, et al., 2014). The researchers defined these best practices as instruction that integrates phonemic awareness, the alphabetic principal [sic], and decoding, and is explicit, systematic, and code-based (Alberto, p. 31).</w:t>
      </w:r>
    </w:p>
    <w:p w:rsidR="008177D9" w:rsidRPr="00085C9A"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of an evaluation of Leveled Literacy Intervention by </w:t>
      </w:r>
      <w:r w:rsidR="00F64118">
        <w:rPr>
          <w:rFonts w:ascii="Times New Roman" w:eastAsia="Times New Roman" w:hAnsi="Times New Roman" w:cs="Times New Roman"/>
          <w:sz w:val="24"/>
          <w:szCs w:val="24"/>
          <w:highlight w:val="white"/>
        </w:rPr>
        <w:t>Harrison,</w:t>
      </w:r>
      <w:r>
        <w:rPr>
          <w:rFonts w:ascii="Times New Roman" w:eastAsia="Times New Roman" w:hAnsi="Times New Roman" w:cs="Times New Roman"/>
          <w:sz w:val="24"/>
          <w:szCs w:val="24"/>
          <w:highlight w:val="white"/>
        </w:rPr>
        <w:t xml:space="preserve"> et al.</w:t>
      </w:r>
      <w:r w:rsidR="00F64118">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 xml:space="preserve"> (2008)</w:t>
      </w:r>
      <w:r>
        <w:rPr>
          <w:rFonts w:ascii="Times New Roman" w:eastAsia="Times New Roman" w:hAnsi="Times New Roman" w:cs="Times New Roman"/>
          <w:sz w:val="24"/>
          <w:szCs w:val="24"/>
        </w:rPr>
        <w:t xml:space="preserve">, were aligned with the advice of the aforementioned researchers. The </w:t>
      </w:r>
      <w:proofErr w:type="gramStart"/>
      <w:r>
        <w:rPr>
          <w:rFonts w:ascii="Times New Roman" w:eastAsia="Times New Roman" w:hAnsi="Times New Roman" w:cs="Times New Roman"/>
          <w:sz w:val="24"/>
          <w:szCs w:val="24"/>
        </w:rPr>
        <w:t>evaluators</w:t>
      </w:r>
      <w:proofErr w:type="gramEnd"/>
      <w:r>
        <w:rPr>
          <w:rFonts w:ascii="Times New Roman" w:eastAsia="Times New Roman" w:hAnsi="Times New Roman" w:cs="Times New Roman"/>
          <w:sz w:val="24"/>
          <w:szCs w:val="24"/>
        </w:rPr>
        <w:t xml:space="preserve"> conclusions stated that literacy interventions should be linked to classroom instruction and the home environment in order to be effective.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meets that need by advising that children take books that are read in intervention groups home to read aloud to their parents, along with simple homework assignments, and allow students to also take books back t</w:t>
      </w:r>
      <w:r w:rsidR="00F64118">
        <w:rPr>
          <w:rFonts w:ascii="Times New Roman" w:eastAsia="Times New Roman" w:hAnsi="Times New Roman" w:cs="Times New Roman"/>
          <w:sz w:val="24"/>
          <w:szCs w:val="24"/>
        </w:rPr>
        <w:t>o the classroom</w:t>
      </w:r>
      <w:r>
        <w:rPr>
          <w:rFonts w:ascii="Times New Roman" w:eastAsia="Times New Roman" w:hAnsi="Times New Roman" w:cs="Times New Roman"/>
          <w:sz w:val="24"/>
          <w:szCs w:val="24"/>
        </w:rPr>
        <w:t>.</w:t>
      </w:r>
    </w:p>
    <w:p w:rsidR="008177D9" w:rsidRDefault="0031785B">
      <w:pPr>
        <w:spacing w:line="240" w:lineRule="auto"/>
        <w:jc w:val="center"/>
      </w:pPr>
      <w:r>
        <w:rPr>
          <w:rFonts w:ascii="Times New Roman" w:eastAsia="Times New Roman" w:hAnsi="Times New Roman" w:cs="Times New Roman"/>
          <w:b/>
          <w:sz w:val="24"/>
          <w:szCs w:val="24"/>
        </w:rPr>
        <w:t xml:space="preserve">Description of LLI </w:t>
      </w:r>
      <w:proofErr w:type="gramStart"/>
      <w:r>
        <w:rPr>
          <w:rFonts w:ascii="Times New Roman" w:eastAsia="Times New Roman" w:hAnsi="Times New Roman" w:cs="Times New Roman"/>
          <w:b/>
          <w:sz w:val="24"/>
          <w:szCs w:val="24"/>
        </w:rPr>
        <w:t>And</w:t>
      </w:r>
      <w:proofErr w:type="gramEnd"/>
      <w:r>
        <w:rPr>
          <w:rFonts w:ascii="Times New Roman" w:eastAsia="Times New Roman" w:hAnsi="Times New Roman" w:cs="Times New Roman"/>
          <w:b/>
          <w:sz w:val="24"/>
          <w:szCs w:val="24"/>
        </w:rPr>
        <w:t xml:space="preserve"> Its Purpose</w:t>
      </w:r>
    </w:p>
    <w:p w:rsidR="008177D9" w:rsidRDefault="008177D9">
      <w:pPr>
        <w:spacing w:line="240" w:lineRule="auto"/>
        <w:jc w:val="center"/>
      </w:pPr>
    </w:p>
    <w:p w:rsidR="008177D9" w:rsidRPr="00F64118" w:rsidRDefault="0031785B" w:rsidP="00F6411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LLI program is a short-term, intensive, small-group intervention designed for children in grades kindergarten through second grade who experience difficulty learning early reading and writing skills (</w:t>
      </w:r>
      <w:r>
        <w:rPr>
          <w:rFonts w:ascii="Times New Roman" w:eastAsia="Times New Roman" w:hAnsi="Times New Roman" w:cs="Times New Roman"/>
          <w:sz w:val="24"/>
          <w:szCs w:val="24"/>
          <w:highlight w:val="white"/>
        </w:rPr>
        <w:t>Harrison, et al., 2008)</w:t>
      </w:r>
      <w:r>
        <w:rPr>
          <w:rFonts w:ascii="Times New Roman" w:eastAsia="Times New Roman" w:hAnsi="Times New Roman" w:cs="Times New Roman"/>
          <w:sz w:val="24"/>
          <w:szCs w:val="24"/>
        </w:rPr>
        <w:t xml:space="preserve">.  The goal of the program is to accelerate these children’s progress in order to bring their skills up to grade level, so that their early literacy difficulties do not become long-term deficits. The program is appropriate for struggling regular education students and students with special needs, and there are minor modifications for English language learners. (Harrison, </w:t>
      </w:r>
      <w:r>
        <w:rPr>
          <w:rFonts w:ascii="Times New Roman" w:eastAsia="Times New Roman" w:hAnsi="Times New Roman" w:cs="Times New Roman"/>
          <w:sz w:val="24"/>
          <w:szCs w:val="24"/>
          <w:highlight w:val="white"/>
        </w:rPr>
        <w:t>p. 3)</w:t>
      </w:r>
      <w:r>
        <w:rPr>
          <w:rFonts w:ascii="Times New Roman" w:eastAsia="Times New Roman" w:hAnsi="Times New Roman" w:cs="Times New Roman"/>
          <w:sz w:val="24"/>
          <w:szCs w:val="24"/>
        </w:rPr>
        <w:t>.</w:t>
      </w:r>
    </w:p>
    <w:p w:rsidR="008177D9" w:rsidRDefault="0031785B">
      <w:pPr>
        <w:spacing w:line="480" w:lineRule="auto"/>
        <w:ind w:firstLine="720"/>
      </w:pPr>
      <w:r>
        <w:rPr>
          <w:rFonts w:ascii="Times New Roman" w:eastAsia="Times New Roman" w:hAnsi="Times New Roman" w:cs="Times New Roman"/>
          <w:sz w:val="24"/>
          <w:szCs w:val="24"/>
        </w:rPr>
        <w:t>Research by the Center for Research in Education Policy (CREP) concurred with that statement, but expanded it with a description of its methodology by stating that it is a short-term, small-group, supplemental literacy intervention system designed for students in grades K-2 who struggle with reading and writing. Students in the study who received LLI met in groups of three for daily 30-minute lessons for 18 weeks. (</w:t>
      </w:r>
      <w:proofErr w:type="spellStart"/>
      <w:r>
        <w:rPr>
          <w:rFonts w:ascii="Times New Roman" w:eastAsia="Times New Roman" w:hAnsi="Times New Roman" w:cs="Times New Roman"/>
          <w:sz w:val="24"/>
          <w:szCs w:val="24"/>
          <w:highlight w:val="white"/>
        </w:rPr>
        <w:t>Ransford-Kaldon</w:t>
      </w:r>
      <w:proofErr w:type="spellEnd"/>
      <w:r>
        <w:rPr>
          <w:rFonts w:ascii="Times New Roman" w:eastAsia="Times New Roman" w:hAnsi="Times New Roman" w:cs="Times New Roman"/>
          <w:sz w:val="24"/>
          <w:szCs w:val="24"/>
          <w:highlight w:val="white"/>
        </w:rPr>
        <w:t>, et al., 2010).</w:t>
      </w:r>
    </w:p>
    <w:p w:rsidR="008177D9"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CREP described the program as one that </w:t>
      </w:r>
      <w:r>
        <w:rPr>
          <w:rFonts w:ascii="Times New Roman" w:eastAsia="Times New Roman" w:hAnsi="Times New Roman" w:cs="Times New Roman"/>
          <w:sz w:val="24"/>
          <w:szCs w:val="24"/>
        </w:rPr>
        <w:t xml:space="preserve">emphasizes systematic and explicit instruction in phonological awareness, phonics, fluency, comprehension, and the expansion of oral language skills, including vocabulary. Leveled Literacy Intervention also follows a predictable sequence of fast-paced lessons, based around a series of “leveled” texts (i.e., texts of progressing difficulty), to keep students engaged, as well as links to the classroom instruction and the home environment. Ongoing formative student assessments are also a key component of the program to inform teachers’ instructional decisions. CREP also gave credence to the intervention’s research-based background by stating that the Leveled Literacy Intervention program has its roots in the theoretical and empirical work of Marie Clay (1991) and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(1996, 2006), and its lesson design draws from empirical research on reading acquisition and reading difficulties, language learning, and studen</w:t>
      </w:r>
      <w:r w:rsidR="00F64118">
        <w:rPr>
          <w:rFonts w:ascii="Times New Roman" w:eastAsia="Times New Roman" w:hAnsi="Times New Roman" w:cs="Times New Roman"/>
          <w:sz w:val="24"/>
          <w:szCs w:val="24"/>
        </w:rPr>
        <w:t>t motivation (</w:t>
      </w:r>
      <w:proofErr w:type="spellStart"/>
      <w:r w:rsidR="00F64118">
        <w:rPr>
          <w:rFonts w:ascii="Times New Roman" w:eastAsia="Times New Roman" w:hAnsi="Times New Roman" w:cs="Times New Roman"/>
          <w:sz w:val="24"/>
          <w:szCs w:val="24"/>
        </w:rPr>
        <w:t>Ransford-Kaldon</w:t>
      </w:r>
      <w:proofErr w:type="spellEnd"/>
      <w:r w:rsidR="00F64118">
        <w:rPr>
          <w:rFonts w:ascii="Times New Roman" w:eastAsia="Times New Roman" w:hAnsi="Times New Roman" w:cs="Times New Roman"/>
          <w:sz w:val="24"/>
          <w:szCs w:val="24"/>
        </w:rPr>
        <w:t>, et al., 2010</w:t>
      </w:r>
      <w:r>
        <w:rPr>
          <w:rFonts w:ascii="Times New Roman" w:eastAsia="Times New Roman" w:hAnsi="Times New Roman" w:cs="Times New Roman"/>
          <w:sz w:val="24"/>
          <w:szCs w:val="24"/>
        </w:rPr>
        <w:t>)</w:t>
      </w:r>
    </w:p>
    <w:p w:rsidR="008177D9" w:rsidRDefault="0031785B">
      <w:pPr>
        <w:spacing w:line="480" w:lineRule="auto"/>
        <w:ind w:firstLine="720"/>
        <w:jc w:val="center"/>
      </w:pPr>
      <w:r>
        <w:rPr>
          <w:rFonts w:ascii="Times New Roman" w:eastAsia="Times New Roman" w:hAnsi="Times New Roman" w:cs="Times New Roman"/>
          <w:b/>
          <w:sz w:val="24"/>
          <w:szCs w:val="24"/>
        </w:rPr>
        <w:t>Previous Research Regarding Efficacy</w:t>
      </w:r>
    </w:p>
    <w:p w:rsidR="008177D9" w:rsidRDefault="0031785B">
      <w:pPr>
        <w:spacing w:line="480" w:lineRule="auto"/>
        <w:ind w:firstLine="720"/>
      </w:pPr>
      <w:r>
        <w:rPr>
          <w:rFonts w:ascii="Times New Roman" w:eastAsia="Times New Roman" w:hAnsi="Times New Roman" w:cs="Times New Roman"/>
          <w:sz w:val="24"/>
          <w:szCs w:val="24"/>
        </w:rPr>
        <w:t>In addition to backing the validity of the program’s research base, CREP also published empirical data to support the program and spoke to the program’s efficacy by stating that LLI’s success with early learners also demonstrates its potential for reducing the development of chronic, long-term reading defi</w:t>
      </w:r>
      <w:r w:rsidR="00085C9A">
        <w:rPr>
          <w:rFonts w:ascii="Times New Roman" w:eastAsia="Times New Roman" w:hAnsi="Times New Roman" w:cs="Times New Roman"/>
          <w:sz w:val="24"/>
          <w:szCs w:val="24"/>
        </w:rPr>
        <w:t xml:space="preserve">ciencies and academic problems. </w:t>
      </w:r>
      <w:r>
        <w:rPr>
          <w:rFonts w:ascii="Times New Roman" w:eastAsia="Times New Roman" w:hAnsi="Times New Roman" w:cs="Times New Roman"/>
          <w:sz w:val="24"/>
          <w:szCs w:val="24"/>
        </w:rPr>
        <w:t>After analyzing two re</w:t>
      </w:r>
      <w:r w:rsidR="00F64118">
        <w:rPr>
          <w:rFonts w:ascii="Times New Roman" w:eastAsia="Times New Roman" w:hAnsi="Times New Roman" w:cs="Times New Roman"/>
          <w:sz w:val="24"/>
          <w:szCs w:val="24"/>
        </w:rPr>
        <w:t xml:space="preserve">ading programs, Murray, </w:t>
      </w:r>
      <w:proofErr w:type="spellStart"/>
      <w:r w:rsidR="00F64118">
        <w:rPr>
          <w:rFonts w:ascii="Times New Roman" w:eastAsia="Times New Roman" w:hAnsi="Times New Roman" w:cs="Times New Roman"/>
          <w:sz w:val="24"/>
          <w:szCs w:val="24"/>
        </w:rPr>
        <w:t>Munger</w:t>
      </w:r>
      <w:proofErr w:type="spellEnd"/>
      <w:r w:rsidR="00F64118">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Heibert</w:t>
      </w:r>
      <w:proofErr w:type="spellEnd"/>
      <w:r>
        <w:rPr>
          <w:rFonts w:ascii="Times New Roman" w:eastAsia="Times New Roman" w:hAnsi="Times New Roman" w:cs="Times New Roman"/>
          <w:sz w:val="24"/>
          <w:szCs w:val="24"/>
        </w:rPr>
        <w:t xml:space="preserve"> (2014) said that with respect to findings at the word, text, and pr</w:t>
      </w:r>
      <w:r w:rsidR="00F64118">
        <w:rPr>
          <w:rFonts w:ascii="Times New Roman" w:eastAsia="Times New Roman" w:hAnsi="Times New Roman" w:cs="Times New Roman"/>
          <w:sz w:val="24"/>
          <w:szCs w:val="24"/>
        </w:rPr>
        <w:t xml:space="preserve">ogram levels of their framework, a diet </w:t>
      </w:r>
      <w:r>
        <w:rPr>
          <w:rFonts w:ascii="Times New Roman" w:eastAsia="Times New Roman" w:hAnsi="Times New Roman" w:cs="Times New Roman"/>
          <w:sz w:val="24"/>
          <w:szCs w:val="24"/>
        </w:rPr>
        <w:t xml:space="preserve">of LLI texts may provide numerous benefits (Murray, et al., p. 495). </w:t>
      </w:r>
    </w:p>
    <w:p w:rsidR="008177D9" w:rsidRDefault="0031785B" w:rsidP="00F6411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Additionally, Harrison, et al. (2008) found that students’ reading abilities, as measured by the GMRT assessments, improved after attendance in the LLI program.  These achievement gains were significant for all three groups of students—kindergarteners, fir</w:t>
      </w:r>
      <w:r w:rsidR="00F64118">
        <w:rPr>
          <w:rFonts w:ascii="Times New Roman" w:eastAsia="Times New Roman" w:hAnsi="Times New Roman" w:cs="Times New Roman"/>
          <w:sz w:val="24"/>
          <w:szCs w:val="24"/>
        </w:rPr>
        <w:t xml:space="preserve">st-graders, and second-graders. </w:t>
      </w:r>
      <w:r>
        <w:rPr>
          <w:rFonts w:ascii="Times New Roman" w:eastAsia="Times New Roman" w:hAnsi="Times New Roman" w:cs="Times New Roman"/>
          <w:sz w:val="24"/>
          <w:szCs w:val="24"/>
        </w:rPr>
        <w:t xml:space="preserve">The majority of accessible research thus far has suggested that Leveled Literacy Instruction has resulted in significant improvement for the vast majority of students who have participated in the intervention. </w:t>
      </w:r>
    </w:p>
    <w:p w:rsidR="008177D9" w:rsidRPr="00085C9A" w:rsidRDefault="0031785B" w:rsidP="00085C9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Summary</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conclusion, the assertion that early reading intervention for struggling readers, particularly those experiencing the effects of poverty, is crucial to academic success is highly supported by numerous research studies that have been conducted. The knowledge that students who do not achieve grade level appropriate reading goals by the completion of third grade are at a demonstrated high risk of not graduating from high school graduation rates underscores the need for effective early reading intervention. Lower rates of high school graduation by populations of students living in poverty further demonstrates the need for reading intervention for students come from low socioeconomic households who are showing signs of struggling to successfully acquire literacy skills. Meanwhile, related research suggests that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addresses the research-proven needs of struggling young readers and is effective at supporting students so that they can reach grade level appropriate reading expectations</w:t>
      </w:r>
      <w:r w:rsidR="00524DB5">
        <w:rPr>
          <w:rFonts w:ascii="Times New Roman" w:eastAsia="Times New Roman" w:hAnsi="Times New Roman" w:cs="Times New Roman"/>
          <w:sz w:val="24"/>
          <w:szCs w:val="24"/>
        </w:rPr>
        <w:t xml:space="preserve"> (Murray, et al., p. 495)</w:t>
      </w:r>
      <w:r>
        <w:rPr>
          <w:rFonts w:ascii="Times New Roman" w:eastAsia="Times New Roman" w:hAnsi="Times New Roman" w:cs="Times New Roman"/>
          <w:sz w:val="24"/>
          <w:szCs w:val="24"/>
        </w:rPr>
        <w:t>.</w:t>
      </w:r>
    </w:p>
    <w:p w:rsidR="008177D9" w:rsidRDefault="008177D9">
      <w:pPr>
        <w:spacing w:line="480" w:lineRule="auto"/>
        <w:rPr>
          <w:rFonts w:ascii="Times New Roman" w:eastAsia="Times New Roman" w:hAnsi="Times New Roman" w:cs="Times New Roman"/>
          <w:sz w:val="24"/>
          <w:szCs w:val="24"/>
        </w:rPr>
      </w:pPr>
    </w:p>
    <w:p w:rsidR="008177D9" w:rsidRDefault="00085C9A" w:rsidP="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8177D9" w:rsidRPr="00085C9A" w:rsidRDefault="0031785B" w:rsidP="00085C9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III</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The study was conducted utilizing a quasi-experimental design in order to explore the effects of the use of Leveled Literacy Intervention with Targeted Title One students who were reading below grade level, as compared to those students were not identified as Targeted Title One students, but were identified as reading below grade level.</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Design</w:t>
      </w:r>
    </w:p>
    <w:p w:rsidR="008177D9" w:rsidRDefault="0031785B" w:rsidP="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design of the study was quasi-experimental. The </w:t>
      </w:r>
      <w:proofErr w:type="gramStart"/>
      <w:r>
        <w:rPr>
          <w:rFonts w:ascii="Times New Roman" w:eastAsia="Times New Roman" w:hAnsi="Times New Roman" w:cs="Times New Roman"/>
          <w:sz w:val="24"/>
          <w:szCs w:val="24"/>
        </w:rPr>
        <w:t>research  attempted</w:t>
      </w:r>
      <w:proofErr w:type="gramEnd"/>
      <w:r>
        <w:rPr>
          <w:rFonts w:ascii="Times New Roman" w:eastAsia="Times New Roman" w:hAnsi="Times New Roman" w:cs="Times New Roman"/>
          <w:sz w:val="24"/>
          <w:szCs w:val="24"/>
        </w:rPr>
        <w:t xml:space="preserve">  to establish a relationship between the implementation of Leveled Literacy Intervention and the achievement growth of reading goals by students who are reading below grade level in grades 1 and 2. The null hypothesis is that there will be no significant difference in the reading achievements of students in Leveled Literacy Intervention. The baseline data was achieved via utilization of 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during Anne Arundel County Public School System’s fall assessment window. The interventions began at the completion of that window, at the end of October. The final data was captured approximately 14 weeks later during the middle-of-year assessment window, which began in February. </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w:t>
      </w:r>
    </w:p>
    <w:p w:rsidR="008177D9" w:rsidRDefault="0031785B" w:rsidP="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participants in the study were students in grades 1 and 2 who were identified as reading below grade level as defined by 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reading levels. All children were students within the same Targeted Title One elementary school in Glen Burnie, Maryland. Only those students who remained in the school, and the intervention, from the beginning of the study to the end were included in the results. Students who entered or withdrew from the school, or entered the intervention groups during the study’s timeframe were not included in the study.  </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researcher used a convenience sampling technique. Students attending the school where the investigator taught were chosen to participate in the Leveled Literacy Intervention because they were identified as both Targeted Title One students, and as those who were reading below grade level in grades 1 and 2 via the fall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The independent group of students whose scores to which the Targeted Title One students’ scores were compared are those students in grades 1 and 2 who were identified as reading below grade level, but were not identified to receive intervention services because they are not Targeted Title One students.</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there were 51 grade 1 and 2 students who participated in the study. All students scored at least one level below grade level. Of those, 29 (57%) were in grade 1, 20 (39%) were English Language Learners, 26 (51%) were male, and 12 (24%) were receiving special education services. In terms of ethnicity, 14 (27.4%) were identified as Hispanic, 20 (39.2%) were identified as African American, 3 (5.9%) were identified as Asian, and 14 (27.4%) were identified as white. </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Instrumentation</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instrument used in this study was 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Students were assessed during Anne Arundel County Public School System’s fall assessment window to establish baseline data. Students were assessed again during the middle-of-year assessment window. Those scores were used to establish growth. </w:t>
      </w:r>
    </w:p>
    <w:p w:rsidR="008177D9" w:rsidRPr="00085C9A" w:rsidRDefault="0031785B" w:rsidP="00085C9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Procedure</w:t>
      </w:r>
    </w:p>
    <w:p w:rsidR="008177D9" w:rsidRDefault="0031785B">
      <w:pPr>
        <w:spacing w:line="480" w:lineRule="auto"/>
        <w:rPr>
          <w:rFonts w:ascii="Times New Roman" w:eastAsia="Times New Roman" w:hAnsi="Times New Roman" w:cs="Times New Roman"/>
          <w:sz w:val="24"/>
          <w:szCs w:val="24"/>
        </w:rPr>
      </w:pPr>
      <w:bookmarkStart w:id="1" w:name="_id7pblt7ohfp" w:colFirst="0" w:colLast="0"/>
      <w:bookmarkEnd w:id="1"/>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was administered by classroom teachers as well as resource teachers, including Student Instructional Support Teachers (who also delivered the intervention). All administrators of the assessment had received initial assessment administration training as well as routine, required, ongoing professional development on best practices for the assessment, including coding and questioning procedures during the 2016-2017 school year as well as the 2015-2016 school year. The assessment was executed to determine the independent, instructional, and </w:t>
      </w:r>
      <w:proofErr w:type="spellStart"/>
      <w:r>
        <w:rPr>
          <w:rFonts w:ascii="Times New Roman" w:eastAsia="Times New Roman" w:hAnsi="Times New Roman" w:cs="Times New Roman"/>
          <w:sz w:val="24"/>
          <w:szCs w:val="24"/>
        </w:rPr>
        <w:t>frustrational</w:t>
      </w:r>
      <w:proofErr w:type="spellEnd"/>
      <w:r>
        <w:rPr>
          <w:rFonts w:ascii="Times New Roman" w:eastAsia="Times New Roman" w:hAnsi="Times New Roman" w:cs="Times New Roman"/>
          <w:sz w:val="24"/>
          <w:szCs w:val="24"/>
        </w:rPr>
        <w:t xml:space="preserve"> levels of each student as defined by the procedures and definitions within 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Benchmark Assessment, as well as by Anne Arundel County Public School’s protocols. In doing so, genres of text were varied so that non-fiction and fiction texts were alternated at each level. When a student had already been exposed to a text on a level being tested, an alternative text from either the Scholastic collection within the school, or the Leveled Literacy Intervention kit was used.</w:t>
      </w:r>
    </w:p>
    <w:p w:rsidR="008177D9" w:rsidRDefault="008177D9">
      <w:pPr>
        <w:spacing w:line="480" w:lineRule="auto"/>
        <w:rPr>
          <w:rFonts w:ascii="Times New Roman" w:eastAsia="Times New Roman" w:hAnsi="Times New Roman" w:cs="Times New Roman"/>
          <w:sz w:val="24"/>
          <w:szCs w:val="24"/>
        </w:rPr>
      </w:pPr>
      <w:bookmarkStart w:id="2" w:name="_tdsyqyg80g83" w:colFirst="0" w:colLast="0"/>
      <w:bookmarkEnd w:id="2"/>
    </w:p>
    <w:p w:rsidR="008177D9" w:rsidRDefault="008177D9">
      <w:pPr>
        <w:spacing w:line="480" w:lineRule="auto"/>
        <w:rPr>
          <w:rFonts w:ascii="Times New Roman" w:eastAsia="Times New Roman" w:hAnsi="Times New Roman" w:cs="Times New Roman"/>
          <w:sz w:val="24"/>
          <w:szCs w:val="24"/>
        </w:rPr>
      </w:pPr>
      <w:bookmarkStart w:id="3" w:name="_9iu64nasl9bk" w:colFirst="0" w:colLast="0"/>
      <w:bookmarkEnd w:id="3"/>
    </w:p>
    <w:p w:rsidR="008177D9" w:rsidRDefault="008177D9">
      <w:pPr>
        <w:spacing w:line="480" w:lineRule="auto"/>
        <w:rPr>
          <w:rFonts w:ascii="Times New Roman" w:eastAsia="Times New Roman" w:hAnsi="Times New Roman" w:cs="Times New Roman"/>
          <w:sz w:val="24"/>
          <w:szCs w:val="24"/>
        </w:rPr>
      </w:pPr>
      <w:bookmarkStart w:id="4" w:name="_iuthy9lmsex6" w:colFirst="0" w:colLast="0"/>
      <w:bookmarkEnd w:id="4"/>
    </w:p>
    <w:p w:rsidR="008177D9" w:rsidRDefault="008177D9">
      <w:pPr>
        <w:spacing w:line="480" w:lineRule="auto"/>
        <w:rPr>
          <w:rFonts w:ascii="Times New Roman" w:eastAsia="Times New Roman" w:hAnsi="Times New Roman" w:cs="Times New Roman"/>
          <w:sz w:val="24"/>
          <w:szCs w:val="24"/>
        </w:rPr>
      </w:pPr>
      <w:bookmarkStart w:id="5" w:name="_kfabfnng9q9o" w:colFirst="0" w:colLast="0"/>
      <w:bookmarkEnd w:id="5"/>
    </w:p>
    <w:p w:rsidR="008177D9" w:rsidRDefault="008177D9">
      <w:pPr>
        <w:spacing w:line="480" w:lineRule="auto"/>
        <w:rPr>
          <w:rFonts w:ascii="Times New Roman" w:eastAsia="Times New Roman" w:hAnsi="Times New Roman" w:cs="Times New Roman"/>
          <w:sz w:val="24"/>
          <w:szCs w:val="24"/>
        </w:rPr>
      </w:pPr>
      <w:bookmarkStart w:id="6" w:name="_2kf433cn8mc1" w:colFirst="0" w:colLast="0"/>
      <w:bookmarkEnd w:id="6"/>
    </w:p>
    <w:p w:rsidR="008177D9" w:rsidRDefault="008177D9">
      <w:pPr>
        <w:spacing w:line="480" w:lineRule="auto"/>
        <w:rPr>
          <w:rFonts w:ascii="Times New Roman" w:eastAsia="Times New Roman" w:hAnsi="Times New Roman" w:cs="Times New Roman"/>
          <w:sz w:val="24"/>
          <w:szCs w:val="24"/>
        </w:rPr>
      </w:pPr>
      <w:bookmarkStart w:id="7" w:name="_o2uzxwxxx6mu" w:colFirst="0" w:colLast="0"/>
      <w:bookmarkEnd w:id="7"/>
    </w:p>
    <w:p w:rsidR="008177D9" w:rsidRDefault="008177D9">
      <w:pPr>
        <w:spacing w:line="480" w:lineRule="auto"/>
        <w:rPr>
          <w:rFonts w:ascii="Times New Roman" w:eastAsia="Times New Roman" w:hAnsi="Times New Roman" w:cs="Times New Roman"/>
          <w:sz w:val="24"/>
          <w:szCs w:val="24"/>
        </w:rPr>
      </w:pPr>
      <w:bookmarkStart w:id="8" w:name="_swgfagtscrli" w:colFirst="0" w:colLast="0"/>
      <w:bookmarkEnd w:id="8"/>
    </w:p>
    <w:p w:rsidR="008177D9" w:rsidRDefault="008177D9">
      <w:pPr>
        <w:spacing w:line="480" w:lineRule="auto"/>
        <w:rPr>
          <w:rFonts w:ascii="Times New Roman" w:eastAsia="Times New Roman" w:hAnsi="Times New Roman" w:cs="Times New Roman"/>
          <w:sz w:val="24"/>
          <w:szCs w:val="24"/>
        </w:rPr>
      </w:pPr>
      <w:bookmarkStart w:id="9" w:name="_70wwggee0yfq" w:colFirst="0" w:colLast="0"/>
      <w:bookmarkEnd w:id="9"/>
    </w:p>
    <w:p w:rsidR="008177D9" w:rsidRDefault="008177D9" w:rsidP="00085C9A">
      <w:pPr>
        <w:spacing w:line="480" w:lineRule="auto"/>
        <w:rPr>
          <w:rFonts w:ascii="Times New Roman" w:eastAsia="Times New Roman" w:hAnsi="Times New Roman" w:cs="Times New Roman"/>
          <w:sz w:val="24"/>
          <w:szCs w:val="24"/>
        </w:rPr>
      </w:pPr>
      <w:bookmarkStart w:id="10" w:name="_gjdgxs" w:colFirst="0" w:colLast="0"/>
      <w:bookmarkEnd w:id="10"/>
    </w:p>
    <w:p w:rsidR="008177D9" w:rsidRDefault="008177D9">
      <w:pPr>
        <w:spacing w:line="480" w:lineRule="auto"/>
        <w:rPr>
          <w:rFonts w:ascii="Times New Roman" w:eastAsia="Times New Roman" w:hAnsi="Times New Roman" w:cs="Times New Roman"/>
          <w:sz w:val="24"/>
          <w:szCs w:val="24"/>
        </w:rPr>
      </w:pPr>
    </w:p>
    <w:p w:rsidR="00085C9A" w:rsidRDefault="00085C9A">
      <w:pPr>
        <w:spacing w:line="480" w:lineRule="auto"/>
        <w:rPr>
          <w:rFonts w:ascii="Times New Roman" w:eastAsia="Times New Roman" w:hAnsi="Times New Roman" w:cs="Times New Roman"/>
          <w:sz w:val="24"/>
          <w:szCs w:val="24"/>
        </w:rPr>
      </w:pPr>
    </w:p>
    <w:p w:rsidR="00085C9A" w:rsidRDefault="00085C9A">
      <w:pPr>
        <w:spacing w:line="480" w:lineRule="auto"/>
        <w:rPr>
          <w:rFonts w:ascii="Times New Roman" w:eastAsia="Times New Roman" w:hAnsi="Times New Roman" w:cs="Times New Roman"/>
          <w:sz w:val="24"/>
          <w:szCs w:val="24"/>
        </w:rPr>
      </w:pPr>
    </w:p>
    <w:p w:rsidR="00085C9A" w:rsidRDefault="00085C9A">
      <w:pPr>
        <w:spacing w:line="480" w:lineRule="auto"/>
        <w:rPr>
          <w:rFonts w:ascii="Times New Roman" w:eastAsia="Times New Roman" w:hAnsi="Times New Roman" w:cs="Times New Roman"/>
          <w:sz w:val="24"/>
          <w:szCs w:val="24"/>
        </w:rPr>
      </w:pPr>
    </w:p>
    <w:p w:rsidR="00085C9A" w:rsidRDefault="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85C9A" w:rsidRDefault="00085C9A">
      <w:pPr>
        <w:spacing w:line="480" w:lineRule="auto"/>
        <w:rPr>
          <w:rFonts w:ascii="Times New Roman" w:eastAsia="Times New Roman" w:hAnsi="Times New Roman" w:cs="Times New Roman"/>
          <w:sz w:val="24"/>
          <w:szCs w:val="24"/>
        </w:rPr>
      </w:pPr>
    </w:p>
    <w:p w:rsidR="00085C9A" w:rsidRDefault="00085C9A">
      <w:pPr>
        <w:spacing w:line="480" w:lineRule="auto"/>
        <w:rPr>
          <w:rFonts w:ascii="Times New Roman" w:eastAsia="Times New Roman" w:hAnsi="Times New Roman" w:cs="Times New Roman"/>
          <w:sz w:val="24"/>
          <w:szCs w:val="24"/>
        </w:rPr>
      </w:pP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IV</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purpose of this study was to determine whether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is effective at improving the reading levels of students in grades 1 and 2 who are identified as Targeted Title One students. The study compared the growth in scores over a 14 week period of students in grades 1 and 2 who were identified as Targeted Title One students reading one level below grade level, and who therefore received instruction from Student Instructional Support Teachers using the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Leveled Literacy Intervention, with students in grades 1 and 2 who were reading one level below grade level but were not identified as Targeted Title One students.</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null hypothesis for this study was that there would be no significant difference in the reading achievements of Targeted Title One students in the Leveled Literacy Intervention as compared to students in the same grades that are also reading below grade level but were not identified as Targeted Title One students. The hypothesis was accepted. Table 1 depicts the correlation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reading levels (the letter score) with assigned numerical scores.</w:t>
      </w: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8177D9" w:rsidP="00085C9A">
      <w:pPr>
        <w:spacing w:line="480" w:lineRule="auto"/>
        <w:rPr>
          <w:rFonts w:ascii="Times New Roman" w:eastAsia="Times New Roman" w:hAnsi="Times New Roman" w:cs="Times New Roman"/>
          <w:sz w:val="24"/>
          <w:szCs w:val="24"/>
        </w:rPr>
      </w:pPr>
    </w:p>
    <w:p w:rsidR="008177D9" w:rsidRDefault="008177D9">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 </w:t>
      </w:r>
      <w:r>
        <w:rPr>
          <w:rFonts w:ascii="Times New Roman" w:eastAsia="Times New Roman" w:hAnsi="Times New Roman" w:cs="Times New Roman"/>
          <w:i/>
          <w:sz w:val="24"/>
          <w:szCs w:val="24"/>
        </w:rPr>
        <w:t>Letter and Numerical Score Conversion Table</w:t>
      </w:r>
    </w:p>
    <w:tbl>
      <w:tblPr>
        <w:tblStyle w:val="a1"/>
        <w:tblW w:w="3360"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65"/>
        <w:gridCol w:w="1695"/>
      </w:tblGrid>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Letter Score</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Numerical Score</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A</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1</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B</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2</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C</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3</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D</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4</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E</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5</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F</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6</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G</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7</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H</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8</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I</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9</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J</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10</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K</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11</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L</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12</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M</w:t>
            </w:r>
          </w:p>
        </w:tc>
        <w:tc>
          <w:tcPr>
            <w:tcW w:w="1695" w:type="dxa"/>
            <w:tcMar>
              <w:top w:w="40" w:type="dxa"/>
              <w:left w:w="40" w:type="dxa"/>
              <w:bottom w:w="40" w:type="dxa"/>
              <w:right w:w="40" w:type="dxa"/>
            </w:tcMar>
            <w:vAlign w:val="bottom"/>
          </w:tcPr>
          <w:p w:rsidR="008177D9" w:rsidRDefault="0031785B">
            <w:pPr>
              <w:spacing w:line="240" w:lineRule="auto"/>
              <w:contextualSpacing w:val="0"/>
              <w:jc w:val="center"/>
              <w:rPr>
                <w:sz w:val="20"/>
                <w:szCs w:val="20"/>
              </w:rPr>
            </w:pPr>
            <w:r>
              <w:rPr>
                <w:rFonts w:ascii="Times New Roman" w:eastAsia="Times New Roman" w:hAnsi="Times New Roman" w:cs="Times New Roman"/>
                <w:sz w:val="24"/>
                <w:szCs w:val="24"/>
              </w:rPr>
              <w:t>13</w:t>
            </w:r>
          </w:p>
        </w:tc>
      </w:tr>
    </w:tbl>
    <w:p w:rsidR="008177D9" w:rsidRDefault="008177D9">
      <w:pPr>
        <w:spacing w:line="480" w:lineRule="auto"/>
        <w:rPr>
          <w:rFonts w:ascii="Times New Roman" w:eastAsia="Times New Roman" w:hAnsi="Times New Roman" w:cs="Times New Roman"/>
          <w:i/>
          <w:sz w:val="24"/>
          <w:szCs w:val="24"/>
        </w:rPr>
      </w:pP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2 illustrates the means, standard deviations and standard error means.</w:t>
      </w:r>
    </w:p>
    <w:p w:rsidR="008177D9" w:rsidRDefault="008177D9">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Table 2. </w:t>
      </w:r>
      <w:r>
        <w:rPr>
          <w:rFonts w:ascii="Times New Roman" w:eastAsia="Times New Roman" w:hAnsi="Times New Roman" w:cs="Times New Roman"/>
          <w:i/>
          <w:sz w:val="24"/>
          <w:szCs w:val="24"/>
        </w:rPr>
        <w:t xml:space="preserve">Group Statistics </w:t>
      </w:r>
    </w:p>
    <w:tbl>
      <w:tblPr>
        <w:tblStyle w:val="a2"/>
        <w:bidiVisual/>
        <w:tblW w:w="9360" w:type="dxa"/>
        <w:tblInd w:w="-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560"/>
        <w:gridCol w:w="1560"/>
        <w:gridCol w:w="1560"/>
        <w:gridCol w:w="1560"/>
        <w:gridCol w:w="1560"/>
        <w:gridCol w:w="1560"/>
      </w:tblGrid>
      <w:tr w:rsidR="008177D9">
        <w:tc>
          <w:tcPr>
            <w:tcW w:w="3120" w:type="dxa"/>
            <w:gridSpan w:val="2"/>
            <w:tcMar>
              <w:left w:w="40" w:type="dxa"/>
              <w:right w:w="40" w:type="dxa"/>
            </w:tcMar>
            <w:vAlign w:val="bottom"/>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Grade Level</w:t>
            </w:r>
          </w:p>
        </w:tc>
        <w:tc>
          <w:tcPr>
            <w:tcW w:w="1560" w:type="dxa"/>
            <w:tcMar>
              <w:left w:w="40" w:type="dxa"/>
              <w:right w:w="40" w:type="dxa"/>
            </w:tcMar>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Student Count</w:t>
            </w:r>
          </w:p>
        </w:tc>
        <w:tc>
          <w:tcPr>
            <w:tcW w:w="1560" w:type="dxa"/>
            <w:tcMar>
              <w:left w:w="40" w:type="dxa"/>
              <w:right w:w="40" w:type="dxa"/>
            </w:tcMar>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Average Growth</w:t>
            </w:r>
          </w:p>
        </w:tc>
        <w:tc>
          <w:tcPr>
            <w:tcW w:w="1560" w:type="dxa"/>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Deviation</w:t>
            </w:r>
          </w:p>
        </w:tc>
        <w:tc>
          <w:tcPr>
            <w:tcW w:w="1560" w:type="dxa"/>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Error Mean</w:t>
            </w:r>
          </w:p>
        </w:tc>
      </w:tr>
      <w:tr w:rsidR="008177D9">
        <w:trPr>
          <w:trHeight w:val="300"/>
        </w:trPr>
        <w:tc>
          <w:tcPr>
            <w:tcW w:w="1560" w:type="dxa"/>
            <w:vMerge w:val="restart"/>
            <w:tcMar>
              <w:left w:w="40" w:type="dxa"/>
              <w:right w:w="40" w:type="dxa"/>
            </w:tcMar>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60" w:type="dxa"/>
            <w:tcMar>
              <w:left w:w="40" w:type="dxa"/>
              <w:right w:w="40" w:type="dxa"/>
            </w:tcMar>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No-Treatment</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2.56</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1.653</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r>
      <w:tr w:rsidR="008177D9">
        <w:tc>
          <w:tcPr>
            <w:tcW w:w="1560" w:type="dxa"/>
            <w:vMerge/>
            <w:tcMar>
              <w:left w:w="40" w:type="dxa"/>
              <w:right w:w="40" w:type="dxa"/>
            </w:tcMar>
          </w:tcPr>
          <w:p w:rsidR="008177D9" w:rsidRDefault="008177D9">
            <w:pPr>
              <w:spacing w:line="480" w:lineRule="auto"/>
              <w:contextualSpacing w:val="0"/>
              <w:rPr>
                <w:rFonts w:ascii="Calibri" w:eastAsia="Calibri" w:hAnsi="Calibri" w:cs="Calibri"/>
                <w:sz w:val="20"/>
                <w:szCs w:val="20"/>
              </w:rPr>
            </w:pPr>
          </w:p>
        </w:tc>
        <w:tc>
          <w:tcPr>
            <w:tcW w:w="1560" w:type="dxa"/>
            <w:tcMar>
              <w:left w:w="40" w:type="dxa"/>
              <w:right w:w="40" w:type="dxa"/>
            </w:tcMar>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Treatment</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2.91</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1.868</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.563</w:t>
            </w:r>
          </w:p>
        </w:tc>
      </w:tr>
      <w:tr w:rsidR="008177D9">
        <w:tc>
          <w:tcPr>
            <w:tcW w:w="1560" w:type="dxa"/>
            <w:vMerge w:val="restart"/>
            <w:tcMar>
              <w:left w:w="40" w:type="dxa"/>
              <w:right w:w="40" w:type="dxa"/>
            </w:tcMar>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60" w:type="dxa"/>
            <w:tcMar>
              <w:left w:w="40" w:type="dxa"/>
              <w:right w:w="40" w:type="dxa"/>
            </w:tcMar>
          </w:tcPr>
          <w:p w:rsidR="008177D9" w:rsidRDefault="0031785B">
            <w:pPr>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No-Treatment</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1.88</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.641</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.227</w:t>
            </w:r>
          </w:p>
        </w:tc>
      </w:tr>
      <w:tr w:rsidR="008177D9">
        <w:tc>
          <w:tcPr>
            <w:tcW w:w="1560" w:type="dxa"/>
            <w:vMerge/>
            <w:tcMar>
              <w:left w:w="40" w:type="dxa"/>
              <w:right w:w="40" w:type="dxa"/>
            </w:tcMar>
          </w:tcPr>
          <w:p w:rsidR="008177D9" w:rsidRDefault="008177D9">
            <w:pPr>
              <w:spacing w:line="480" w:lineRule="auto"/>
              <w:contextualSpacing w:val="0"/>
              <w:rPr>
                <w:rFonts w:ascii="Calibri" w:eastAsia="Calibri" w:hAnsi="Calibri" w:cs="Calibri"/>
                <w:sz w:val="20"/>
                <w:szCs w:val="20"/>
              </w:rPr>
            </w:pPr>
          </w:p>
        </w:tc>
        <w:tc>
          <w:tcPr>
            <w:tcW w:w="1560" w:type="dxa"/>
            <w:tcMar>
              <w:left w:w="40" w:type="dxa"/>
              <w:right w:w="40" w:type="dxa"/>
            </w:tcMar>
          </w:tcPr>
          <w:p w:rsidR="008177D9" w:rsidRDefault="0031785B">
            <w:pPr>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Treatment</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560" w:type="dxa"/>
            <w:tcMar>
              <w:left w:w="40" w:type="dxa"/>
              <w:right w:w="40" w:type="dxa"/>
            </w:tcMa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2.57</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1.785</w:t>
            </w:r>
          </w:p>
        </w:tc>
        <w:tc>
          <w:tcPr>
            <w:tcW w:w="1560" w:type="dxa"/>
            <w:tcMar>
              <w:left w:w="40" w:type="dxa"/>
              <w:right w:w="40" w:type="dxa"/>
            </w:tcMar>
            <w:vAlign w:val="center"/>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.477</w:t>
            </w:r>
          </w:p>
        </w:tc>
      </w:tr>
    </w:tbl>
    <w:p w:rsidR="008177D9" w:rsidRDefault="008177D9" w:rsidP="00085C9A">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treatment group outperformed non-treatment group for both grade 1 and grade 2 students. However, using a two-tailed t test, it was determined that there was not a significant increase in reading levels of students in either grade 1 or grade 2. </w:t>
      </w:r>
    </w:p>
    <w:p w:rsidR="008177D9" w:rsidRDefault="008177D9">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Table 3. </w:t>
      </w:r>
      <w:r>
        <w:rPr>
          <w:rFonts w:ascii="Times New Roman" w:eastAsia="Times New Roman" w:hAnsi="Times New Roman" w:cs="Times New Roman"/>
          <w:i/>
          <w:sz w:val="24"/>
          <w:szCs w:val="24"/>
        </w:rPr>
        <w:t>Independent Samples Test</w:t>
      </w:r>
    </w:p>
    <w:p w:rsidR="008177D9" w:rsidRDefault="008177D9">
      <w:pPr>
        <w:spacing w:line="480" w:lineRule="auto"/>
        <w:rPr>
          <w:rFonts w:ascii="Times New Roman" w:eastAsia="Times New Roman" w:hAnsi="Times New Roman" w:cs="Times New Roman"/>
          <w:i/>
          <w:sz w:val="24"/>
          <w:szCs w:val="24"/>
        </w:rPr>
      </w:pPr>
    </w:p>
    <w:tbl>
      <w:tblPr>
        <w:tblStyle w:val="a3"/>
        <w:tblW w:w="8895" w:type="dxa"/>
        <w:tblInd w:w="-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25"/>
        <w:gridCol w:w="1140"/>
        <w:gridCol w:w="900"/>
        <w:gridCol w:w="900"/>
        <w:gridCol w:w="945"/>
        <w:gridCol w:w="1215"/>
        <w:gridCol w:w="1170"/>
        <w:gridCol w:w="900"/>
        <w:gridCol w:w="900"/>
      </w:tblGrid>
      <w:tr w:rsidR="008177D9">
        <w:tc>
          <w:tcPr>
            <w:tcW w:w="1965" w:type="dxa"/>
            <w:gridSpan w:val="2"/>
            <w:vMerge w:val="restart"/>
            <w:tcMar>
              <w:left w:w="40" w:type="dxa"/>
              <w:right w:w="40" w:type="dxa"/>
            </w:tcMar>
            <w:vAlign w:val="bottom"/>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Grade Level</w:t>
            </w:r>
          </w:p>
        </w:tc>
        <w:tc>
          <w:tcPr>
            <w:tcW w:w="6930" w:type="dxa"/>
            <w:gridSpan w:val="7"/>
            <w:tcMar>
              <w:left w:w="40" w:type="dxa"/>
              <w:right w:w="40" w:type="dxa"/>
            </w:tcMar>
            <w:vAlign w:val="bottom"/>
          </w:tcPr>
          <w:p w:rsidR="008177D9" w:rsidRDefault="0031785B">
            <w:pPr>
              <w:spacing w:line="240" w:lineRule="auto"/>
              <w:contextualSpacing w:val="0"/>
              <w:jc w:val="center"/>
              <w:rPr>
                <w:rFonts w:ascii="Calibri" w:eastAsia="Calibri" w:hAnsi="Calibri" w:cs="Calibri"/>
                <w:sz w:val="20"/>
                <w:szCs w:val="20"/>
              </w:rPr>
            </w:pPr>
            <w:r>
              <w:rPr>
                <w:rFonts w:ascii="Times New Roman" w:eastAsia="Times New Roman" w:hAnsi="Times New Roman" w:cs="Times New Roman"/>
                <w:sz w:val="24"/>
                <w:szCs w:val="24"/>
              </w:rPr>
              <w:t>t-test for Equality of Means</w:t>
            </w:r>
          </w:p>
        </w:tc>
      </w:tr>
      <w:tr w:rsidR="008177D9">
        <w:tc>
          <w:tcPr>
            <w:tcW w:w="1965" w:type="dxa"/>
            <w:gridSpan w:val="2"/>
            <w:vMerge/>
            <w:tcMar>
              <w:left w:w="40" w:type="dxa"/>
              <w:right w:w="40" w:type="dxa"/>
            </w:tcMar>
            <w:vAlign w:val="bottom"/>
          </w:tcPr>
          <w:p w:rsidR="008177D9" w:rsidRDefault="008177D9">
            <w:pPr>
              <w:spacing w:line="480" w:lineRule="auto"/>
              <w:contextualSpacing w:val="0"/>
              <w:rPr>
                <w:rFonts w:ascii="Calibri" w:eastAsia="Calibri" w:hAnsi="Calibri" w:cs="Calibri"/>
                <w:i/>
                <w:sz w:val="20"/>
                <w:szCs w:val="20"/>
              </w:rPr>
            </w:pPr>
          </w:p>
        </w:tc>
        <w:tc>
          <w:tcPr>
            <w:tcW w:w="900" w:type="dxa"/>
            <w:vMerge w:val="restart"/>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p>
        </w:tc>
        <w:tc>
          <w:tcPr>
            <w:tcW w:w="900" w:type="dxa"/>
            <w:vMerge w:val="restart"/>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df</w:t>
            </w:r>
            <w:proofErr w:type="spellEnd"/>
          </w:p>
        </w:tc>
        <w:tc>
          <w:tcPr>
            <w:tcW w:w="945" w:type="dxa"/>
            <w:vMerge w:val="restart"/>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Sig. (2-tailed)</w:t>
            </w:r>
          </w:p>
        </w:tc>
        <w:tc>
          <w:tcPr>
            <w:tcW w:w="1215" w:type="dxa"/>
            <w:vMerge w:val="restart"/>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Mean Difference</w:t>
            </w:r>
          </w:p>
        </w:tc>
        <w:tc>
          <w:tcPr>
            <w:tcW w:w="1170" w:type="dxa"/>
            <w:vMerge w:val="restart"/>
            <w:tcMar>
              <w:left w:w="40" w:type="dxa"/>
              <w:right w:w="40" w:type="dxa"/>
            </w:tcMar>
            <w:vAlign w:val="bottom"/>
          </w:tcPr>
          <w:p w:rsidR="008177D9" w:rsidRDefault="0031785B">
            <w:pPr>
              <w:spacing w:line="24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 Difference</w:t>
            </w:r>
          </w:p>
        </w:tc>
        <w:tc>
          <w:tcPr>
            <w:tcW w:w="1800" w:type="dxa"/>
            <w:gridSpan w:val="2"/>
            <w:tcMar>
              <w:left w:w="40" w:type="dxa"/>
              <w:right w:w="40" w:type="dxa"/>
            </w:tcMar>
            <w:vAlign w:val="bottom"/>
          </w:tcPr>
          <w:p w:rsidR="008177D9" w:rsidRDefault="0031785B">
            <w:pPr>
              <w:spacing w:line="240" w:lineRule="auto"/>
              <w:contextualSpacing w:val="0"/>
              <w:jc w:val="center"/>
              <w:rPr>
                <w:rFonts w:ascii="Calibri" w:eastAsia="Calibri" w:hAnsi="Calibri" w:cs="Calibri"/>
                <w:sz w:val="20"/>
                <w:szCs w:val="20"/>
              </w:rPr>
            </w:pPr>
            <w:r>
              <w:rPr>
                <w:rFonts w:ascii="Times New Roman" w:eastAsia="Times New Roman" w:hAnsi="Times New Roman" w:cs="Times New Roman"/>
                <w:sz w:val="24"/>
                <w:szCs w:val="24"/>
              </w:rPr>
              <w:t>95% Confidence Interval of the Difference</w:t>
            </w:r>
          </w:p>
        </w:tc>
      </w:tr>
      <w:tr w:rsidR="008177D9">
        <w:tc>
          <w:tcPr>
            <w:tcW w:w="1965" w:type="dxa"/>
            <w:gridSpan w:val="2"/>
            <w:vMerge/>
            <w:tcMar>
              <w:left w:w="40" w:type="dxa"/>
              <w:right w:w="40" w:type="dxa"/>
            </w:tcMar>
            <w:vAlign w:val="bottom"/>
          </w:tcPr>
          <w:p w:rsidR="008177D9" w:rsidRDefault="008177D9">
            <w:pPr>
              <w:spacing w:line="480" w:lineRule="auto"/>
              <w:contextualSpacing w:val="0"/>
              <w:rPr>
                <w:rFonts w:ascii="Calibri" w:eastAsia="Calibri" w:hAnsi="Calibri" w:cs="Calibri"/>
                <w:i/>
                <w:sz w:val="20"/>
                <w:szCs w:val="20"/>
              </w:rPr>
            </w:pPr>
          </w:p>
        </w:tc>
        <w:tc>
          <w:tcPr>
            <w:tcW w:w="900" w:type="dxa"/>
            <w:vMerge/>
            <w:tcMar>
              <w:left w:w="40" w:type="dxa"/>
              <w:right w:w="40" w:type="dxa"/>
            </w:tcMar>
            <w:vAlign w:val="bottom"/>
          </w:tcPr>
          <w:p w:rsidR="008177D9" w:rsidRDefault="008177D9">
            <w:pPr>
              <w:contextualSpacing w:val="0"/>
              <w:rPr>
                <w:rFonts w:ascii="Calibri" w:eastAsia="Calibri" w:hAnsi="Calibri" w:cs="Calibri"/>
                <w:i/>
                <w:sz w:val="20"/>
                <w:szCs w:val="20"/>
              </w:rPr>
            </w:pPr>
          </w:p>
        </w:tc>
        <w:tc>
          <w:tcPr>
            <w:tcW w:w="900" w:type="dxa"/>
            <w:vMerge/>
            <w:tcMar>
              <w:left w:w="40" w:type="dxa"/>
              <w:right w:w="40" w:type="dxa"/>
            </w:tcMar>
            <w:vAlign w:val="bottom"/>
          </w:tcPr>
          <w:p w:rsidR="008177D9" w:rsidRDefault="008177D9">
            <w:pPr>
              <w:contextualSpacing w:val="0"/>
              <w:rPr>
                <w:rFonts w:ascii="Calibri" w:eastAsia="Calibri" w:hAnsi="Calibri" w:cs="Calibri"/>
                <w:i/>
                <w:sz w:val="20"/>
                <w:szCs w:val="20"/>
              </w:rPr>
            </w:pPr>
          </w:p>
        </w:tc>
        <w:tc>
          <w:tcPr>
            <w:tcW w:w="945" w:type="dxa"/>
            <w:vMerge/>
            <w:tcMar>
              <w:left w:w="40" w:type="dxa"/>
              <w:right w:w="40" w:type="dxa"/>
            </w:tcMar>
            <w:vAlign w:val="bottom"/>
          </w:tcPr>
          <w:p w:rsidR="008177D9" w:rsidRDefault="008177D9">
            <w:pPr>
              <w:contextualSpacing w:val="0"/>
              <w:rPr>
                <w:rFonts w:ascii="Calibri" w:eastAsia="Calibri" w:hAnsi="Calibri" w:cs="Calibri"/>
                <w:i/>
                <w:sz w:val="20"/>
                <w:szCs w:val="20"/>
              </w:rPr>
            </w:pPr>
          </w:p>
        </w:tc>
        <w:tc>
          <w:tcPr>
            <w:tcW w:w="1215" w:type="dxa"/>
            <w:vMerge/>
            <w:tcMar>
              <w:left w:w="40" w:type="dxa"/>
              <w:right w:w="40" w:type="dxa"/>
            </w:tcMar>
            <w:vAlign w:val="bottom"/>
          </w:tcPr>
          <w:p w:rsidR="008177D9" w:rsidRDefault="008177D9">
            <w:pPr>
              <w:contextualSpacing w:val="0"/>
              <w:rPr>
                <w:rFonts w:ascii="Calibri" w:eastAsia="Calibri" w:hAnsi="Calibri" w:cs="Calibri"/>
                <w:i/>
                <w:sz w:val="20"/>
                <w:szCs w:val="20"/>
              </w:rPr>
            </w:pPr>
          </w:p>
        </w:tc>
        <w:tc>
          <w:tcPr>
            <w:tcW w:w="1170" w:type="dxa"/>
            <w:vMerge/>
            <w:tcMar>
              <w:left w:w="40" w:type="dxa"/>
              <w:right w:w="40" w:type="dxa"/>
            </w:tcMar>
            <w:vAlign w:val="bottom"/>
          </w:tcPr>
          <w:p w:rsidR="008177D9" w:rsidRDefault="008177D9">
            <w:pPr>
              <w:contextualSpacing w:val="0"/>
              <w:rPr>
                <w:rFonts w:ascii="Calibri" w:eastAsia="Calibri" w:hAnsi="Calibri" w:cs="Calibri"/>
                <w:i/>
                <w:sz w:val="20"/>
                <w:szCs w:val="20"/>
              </w:rPr>
            </w:pPr>
          </w:p>
          <w:p w:rsidR="008177D9" w:rsidRDefault="008177D9">
            <w:pPr>
              <w:contextualSpacing w:val="0"/>
              <w:rPr>
                <w:rFonts w:ascii="Calibri" w:eastAsia="Calibri" w:hAnsi="Calibri" w:cs="Calibri"/>
                <w:i/>
                <w:sz w:val="20"/>
                <w:szCs w:val="20"/>
              </w:rPr>
            </w:pPr>
          </w:p>
          <w:p w:rsidR="008177D9" w:rsidRDefault="008177D9">
            <w:pPr>
              <w:contextualSpacing w:val="0"/>
              <w:rPr>
                <w:rFonts w:ascii="Calibri" w:eastAsia="Calibri" w:hAnsi="Calibri" w:cs="Calibri"/>
                <w:i/>
                <w:sz w:val="20"/>
                <w:szCs w:val="20"/>
              </w:rPr>
            </w:pPr>
          </w:p>
          <w:p w:rsidR="008177D9" w:rsidRDefault="008177D9">
            <w:pPr>
              <w:contextualSpacing w:val="0"/>
              <w:rPr>
                <w:rFonts w:ascii="Calibri" w:eastAsia="Calibri" w:hAnsi="Calibri" w:cs="Calibri"/>
                <w:i/>
                <w:sz w:val="20"/>
                <w:szCs w:val="20"/>
              </w:rPr>
            </w:pPr>
          </w:p>
          <w:p w:rsidR="008177D9" w:rsidRDefault="008177D9">
            <w:pPr>
              <w:spacing w:line="480" w:lineRule="auto"/>
              <w:contextualSpacing w:val="0"/>
              <w:rPr>
                <w:rFonts w:ascii="Calibri" w:eastAsia="Calibri" w:hAnsi="Calibri" w:cs="Calibri"/>
                <w:i/>
                <w:sz w:val="20"/>
                <w:szCs w:val="20"/>
              </w:rPr>
            </w:pPr>
          </w:p>
          <w:p w:rsidR="008177D9" w:rsidRDefault="008177D9">
            <w:pPr>
              <w:spacing w:line="480" w:lineRule="auto"/>
              <w:contextualSpacing w:val="0"/>
              <w:rPr>
                <w:rFonts w:ascii="Calibri" w:eastAsia="Calibri" w:hAnsi="Calibri" w:cs="Calibri"/>
                <w:i/>
                <w:sz w:val="20"/>
                <w:szCs w:val="20"/>
              </w:rPr>
            </w:pPr>
          </w:p>
          <w:p w:rsidR="008177D9" w:rsidRDefault="008177D9">
            <w:pPr>
              <w:spacing w:line="480" w:lineRule="auto"/>
              <w:contextualSpacing w:val="0"/>
              <w:rPr>
                <w:rFonts w:ascii="Calibri" w:eastAsia="Calibri" w:hAnsi="Calibri" w:cs="Calibri"/>
                <w:i/>
                <w:sz w:val="20"/>
                <w:szCs w:val="20"/>
              </w:rPr>
            </w:pPr>
          </w:p>
          <w:p w:rsidR="008177D9" w:rsidRDefault="008177D9">
            <w:pPr>
              <w:spacing w:line="480" w:lineRule="auto"/>
              <w:contextualSpacing w:val="0"/>
              <w:rPr>
                <w:rFonts w:ascii="Calibri" w:eastAsia="Calibri" w:hAnsi="Calibri" w:cs="Calibri"/>
                <w:i/>
                <w:sz w:val="20"/>
                <w:szCs w:val="20"/>
              </w:rPr>
            </w:pPr>
          </w:p>
          <w:p w:rsidR="008177D9" w:rsidRDefault="008177D9">
            <w:pPr>
              <w:spacing w:line="480" w:lineRule="auto"/>
              <w:contextualSpacing w:val="0"/>
              <w:rPr>
                <w:rFonts w:ascii="Calibri" w:eastAsia="Calibri" w:hAnsi="Calibri" w:cs="Calibri"/>
                <w:i/>
                <w:sz w:val="20"/>
                <w:szCs w:val="20"/>
              </w:rPr>
            </w:pPr>
          </w:p>
        </w:tc>
        <w:tc>
          <w:tcPr>
            <w:tcW w:w="900" w:type="dxa"/>
            <w:tcMar>
              <w:left w:w="40" w:type="dxa"/>
              <w:right w:w="40" w:type="dxa"/>
            </w:tcMar>
            <w:vAlign w:val="bottom"/>
          </w:tcPr>
          <w:p w:rsidR="008177D9" w:rsidRDefault="0031785B">
            <w:pPr>
              <w:spacing w:line="240" w:lineRule="auto"/>
              <w:contextualSpacing w:val="0"/>
              <w:jc w:val="center"/>
              <w:rPr>
                <w:rFonts w:ascii="Calibri" w:eastAsia="Calibri" w:hAnsi="Calibri" w:cs="Calibri"/>
                <w:sz w:val="20"/>
                <w:szCs w:val="20"/>
              </w:rPr>
            </w:pPr>
            <w:r>
              <w:rPr>
                <w:rFonts w:ascii="Times New Roman" w:eastAsia="Times New Roman" w:hAnsi="Times New Roman" w:cs="Times New Roman"/>
                <w:sz w:val="24"/>
                <w:szCs w:val="24"/>
              </w:rPr>
              <w:t>Lower</w:t>
            </w:r>
          </w:p>
        </w:tc>
        <w:tc>
          <w:tcPr>
            <w:tcW w:w="900" w:type="dxa"/>
            <w:tcMar>
              <w:left w:w="40" w:type="dxa"/>
              <w:right w:w="40" w:type="dxa"/>
            </w:tcMar>
            <w:vAlign w:val="bottom"/>
          </w:tcPr>
          <w:p w:rsidR="008177D9" w:rsidRDefault="0031785B">
            <w:pPr>
              <w:spacing w:line="240" w:lineRule="auto"/>
              <w:contextualSpacing w:val="0"/>
              <w:jc w:val="center"/>
              <w:rPr>
                <w:rFonts w:ascii="Calibri" w:eastAsia="Calibri" w:hAnsi="Calibri" w:cs="Calibri"/>
                <w:sz w:val="20"/>
                <w:szCs w:val="20"/>
              </w:rPr>
            </w:pPr>
            <w:r>
              <w:rPr>
                <w:rFonts w:ascii="Times New Roman" w:eastAsia="Times New Roman" w:hAnsi="Times New Roman" w:cs="Times New Roman"/>
                <w:sz w:val="24"/>
                <w:szCs w:val="24"/>
              </w:rPr>
              <w:t>Upper</w:t>
            </w:r>
          </w:p>
        </w:tc>
      </w:tr>
      <w:tr w:rsidR="008177D9">
        <w:tc>
          <w:tcPr>
            <w:tcW w:w="825" w:type="dxa"/>
            <w:tcMar>
              <w:left w:w="40" w:type="dxa"/>
              <w:right w:w="40" w:type="dxa"/>
            </w:tcMar>
          </w:tcPr>
          <w:p w:rsidR="008177D9" w:rsidRDefault="0031785B">
            <w:pPr>
              <w:spacing w:line="240" w:lineRule="auto"/>
              <w:contextualSpacing w:val="0"/>
              <w:rPr>
                <w:rFonts w:ascii="Calibri" w:eastAsia="Calibri" w:hAnsi="Calibri" w:cs="Calibri"/>
                <w:sz w:val="20"/>
                <w:szCs w:val="20"/>
              </w:rPr>
            </w:pPr>
            <w:r>
              <w:rPr>
                <w:rFonts w:ascii="Times New Roman" w:eastAsia="Times New Roman" w:hAnsi="Times New Roman" w:cs="Times New Roman"/>
                <w:sz w:val="24"/>
                <w:szCs w:val="24"/>
              </w:rPr>
              <w:t>1</w:t>
            </w:r>
          </w:p>
        </w:tc>
        <w:tc>
          <w:tcPr>
            <w:tcW w:w="1140" w:type="dxa"/>
            <w:tcMar>
              <w:left w:w="40" w:type="dxa"/>
              <w:right w:w="40" w:type="dxa"/>
            </w:tcMar>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Equal</w:t>
            </w:r>
          </w:p>
          <w:p w:rsidR="008177D9" w:rsidRDefault="0031785B">
            <w:pPr>
              <w:spacing w:line="240" w:lineRule="auto"/>
              <w:contextualSpacing w:val="0"/>
              <w:rPr>
                <w:rFonts w:ascii="Calibri" w:eastAsia="Calibri" w:hAnsi="Calibri" w:cs="Calibri"/>
                <w:sz w:val="20"/>
                <w:szCs w:val="20"/>
              </w:rPr>
            </w:pPr>
            <w:r>
              <w:rPr>
                <w:rFonts w:ascii="Times New Roman" w:eastAsia="Times New Roman" w:hAnsi="Times New Roman" w:cs="Times New Roman"/>
                <w:sz w:val="24"/>
                <w:szCs w:val="24"/>
              </w:rPr>
              <w:t>variances not assumed</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-.516</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19.261</w:t>
            </w:r>
          </w:p>
        </w:tc>
        <w:tc>
          <w:tcPr>
            <w:tcW w:w="945" w:type="dxa"/>
            <w:shd w:val="clear" w:color="auto" w:fill="FFFFFF"/>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highlight w:val="white"/>
              </w:rPr>
              <w:t>.612</w:t>
            </w:r>
            <w:r>
              <w:rPr>
                <w:rFonts w:ascii="Times New Roman" w:eastAsia="Times New Roman" w:hAnsi="Times New Roman" w:cs="Times New Roman"/>
                <w:sz w:val="24"/>
                <w:szCs w:val="24"/>
              </w:rPr>
              <w:t>*</w:t>
            </w:r>
          </w:p>
        </w:tc>
        <w:tc>
          <w:tcPr>
            <w:tcW w:w="1215"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-.354</w:t>
            </w:r>
          </w:p>
        </w:tc>
        <w:tc>
          <w:tcPr>
            <w:tcW w:w="117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.685</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-1.786</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1.079</w:t>
            </w:r>
          </w:p>
        </w:tc>
      </w:tr>
      <w:tr w:rsidR="008177D9">
        <w:tc>
          <w:tcPr>
            <w:tcW w:w="825" w:type="dxa"/>
            <w:tcMar>
              <w:left w:w="40" w:type="dxa"/>
              <w:right w:w="40" w:type="dxa"/>
            </w:tcMar>
          </w:tcPr>
          <w:p w:rsidR="008177D9" w:rsidRDefault="0031785B">
            <w:pPr>
              <w:spacing w:line="240" w:lineRule="auto"/>
              <w:contextualSpacing w:val="0"/>
              <w:rPr>
                <w:rFonts w:ascii="Calibri" w:eastAsia="Calibri" w:hAnsi="Calibri" w:cs="Calibri"/>
                <w:sz w:val="20"/>
                <w:szCs w:val="20"/>
              </w:rPr>
            </w:pPr>
            <w:r>
              <w:rPr>
                <w:rFonts w:ascii="Times New Roman" w:eastAsia="Times New Roman" w:hAnsi="Times New Roman" w:cs="Times New Roman"/>
                <w:sz w:val="24"/>
                <w:szCs w:val="24"/>
              </w:rPr>
              <w:t>2</w:t>
            </w:r>
          </w:p>
        </w:tc>
        <w:tc>
          <w:tcPr>
            <w:tcW w:w="1140" w:type="dxa"/>
            <w:tcMar>
              <w:left w:w="40" w:type="dxa"/>
              <w:right w:w="40" w:type="dxa"/>
            </w:tcMar>
          </w:tcPr>
          <w:p w:rsidR="008177D9" w:rsidRDefault="0031785B">
            <w:pPr>
              <w:spacing w:line="240" w:lineRule="auto"/>
              <w:contextualSpacing w:val="0"/>
              <w:rPr>
                <w:rFonts w:ascii="Calibri" w:eastAsia="Calibri" w:hAnsi="Calibri" w:cs="Calibri"/>
                <w:sz w:val="20"/>
                <w:szCs w:val="20"/>
              </w:rPr>
            </w:pPr>
            <w:r>
              <w:rPr>
                <w:rFonts w:ascii="Times New Roman" w:eastAsia="Times New Roman" w:hAnsi="Times New Roman" w:cs="Times New Roman"/>
                <w:sz w:val="24"/>
                <w:szCs w:val="24"/>
              </w:rPr>
              <w:t>Equal variances not assumed</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-1.319</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17.840</w:t>
            </w:r>
          </w:p>
        </w:tc>
        <w:tc>
          <w:tcPr>
            <w:tcW w:w="945" w:type="dxa"/>
            <w:shd w:val="clear" w:color="auto" w:fill="FFFFFF"/>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highlight w:val="white"/>
              </w:rPr>
              <w:t>.204</w:t>
            </w:r>
            <w:r>
              <w:rPr>
                <w:rFonts w:ascii="Times New Roman" w:eastAsia="Times New Roman" w:hAnsi="Times New Roman" w:cs="Times New Roman"/>
                <w:sz w:val="24"/>
                <w:szCs w:val="24"/>
              </w:rPr>
              <w:t>*</w:t>
            </w:r>
          </w:p>
        </w:tc>
        <w:tc>
          <w:tcPr>
            <w:tcW w:w="1215"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-.696</w:t>
            </w:r>
          </w:p>
        </w:tc>
        <w:tc>
          <w:tcPr>
            <w:tcW w:w="117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.528</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-1.807</w:t>
            </w:r>
          </w:p>
        </w:tc>
        <w:tc>
          <w:tcPr>
            <w:tcW w:w="900" w:type="dxa"/>
            <w:tcMar>
              <w:left w:w="40" w:type="dxa"/>
              <w:right w:w="40" w:type="dxa"/>
            </w:tcMar>
            <w:vAlign w:val="center"/>
          </w:tcPr>
          <w:p w:rsidR="008177D9" w:rsidRDefault="0031785B">
            <w:pPr>
              <w:spacing w:line="240" w:lineRule="auto"/>
              <w:contextualSpacing w:val="0"/>
              <w:jc w:val="right"/>
              <w:rPr>
                <w:rFonts w:ascii="Calibri" w:eastAsia="Calibri" w:hAnsi="Calibri" w:cs="Calibri"/>
                <w:sz w:val="20"/>
                <w:szCs w:val="20"/>
              </w:rPr>
            </w:pPr>
            <w:r>
              <w:rPr>
                <w:rFonts w:ascii="Times New Roman" w:eastAsia="Times New Roman" w:hAnsi="Times New Roman" w:cs="Times New Roman"/>
                <w:sz w:val="24"/>
                <w:szCs w:val="24"/>
              </w:rPr>
              <w:t>.414</w:t>
            </w:r>
          </w:p>
        </w:tc>
      </w:tr>
    </w:tbl>
    <w:p w:rsidR="008177D9" w:rsidRDefault="008177D9">
      <w:pPr>
        <w:spacing w:line="480" w:lineRule="auto"/>
        <w:rPr>
          <w:rFonts w:ascii="Times New Roman" w:eastAsia="Times New Roman" w:hAnsi="Times New Roman" w:cs="Times New Roman"/>
          <w:sz w:val="24"/>
          <w:szCs w:val="24"/>
        </w:rPr>
      </w:pPr>
    </w:p>
    <w:p w:rsidR="008177D9" w:rsidRDefault="0031785B" w:rsidP="00085C9A">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P values are &gt; 0.05. There is no statistically significant difference on reading level growth between treatment and non-treatment groups at .05 level for both Grade 1 and Grade 2 students.</w:t>
      </w:r>
    </w:p>
    <w:p w:rsidR="00085C9A" w:rsidRPr="00085C9A" w:rsidRDefault="00085C9A" w:rsidP="00085C9A">
      <w:pPr>
        <w:spacing w:line="480" w:lineRule="auto"/>
        <w:rPr>
          <w:rFonts w:ascii="Times New Roman" w:eastAsia="Times New Roman" w:hAnsi="Times New Roman" w:cs="Times New Roman"/>
          <w:i/>
          <w:sz w:val="24"/>
          <w:szCs w:val="24"/>
        </w:rPr>
      </w:pPr>
    </w:p>
    <w:p w:rsidR="008177D9" w:rsidRDefault="0031785B">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Table 4. </w:t>
      </w:r>
      <w:r>
        <w:rPr>
          <w:rFonts w:ascii="Times New Roman" w:eastAsia="Times New Roman" w:hAnsi="Times New Roman" w:cs="Times New Roman"/>
          <w:i/>
          <w:sz w:val="24"/>
          <w:szCs w:val="24"/>
        </w:rPr>
        <w:t xml:space="preserve">Comparing percentages of students with improvement on reading level between treatment vs. control groups </w:t>
      </w:r>
    </w:p>
    <w:p w:rsidR="008177D9" w:rsidRDefault="008177D9">
      <w:pPr>
        <w:spacing w:line="480" w:lineRule="auto"/>
        <w:rPr>
          <w:rFonts w:ascii="Times New Roman" w:eastAsia="Times New Roman" w:hAnsi="Times New Roman" w:cs="Times New Roman"/>
          <w:sz w:val="24"/>
          <w:szCs w:val="24"/>
        </w:rPr>
      </w:pPr>
    </w:p>
    <w:tbl>
      <w:tblPr>
        <w:tblStyle w:val="a4"/>
        <w:bidiVisual/>
        <w:tblW w:w="8895"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515"/>
        <w:gridCol w:w="1515"/>
        <w:gridCol w:w="1380"/>
        <w:gridCol w:w="1365"/>
        <w:gridCol w:w="1395"/>
        <w:gridCol w:w="1725"/>
      </w:tblGrid>
      <w:tr w:rsidR="008177D9">
        <w:tc>
          <w:tcPr>
            <w:tcW w:w="1515" w:type="dxa"/>
            <w:vMerge w:val="restart"/>
            <w:tcMar>
              <w:top w:w="40" w:type="dxa"/>
              <w:left w:w="40" w:type="dxa"/>
              <w:bottom w:w="40" w:type="dxa"/>
              <w:right w:w="40" w:type="dxa"/>
            </w:tcMar>
            <w:vAlign w:val="bottom"/>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Grade Level/ Treatment Status</w:t>
            </w:r>
          </w:p>
        </w:tc>
        <w:tc>
          <w:tcPr>
            <w:tcW w:w="2895" w:type="dxa"/>
            <w:gridSpan w:val="2"/>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No Improvement on Reading Level</w:t>
            </w:r>
          </w:p>
        </w:tc>
        <w:tc>
          <w:tcPr>
            <w:tcW w:w="2760" w:type="dxa"/>
            <w:gridSpan w:val="2"/>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With Improvement on Reading Level</w:t>
            </w:r>
          </w:p>
        </w:tc>
        <w:tc>
          <w:tcPr>
            <w:tcW w:w="1725" w:type="dxa"/>
            <w:vMerge w:val="restart"/>
            <w:tcMar>
              <w:top w:w="40" w:type="dxa"/>
              <w:left w:w="40" w:type="dxa"/>
              <w:bottom w:w="40" w:type="dxa"/>
              <w:right w:w="40" w:type="dxa"/>
            </w:tcMar>
            <w:vAlign w:val="bottom"/>
          </w:tcPr>
          <w:p w:rsidR="008177D9" w:rsidRDefault="0031785B">
            <w:pPr>
              <w:spacing w:line="24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Total Student Count</w:t>
            </w:r>
          </w:p>
        </w:tc>
      </w:tr>
      <w:tr w:rsidR="008177D9">
        <w:tc>
          <w:tcPr>
            <w:tcW w:w="1515" w:type="dxa"/>
            <w:vMerge/>
            <w:tcMar>
              <w:top w:w="40" w:type="dxa"/>
              <w:left w:w="40" w:type="dxa"/>
              <w:bottom w:w="40" w:type="dxa"/>
              <w:right w:w="40" w:type="dxa"/>
            </w:tcMar>
            <w:vAlign w:val="bottom"/>
          </w:tcPr>
          <w:p w:rsidR="008177D9" w:rsidRDefault="008177D9">
            <w:pPr>
              <w:spacing w:line="480" w:lineRule="auto"/>
              <w:contextualSpacing w:val="0"/>
              <w:rPr>
                <w:sz w:val="20"/>
                <w:szCs w:val="20"/>
              </w:rPr>
            </w:pPr>
          </w:p>
        </w:tc>
        <w:tc>
          <w:tcPr>
            <w:tcW w:w="1515" w:type="dxa"/>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Student Count</w:t>
            </w:r>
          </w:p>
        </w:tc>
        <w:tc>
          <w:tcPr>
            <w:tcW w:w="1380" w:type="dxa"/>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w:t>
            </w:r>
          </w:p>
        </w:tc>
        <w:tc>
          <w:tcPr>
            <w:tcW w:w="13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Student Count</w:t>
            </w:r>
          </w:p>
        </w:tc>
        <w:tc>
          <w:tcPr>
            <w:tcW w:w="1395" w:type="dxa"/>
            <w:tcMar>
              <w:top w:w="100" w:type="dxa"/>
              <w:left w:w="100" w:type="dxa"/>
              <w:bottom w:w="100" w:type="dxa"/>
              <w:right w:w="10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w:t>
            </w:r>
          </w:p>
        </w:tc>
        <w:tc>
          <w:tcPr>
            <w:tcW w:w="1725" w:type="dxa"/>
            <w:vMerge/>
            <w:tcMar>
              <w:top w:w="40" w:type="dxa"/>
              <w:left w:w="40" w:type="dxa"/>
              <w:bottom w:w="40" w:type="dxa"/>
              <w:right w:w="40" w:type="dxa"/>
            </w:tcMar>
            <w:vAlign w:val="bottom"/>
          </w:tcPr>
          <w:p w:rsidR="008177D9" w:rsidRDefault="008177D9">
            <w:pPr>
              <w:spacing w:line="480" w:lineRule="auto"/>
              <w:contextualSpacing w:val="0"/>
              <w:rPr>
                <w:sz w:val="20"/>
                <w:szCs w:val="20"/>
              </w:rPr>
            </w:pPr>
          </w:p>
        </w:tc>
      </w:tr>
      <w:tr w:rsidR="008177D9">
        <w:tc>
          <w:tcPr>
            <w:tcW w:w="151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Grade 1</w:t>
            </w:r>
          </w:p>
        </w:tc>
        <w:tc>
          <w:tcPr>
            <w:tcW w:w="151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3</w:t>
            </w:r>
          </w:p>
        </w:tc>
        <w:tc>
          <w:tcPr>
            <w:tcW w:w="138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10.34%</w:t>
            </w:r>
          </w:p>
        </w:tc>
        <w:tc>
          <w:tcPr>
            <w:tcW w:w="136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26</w:t>
            </w:r>
          </w:p>
        </w:tc>
        <w:tc>
          <w:tcPr>
            <w:tcW w:w="13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89.66%</w:t>
            </w:r>
          </w:p>
        </w:tc>
        <w:tc>
          <w:tcPr>
            <w:tcW w:w="172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29</w:t>
            </w:r>
          </w:p>
        </w:tc>
      </w:tr>
      <w:tr w:rsidR="008177D9">
        <w:tc>
          <w:tcPr>
            <w:tcW w:w="151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No</w:t>
            </w:r>
          </w:p>
        </w:tc>
        <w:tc>
          <w:tcPr>
            <w:tcW w:w="151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w:t>
            </w:r>
          </w:p>
        </w:tc>
        <w:tc>
          <w:tcPr>
            <w:tcW w:w="138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11.11%</w:t>
            </w:r>
          </w:p>
        </w:tc>
        <w:tc>
          <w:tcPr>
            <w:tcW w:w="136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16</w:t>
            </w:r>
          </w:p>
        </w:tc>
        <w:tc>
          <w:tcPr>
            <w:tcW w:w="13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88.89%</w:t>
            </w:r>
          </w:p>
        </w:tc>
        <w:tc>
          <w:tcPr>
            <w:tcW w:w="172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18</w:t>
            </w:r>
          </w:p>
        </w:tc>
      </w:tr>
      <w:tr w:rsidR="008177D9">
        <w:tc>
          <w:tcPr>
            <w:tcW w:w="151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Yes</w:t>
            </w:r>
          </w:p>
        </w:tc>
        <w:tc>
          <w:tcPr>
            <w:tcW w:w="151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w:t>
            </w:r>
          </w:p>
        </w:tc>
        <w:tc>
          <w:tcPr>
            <w:tcW w:w="138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9.09%</w:t>
            </w:r>
          </w:p>
        </w:tc>
        <w:tc>
          <w:tcPr>
            <w:tcW w:w="136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10</w:t>
            </w:r>
          </w:p>
        </w:tc>
        <w:tc>
          <w:tcPr>
            <w:tcW w:w="13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90.91%</w:t>
            </w:r>
          </w:p>
        </w:tc>
        <w:tc>
          <w:tcPr>
            <w:tcW w:w="172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11</w:t>
            </w:r>
          </w:p>
        </w:tc>
      </w:tr>
      <w:tr w:rsidR="008177D9">
        <w:tc>
          <w:tcPr>
            <w:tcW w:w="151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Grade 2</w:t>
            </w:r>
          </w:p>
        </w:tc>
        <w:tc>
          <w:tcPr>
            <w:tcW w:w="151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w:t>
            </w:r>
          </w:p>
        </w:tc>
        <w:tc>
          <w:tcPr>
            <w:tcW w:w="138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4.55%</w:t>
            </w:r>
          </w:p>
        </w:tc>
        <w:tc>
          <w:tcPr>
            <w:tcW w:w="136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21</w:t>
            </w:r>
          </w:p>
        </w:tc>
        <w:tc>
          <w:tcPr>
            <w:tcW w:w="13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95.45%</w:t>
            </w:r>
          </w:p>
        </w:tc>
        <w:tc>
          <w:tcPr>
            <w:tcW w:w="172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22</w:t>
            </w:r>
          </w:p>
        </w:tc>
      </w:tr>
      <w:tr w:rsidR="008177D9">
        <w:tc>
          <w:tcPr>
            <w:tcW w:w="151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No</w:t>
            </w:r>
          </w:p>
        </w:tc>
        <w:tc>
          <w:tcPr>
            <w:tcW w:w="1515" w:type="dxa"/>
            <w:shd w:val="clear" w:color="auto" w:fill="FFFFFF"/>
            <w:tcMar>
              <w:top w:w="40" w:type="dxa"/>
              <w:left w:w="40" w:type="dxa"/>
              <w:bottom w:w="40" w:type="dxa"/>
              <w:right w:w="40" w:type="dxa"/>
            </w:tcMar>
            <w:vAlign w:val="bottom"/>
          </w:tcPr>
          <w:p w:rsidR="008177D9" w:rsidRDefault="0031785B">
            <w:pPr>
              <w:spacing w:line="240" w:lineRule="auto"/>
              <w:contextualSpacing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38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0.00%</w:t>
            </w:r>
          </w:p>
        </w:tc>
        <w:tc>
          <w:tcPr>
            <w:tcW w:w="136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8</w:t>
            </w:r>
          </w:p>
        </w:tc>
        <w:tc>
          <w:tcPr>
            <w:tcW w:w="13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100.00%</w:t>
            </w:r>
          </w:p>
        </w:tc>
        <w:tc>
          <w:tcPr>
            <w:tcW w:w="172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8</w:t>
            </w:r>
          </w:p>
        </w:tc>
      </w:tr>
      <w:tr w:rsidR="008177D9">
        <w:tc>
          <w:tcPr>
            <w:tcW w:w="151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Yes</w:t>
            </w:r>
          </w:p>
        </w:tc>
        <w:tc>
          <w:tcPr>
            <w:tcW w:w="151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w:t>
            </w:r>
          </w:p>
        </w:tc>
        <w:tc>
          <w:tcPr>
            <w:tcW w:w="138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7.14%</w:t>
            </w:r>
          </w:p>
        </w:tc>
        <w:tc>
          <w:tcPr>
            <w:tcW w:w="136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13</w:t>
            </w:r>
          </w:p>
        </w:tc>
        <w:tc>
          <w:tcPr>
            <w:tcW w:w="13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92.86%</w:t>
            </w:r>
          </w:p>
        </w:tc>
        <w:tc>
          <w:tcPr>
            <w:tcW w:w="172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14</w:t>
            </w:r>
          </w:p>
        </w:tc>
      </w:tr>
    </w:tbl>
    <w:p w:rsidR="008177D9" w:rsidRDefault="008177D9">
      <w:pPr>
        <w:spacing w:line="480" w:lineRule="auto"/>
        <w:rPr>
          <w:rFonts w:ascii="Times New Roman" w:eastAsia="Times New Roman" w:hAnsi="Times New Roman" w:cs="Times New Roman"/>
          <w:sz w:val="24"/>
          <w:szCs w:val="24"/>
        </w:rPr>
      </w:pPr>
    </w:p>
    <w:p w:rsidR="008177D9" w:rsidRDefault="0031785B" w:rsidP="00085C9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Disaggregated by grade level and treatment status, the number of students who did not improve their reading levels were fewer than 5. As a result, the two-proportional z-test is not valid for this dataset.</w:t>
      </w:r>
    </w:p>
    <w:p w:rsidR="008177D9" w:rsidRDefault="008177D9">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Table 5. </w:t>
      </w:r>
      <w:r>
        <w:rPr>
          <w:rFonts w:ascii="Times New Roman" w:eastAsia="Times New Roman" w:hAnsi="Times New Roman" w:cs="Times New Roman"/>
          <w:i/>
          <w:sz w:val="24"/>
          <w:szCs w:val="24"/>
        </w:rPr>
        <w:t>Comparing treatment vs non-treatment student growth on F&amp;P from beginning of year to middle of year by student subgroup</w:t>
      </w:r>
    </w:p>
    <w:p w:rsidR="008177D9" w:rsidRDefault="008177D9">
      <w:pPr>
        <w:spacing w:line="480" w:lineRule="auto"/>
        <w:rPr>
          <w:rFonts w:ascii="Times New Roman" w:eastAsia="Times New Roman" w:hAnsi="Times New Roman" w:cs="Times New Roman"/>
          <w:sz w:val="24"/>
          <w:szCs w:val="24"/>
        </w:rPr>
      </w:pPr>
    </w:p>
    <w:tbl>
      <w:tblPr>
        <w:tblStyle w:val="a5"/>
        <w:bidiVisual/>
        <w:tblW w:w="7860"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65"/>
        <w:gridCol w:w="1695"/>
        <w:gridCol w:w="1500"/>
        <w:gridCol w:w="1500"/>
        <w:gridCol w:w="1500"/>
      </w:tblGrid>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Row Labels</w:t>
            </w:r>
          </w:p>
        </w:tc>
        <w:tc>
          <w:tcPr>
            <w:tcW w:w="169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No Treatment Student Count</w:t>
            </w:r>
          </w:p>
        </w:tc>
        <w:tc>
          <w:tcPr>
            <w:tcW w:w="1500"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Treatment Student Count</w:t>
            </w:r>
          </w:p>
        </w:tc>
        <w:tc>
          <w:tcPr>
            <w:tcW w:w="1500"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No Treatment Student Growth</w:t>
            </w:r>
          </w:p>
        </w:tc>
        <w:tc>
          <w:tcPr>
            <w:tcW w:w="1500"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Treatment Student Growth</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AA</w:t>
            </w:r>
          </w:p>
        </w:tc>
        <w:tc>
          <w:tcPr>
            <w:tcW w:w="16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14</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6</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2.86</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2.83</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Asian</w:t>
            </w:r>
          </w:p>
        </w:tc>
        <w:tc>
          <w:tcPr>
            <w:tcW w:w="16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5</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5</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Hispanic</w:t>
            </w:r>
          </w:p>
        </w:tc>
        <w:tc>
          <w:tcPr>
            <w:tcW w:w="16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5</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9</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2.22*</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White</w:t>
            </w:r>
          </w:p>
        </w:tc>
        <w:tc>
          <w:tcPr>
            <w:tcW w:w="16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6</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8</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2.63*</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SPED</w:t>
            </w:r>
          </w:p>
        </w:tc>
        <w:tc>
          <w:tcPr>
            <w:tcW w:w="16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11</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2.09</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w:t>
            </w:r>
          </w:p>
        </w:tc>
      </w:tr>
      <w:tr w:rsidR="008177D9">
        <w:tc>
          <w:tcPr>
            <w:tcW w:w="1665" w:type="dxa"/>
            <w:tcMar>
              <w:top w:w="40" w:type="dxa"/>
              <w:left w:w="40" w:type="dxa"/>
              <w:bottom w:w="40" w:type="dxa"/>
              <w:right w:w="40" w:type="dxa"/>
            </w:tcMar>
            <w:vAlign w:val="bottom"/>
          </w:tcPr>
          <w:p w:rsidR="008177D9" w:rsidRDefault="0031785B">
            <w:pPr>
              <w:spacing w:line="240" w:lineRule="auto"/>
              <w:contextualSpacing w:val="0"/>
              <w:rPr>
                <w:sz w:val="20"/>
                <w:szCs w:val="20"/>
              </w:rPr>
            </w:pPr>
            <w:r>
              <w:rPr>
                <w:rFonts w:ascii="Times New Roman" w:eastAsia="Times New Roman" w:hAnsi="Times New Roman" w:cs="Times New Roman"/>
                <w:sz w:val="24"/>
                <w:szCs w:val="24"/>
              </w:rPr>
              <w:t>ELL</w:t>
            </w:r>
          </w:p>
        </w:tc>
        <w:tc>
          <w:tcPr>
            <w:tcW w:w="1695"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9</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11</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2.56</w:t>
            </w:r>
          </w:p>
        </w:tc>
        <w:tc>
          <w:tcPr>
            <w:tcW w:w="1500" w:type="dxa"/>
            <w:tcMar>
              <w:top w:w="40" w:type="dxa"/>
              <w:left w:w="40" w:type="dxa"/>
              <w:bottom w:w="40" w:type="dxa"/>
              <w:right w:w="40" w:type="dxa"/>
            </w:tcMar>
            <w:vAlign w:val="bottom"/>
          </w:tcPr>
          <w:p w:rsidR="008177D9" w:rsidRDefault="0031785B">
            <w:pPr>
              <w:spacing w:line="240" w:lineRule="auto"/>
              <w:contextualSpacing w:val="0"/>
              <w:jc w:val="right"/>
              <w:rPr>
                <w:sz w:val="20"/>
                <w:szCs w:val="20"/>
              </w:rPr>
            </w:pPr>
            <w:r>
              <w:rPr>
                <w:rFonts w:ascii="Times New Roman" w:eastAsia="Times New Roman" w:hAnsi="Times New Roman" w:cs="Times New Roman"/>
                <w:sz w:val="24"/>
                <w:szCs w:val="24"/>
              </w:rPr>
              <w:t>2.55</w:t>
            </w:r>
          </w:p>
        </w:tc>
      </w:tr>
    </w:tbl>
    <w:p w:rsidR="008177D9" w:rsidRDefault="008177D9">
      <w:pPr>
        <w:spacing w:line="480" w:lineRule="auto"/>
        <w:rPr>
          <w:rFonts w:ascii="Times New Roman" w:eastAsia="Times New Roman" w:hAnsi="Times New Roman" w:cs="Times New Roman"/>
          <w:sz w:val="24"/>
          <w:szCs w:val="24"/>
        </w:rPr>
      </w:pP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Treatment students outperformed non-treatment students for Hispanic and white student groups.</w:t>
      </w:r>
    </w:p>
    <w:p w:rsidR="008177D9" w:rsidRDefault="008177D9">
      <w:pPr>
        <w:spacing w:line="480" w:lineRule="auto"/>
        <w:rPr>
          <w:rFonts w:ascii="Times New Roman" w:eastAsia="Times New Roman" w:hAnsi="Times New Roman" w:cs="Times New Roman"/>
          <w:i/>
          <w:sz w:val="24"/>
          <w:szCs w:val="24"/>
        </w:rPr>
      </w:pPr>
    </w:p>
    <w:p w:rsidR="008177D9" w:rsidRDefault="008177D9">
      <w:pPr>
        <w:spacing w:line="480" w:lineRule="auto"/>
        <w:rPr>
          <w:rFonts w:ascii="Times New Roman" w:eastAsia="Times New Roman" w:hAnsi="Times New Roman" w:cs="Times New Roman"/>
          <w:i/>
          <w:sz w:val="24"/>
          <w:szCs w:val="24"/>
        </w:rPr>
      </w:pPr>
    </w:p>
    <w:p w:rsidR="008177D9" w:rsidRDefault="008177D9">
      <w:pPr>
        <w:spacing w:line="480" w:lineRule="auto"/>
        <w:rPr>
          <w:rFonts w:ascii="Times New Roman" w:eastAsia="Times New Roman" w:hAnsi="Times New Roman" w:cs="Times New Roman"/>
          <w:i/>
          <w:sz w:val="24"/>
          <w:szCs w:val="24"/>
        </w:rPr>
      </w:pPr>
    </w:p>
    <w:p w:rsidR="008177D9" w:rsidRDefault="008177D9">
      <w:pPr>
        <w:spacing w:line="480" w:lineRule="auto"/>
        <w:rPr>
          <w:rFonts w:ascii="Times New Roman" w:eastAsia="Times New Roman" w:hAnsi="Times New Roman" w:cs="Times New Roman"/>
          <w:i/>
          <w:sz w:val="24"/>
          <w:szCs w:val="24"/>
        </w:rPr>
      </w:pPr>
    </w:p>
    <w:p w:rsidR="008177D9" w:rsidRDefault="008177D9">
      <w:pPr>
        <w:spacing w:line="480" w:lineRule="auto"/>
        <w:rPr>
          <w:rFonts w:ascii="Times New Roman" w:eastAsia="Times New Roman" w:hAnsi="Times New Roman" w:cs="Times New Roman"/>
          <w:i/>
          <w:sz w:val="24"/>
          <w:szCs w:val="24"/>
        </w:rPr>
      </w:pPr>
    </w:p>
    <w:p w:rsidR="008177D9" w:rsidRDefault="008177D9">
      <w:pPr>
        <w:spacing w:line="480" w:lineRule="auto"/>
        <w:rPr>
          <w:rFonts w:ascii="Times New Roman" w:eastAsia="Times New Roman" w:hAnsi="Times New Roman" w:cs="Times New Roman"/>
          <w:i/>
          <w:sz w:val="24"/>
          <w:szCs w:val="24"/>
        </w:rPr>
      </w:pPr>
    </w:p>
    <w:p w:rsidR="008177D9" w:rsidRDefault="008177D9">
      <w:pPr>
        <w:spacing w:line="480" w:lineRule="auto"/>
        <w:rPr>
          <w:rFonts w:ascii="Times New Roman" w:eastAsia="Times New Roman" w:hAnsi="Times New Roman" w:cs="Times New Roman"/>
          <w:i/>
          <w:sz w:val="24"/>
          <w:szCs w:val="24"/>
        </w:rPr>
      </w:pPr>
    </w:p>
    <w:p w:rsidR="008177D9" w:rsidRDefault="00085C9A" w:rsidP="00085C9A">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br w:type="page"/>
      </w:r>
    </w:p>
    <w:p w:rsidR="008177D9" w:rsidRPr="00085C9A" w:rsidRDefault="0031785B" w:rsidP="00085C9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V</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rsidR="008177D9" w:rsidRDefault="0031785B">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null hypothesis </w:t>
      </w:r>
      <w:r>
        <w:rPr>
          <w:rFonts w:ascii="Times New Roman" w:eastAsia="Times New Roman" w:hAnsi="Times New Roman" w:cs="Times New Roman"/>
          <w:sz w:val="24"/>
          <w:szCs w:val="24"/>
          <w:highlight w:val="white"/>
        </w:rPr>
        <w:t xml:space="preserve">that there will be no significant difference in the reading achievements of Targeted Title One students in the Leveled Literacy Intervention as compared to students in the same grades that are reading below grade level and not identified as Targeted Title One students was accepted. As shown in Table 2 and Table 3, while the treatment groups at both grade levels did achieve greater achievement results than both non-treatment groups, the difference was not at a level of significance. </w:t>
      </w:r>
    </w:p>
    <w:p w:rsidR="008177D9" w:rsidRDefault="0031785B">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The average growth for the 11 students in grade 1 who received the treatment was 2.91 which translates to nearly three reading levels, while the non-treatment group demonstrated an average growth of 2.56, about two and a half reading levels. Students in grade 2 who received the treatment grew by 2.57 levels, similar to the non-treatment group in grade 1, while the non-treatment group in grade 2 increased by only 1.88, less than 2 reading levels. The standard deviation was least in the grade 2 non-treatment group, indicating that the group that demonstrated the least growth also had the greatest number of students clustered around the same low level of growth. </w:t>
      </w:r>
    </w:p>
    <w:p w:rsidR="008177D9" w:rsidRDefault="0031785B">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Table 3 exhibits the significance levels for the 2-tailed test for grades 1 and 2 as .612 and .204 respectively. A significant difference would be noted at less than .05, therefore students’ results at both grade levels did not demonstrate a difference significant enough to suggest that participation in the Leveled Literacy Intervention was responsible for the increase in reading levels. </w:t>
      </w:r>
    </w:p>
    <w:p w:rsidR="008177D9" w:rsidRDefault="008177D9">
      <w:pPr>
        <w:spacing w:line="480" w:lineRule="auto"/>
        <w:rPr>
          <w:rFonts w:ascii="Times New Roman" w:eastAsia="Times New Roman" w:hAnsi="Times New Roman" w:cs="Times New Roman"/>
          <w:sz w:val="24"/>
          <w:szCs w:val="24"/>
          <w:highlight w:val="white"/>
        </w:rPr>
      </w:pPr>
    </w:p>
    <w:p w:rsidR="008177D9" w:rsidRDefault="008177D9">
      <w:pPr>
        <w:spacing w:line="480" w:lineRule="auto"/>
        <w:rPr>
          <w:rFonts w:ascii="Times New Roman" w:eastAsia="Times New Roman" w:hAnsi="Times New Roman" w:cs="Times New Roman"/>
          <w:sz w:val="24"/>
          <w:szCs w:val="24"/>
          <w:highlight w:val="white"/>
        </w:rPr>
      </w:pPr>
    </w:p>
    <w:p w:rsidR="008177D9" w:rsidRDefault="0031785B">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As Table 4 shows, there were only 4 students whose reading level did not improve over the 14 week time period. The majority of those students, 75%, were in grade 1. The students who did not improve were split in half in terms of treatment; 2 of the students participated in the treatment and 2 did not. </w:t>
      </w:r>
    </w:p>
    <w:p w:rsidR="008177D9" w:rsidRDefault="0031785B">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Table 5 illustrates that only 2 student groups, Hispanic and white students, who received treatment outperformed their non-treatment counterparts. However, the remainder of the groups showed equitable growth with their counterparts with growth scores for Asian students being equal while African American students and English Language Learners each had growth scores between treatment and non-treatment groups that were within a hundredth of a point of each other.</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Implications of Research</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of this study imply that the implementation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w:t>
      </w:r>
      <w:proofErr w:type="spellEnd"/>
      <w:r>
        <w:rPr>
          <w:rFonts w:ascii="Times New Roman" w:eastAsia="Times New Roman" w:hAnsi="Times New Roman" w:cs="Times New Roman"/>
          <w:sz w:val="24"/>
          <w:szCs w:val="24"/>
        </w:rPr>
        <w:t xml:space="preserve"> Leveled Literacy Intervention does not significantly affect the growth of reading achievement by primary students who are identified as Targeted Title One students. While growth was achieved by the majority of the students in the treatment groups, those not in the treatment groups achieved similar growth whether examined by grade level, by race (except for White), or by special service program such as Special Education and ELL</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Overall, 23 of the 25 students (92%) who received the treatment increased their reading levels. However, 24 out of 26 students who did not receive the treatment also increased their reading levels which is also 92%. </w:t>
      </w:r>
    </w:p>
    <w:p w:rsidR="008177D9"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results are in contrast to the large body of evidence available via prior research by a number of institutions and researchers. For this reason, it is important to explore the threats to validity of this study. </w:t>
      </w:r>
    </w:p>
    <w:p w:rsidR="00085C9A" w:rsidRDefault="00085C9A">
      <w:pPr>
        <w:spacing w:line="480" w:lineRule="auto"/>
        <w:ind w:firstLine="720"/>
        <w:jc w:val="center"/>
        <w:rPr>
          <w:rFonts w:ascii="Times New Roman" w:eastAsia="Times New Roman" w:hAnsi="Times New Roman" w:cs="Times New Roman"/>
          <w:b/>
          <w:sz w:val="24"/>
          <w:szCs w:val="24"/>
        </w:rPr>
      </w:pPr>
    </w:p>
    <w:p w:rsidR="008177D9" w:rsidRDefault="0031785B">
      <w:pPr>
        <w:spacing w:line="48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Threats to Validity</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reasons to have concerns regarding internal validity of quasi-experimental designs. One of the most notable concerns may be in relation to the selection process which is not randomized. In the case of this study, students were chosen based on their categorization as either “Targeted Title One students” or “not Targeted Title One students”. While this methodology was employed as a matter of convenience sampling, it was also utilized to minimize ethical concerns regarding purposeful exclusion of students from participation in a group that could potentially improve their academic success. However, choosing students in this way may result in groups whose data could reflect some other unobserved factor shared by the majority of a group that is affecting the outcome of a study. For instance, students who are identified as Targeted Title One students are potentially dealing with issues associated with poverty (</w:t>
      </w:r>
      <w:proofErr w:type="spellStart"/>
      <w:r>
        <w:rPr>
          <w:rFonts w:ascii="Times New Roman" w:eastAsia="Times New Roman" w:hAnsi="Times New Roman" w:cs="Times New Roman"/>
          <w:sz w:val="24"/>
          <w:szCs w:val="24"/>
        </w:rPr>
        <w:t>eg</w:t>
      </w:r>
      <w:proofErr w:type="spellEnd"/>
      <w:r>
        <w:rPr>
          <w:rFonts w:ascii="Times New Roman" w:eastAsia="Times New Roman" w:hAnsi="Times New Roman" w:cs="Times New Roman"/>
          <w:sz w:val="24"/>
          <w:szCs w:val="24"/>
        </w:rPr>
        <w:t xml:space="preserve">, attendance, stress levels, lack of support at home, health issues) to a greater extent than those students who are not identified as such. Those increased factors, if shared by the group, could contribute to a lesser degree of growth. </w:t>
      </w:r>
    </w:p>
    <w:p w:rsidR="008177D9"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threat to validity is repeated testing. As students repeatedly take the same test over a period of time they are apt to better understand the format and expectations of the assessment and therefore naturally achieve better scores. Students in grade 2 that were in Anne Arundel County Public Schools in grade 1 would have been administered the test at least 3 times prior to taking the beginning of year assessment used as the benchmark in this study while students who were not in Anne Arundel County Public Schools the previous year may not have been exposed to the test. Students in grade 1 would have only been administered the test once in Kindergarten if they attended Anne Arundel County Public Schools the previous year. For this reason, the validity of the data could be questioned in regards to an analysis of students just within grade 2 due to disparities in exposure to the test. Additionally, the validity overall can be questioned when the data is aggregated due to the increased exposure of grade 2 students over that of grade 1 students to the test. </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threat to validity is maturation, particularly of students in grade 1. Students in the beginning of grade 1 by the time the beginning of year testing window begins are still adjusting to the differences between an early childhood classroom and a primary level classroom. Between October and February, students in grade 1 are likely to develop increased concentration skills and perseverance in relation to academic activities. The behavioral and cognitive changes that occur during that time period are likely to affect a majority of students in that grade, creating an outside factor that could be related to achievement gains. </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Differential attrition is another threat to validity. For this study, only those students who participated from the beginning of the testing period to the end were included. Students who left or joined the groups during the testing period were not included. This methodology was used to minimize the interference of outside factors that could potentially affect data, but reduces the sample size and does not account for students who may have been dismissed from the intervention group due to successful achievement of grade level reading expectations.</w:t>
      </w:r>
    </w:p>
    <w:p w:rsidR="008177D9" w:rsidRDefault="0031785B" w:rsidP="00085C9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final threat to the internal validity of this study which potentially has the greatest influence on the outcome of the data is history. Activities outside of the intervention affected the ability of the Student Instructional Support Teachers to deliver the Leveled Literacy Intervention with fidelity. Approximately 1-3 times per week (and sometimes more), Student Instructional Support Teachers were utilized as substitute teachers within the school building to teach in classrooms in which teachers were absent to attend meetings and professional developments, as well as for personal reasons. As a result, Student Instructional Support Teachers were unable to deliver interventions to students on those days.</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Similar Research</w:t>
      </w:r>
    </w:p>
    <w:p w:rsidR="008177D9" w:rsidRDefault="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investigator could not locate any research with similar results to this study. Current available research on the efficacy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is supportive of the intervention’s ability to contribute to an improvement of reading level of students participating in the intervention, particularly among students in primary grades. </w:t>
      </w:r>
    </w:p>
    <w:p w:rsidR="008177D9" w:rsidRDefault="0031785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Implications on Future Research</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Future studies could examine the same specific question regarding the effects of Leveled Literacy Intervention on Targeted Title 1 students but with a focus on one specific grade level and with a larger population of students. Additionally, the same type of study could be employed utilizing similar populations but in comparison with other Tier 2 interventions. </w:t>
      </w:r>
    </w:p>
    <w:p w:rsidR="008177D9" w:rsidRDefault="0031785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most important factors of conducting another study in regards to the efficacy of the intervention would be to find a way in which the fidelity of the intervention is able to be upheld. Ensuring that students are consistently and reliably receiving the intervention is crucial to analyzing its efficacy. </w:t>
      </w: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p>
    <w:p w:rsidR="0031785B" w:rsidRDefault="0031785B" w:rsidP="0031785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8177D9" w:rsidRPr="0031785B" w:rsidRDefault="0031785B" w:rsidP="0031785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References</w:t>
      </w:r>
    </w:p>
    <w:p w:rsidR="00524DB5" w:rsidRDefault="0031785B" w:rsidP="00524DB5">
      <w:pPr>
        <w:spacing w:after="180" w:line="480" w:lineRule="auto"/>
        <w:ind w:left="460" w:hanging="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Alberto, P.A., Connor, C. M., Compton, D.L., </w:t>
      </w:r>
      <w:r w:rsidR="00524DB5">
        <w:rPr>
          <w:rFonts w:ascii="Times New Roman" w:eastAsia="Times New Roman" w:hAnsi="Times New Roman" w:cs="Times New Roman"/>
          <w:sz w:val="24"/>
          <w:szCs w:val="24"/>
        </w:rPr>
        <w:t xml:space="preserve">&amp; </w:t>
      </w:r>
      <w:r>
        <w:rPr>
          <w:rFonts w:ascii="Times New Roman" w:eastAsia="Times New Roman" w:hAnsi="Times New Roman" w:cs="Times New Roman"/>
          <w:sz w:val="24"/>
          <w:szCs w:val="24"/>
        </w:rPr>
        <w:t xml:space="preserve">O’Connor R.E. (2014). Improving reading outcomes for students with or at risk for reading disabilities: A synthesis of the contributions from the institute of education sciences research centers. NCSER 2014-3000 National Center for Special Education Research. Retrieved from </w:t>
      </w:r>
      <w:hyperlink r:id="rId9">
        <w:r>
          <w:rPr>
            <w:rFonts w:ascii="Times New Roman" w:eastAsia="Times New Roman" w:hAnsi="Times New Roman" w:cs="Times New Roman"/>
            <w:sz w:val="24"/>
            <w:szCs w:val="24"/>
          </w:rPr>
          <w:t>http://eric.ed.gov/?id=ED544759</w:t>
        </w:r>
      </w:hyperlink>
    </w:p>
    <w:p w:rsidR="008177D9" w:rsidRPr="00524DB5" w:rsidRDefault="0031785B" w:rsidP="00524DB5">
      <w:pPr>
        <w:spacing w:after="180" w:line="480" w:lineRule="auto"/>
        <w:ind w:left="460" w:hanging="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Cunningham, P. M. (2006). Struggling readers: High-poverty schools that beat the odds. Reading Teacher, 60(4), 382-385. Retrieved from </w:t>
      </w:r>
      <w:hyperlink r:id="rId10">
        <w:r>
          <w:rPr>
            <w:rFonts w:ascii="Times New Roman" w:eastAsia="Times New Roman" w:hAnsi="Times New Roman" w:cs="Times New Roman"/>
            <w:sz w:val="24"/>
            <w:szCs w:val="24"/>
          </w:rPr>
          <w:t>https://goucher.idm.oclc.org/login?url=http://search.ebscohost.com/login.aspx?direct=true&amp;db=eric&amp;AN=EJ749455&amp;site=ehost-live&amp;scope=site</w:t>
        </w:r>
      </w:hyperlink>
    </w:p>
    <w:p w:rsidR="008177D9" w:rsidRDefault="0031785B">
      <w:pPr>
        <w:spacing w:after="180" w:line="480" w:lineRule="auto"/>
        <w:ind w:left="460" w:hanging="440"/>
      </w:pPr>
      <w:r>
        <w:rPr>
          <w:rFonts w:ascii="Times New Roman" w:eastAsia="Times New Roman" w:hAnsi="Times New Roman" w:cs="Times New Roman"/>
          <w:sz w:val="24"/>
          <w:szCs w:val="24"/>
        </w:rPr>
        <w:t>Harrison, L., Peterman, R., Grehan, A., Ross, S., &amp; Dexter, E. (2008). Evaluation of the leveled literacy intervention: Year 1</w:t>
      </w:r>
    </w:p>
    <w:p w:rsidR="008177D9" w:rsidRDefault="0031785B">
      <w:pPr>
        <w:spacing w:after="180" w:line="480" w:lineRule="auto"/>
        <w:ind w:left="460" w:hanging="440"/>
      </w:pPr>
      <w:r>
        <w:rPr>
          <w:rFonts w:ascii="Times New Roman" w:eastAsia="Times New Roman" w:hAnsi="Times New Roman" w:cs="Times New Roman"/>
          <w:sz w:val="24"/>
          <w:szCs w:val="24"/>
        </w:rPr>
        <w:t xml:space="preserve">Hernandez, D. J. (2011). Double jeopardy: How third-grade reading skills and poverty influence high school graduation Annie E. Retrieved from </w:t>
      </w:r>
      <w:hyperlink r:id="rId11">
        <w:r>
          <w:rPr>
            <w:rFonts w:ascii="Times New Roman" w:eastAsia="Times New Roman" w:hAnsi="Times New Roman" w:cs="Times New Roman"/>
            <w:sz w:val="24"/>
            <w:szCs w:val="24"/>
          </w:rPr>
          <w:t>http://eric.ed.gov/?id=ED51881</w:t>
        </w:r>
      </w:hyperlink>
      <w:r>
        <w:t>8</w:t>
      </w:r>
    </w:p>
    <w:p w:rsidR="008177D9" w:rsidRDefault="0031785B">
      <w:pPr>
        <w:spacing w:after="180" w:line="480" w:lineRule="auto"/>
        <w:ind w:left="460" w:hanging="440"/>
      </w:pPr>
      <w:proofErr w:type="spellStart"/>
      <w:r>
        <w:rPr>
          <w:rFonts w:ascii="Times New Roman" w:eastAsia="Times New Roman" w:hAnsi="Times New Roman" w:cs="Times New Roman"/>
          <w:sz w:val="24"/>
          <w:szCs w:val="24"/>
        </w:rPr>
        <w:t>Mokhtari</w:t>
      </w:r>
      <w:proofErr w:type="spellEnd"/>
      <w:r>
        <w:rPr>
          <w:rFonts w:ascii="Times New Roman" w:eastAsia="Times New Roman" w:hAnsi="Times New Roman" w:cs="Times New Roman"/>
          <w:sz w:val="24"/>
          <w:szCs w:val="24"/>
        </w:rPr>
        <w:t>, K., Neel, J. L., Kaiser, F., &amp; Le, H. (2015). Assessing the promise of a supplemental reading intervention for at-risk first grade students in a public school setting. International Electronic Journal of Elementary Education, 7(3), 281-300.</w:t>
      </w:r>
    </w:p>
    <w:p w:rsidR="008177D9" w:rsidRDefault="0031785B">
      <w:pPr>
        <w:spacing w:after="180" w:line="480" w:lineRule="auto"/>
        <w:ind w:left="460" w:hanging="440"/>
      </w:pPr>
      <w:r>
        <w:rPr>
          <w:rFonts w:ascii="Times New Roman" w:eastAsia="Times New Roman" w:hAnsi="Times New Roman" w:cs="Times New Roman"/>
          <w:sz w:val="24"/>
          <w:szCs w:val="24"/>
        </w:rPr>
        <w:t xml:space="preserve">Murray, M. S., </w:t>
      </w:r>
      <w:proofErr w:type="spellStart"/>
      <w:r>
        <w:rPr>
          <w:rFonts w:ascii="Times New Roman" w:eastAsia="Times New Roman" w:hAnsi="Times New Roman" w:cs="Times New Roman"/>
          <w:sz w:val="24"/>
          <w:szCs w:val="24"/>
        </w:rPr>
        <w:t>Munger</w:t>
      </w:r>
      <w:proofErr w:type="spellEnd"/>
      <w:r>
        <w:rPr>
          <w:rFonts w:ascii="Times New Roman" w:eastAsia="Times New Roman" w:hAnsi="Times New Roman" w:cs="Times New Roman"/>
          <w:sz w:val="24"/>
          <w:szCs w:val="24"/>
        </w:rPr>
        <w:t xml:space="preserve">, K. A., &amp; </w:t>
      </w:r>
      <w:proofErr w:type="spellStart"/>
      <w:r>
        <w:rPr>
          <w:rFonts w:ascii="Times New Roman" w:eastAsia="Times New Roman" w:hAnsi="Times New Roman" w:cs="Times New Roman"/>
          <w:sz w:val="24"/>
          <w:szCs w:val="24"/>
        </w:rPr>
        <w:t>Hiebert</w:t>
      </w:r>
      <w:proofErr w:type="spellEnd"/>
      <w:r>
        <w:rPr>
          <w:rFonts w:ascii="Times New Roman" w:eastAsia="Times New Roman" w:hAnsi="Times New Roman" w:cs="Times New Roman"/>
          <w:sz w:val="24"/>
          <w:szCs w:val="24"/>
        </w:rPr>
        <w:t>, E. H. (2014). An analysis of two reading intervention programs: How do the words, texts, and programs compare? Elementary School Journal, 114(4), 479-500.</w:t>
      </w:r>
    </w:p>
    <w:p w:rsidR="008177D9" w:rsidRDefault="0031785B">
      <w:pPr>
        <w:spacing w:after="180" w:line="480" w:lineRule="auto"/>
        <w:ind w:left="460" w:hanging="440"/>
      </w:pPr>
      <w:proofErr w:type="spellStart"/>
      <w:r>
        <w:rPr>
          <w:rFonts w:ascii="Times New Roman" w:eastAsia="Times New Roman" w:hAnsi="Times New Roman" w:cs="Times New Roman"/>
          <w:sz w:val="24"/>
          <w:szCs w:val="24"/>
        </w:rPr>
        <w:t>Ransford-Kaldon</w:t>
      </w:r>
      <w:proofErr w:type="spellEnd"/>
      <w:r>
        <w:rPr>
          <w:rFonts w:ascii="Times New Roman" w:eastAsia="Times New Roman" w:hAnsi="Times New Roman" w:cs="Times New Roman"/>
          <w:sz w:val="24"/>
          <w:szCs w:val="24"/>
        </w:rPr>
        <w:t xml:space="preserve">, C., Flynt, E. S., Ross, C. L., </w:t>
      </w:r>
      <w:proofErr w:type="spellStart"/>
      <w:r>
        <w:rPr>
          <w:rFonts w:ascii="Times New Roman" w:eastAsia="Times New Roman" w:hAnsi="Times New Roman" w:cs="Times New Roman"/>
          <w:sz w:val="24"/>
          <w:szCs w:val="24"/>
        </w:rPr>
        <w:t>Franceschini</w:t>
      </w:r>
      <w:proofErr w:type="spellEnd"/>
      <w:r>
        <w:rPr>
          <w:rFonts w:ascii="Times New Roman" w:eastAsia="Times New Roman" w:hAnsi="Times New Roman" w:cs="Times New Roman"/>
          <w:sz w:val="24"/>
          <w:szCs w:val="24"/>
        </w:rPr>
        <w:t xml:space="preserve">, L., </w:t>
      </w:r>
      <w:proofErr w:type="spellStart"/>
      <w:r>
        <w:rPr>
          <w:rFonts w:ascii="Times New Roman" w:eastAsia="Times New Roman" w:hAnsi="Times New Roman" w:cs="Times New Roman"/>
          <w:sz w:val="24"/>
          <w:szCs w:val="24"/>
        </w:rPr>
        <w:t>Zoblotsky</w:t>
      </w:r>
      <w:proofErr w:type="spellEnd"/>
      <w:r>
        <w:rPr>
          <w:rFonts w:ascii="Times New Roman" w:eastAsia="Times New Roman" w:hAnsi="Times New Roman" w:cs="Times New Roman"/>
          <w:sz w:val="24"/>
          <w:szCs w:val="24"/>
        </w:rPr>
        <w:t>,</w:t>
      </w:r>
      <w:r w:rsidR="00524DB5">
        <w:rPr>
          <w:rFonts w:ascii="Times New Roman" w:eastAsia="Times New Roman" w:hAnsi="Times New Roman" w:cs="Times New Roman"/>
          <w:sz w:val="24"/>
          <w:szCs w:val="24"/>
        </w:rPr>
        <w:t xml:space="preserve"> &amp;</w:t>
      </w:r>
      <w:r>
        <w:rPr>
          <w:rFonts w:ascii="Times New Roman" w:eastAsia="Times New Roman" w:hAnsi="Times New Roman" w:cs="Times New Roman"/>
          <w:sz w:val="24"/>
          <w:szCs w:val="24"/>
        </w:rPr>
        <w:t xml:space="preserve"> T., Huang, Y., .Center for Research in, Educational Policy. (2010). Implementation of effective intervention: An empirical study to evaluate the efficacy of </w:t>
      </w:r>
      <w:proofErr w:type="spellStart"/>
      <w:r>
        <w:rPr>
          <w:rFonts w:ascii="Times New Roman" w:eastAsia="Times New Roman" w:hAnsi="Times New Roman" w:cs="Times New Roman"/>
          <w:sz w:val="24"/>
          <w:szCs w:val="24"/>
        </w:rPr>
        <w:t>Fountas</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Pinnell's</w:t>
      </w:r>
      <w:proofErr w:type="spellEnd"/>
      <w:r>
        <w:rPr>
          <w:rFonts w:ascii="Times New Roman" w:eastAsia="Times New Roman" w:hAnsi="Times New Roman" w:cs="Times New Roman"/>
          <w:sz w:val="24"/>
          <w:szCs w:val="24"/>
        </w:rPr>
        <w:t xml:space="preserve"> leveled literacy intervention system (LLI). 2009-2010. (.Center for Research in Educational Policy (CREP).</w:t>
      </w:r>
    </w:p>
    <w:p w:rsidR="008177D9" w:rsidRDefault="0031785B">
      <w:pPr>
        <w:spacing w:after="180" w:line="480" w:lineRule="auto"/>
        <w:ind w:left="460" w:hanging="440"/>
      </w:pPr>
      <w:proofErr w:type="spellStart"/>
      <w:r>
        <w:rPr>
          <w:rFonts w:ascii="Times New Roman" w:eastAsia="Times New Roman" w:hAnsi="Times New Roman" w:cs="Times New Roman"/>
          <w:sz w:val="24"/>
          <w:szCs w:val="24"/>
        </w:rPr>
        <w:t>Rasinski</w:t>
      </w:r>
      <w:proofErr w:type="spellEnd"/>
      <w:r>
        <w:rPr>
          <w:rFonts w:ascii="Times New Roman" w:eastAsia="Times New Roman" w:hAnsi="Times New Roman" w:cs="Times New Roman"/>
          <w:sz w:val="24"/>
          <w:szCs w:val="24"/>
        </w:rPr>
        <w:t xml:space="preserve">, T. V. |. (2016). Alternative text types to improve reading fluency for competent to struggling readers. International Journal of Instruction, 9(1), 163-178. Retrieved from </w:t>
      </w:r>
      <w:hyperlink r:id="rId12">
        <w:r>
          <w:rPr>
            <w:rFonts w:ascii="Times New Roman" w:eastAsia="Times New Roman" w:hAnsi="Times New Roman" w:cs="Times New Roman"/>
            <w:sz w:val="24"/>
            <w:szCs w:val="24"/>
          </w:rPr>
          <w:t>http://eric.ed.gov/?id=EJ1086966</w:t>
        </w:r>
      </w:hyperlink>
      <w:r>
        <w:t>.</w:t>
      </w:r>
    </w:p>
    <w:p w:rsidR="008177D9" w:rsidRDefault="008177D9">
      <w:pPr>
        <w:spacing w:line="480" w:lineRule="auto"/>
        <w:rPr>
          <w:rFonts w:ascii="Times New Roman" w:eastAsia="Times New Roman" w:hAnsi="Times New Roman" w:cs="Times New Roman"/>
          <w:sz w:val="24"/>
          <w:szCs w:val="24"/>
        </w:rPr>
      </w:pPr>
    </w:p>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p w:rsidR="008177D9" w:rsidRDefault="008177D9" w:rsidP="0031785B"/>
    <w:p w:rsidR="008177D9" w:rsidRDefault="008177D9"/>
    <w:p w:rsidR="008177D9" w:rsidRDefault="008177D9"/>
    <w:p w:rsidR="008177D9" w:rsidRDefault="008177D9"/>
    <w:p w:rsidR="008177D9" w:rsidRDefault="008177D9"/>
    <w:sectPr w:rsidR="008177D9">
      <w:footerReference w:type="default" r:id="rId13"/>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4118" w:rsidRDefault="00F64118" w:rsidP="00EF15B4">
      <w:pPr>
        <w:spacing w:line="240" w:lineRule="auto"/>
      </w:pPr>
      <w:r>
        <w:separator/>
      </w:r>
    </w:p>
  </w:endnote>
  <w:endnote w:type="continuationSeparator" w:id="0">
    <w:p w:rsidR="00F64118" w:rsidRDefault="00F64118" w:rsidP="00EF15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4118" w:rsidRDefault="00F6411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4118" w:rsidRDefault="00F6411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1984176"/>
      <w:docPartObj>
        <w:docPartGallery w:val="Page Numbers (Bottom of Page)"/>
        <w:docPartUnique/>
      </w:docPartObj>
    </w:sdtPr>
    <w:sdtEndPr>
      <w:rPr>
        <w:noProof/>
      </w:rPr>
    </w:sdtEndPr>
    <w:sdtContent>
      <w:p w:rsidR="00F64118" w:rsidRDefault="00F64118">
        <w:pPr>
          <w:pStyle w:val="Footer"/>
          <w:jc w:val="center"/>
        </w:pPr>
        <w:r>
          <w:fldChar w:fldCharType="begin"/>
        </w:r>
        <w:r>
          <w:instrText xml:space="preserve"> PAGE   \* MERGEFORMAT </w:instrText>
        </w:r>
        <w:r>
          <w:fldChar w:fldCharType="separate"/>
        </w:r>
        <w:r w:rsidR="00140621">
          <w:rPr>
            <w:noProof/>
          </w:rPr>
          <w:t>16</w:t>
        </w:r>
        <w:r>
          <w:rPr>
            <w:noProof/>
          </w:rPr>
          <w:fldChar w:fldCharType="end"/>
        </w:r>
      </w:p>
    </w:sdtContent>
  </w:sdt>
  <w:p w:rsidR="00F64118" w:rsidRDefault="00F641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4118" w:rsidRDefault="00F64118" w:rsidP="00EF15B4">
      <w:pPr>
        <w:spacing w:line="240" w:lineRule="auto"/>
      </w:pPr>
      <w:r>
        <w:separator/>
      </w:r>
    </w:p>
  </w:footnote>
  <w:footnote w:type="continuationSeparator" w:id="0">
    <w:p w:rsidR="00F64118" w:rsidRDefault="00F64118" w:rsidP="00EF15B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7D9"/>
    <w:rsid w:val="00072311"/>
    <w:rsid w:val="00085C9A"/>
    <w:rsid w:val="00140621"/>
    <w:rsid w:val="00297124"/>
    <w:rsid w:val="0031785B"/>
    <w:rsid w:val="0035606E"/>
    <w:rsid w:val="00524DB5"/>
    <w:rsid w:val="005973DF"/>
    <w:rsid w:val="005B4AD0"/>
    <w:rsid w:val="00724EFB"/>
    <w:rsid w:val="008177D9"/>
    <w:rsid w:val="0087392C"/>
    <w:rsid w:val="008E15D3"/>
    <w:rsid w:val="00A1478A"/>
    <w:rsid w:val="00B46B12"/>
    <w:rsid w:val="00B62555"/>
    <w:rsid w:val="00E45D18"/>
    <w:rsid w:val="00EF15B4"/>
    <w:rsid w:val="00F559EF"/>
    <w:rsid w:val="00F6411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C304595-9EAF-4CEB-8E50-3798988BD9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zh-CN" w:bidi="ar-SA"/>
      </w:rPr>
    </w:rPrDefault>
    <w:pPrDefault>
      <w:pPr>
        <w:widowControl w:val="0"/>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style>
  <w:style w:type="table" w:customStyle="1" w:styleId="a0">
    <w:basedOn w:val="TableNormal"/>
    <w:pPr>
      <w:contextualSpacing/>
    </w:pPr>
    <w:tblPr>
      <w:tblStyleRowBandSize w:val="1"/>
      <w:tblStyleColBandSize w:val="1"/>
      <w:tblCellMar>
        <w:left w:w="115" w:type="dxa"/>
        <w:right w:w="115" w:type="dxa"/>
      </w:tblCellMar>
    </w:tblPr>
  </w:style>
  <w:style w:type="table" w:customStyle="1" w:styleId="a1">
    <w:basedOn w:val="TableNormal"/>
    <w:pPr>
      <w:contextualSpacing/>
    </w:pPr>
    <w:tblPr>
      <w:tblStyleRowBandSize w:val="1"/>
      <w:tblStyleColBandSize w:val="1"/>
      <w:tblCellMar>
        <w:left w:w="115" w:type="dxa"/>
        <w:right w:w="115" w:type="dxa"/>
      </w:tblCellMar>
    </w:tblPr>
  </w:style>
  <w:style w:type="table" w:customStyle="1" w:styleId="a2">
    <w:basedOn w:val="TableNormal"/>
    <w:pPr>
      <w:contextualSpacing/>
    </w:pPr>
    <w:tblPr>
      <w:tblStyleRowBandSize w:val="1"/>
      <w:tblStyleColBandSize w:val="1"/>
      <w:tblCellMar>
        <w:left w:w="115" w:type="dxa"/>
        <w:right w:w="115" w:type="dxa"/>
      </w:tblCellMar>
    </w:tblPr>
  </w:style>
  <w:style w:type="table" w:customStyle="1" w:styleId="a3">
    <w:basedOn w:val="TableNormal"/>
    <w:pPr>
      <w:contextualSpacing/>
    </w:pPr>
    <w:tblPr>
      <w:tblStyleRowBandSize w:val="1"/>
      <w:tblStyleColBandSize w:val="1"/>
      <w:tblCellMar>
        <w:left w:w="115" w:type="dxa"/>
        <w:right w:w="115" w:type="dxa"/>
      </w:tblCellMar>
    </w:tblPr>
  </w:style>
  <w:style w:type="table" w:customStyle="1" w:styleId="a4">
    <w:basedOn w:val="TableNormal"/>
    <w:pPr>
      <w:contextualSpacing/>
    </w:pPr>
    <w:tblPr>
      <w:tblStyleRowBandSize w:val="1"/>
      <w:tblStyleColBandSize w:val="1"/>
      <w:tblCellMar>
        <w:left w:w="115" w:type="dxa"/>
        <w:right w:w="115" w:type="dxa"/>
      </w:tblCellMar>
    </w:tblPr>
  </w:style>
  <w:style w:type="table" w:customStyle="1" w:styleId="a5">
    <w:basedOn w:val="TableNormal"/>
    <w:pPr>
      <w:contextualSpacing/>
    </w:pPr>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EF15B4"/>
    <w:pPr>
      <w:tabs>
        <w:tab w:val="center" w:pos="4680"/>
        <w:tab w:val="right" w:pos="9360"/>
      </w:tabs>
      <w:spacing w:line="240" w:lineRule="auto"/>
    </w:pPr>
  </w:style>
  <w:style w:type="character" w:customStyle="1" w:styleId="HeaderChar">
    <w:name w:val="Header Char"/>
    <w:basedOn w:val="DefaultParagraphFont"/>
    <w:link w:val="Header"/>
    <w:uiPriority w:val="99"/>
    <w:rsid w:val="00EF15B4"/>
  </w:style>
  <w:style w:type="paragraph" w:styleId="Footer">
    <w:name w:val="footer"/>
    <w:basedOn w:val="Normal"/>
    <w:link w:val="FooterChar"/>
    <w:unhideWhenUsed/>
    <w:rsid w:val="00EF15B4"/>
    <w:pPr>
      <w:tabs>
        <w:tab w:val="center" w:pos="4680"/>
        <w:tab w:val="right" w:pos="9360"/>
      </w:tabs>
      <w:spacing w:line="240" w:lineRule="auto"/>
    </w:pPr>
  </w:style>
  <w:style w:type="character" w:customStyle="1" w:styleId="FooterChar">
    <w:name w:val="Footer Char"/>
    <w:basedOn w:val="DefaultParagraphFont"/>
    <w:link w:val="Footer"/>
    <w:uiPriority w:val="99"/>
    <w:rsid w:val="00EF1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eric.ed.gov/?id=EJ1086966"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ric.ed.gov/?id=ED518818"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goucher.idm.oclc.org/login?url=http://search.ebscohost.com/login.aspx?direct=true&amp;db=eric&amp;AN=EJ749455&amp;site=ehost-live&amp;scope=site" TargetMode="External"/><Relationship Id="rId4" Type="http://schemas.openxmlformats.org/officeDocument/2006/relationships/webSettings" Target="webSettings.xml"/><Relationship Id="rId9" Type="http://schemas.openxmlformats.org/officeDocument/2006/relationships/hyperlink" Target="http://eric.ed.gov/?id=ED544759"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E8483E-8A64-43FE-9A1C-4345AE6A8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5495</Words>
  <Characters>31322</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Anne Arundel County Public Schools</Company>
  <LinksUpToDate>false</LinksUpToDate>
  <CharactersWithSpaces>36744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Waldera, Jennifer L</dc:creator>
  <cp:lastModifiedBy>Waldera, Jennifer L</cp:lastModifiedBy>
  <cp:revision>2</cp:revision>
  <dcterms:created xsi:type="dcterms:W3CDTF">2017-05-11T20:59:00Z</dcterms:created>
  <dcterms:modified xsi:type="dcterms:W3CDTF">2017-05-11T20:59:00Z</dcterms:modified>
</cp:coreProperties>
</file>