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48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Expert Advisory Panel Recommendations for Implementing Contingency Management into Rural Recovery Housing</w:t>
      </w:r>
    </w:p>
    <w:p w:rsidR="00000000" w:rsidDel="00000000" w:rsidP="00000000" w:rsidRDefault="00000000" w:rsidRPr="00000000" w14:paraId="00000002">
      <w:pPr>
        <w:spacing w:line="48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 </w:t>
      </w:r>
    </w:p>
    <w:p w:rsidR="00000000" w:rsidDel="00000000" w:rsidP="00000000" w:rsidRDefault="00000000" w:rsidRPr="00000000" w14:paraId="00000003">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David M. Ledgerwood (1), Milena C. Stott (2), Stacey Quesada (3), Marci Sontag (3), Rachel M. Beck (4), Michael G. McDonell (4), David Johnson (2), Dominick DePhilippis (5), Sherrie Donnelly (6), Bryan Hartzler (7), Tammera Nauts (8), Matthew D. Novak (9), James A. Peck (10), Carla J. Rash (11)</w:t>
      </w:r>
    </w:p>
    <w:p w:rsidR="00000000" w:rsidDel="00000000" w:rsidP="00000000" w:rsidRDefault="00000000" w:rsidRPr="00000000" w14:paraId="00000004">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5">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Author Affiliations:</w:t>
      </w:r>
      <w:r w:rsidDel="00000000" w:rsidR="00000000" w:rsidRPr="00000000">
        <w:rPr>
          <w:rFonts w:ascii="Times New Roman" w:cs="Times New Roman" w:eastAsia="Times New Roman" w:hAnsi="Times New Roman"/>
          <w:sz w:val="24"/>
          <w:szCs w:val="24"/>
          <w:rtl w:val="0"/>
        </w:rPr>
        <w:t xml:space="preserve"> (1) Department of Psychiatry and Behavioral Neurosciences, Wayne State University; (2) The Fletcher Group, Inc.; (3) Center for Public Health Innovation at CI International; (4) Department of Psychology, Washington State University;  (5) Office of Mental Health and Suicide Prevention, US Department of Veterans Affairs and Perelman School of Medicine, University of Pennsylvania, Philadelphia, PA; (6) Mid-State Health Network; (7) Department of Psychiatry and Behavioral Sciences, University of Washington School of Medicine; (8) Montana Primary Care Association; (9) Department of Psychology, University of Maryland, Baltimore County; (10) Integrated Substance Abuse Programs, University of California – Los Angeles; (11) Calhoun Cardiology Center, University of Connecticut Health Center.</w:t>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rPr/>
      </w:pPr>
      <w:r w:rsidDel="00000000" w:rsidR="00000000" w:rsidRPr="00000000">
        <w:rPr>
          <w:rtl w:val="0"/>
        </w:rPr>
      </w:r>
    </w:p>
    <w:p w:rsidR="00000000" w:rsidDel="00000000" w:rsidP="00000000" w:rsidRDefault="00000000" w:rsidRPr="00000000" w14:paraId="0000000E">
      <w:pPr>
        <w:rPr/>
      </w:pPr>
      <w:r w:rsidDel="00000000" w:rsidR="00000000" w:rsidRPr="00000000">
        <w:rPr>
          <w:rtl w:val="0"/>
        </w:rPr>
      </w:r>
    </w:p>
    <w:p w:rsidR="00000000" w:rsidDel="00000000" w:rsidP="00000000" w:rsidRDefault="00000000" w:rsidRPr="00000000" w14:paraId="0000000F">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Table 1. Facilitators and barriers to implementing contingency management identified by panel members</w:t>
      </w:r>
    </w:p>
    <w:p w:rsidR="00000000" w:rsidDel="00000000" w:rsidP="00000000" w:rsidRDefault="00000000" w:rsidRPr="00000000" w14:paraId="00000010">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 </w:t>
      </w:r>
    </w:p>
    <w:tbl>
      <w:tblPr>
        <w:tblStyle w:val="Table1"/>
        <w:tblW w:w="910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645"/>
        <w:gridCol w:w="1305"/>
        <w:gridCol w:w="2910"/>
        <w:gridCol w:w="1245"/>
        <w:tblGridChange w:id="0">
          <w:tblGrid>
            <w:gridCol w:w="3645"/>
            <w:gridCol w:w="1305"/>
            <w:gridCol w:w="2910"/>
            <w:gridCol w:w="1245"/>
          </w:tblGrid>
        </w:tblGridChange>
      </w:tblGrid>
      <w:tr>
        <w:trPr>
          <w:cantSplit w:val="0"/>
          <w:trHeight w:val="570" w:hRule="atLeast"/>
          <w:tblHeader w:val="0"/>
        </w:trPr>
        <w:tc>
          <w:tcPr>
            <w:tcBorders>
              <w:top w:color="000000" w:space="0" w:sz="6" w:val="single"/>
              <w:left w:color="000000" w:space="0" w:sz="6" w:val="single"/>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11">
            <w:pPr>
              <w:spacing w:line="276"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FACILITATOR</w:t>
            </w:r>
          </w:p>
        </w:tc>
        <w:tc>
          <w:tcPr>
            <w:tcBorders>
              <w:top w:color="000000" w:space="0" w:sz="6" w:val="single"/>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12">
            <w:pPr>
              <w:spacing w:line="276"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TOTAL SCORE</w:t>
            </w:r>
          </w:p>
        </w:tc>
        <w:tc>
          <w:tcPr>
            <w:tcBorders>
              <w:top w:color="000000" w:space="0" w:sz="6" w:val="single"/>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13">
            <w:pPr>
              <w:spacing w:line="276"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BARRIER</w:t>
            </w:r>
          </w:p>
        </w:tc>
        <w:tc>
          <w:tcPr>
            <w:tcBorders>
              <w:top w:color="000000" w:space="0" w:sz="6" w:val="single"/>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14">
            <w:pPr>
              <w:spacing w:line="276"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TOTAL SCORE</w:t>
            </w:r>
          </w:p>
        </w:tc>
      </w:tr>
      <w:tr>
        <w:trPr>
          <w:cantSplit w:val="0"/>
          <w:trHeight w:val="870" w:hRule="atLeast"/>
          <w:tblHeader w:val="0"/>
        </w:trPr>
        <w:tc>
          <w:tcPr>
            <w:tcBorders>
              <w:top w:color="000000" w:space="0" w:sz="0" w:val="nil"/>
              <w:left w:color="000000" w:space="0" w:sz="6" w:val="single"/>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15">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Training and coaching (plan for turnover, implementation support)</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16">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17">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Lack of funding</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18">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w:t>
            </w:r>
          </w:p>
        </w:tc>
      </w:tr>
      <w:tr>
        <w:trPr>
          <w:cantSplit w:val="0"/>
          <w:trHeight w:val="570" w:hRule="atLeast"/>
          <w:tblHeader w:val="0"/>
        </w:trPr>
        <w:tc>
          <w:tcPr>
            <w:tcBorders>
              <w:top w:color="000000" w:space="0" w:sz="0" w:val="nil"/>
              <w:left w:color="000000" w:space="0" w:sz="6" w:val="single"/>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19">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Fidelity to core principles (design)</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1A">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1B">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Stigma (with respect to SUD, CM)</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1C">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r>
      <w:tr>
        <w:trPr>
          <w:cantSplit w:val="0"/>
          <w:trHeight w:val="570" w:hRule="atLeast"/>
          <w:tblHeader w:val="0"/>
        </w:trPr>
        <w:tc>
          <w:tcPr>
            <w:tcBorders>
              <w:top w:color="000000" w:space="0" w:sz="0" w:val="nil"/>
              <w:left w:color="000000" w:space="0" w:sz="6" w:val="single"/>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1D">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Staff and resident buy-in</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1E">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1F">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Insufficient workforce / staff turnover</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20">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w:t>
            </w:r>
          </w:p>
        </w:tc>
      </w:tr>
      <w:tr>
        <w:trPr>
          <w:cantSplit w:val="0"/>
          <w:trHeight w:val="840" w:hRule="atLeast"/>
          <w:tblHeader w:val="0"/>
        </w:trPr>
        <w:tc>
          <w:tcPr>
            <w:tcBorders>
              <w:top w:color="000000" w:space="0" w:sz="0" w:val="nil"/>
              <w:left w:color="000000" w:space="0" w:sz="6" w:val="single"/>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21">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Funding for incentives</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2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23">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RRH are staff too busy, stretched too thin, have limited bandwidth</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24">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w:t>
            </w:r>
          </w:p>
        </w:tc>
      </w:tr>
      <w:tr>
        <w:trPr>
          <w:cantSplit w:val="0"/>
          <w:trHeight w:val="840" w:hRule="atLeast"/>
          <w:tblHeader w:val="0"/>
        </w:trPr>
        <w:tc>
          <w:tcPr>
            <w:tcBorders>
              <w:top w:color="000000" w:space="0" w:sz="0" w:val="nil"/>
              <w:left w:color="000000" w:space="0" w:sz="6" w:val="single"/>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25">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Leadership buy-in</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26">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27">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Lack of training on SUD, in settings and educational institutions</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28">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w:t>
            </w:r>
          </w:p>
        </w:tc>
      </w:tr>
      <w:tr>
        <w:trPr>
          <w:cantSplit w:val="0"/>
          <w:trHeight w:val="840" w:hRule="atLeast"/>
          <w:tblHeader w:val="0"/>
        </w:trPr>
        <w:tc>
          <w:tcPr>
            <w:tcBorders>
              <w:top w:color="000000" w:space="0" w:sz="0" w:val="nil"/>
              <w:left w:color="000000" w:space="0" w:sz="6" w:val="single"/>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29">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Supervision</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2A">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2B">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Isolation and limited community support / reinforcement desert</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2C">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r>
      <w:tr>
        <w:trPr>
          <w:cantSplit w:val="0"/>
          <w:trHeight w:val="300" w:hRule="atLeast"/>
          <w:tblHeader w:val="0"/>
        </w:trPr>
        <w:tc>
          <w:tcPr>
            <w:tcBorders>
              <w:top w:color="000000" w:space="0" w:sz="0" w:val="nil"/>
              <w:left w:color="000000" w:space="0" w:sz="6" w:val="single"/>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2D">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Sustainability planning</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2E">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2F">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Ivory tower effect</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30">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r>
      <w:tr>
        <w:trPr>
          <w:cantSplit w:val="0"/>
          <w:trHeight w:val="840" w:hRule="atLeast"/>
          <w:tblHeader w:val="0"/>
        </w:trPr>
        <w:tc>
          <w:tcPr>
            <w:tcBorders>
              <w:top w:color="000000" w:space="0" w:sz="0" w:val="nil"/>
              <w:left w:color="000000" w:space="0" w:sz="6" w:val="single"/>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31">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Menu of options (the model can suit the community)</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3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33">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 delivering evidence-based treatment despite thinking they are</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34">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r>
      <w:tr>
        <w:trPr>
          <w:cantSplit w:val="0"/>
          <w:trHeight w:val="300" w:hRule="atLeast"/>
          <w:tblHeader w:val="0"/>
        </w:trPr>
        <w:tc>
          <w:tcPr>
            <w:tcBorders>
              <w:top w:color="000000" w:space="0" w:sz="0" w:val="nil"/>
              <w:left w:color="000000" w:space="0" w:sz="6" w:val="single"/>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35">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Trust and relationship building</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36">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37">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38">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300" w:hRule="atLeast"/>
          <w:tblHeader w:val="0"/>
        </w:trPr>
        <w:tc>
          <w:tcPr>
            <w:tcBorders>
              <w:top w:color="000000" w:space="0" w:sz="0" w:val="nil"/>
              <w:left w:color="000000" w:space="0" w:sz="6" w:val="single"/>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39">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Keep it simple</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3A">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3B">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3C">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570" w:hRule="atLeast"/>
          <w:tblHeader w:val="0"/>
        </w:trPr>
        <w:tc>
          <w:tcPr>
            <w:tcBorders>
              <w:top w:color="000000" w:space="0" w:sz="0" w:val="nil"/>
              <w:left w:color="000000" w:space="0" w:sz="6" w:val="single"/>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3D">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Site champion and dedicated staff time</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3E">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3F">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40">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840" w:hRule="atLeast"/>
          <w:tblHeader w:val="0"/>
        </w:trPr>
        <w:tc>
          <w:tcPr>
            <w:tcBorders>
              <w:top w:color="000000" w:space="0" w:sz="0" w:val="nil"/>
              <w:left w:color="000000" w:space="0" w:sz="6" w:val="single"/>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41">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Unique to the community/community specific - ownership</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4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43">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44">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bl>
    <w:p w:rsidR="00000000" w:rsidDel="00000000" w:rsidP="00000000" w:rsidRDefault="00000000" w:rsidRPr="00000000" w14:paraId="00000045">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6">
      <w:pPr>
        <w:spacing w:line="480" w:lineRule="auto"/>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highlight w:val="yellow"/>
          <w:rtl w:val="0"/>
        </w:rPr>
        <w:t xml:space="preserve"> </w:t>
      </w:r>
    </w:p>
    <w:p w:rsidR="00000000" w:rsidDel="00000000" w:rsidP="00000000" w:rsidRDefault="00000000" w:rsidRPr="00000000" w14:paraId="00000047">
      <w:pPr>
        <w:spacing w:line="480" w:lineRule="auto"/>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highlight w:val="yellow"/>
          <w:rtl w:val="0"/>
        </w:rPr>
        <w:t xml:space="preserve"> </w:t>
      </w:r>
    </w:p>
    <w:p w:rsidR="00000000" w:rsidDel="00000000" w:rsidP="00000000" w:rsidRDefault="00000000" w:rsidRPr="00000000" w14:paraId="00000048">
      <w:pPr>
        <w:spacing w:line="480" w:lineRule="auto"/>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highlight w:val="yellow"/>
          <w:rtl w:val="0"/>
        </w:rPr>
        <w:t xml:space="preserve"> </w:t>
      </w:r>
    </w:p>
    <w:p w:rsidR="00000000" w:rsidDel="00000000" w:rsidP="00000000" w:rsidRDefault="00000000" w:rsidRPr="00000000" w14:paraId="00000049">
      <w:pPr>
        <w:spacing w:line="48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Table 2. Recovery house and system level factors needed to implement contingency management across RRH.</w:t>
      </w:r>
    </w:p>
    <w:p w:rsidR="00000000" w:rsidDel="00000000" w:rsidP="00000000" w:rsidRDefault="00000000" w:rsidRPr="00000000" w14:paraId="0000004A">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 </w:t>
      </w:r>
    </w:p>
    <w:tbl>
      <w:tblPr>
        <w:tblStyle w:val="Table2"/>
        <w:tblW w:w="9359.999999999998"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868.456375838926"/>
        <w:gridCol w:w="1507.6510067114095"/>
        <w:gridCol w:w="1539.0604026845635"/>
        <w:gridCol w:w="1444.8322147651006"/>
        <w:tblGridChange w:id="0">
          <w:tblGrid>
            <w:gridCol w:w="4868.456375838926"/>
            <w:gridCol w:w="1507.6510067114095"/>
            <w:gridCol w:w="1539.0604026845635"/>
            <w:gridCol w:w="1444.8322147651006"/>
          </w:tblGrid>
        </w:tblGridChange>
      </w:tblGrid>
      <w:tr>
        <w:trPr>
          <w:cantSplit w:val="0"/>
          <w:trHeight w:val="570" w:hRule="atLeast"/>
          <w:tblHeader w:val="0"/>
        </w:trPr>
        <w:tc>
          <w:tcPr>
            <w:tcBorders>
              <w:top w:color="000000" w:space="0" w:sz="6" w:val="single"/>
              <w:left w:color="000000" w:space="0" w:sz="0" w:val="nil"/>
              <w:bottom w:color="000000" w:space="0" w:sz="6" w:val="single"/>
              <w:right w:color="000000" w:space="0" w:sz="0" w:val="nil"/>
            </w:tcBorders>
            <w:tcMar>
              <w:top w:w="0.0" w:type="dxa"/>
              <w:left w:w="100.0" w:type="dxa"/>
              <w:bottom w:w="0.0" w:type="dxa"/>
              <w:right w:w="100.0" w:type="dxa"/>
            </w:tcMar>
            <w:vAlign w:val="top"/>
          </w:tcPr>
          <w:p w:rsidR="00000000" w:rsidDel="00000000" w:rsidP="00000000" w:rsidRDefault="00000000" w:rsidRPr="00000000" w14:paraId="0000004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Requirement for implementation</w:t>
            </w:r>
          </w:p>
        </w:tc>
        <w:tc>
          <w:tcPr>
            <w:tcBorders>
              <w:top w:color="000000" w:space="0" w:sz="6" w:val="single"/>
              <w:left w:color="000000" w:space="0" w:sz="0" w:val="nil"/>
              <w:bottom w:color="000000" w:space="0" w:sz="6" w:val="single"/>
              <w:right w:color="000000" w:space="0" w:sz="0" w:val="nil"/>
            </w:tcBorders>
            <w:tcMar>
              <w:top w:w="0.0" w:type="dxa"/>
              <w:left w:w="100.0" w:type="dxa"/>
              <w:bottom w:w="0.0" w:type="dxa"/>
              <w:right w:w="100.0" w:type="dxa"/>
            </w:tcMar>
            <w:vAlign w:val="top"/>
          </w:tcPr>
          <w:p w:rsidR="00000000" w:rsidDel="00000000" w:rsidP="00000000" w:rsidRDefault="00000000" w:rsidRPr="00000000" w14:paraId="0000004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Necessity for program success</w:t>
            </w:r>
          </w:p>
        </w:tc>
        <w:tc>
          <w:tcPr>
            <w:tcBorders>
              <w:top w:color="000000" w:space="0" w:sz="6" w:val="single"/>
              <w:left w:color="000000" w:space="0" w:sz="0" w:val="nil"/>
              <w:bottom w:color="000000" w:space="0" w:sz="6" w:val="single"/>
              <w:right w:color="000000" w:space="0" w:sz="0" w:val="nil"/>
            </w:tcBorders>
            <w:tcMar>
              <w:top w:w="0.0" w:type="dxa"/>
              <w:left w:w="100.0" w:type="dxa"/>
              <w:bottom w:w="0.0" w:type="dxa"/>
              <w:right w:w="100.0" w:type="dxa"/>
            </w:tcMar>
            <w:vAlign w:val="top"/>
          </w:tcPr>
          <w:p w:rsidR="00000000" w:rsidDel="00000000" w:rsidP="00000000" w:rsidRDefault="00000000" w:rsidRPr="00000000" w14:paraId="0000004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Ease/difficulty of acquisition</w:t>
            </w:r>
          </w:p>
        </w:tc>
        <w:tc>
          <w:tcPr>
            <w:tcBorders>
              <w:top w:color="000000" w:space="0" w:sz="6" w:val="single"/>
              <w:left w:color="000000" w:space="0" w:sz="0" w:val="nil"/>
              <w:bottom w:color="000000" w:space="0" w:sz="6" w:val="single"/>
              <w:right w:color="000000" w:space="0" w:sz="0" w:val="nil"/>
            </w:tcBorders>
            <w:tcMar>
              <w:top w:w="0.0" w:type="dxa"/>
              <w:left w:w="100.0" w:type="dxa"/>
              <w:bottom w:w="0.0" w:type="dxa"/>
              <w:right w:w="100.0" w:type="dxa"/>
            </w:tcMar>
            <w:vAlign w:val="top"/>
          </w:tcPr>
          <w:p w:rsidR="00000000" w:rsidDel="00000000" w:rsidP="00000000" w:rsidRDefault="00000000" w:rsidRPr="00000000" w14:paraId="0000004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Level of Implementation</w:t>
            </w:r>
          </w:p>
        </w:tc>
      </w:tr>
      <w:tr>
        <w:trPr>
          <w:cantSplit w:val="0"/>
          <w:trHeight w:val="285"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4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CM Funding</w:t>
            </w:r>
            <w:r w:rsidDel="00000000" w:rsidR="00000000" w:rsidRPr="00000000">
              <w:rPr>
                <w:rFonts w:ascii="Times New Roman" w:cs="Times New Roman" w:eastAsia="Times New Roman" w:hAnsi="Times New Roman"/>
                <w:sz w:val="24"/>
                <w:szCs w:val="24"/>
                <w:rtl w:val="0"/>
              </w:rPr>
              <w:t xml:space="preserve"> – For incentives, staff training and ongoing delivery</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5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High</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5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Difficult</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5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Recovery House</w:t>
            </w:r>
          </w:p>
        </w:tc>
      </w:tr>
      <w:tr>
        <w:trPr>
          <w:cantSplit w:val="0"/>
          <w:trHeight w:val="825"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5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Staff Buy-in</w:t>
            </w:r>
            <w:r w:rsidDel="00000000" w:rsidR="00000000" w:rsidRPr="00000000">
              <w:rPr>
                <w:rFonts w:ascii="Times New Roman" w:cs="Times New Roman" w:eastAsia="Times New Roman" w:hAnsi="Times New Roman"/>
                <w:sz w:val="24"/>
                <w:szCs w:val="24"/>
                <w:rtl w:val="0"/>
              </w:rPr>
              <w:t xml:space="preserve"> – Meeting to describe CM benefits and process/answer        </w:t>
            </w:r>
          </w:p>
          <w:p w:rsidR="00000000" w:rsidDel="00000000" w:rsidP="00000000" w:rsidRDefault="00000000" w:rsidRPr="00000000" w14:paraId="0000005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questions/ provide ongoing support/recruiting champion</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5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High</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5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Difficult</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5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Recovery House</w:t>
            </w:r>
          </w:p>
        </w:tc>
      </w:tr>
      <w:tr>
        <w:trPr>
          <w:cantSplit w:val="0"/>
          <w:trHeight w:val="111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5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House Policies/procedures</w:t>
            </w:r>
            <w:r w:rsidDel="00000000" w:rsidR="00000000" w:rsidRPr="00000000">
              <w:rPr>
                <w:rFonts w:ascii="Times New Roman" w:cs="Times New Roman" w:eastAsia="Times New Roman" w:hAnsi="Times New Roman"/>
                <w:sz w:val="24"/>
                <w:szCs w:val="24"/>
                <w:rtl w:val="0"/>
              </w:rPr>
              <w:t xml:space="preserve"> – individual based on house/resident</w:t>
            </w:r>
          </w:p>
          <w:p w:rsidR="00000000" w:rsidDel="00000000" w:rsidP="00000000" w:rsidRDefault="00000000" w:rsidRPr="00000000" w14:paraId="0000005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expectations about CM targets, reinforcer magnitude, frequency, staff</w:t>
            </w:r>
          </w:p>
          <w:p w:rsidR="00000000" w:rsidDel="00000000" w:rsidP="00000000" w:rsidRDefault="00000000" w:rsidRPr="00000000" w14:paraId="0000005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involvement, tracking, etc. Remain consistent with CM principles.</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5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High</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5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Difficult</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5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Recovery House</w:t>
            </w:r>
          </w:p>
        </w:tc>
      </w:tr>
      <w:tr>
        <w:trPr>
          <w:cantSplit w:val="0"/>
          <w:trHeight w:val="825"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5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Education for RRH Leadership</w:t>
            </w:r>
            <w:r w:rsidDel="00000000" w:rsidR="00000000" w:rsidRPr="00000000">
              <w:rPr>
                <w:rFonts w:ascii="Times New Roman" w:cs="Times New Roman" w:eastAsia="Times New Roman" w:hAnsi="Times New Roman"/>
                <w:sz w:val="24"/>
                <w:szCs w:val="24"/>
                <w:rtl w:val="0"/>
              </w:rPr>
              <w:t xml:space="preserve"> – Education on CM benefits/research in</w:t>
            </w:r>
          </w:p>
          <w:p w:rsidR="00000000" w:rsidDel="00000000" w:rsidP="00000000" w:rsidRDefault="00000000" w:rsidRPr="00000000" w14:paraId="0000005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RRH to obtain leadership buy-in</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6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High</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6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Easy</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6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Recovery House</w:t>
            </w:r>
          </w:p>
        </w:tc>
      </w:tr>
      <w:tr>
        <w:trPr>
          <w:cantSplit w:val="0"/>
          <w:trHeight w:val="27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6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Resident Buy-in</w:t>
            </w:r>
            <w:r w:rsidDel="00000000" w:rsidR="00000000" w:rsidRPr="00000000">
              <w:rPr>
                <w:rFonts w:ascii="Times New Roman" w:cs="Times New Roman" w:eastAsia="Times New Roman" w:hAnsi="Times New Roman"/>
                <w:sz w:val="24"/>
                <w:szCs w:val="24"/>
                <w:rtl w:val="0"/>
              </w:rPr>
              <w:t xml:space="preserve"> – Meeting to describe CM and obtain feedback</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6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High</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6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Easy</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6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Recovery House</w:t>
            </w:r>
          </w:p>
        </w:tc>
      </w:tr>
      <w:tr>
        <w:trPr>
          <w:cantSplit w:val="0"/>
          <w:trHeight w:val="27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6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Identification of CM targets</w:t>
            </w:r>
            <w:r w:rsidDel="00000000" w:rsidR="00000000" w:rsidRPr="00000000">
              <w:rPr>
                <w:rFonts w:ascii="Times New Roman" w:cs="Times New Roman" w:eastAsia="Times New Roman" w:hAnsi="Times New Roman"/>
                <w:sz w:val="24"/>
                <w:szCs w:val="24"/>
                <w:rtl w:val="0"/>
              </w:rPr>
              <w:t xml:space="preserve"> – Done through meetings with residents</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6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High</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6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Easy</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6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Recovery House</w:t>
            </w:r>
          </w:p>
        </w:tc>
      </w:tr>
      <w:tr>
        <w:trPr>
          <w:cantSplit w:val="0"/>
          <w:trHeight w:val="555"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6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Documentation of CM sessions</w:t>
            </w:r>
            <w:r w:rsidDel="00000000" w:rsidR="00000000" w:rsidRPr="00000000">
              <w:rPr>
                <w:rFonts w:ascii="Times New Roman" w:cs="Times New Roman" w:eastAsia="Times New Roman" w:hAnsi="Times New Roman"/>
                <w:sz w:val="24"/>
                <w:szCs w:val="24"/>
                <w:rtl w:val="0"/>
              </w:rPr>
              <w:t xml:space="preserve"> – How will data be documented and by whom.</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6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High</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6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Easy</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6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Recovery House</w:t>
            </w:r>
          </w:p>
        </w:tc>
      </w:tr>
      <w:tr>
        <w:trPr>
          <w:cantSplit w:val="0"/>
          <w:trHeight w:val="555"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6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Coordination of care</w:t>
            </w:r>
            <w:r w:rsidDel="00000000" w:rsidR="00000000" w:rsidRPr="00000000">
              <w:rPr>
                <w:rFonts w:ascii="Times New Roman" w:cs="Times New Roman" w:eastAsia="Times New Roman" w:hAnsi="Times New Roman"/>
                <w:sz w:val="24"/>
                <w:szCs w:val="24"/>
                <w:rtl w:val="0"/>
              </w:rPr>
              <w:t xml:space="preserve"> – System to facilitate with substance use, health and mental health providers</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7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High</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7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Difficult</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7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Recovery House</w:t>
            </w:r>
          </w:p>
        </w:tc>
      </w:tr>
      <w:tr>
        <w:trPr>
          <w:cantSplit w:val="0"/>
          <w:trHeight w:val="138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7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Data collection system/tracking</w:t>
            </w:r>
            <w:r w:rsidDel="00000000" w:rsidR="00000000" w:rsidRPr="00000000">
              <w:rPr>
                <w:rFonts w:ascii="Times New Roman" w:cs="Times New Roman" w:eastAsia="Times New Roman" w:hAnsi="Times New Roman"/>
                <w:sz w:val="24"/>
                <w:szCs w:val="24"/>
                <w:rtl w:val="0"/>
              </w:rPr>
              <w:t xml:space="preserve"> – Identify who will be responsible for</w:t>
            </w:r>
          </w:p>
          <w:p w:rsidR="00000000" w:rsidDel="00000000" w:rsidP="00000000" w:rsidRDefault="00000000" w:rsidRPr="00000000" w14:paraId="0000007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tracking at the house and how they will be collected (e.g., how will  </w:t>
            </w:r>
          </w:p>
          <w:p w:rsidR="00000000" w:rsidDel="00000000" w:rsidP="00000000" w:rsidRDefault="00000000" w:rsidRPr="00000000" w14:paraId="0000007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staff know when residents meet behavioral targets)</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7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High</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7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Difficult</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7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Recovery House</w:t>
            </w:r>
          </w:p>
        </w:tc>
      </w:tr>
      <w:tr>
        <w:trPr>
          <w:cantSplit w:val="0"/>
          <w:trHeight w:val="111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7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House meetings</w:t>
            </w:r>
            <w:r w:rsidDel="00000000" w:rsidR="00000000" w:rsidRPr="00000000">
              <w:rPr>
                <w:rFonts w:ascii="Times New Roman" w:cs="Times New Roman" w:eastAsia="Times New Roman" w:hAnsi="Times New Roman"/>
                <w:sz w:val="24"/>
                <w:szCs w:val="24"/>
                <w:rtl w:val="0"/>
              </w:rPr>
              <w:t xml:space="preserve"> - with residents to share policies/procedures, provide    </w:t>
            </w:r>
          </w:p>
          <w:p w:rsidR="00000000" w:rsidDel="00000000" w:rsidP="00000000" w:rsidRDefault="00000000" w:rsidRPr="00000000" w14:paraId="0000007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opportunity for input, share ideas about preferred incentives and</w:t>
            </w:r>
          </w:p>
          <w:p w:rsidR="00000000" w:rsidDel="00000000" w:rsidP="00000000" w:rsidRDefault="00000000" w:rsidRPr="00000000" w14:paraId="0000007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specific recovery needs</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7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High</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7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Easy</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7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Recovery House</w:t>
            </w:r>
          </w:p>
        </w:tc>
      </w:tr>
      <w:tr>
        <w:trPr>
          <w:cantSplit w:val="0"/>
          <w:trHeight w:val="111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7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Regular provider meetings</w:t>
            </w:r>
            <w:r w:rsidDel="00000000" w:rsidR="00000000" w:rsidRPr="00000000">
              <w:rPr>
                <w:rFonts w:ascii="Times New Roman" w:cs="Times New Roman" w:eastAsia="Times New Roman" w:hAnsi="Times New Roman"/>
                <w:sz w:val="24"/>
                <w:szCs w:val="24"/>
                <w:rtl w:val="0"/>
              </w:rPr>
              <w:t xml:space="preserve"> – Regular meetings to share concerns,</w:t>
            </w:r>
          </w:p>
          <w:p w:rsidR="00000000" w:rsidDel="00000000" w:rsidP="00000000" w:rsidRDefault="00000000" w:rsidRPr="00000000" w14:paraId="0000008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problems and successes and to allow providers to consult as a</w:t>
            </w:r>
          </w:p>
          <w:p w:rsidR="00000000" w:rsidDel="00000000" w:rsidP="00000000" w:rsidRDefault="00000000" w:rsidRPr="00000000" w14:paraId="0000008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stakeholder workgroup on program improvements</w:t>
            </w:r>
          </w:p>
          <w:p w:rsidR="00000000" w:rsidDel="00000000" w:rsidP="00000000" w:rsidRDefault="00000000" w:rsidRPr="00000000" w14:paraId="0000008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8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Low</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8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Easy</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8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Recovery House</w:t>
            </w:r>
          </w:p>
        </w:tc>
      </w:tr>
      <w:tr>
        <w:trPr>
          <w:cantSplit w:val="0"/>
          <w:trHeight w:val="138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8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Incentive Payment and Taxes</w:t>
            </w:r>
            <w:r w:rsidDel="00000000" w:rsidR="00000000" w:rsidRPr="00000000">
              <w:rPr>
                <w:rFonts w:ascii="Times New Roman" w:cs="Times New Roman" w:eastAsia="Times New Roman" w:hAnsi="Times New Roman"/>
                <w:sz w:val="24"/>
                <w:szCs w:val="24"/>
                <w:rtl w:val="0"/>
              </w:rPr>
              <w:t xml:space="preserve"> – For example, for total earnings payments</w:t>
            </w:r>
          </w:p>
          <w:p w:rsidR="00000000" w:rsidDel="00000000" w:rsidP="00000000" w:rsidRDefault="00000000" w:rsidRPr="00000000" w14:paraId="0000008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over $599 per year (e.g., need for Recovery Housing programs to issue</w:t>
            </w:r>
          </w:p>
          <w:p w:rsidR="00000000" w:rsidDel="00000000" w:rsidP="00000000" w:rsidRDefault="00000000" w:rsidRPr="00000000" w14:paraId="0000008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1099 formsW-9 form)</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8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High</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8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Difficult</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8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System</w:t>
            </w:r>
          </w:p>
        </w:tc>
      </w:tr>
      <w:tr>
        <w:trPr>
          <w:cantSplit w:val="0"/>
          <w:trHeight w:val="825"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8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Person-centered Incentives</w:t>
            </w:r>
            <w:r w:rsidDel="00000000" w:rsidR="00000000" w:rsidRPr="00000000">
              <w:rPr>
                <w:rFonts w:ascii="Times New Roman" w:cs="Times New Roman" w:eastAsia="Times New Roman" w:hAnsi="Times New Roman"/>
                <w:sz w:val="24"/>
                <w:szCs w:val="24"/>
                <w:rtl w:val="0"/>
              </w:rPr>
              <w:t xml:space="preserve"> – Tailored to the individual, but adherent to</w:t>
            </w:r>
          </w:p>
          <w:p w:rsidR="00000000" w:rsidDel="00000000" w:rsidP="00000000" w:rsidRDefault="00000000" w:rsidRPr="00000000" w14:paraId="0000008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CM principles</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8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High</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8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Difficult</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9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System</w:t>
            </w:r>
          </w:p>
        </w:tc>
      </w:tr>
      <w:tr>
        <w:trPr>
          <w:cantSplit w:val="0"/>
          <w:trHeight w:val="111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9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CM Education</w:t>
            </w:r>
            <w:r w:rsidDel="00000000" w:rsidR="00000000" w:rsidRPr="00000000">
              <w:rPr>
                <w:rFonts w:ascii="Times New Roman" w:cs="Times New Roman" w:eastAsia="Times New Roman" w:hAnsi="Times New Roman"/>
                <w:sz w:val="24"/>
                <w:szCs w:val="24"/>
                <w:rtl w:val="0"/>
              </w:rPr>
              <w:t xml:space="preserve"> – provided across all levels of the system including RRH</w:t>
            </w:r>
          </w:p>
          <w:p w:rsidR="00000000" w:rsidDel="00000000" w:rsidP="00000000" w:rsidRDefault="00000000" w:rsidRPr="00000000" w14:paraId="0000009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providers, policy makers, substance use and mental health providers</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9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High</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9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Moderate</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9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System</w:t>
            </w:r>
          </w:p>
        </w:tc>
      </w:tr>
      <w:tr>
        <w:trPr>
          <w:cantSplit w:val="0"/>
          <w:trHeight w:val="111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9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Stigma Reduction</w:t>
            </w:r>
            <w:r w:rsidDel="00000000" w:rsidR="00000000" w:rsidRPr="00000000">
              <w:rPr>
                <w:rFonts w:ascii="Times New Roman" w:cs="Times New Roman" w:eastAsia="Times New Roman" w:hAnsi="Times New Roman"/>
                <w:sz w:val="24"/>
                <w:szCs w:val="24"/>
                <w:rtl w:val="0"/>
              </w:rPr>
              <w:t xml:space="preserve"> - Messaging to reduce stigma about substance use</w:t>
            </w:r>
          </w:p>
          <w:p w:rsidR="00000000" w:rsidDel="00000000" w:rsidP="00000000" w:rsidRDefault="00000000" w:rsidRPr="00000000" w14:paraId="0000009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disorder and CM by providing consistent messaging to providers and</w:t>
            </w:r>
          </w:p>
          <w:p w:rsidR="00000000" w:rsidDel="00000000" w:rsidP="00000000" w:rsidRDefault="00000000" w:rsidRPr="00000000" w14:paraId="0000009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organizations</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9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High</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9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Moderate</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9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System</w:t>
            </w:r>
          </w:p>
        </w:tc>
      </w:tr>
      <w:tr>
        <w:trPr>
          <w:cantSplit w:val="0"/>
          <w:trHeight w:val="825"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9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Auditing procedures</w:t>
            </w:r>
            <w:r w:rsidDel="00000000" w:rsidR="00000000" w:rsidRPr="00000000">
              <w:rPr>
                <w:rFonts w:ascii="Times New Roman" w:cs="Times New Roman" w:eastAsia="Times New Roman" w:hAnsi="Times New Roman"/>
                <w:sz w:val="24"/>
                <w:szCs w:val="24"/>
                <w:rtl w:val="0"/>
              </w:rPr>
              <w:t xml:space="preserve">  - Will ensure consistency and accountability that</w:t>
            </w:r>
          </w:p>
          <w:p w:rsidR="00000000" w:rsidDel="00000000" w:rsidP="00000000" w:rsidRDefault="00000000" w:rsidRPr="00000000" w14:paraId="0000009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will support the integrity of CM programs</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9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High</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9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Easy</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A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System</w:t>
            </w:r>
          </w:p>
        </w:tc>
      </w:tr>
      <w:tr>
        <w:trPr>
          <w:cantSplit w:val="0"/>
          <w:trHeight w:val="138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A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Model for CM across housing continuum</w:t>
            </w:r>
            <w:r w:rsidDel="00000000" w:rsidR="00000000" w:rsidRPr="00000000">
              <w:rPr>
                <w:rFonts w:ascii="Times New Roman" w:cs="Times New Roman" w:eastAsia="Times New Roman" w:hAnsi="Times New Roman"/>
                <w:sz w:val="24"/>
                <w:szCs w:val="24"/>
                <w:rtl w:val="0"/>
              </w:rPr>
              <w:t xml:space="preserve"> – Useable at multiple recovery</w:t>
            </w:r>
          </w:p>
          <w:p w:rsidR="00000000" w:rsidDel="00000000" w:rsidP="00000000" w:rsidRDefault="00000000" w:rsidRPr="00000000" w14:paraId="000000A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house levels and settings, and identifying workable, evidence-based</w:t>
            </w:r>
          </w:p>
          <w:p w:rsidR="00000000" w:rsidDel="00000000" w:rsidP="00000000" w:rsidRDefault="00000000" w:rsidRPr="00000000" w14:paraId="000000A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protocols that fit a variety of RRH types</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A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Low</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A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Difficult</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A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System</w:t>
            </w:r>
          </w:p>
        </w:tc>
      </w:tr>
      <w:tr>
        <w:trPr>
          <w:cantSplit w:val="0"/>
          <w:trHeight w:val="1650" w:hRule="atLeast"/>
          <w:tblHeader w:val="0"/>
        </w:trPr>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A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Reinforcement Targets</w:t>
            </w:r>
            <w:r w:rsidDel="00000000" w:rsidR="00000000" w:rsidRPr="00000000">
              <w:rPr>
                <w:rFonts w:ascii="Times New Roman" w:cs="Times New Roman" w:eastAsia="Times New Roman" w:hAnsi="Times New Roman"/>
                <w:sz w:val="24"/>
                <w:szCs w:val="24"/>
                <w:rtl w:val="0"/>
              </w:rPr>
              <w:t xml:space="preserve"> – Develop a menu of CM reinforcement targets</w:t>
            </w:r>
          </w:p>
          <w:p w:rsidR="00000000" w:rsidDel="00000000" w:rsidP="00000000" w:rsidRDefault="00000000" w:rsidRPr="00000000" w14:paraId="000000A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for various stages of recovery/settings including engagement (e.g.,</w:t>
            </w:r>
          </w:p>
          <w:p w:rsidR="00000000" w:rsidDel="00000000" w:rsidP="00000000" w:rsidRDefault="00000000" w:rsidRPr="00000000" w14:paraId="000000A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abstinence, retention), ongoing recovery (e.g., skills building, service</w:t>
            </w:r>
          </w:p>
          <w:p w:rsidR="00000000" w:rsidDel="00000000" w:rsidP="00000000" w:rsidRDefault="00000000" w:rsidRPr="00000000" w14:paraId="000000A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access) and long-term recovery (e.g., employment)</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A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Low</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A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Difficult</w:t>
            </w:r>
          </w:p>
        </w:tc>
        <w:tc>
          <w:tcPr>
            <w:tcBorders>
              <w:top w:color="000000" w:space="0" w:sz="0" w:val="nil"/>
              <w:left w:color="000000" w:space="0" w:sz="0" w:val="nil"/>
              <w:bottom w:color="000000" w:space="0" w:sz="0" w:val="nil"/>
              <w:right w:color="000000" w:space="0" w:sz="0" w:val="nil"/>
            </w:tcBorders>
            <w:tcMar>
              <w:top w:w="0.0" w:type="dxa"/>
              <w:left w:w="100.0" w:type="dxa"/>
              <w:bottom w:w="0.0" w:type="dxa"/>
              <w:right w:w="100.0" w:type="dxa"/>
            </w:tcMar>
            <w:vAlign w:val="top"/>
          </w:tcPr>
          <w:p w:rsidR="00000000" w:rsidDel="00000000" w:rsidP="00000000" w:rsidRDefault="00000000" w:rsidRPr="00000000" w14:paraId="000000A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System</w:t>
            </w:r>
          </w:p>
        </w:tc>
      </w:tr>
      <w:tr>
        <w:trPr>
          <w:cantSplit w:val="0"/>
          <w:trHeight w:val="555" w:hRule="atLeast"/>
          <w:tblHeader w:val="0"/>
        </w:trPr>
        <w:tc>
          <w:tcPr>
            <w:tcBorders>
              <w:top w:color="000000" w:space="0" w:sz="0" w:val="nil"/>
              <w:left w:color="000000" w:space="0" w:sz="0" w:val="nil"/>
              <w:bottom w:color="000000" w:space="0" w:sz="6" w:val="single"/>
              <w:right w:color="000000" w:space="0" w:sz="0" w:val="nil"/>
            </w:tcBorders>
            <w:tcMar>
              <w:top w:w="0.0" w:type="dxa"/>
              <w:left w:w="100.0" w:type="dxa"/>
              <w:bottom w:w="0.0" w:type="dxa"/>
              <w:right w:w="100.0" w:type="dxa"/>
            </w:tcMar>
            <w:vAlign w:val="top"/>
          </w:tcPr>
          <w:p w:rsidR="00000000" w:rsidDel="00000000" w:rsidP="00000000" w:rsidRDefault="00000000" w:rsidRPr="00000000" w14:paraId="000000A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Access to services</w:t>
            </w:r>
            <w:r w:rsidDel="00000000" w:rsidR="00000000" w:rsidRPr="00000000">
              <w:rPr>
                <w:rFonts w:ascii="Times New Roman" w:cs="Times New Roman" w:eastAsia="Times New Roman" w:hAnsi="Times New Roman"/>
                <w:sz w:val="24"/>
                <w:szCs w:val="24"/>
                <w:rtl w:val="0"/>
              </w:rPr>
              <w:t xml:space="preserve"> – Through vouchers when clients are ready for</w:t>
            </w:r>
          </w:p>
          <w:p w:rsidR="00000000" w:rsidDel="00000000" w:rsidP="00000000" w:rsidRDefault="00000000" w:rsidRPr="00000000" w14:paraId="000000A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services.</w:t>
            </w:r>
          </w:p>
        </w:tc>
        <w:tc>
          <w:tcPr>
            <w:tcBorders>
              <w:top w:color="000000" w:space="0" w:sz="0" w:val="nil"/>
              <w:left w:color="000000" w:space="0" w:sz="0" w:val="nil"/>
              <w:bottom w:color="000000" w:space="0" w:sz="6" w:val="single"/>
              <w:right w:color="000000" w:space="0" w:sz="0" w:val="nil"/>
            </w:tcBorders>
            <w:tcMar>
              <w:top w:w="0.0" w:type="dxa"/>
              <w:left w:w="100.0" w:type="dxa"/>
              <w:bottom w:w="0.0" w:type="dxa"/>
              <w:right w:w="100.0" w:type="dxa"/>
            </w:tcMar>
            <w:vAlign w:val="top"/>
          </w:tcPr>
          <w:p w:rsidR="00000000" w:rsidDel="00000000" w:rsidP="00000000" w:rsidRDefault="00000000" w:rsidRPr="00000000" w14:paraId="000000B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Low</w:t>
            </w:r>
          </w:p>
        </w:tc>
        <w:tc>
          <w:tcPr>
            <w:tcBorders>
              <w:top w:color="000000" w:space="0" w:sz="0" w:val="nil"/>
              <w:left w:color="000000" w:space="0" w:sz="0" w:val="nil"/>
              <w:bottom w:color="000000" w:space="0" w:sz="6" w:val="single"/>
              <w:right w:color="000000" w:space="0" w:sz="0" w:val="nil"/>
            </w:tcBorders>
            <w:tcMar>
              <w:top w:w="0.0" w:type="dxa"/>
              <w:left w:w="100.0" w:type="dxa"/>
              <w:bottom w:w="0.0" w:type="dxa"/>
              <w:right w:w="100.0" w:type="dxa"/>
            </w:tcMar>
            <w:vAlign w:val="top"/>
          </w:tcPr>
          <w:p w:rsidR="00000000" w:rsidDel="00000000" w:rsidP="00000000" w:rsidRDefault="00000000" w:rsidRPr="00000000" w14:paraId="000000B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Difficult</w:t>
            </w:r>
          </w:p>
        </w:tc>
        <w:tc>
          <w:tcPr>
            <w:tcBorders>
              <w:top w:color="000000" w:space="0" w:sz="0" w:val="nil"/>
              <w:left w:color="000000" w:space="0" w:sz="0" w:val="nil"/>
              <w:bottom w:color="000000" w:space="0" w:sz="6" w:val="single"/>
              <w:right w:color="000000" w:space="0" w:sz="0" w:val="nil"/>
            </w:tcBorders>
            <w:tcMar>
              <w:top w:w="0.0" w:type="dxa"/>
              <w:left w:w="100.0" w:type="dxa"/>
              <w:bottom w:w="0.0" w:type="dxa"/>
              <w:right w:w="100.0" w:type="dxa"/>
            </w:tcMar>
            <w:vAlign w:val="top"/>
          </w:tcPr>
          <w:p w:rsidR="00000000" w:rsidDel="00000000" w:rsidP="00000000" w:rsidRDefault="00000000" w:rsidRPr="00000000" w14:paraId="000000B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System</w:t>
            </w:r>
          </w:p>
        </w:tc>
      </w:tr>
    </w:tbl>
    <w:p w:rsidR="00000000" w:rsidDel="00000000" w:rsidP="00000000" w:rsidRDefault="00000000" w:rsidRPr="00000000" w14:paraId="000000B3">
      <w:pPr>
        <w:rPr/>
      </w:pPr>
      <w:r w:rsidDel="00000000" w:rsidR="00000000" w:rsidRPr="00000000">
        <w:rPr>
          <w:rtl w:val="0"/>
        </w:rPr>
      </w:r>
    </w:p>
    <w:p w:rsidR="00000000" w:rsidDel="00000000" w:rsidP="00000000" w:rsidRDefault="00000000" w:rsidRPr="00000000" w14:paraId="000000B4">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B5">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B6">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B7">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B8">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B9">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BA">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BB">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BC">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BD">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BE">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BF">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0">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1">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2">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3">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4">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5">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6">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7">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8">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9">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A">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B">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C">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D">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E">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F">
      <w:pP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D0">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Table 3 Facilitators and recommendations to address barriers to implementation of contingency management in rural recovery housing.</w:t>
      </w:r>
    </w:p>
    <w:p w:rsidR="00000000" w:rsidDel="00000000" w:rsidP="00000000" w:rsidRDefault="00000000" w:rsidRPr="00000000" w14:paraId="000000D1">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 </w:t>
      </w:r>
    </w:p>
    <w:p w:rsidR="00000000" w:rsidDel="00000000" w:rsidP="00000000" w:rsidRDefault="00000000" w:rsidRPr="00000000" w14:paraId="000000D2">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 </w:t>
      </w:r>
    </w:p>
    <w:tbl>
      <w:tblPr>
        <w:tblStyle w:val="Table3"/>
        <w:tblW w:w="934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800"/>
        <w:gridCol w:w="3600"/>
        <w:gridCol w:w="3945"/>
        <w:tblGridChange w:id="0">
          <w:tblGrid>
            <w:gridCol w:w="1800"/>
            <w:gridCol w:w="3600"/>
            <w:gridCol w:w="3945"/>
          </w:tblGrid>
        </w:tblGridChange>
      </w:tblGrid>
      <w:tr>
        <w:trPr>
          <w:cantSplit w:val="0"/>
          <w:trHeight w:val="570" w:hRule="atLeast"/>
          <w:tblHeader w:val="0"/>
        </w:trPr>
        <w:tc>
          <w:tcPr>
            <w:tcBorders>
              <w:top w:color="000000" w:space="0" w:sz="6" w:val="single"/>
              <w:left w:color="000000" w:space="0" w:sz="6" w:val="single"/>
              <w:bottom w:color="000000" w:space="0" w:sz="6" w:val="single"/>
              <w:right w:color="000000" w:space="0" w:sz="6" w:val="single"/>
            </w:tcBorders>
            <w:shd w:fill="d9e2f3" w:val="clear"/>
            <w:tcMar>
              <w:top w:w="0.0" w:type="dxa"/>
              <w:left w:w="100.0" w:type="dxa"/>
              <w:bottom w:w="0.0" w:type="dxa"/>
              <w:right w:w="100.0" w:type="dxa"/>
            </w:tcMar>
            <w:vAlign w:val="top"/>
          </w:tcPr>
          <w:p w:rsidR="00000000" w:rsidDel="00000000" w:rsidP="00000000" w:rsidRDefault="00000000" w:rsidRPr="00000000" w14:paraId="000000D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Barrier</w:t>
            </w:r>
            <w:r w:rsidDel="00000000" w:rsidR="00000000" w:rsidRPr="00000000">
              <w:rPr>
                <w:rFonts w:ascii="Times New Roman" w:cs="Times New Roman" w:eastAsia="Times New Roman" w:hAnsi="Times New Roman"/>
                <w:sz w:val="24"/>
                <w:szCs w:val="24"/>
                <w:rtl w:val="0"/>
              </w:rPr>
              <w:t xml:space="preserve"> </w:t>
            </w:r>
          </w:p>
        </w:tc>
        <w:tc>
          <w:tcPr>
            <w:tcBorders>
              <w:top w:color="000000" w:space="0" w:sz="6" w:val="single"/>
              <w:left w:color="000000" w:space="0" w:sz="0" w:val="nil"/>
              <w:bottom w:color="000000" w:space="0" w:sz="6" w:val="single"/>
              <w:right w:color="000000" w:space="0" w:sz="6" w:val="single"/>
            </w:tcBorders>
            <w:shd w:fill="d9e2f3" w:val="clear"/>
            <w:tcMar>
              <w:top w:w="0.0" w:type="dxa"/>
              <w:left w:w="100.0" w:type="dxa"/>
              <w:bottom w:w="0.0" w:type="dxa"/>
              <w:right w:w="100.0" w:type="dxa"/>
            </w:tcMar>
            <w:vAlign w:val="top"/>
          </w:tcPr>
          <w:p w:rsidR="00000000" w:rsidDel="00000000" w:rsidP="00000000" w:rsidRDefault="00000000" w:rsidRPr="00000000" w14:paraId="000000D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Description</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D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6" w:val="single"/>
              <w:left w:color="000000" w:space="0" w:sz="0" w:val="nil"/>
              <w:bottom w:color="000000" w:space="0" w:sz="6" w:val="single"/>
              <w:right w:color="000000" w:space="0" w:sz="6" w:val="single"/>
            </w:tcBorders>
            <w:shd w:fill="d9e2f3" w:val="clear"/>
            <w:tcMar>
              <w:top w:w="0.0" w:type="dxa"/>
              <w:left w:w="100.0" w:type="dxa"/>
              <w:bottom w:w="0.0" w:type="dxa"/>
              <w:right w:w="100.0" w:type="dxa"/>
            </w:tcMar>
            <w:vAlign w:val="top"/>
          </w:tcPr>
          <w:p w:rsidR="00000000" w:rsidDel="00000000" w:rsidP="00000000" w:rsidRDefault="00000000" w:rsidRPr="00000000" w14:paraId="000000D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Solutions</w:t>
            </w:r>
            <w:r w:rsidDel="00000000" w:rsidR="00000000" w:rsidRPr="00000000">
              <w:rPr>
                <w:rFonts w:ascii="Times New Roman" w:cs="Times New Roman" w:eastAsia="Times New Roman" w:hAnsi="Times New Roman"/>
                <w:sz w:val="24"/>
                <w:szCs w:val="24"/>
                <w:rtl w:val="0"/>
              </w:rPr>
              <w:t xml:space="preserve"> and Facilitators</w:t>
            </w:r>
          </w:p>
        </w:tc>
      </w:tr>
      <w:tr>
        <w:trPr>
          <w:cantSplit w:val="0"/>
          <w:trHeight w:val="570" w:hRule="atLeast"/>
          <w:tblHeader w:val="0"/>
        </w:trPr>
        <w:tc>
          <w:tcPr>
            <w:gridSpan w:val="3"/>
            <w:tcBorders>
              <w:top w:color="000000" w:space="0" w:sz="0" w:val="nil"/>
              <w:left w:color="000000" w:space="0" w:sz="6" w:val="single"/>
              <w:bottom w:color="000000" w:space="0" w:sz="6" w:val="single"/>
              <w:right w:color="000000" w:space="0" w:sz="6" w:val="single"/>
            </w:tcBorders>
            <w:shd w:fill="e7e6e6" w:val="clear"/>
            <w:tcMar>
              <w:top w:w="0.0" w:type="dxa"/>
              <w:left w:w="100.0" w:type="dxa"/>
              <w:bottom w:w="0.0" w:type="dxa"/>
              <w:right w:w="100.0" w:type="dxa"/>
            </w:tcMar>
            <w:vAlign w:val="top"/>
          </w:tcPr>
          <w:p w:rsidR="00000000" w:rsidDel="00000000" w:rsidP="00000000" w:rsidRDefault="00000000" w:rsidRPr="00000000" w14:paraId="000000D7">
            <w:pPr>
              <w:jc w:val="center"/>
              <w:rPr>
                <w:rFonts w:ascii="Times New Roman" w:cs="Times New Roman" w:eastAsia="Times New Roman" w:hAnsi="Times New Roman"/>
                <w:b w:val="1"/>
                <w:bCs w:val="1"/>
                <w:i w:val="1"/>
                <w:iCs w:val="1"/>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Engage local, program and system leadership for collaboration and alignment</w:t>
            </w:r>
          </w:p>
          <w:p w:rsidR="00000000" w:rsidDel="00000000" w:rsidP="00000000" w:rsidRDefault="00000000" w:rsidRPr="00000000" w14:paraId="000000D8">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 </w:t>
            </w:r>
          </w:p>
        </w:tc>
      </w:tr>
      <w:tr>
        <w:trPr>
          <w:cantSplit w:val="0"/>
          <w:trHeight w:val="2775"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0D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Stigma and trust </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0DC">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Recovery housing faces social stigma and can have a low level of trust toward collaboration</w:t>
            </w:r>
          </w:p>
          <w:p w:rsidR="00000000" w:rsidDel="00000000" w:rsidP="00000000" w:rsidRDefault="00000000" w:rsidRPr="00000000" w14:paraId="000000DD">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Contingency management can be viewed negatively by recovery home operators, residents and those who do not believe in “rewards” for persons with SUD</w:t>
            </w:r>
          </w:p>
          <w:p w:rsidR="00000000" w:rsidDel="00000000" w:rsidP="00000000" w:rsidRDefault="00000000" w:rsidRPr="00000000" w14:paraId="000000DE">
            <w:pP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0DF">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Education and messaging on the value of CM to address stigma</w:t>
            </w:r>
          </w:p>
          <w:p w:rsidR="00000000" w:rsidDel="00000000" w:rsidP="00000000" w:rsidRDefault="00000000" w:rsidRPr="00000000" w14:paraId="000000E0">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Consider use of rewards that support health related and social needs</w:t>
            </w:r>
          </w:p>
          <w:p w:rsidR="00000000" w:rsidDel="00000000" w:rsidP="00000000" w:rsidRDefault="00000000" w:rsidRPr="00000000" w14:paraId="000000E1">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Reinforce the idea that residents are to integrate with the culture, norms and expectation and CM is for goals that are harder to reach</w:t>
            </w:r>
          </w:p>
          <w:p w:rsidR="00000000" w:rsidDel="00000000" w:rsidP="00000000" w:rsidRDefault="00000000" w:rsidRPr="00000000" w14:paraId="000000E2">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tc>
      </w:tr>
      <w:tr>
        <w:trPr>
          <w:cantSplit w:val="0"/>
          <w:trHeight w:val="1500"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0E3">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Values, belief, and attitudes </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0E4">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Recovery houses may subscribe to a particular treatment philosophy and be resistant to implementing new program  </w:t>
            </w:r>
          </w:p>
          <w:p w:rsidR="00000000" w:rsidDel="00000000" w:rsidP="00000000" w:rsidRDefault="00000000" w:rsidRPr="00000000" w14:paraId="000000E5">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Stakeholders may subscribe to treatment philosophies</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0E6">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Provide material support to allow for multiple programs to be offered</w:t>
            </w:r>
          </w:p>
          <w:p w:rsidR="00000000" w:rsidDel="00000000" w:rsidP="00000000" w:rsidRDefault="00000000" w:rsidRPr="00000000" w14:paraId="000000E7">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Engage stakeholders in opportunities to share their work and learn about new models</w:t>
            </w:r>
          </w:p>
        </w:tc>
      </w:tr>
      <w:tr>
        <w:trPr>
          <w:cantSplit w:val="0"/>
          <w:trHeight w:val="1755"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0E8">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Funding and payment</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0E9">
            <w:pPr>
              <w:spacing w:line="256.7994545454545" w:lineRule="auto"/>
              <w:ind w:left="720" w:firstLine="0"/>
              <w:rPr>
                <w:rFonts w:ascii="Times New Roman" w:cs="Times New Roman" w:eastAsia="Times New Roman" w:hAnsi="Times New Roman"/>
              </w:rPr>
            </w:pPr>
            <w:r w:rsidDel="00000000" w:rsidR="00000000" w:rsidRPr="00000000">
              <w:rPr>
                <w:rFonts w:ascii="Calibri" w:cs="Calibri" w:eastAsia="Calibri" w:hAnsi="Calibri"/>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rtl w:val="0"/>
              </w:rPr>
              <w:t xml:space="preserve">Concern about the use of funding to reinforce treatment attendance can be seen as a conflict of interest</w:t>
            </w:r>
          </w:p>
          <w:p w:rsidR="00000000" w:rsidDel="00000000" w:rsidP="00000000" w:rsidRDefault="00000000" w:rsidRPr="00000000" w14:paraId="000000EA">
            <w:pPr>
              <w:spacing w:line="256.7994545454545" w:lineRule="auto"/>
              <w:ind w:left="720" w:firstLine="0"/>
              <w:rPr>
                <w:rFonts w:ascii="Times New Roman" w:cs="Times New Roman" w:eastAsia="Times New Roman" w:hAnsi="Times New Roman"/>
              </w:rPr>
            </w:pPr>
            <w:r w:rsidDel="00000000" w:rsidR="00000000" w:rsidRPr="00000000">
              <w:rPr>
                <w:rFonts w:ascii="Calibri" w:cs="Calibri" w:eastAsia="Calibri" w:hAnsi="Calibri"/>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rtl w:val="0"/>
              </w:rPr>
              <w:t xml:space="preserve">Medicaid waiver is required</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0EB">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Utilize grant funding for a demonstration to track compliance and obtain Medicaid waiver</w:t>
            </w:r>
          </w:p>
          <w:p w:rsidR="00000000" w:rsidDel="00000000" w:rsidP="00000000" w:rsidRDefault="00000000" w:rsidRPr="00000000" w14:paraId="000000EC">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Use private funding</w:t>
            </w:r>
          </w:p>
          <w:p w:rsidR="00000000" w:rsidDel="00000000" w:rsidP="00000000" w:rsidRDefault="00000000" w:rsidRPr="00000000" w14:paraId="000000ED">
            <w:pPr>
              <w:ind w:left="720" w:firstLine="0"/>
              <w:rPr>
                <w:rFonts w:ascii="Times New Roman" w:cs="Times New Roman" w:eastAsia="Times New Roman" w:hAnsi="Times New Roman"/>
              </w:rPr>
            </w:pPr>
            <w:r w:rsidDel="00000000" w:rsidR="00000000" w:rsidRPr="00000000">
              <w:rPr>
                <w:rFonts w:ascii="Calibri" w:cs="Calibri" w:eastAsia="Calibri" w:hAnsi="Calibri"/>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rtl w:val="0"/>
              </w:rPr>
              <w:t xml:space="preserve">Provide incentives for recovery related activities</w:t>
            </w:r>
          </w:p>
        </w:tc>
      </w:tr>
      <w:tr>
        <w:trPr>
          <w:cantSplit w:val="0"/>
          <w:trHeight w:val="570" w:hRule="atLeast"/>
          <w:tblHeader w:val="0"/>
        </w:trPr>
        <w:tc>
          <w:tcPr>
            <w:gridSpan w:val="3"/>
            <w:tcBorders>
              <w:top w:color="000000" w:space="0" w:sz="0" w:val="nil"/>
              <w:left w:color="000000" w:space="0" w:sz="6" w:val="single"/>
              <w:bottom w:color="000000" w:space="0" w:sz="6" w:val="single"/>
              <w:right w:color="000000" w:space="0" w:sz="6" w:val="single"/>
            </w:tcBorders>
            <w:shd w:fill="e7e6e6" w:val="clear"/>
            <w:tcMar>
              <w:top w:w="0.0" w:type="dxa"/>
              <w:left w:w="100.0" w:type="dxa"/>
              <w:bottom w:w="0.0" w:type="dxa"/>
              <w:right w:w="100.0" w:type="dxa"/>
            </w:tcMar>
            <w:vAlign w:val="top"/>
          </w:tcPr>
          <w:p w:rsidR="00000000" w:rsidDel="00000000" w:rsidP="00000000" w:rsidRDefault="00000000" w:rsidRPr="00000000" w14:paraId="000000EE">
            <w:pPr>
              <w:jc w:val="center"/>
              <w:rPr>
                <w:rFonts w:ascii="Times New Roman" w:cs="Times New Roman" w:eastAsia="Times New Roman" w:hAnsi="Times New Roman"/>
                <w:b w:val="1"/>
                <w:bCs w:val="1"/>
                <w:i w:val="1"/>
                <w:iCs w:val="1"/>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Agree on a model and build a project charter</w:t>
            </w:r>
          </w:p>
          <w:p w:rsidR="00000000" w:rsidDel="00000000" w:rsidP="00000000" w:rsidRDefault="00000000" w:rsidRPr="00000000" w14:paraId="000000EF">
            <w:pPr>
              <w:jc w:val="center"/>
              <w:rPr>
                <w:rFonts w:ascii="Times New Roman" w:cs="Times New Roman" w:eastAsia="Times New Roman" w:hAnsi="Times New Roman"/>
                <w:b w:val="1"/>
                <w:bCs w:val="1"/>
                <w:i w:val="1"/>
                <w:iCs w:val="1"/>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 </w:t>
            </w:r>
          </w:p>
        </w:tc>
      </w:tr>
      <w:tr>
        <w:trPr>
          <w:cantSplit w:val="0"/>
          <w:trHeight w:val="1005"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0F2">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Person centered and evidence based</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0F3">
            <w:pPr>
              <w:ind w:left="720" w:firstLine="0"/>
              <w:rPr>
                <w:rFonts w:ascii="Times New Roman" w:cs="Times New Roman" w:eastAsia="Times New Roman" w:hAnsi="Times New Roman"/>
              </w:rPr>
            </w:pPr>
            <w:r w:rsidDel="00000000" w:rsidR="00000000" w:rsidRPr="00000000">
              <w:rPr>
                <w:rFonts w:ascii="Calibri" w:cs="Calibri" w:eastAsia="Calibri" w:hAnsi="Calibri"/>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rtl w:val="0"/>
              </w:rPr>
              <w:t xml:space="preserve">Limited understanding of the concepts across the sectors</w:t>
            </w:r>
          </w:p>
          <w:p w:rsidR="00000000" w:rsidDel="00000000" w:rsidP="00000000" w:rsidRDefault="00000000" w:rsidRPr="00000000" w14:paraId="000000F4">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Limited training is available for appropriate models of care</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0F5">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Training on CM and its alignment to person centered care</w:t>
            </w:r>
          </w:p>
        </w:tc>
      </w:tr>
      <w:tr>
        <w:trPr>
          <w:cantSplit w:val="0"/>
          <w:trHeight w:val="2250"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0F6">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Time and financial constraints </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0F7">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Recovery houses operate under limited budgets and staff/residents have limited time. </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0F8">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Provide financial assistance to facilitate implementation and evaluation</w:t>
            </w:r>
          </w:p>
          <w:p w:rsidR="00000000" w:rsidDel="00000000" w:rsidP="00000000" w:rsidRDefault="00000000" w:rsidRPr="00000000" w14:paraId="000000F9">
            <w:pPr>
              <w:ind w:left="720" w:firstLine="0"/>
              <w:rPr>
                <w:rFonts w:ascii="Times New Roman" w:cs="Times New Roman" w:eastAsia="Times New Roman" w:hAnsi="Times New Roman"/>
              </w:rPr>
            </w:pPr>
            <w:r w:rsidDel="00000000" w:rsidR="00000000" w:rsidRPr="00000000">
              <w:rPr>
                <w:rFonts w:ascii="Calibri" w:cs="Calibri" w:eastAsia="Calibri" w:hAnsi="Calibri"/>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rtl w:val="0"/>
              </w:rPr>
              <w:t xml:space="preserve">Consider flexibility of the programming  while maintaining fidelity to the evidence-based protocols and their foundational behavioral principles</w:t>
            </w:r>
          </w:p>
          <w:p w:rsidR="00000000" w:rsidDel="00000000" w:rsidP="00000000" w:rsidRDefault="00000000" w:rsidRPr="00000000" w14:paraId="000000FA">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Keep evaluation instruments brief </w:t>
            </w:r>
          </w:p>
        </w:tc>
      </w:tr>
      <w:tr>
        <w:trPr>
          <w:cantSplit w:val="0"/>
          <w:trHeight w:val="570" w:hRule="atLeast"/>
          <w:tblHeader w:val="0"/>
        </w:trPr>
        <w:tc>
          <w:tcPr>
            <w:gridSpan w:val="3"/>
            <w:tcBorders>
              <w:top w:color="000000" w:space="0" w:sz="0" w:val="nil"/>
              <w:left w:color="000000" w:space="0" w:sz="6" w:val="single"/>
              <w:bottom w:color="000000" w:space="0" w:sz="6" w:val="single"/>
              <w:right w:color="000000" w:space="0" w:sz="6" w:val="single"/>
            </w:tcBorders>
            <w:shd w:fill="e7e6e6" w:val="clear"/>
            <w:tcMar>
              <w:top w:w="0.0" w:type="dxa"/>
              <w:left w:w="100.0" w:type="dxa"/>
              <w:bottom w:w="0.0" w:type="dxa"/>
              <w:right w:w="100.0" w:type="dxa"/>
            </w:tcMar>
            <w:vAlign w:val="top"/>
          </w:tcPr>
          <w:p w:rsidR="00000000" w:rsidDel="00000000" w:rsidP="00000000" w:rsidRDefault="00000000" w:rsidRPr="00000000" w14:paraId="000000FB">
            <w:pPr>
              <w:jc w:val="center"/>
              <w:rPr>
                <w:rFonts w:ascii="Times New Roman" w:cs="Times New Roman" w:eastAsia="Times New Roman" w:hAnsi="Times New Roman"/>
                <w:b w:val="1"/>
                <w:bCs w:val="1"/>
                <w:i w:val="1"/>
                <w:iCs w:val="1"/>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Bring stakeholders together for alignment and consensus for implementation</w:t>
            </w:r>
          </w:p>
          <w:p w:rsidR="00000000" w:rsidDel="00000000" w:rsidP="00000000" w:rsidRDefault="00000000" w:rsidRPr="00000000" w14:paraId="000000FC">
            <w:pPr>
              <w:jc w:val="cente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 </w:t>
            </w:r>
          </w:p>
        </w:tc>
      </w:tr>
      <w:tr>
        <w:trPr>
          <w:cantSplit w:val="0"/>
          <w:trHeight w:val="1200"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0F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System knowledge</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00">
            <w:pPr>
              <w:ind w:left="720" w:firstLine="0"/>
              <w:rPr>
                <w:rFonts w:ascii="Times New Roman" w:cs="Times New Roman" w:eastAsia="Times New Roman" w:hAnsi="Times New Roman"/>
                <w:color w:val="44546a"/>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color w:val="44546a"/>
                <w:rtl w:val="0"/>
              </w:rPr>
              <w:t xml:space="preserve">There is limited awareness of process and cost of implementation</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01">
            <w:pPr>
              <w:spacing w:after="200" w:lineRule="auto"/>
              <w:ind w:left="720" w:firstLine="0"/>
              <w:rPr>
                <w:rFonts w:ascii="Times New Roman" w:cs="Times New Roman" w:eastAsia="Times New Roman" w:hAnsi="Times New Roman"/>
                <w:color w:val="44546a"/>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color w:val="44546a"/>
                <w:rtl w:val="0"/>
              </w:rPr>
              <w:t xml:space="preserve">Develop an outline, timeline, milestones and budget for your project’s planning, implementation, and sustainment</w:t>
            </w:r>
          </w:p>
        </w:tc>
      </w:tr>
      <w:tr>
        <w:trPr>
          <w:cantSplit w:val="0"/>
          <w:trHeight w:val="1005"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02">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State agency engagement</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03">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The state agencies and others who pay for services are not aware of CM and its value for persons with SUD</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04">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Engage state leaders on the opportunities and utilize national efforts as case studies</w:t>
            </w:r>
          </w:p>
        </w:tc>
      </w:tr>
      <w:tr>
        <w:trPr>
          <w:cantSplit w:val="0"/>
          <w:trHeight w:val="570" w:hRule="atLeast"/>
          <w:tblHeader w:val="0"/>
        </w:trPr>
        <w:tc>
          <w:tcPr>
            <w:gridSpan w:val="3"/>
            <w:tcBorders>
              <w:top w:color="000000" w:space="0" w:sz="0" w:val="nil"/>
              <w:left w:color="000000" w:space="0" w:sz="6" w:val="single"/>
              <w:bottom w:color="000000" w:space="0" w:sz="6" w:val="single"/>
              <w:right w:color="000000" w:space="0" w:sz="6" w:val="single"/>
            </w:tcBorders>
            <w:shd w:fill="e7e6e6" w:val="clear"/>
            <w:tcMar>
              <w:top w:w="0.0" w:type="dxa"/>
              <w:left w:w="100.0" w:type="dxa"/>
              <w:bottom w:w="0.0" w:type="dxa"/>
              <w:right w:w="100.0" w:type="dxa"/>
            </w:tcMar>
            <w:vAlign w:val="top"/>
          </w:tcPr>
          <w:p w:rsidR="00000000" w:rsidDel="00000000" w:rsidP="00000000" w:rsidRDefault="00000000" w:rsidRPr="00000000" w14:paraId="00000105">
            <w:pPr>
              <w:jc w:val="center"/>
              <w:rPr>
                <w:rFonts w:ascii="Times New Roman" w:cs="Times New Roman" w:eastAsia="Times New Roman" w:hAnsi="Times New Roman"/>
                <w:b w:val="1"/>
                <w:bCs w:val="1"/>
                <w:i w:val="1"/>
                <w:iCs w:val="1"/>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Secure funding to support training, implementation, payment, and sustainability</w:t>
            </w:r>
          </w:p>
          <w:p w:rsidR="00000000" w:rsidDel="00000000" w:rsidP="00000000" w:rsidRDefault="00000000" w:rsidRPr="00000000" w14:paraId="00000106">
            <w:pPr>
              <w:jc w:val="cente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 </w:t>
            </w:r>
          </w:p>
        </w:tc>
      </w:tr>
      <w:tr>
        <w:trPr>
          <w:cantSplit w:val="0"/>
          <w:trHeight w:val="765"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09">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Payment for training and implementation</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0A">
            <w:pPr>
              <w:ind w:left="720" w:firstLine="0"/>
              <w:rPr>
                <w:rFonts w:ascii="Times New Roman" w:cs="Times New Roman" w:eastAsia="Times New Roman" w:hAnsi="Times New Roman"/>
              </w:rPr>
            </w:pPr>
            <w:r w:rsidDel="00000000" w:rsidR="00000000" w:rsidRPr="00000000">
              <w:rPr>
                <w:rFonts w:ascii="Calibri" w:cs="Calibri" w:eastAsia="Calibri" w:hAnsi="Calibri"/>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rtl w:val="0"/>
              </w:rPr>
              <w:t xml:space="preserve">There is an absence of funding for funding for training and implementation support</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0B">
            <w:pPr>
              <w:ind w:left="720" w:firstLine="0"/>
              <w:jc w:val="both"/>
              <w:rPr>
                <w:rFonts w:ascii="Times New Roman" w:cs="Times New Roman" w:eastAsia="Times New Roman" w:hAnsi="Times New Roman"/>
              </w:rPr>
            </w:pPr>
            <w:r w:rsidDel="00000000" w:rsidR="00000000" w:rsidRPr="00000000">
              <w:rPr>
                <w:rFonts w:ascii="Calibri" w:cs="Calibri" w:eastAsia="Calibri" w:hAnsi="Calibri"/>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rtl w:val="0"/>
              </w:rPr>
              <w:t xml:space="preserve">Seek federally funded technical assistance from a Rural Center of Excellence</w:t>
            </w:r>
          </w:p>
        </w:tc>
      </w:tr>
      <w:tr>
        <w:trPr>
          <w:cantSplit w:val="0"/>
          <w:trHeight w:val="1260"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0C">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Payment for services</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0D">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CM is an intervention delivered by trained personnel and sometimes credentials are required for reimbursement</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0E">
            <w:pPr>
              <w:ind w:left="720" w:firstLine="0"/>
              <w:jc w:val="both"/>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Train RRH staff to deliver CM under the supervision of clinicians</w:t>
            </w:r>
          </w:p>
          <w:p w:rsidR="00000000" w:rsidDel="00000000" w:rsidP="00000000" w:rsidRDefault="00000000" w:rsidRPr="00000000" w14:paraId="0000010F">
            <w:pPr>
              <w:ind w:left="720" w:firstLine="0"/>
              <w:jc w:val="both"/>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Work with grants and Medicaid waiver to support reimbursement</w:t>
            </w:r>
          </w:p>
        </w:tc>
      </w:tr>
      <w:tr>
        <w:trPr>
          <w:cantSplit w:val="0"/>
          <w:trHeight w:val="1755"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1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Payment for rewards</w:t>
            </w:r>
          </w:p>
          <w:p w:rsidR="00000000" w:rsidDel="00000000" w:rsidP="00000000" w:rsidRDefault="00000000" w:rsidRPr="00000000" w14:paraId="00000111">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112">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113">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114">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11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16">
            <w:pPr>
              <w:ind w:left="720" w:firstLine="0"/>
              <w:rPr>
                <w:rFonts w:ascii="Times New Roman" w:cs="Times New Roman" w:eastAsia="Times New Roman" w:hAnsi="Times New Roman"/>
                <w:color w:val="44546a"/>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color w:val="44546a"/>
                <w:rtl w:val="0"/>
              </w:rPr>
              <w:t xml:space="preserve">There are limited fund sources to pay for rewards</w:t>
            </w:r>
          </w:p>
          <w:p w:rsidR="00000000" w:rsidDel="00000000" w:rsidP="00000000" w:rsidRDefault="00000000" w:rsidRPr="00000000" w14:paraId="00000117">
            <w:pPr>
              <w:ind w:left="720" w:firstLine="0"/>
              <w:rPr>
                <w:rFonts w:ascii="Times New Roman" w:cs="Times New Roman" w:eastAsia="Times New Roman" w:hAnsi="Times New Roman"/>
                <w:color w:val="44546a"/>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color w:val="44546a"/>
                <w:rtl w:val="0"/>
              </w:rPr>
              <w:t xml:space="preserve">There are limits on rewards amount</w:t>
            </w:r>
          </w:p>
          <w:p w:rsidR="00000000" w:rsidDel="00000000" w:rsidP="00000000" w:rsidRDefault="00000000" w:rsidRPr="00000000" w14:paraId="00000118">
            <w:pPr>
              <w:ind w:left="720" w:firstLine="0"/>
              <w:rPr>
                <w:rFonts w:ascii="Times New Roman" w:cs="Times New Roman" w:eastAsia="Times New Roman" w:hAnsi="Times New Roman"/>
                <w:color w:val="44546a"/>
              </w:rPr>
            </w:pPr>
            <w:r w:rsidDel="00000000" w:rsidR="00000000" w:rsidRPr="00000000">
              <w:rPr>
                <w:rFonts w:ascii="Calibri" w:cs="Calibri" w:eastAsia="Calibri" w:hAnsi="Calibri"/>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color w:val="44546a"/>
                <w:rtl w:val="0"/>
              </w:rPr>
              <w:t xml:space="preserve">There are legal interpretations around use of reward related to conflict of interest</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19">
            <w:pPr>
              <w:ind w:left="720" w:firstLine="0"/>
              <w:rPr>
                <w:rFonts w:ascii="Times New Roman" w:cs="Times New Roman" w:eastAsia="Times New Roman" w:hAnsi="Times New Roman"/>
              </w:rPr>
            </w:pPr>
            <w:r w:rsidDel="00000000" w:rsidR="00000000" w:rsidRPr="00000000">
              <w:rPr>
                <w:rFonts w:ascii="Calibri" w:cs="Calibri" w:eastAsia="Calibri" w:hAnsi="Calibri"/>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rtl w:val="0"/>
              </w:rPr>
              <w:t xml:space="preserve">Explore how other states and programs have addressed this through system coordination and partnership</w:t>
            </w:r>
          </w:p>
          <w:p w:rsidR="00000000" w:rsidDel="00000000" w:rsidP="00000000" w:rsidRDefault="00000000" w:rsidRPr="00000000" w14:paraId="0000011A">
            <w:pPr>
              <w:ind w:left="720" w:firstLine="0"/>
              <w:rPr>
                <w:rFonts w:ascii="Times New Roman" w:cs="Times New Roman" w:eastAsia="Times New Roman" w:hAnsi="Times New Roman"/>
              </w:rPr>
            </w:pPr>
            <w:r w:rsidDel="00000000" w:rsidR="00000000" w:rsidRPr="00000000">
              <w:rPr>
                <w:rFonts w:ascii="Calibri" w:cs="Calibri" w:eastAsia="Calibri" w:hAnsi="Calibri"/>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rtl w:val="0"/>
              </w:rPr>
              <w:t xml:space="preserve">Engage state agencies to explore use of grant and other state funds</w:t>
            </w:r>
          </w:p>
          <w:p w:rsidR="00000000" w:rsidDel="00000000" w:rsidP="00000000" w:rsidRDefault="00000000" w:rsidRPr="00000000" w14:paraId="0000011B">
            <w:pPr>
              <w:ind w:left="720" w:firstLine="0"/>
              <w:rPr>
                <w:rFonts w:ascii="Times New Roman" w:cs="Times New Roman" w:eastAsia="Times New Roman" w:hAnsi="Times New Roman"/>
              </w:rPr>
            </w:pPr>
            <w:r w:rsidDel="00000000" w:rsidR="00000000" w:rsidRPr="00000000">
              <w:rPr>
                <w:rFonts w:ascii="Calibri" w:cs="Calibri" w:eastAsia="Calibri" w:hAnsi="Calibri"/>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rtl w:val="0"/>
              </w:rPr>
              <w:t xml:space="preserve">Use private funding</w:t>
            </w:r>
          </w:p>
        </w:tc>
      </w:tr>
      <w:tr>
        <w:trPr>
          <w:cantSplit w:val="0"/>
          <w:trHeight w:val="570" w:hRule="atLeast"/>
          <w:tblHeader w:val="0"/>
        </w:trPr>
        <w:tc>
          <w:tcPr>
            <w:gridSpan w:val="3"/>
            <w:tcBorders>
              <w:top w:color="000000" w:space="0" w:sz="0" w:val="nil"/>
              <w:left w:color="000000" w:space="0" w:sz="6" w:val="single"/>
              <w:bottom w:color="000000" w:space="0" w:sz="6" w:val="single"/>
              <w:right w:color="000000" w:space="0" w:sz="6" w:val="single"/>
            </w:tcBorders>
            <w:shd w:fill="e7e6e6" w:val="clear"/>
            <w:tcMar>
              <w:top w:w="0.0" w:type="dxa"/>
              <w:left w:w="100.0" w:type="dxa"/>
              <w:bottom w:w="0.0" w:type="dxa"/>
              <w:right w:w="100.0" w:type="dxa"/>
            </w:tcMar>
            <w:vAlign w:val="top"/>
          </w:tcPr>
          <w:p w:rsidR="00000000" w:rsidDel="00000000" w:rsidP="00000000" w:rsidRDefault="00000000" w:rsidRPr="00000000" w14:paraId="0000011C">
            <w:pPr>
              <w:jc w:val="center"/>
              <w:rPr>
                <w:rFonts w:ascii="Times New Roman" w:cs="Times New Roman" w:eastAsia="Times New Roman" w:hAnsi="Times New Roman"/>
                <w:b w:val="1"/>
                <w:bCs w:val="1"/>
                <w:i w:val="1"/>
                <w:iCs w:val="1"/>
                <w:sz w:val="24"/>
                <w:szCs w:val="24"/>
              </w:rPr>
            </w:pPr>
            <w:r w:rsidDel="00000000" w:rsidR="00000000" w:rsidRPr="00000000">
              <w:rPr>
                <w:rFonts w:ascii="Times New Roman" w:cs="Times New Roman" w:eastAsia="Times New Roman" w:hAnsi="Times New Roman"/>
                <w:b w:val="1"/>
                <w:bCs w:val="1"/>
                <w:i w:val="1"/>
                <w:iCs w:val="1"/>
                <w:sz w:val="24"/>
                <w:szCs w:val="24"/>
                <w:rtl w:val="0"/>
              </w:rPr>
              <w:t xml:space="preserve">Ensure system support for data, measurement, and oversight</w:t>
            </w:r>
          </w:p>
          <w:p w:rsidR="00000000" w:rsidDel="00000000" w:rsidP="00000000" w:rsidRDefault="00000000" w:rsidRPr="00000000" w14:paraId="0000011D">
            <w:pPr>
              <w:jc w:val="cente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 </w:t>
            </w:r>
          </w:p>
        </w:tc>
      </w:tr>
      <w:tr>
        <w:trPr>
          <w:cantSplit w:val="0"/>
          <w:trHeight w:val="1260"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2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Technology access </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21">
            <w:pPr>
              <w:ind w:left="720" w:firstLine="0"/>
              <w:rPr>
                <w:rFonts w:ascii="Times New Roman" w:cs="Times New Roman" w:eastAsia="Times New Roman" w:hAnsi="Times New Roman"/>
              </w:rPr>
            </w:pPr>
            <w:r w:rsidDel="00000000" w:rsidR="00000000" w:rsidRPr="00000000">
              <w:rPr>
                <w:rFonts w:ascii="Calibri" w:cs="Calibri" w:eastAsia="Calibri" w:hAnsi="Calibri"/>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imes New Roman" w:cs="Times New Roman" w:eastAsia="Times New Roman" w:hAnsi="Times New Roman"/>
                <w:rtl w:val="0"/>
              </w:rPr>
              <w:t xml:space="preserve">Recovery houses have limited access to devices and reliable internet.  These resources are often needed to support tracking and oversight</w:t>
            </w:r>
          </w:p>
        </w:tc>
        <w:tc>
          <w:tcPr>
            <w:tcBorders>
              <w:top w:color="000000" w:space="0" w:sz="0" w:val="nil"/>
              <w:left w:color="000000" w:space="0" w:sz="0" w:val="nil"/>
              <w:bottom w:color="000000" w:space="0" w:sz="6" w:val="single"/>
              <w:right w:color="000000" w:space="0" w:sz="6" w:val="single"/>
            </w:tcBorders>
            <w:shd w:fill="auto" w:val="clear"/>
            <w:tcMar>
              <w:top w:w="0.0" w:type="dxa"/>
              <w:left w:w="100.0" w:type="dxa"/>
              <w:bottom w:w="0.0" w:type="dxa"/>
              <w:right w:w="100.0" w:type="dxa"/>
            </w:tcMar>
            <w:vAlign w:val="top"/>
          </w:tcPr>
          <w:p w:rsidR="00000000" w:rsidDel="00000000" w:rsidP="00000000" w:rsidRDefault="00000000" w:rsidRPr="00000000" w14:paraId="00000122">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Provide needed devices </w:t>
            </w:r>
          </w:p>
          <w:p w:rsidR="00000000" w:rsidDel="00000000" w:rsidP="00000000" w:rsidRDefault="00000000" w:rsidRPr="00000000" w14:paraId="00000123">
            <w:pPr>
              <w:ind w:left="720" w:firstLine="0"/>
              <w:rPr>
                <w:rFonts w:ascii="Times New Roman" w:cs="Times New Roman" w:eastAsia="Times New Roman" w:hAnsi="Times New Roman"/>
              </w:rPr>
            </w:pPr>
            <w:r w:rsidDel="00000000" w:rsidR="00000000" w:rsidRPr="00000000">
              <w:rPr>
                <w:rFonts w:ascii="Calibri" w:cs="Calibri" w:eastAsia="Calibri" w:hAnsi="Calibri"/>
                <w:color w:val="44546a"/>
                <w:rtl w:val="0"/>
              </w:rPr>
              <w:t xml:space="preserve">§</w:t>
            </w:r>
            <w:r w:rsidDel="00000000" w:rsidR="00000000" w:rsidRPr="00000000">
              <w:rPr>
                <w:rFonts w:ascii="Times New Roman" w:cs="Times New Roman" w:eastAsia="Times New Roman" w:hAnsi="Times New Roman"/>
                <w:color w:val="44546a"/>
                <w:sz w:val="14"/>
                <w:szCs w:val="14"/>
                <w:rtl w:val="0"/>
              </w:rPr>
              <w:t xml:space="preserve">  </w:t>
            </w:r>
            <w:r w:rsidDel="00000000" w:rsidR="00000000" w:rsidRPr="00000000">
              <w:rPr>
                <w:rFonts w:ascii="Times New Roman" w:cs="Times New Roman" w:eastAsia="Times New Roman" w:hAnsi="Times New Roman"/>
                <w:rtl w:val="0"/>
              </w:rPr>
              <w:t xml:space="preserve">Prepare digital evaluation alternatives </w:t>
            </w:r>
          </w:p>
        </w:tc>
      </w:tr>
    </w:tbl>
    <w:p w:rsidR="00000000" w:rsidDel="00000000" w:rsidP="00000000" w:rsidRDefault="00000000" w:rsidRPr="00000000" w14:paraId="00000124">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25">
      <w:pPr>
        <w:spacing w:line="48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Supplemental Table 1: Expert panel participants and credentials</w:t>
      </w:r>
    </w:p>
    <w:tbl>
      <w:tblPr>
        <w:tblStyle w:val="Table4"/>
        <w:tblW w:w="912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865"/>
        <w:gridCol w:w="6255"/>
        <w:tblGridChange w:id="0">
          <w:tblGrid>
            <w:gridCol w:w="2865"/>
            <w:gridCol w:w="6255"/>
          </w:tblGrid>
        </w:tblGridChange>
      </w:tblGrid>
      <w:tr>
        <w:trPr>
          <w:cantSplit w:val="0"/>
          <w:trHeight w:val="720" w:hRule="atLeast"/>
          <w:tblHeader w:val="0"/>
        </w:trPr>
        <w:tc>
          <w:tcPr>
            <w:tcBorders>
              <w:top w:color="000000" w:space="0" w:sz="6" w:val="single"/>
              <w:left w:color="000000" w:space="0" w:sz="6" w:val="single"/>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26">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Name</w:t>
            </w:r>
          </w:p>
        </w:tc>
        <w:tc>
          <w:tcPr>
            <w:tcBorders>
              <w:top w:color="000000" w:space="0" w:sz="6" w:val="single"/>
              <w:left w:color="000000" w:space="0" w:sz="0" w:val="nil"/>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27">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Work Related to Contingency Management and/or</w:t>
            </w:r>
          </w:p>
          <w:p w:rsidR="00000000" w:rsidDel="00000000" w:rsidP="00000000" w:rsidRDefault="00000000" w:rsidRPr="00000000" w14:paraId="00000128">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Substance Use Disorder</w:t>
            </w:r>
          </w:p>
        </w:tc>
      </w:tr>
      <w:tr>
        <w:trPr>
          <w:cantSplit w:val="0"/>
          <w:trHeight w:val="1665"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29">
            <w:pPr>
              <w:spacing w:after="12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Rachael Beck</w:t>
            </w:r>
          </w:p>
          <w:p w:rsidR="00000000" w:rsidDel="00000000" w:rsidP="00000000" w:rsidRDefault="00000000" w:rsidRPr="00000000" w14:paraId="0000012A">
            <w:pP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Research Coordinator, Washington State University PRISM Collaborative</w:t>
            </w:r>
          </w:p>
        </w:tc>
        <w:tc>
          <w:tcPr>
            <w:tcBorders>
              <w:top w:color="000000" w:space="0" w:sz="0" w:val="nil"/>
              <w:left w:color="000000" w:space="0" w:sz="0" w:val="nil"/>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2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Ms. Beck has worked on feasibility studies of CM in health disparity populations and biomarker research. Her biggest success was transitioning a CM program to a virtual intervention during the COVID pandemic in 2020.</w:t>
            </w:r>
          </w:p>
        </w:tc>
      </w:tr>
      <w:tr>
        <w:trPr>
          <w:cantSplit w:val="0"/>
          <w:trHeight w:val="2100"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2C">
            <w:pPr>
              <w:spacing w:after="12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Dominick DePhilippis, PhD</w:t>
            </w:r>
          </w:p>
          <w:p w:rsidR="00000000" w:rsidDel="00000000" w:rsidP="00000000" w:rsidRDefault="00000000" w:rsidRPr="00000000" w14:paraId="0000012D">
            <w:pPr>
              <w:spacing w:after="120" w:lineRule="auto"/>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Deputy National Mental Health Director for Substance Use Disorders, Veterans Affairs</w:t>
            </w:r>
          </w:p>
        </w:tc>
        <w:tc>
          <w:tcPr>
            <w:tcBorders>
              <w:top w:color="000000" w:space="0" w:sz="0" w:val="nil"/>
              <w:left w:color="000000" w:space="0" w:sz="0" w:val="nil"/>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2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2011 to 2022, Dr. DePhilippis coordinated Veterans Affairs (VA) enterprise-wide implementation of CM. As a result, the VA has treated more than 6,200 Veterans in more than 100 CM programs. The attendance and abstinence outcomes observed in VA's implementation of CM are comparable to those reported in the peer-reviewed empirical literature on CM.</w:t>
            </w:r>
          </w:p>
        </w:tc>
      </w:tr>
      <w:tr>
        <w:trPr>
          <w:cantSplit w:val="0"/>
          <w:trHeight w:val="2100"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2F">
            <w:pPr>
              <w:spacing w:after="12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Sherrie Donnelly, MA, LBSW</w:t>
            </w:r>
          </w:p>
          <w:p w:rsidR="00000000" w:rsidDel="00000000" w:rsidP="00000000" w:rsidRDefault="00000000" w:rsidRPr="00000000" w14:paraId="00000130">
            <w:pPr>
              <w:spacing w:after="120" w:lineRule="auto"/>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Treatment and Recovery Specialist, Mid-State Health Network</w:t>
            </w:r>
          </w:p>
        </w:tc>
        <w:tc>
          <w:tcPr>
            <w:tcBorders>
              <w:top w:color="000000" w:space="0" w:sz="0" w:val="nil"/>
              <w:left w:color="000000" w:space="0" w:sz="0" w:val="nil"/>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3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Ms. Donnelly is currently working with outpatient providers in their provision of contingency management throughout the Mid-State Health Network’s (MSHN) 21 counties. MSHN is currently looking to expand this opportunity to include recovery housing providers. The program has seen a profound impact on those experiencing SUD by incentivizing them to remain in treatment.</w:t>
            </w:r>
          </w:p>
        </w:tc>
      </w:tr>
      <w:tr>
        <w:trPr>
          <w:cantSplit w:val="0"/>
          <w:trHeight w:val="2775"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32">
            <w:pPr>
              <w:spacing w:after="12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Bryan Hartzler, PhD</w:t>
            </w:r>
          </w:p>
          <w:p w:rsidR="00000000" w:rsidDel="00000000" w:rsidP="00000000" w:rsidRDefault="00000000" w:rsidRPr="00000000" w14:paraId="00000133">
            <w:pPr>
              <w:rPr>
                <w:rFonts w:ascii="Times New Roman" w:cs="Times New Roman" w:eastAsia="Times New Roman" w:hAnsi="Times New Roman"/>
                <w:i w:val="1"/>
                <w:iCs w:val="1"/>
                <w:color w:val="3f3f3f"/>
                <w:sz w:val="24"/>
                <w:szCs w:val="24"/>
              </w:rPr>
            </w:pPr>
            <w:r w:rsidDel="00000000" w:rsidR="00000000" w:rsidRPr="00000000">
              <w:rPr>
                <w:rFonts w:ascii="Times New Roman" w:cs="Times New Roman" w:eastAsia="Times New Roman" w:hAnsi="Times New Roman"/>
                <w:i w:val="1"/>
                <w:iCs w:val="1"/>
                <w:color w:val="3f3f3f"/>
                <w:sz w:val="24"/>
                <w:szCs w:val="24"/>
                <w:rtl w:val="0"/>
              </w:rPr>
              <w:t xml:space="preserve">Research Associate Professor</w:t>
            </w:r>
          </w:p>
          <w:p w:rsidR="00000000" w:rsidDel="00000000" w:rsidP="00000000" w:rsidRDefault="00000000" w:rsidRPr="00000000" w14:paraId="00000134">
            <w:pPr>
              <w:rPr>
                <w:rFonts w:ascii="Times New Roman" w:cs="Times New Roman" w:eastAsia="Times New Roman" w:hAnsi="Times New Roman"/>
                <w:i w:val="1"/>
                <w:iCs w:val="1"/>
                <w:color w:val="3f3f3f"/>
                <w:sz w:val="24"/>
                <w:szCs w:val="24"/>
              </w:rPr>
            </w:pPr>
            <w:r w:rsidDel="00000000" w:rsidR="00000000" w:rsidRPr="00000000">
              <w:rPr>
                <w:rFonts w:ascii="Times New Roman" w:cs="Times New Roman" w:eastAsia="Times New Roman" w:hAnsi="Times New Roman"/>
                <w:i w:val="1"/>
                <w:iCs w:val="1"/>
                <w:color w:val="3f3f3f"/>
                <w:sz w:val="24"/>
                <w:szCs w:val="24"/>
                <w:rtl w:val="0"/>
              </w:rPr>
              <w:t xml:space="preserve">Addictions, Drug &amp; Alcohol Institute</w:t>
            </w:r>
          </w:p>
          <w:p w:rsidR="00000000" w:rsidDel="00000000" w:rsidP="00000000" w:rsidRDefault="00000000" w:rsidRPr="00000000" w14:paraId="00000135">
            <w:pPr>
              <w:rPr>
                <w:rFonts w:ascii="Times New Roman" w:cs="Times New Roman" w:eastAsia="Times New Roman" w:hAnsi="Times New Roman"/>
                <w:i w:val="1"/>
                <w:iCs w:val="1"/>
                <w:color w:val="3f3f3f"/>
                <w:sz w:val="24"/>
                <w:szCs w:val="24"/>
              </w:rPr>
            </w:pPr>
            <w:r w:rsidDel="00000000" w:rsidR="00000000" w:rsidRPr="00000000">
              <w:rPr>
                <w:rFonts w:ascii="Times New Roman" w:cs="Times New Roman" w:eastAsia="Times New Roman" w:hAnsi="Times New Roman"/>
                <w:i w:val="1"/>
                <w:iCs w:val="1"/>
                <w:color w:val="3f3f3f"/>
                <w:sz w:val="24"/>
                <w:szCs w:val="24"/>
                <w:rtl w:val="0"/>
              </w:rPr>
              <w:t xml:space="preserve">Department of Psychiatry and Behavioral Sciences</w:t>
            </w:r>
          </w:p>
          <w:p w:rsidR="00000000" w:rsidDel="00000000" w:rsidP="00000000" w:rsidRDefault="00000000" w:rsidRPr="00000000" w14:paraId="00000136">
            <w:pPr>
              <w:rPr>
                <w:rFonts w:ascii="Times New Roman" w:cs="Times New Roman" w:eastAsia="Times New Roman" w:hAnsi="Times New Roman"/>
                <w:i w:val="1"/>
                <w:iCs w:val="1"/>
                <w:color w:val="3f3f3f"/>
                <w:sz w:val="24"/>
                <w:szCs w:val="24"/>
              </w:rPr>
            </w:pPr>
            <w:r w:rsidDel="00000000" w:rsidR="00000000" w:rsidRPr="00000000">
              <w:rPr>
                <w:rFonts w:ascii="Times New Roman" w:cs="Times New Roman" w:eastAsia="Times New Roman" w:hAnsi="Times New Roman"/>
                <w:i w:val="1"/>
                <w:iCs w:val="1"/>
                <w:color w:val="3f3f3f"/>
                <w:sz w:val="24"/>
                <w:szCs w:val="24"/>
                <w:rtl w:val="0"/>
              </w:rPr>
              <w:t xml:space="preserve">University of Washington School of Medicine</w:t>
            </w:r>
          </w:p>
        </w:tc>
        <w:tc>
          <w:tcPr>
            <w:tcBorders>
              <w:top w:color="000000" w:space="0" w:sz="0" w:val="nil"/>
              <w:left w:color="000000" w:space="0" w:sz="0" w:val="nil"/>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3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 Hartzler collaborates with community settings on dissemination and implementation research and service projects to foster sustainable CM programming. He has provided technical assistance to community settings that enabled staff delivery of locally customized CM programming with fidelity, resulted in targeted clinical benefits, and eventuated in multi-year sustainment.</w:t>
            </w:r>
          </w:p>
        </w:tc>
      </w:tr>
      <w:tr>
        <w:trPr>
          <w:cantSplit w:val="0"/>
          <w:trHeight w:val="1830"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38">
            <w:pPr>
              <w:spacing w:after="12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Dave Johnson, MSW</w:t>
            </w:r>
          </w:p>
          <w:p w:rsidR="00000000" w:rsidDel="00000000" w:rsidP="00000000" w:rsidRDefault="00000000" w:rsidRPr="00000000" w14:paraId="00000139">
            <w:pPr>
              <w:spacing w:after="120" w:lineRule="auto"/>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CEO, Fletcher Group</w:t>
            </w:r>
          </w:p>
        </w:tc>
        <w:tc>
          <w:tcPr>
            <w:tcBorders>
              <w:top w:color="000000" w:space="0" w:sz="0" w:val="nil"/>
              <w:left w:color="000000" w:space="0" w:sz="0" w:val="nil"/>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3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Mr. Johnson established the HRSA-funded Rural Center of Excellence (RCOE) with a focus on Rural Recovery Housing (RRH). The RCOE is providing technical assistance in 44 states. In addition, Mr. Johnson is currently implementing a SMART recovery pilot project in RRH with 40 houses enrolled.</w:t>
            </w:r>
          </w:p>
        </w:tc>
      </w:tr>
      <w:tr>
        <w:trPr>
          <w:cantSplit w:val="0"/>
          <w:trHeight w:val="1830"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3B">
            <w:pPr>
              <w:spacing w:after="12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David Ledgerwood, PhD</w:t>
            </w:r>
          </w:p>
          <w:p w:rsidR="00000000" w:rsidDel="00000000" w:rsidP="00000000" w:rsidRDefault="00000000" w:rsidRPr="00000000" w14:paraId="0000013C">
            <w:pPr>
              <w:spacing w:after="120" w:lineRule="auto"/>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Professor, Wayne State University</w:t>
            </w:r>
          </w:p>
        </w:tc>
        <w:tc>
          <w:tcPr>
            <w:tcBorders>
              <w:top w:color="000000" w:space="0" w:sz="0" w:val="nil"/>
              <w:left w:color="000000" w:space="0" w:sz="0" w:val="nil"/>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3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 Ledgerwood is a research scientist who has been studying addictions for 25 years, including CM research on SUD, smoking, treatment attendance, and other areas. His recent focus is on CM implementation. His work includes the successful adaptation of CM to several different target behaviors, treatment populations, and health outcomes.</w:t>
            </w:r>
          </w:p>
        </w:tc>
      </w:tr>
      <w:tr>
        <w:trPr>
          <w:cantSplit w:val="0"/>
          <w:trHeight w:val="1905"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3E">
            <w:pPr>
              <w:spacing w:after="12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Michael McDonell, PhD</w:t>
            </w:r>
          </w:p>
          <w:p w:rsidR="00000000" w:rsidDel="00000000" w:rsidP="00000000" w:rsidRDefault="00000000" w:rsidRPr="00000000" w14:paraId="0000013F">
            <w:pPr>
              <w:spacing w:after="120" w:lineRule="auto"/>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Professor, Washington State University</w:t>
            </w:r>
          </w:p>
          <w:p w:rsidR="00000000" w:rsidDel="00000000" w:rsidP="00000000" w:rsidRDefault="00000000" w:rsidRPr="00000000" w14:paraId="00000140">
            <w:pPr>
              <w:spacing w:after="120" w:lineRule="auto"/>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Director, PRISM Collaborative</w:t>
            </w:r>
          </w:p>
        </w:tc>
        <w:tc>
          <w:tcPr>
            <w:tcBorders>
              <w:top w:color="000000" w:space="0" w:sz="0" w:val="nil"/>
              <w:left w:color="000000" w:space="0" w:sz="0" w:val="nil"/>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4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 McDonell is a clinical psychologist with over 20 years of experience developing, testing, and implementing strength-based interventions for people with addiction and mental illness in community settings. His recent work includes the implementation and testing of CM in low-resource settings.</w:t>
            </w:r>
          </w:p>
        </w:tc>
      </w:tr>
      <w:tr>
        <w:trPr>
          <w:cantSplit w:val="0"/>
          <w:trHeight w:val="1785"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42">
            <w:pPr>
              <w:spacing w:after="12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Tammera Nauts, LCSW, LAC</w:t>
            </w:r>
          </w:p>
          <w:p w:rsidR="00000000" w:rsidDel="00000000" w:rsidP="00000000" w:rsidRDefault="00000000" w:rsidRPr="00000000" w14:paraId="00000143">
            <w:pPr>
              <w:spacing w:after="120" w:lineRule="auto"/>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IBH Special Projects Director, Montana Primary Care Association</w:t>
            </w:r>
          </w:p>
        </w:tc>
        <w:tc>
          <w:tcPr>
            <w:tcBorders>
              <w:top w:color="000000" w:space="0" w:sz="0" w:val="nil"/>
              <w:left w:color="000000" w:space="0" w:sz="0" w:val="nil"/>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4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Ms. Nauts is currently working on implementing a contingency management pilot, known as Treatment of Users of Stimulants (TRUST), with 11 sites across Montana.</w:t>
            </w:r>
          </w:p>
        </w:tc>
      </w:tr>
      <w:tr>
        <w:trPr>
          <w:cantSplit w:val="0"/>
          <w:trHeight w:val="1785"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45">
            <w:pPr>
              <w:spacing w:after="12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Matthew Novak, PhD</w:t>
            </w:r>
          </w:p>
          <w:p w:rsidR="00000000" w:rsidDel="00000000" w:rsidP="00000000" w:rsidRDefault="00000000" w:rsidRPr="00000000" w14:paraId="00000146">
            <w:pP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Department of Psychology</w:t>
            </w:r>
          </w:p>
          <w:p w:rsidR="00000000" w:rsidDel="00000000" w:rsidP="00000000" w:rsidRDefault="00000000" w:rsidRPr="00000000" w14:paraId="00000147">
            <w:pP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University of Maryland, Baltimore County</w:t>
            </w:r>
          </w:p>
          <w:p w:rsidR="00000000" w:rsidDel="00000000" w:rsidP="00000000" w:rsidRDefault="00000000" w:rsidRPr="00000000" w14:paraId="00000148">
            <w:pPr>
              <w:spacing w:after="120" w:lineRule="auto"/>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4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 Novak’s research focuses on the use of CM to address poverty-related health disparities. His work focuses on the Therapeutic Workplace, which provides a proximal intervention to promote drug abstinence and a distal intervention to promote employment.</w:t>
            </w:r>
          </w:p>
        </w:tc>
      </w:tr>
      <w:tr>
        <w:trPr>
          <w:cantSplit w:val="0"/>
          <w:trHeight w:val="2100"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4A">
            <w:pPr>
              <w:spacing w:after="12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James Peck, PsyD</w:t>
            </w:r>
          </w:p>
          <w:p w:rsidR="00000000" w:rsidDel="00000000" w:rsidP="00000000" w:rsidRDefault="00000000" w:rsidRPr="00000000" w14:paraId="0000014B">
            <w:pPr>
              <w:spacing w:after="120" w:lineRule="auto"/>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Clinical Psychologist/Sr. Clinical Trainer, UCLA Integrated Substance Abuse Programs</w:t>
            </w:r>
          </w:p>
        </w:tc>
        <w:tc>
          <w:tcPr>
            <w:tcBorders>
              <w:top w:color="000000" w:space="0" w:sz="0" w:val="nil"/>
              <w:left w:color="000000" w:space="0" w:sz="0" w:val="nil"/>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4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 Peck has worked in the field of SUD and co-occurring disorders for the past 24 years. He was a staff member in a research clinic that implemented voucher-based CM for methamphetamine-using gay &amp; bisexual men. He is one of the lead authors of "Recovery Incentives: California’s Contingency Management Program".</w:t>
            </w:r>
          </w:p>
          <w:p w:rsidR="00000000" w:rsidDel="00000000" w:rsidP="00000000" w:rsidRDefault="00000000" w:rsidRPr="00000000" w14:paraId="0000014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2070"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4E">
            <w:pPr>
              <w:spacing w:after="12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Carla Rash, PhD</w:t>
            </w:r>
          </w:p>
          <w:p w:rsidR="00000000" w:rsidDel="00000000" w:rsidP="00000000" w:rsidRDefault="00000000" w:rsidRPr="00000000" w14:paraId="0000014F">
            <w:pPr>
              <w:spacing w:after="120" w:lineRule="auto"/>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Associate Professor, UConn Health</w:t>
            </w:r>
          </w:p>
          <w:p w:rsidR="00000000" w:rsidDel="00000000" w:rsidP="00000000" w:rsidRDefault="00000000" w:rsidRPr="00000000" w14:paraId="00000150">
            <w:pP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UConn Health School of Medicine</w:t>
            </w:r>
          </w:p>
          <w:p w:rsidR="00000000" w:rsidDel="00000000" w:rsidP="00000000" w:rsidRDefault="00000000" w:rsidRPr="00000000" w14:paraId="00000151">
            <w:pPr>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 </w:t>
            </w:r>
          </w:p>
        </w:tc>
        <w:tc>
          <w:tcPr>
            <w:tcBorders>
              <w:top w:color="000000" w:space="0" w:sz="0" w:val="nil"/>
              <w:left w:color="000000" w:space="0" w:sz="0" w:val="nil"/>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5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 Rash is a clinical psychologist whose research focuses on efficacy, novel applications, and implementation (barriers and deviations from evidence-based practice) of CM. She was a CM trainer for the nationwide implementation of CM in the VA system and routinely consults regarding CM issues.</w:t>
            </w:r>
          </w:p>
        </w:tc>
      </w:tr>
      <w:tr>
        <w:trPr>
          <w:cantSplit w:val="0"/>
          <w:trHeight w:val="1545" w:hRule="atLeast"/>
          <w:tblHeader w:val="0"/>
        </w:trPr>
        <w:tc>
          <w:tcPr>
            <w:tcBorders>
              <w:top w:color="000000" w:space="0" w:sz="0" w:val="nil"/>
              <w:left w:color="000000" w:space="0" w:sz="6" w:val="single"/>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53">
            <w:pPr>
              <w:spacing w:after="12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Milena Stott, LICSW</w:t>
            </w:r>
          </w:p>
          <w:p w:rsidR="00000000" w:rsidDel="00000000" w:rsidP="00000000" w:rsidRDefault="00000000" w:rsidRPr="00000000" w14:paraId="00000154">
            <w:pPr>
              <w:spacing w:after="120" w:lineRule="auto"/>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Outreach and Engagement Specialist, Fletcher Group</w:t>
            </w:r>
          </w:p>
        </w:tc>
        <w:tc>
          <w:tcPr>
            <w:tcBorders>
              <w:top w:color="000000" w:space="0" w:sz="0" w:val="nil"/>
              <w:left w:color="000000" w:space="0" w:sz="0" w:val="nil"/>
              <w:bottom w:color="000000" w:space="0" w:sz="6" w:val="single"/>
              <w:right w:color="000000" w:space="0" w:sz="6" w:val="single"/>
            </w:tcBorders>
            <w:shd w:fill="auto" w:val="clear"/>
            <w:tcMar>
              <w:top w:w="0.0" w:type="dxa"/>
              <w:left w:w="0.0" w:type="dxa"/>
              <w:bottom w:w="0.0" w:type="dxa"/>
              <w:right w:w="100.0" w:type="dxa"/>
            </w:tcMar>
            <w:vAlign w:val="top"/>
          </w:tcPr>
          <w:p w:rsidR="00000000" w:rsidDel="00000000" w:rsidP="00000000" w:rsidRDefault="00000000" w:rsidRPr="00000000" w14:paraId="0000015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Ms. Stott provides outreach and engagement to rural recovery houses to support quality and capacity programming through technical assistance and training. She has engaged with RRHs in Washington, Idaho, New Mexico, West Virginia, Kentucky, Michigan, Maryland.</w:t>
            </w:r>
          </w:p>
        </w:tc>
      </w:tr>
    </w:tbl>
    <w:p w:rsidR="00000000" w:rsidDel="00000000" w:rsidP="00000000" w:rsidRDefault="00000000" w:rsidRPr="00000000" w14:paraId="00000156">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57">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58">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59">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5A">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5B">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5C">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5D">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5E">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5F">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0">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1">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2">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3">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4">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5">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6">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7">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8">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9">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A">
      <w:pPr>
        <w:spacing w:line="480" w:lineRule="auto"/>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B">
      <w:pPr>
        <w:spacing w:line="48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Supplemental 2. Nominal Group Technique steps.</w:t>
      </w:r>
    </w:p>
    <w:p w:rsidR="00000000" w:rsidDel="00000000" w:rsidP="00000000" w:rsidRDefault="00000000" w:rsidRPr="00000000" w14:paraId="0000016C">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following are the specific methodological steps for the NGT.</w:t>
      </w:r>
    </w:p>
    <w:p w:rsidR="00000000" w:rsidDel="00000000" w:rsidP="00000000" w:rsidRDefault="00000000" w:rsidRPr="00000000" w14:paraId="0000016D">
      <w:pPr>
        <w:spacing w:after="120" w:line="479.99945454545457" w:lineRule="auto"/>
        <w:ind w:left="720" w:firstLine="0"/>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sz w:val="24"/>
          <w:szCs w:val="24"/>
          <w:rtl w:val="0"/>
        </w:rPr>
        <w:t xml:space="preserve">1.</w:t>
      </w:r>
      <w:r w:rsidDel="00000000" w:rsidR="00000000" w:rsidRPr="00000000">
        <w:rPr>
          <w:rFonts w:ascii="Times New Roman" w:cs="Times New Roman" w:eastAsia="Times New Roman" w:hAnsi="Times New Roman"/>
          <w:sz w:val="14"/>
          <w:szCs w:val="14"/>
          <w:rtl w:val="0"/>
        </w:rPr>
        <w:t xml:space="preserve"> </w:t>
        <w:tab/>
      </w:r>
      <w:r w:rsidDel="00000000" w:rsidR="00000000" w:rsidRPr="00000000">
        <w:rPr>
          <w:rFonts w:ascii="Times New Roman" w:cs="Times New Roman" w:eastAsia="Times New Roman" w:hAnsi="Times New Roman"/>
          <w:b w:val="1"/>
          <w:bCs w:val="1"/>
          <w:sz w:val="24"/>
          <w:szCs w:val="24"/>
          <w:rtl w:val="0"/>
        </w:rPr>
        <w:t xml:space="preserve">Ask the Question:</w:t>
      </w:r>
      <w:r w:rsidDel="00000000" w:rsidR="00000000" w:rsidRPr="00000000">
        <w:rPr>
          <w:rFonts w:ascii="Times New Roman" w:cs="Times New Roman" w:eastAsia="Times New Roman" w:hAnsi="Times New Roman"/>
          <w:sz w:val="24"/>
          <w:szCs w:val="24"/>
          <w:rtl w:val="0"/>
        </w:rPr>
        <w:t xml:space="preserve"> A facilitator posed a question to the group of participants. For the first NGT round, the question was </w:t>
      </w:r>
      <w:r w:rsidDel="00000000" w:rsidR="00000000" w:rsidRPr="00000000">
        <w:rPr>
          <w:rFonts w:ascii="Times New Roman" w:cs="Times New Roman" w:eastAsia="Times New Roman" w:hAnsi="Times New Roman"/>
          <w:i w:val="1"/>
          <w:iCs w:val="1"/>
          <w:sz w:val="24"/>
          <w:szCs w:val="24"/>
          <w:rtl w:val="0"/>
        </w:rPr>
        <w:t xml:space="preserve">“What are the facilitators supporting the implementation of contingency management in RRH?​”</w:t>
      </w:r>
      <w:r w:rsidDel="00000000" w:rsidR="00000000" w:rsidRPr="00000000">
        <w:rPr>
          <w:rFonts w:ascii="Times New Roman" w:cs="Times New Roman" w:eastAsia="Times New Roman" w:hAnsi="Times New Roman"/>
          <w:sz w:val="24"/>
          <w:szCs w:val="24"/>
          <w:rtl w:val="0"/>
        </w:rPr>
        <w:t xml:space="preserve"> For the second round of NGT, the question was </w:t>
      </w:r>
      <w:r w:rsidDel="00000000" w:rsidR="00000000" w:rsidRPr="00000000">
        <w:rPr>
          <w:rFonts w:ascii="Times New Roman" w:cs="Times New Roman" w:eastAsia="Times New Roman" w:hAnsi="Times New Roman"/>
          <w:i w:val="1"/>
          <w:iCs w:val="1"/>
          <w:sz w:val="24"/>
          <w:szCs w:val="24"/>
          <w:rtl w:val="0"/>
        </w:rPr>
        <w:t xml:space="preserve">“What are the barriers to implementing contingency management in RRH?”</w:t>
      </w:r>
    </w:p>
    <w:p w:rsidR="00000000" w:rsidDel="00000000" w:rsidP="00000000" w:rsidRDefault="00000000" w:rsidRPr="00000000" w14:paraId="0000016E">
      <w:pPr>
        <w:spacing w:line="479.99945454545457"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r w:rsidDel="00000000" w:rsidR="00000000" w:rsidRPr="00000000">
        <w:rPr>
          <w:rFonts w:ascii="Times New Roman" w:cs="Times New Roman" w:eastAsia="Times New Roman" w:hAnsi="Times New Roman"/>
          <w:sz w:val="14"/>
          <w:szCs w:val="14"/>
          <w:rtl w:val="0"/>
        </w:rPr>
        <w:t xml:space="preserve"> </w:t>
        <w:tab/>
      </w:r>
      <w:r w:rsidDel="00000000" w:rsidR="00000000" w:rsidRPr="00000000">
        <w:rPr>
          <w:rFonts w:ascii="Times New Roman" w:cs="Times New Roman" w:eastAsia="Times New Roman" w:hAnsi="Times New Roman"/>
          <w:b w:val="1"/>
          <w:bCs w:val="1"/>
          <w:sz w:val="24"/>
          <w:szCs w:val="24"/>
          <w:rtl w:val="0"/>
        </w:rPr>
        <w:t xml:space="preserve">Generate Ideas:</w:t>
      </w:r>
      <w:r w:rsidDel="00000000" w:rsidR="00000000" w:rsidRPr="00000000">
        <w:rPr>
          <w:rFonts w:ascii="Times New Roman" w:cs="Times New Roman" w:eastAsia="Times New Roman" w:hAnsi="Times New Roman"/>
          <w:sz w:val="24"/>
          <w:szCs w:val="24"/>
          <w:rtl w:val="0"/>
        </w:rPr>
        <w:t xml:space="preserve"> Participants were given a few minutes to brainstorm independently, writing down their responses/ideas on a piece of paper.</w:t>
      </w:r>
    </w:p>
    <w:p w:rsidR="00000000" w:rsidDel="00000000" w:rsidP="00000000" w:rsidRDefault="00000000" w:rsidRPr="00000000" w14:paraId="0000016F">
      <w:pPr>
        <w:spacing w:line="479.99945454545457"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r w:rsidDel="00000000" w:rsidR="00000000" w:rsidRPr="00000000">
        <w:rPr>
          <w:rFonts w:ascii="Times New Roman" w:cs="Times New Roman" w:eastAsia="Times New Roman" w:hAnsi="Times New Roman"/>
          <w:sz w:val="14"/>
          <w:szCs w:val="14"/>
          <w:rtl w:val="0"/>
        </w:rPr>
        <w:t xml:space="preserve"> </w:t>
        <w:tab/>
      </w:r>
      <w:r w:rsidDel="00000000" w:rsidR="00000000" w:rsidRPr="00000000">
        <w:rPr>
          <w:rFonts w:ascii="Times New Roman" w:cs="Times New Roman" w:eastAsia="Times New Roman" w:hAnsi="Times New Roman"/>
          <w:b w:val="1"/>
          <w:bCs w:val="1"/>
          <w:sz w:val="24"/>
          <w:szCs w:val="24"/>
          <w:rtl w:val="0"/>
        </w:rPr>
        <w:t xml:space="preserve">Record Ideas:</w:t>
      </w:r>
      <w:r w:rsidDel="00000000" w:rsidR="00000000" w:rsidRPr="00000000">
        <w:rPr>
          <w:rFonts w:ascii="Times New Roman" w:cs="Times New Roman" w:eastAsia="Times New Roman" w:hAnsi="Times New Roman"/>
          <w:sz w:val="24"/>
          <w:szCs w:val="24"/>
          <w:rtl w:val="0"/>
        </w:rPr>
        <w:t xml:space="preserve"> In a round-robin fashion, the facilitator asked participants to share one unique idea at a time, while the facilitator recorded the responses on a flipchart. This process was repeated until all ideas were recorded.</w:t>
      </w:r>
    </w:p>
    <w:p w:rsidR="00000000" w:rsidDel="00000000" w:rsidP="00000000" w:rsidRDefault="00000000" w:rsidRPr="00000000" w14:paraId="00000170">
      <w:pPr>
        <w:spacing w:line="479.99945454545457"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r w:rsidDel="00000000" w:rsidR="00000000" w:rsidRPr="00000000">
        <w:rPr>
          <w:rFonts w:ascii="Times New Roman" w:cs="Times New Roman" w:eastAsia="Times New Roman" w:hAnsi="Times New Roman"/>
          <w:sz w:val="14"/>
          <w:szCs w:val="14"/>
          <w:rtl w:val="0"/>
        </w:rPr>
        <w:t xml:space="preserve"> </w:t>
        <w:tab/>
      </w:r>
      <w:r w:rsidDel="00000000" w:rsidR="00000000" w:rsidRPr="00000000">
        <w:rPr>
          <w:rFonts w:ascii="Times New Roman" w:cs="Times New Roman" w:eastAsia="Times New Roman" w:hAnsi="Times New Roman"/>
          <w:b w:val="1"/>
          <w:bCs w:val="1"/>
          <w:sz w:val="24"/>
          <w:szCs w:val="24"/>
          <w:rtl w:val="0"/>
        </w:rPr>
        <w:t xml:space="preserve">Discuss Ideas:</w:t>
      </w:r>
      <w:r w:rsidDel="00000000" w:rsidR="00000000" w:rsidRPr="00000000">
        <w:rPr>
          <w:rFonts w:ascii="Times New Roman" w:cs="Times New Roman" w:eastAsia="Times New Roman" w:hAnsi="Times New Roman"/>
          <w:sz w:val="24"/>
          <w:szCs w:val="24"/>
          <w:rtl w:val="0"/>
        </w:rPr>
        <w:t xml:space="preserve"> Recorded ideas were discussed among the group to allow for clarification, brief discussion, and grouping of ideas, if necessary.</w:t>
      </w:r>
    </w:p>
    <w:p w:rsidR="00000000" w:rsidDel="00000000" w:rsidP="00000000" w:rsidRDefault="00000000" w:rsidRPr="00000000" w14:paraId="00000171">
      <w:pPr>
        <w:spacing w:line="479.99945454545457"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r w:rsidDel="00000000" w:rsidR="00000000" w:rsidRPr="00000000">
        <w:rPr>
          <w:rFonts w:ascii="Times New Roman" w:cs="Times New Roman" w:eastAsia="Times New Roman" w:hAnsi="Times New Roman"/>
          <w:sz w:val="14"/>
          <w:szCs w:val="14"/>
          <w:rtl w:val="0"/>
        </w:rPr>
        <w:t xml:space="preserve"> </w:t>
        <w:tab/>
      </w:r>
      <w:r w:rsidDel="00000000" w:rsidR="00000000" w:rsidRPr="00000000">
        <w:rPr>
          <w:rFonts w:ascii="Times New Roman" w:cs="Times New Roman" w:eastAsia="Times New Roman" w:hAnsi="Times New Roman"/>
          <w:b w:val="1"/>
          <w:bCs w:val="1"/>
          <w:sz w:val="24"/>
          <w:szCs w:val="24"/>
          <w:rtl w:val="0"/>
        </w:rPr>
        <w:t xml:space="preserve">Vote on Ideas: </w:t>
      </w:r>
      <w:r w:rsidDel="00000000" w:rsidR="00000000" w:rsidRPr="00000000">
        <w:rPr>
          <w:rFonts w:ascii="Times New Roman" w:cs="Times New Roman" w:eastAsia="Times New Roman" w:hAnsi="Times New Roman"/>
          <w:sz w:val="24"/>
          <w:szCs w:val="24"/>
          <w:rtl w:val="0"/>
        </w:rPr>
        <w:t xml:space="preserve">Participants were asked to choose what they believed to be the five most important or significant facilitators and barriers. They then ranked each of their top five ideas by assigning them points on the flipchart, using color coded stickers. A participant’s top-rated choice was awarded five points, second rated was awarded four points, and so on down to the fifth rated choice which was awarded one point.</w:t>
      </w:r>
    </w:p>
    <w:p w:rsidR="00000000" w:rsidDel="00000000" w:rsidP="00000000" w:rsidRDefault="00000000" w:rsidRPr="00000000" w14:paraId="00000172">
      <w:pPr>
        <w:spacing w:after="200" w:line="479.99945454545457"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r w:rsidDel="00000000" w:rsidR="00000000" w:rsidRPr="00000000">
        <w:rPr>
          <w:rFonts w:ascii="Times New Roman" w:cs="Times New Roman" w:eastAsia="Times New Roman" w:hAnsi="Times New Roman"/>
          <w:sz w:val="14"/>
          <w:szCs w:val="14"/>
          <w:rtl w:val="0"/>
        </w:rPr>
        <w:t xml:space="preserve"> </w:t>
        <w:tab/>
      </w:r>
      <w:r w:rsidDel="00000000" w:rsidR="00000000" w:rsidRPr="00000000">
        <w:rPr>
          <w:rFonts w:ascii="Times New Roman" w:cs="Times New Roman" w:eastAsia="Times New Roman" w:hAnsi="Times New Roman"/>
          <w:b w:val="1"/>
          <w:bCs w:val="1"/>
          <w:sz w:val="24"/>
          <w:szCs w:val="24"/>
          <w:rtl w:val="0"/>
        </w:rPr>
        <w:t xml:space="preserve">Overall Ranking of Ideas:</w:t>
      </w:r>
      <w:r w:rsidDel="00000000" w:rsidR="00000000" w:rsidRPr="00000000">
        <w:rPr>
          <w:rFonts w:ascii="Times New Roman" w:cs="Times New Roman" w:eastAsia="Times New Roman" w:hAnsi="Times New Roman"/>
          <w:sz w:val="24"/>
          <w:szCs w:val="24"/>
          <w:rtl w:val="0"/>
        </w:rPr>
        <w:t xml:space="preserve"> The facilitator totaled each item’s points on the flip chart to identify the items with the most points, representing what the group perceived as the most significant facilitators and barriers. This was followed by a brief discussion of the group’s thoughts on the final rankings.</w:t>
      </w:r>
    </w:p>
    <w:p w:rsidR="00000000" w:rsidDel="00000000" w:rsidP="00000000" w:rsidRDefault="00000000" w:rsidRPr="00000000" w14:paraId="00000173">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74">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 w:type="table" w:styleId="Table1">
    <w:basedOn w:val="TableNormal"/>
    <w:tblPr>
      <w:tblStyleRowBandSize w:val="1"/>
      <w:tblStyleColBandSize w:val="1"/>
      <w:tblCellMar/>
    </w:tblPr>
  </w:style>
  <w:style w:type="table" w:styleId="Table2">
    <w:basedOn w:val="TableNormal"/>
    <w:tblPr>
      <w:tblStyleRowBandSize w:val="1"/>
      <w:tblStyleColBandSize w:val="1"/>
      <w:tblCellMar/>
    </w:tblPr>
  </w:style>
  <w:style w:type="table" w:styleId="Table3">
    <w:basedOn w:val="TableNormal"/>
    <w:tblPr>
      <w:tblStyleRowBandSize w:val="1"/>
      <w:tblStyleColBandSize w:val="1"/>
      <w:tblCellMar/>
    </w:tblPr>
  </w:style>
  <w:style w:type="table" w:styleId="Table4">
    <w:basedOn w:val="TableNormal"/>
    <w:tblPr>
      <w:tblStyleRowBandSize w:val="1"/>
      <w:tblStyleColBandSize w:val="1"/>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