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PlainTable5"/>
        <w:tblpPr w:leftFromText="180" w:rightFromText="180" w:vertAnchor="text" w:horzAnchor="margin" w:tblpY="718"/>
        <w:tblW w:w="8160" w:type="dxa"/>
        <w:tblLook w:val="0420" w:firstRow="1" w:lastRow="0" w:firstColumn="0" w:lastColumn="0" w:noHBand="0" w:noVBand="1"/>
      </w:tblPr>
      <w:tblGrid>
        <w:gridCol w:w="3240"/>
        <w:gridCol w:w="2520"/>
        <w:gridCol w:w="2400"/>
      </w:tblGrid>
      <w:tr w:rsidR="00E61FAF" w:rsidRPr="00386AEE" w14:paraId="6BAFBA59" w14:textId="77777777" w:rsidTr="00E61FA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2"/>
        </w:trPr>
        <w:tc>
          <w:tcPr>
            <w:tcW w:w="3240" w:type="dxa"/>
            <w:tcBorders>
              <w:top w:val="single" w:sz="4" w:space="0" w:color="auto"/>
            </w:tcBorders>
            <w:hideMark/>
          </w:tcPr>
          <w:p w14:paraId="025065C4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Nuclease Concentration and No Lyse-It</w:t>
            </w:r>
            <w:r w:rsidRPr="00386AEE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position w:val="6"/>
                <w:sz w:val="24"/>
                <w:szCs w:val="24"/>
                <w:vertAlign w:val="superscript"/>
              </w:rPr>
              <w:t>®</w:t>
            </w:r>
            <w:r w:rsidRPr="00386AEE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 xml:space="preserve"> vs. Lyse-It</w:t>
            </w:r>
            <w:r w:rsidRPr="00386AEE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position w:val="6"/>
                <w:sz w:val="24"/>
                <w:szCs w:val="24"/>
                <w:vertAlign w:val="superscript"/>
              </w:rPr>
              <w:t>®</w:t>
            </w:r>
          </w:p>
        </w:tc>
        <w:tc>
          <w:tcPr>
            <w:tcW w:w="2520" w:type="dxa"/>
            <w:tcBorders>
              <w:top w:val="single" w:sz="4" w:space="0" w:color="auto"/>
            </w:tcBorders>
            <w:hideMark/>
          </w:tcPr>
          <w:p w14:paraId="615CC52D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Rate (Fluorescent Intensity per Second)</w:t>
            </w:r>
          </w:p>
        </w:tc>
        <w:tc>
          <w:tcPr>
            <w:tcW w:w="2400" w:type="dxa"/>
            <w:tcBorders>
              <w:top w:val="single" w:sz="4" w:space="0" w:color="auto"/>
            </w:tcBorders>
            <w:hideMark/>
          </w:tcPr>
          <w:p w14:paraId="3F05394D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 xml:space="preserve">Nuclease Percentage </w:t>
            </w:r>
          </w:p>
          <w:p w14:paraId="4674034F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 w:themeColor="text1"/>
                <w:kern w:val="24"/>
                <w:sz w:val="24"/>
                <w:szCs w:val="24"/>
              </w:rPr>
              <w:t>Still Active</w:t>
            </w:r>
          </w:p>
        </w:tc>
      </w:tr>
      <w:tr w:rsidR="00E61FAF" w:rsidRPr="00386AEE" w14:paraId="6AB64D9E" w14:textId="77777777" w:rsidTr="00E61F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8160" w:type="dxa"/>
            <w:gridSpan w:val="3"/>
            <w:hideMark/>
          </w:tcPr>
          <w:p w14:paraId="4F8CE191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1493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</w:rPr>
              <w:t>RNase A</w:t>
            </w:r>
          </w:p>
        </w:tc>
      </w:tr>
      <w:tr w:rsidR="00E61FAF" w:rsidRPr="00386AEE" w14:paraId="13D01826" w14:textId="77777777" w:rsidTr="00E61FAF">
        <w:trPr>
          <w:trHeight w:val="144"/>
        </w:trPr>
        <w:tc>
          <w:tcPr>
            <w:tcW w:w="3240" w:type="dxa"/>
            <w:tcBorders>
              <w:right w:val="single" w:sz="4" w:space="0" w:color="BFBFBF" w:themeColor="background1" w:themeShade="BF"/>
            </w:tcBorders>
            <w:shd w:val="clear" w:color="auto" w:fill="auto"/>
            <w:hideMark/>
          </w:tcPr>
          <w:p w14:paraId="6ECC8D59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Pre (20.1pM)</w:t>
            </w:r>
          </w:p>
        </w:tc>
        <w:tc>
          <w:tcPr>
            <w:tcW w:w="2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38577F33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211.0 ± 7.6</w:t>
            </w:r>
          </w:p>
        </w:tc>
        <w:tc>
          <w:tcPr>
            <w:tcW w:w="240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0FB7A8B6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100%</w:t>
            </w:r>
          </w:p>
        </w:tc>
      </w:tr>
      <w:tr w:rsidR="00E61FAF" w:rsidRPr="00386AEE" w14:paraId="07E6FDDD" w14:textId="77777777" w:rsidTr="00E61F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4"/>
        </w:trPr>
        <w:tc>
          <w:tcPr>
            <w:tcW w:w="3240" w:type="dxa"/>
            <w:tcBorders>
              <w:right w:val="single" w:sz="4" w:space="0" w:color="BFBFBF" w:themeColor="background1" w:themeShade="BF"/>
            </w:tcBorders>
            <w:shd w:val="clear" w:color="auto" w:fill="auto"/>
            <w:hideMark/>
          </w:tcPr>
          <w:p w14:paraId="313B2EF7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Pre (2.01pM)</w:t>
            </w:r>
          </w:p>
        </w:tc>
        <w:tc>
          <w:tcPr>
            <w:tcW w:w="2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4685864F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42.9 ± 1.0</w:t>
            </w:r>
          </w:p>
        </w:tc>
        <w:tc>
          <w:tcPr>
            <w:tcW w:w="240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0B7E509B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20%</w:t>
            </w:r>
          </w:p>
        </w:tc>
      </w:tr>
      <w:tr w:rsidR="00E61FAF" w:rsidRPr="00386AEE" w14:paraId="0046362B" w14:textId="77777777" w:rsidTr="00E61FAF">
        <w:trPr>
          <w:trHeight w:val="144"/>
        </w:trPr>
        <w:tc>
          <w:tcPr>
            <w:tcW w:w="3240" w:type="dxa"/>
            <w:tcBorders>
              <w:right w:val="single" w:sz="4" w:space="0" w:color="BFBFBF" w:themeColor="background1" w:themeShade="BF"/>
            </w:tcBorders>
            <w:shd w:val="clear" w:color="auto" w:fill="auto"/>
            <w:hideMark/>
          </w:tcPr>
          <w:p w14:paraId="43A5B990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Pre (0.201 pm)</w:t>
            </w:r>
          </w:p>
        </w:tc>
        <w:tc>
          <w:tcPr>
            <w:tcW w:w="2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47CC9E95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3.2 ± 0.5</w:t>
            </w:r>
          </w:p>
        </w:tc>
        <w:tc>
          <w:tcPr>
            <w:tcW w:w="240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0FEC88BB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1.5%</w:t>
            </w:r>
          </w:p>
        </w:tc>
      </w:tr>
      <w:tr w:rsidR="00E61FAF" w:rsidRPr="00386AEE" w14:paraId="78D7C4CC" w14:textId="77777777" w:rsidTr="00E61F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4"/>
        </w:trPr>
        <w:tc>
          <w:tcPr>
            <w:tcW w:w="3240" w:type="dxa"/>
            <w:tcBorders>
              <w:right w:val="single" w:sz="4" w:space="0" w:color="BFBFBF" w:themeColor="background1" w:themeShade="BF"/>
            </w:tcBorders>
            <w:shd w:val="clear" w:color="auto" w:fill="auto"/>
            <w:hideMark/>
          </w:tcPr>
          <w:p w14:paraId="2098C6FF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20.1 </w:t>
            </w:r>
            <w:proofErr w:type="spellStart"/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pM</w:t>
            </w:r>
            <w:proofErr w:type="spellEnd"/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 50%, 60s Lyse-It</w:t>
            </w: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position w:val="6"/>
                <w:sz w:val="24"/>
                <w:szCs w:val="24"/>
                <w:vertAlign w:val="superscript"/>
              </w:rPr>
              <w:t>®</w:t>
            </w:r>
          </w:p>
        </w:tc>
        <w:tc>
          <w:tcPr>
            <w:tcW w:w="2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2016E108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55.2 ± 1.7</w:t>
            </w:r>
          </w:p>
        </w:tc>
        <w:tc>
          <w:tcPr>
            <w:tcW w:w="240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28C3C135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26%</w:t>
            </w:r>
          </w:p>
        </w:tc>
      </w:tr>
      <w:tr w:rsidR="00E61FAF" w:rsidRPr="00386AEE" w14:paraId="32549D63" w14:textId="77777777" w:rsidTr="00E61FAF">
        <w:trPr>
          <w:trHeight w:val="144"/>
        </w:trPr>
        <w:tc>
          <w:tcPr>
            <w:tcW w:w="3240" w:type="dxa"/>
            <w:tcBorders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hideMark/>
          </w:tcPr>
          <w:p w14:paraId="08A5CF4F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20.1 </w:t>
            </w:r>
            <w:proofErr w:type="spellStart"/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pM</w:t>
            </w:r>
            <w:proofErr w:type="spellEnd"/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 50%, 60s No Lyse-It</w:t>
            </w: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position w:val="6"/>
                <w:sz w:val="24"/>
                <w:szCs w:val="24"/>
                <w:vertAlign w:val="superscript"/>
              </w:rPr>
              <w:t>®</w:t>
            </w:r>
          </w:p>
        </w:tc>
        <w:tc>
          <w:tcPr>
            <w:tcW w:w="2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5C0EAD4A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129.7 ± 5.3</w:t>
            </w:r>
          </w:p>
        </w:tc>
        <w:tc>
          <w:tcPr>
            <w:tcW w:w="240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3A1AD470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61%</w:t>
            </w:r>
          </w:p>
        </w:tc>
      </w:tr>
      <w:tr w:rsidR="00E61FAF" w:rsidRPr="00386AEE" w14:paraId="2D678136" w14:textId="77777777" w:rsidTr="00E61F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8160" w:type="dxa"/>
            <w:gridSpan w:val="3"/>
            <w:tcBorders>
              <w:top w:val="single" w:sz="4" w:space="0" w:color="BFBFBF" w:themeColor="background1" w:themeShade="BF"/>
            </w:tcBorders>
            <w:hideMark/>
          </w:tcPr>
          <w:p w14:paraId="7326AA7D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51493">
              <w:rPr>
                <w:rFonts w:ascii="Times New Roman" w:eastAsia="Times New Roman" w:hAnsi="Times New Roman" w:cs="Times New Roman"/>
                <w:b/>
                <w:bCs/>
                <w:kern w:val="24"/>
                <w:sz w:val="24"/>
                <w:szCs w:val="24"/>
              </w:rPr>
              <w:t>RNase B</w:t>
            </w:r>
          </w:p>
        </w:tc>
      </w:tr>
      <w:tr w:rsidR="00E61FAF" w:rsidRPr="00386AEE" w14:paraId="50F67887" w14:textId="77777777" w:rsidTr="00E61FAF">
        <w:trPr>
          <w:trHeight w:val="144"/>
        </w:trPr>
        <w:tc>
          <w:tcPr>
            <w:tcW w:w="3240" w:type="dxa"/>
            <w:tcBorders>
              <w:right w:val="single" w:sz="4" w:space="0" w:color="BFBFBF" w:themeColor="background1" w:themeShade="BF"/>
            </w:tcBorders>
            <w:shd w:val="clear" w:color="auto" w:fill="auto"/>
            <w:hideMark/>
          </w:tcPr>
          <w:p w14:paraId="76D4BB92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Pre (46pM)</w:t>
            </w:r>
          </w:p>
        </w:tc>
        <w:tc>
          <w:tcPr>
            <w:tcW w:w="2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5A2CD0C4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452.0 ± 24.53</w:t>
            </w:r>
          </w:p>
        </w:tc>
        <w:tc>
          <w:tcPr>
            <w:tcW w:w="240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0451CB72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100%</w:t>
            </w:r>
          </w:p>
        </w:tc>
      </w:tr>
      <w:tr w:rsidR="00E61FAF" w:rsidRPr="00386AEE" w14:paraId="69F98544" w14:textId="77777777" w:rsidTr="00E61F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4"/>
        </w:trPr>
        <w:tc>
          <w:tcPr>
            <w:tcW w:w="3240" w:type="dxa"/>
            <w:tcBorders>
              <w:right w:val="single" w:sz="4" w:space="0" w:color="BFBFBF" w:themeColor="background1" w:themeShade="BF"/>
            </w:tcBorders>
            <w:shd w:val="clear" w:color="auto" w:fill="auto"/>
            <w:hideMark/>
          </w:tcPr>
          <w:p w14:paraId="1A7AC204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Pre (4.6pM)</w:t>
            </w:r>
          </w:p>
        </w:tc>
        <w:tc>
          <w:tcPr>
            <w:tcW w:w="2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7271C74D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136.4 ± 0.01</w:t>
            </w:r>
          </w:p>
        </w:tc>
        <w:tc>
          <w:tcPr>
            <w:tcW w:w="240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11F7C97D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30%</w:t>
            </w:r>
          </w:p>
        </w:tc>
      </w:tr>
      <w:tr w:rsidR="00E61FAF" w:rsidRPr="00386AEE" w14:paraId="3A3F6DA1" w14:textId="77777777" w:rsidTr="00E61FAF">
        <w:trPr>
          <w:trHeight w:val="144"/>
        </w:trPr>
        <w:tc>
          <w:tcPr>
            <w:tcW w:w="3240" w:type="dxa"/>
            <w:tcBorders>
              <w:right w:val="single" w:sz="4" w:space="0" w:color="BFBFBF" w:themeColor="background1" w:themeShade="BF"/>
            </w:tcBorders>
            <w:shd w:val="clear" w:color="auto" w:fill="auto"/>
            <w:hideMark/>
          </w:tcPr>
          <w:p w14:paraId="247A7F23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Pre (0.46 pm)</w:t>
            </w:r>
          </w:p>
        </w:tc>
        <w:tc>
          <w:tcPr>
            <w:tcW w:w="2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0A6C17BE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14.7 ± 0.55</w:t>
            </w:r>
          </w:p>
        </w:tc>
        <w:tc>
          <w:tcPr>
            <w:tcW w:w="240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6FD78613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3%</w:t>
            </w:r>
          </w:p>
        </w:tc>
      </w:tr>
      <w:tr w:rsidR="00E61FAF" w:rsidRPr="00386AEE" w14:paraId="6C1BBF7C" w14:textId="77777777" w:rsidTr="00E61F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4"/>
        </w:trPr>
        <w:tc>
          <w:tcPr>
            <w:tcW w:w="3240" w:type="dxa"/>
            <w:tcBorders>
              <w:right w:val="single" w:sz="4" w:space="0" w:color="BFBFBF" w:themeColor="background1" w:themeShade="BF"/>
            </w:tcBorders>
            <w:shd w:val="clear" w:color="auto" w:fill="auto"/>
            <w:hideMark/>
          </w:tcPr>
          <w:p w14:paraId="2E5D9487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46 </w:t>
            </w:r>
            <w:proofErr w:type="spellStart"/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pM</w:t>
            </w:r>
            <w:proofErr w:type="spellEnd"/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 50%, 60s Lyse-It</w:t>
            </w: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position w:val="6"/>
                <w:sz w:val="24"/>
                <w:szCs w:val="24"/>
                <w:vertAlign w:val="superscript"/>
              </w:rPr>
              <w:t>®</w:t>
            </w:r>
          </w:p>
        </w:tc>
        <w:tc>
          <w:tcPr>
            <w:tcW w:w="2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5717CD1E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133.9 ± 9.67</w:t>
            </w:r>
          </w:p>
        </w:tc>
        <w:tc>
          <w:tcPr>
            <w:tcW w:w="240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4724DC14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30%</w:t>
            </w:r>
          </w:p>
        </w:tc>
      </w:tr>
      <w:tr w:rsidR="00E61FAF" w:rsidRPr="00386AEE" w14:paraId="455847E7" w14:textId="77777777" w:rsidTr="00E61FAF">
        <w:trPr>
          <w:trHeight w:val="144"/>
        </w:trPr>
        <w:tc>
          <w:tcPr>
            <w:tcW w:w="3240" w:type="dxa"/>
            <w:tcBorders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auto"/>
            <w:hideMark/>
          </w:tcPr>
          <w:p w14:paraId="7F8DD82D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46 </w:t>
            </w:r>
            <w:proofErr w:type="spellStart"/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pM</w:t>
            </w:r>
            <w:proofErr w:type="spellEnd"/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 50%, 60s No Lyse-It</w:t>
            </w: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position w:val="6"/>
                <w:sz w:val="24"/>
                <w:szCs w:val="24"/>
                <w:vertAlign w:val="superscript"/>
              </w:rPr>
              <w:t>®</w:t>
            </w:r>
          </w:p>
        </w:tc>
        <w:tc>
          <w:tcPr>
            <w:tcW w:w="2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7FAB3858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303.7 ± 10.78</w:t>
            </w:r>
          </w:p>
        </w:tc>
        <w:tc>
          <w:tcPr>
            <w:tcW w:w="240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669D8DDD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67%</w:t>
            </w:r>
          </w:p>
        </w:tc>
      </w:tr>
      <w:tr w:rsidR="00E61FAF" w:rsidRPr="00386AEE" w14:paraId="1ED57DC3" w14:textId="77777777" w:rsidTr="00E61F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tcW w:w="8160" w:type="dxa"/>
            <w:gridSpan w:val="3"/>
            <w:tcBorders>
              <w:top w:val="single" w:sz="4" w:space="0" w:color="BFBFBF" w:themeColor="background1" w:themeShade="BF"/>
            </w:tcBorders>
            <w:hideMark/>
          </w:tcPr>
          <w:p w14:paraId="66CB42FB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kern w:val="24"/>
                <w:sz w:val="24"/>
                <w:szCs w:val="24"/>
              </w:rPr>
              <w:t>DNase I</w:t>
            </w:r>
          </w:p>
        </w:tc>
      </w:tr>
      <w:tr w:rsidR="00E61FAF" w:rsidRPr="00386AEE" w14:paraId="47A0E332" w14:textId="77777777" w:rsidTr="00E61FAF">
        <w:trPr>
          <w:trHeight w:val="144"/>
        </w:trPr>
        <w:tc>
          <w:tcPr>
            <w:tcW w:w="3240" w:type="dxa"/>
            <w:tcBorders>
              <w:right w:val="single" w:sz="4" w:space="0" w:color="BFBFBF" w:themeColor="background1" w:themeShade="BF"/>
            </w:tcBorders>
            <w:shd w:val="clear" w:color="auto" w:fill="auto"/>
            <w:hideMark/>
          </w:tcPr>
          <w:p w14:paraId="7F466EDD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Pre (10.5nM)</w:t>
            </w:r>
          </w:p>
        </w:tc>
        <w:tc>
          <w:tcPr>
            <w:tcW w:w="2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4C1809FF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164.66 ± 3.19</w:t>
            </w:r>
          </w:p>
        </w:tc>
        <w:tc>
          <w:tcPr>
            <w:tcW w:w="240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51446343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100%</w:t>
            </w:r>
          </w:p>
        </w:tc>
      </w:tr>
      <w:tr w:rsidR="00E61FAF" w:rsidRPr="00386AEE" w14:paraId="64D0DCBC" w14:textId="77777777" w:rsidTr="00E61F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4"/>
        </w:trPr>
        <w:tc>
          <w:tcPr>
            <w:tcW w:w="3240" w:type="dxa"/>
            <w:tcBorders>
              <w:right w:val="single" w:sz="4" w:space="0" w:color="BFBFBF" w:themeColor="background1" w:themeShade="BF"/>
            </w:tcBorders>
            <w:shd w:val="clear" w:color="auto" w:fill="auto"/>
            <w:hideMark/>
          </w:tcPr>
          <w:p w14:paraId="0238D78D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Pre (1.05nM)</w:t>
            </w:r>
          </w:p>
        </w:tc>
        <w:tc>
          <w:tcPr>
            <w:tcW w:w="2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59B1DC4A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13.08 ± 0.46</w:t>
            </w:r>
          </w:p>
        </w:tc>
        <w:tc>
          <w:tcPr>
            <w:tcW w:w="240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175CF933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8%</w:t>
            </w:r>
          </w:p>
        </w:tc>
      </w:tr>
      <w:tr w:rsidR="00E61FAF" w:rsidRPr="00386AEE" w14:paraId="19D7BF02" w14:textId="77777777" w:rsidTr="00E61FAF">
        <w:trPr>
          <w:trHeight w:val="144"/>
        </w:trPr>
        <w:tc>
          <w:tcPr>
            <w:tcW w:w="3240" w:type="dxa"/>
            <w:tcBorders>
              <w:right w:val="single" w:sz="4" w:space="0" w:color="BFBFBF" w:themeColor="background1" w:themeShade="BF"/>
            </w:tcBorders>
            <w:shd w:val="clear" w:color="auto" w:fill="auto"/>
            <w:hideMark/>
          </w:tcPr>
          <w:p w14:paraId="3BB115E1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Pre (0.105nM)</w:t>
            </w:r>
          </w:p>
        </w:tc>
        <w:tc>
          <w:tcPr>
            <w:tcW w:w="2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13A11CB4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0.66 ± 0.64</w:t>
            </w:r>
          </w:p>
        </w:tc>
        <w:tc>
          <w:tcPr>
            <w:tcW w:w="240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26D6CF34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0.4%</w:t>
            </w:r>
          </w:p>
        </w:tc>
      </w:tr>
      <w:tr w:rsidR="00E61FAF" w:rsidRPr="00386AEE" w14:paraId="62E20BBF" w14:textId="77777777" w:rsidTr="00E61F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4"/>
        </w:trPr>
        <w:tc>
          <w:tcPr>
            <w:tcW w:w="3240" w:type="dxa"/>
            <w:tcBorders>
              <w:right w:val="single" w:sz="4" w:space="0" w:color="BFBFBF" w:themeColor="background1" w:themeShade="BF"/>
            </w:tcBorders>
            <w:shd w:val="clear" w:color="auto" w:fill="auto"/>
            <w:hideMark/>
          </w:tcPr>
          <w:p w14:paraId="04C75D49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10.5 </w:t>
            </w:r>
            <w:proofErr w:type="spellStart"/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nM</w:t>
            </w:r>
            <w:proofErr w:type="spellEnd"/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 50%, 60s Lyse-It</w:t>
            </w: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position w:val="6"/>
                <w:sz w:val="24"/>
                <w:szCs w:val="24"/>
                <w:vertAlign w:val="superscript"/>
              </w:rPr>
              <w:t>®</w:t>
            </w:r>
          </w:p>
        </w:tc>
        <w:tc>
          <w:tcPr>
            <w:tcW w:w="2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6F527DC7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0.56 ± 0.55</w:t>
            </w:r>
          </w:p>
        </w:tc>
        <w:tc>
          <w:tcPr>
            <w:tcW w:w="240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4AB02757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0.3%</w:t>
            </w:r>
          </w:p>
        </w:tc>
      </w:tr>
      <w:tr w:rsidR="00E61FAF" w:rsidRPr="00386AEE" w14:paraId="1753AE7D" w14:textId="77777777" w:rsidTr="00E61FAF">
        <w:trPr>
          <w:trHeight w:val="144"/>
        </w:trPr>
        <w:tc>
          <w:tcPr>
            <w:tcW w:w="3240" w:type="dxa"/>
            <w:tcBorders>
              <w:right w:val="single" w:sz="4" w:space="0" w:color="BFBFBF" w:themeColor="background1" w:themeShade="BF"/>
            </w:tcBorders>
            <w:shd w:val="clear" w:color="auto" w:fill="auto"/>
            <w:hideMark/>
          </w:tcPr>
          <w:p w14:paraId="14E981BF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10.5 </w:t>
            </w:r>
            <w:proofErr w:type="spellStart"/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nM</w:t>
            </w:r>
            <w:proofErr w:type="spellEnd"/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 xml:space="preserve"> 50%, 60s No Lyse-It</w:t>
            </w: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position w:val="6"/>
                <w:sz w:val="24"/>
                <w:szCs w:val="24"/>
                <w:vertAlign w:val="superscript"/>
              </w:rPr>
              <w:t>®</w:t>
            </w:r>
          </w:p>
        </w:tc>
        <w:tc>
          <w:tcPr>
            <w:tcW w:w="252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5D232A51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102.19 ± 4.69</w:t>
            </w:r>
          </w:p>
        </w:tc>
        <w:tc>
          <w:tcPr>
            <w:tcW w:w="2400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hideMark/>
          </w:tcPr>
          <w:p w14:paraId="291B4C87" w14:textId="77777777" w:rsidR="00E61FAF" w:rsidRPr="00386AEE" w:rsidRDefault="00E61FAF" w:rsidP="00E61FAF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86AEE">
              <w:rPr>
                <w:rFonts w:ascii="Times New Roman" w:eastAsia="Times New Roman" w:hAnsi="Times New Roman" w:cs="Times New Roman"/>
                <w:color w:val="000000" w:themeColor="text1"/>
                <w:kern w:val="24"/>
                <w:sz w:val="24"/>
                <w:szCs w:val="24"/>
              </w:rPr>
              <w:t>62%</w:t>
            </w:r>
          </w:p>
        </w:tc>
      </w:tr>
    </w:tbl>
    <w:p w14:paraId="7C2ACF0C" w14:textId="55B26B86" w:rsidR="0058316B" w:rsidRDefault="00E61FAF"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3D084" wp14:editId="30F333D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5181599" cy="461665"/>
                <wp:effectExtent l="0" t="0" r="0" b="0"/>
                <wp:wrapNone/>
                <wp:docPr id="5" name="Text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81599" cy="46166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4E70BA93" w14:textId="77777777" w:rsidR="00E61FAF" w:rsidRPr="0091540F" w:rsidRDefault="00E61FAF" w:rsidP="00E61FAF">
                            <w:pPr>
                              <w:spacing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91540F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>S6 Table</w:t>
                            </w:r>
                            <w:r w:rsidRPr="0091540F"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>: Nuclease rates and percentage still active with and without Lyse-It</w:t>
                            </w:r>
                            <w:r w:rsidRPr="0091540F"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position w:val="7"/>
                                <w:sz w:val="24"/>
                                <w:szCs w:val="24"/>
                                <w:vertAlign w:val="superscript"/>
                              </w:rPr>
                              <w:t>®</w:t>
                            </w:r>
                            <w:r w:rsidRPr="0091540F"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sz w:val="24"/>
                                <w:szCs w:val="24"/>
                              </w:rPr>
                              <w:t xml:space="preserve"> in DI water at 50% power, 60 seconds. (Pre = no irradiation)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8D3D084" id="_x0000_t202" coordsize="21600,21600" o:spt="202" path="m,l,21600r21600,l21600,xe">
                <v:stroke joinstyle="miter"/>
                <v:path gradientshapeok="t" o:connecttype="rect"/>
              </v:shapetype>
              <v:shape id="TextBox 7" o:spid="_x0000_s1026" type="#_x0000_t202" style="position:absolute;margin-left:0;margin-top:0;width:408pt;height:36.3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" filled="f" stroked="f">
                <v:textbox style="mso-fit-shape-to-text:t">
                  <w:txbxContent>
                    <w:p w14:paraId="4E70BA93" w14:textId="77777777" w:rsidR="00E61FAF" w:rsidRPr="0091540F" w:rsidRDefault="00E61FAF" w:rsidP="00E61FAF">
                      <w:pPr>
                        <w:spacing w:after="0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91540F">
                        <w:rPr>
                          <w:rFonts w:ascii="Times New Roman" w:hAnsi="Times New Roman" w:cs="Times New Roman"/>
                          <w:b/>
                          <w:bCs/>
                          <w:color w:val="000000" w:themeColor="text1"/>
                          <w:kern w:val="24"/>
                          <w:sz w:val="24"/>
                          <w:szCs w:val="24"/>
                        </w:rPr>
                        <w:t>S6 Table</w:t>
                      </w:r>
                      <w:r w:rsidRPr="0091540F">
                        <w:rPr>
                          <w:rFonts w:ascii="Times New Roman" w:hAnsi="Times New Roman" w:cs="Times New Roman"/>
                          <w:color w:val="000000" w:themeColor="text1"/>
                          <w:kern w:val="24"/>
                          <w:sz w:val="24"/>
                          <w:szCs w:val="24"/>
                        </w:rPr>
                        <w:t>: Nuclease rates and percentage still active with and without Lyse-It</w:t>
                      </w:r>
                      <w:r w:rsidRPr="0091540F">
                        <w:rPr>
                          <w:rFonts w:ascii="Times New Roman" w:hAnsi="Times New Roman" w:cs="Times New Roman"/>
                          <w:color w:val="000000" w:themeColor="text1"/>
                          <w:kern w:val="24"/>
                          <w:position w:val="7"/>
                          <w:sz w:val="24"/>
                          <w:szCs w:val="24"/>
                          <w:vertAlign w:val="superscript"/>
                        </w:rPr>
                        <w:t>®</w:t>
                      </w:r>
                      <w:r w:rsidRPr="0091540F">
                        <w:rPr>
                          <w:rFonts w:ascii="Times New Roman" w:hAnsi="Times New Roman" w:cs="Times New Roman"/>
                          <w:color w:val="000000" w:themeColor="text1"/>
                          <w:kern w:val="24"/>
                          <w:sz w:val="24"/>
                          <w:szCs w:val="24"/>
                        </w:rPr>
                        <w:t xml:space="preserve"> in DI water at 50% power, 60 seconds. (Pre = no irradiation)</w:t>
                      </w:r>
                    </w:p>
                  </w:txbxContent>
                </v:textbox>
              </v:shape>
            </w:pict>
          </mc:Fallback>
        </mc:AlternateContent>
      </w:r>
    </w:p>
    <w:sectPr w:rsidR="0058316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1811"/>
    <w:rsid w:val="0004131D"/>
    <w:rsid w:val="001A76A7"/>
    <w:rsid w:val="003B7700"/>
    <w:rsid w:val="0058316B"/>
    <w:rsid w:val="00CA0313"/>
    <w:rsid w:val="00E51811"/>
    <w:rsid w:val="00E61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F79517"/>
  <w15:chartTrackingRefBased/>
  <w15:docId w15:val="{109A19FC-01DD-48DF-BB00-D21D0A5D8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E61FA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GridTable3-Accent3">
    <w:name w:val="Grid Table 3 Accent 3"/>
    <w:basedOn w:val="TableNormal"/>
    <w:uiPriority w:val="48"/>
    <w:rsid w:val="00E51811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PlainTable5">
    <w:name w:val="Plain Table 5"/>
    <w:basedOn w:val="TableNormal"/>
    <w:uiPriority w:val="45"/>
    <w:rsid w:val="00CA0313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</Words>
  <Characters>597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Tonya S</dc:creator>
  <cp:keywords/>
  <dc:description/>
  <cp:lastModifiedBy>Tonya S</cp:lastModifiedBy>
  <cp:revision>2</cp:revision>
  <dcterms:created xsi:type="dcterms:W3CDTF">2019-09-19T17:33:00Z</dcterms:created>
  <dcterms:modified xsi:type="dcterms:W3CDTF">2019-09-19T17:33:00Z</dcterms:modified>
</cp:coreProperties>
</file>